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40EB" w14:textId="5FECA818" w:rsidR="00BD4A22" w:rsidRPr="00C578EB" w:rsidRDefault="00BD4A22" w:rsidP="00BD4A22">
      <w:pPr>
        <w:pStyle w:val="BodyText1"/>
        <w:rPr>
          <w:b/>
          <w:color w:val="FFFFFF" w:themeColor="background1"/>
          <w:sz w:val="96"/>
          <w:szCs w:val="96"/>
        </w:rPr>
      </w:pPr>
    </w:p>
    <w:p w14:paraId="67AF5421" w14:textId="77777777" w:rsidR="00BD4A22" w:rsidRPr="00C578EB" w:rsidRDefault="00BD4A22" w:rsidP="00BD4A22">
      <w:pPr>
        <w:pStyle w:val="BodyText1"/>
        <w:rPr>
          <w:b/>
          <w:color w:val="FFFFFF" w:themeColor="background1"/>
          <w:sz w:val="64"/>
          <w:szCs w:val="64"/>
        </w:rPr>
      </w:pPr>
      <w:r w:rsidRPr="00C578EB">
        <w:rPr>
          <w:b/>
          <w:color w:val="FFFFFF" w:themeColor="background1"/>
          <w:sz w:val="96"/>
          <w:szCs w:val="96"/>
        </w:rPr>
        <w:t xml:space="preserve">National Disability Insurance Scheme </w:t>
      </w:r>
    </w:p>
    <w:p w14:paraId="4C3B713F" w14:textId="77777777" w:rsidR="00BD4A22" w:rsidRPr="00C578EB" w:rsidRDefault="00BD4A22" w:rsidP="00BD4A22">
      <w:pPr>
        <w:pStyle w:val="BodyText1"/>
        <w:rPr>
          <w:b/>
          <w:color w:val="FFFFFF" w:themeColor="background1"/>
          <w:sz w:val="64"/>
          <w:szCs w:val="64"/>
        </w:rPr>
      </w:pPr>
    </w:p>
    <w:p w14:paraId="1987CEFD" w14:textId="473B669D" w:rsidR="00963201" w:rsidRDefault="00354523" w:rsidP="003534B1">
      <w:pPr>
        <w:pStyle w:val="BodyText1"/>
        <w:rPr>
          <w:b/>
          <w:noProof/>
          <w:color w:val="FFFFFF" w:themeColor="background1"/>
          <w:sz w:val="64"/>
          <w:szCs w:val="64"/>
          <w:lang w:eastAsia="en-AU"/>
        </w:rPr>
      </w:pPr>
      <w:r w:rsidRPr="00C578EB">
        <w:rPr>
          <w:b/>
          <w:noProof/>
          <w:color w:val="FFFFFF" w:themeColor="background1"/>
          <w:sz w:val="64"/>
          <w:szCs w:val="64"/>
          <w:lang w:eastAsia="en-AU"/>
        </w:rPr>
        <w:drawing>
          <wp:anchor distT="0" distB="0" distL="114300" distR="114300" simplePos="0" relativeHeight="251659264" behindDoc="1" locked="0" layoutInCell="1" allowOverlap="1" wp14:anchorId="13DB5915" wp14:editId="2CE2E4D0">
            <wp:simplePos x="0" y="0"/>
            <wp:positionH relativeFrom="page">
              <wp:posOffset>331470</wp:posOffset>
            </wp:positionH>
            <wp:positionV relativeFrom="page">
              <wp:posOffset>360045</wp:posOffset>
            </wp:positionV>
            <wp:extent cx="6839585" cy="8999855"/>
            <wp:effectExtent l="0" t="0" r="0" b="0"/>
            <wp:wrapNone/>
            <wp:docPr id="15" name="Picture 1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226D8F" w:rsidRPr="00C578EB">
        <w:rPr>
          <w:b/>
          <w:noProof/>
          <w:color w:val="FFFFFF" w:themeColor="background1"/>
          <w:sz w:val="64"/>
          <w:szCs w:val="64"/>
          <w:lang w:eastAsia="en-AU"/>
        </w:rPr>
        <w:t xml:space="preserve">Annual </w:t>
      </w:r>
      <w:r w:rsidR="00BD4A22" w:rsidRPr="00C578EB">
        <w:rPr>
          <w:b/>
          <w:noProof/>
          <w:color w:val="FFFFFF" w:themeColor="background1"/>
          <w:sz w:val="64"/>
          <w:szCs w:val="64"/>
          <w:lang w:eastAsia="en-AU"/>
        </w:rPr>
        <w:t>Financial Sustainability Report</w:t>
      </w:r>
      <w:r w:rsidR="00963201" w:rsidRPr="00C578EB">
        <w:rPr>
          <w:b/>
          <w:noProof/>
          <w:color w:val="FFFFFF" w:themeColor="background1"/>
          <w:sz w:val="64"/>
          <w:szCs w:val="64"/>
          <w:lang w:eastAsia="en-AU"/>
        </w:rPr>
        <w:t xml:space="preserve"> </w:t>
      </w:r>
    </w:p>
    <w:p w14:paraId="4CDC661B" w14:textId="711072B7" w:rsidR="003534B1" w:rsidRDefault="003534B1" w:rsidP="003534B1">
      <w:pPr>
        <w:pStyle w:val="BodyText1"/>
        <w:rPr>
          <w:b/>
          <w:noProof/>
          <w:color w:val="FFFFFF" w:themeColor="background1"/>
          <w:sz w:val="64"/>
          <w:szCs w:val="64"/>
          <w:lang w:eastAsia="en-AU"/>
        </w:rPr>
      </w:pPr>
    </w:p>
    <w:p w14:paraId="1F0DC42E" w14:textId="4C55FA70" w:rsidR="003534B1" w:rsidRPr="003534B1" w:rsidRDefault="003534B1" w:rsidP="003534B1">
      <w:pPr>
        <w:pStyle w:val="BodyText1"/>
        <w:rPr>
          <w:b/>
          <w:noProof/>
          <w:color w:val="FFFFFF" w:themeColor="background1"/>
          <w:sz w:val="52"/>
          <w:szCs w:val="52"/>
          <w:lang w:eastAsia="en-AU"/>
        </w:rPr>
      </w:pPr>
      <w:r w:rsidRPr="003534B1">
        <w:rPr>
          <w:b/>
          <w:noProof/>
          <w:color w:val="FFFFFF" w:themeColor="background1"/>
          <w:sz w:val="52"/>
          <w:szCs w:val="52"/>
          <w:lang w:eastAsia="en-AU"/>
        </w:rPr>
        <w:t>2020-21</w:t>
      </w:r>
    </w:p>
    <w:p w14:paraId="197586D0" w14:textId="2CE5BF28" w:rsidR="003534B1" w:rsidRPr="003534B1" w:rsidRDefault="003534B1" w:rsidP="003534B1">
      <w:pPr>
        <w:pStyle w:val="BodyText1"/>
        <w:rPr>
          <w:b/>
          <w:noProof/>
          <w:color w:val="FFFFFF" w:themeColor="background1"/>
          <w:sz w:val="52"/>
          <w:szCs w:val="52"/>
          <w:lang w:eastAsia="en-AU"/>
        </w:rPr>
      </w:pPr>
    </w:p>
    <w:p w14:paraId="25C4D8D7" w14:textId="77777777" w:rsidR="00BD4A22" w:rsidRPr="00C578EB" w:rsidRDefault="00BD4A22" w:rsidP="00BD4A22"/>
    <w:p w14:paraId="0BBF6981" w14:textId="77777777" w:rsidR="00BD4A22" w:rsidRPr="00C578EB" w:rsidRDefault="00BD4A22" w:rsidP="00BD4A22">
      <w:pPr>
        <w:rPr>
          <w:b/>
          <w:color w:val="FFFFFF" w:themeColor="background1"/>
        </w:rPr>
      </w:pPr>
      <w:r w:rsidRPr="00C578EB">
        <w:rPr>
          <w:b/>
          <w:color w:val="FFFFFF" w:themeColor="background1"/>
        </w:rPr>
        <w:t>Sarah Johnson BCom FIAA</w:t>
      </w:r>
    </w:p>
    <w:p w14:paraId="493F3295" w14:textId="584D3528" w:rsidR="00BD4A22" w:rsidRDefault="00BD4A22" w:rsidP="00BD4A22">
      <w:pPr>
        <w:rPr>
          <w:b/>
          <w:color w:val="FFFFFF" w:themeColor="background1"/>
        </w:rPr>
      </w:pPr>
      <w:r w:rsidRPr="00C578EB">
        <w:rPr>
          <w:b/>
          <w:color w:val="FFFFFF" w:themeColor="background1"/>
        </w:rPr>
        <w:t>Scheme Actuary</w:t>
      </w:r>
    </w:p>
    <w:p w14:paraId="24FD1E2B" w14:textId="16393852" w:rsidR="003534B1" w:rsidRDefault="003534B1" w:rsidP="00BD4A22">
      <w:pPr>
        <w:rPr>
          <w:b/>
          <w:color w:val="FFFFFF" w:themeColor="background1"/>
        </w:rPr>
      </w:pPr>
    </w:p>
    <w:p w14:paraId="18846B3A" w14:textId="77777777" w:rsidR="00BD4A22" w:rsidRPr="00C578EB" w:rsidRDefault="00BD4A22" w:rsidP="00BD4A22"/>
    <w:p w14:paraId="51162CA1" w14:textId="1A879208" w:rsidR="00E27451" w:rsidRPr="00C578EB" w:rsidRDefault="00BD4A22">
      <w:pPr>
        <w:spacing w:after="160" w:line="259" w:lineRule="auto"/>
      </w:pPr>
      <w:r w:rsidRPr="00C578EB">
        <w:br w:type="page"/>
      </w:r>
      <w:bookmarkStart w:id="0" w:name="_Ref489526146"/>
      <w:bookmarkStart w:id="1" w:name="_Toc16268366"/>
    </w:p>
    <w:sdt>
      <w:sdtPr>
        <w:rPr>
          <w:rFonts w:ascii="Arial" w:eastAsiaTheme="minorEastAsia" w:hAnsi="Arial" w:cstheme="minorBidi"/>
          <w:b w:val="0"/>
          <w:color w:val="auto"/>
          <w:sz w:val="22"/>
          <w:szCs w:val="24"/>
          <w:lang w:eastAsia="ja-JP"/>
        </w:rPr>
        <w:id w:val="-1319571241"/>
        <w:docPartObj>
          <w:docPartGallery w:val="Table of Contents"/>
          <w:docPartUnique/>
        </w:docPartObj>
      </w:sdtPr>
      <w:sdtEndPr>
        <w:rPr>
          <w:bCs/>
          <w:noProof/>
        </w:rPr>
      </w:sdtEndPr>
      <w:sdtContent>
        <w:p w14:paraId="481AA8D8" w14:textId="71D62101" w:rsidR="00E27451" w:rsidRPr="00F27EF7" w:rsidRDefault="00E27451">
          <w:pPr>
            <w:pStyle w:val="TOCHeading"/>
            <w:rPr>
              <w:rFonts w:ascii="Arial" w:hAnsi="Arial" w:cs="Arial"/>
            </w:rPr>
          </w:pPr>
          <w:r w:rsidRPr="00F27EF7">
            <w:rPr>
              <w:rFonts w:ascii="Arial" w:hAnsi="Arial" w:cs="Arial"/>
            </w:rPr>
            <w:t>Table of Contents</w:t>
          </w:r>
        </w:p>
        <w:p w14:paraId="645C4CB4" w14:textId="3DCA2DF6" w:rsidR="003078BE" w:rsidRDefault="00E27451">
          <w:pPr>
            <w:pStyle w:val="TOC2"/>
            <w:rPr>
              <w:rFonts w:asciiTheme="minorHAnsi" w:hAnsiTheme="minorHAnsi"/>
              <w:noProof/>
              <w:sz w:val="24"/>
              <w:lang w:eastAsia="en-GB"/>
            </w:rPr>
          </w:pPr>
          <w:r w:rsidRPr="00C578EB">
            <w:fldChar w:fldCharType="begin"/>
          </w:r>
          <w:r w:rsidRPr="00C578EB">
            <w:instrText xml:space="preserve"> TOC \o "1-3" \h \z \u </w:instrText>
          </w:r>
          <w:r w:rsidRPr="00C578EB">
            <w:fldChar w:fldCharType="separate"/>
          </w:r>
          <w:hyperlink w:anchor="_Toc85031247" w:history="1">
            <w:r w:rsidR="003078BE" w:rsidRPr="00D9777D">
              <w:rPr>
                <w:rStyle w:val="Hyperlink"/>
                <w:noProof/>
              </w:rPr>
              <w:t>Executive Summary</w:t>
            </w:r>
            <w:r w:rsidR="003078BE">
              <w:rPr>
                <w:noProof/>
                <w:webHidden/>
              </w:rPr>
              <w:tab/>
            </w:r>
            <w:r w:rsidR="003078BE">
              <w:rPr>
                <w:noProof/>
                <w:webHidden/>
              </w:rPr>
              <w:fldChar w:fldCharType="begin"/>
            </w:r>
            <w:r w:rsidR="003078BE">
              <w:rPr>
                <w:noProof/>
                <w:webHidden/>
              </w:rPr>
              <w:instrText xml:space="preserve"> PAGEREF _Toc85031247 \h </w:instrText>
            </w:r>
            <w:r w:rsidR="003078BE">
              <w:rPr>
                <w:noProof/>
                <w:webHidden/>
              </w:rPr>
            </w:r>
            <w:r w:rsidR="003078BE">
              <w:rPr>
                <w:noProof/>
                <w:webHidden/>
              </w:rPr>
              <w:fldChar w:fldCharType="separate"/>
            </w:r>
            <w:r w:rsidR="00E50032">
              <w:rPr>
                <w:noProof/>
                <w:webHidden/>
              </w:rPr>
              <w:t>4</w:t>
            </w:r>
            <w:r w:rsidR="003078BE">
              <w:rPr>
                <w:noProof/>
                <w:webHidden/>
              </w:rPr>
              <w:fldChar w:fldCharType="end"/>
            </w:r>
          </w:hyperlink>
        </w:p>
        <w:p w14:paraId="43F7785F" w14:textId="1304B356" w:rsidR="003078BE" w:rsidRDefault="00312E88">
          <w:pPr>
            <w:pStyle w:val="TOC2"/>
            <w:rPr>
              <w:rFonts w:asciiTheme="minorHAnsi" w:hAnsiTheme="minorHAnsi"/>
              <w:noProof/>
              <w:sz w:val="24"/>
              <w:lang w:eastAsia="en-GB"/>
            </w:rPr>
          </w:pPr>
          <w:hyperlink w:anchor="_Toc85031248" w:history="1">
            <w:r w:rsidR="003078BE" w:rsidRPr="00D9777D">
              <w:rPr>
                <w:rStyle w:val="Hyperlink"/>
                <w:noProof/>
                <w14:scene3d>
                  <w14:camera w14:prst="orthographicFront"/>
                  <w14:lightRig w14:rig="threePt" w14:dir="t">
                    <w14:rot w14:lat="0" w14:lon="0" w14:rev="0"/>
                  </w14:lightRig>
                </w14:scene3d>
              </w:rPr>
              <w:t>1.</w:t>
            </w:r>
            <w:r w:rsidR="003078BE">
              <w:rPr>
                <w:rFonts w:asciiTheme="minorHAnsi" w:hAnsiTheme="minorHAnsi"/>
                <w:noProof/>
                <w:sz w:val="24"/>
                <w:lang w:eastAsia="en-GB"/>
              </w:rPr>
              <w:tab/>
            </w:r>
            <w:r w:rsidR="003078BE" w:rsidRPr="00D9777D">
              <w:rPr>
                <w:rStyle w:val="Hyperlink"/>
                <w:noProof/>
              </w:rPr>
              <w:t>Introduction</w:t>
            </w:r>
            <w:r w:rsidR="003078BE">
              <w:rPr>
                <w:noProof/>
                <w:webHidden/>
              </w:rPr>
              <w:tab/>
            </w:r>
            <w:r w:rsidR="003078BE">
              <w:rPr>
                <w:noProof/>
                <w:webHidden/>
              </w:rPr>
              <w:fldChar w:fldCharType="begin"/>
            </w:r>
            <w:r w:rsidR="003078BE">
              <w:rPr>
                <w:noProof/>
                <w:webHidden/>
              </w:rPr>
              <w:instrText xml:space="preserve"> PAGEREF _Toc85031248 \h </w:instrText>
            </w:r>
            <w:r w:rsidR="003078BE">
              <w:rPr>
                <w:noProof/>
                <w:webHidden/>
              </w:rPr>
            </w:r>
            <w:r w:rsidR="003078BE">
              <w:rPr>
                <w:noProof/>
                <w:webHidden/>
              </w:rPr>
              <w:fldChar w:fldCharType="separate"/>
            </w:r>
            <w:r w:rsidR="00E50032">
              <w:rPr>
                <w:noProof/>
                <w:webHidden/>
              </w:rPr>
              <w:t>21</w:t>
            </w:r>
            <w:r w:rsidR="003078BE">
              <w:rPr>
                <w:noProof/>
                <w:webHidden/>
              </w:rPr>
              <w:fldChar w:fldCharType="end"/>
            </w:r>
          </w:hyperlink>
        </w:p>
        <w:p w14:paraId="07D1AC55" w14:textId="379A3EF6" w:rsidR="003078BE" w:rsidRDefault="00312E88">
          <w:pPr>
            <w:pStyle w:val="TOC2"/>
            <w:rPr>
              <w:rFonts w:asciiTheme="minorHAnsi" w:hAnsiTheme="minorHAnsi"/>
              <w:noProof/>
              <w:sz w:val="24"/>
              <w:lang w:eastAsia="en-GB"/>
            </w:rPr>
          </w:pPr>
          <w:hyperlink w:anchor="_Toc85031249" w:history="1">
            <w:r w:rsidR="003078BE" w:rsidRPr="00D9777D">
              <w:rPr>
                <w:rStyle w:val="Hyperlink"/>
                <w:noProof/>
                <w14:scene3d>
                  <w14:camera w14:prst="orthographicFront"/>
                  <w14:lightRig w14:rig="threePt" w14:dir="t">
                    <w14:rot w14:lat="0" w14:lon="0" w14:rev="0"/>
                  </w14:lightRig>
                </w14:scene3d>
              </w:rPr>
              <w:t>2.</w:t>
            </w:r>
            <w:r w:rsidR="003078BE">
              <w:rPr>
                <w:rFonts w:asciiTheme="minorHAnsi" w:hAnsiTheme="minorHAnsi"/>
                <w:noProof/>
                <w:sz w:val="24"/>
                <w:lang w:eastAsia="en-GB"/>
              </w:rPr>
              <w:tab/>
            </w:r>
            <w:r w:rsidR="003078BE" w:rsidRPr="00D9777D">
              <w:rPr>
                <w:rStyle w:val="Hyperlink"/>
                <w:noProof/>
              </w:rPr>
              <w:t>Information and data integrity</w:t>
            </w:r>
            <w:r w:rsidR="003078BE">
              <w:rPr>
                <w:noProof/>
                <w:webHidden/>
              </w:rPr>
              <w:tab/>
            </w:r>
            <w:r w:rsidR="003078BE">
              <w:rPr>
                <w:noProof/>
                <w:webHidden/>
              </w:rPr>
              <w:fldChar w:fldCharType="begin"/>
            </w:r>
            <w:r w:rsidR="003078BE">
              <w:rPr>
                <w:noProof/>
                <w:webHidden/>
              </w:rPr>
              <w:instrText xml:space="preserve"> PAGEREF _Toc85031249 \h </w:instrText>
            </w:r>
            <w:r w:rsidR="003078BE">
              <w:rPr>
                <w:noProof/>
                <w:webHidden/>
              </w:rPr>
            </w:r>
            <w:r w:rsidR="003078BE">
              <w:rPr>
                <w:noProof/>
                <w:webHidden/>
              </w:rPr>
              <w:fldChar w:fldCharType="separate"/>
            </w:r>
            <w:r w:rsidR="00E50032">
              <w:rPr>
                <w:noProof/>
                <w:webHidden/>
              </w:rPr>
              <w:t>25</w:t>
            </w:r>
            <w:r w:rsidR="003078BE">
              <w:rPr>
                <w:noProof/>
                <w:webHidden/>
              </w:rPr>
              <w:fldChar w:fldCharType="end"/>
            </w:r>
          </w:hyperlink>
        </w:p>
        <w:p w14:paraId="11CCE7DD" w14:textId="2340D931" w:rsidR="003078BE" w:rsidRDefault="00312E88">
          <w:pPr>
            <w:pStyle w:val="TOC2"/>
            <w:rPr>
              <w:rFonts w:asciiTheme="minorHAnsi" w:hAnsiTheme="minorHAnsi"/>
              <w:noProof/>
              <w:sz w:val="24"/>
              <w:lang w:eastAsia="en-GB"/>
            </w:rPr>
          </w:pPr>
          <w:hyperlink w:anchor="_Toc85031250" w:history="1">
            <w:r w:rsidR="003078BE" w:rsidRPr="00D9777D">
              <w:rPr>
                <w:rStyle w:val="Hyperlink"/>
                <w:noProof/>
                <w14:scene3d>
                  <w14:camera w14:prst="orthographicFront"/>
                  <w14:lightRig w14:rig="threePt" w14:dir="t">
                    <w14:rot w14:lat="0" w14:lon="0" w14:rev="0"/>
                  </w14:lightRig>
                </w14:scene3d>
              </w:rPr>
              <w:t>3.</w:t>
            </w:r>
            <w:r w:rsidR="003078BE">
              <w:rPr>
                <w:rFonts w:asciiTheme="minorHAnsi" w:hAnsiTheme="minorHAnsi"/>
                <w:noProof/>
                <w:sz w:val="24"/>
                <w:lang w:eastAsia="en-GB"/>
              </w:rPr>
              <w:tab/>
            </w:r>
            <w:r w:rsidR="003078BE" w:rsidRPr="00D9777D">
              <w:rPr>
                <w:rStyle w:val="Hyperlink"/>
                <w:noProof/>
              </w:rPr>
              <w:t>Modelling approach</w:t>
            </w:r>
            <w:r w:rsidR="003078BE">
              <w:rPr>
                <w:noProof/>
                <w:webHidden/>
              </w:rPr>
              <w:tab/>
            </w:r>
            <w:r w:rsidR="003078BE">
              <w:rPr>
                <w:noProof/>
                <w:webHidden/>
              </w:rPr>
              <w:fldChar w:fldCharType="begin"/>
            </w:r>
            <w:r w:rsidR="003078BE">
              <w:rPr>
                <w:noProof/>
                <w:webHidden/>
              </w:rPr>
              <w:instrText xml:space="preserve"> PAGEREF _Toc85031250 \h </w:instrText>
            </w:r>
            <w:r w:rsidR="003078BE">
              <w:rPr>
                <w:noProof/>
                <w:webHidden/>
              </w:rPr>
            </w:r>
            <w:r w:rsidR="003078BE">
              <w:rPr>
                <w:noProof/>
                <w:webHidden/>
              </w:rPr>
              <w:fldChar w:fldCharType="separate"/>
            </w:r>
            <w:r w:rsidR="00E50032">
              <w:rPr>
                <w:noProof/>
                <w:webHidden/>
              </w:rPr>
              <w:t>27</w:t>
            </w:r>
            <w:r w:rsidR="003078BE">
              <w:rPr>
                <w:noProof/>
                <w:webHidden/>
              </w:rPr>
              <w:fldChar w:fldCharType="end"/>
            </w:r>
          </w:hyperlink>
        </w:p>
        <w:p w14:paraId="7CE7B87D" w14:textId="637F2EAA" w:rsidR="003078BE" w:rsidRDefault="00312E88">
          <w:pPr>
            <w:pStyle w:val="TOC2"/>
            <w:rPr>
              <w:rFonts w:asciiTheme="minorHAnsi" w:hAnsiTheme="minorHAnsi"/>
              <w:noProof/>
              <w:sz w:val="24"/>
              <w:lang w:eastAsia="en-GB"/>
            </w:rPr>
          </w:pPr>
          <w:hyperlink w:anchor="_Toc85031251" w:history="1">
            <w:r w:rsidR="003078BE" w:rsidRPr="00D9777D">
              <w:rPr>
                <w:rStyle w:val="Hyperlink"/>
                <w:noProof/>
                <w14:scene3d>
                  <w14:camera w14:prst="orthographicFront"/>
                  <w14:lightRig w14:rig="threePt" w14:dir="t">
                    <w14:rot w14:lat="0" w14:lon="0" w14:rev="0"/>
                  </w14:lightRig>
                </w14:scene3d>
              </w:rPr>
              <w:t>4.</w:t>
            </w:r>
            <w:r w:rsidR="003078BE">
              <w:rPr>
                <w:rFonts w:asciiTheme="minorHAnsi" w:hAnsiTheme="minorHAnsi"/>
                <w:noProof/>
                <w:sz w:val="24"/>
                <w:lang w:eastAsia="en-GB"/>
              </w:rPr>
              <w:tab/>
            </w:r>
            <w:r w:rsidR="003078BE" w:rsidRPr="00D9777D">
              <w:rPr>
                <w:rStyle w:val="Hyperlink"/>
                <w:noProof/>
              </w:rPr>
              <w:t>Scheme experience</w:t>
            </w:r>
            <w:r w:rsidR="003078BE">
              <w:rPr>
                <w:noProof/>
                <w:webHidden/>
              </w:rPr>
              <w:tab/>
            </w:r>
            <w:r w:rsidR="003078BE">
              <w:rPr>
                <w:noProof/>
                <w:webHidden/>
              </w:rPr>
              <w:fldChar w:fldCharType="begin"/>
            </w:r>
            <w:r w:rsidR="003078BE">
              <w:rPr>
                <w:noProof/>
                <w:webHidden/>
              </w:rPr>
              <w:instrText xml:space="preserve"> PAGEREF _Toc85031251 \h </w:instrText>
            </w:r>
            <w:r w:rsidR="003078BE">
              <w:rPr>
                <w:noProof/>
                <w:webHidden/>
              </w:rPr>
            </w:r>
            <w:r w:rsidR="003078BE">
              <w:rPr>
                <w:noProof/>
                <w:webHidden/>
              </w:rPr>
              <w:fldChar w:fldCharType="separate"/>
            </w:r>
            <w:r w:rsidR="00E50032">
              <w:rPr>
                <w:noProof/>
                <w:webHidden/>
              </w:rPr>
              <w:t>30</w:t>
            </w:r>
            <w:r w:rsidR="003078BE">
              <w:rPr>
                <w:noProof/>
                <w:webHidden/>
              </w:rPr>
              <w:fldChar w:fldCharType="end"/>
            </w:r>
          </w:hyperlink>
        </w:p>
        <w:p w14:paraId="609D7DE2" w14:textId="029411D2" w:rsidR="003078BE" w:rsidRDefault="00312E88">
          <w:pPr>
            <w:pStyle w:val="TOC3"/>
            <w:rPr>
              <w:rFonts w:asciiTheme="minorHAnsi" w:hAnsiTheme="minorHAnsi"/>
              <w:noProof/>
              <w:sz w:val="24"/>
              <w:lang w:eastAsia="en-GB"/>
            </w:rPr>
          </w:pPr>
          <w:hyperlink w:anchor="_Toc85031252" w:history="1">
            <w:r w:rsidR="003078BE" w:rsidRPr="00D9777D">
              <w:rPr>
                <w:rStyle w:val="Hyperlink"/>
                <w:noProof/>
              </w:rPr>
              <w:t>4.1</w:t>
            </w:r>
            <w:r w:rsidR="003078BE">
              <w:rPr>
                <w:rFonts w:asciiTheme="minorHAnsi" w:hAnsiTheme="minorHAnsi"/>
                <w:noProof/>
                <w:sz w:val="24"/>
                <w:lang w:eastAsia="en-GB"/>
              </w:rPr>
              <w:tab/>
            </w:r>
            <w:r w:rsidR="003078BE" w:rsidRPr="00D9777D">
              <w:rPr>
                <w:rStyle w:val="Hyperlink"/>
                <w:noProof/>
              </w:rPr>
              <w:t>Participant numbers</w:t>
            </w:r>
            <w:r w:rsidR="003078BE">
              <w:rPr>
                <w:noProof/>
                <w:webHidden/>
              </w:rPr>
              <w:tab/>
            </w:r>
            <w:r w:rsidR="003078BE">
              <w:rPr>
                <w:noProof/>
                <w:webHidden/>
              </w:rPr>
              <w:fldChar w:fldCharType="begin"/>
            </w:r>
            <w:r w:rsidR="003078BE">
              <w:rPr>
                <w:noProof/>
                <w:webHidden/>
              </w:rPr>
              <w:instrText xml:space="preserve"> PAGEREF _Toc85031252 \h </w:instrText>
            </w:r>
            <w:r w:rsidR="003078BE">
              <w:rPr>
                <w:noProof/>
                <w:webHidden/>
              </w:rPr>
            </w:r>
            <w:r w:rsidR="003078BE">
              <w:rPr>
                <w:noProof/>
                <w:webHidden/>
              </w:rPr>
              <w:fldChar w:fldCharType="separate"/>
            </w:r>
            <w:r w:rsidR="00E50032">
              <w:rPr>
                <w:noProof/>
                <w:webHidden/>
              </w:rPr>
              <w:t>30</w:t>
            </w:r>
            <w:r w:rsidR="003078BE">
              <w:rPr>
                <w:noProof/>
                <w:webHidden/>
              </w:rPr>
              <w:fldChar w:fldCharType="end"/>
            </w:r>
          </w:hyperlink>
        </w:p>
        <w:p w14:paraId="14F3254A" w14:textId="0EF022AC" w:rsidR="003078BE" w:rsidRDefault="00312E88">
          <w:pPr>
            <w:pStyle w:val="TOC3"/>
            <w:rPr>
              <w:rFonts w:asciiTheme="minorHAnsi" w:hAnsiTheme="minorHAnsi"/>
              <w:noProof/>
              <w:sz w:val="24"/>
              <w:lang w:eastAsia="en-GB"/>
            </w:rPr>
          </w:pPr>
          <w:hyperlink w:anchor="_Toc85031253" w:history="1">
            <w:r w:rsidR="003078BE" w:rsidRPr="00D9777D">
              <w:rPr>
                <w:rStyle w:val="Hyperlink"/>
                <w:noProof/>
              </w:rPr>
              <w:t>4.2</w:t>
            </w:r>
            <w:r w:rsidR="003078BE">
              <w:rPr>
                <w:rFonts w:asciiTheme="minorHAnsi" w:hAnsiTheme="minorHAnsi"/>
                <w:noProof/>
                <w:sz w:val="24"/>
                <w:lang w:eastAsia="en-GB"/>
              </w:rPr>
              <w:tab/>
            </w:r>
            <w:r w:rsidR="003078BE" w:rsidRPr="00D9777D">
              <w:rPr>
                <w:rStyle w:val="Hyperlink"/>
                <w:noProof/>
              </w:rPr>
              <w:t>Average payment per participant</w:t>
            </w:r>
            <w:r w:rsidR="003078BE">
              <w:rPr>
                <w:noProof/>
                <w:webHidden/>
              </w:rPr>
              <w:tab/>
            </w:r>
            <w:r w:rsidR="003078BE">
              <w:rPr>
                <w:noProof/>
                <w:webHidden/>
              </w:rPr>
              <w:fldChar w:fldCharType="begin"/>
            </w:r>
            <w:r w:rsidR="003078BE">
              <w:rPr>
                <w:noProof/>
                <w:webHidden/>
              </w:rPr>
              <w:instrText xml:space="preserve"> PAGEREF _Toc85031253 \h </w:instrText>
            </w:r>
            <w:r w:rsidR="003078BE">
              <w:rPr>
                <w:noProof/>
                <w:webHidden/>
              </w:rPr>
            </w:r>
            <w:r w:rsidR="003078BE">
              <w:rPr>
                <w:noProof/>
                <w:webHidden/>
              </w:rPr>
              <w:fldChar w:fldCharType="separate"/>
            </w:r>
            <w:r w:rsidR="00E50032">
              <w:rPr>
                <w:noProof/>
                <w:webHidden/>
              </w:rPr>
              <w:t>40</w:t>
            </w:r>
            <w:r w:rsidR="003078BE">
              <w:rPr>
                <w:noProof/>
                <w:webHidden/>
              </w:rPr>
              <w:fldChar w:fldCharType="end"/>
            </w:r>
          </w:hyperlink>
        </w:p>
        <w:p w14:paraId="4EEA47B9" w14:textId="12413D7D" w:rsidR="003078BE" w:rsidRDefault="00312E88">
          <w:pPr>
            <w:pStyle w:val="TOC3"/>
            <w:rPr>
              <w:rFonts w:asciiTheme="minorHAnsi" w:hAnsiTheme="minorHAnsi"/>
              <w:noProof/>
              <w:sz w:val="24"/>
              <w:lang w:eastAsia="en-GB"/>
            </w:rPr>
          </w:pPr>
          <w:hyperlink w:anchor="_Toc85031254" w:history="1">
            <w:r w:rsidR="003078BE" w:rsidRPr="00D9777D">
              <w:rPr>
                <w:rStyle w:val="Hyperlink"/>
                <w:noProof/>
              </w:rPr>
              <w:t>4.3</w:t>
            </w:r>
            <w:r w:rsidR="003078BE">
              <w:rPr>
                <w:rFonts w:asciiTheme="minorHAnsi" w:hAnsiTheme="minorHAnsi"/>
                <w:noProof/>
                <w:sz w:val="24"/>
                <w:lang w:eastAsia="en-GB"/>
              </w:rPr>
              <w:tab/>
            </w:r>
            <w:r w:rsidR="003078BE" w:rsidRPr="00D9777D">
              <w:rPr>
                <w:rStyle w:val="Hyperlink"/>
                <w:noProof/>
              </w:rPr>
              <w:t>Total payments</w:t>
            </w:r>
            <w:r w:rsidR="003078BE">
              <w:rPr>
                <w:noProof/>
                <w:webHidden/>
              </w:rPr>
              <w:tab/>
            </w:r>
            <w:r w:rsidR="003078BE">
              <w:rPr>
                <w:noProof/>
                <w:webHidden/>
              </w:rPr>
              <w:fldChar w:fldCharType="begin"/>
            </w:r>
            <w:r w:rsidR="003078BE">
              <w:rPr>
                <w:noProof/>
                <w:webHidden/>
              </w:rPr>
              <w:instrText xml:space="preserve"> PAGEREF _Toc85031254 \h </w:instrText>
            </w:r>
            <w:r w:rsidR="003078BE">
              <w:rPr>
                <w:noProof/>
                <w:webHidden/>
              </w:rPr>
            </w:r>
            <w:r w:rsidR="003078BE">
              <w:rPr>
                <w:noProof/>
                <w:webHidden/>
              </w:rPr>
              <w:fldChar w:fldCharType="separate"/>
            </w:r>
            <w:r w:rsidR="00E50032">
              <w:rPr>
                <w:noProof/>
                <w:webHidden/>
              </w:rPr>
              <w:t>46</w:t>
            </w:r>
            <w:r w:rsidR="003078BE">
              <w:rPr>
                <w:noProof/>
                <w:webHidden/>
              </w:rPr>
              <w:fldChar w:fldCharType="end"/>
            </w:r>
          </w:hyperlink>
        </w:p>
        <w:p w14:paraId="0CCE54C2" w14:textId="20F20F6E" w:rsidR="003078BE" w:rsidRDefault="00312E88">
          <w:pPr>
            <w:pStyle w:val="TOC3"/>
            <w:rPr>
              <w:rFonts w:asciiTheme="minorHAnsi" w:hAnsiTheme="minorHAnsi"/>
              <w:noProof/>
              <w:sz w:val="24"/>
              <w:lang w:eastAsia="en-GB"/>
            </w:rPr>
          </w:pPr>
          <w:hyperlink w:anchor="_Toc85031255" w:history="1">
            <w:r w:rsidR="003078BE" w:rsidRPr="00D9777D">
              <w:rPr>
                <w:rStyle w:val="Hyperlink"/>
                <w:noProof/>
              </w:rPr>
              <w:t>4.4</w:t>
            </w:r>
            <w:r w:rsidR="003078BE">
              <w:rPr>
                <w:rFonts w:asciiTheme="minorHAnsi" w:hAnsiTheme="minorHAnsi"/>
                <w:noProof/>
                <w:sz w:val="24"/>
                <w:lang w:eastAsia="en-GB"/>
              </w:rPr>
              <w:tab/>
            </w:r>
            <w:r w:rsidR="003078BE" w:rsidRPr="00D9777D">
              <w:rPr>
                <w:rStyle w:val="Hyperlink"/>
                <w:noProof/>
              </w:rPr>
              <w:t>Actual vs Expected from 2020-21 PBS Estimate</w:t>
            </w:r>
            <w:r w:rsidR="003078BE">
              <w:rPr>
                <w:noProof/>
                <w:webHidden/>
              </w:rPr>
              <w:tab/>
            </w:r>
            <w:r w:rsidR="003078BE">
              <w:rPr>
                <w:noProof/>
                <w:webHidden/>
              </w:rPr>
              <w:fldChar w:fldCharType="begin"/>
            </w:r>
            <w:r w:rsidR="003078BE">
              <w:rPr>
                <w:noProof/>
                <w:webHidden/>
              </w:rPr>
              <w:instrText xml:space="preserve"> PAGEREF _Toc85031255 \h </w:instrText>
            </w:r>
            <w:r w:rsidR="003078BE">
              <w:rPr>
                <w:noProof/>
                <w:webHidden/>
              </w:rPr>
            </w:r>
            <w:r w:rsidR="003078BE">
              <w:rPr>
                <w:noProof/>
                <w:webHidden/>
              </w:rPr>
              <w:fldChar w:fldCharType="separate"/>
            </w:r>
            <w:r w:rsidR="00E50032">
              <w:rPr>
                <w:noProof/>
                <w:webHidden/>
              </w:rPr>
              <w:t>49</w:t>
            </w:r>
            <w:r w:rsidR="003078BE">
              <w:rPr>
                <w:noProof/>
                <w:webHidden/>
              </w:rPr>
              <w:fldChar w:fldCharType="end"/>
            </w:r>
          </w:hyperlink>
        </w:p>
        <w:p w14:paraId="62965411" w14:textId="0FE35C91" w:rsidR="003078BE" w:rsidRDefault="00312E88">
          <w:pPr>
            <w:pStyle w:val="TOC3"/>
            <w:rPr>
              <w:rFonts w:asciiTheme="minorHAnsi" w:hAnsiTheme="minorHAnsi"/>
              <w:noProof/>
              <w:sz w:val="24"/>
              <w:lang w:eastAsia="en-GB"/>
            </w:rPr>
          </w:pPr>
          <w:hyperlink w:anchor="_Toc85031256" w:history="1">
            <w:r w:rsidR="003078BE" w:rsidRPr="00D9777D">
              <w:rPr>
                <w:rStyle w:val="Hyperlink"/>
                <w:noProof/>
              </w:rPr>
              <w:t>4.5</w:t>
            </w:r>
            <w:r w:rsidR="003078BE">
              <w:rPr>
                <w:rFonts w:asciiTheme="minorHAnsi" w:hAnsiTheme="minorHAnsi"/>
                <w:noProof/>
                <w:sz w:val="24"/>
                <w:lang w:eastAsia="en-GB"/>
              </w:rPr>
              <w:tab/>
            </w:r>
            <w:r w:rsidR="003078BE" w:rsidRPr="00D9777D">
              <w:rPr>
                <w:rStyle w:val="Hyperlink"/>
                <w:noProof/>
              </w:rPr>
              <w:t>Historic utilisation</w:t>
            </w:r>
            <w:r w:rsidR="003078BE">
              <w:rPr>
                <w:noProof/>
                <w:webHidden/>
              </w:rPr>
              <w:tab/>
            </w:r>
            <w:r w:rsidR="003078BE">
              <w:rPr>
                <w:noProof/>
                <w:webHidden/>
              </w:rPr>
              <w:fldChar w:fldCharType="begin"/>
            </w:r>
            <w:r w:rsidR="003078BE">
              <w:rPr>
                <w:noProof/>
                <w:webHidden/>
              </w:rPr>
              <w:instrText xml:space="preserve"> PAGEREF _Toc85031256 \h </w:instrText>
            </w:r>
            <w:r w:rsidR="003078BE">
              <w:rPr>
                <w:noProof/>
                <w:webHidden/>
              </w:rPr>
            </w:r>
            <w:r w:rsidR="003078BE">
              <w:rPr>
                <w:noProof/>
                <w:webHidden/>
              </w:rPr>
              <w:fldChar w:fldCharType="separate"/>
            </w:r>
            <w:r w:rsidR="00E50032">
              <w:rPr>
                <w:noProof/>
                <w:webHidden/>
              </w:rPr>
              <w:t>50</w:t>
            </w:r>
            <w:r w:rsidR="003078BE">
              <w:rPr>
                <w:noProof/>
                <w:webHidden/>
              </w:rPr>
              <w:fldChar w:fldCharType="end"/>
            </w:r>
          </w:hyperlink>
        </w:p>
        <w:p w14:paraId="3C23F5DB" w14:textId="0C9F989A" w:rsidR="003078BE" w:rsidRDefault="00312E88">
          <w:pPr>
            <w:pStyle w:val="TOC2"/>
            <w:rPr>
              <w:rFonts w:asciiTheme="minorHAnsi" w:hAnsiTheme="minorHAnsi"/>
              <w:noProof/>
              <w:sz w:val="24"/>
              <w:lang w:eastAsia="en-GB"/>
            </w:rPr>
          </w:pPr>
          <w:hyperlink w:anchor="_Toc85031257" w:history="1">
            <w:r w:rsidR="003078BE" w:rsidRPr="00D9777D">
              <w:rPr>
                <w:rStyle w:val="Hyperlink"/>
                <w:noProof/>
                <w14:scene3d>
                  <w14:camera w14:prst="orthographicFront"/>
                  <w14:lightRig w14:rig="threePt" w14:dir="t">
                    <w14:rot w14:lat="0" w14:lon="0" w14:rev="0"/>
                  </w14:lightRig>
                </w14:scene3d>
              </w:rPr>
              <w:t>5.</w:t>
            </w:r>
            <w:r w:rsidR="003078BE">
              <w:rPr>
                <w:rFonts w:asciiTheme="minorHAnsi" w:hAnsiTheme="minorHAnsi"/>
                <w:noProof/>
                <w:sz w:val="24"/>
                <w:lang w:eastAsia="en-GB"/>
              </w:rPr>
              <w:tab/>
            </w:r>
            <w:r w:rsidR="003078BE" w:rsidRPr="00D9777D">
              <w:rPr>
                <w:rStyle w:val="Hyperlink"/>
                <w:noProof/>
              </w:rPr>
              <w:t>Projections</w:t>
            </w:r>
            <w:r w:rsidR="003078BE">
              <w:rPr>
                <w:noProof/>
                <w:webHidden/>
              </w:rPr>
              <w:tab/>
            </w:r>
            <w:r w:rsidR="003078BE">
              <w:rPr>
                <w:noProof/>
                <w:webHidden/>
              </w:rPr>
              <w:fldChar w:fldCharType="begin"/>
            </w:r>
            <w:r w:rsidR="003078BE">
              <w:rPr>
                <w:noProof/>
                <w:webHidden/>
              </w:rPr>
              <w:instrText xml:space="preserve"> PAGEREF _Toc85031257 \h </w:instrText>
            </w:r>
            <w:r w:rsidR="003078BE">
              <w:rPr>
                <w:noProof/>
                <w:webHidden/>
              </w:rPr>
            </w:r>
            <w:r w:rsidR="003078BE">
              <w:rPr>
                <w:noProof/>
                <w:webHidden/>
              </w:rPr>
              <w:fldChar w:fldCharType="separate"/>
            </w:r>
            <w:r w:rsidR="00E50032">
              <w:rPr>
                <w:noProof/>
                <w:webHidden/>
              </w:rPr>
              <w:t>53</w:t>
            </w:r>
            <w:r w:rsidR="003078BE">
              <w:rPr>
                <w:noProof/>
                <w:webHidden/>
              </w:rPr>
              <w:fldChar w:fldCharType="end"/>
            </w:r>
          </w:hyperlink>
        </w:p>
        <w:p w14:paraId="4A9B98B1" w14:textId="6BE32BB1" w:rsidR="003078BE" w:rsidRDefault="00312E88">
          <w:pPr>
            <w:pStyle w:val="TOC3"/>
            <w:rPr>
              <w:rFonts w:asciiTheme="minorHAnsi" w:hAnsiTheme="minorHAnsi"/>
              <w:noProof/>
              <w:sz w:val="24"/>
              <w:lang w:eastAsia="en-GB"/>
            </w:rPr>
          </w:pPr>
          <w:hyperlink w:anchor="_Toc85031258" w:history="1">
            <w:r w:rsidR="003078BE" w:rsidRPr="00D9777D">
              <w:rPr>
                <w:rStyle w:val="Hyperlink"/>
                <w:noProof/>
              </w:rPr>
              <w:t>5.1</w:t>
            </w:r>
            <w:r w:rsidR="003078BE">
              <w:rPr>
                <w:rFonts w:asciiTheme="minorHAnsi" w:hAnsiTheme="minorHAnsi"/>
                <w:noProof/>
                <w:sz w:val="24"/>
                <w:lang w:eastAsia="en-GB"/>
              </w:rPr>
              <w:tab/>
            </w:r>
            <w:r w:rsidR="003078BE" w:rsidRPr="00D9777D">
              <w:rPr>
                <w:rStyle w:val="Hyperlink"/>
                <w:noProof/>
              </w:rPr>
              <w:t>Total participant cost projections</w:t>
            </w:r>
            <w:r w:rsidR="003078BE">
              <w:rPr>
                <w:noProof/>
                <w:webHidden/>
              </w:rPr>
              <w:tab/>
            </w:r>
            <w:r w:rsidR="003078BE">
              <w:rPr>
                <w:noProof/>
                <w:webHidden/>
              </w:rPr>
              <w:fldChar w:fldCharType="begin"/>
            </w:r>
            <w:r w:rsidR="003078BE">
              <w:rPr>
                <w:noProof/>
                <w:webHidden/>
              </w:rPr>
              <w:instrText xml:space="preserve"> PAGEREF _Toc85031258 \h </w:instrText>
            </w:r>
            <w:r w:rsidR="003078BE">
              <w:rPr>
                <w:noProof/>
                <w:webHidden/>
              </w:rPr>
            </w:r>
            <w:r w:rsidR="003078BE">
              <w:rPr>
                <w:noProof/>
                <w:webHidden/>
              </w:rPr>
              <w:fldChar w:fldCharType="separate"/>
            </w:r>
            <w:r w:rsidR="00E50032">
              <w:rPr>
                <w:noProof/>
                <w:webHidden/>
              </w:rPr>
              <w:t>53</w:t>
            </w:r>
            <w:r w:rsidR="003078BE">
              <w:rPr>
                <w:noProof/>
                <w:webHidden/>
              </w:rPr>
              <w:fldChar w:fldCharType="end"/>
            </w:r>
          </w:hyperlink>
        </w:p>
        <w:p w14:paraId="4E3D98BD" w14:textId="55900DA6" w:rsidR="003078BE" w:rsidRDefault="00312E88">
          <w:pPr>
            <w:pStyle w:val="TOC3"/>
            <w:rPr>
              <w:rFonts w:asciiTheme="minorHAnsi" w:hAnsiTheme="minorHAnsi"/>
              <w:noProof/>
              <w:sz w:val="24"/>
              <w:lang w:eastAsia="en-GB"/>
            </w:rPr>
          </w:pPr>
          <w:hyperlink w:anchor="_Toc85031259" w:history="1">
            <w:r w:rsidR="003078BE" w:rsidRPr="00D9777D">
              <w:rPr>
                <w:rStyle w:val="Hyperlink"/>
                <w:noProof/>
              </w:rPr>
              <w:t>5.2</w:t>
            </w:r>
            <w:r w:rsidR="003078BE">
              <w:rPr>
                <w:rFonts w:asciiTheme="minorHAnsi" w:hAnsiTheme="minorHAnsi"/>
                <w:noProof/>
                <w:sz w:val="24"/>
                <w:lang w:eastAsia="en-GB"/>
              </w:rPr>
              <w:tab/>
            </w:r>
            <w:r w:rsidR="003078BE" w:rsidRPr="00D9777D">
              <w:rPr>
                <w:rStyle w:val="Hyperlink"/>
                <w:noProof/>
              </w:rPr>
              <w:t>Comparison with previous AFSR</w:t>
            </w:r>
            <w:r w:rsidR="003078BE">
              <w:rPr>
                <w:noProof/>
                <w:webHidden/>
              </w:rPr>
              <w:tab/>
            </w:r>
            <w:r w:rsidR="003078BE">
              <w:rPr>
                <w:noProof/>
                <w:webHidden/>
              </w:rPr>
              <w:fldChar w:fldCharType="begin"/>
            </w:r>
            <w:r w:rsidR="003078BE">
              <w:rPr>
                <w:noProof/>
                <w:webHidden/>
              </w:rPr>
              <w:instrText xml:space="preserve"> PAGEREF _Toc85031259 \h </w:instrText>
            </w:r>
            <w:r w:rsidR="003078BE">
              <w:rPr>
                <w:noProof/>
                <w:webHidden/>
              </w:rPr>
            </w:r>
            <w:r w:rsidR="003078BE">
              <w:rPr>
                <w:noProof/>
                <w:webHidden/>
              </w:rPr>
              <w:fldChar w:fldCharType="separate"/>
            </w:r>
            <w:r w:rsidR="00E50032">
              <w:rPr>
                <w:noProof/>
                <w:webHidden/>
              </w:rPr>
              <w:t>55</w:t>
            </w:r>
            <w:r w:rsidR="003078BE">
              <w:rPr>
                <w:noProof/>
                <w:webHidden/>
              </w:rPr>
              <w:fldChar w:fldCharType="end"/>
            </w:r>
          </w:hyperlink>
        </w:p>
        <w:p w14:paraId="2C196DB8" w14:textId="4E242C72" w:rsidR="003078BE" w:rsidRDefault="00312E88">
          <w:pPr>
            <w:pStyle w:val="TOC3"/>
            <w:rPr>
              <w:rFonts w:asciiTheme="minorHAnsi" w:hAnsiTheme="minorHAnsi"/>
              <w:noProof/>
              <w:sz w:val="24"/>
              <w:lang w:eastAsia="en-GB"/>
            </w:rPr>
          </w:pPr>
          <w:hyperlink w:anchor="_Toc85031260" w:history="1">
            <w:r w:rsidR="003078BE" w:rsidRPr="00D9777D">
              <w:rPr>
                <w:rStyle w:val="Hyperlink"/>
                <w:noProof/>
              </w:rPr>
              <w:t>5.3</w:t>
            </w:r>
            <w:r w:rsidR="003078BE">
              <w:rPr>
                <w:rFonts w:asciiTheme="minorHAnsi" w:hAnsiTheme="minorHAnsi"/>
                <w:noProof/>
                <w:sz w:val="24"/>
                <w:lang w:eastAsia="en-GB"/>
              </w:rPr>
              <w:tab/>
            </w:r>
            <w:r w:rsidR="003078BE" w:rsidRPr="00D9777D">
              <w:rPr>
                <w:rStyle w:val="Hyperlink"/>
                <w:noProof/>
              </w:rPr>
              <w:t>Participant projections</w:t>
            </w:r>
            <w:r w:rsidR="003078BE">
              <w:rPr>
                <w:noProof/>
                <w:webHidden/>
              </w:rPr>
              <w:tab/>
            </w:r>
            <w:r w:rsidR="003078BE">
              <w:rPr>
                <w:noProof/>
                <w:webHidden/>
              </w:rPr>
              <w:fldChar w:fldCharType="begin"/>
            </w:r>
            <w:r w:rsidR="003078BE">
              <w:rPr>
                <w:noProof/>
                <w:webHidden/>
              </w:rPr>
              <w:instrText xml:space="preserve"> PAGEREF _Toc85031260 \h </w:instrText>
            </w:r>
            <w:r w:rsidR="003078BE">
              <w:rPr>
                <w:noProof/>
                <w:webHidden/>
              </w:rPr>
            </w:r>
            <w:r w:rsidR="003078BE">
              <w:rPr>
                <w:noProof/>
                <w:webHidden/>
              </w:rPr>
              <w:fldChar w:fldCharType="separate"/>
            </w:r>
            <w:r w:rsidR="00E50032">
              <w:rPr>
                <w:noProof/>
                <w:webHidden/>
              </w:rPr>
              <w:t>56</w:t>
            </w:r>
            <w:r w:rsidR="003078BE">
              <w:rPr>
                <w:noProof/>
                <w:webHidden/>
              </w:rPr>
              <w:fldChar w:fldCharType="end"/>
            </w:r>
          </w:hyperlink>
        </w:p>
        <w:p w14:paraId="6692E443" w14:textId="4B38B86E" w:rsidR="003078BE" w:rsidRDefault="00312E88">
          <w:pPr>
            <w:pStyle w:val="TOC3"/>
            <w:rPr>
              <w:rFonts w:asciiTheme="minorHAnsi" w:hAnsiTheme="minorHAnsi"/>
              <w:noProof/>
              <w:sz w:val="24"/>
              <w:lang w:eastAsia="en-GB"/>
            </w:rPr>
          </w:pPr>
          <w:hyperlink w:anchor="_Toc85031261" w:history="1">
            <w:r w:rsidR="003078BE" w:rsidRPr="00D9777D">
              <w:rPr>
                <w:rStyle w:val="Hyperlink"/>
                <w:noProof/>
              </w:rPr>
              <w:t>5.4</w:t>
            </w:r>
            <w:r w:rsidR="003078BE">
              <w:rPr>
                <w:rFonts w:asciiTheme="minorHAnsi" w:hAnsiTheme="minorHAnsi"/>
                <w:noProof/>
                <w:sz w:val="24"/>
                <w:lang w:eastAsia="en-GB"/>
              </w:rPr>
              <w:tab/>
            </w:r>
            <w:r w:rsidR="003078BE" w:rsidRPr="00D9777D">
              <w:rPr>
                <w:rStyle w:val="Hyperlink"/>
                <w:noProof/>
              </w:rPr>
              <w:t>Average payment assumptions</w:t>
            </w:r>
            <w:r w:rsidR="003078BE">
              <w:rPr>
                <w:noProof/>
                <w:webHidden/>
              </w:rPr>
              <w:tab/>
            </w:r>
            <w:r w:rsidR="003078BE">
              <w:rPr>
                <w:noProof/>
                <w:webHidden/>
              </w:rPr>
              <w:fldChar w:fldCharType="begin"/>
            </w:r>
            <w:r w:rsidR="003078BE">
              <w:rPr>
                <w:noProof/>
                <w:webHidden/>
              </w:rPr>
              <w:instrText xml:space="preserve"> PAGEREF _Toc85031261 \h </w:instrText>
            </w:r>
            <w:r w:rsidR="003078BE">
              <w:rPr>
                <w:noProof/>
                <w:webHidden/>
              </w:rPr>
            </w:r>
            <w:r w:rsidR="003078BE">
              <w:rPr>
                <w:noProof/>
                <w:webHidden/>
              </w:rPr>
              <w:fldChar w:fldCharType="separate"/>
            </w:r>
            <w:r w:rsidR="00E50032">
              <w:rPr>
                <w:noProof/>
                <w:webHidden/>
              </w:rPr>
              <w:t>63</w:t>
            </w:r>
            <w:r w:rsidR="003078BE">
              <w:rPr>
                <w:noProof/>
                <w:webHidden/>
              </w:rPr>
              <w:fldChar w:fldCharType="end"/>
            </w:r>
          </w:hyperlink>
        </w:p>
        <w:p w14:paraId="2C4BD5ED" w14:textId="05DD8E24" w:rsidR="003078BE" w:rsidRDefault="00312E88">
          <w:pPr>
            <w:pStyle w:val="TOC3"/>
            <w:rPr>
              <w:rFonts w:asciiTheme="minorHAnsi" w:hAnsiTheme="minorHAnsi"/>
              <w:noProof/>
              <w:sz w:val="24"/>
              <w:lang w:eastAsia="en-GB"/>
            </w:rPr>
          </w:pPr>
          <w:hyperlink w:anchor="_Toc85031262" w:history="1">
            <w:r w:rsidR="003078BE" w:rsidRPr="00D9777D">
              <w:rPr>
                <w:rStyle w:val="Hyperlink"/>
                <w:noProof/>
              </w:rPr>
              <w:t>5.5</w:t>
            </w:r>
            <w:r w:rsidR="003078BE">
              <w:rPr>
                <w:rFonts w:asciiTheme="minorHAnsi" w:hAnsiTheme="minorHAnsi"/>
                <w:noProof/>
                <w:sz w:val="24"/>
                <w:lang w:eastAsia="en-GB"/>
              </w:rPr>
              <w:tab/>
            </w:r>
            <w:r w:rsidR="003078BE" w:rsidRPr="00D9777D">
              <w:rPr>
                <w:rStyle w:val="Hyperlink"/>
                <w:noProof/>
              </w:rPr>
              <w:t>Inflation assumptions</w:t>
            </w:r>
            <w:r w:rsidR="003078BE">
              <w:rPr>
                <w:noProof/>
                <w:webHidden/>
              </w:rPr>
              <w:tab/>
            </w:r>
            <w:r w:rsidR="003078BE">
              <w:rPr>
                <w:noProof/>
                <w:webHidden/>
              </w:rPr>
              <w:fldChar w:fldCharType="begin"/>
            </w:r>
            <w:r w:rsidR="003078BE">
              <w:rPr>
                <w:noProof/>
                <w:webHidden/>
              </w:rPr>
              <w:instrText xml:space="preserve"> PAGEREF _Toc85031262 \h </w:instrText>
            </w:r>
            <w:r w:rsidR="003078BE">
              <w:rPr>
                <w:noProof/>
                <w:webHidden/>
              </w:rPr>
            </w:r>
            <w:r w:rsidR="003078BE">
              <w:rPr>
                <w:noProof/>
                <w:webHidden/>
              </w:rPr>
              <w:fldChar w:fldCharType="separate"/>
            </w:r>
            <w:r w:rsidR="00E50032">
              <w:rPr>
                <w:noProof/>
                <w:webHidden/>
              </w:rPr>
              <w:t>65</w:t>
            </w:r>
            <w:r w:rsidR="003078BE">
              <w:rPr>
                <w:noProof/>
                <w:webHidden/>
              </w:rPr>
              <w:fldChar w:fldCharType="end"/>
            </w:r>
          </w:hyperlink>
        </w:p>
        <w:p w14:paraId="745ABB0A" w14:textId="3FBEA75F" w:rsidR="003078BE" w:rsidRDefault="00312E88">
          <w:pPr>
            <w:pStyle w:val="TOC3"/>
            <w:rPr>
              <w:rFonts w:asciiTheme="minorHAnsi" w:hAnsiTheme="minorHAnsi"/>
              <w:noProof/>
              <w:sz w:val="24"/>
              <w:lang w:eastAsia="en-GB"/>
            </w:rPr>
          </w:pPr>
          <w:hyperlink w:anchor="_Toc85031263" w:history="1">
            <w:r w:rsidR="003078BE" w:rsidRPr="00D9777D">
              <w:rPr>
                <w:rStyle w:val="Hyperlink"/>
                <w:noProof/>
              </w:rPr>
              <w:t>5.6</w:t>
            </w:r>
            <w:r w:rsidR="003078BE">
              <w:rPr>
                <w:rFonts w:asciiTheme="minorHAnsi" w:hAnsiTheme="minorHAnsi"/>
                <w:noProof/>
                <w:sz w:val="24"/>
                <w:lang w:eastAsia="en-GB"/>
              </w:rPr>
              <w:tab/>
            </w:r>
            <w:r w:rsidR="003078BE" w:rsidRPr="00D9777D">
              <w:rPr>
                <w:rStyle w:val="Hyperlink"/>
                <w:noProof/>
              </w:rPr>
              <w:t>Operating expenses</w:t>
            </w:r>
            <w:r w:rsidR="003078BE">
              <w:rPr>
                <w:noProof/>
                <w:webHidden/>
              </w:rPr>
              <w:tab/>
            </w:r>
            <w:r w:rsidR="003078BE">
              <w:rPr>
                <w:noProof/>
                <w:webHidden/>
              </w:rPr>
              <w:fldChar w:fldCharType="begin"/>
            </w:r>
            <w:r w:rsidR="003078BE">
              <w:rPr>
                <w:noProof/>
                <w:webHidden/>
              </w:rPr>
              <w:instrText xml:space="preserve"> PAGEREF _Toc85031263 \h </w:instrText>
            </w:r>
            <w:r w:rsidR="003078BE">
              <w:rPr>
                <w:noProof/>
                <w:webHidden/>
              </w:rPr>
            </w:r>
            <w:r w:rsidR="003078BE">
              <w:rPr>
                <w:noProof/>
                <w:webHidden/>
              </w:rPr>
              <w:fldChar w:fldCharType="separate"/>
            </w:r>
            <w:r w:rsidR="00E50032">
              <w:rPr>
                <w:noProof/>
                <w:webHidden/>
              </w:rPr>
              <w:t>73</w:t>
            </w:r>
            <w:r w:rsidR="003078BE">
              <w:rPr>
                <w:noProof/>
                <w:webHidden/>
              </w:rPr>
              <w:fldChar w:fldCharType="end"/>
            </w:r>
          </w:hyperlink>
        </w:p>
        <w:p w14:paraId="57C65595" w14:textId="5CF2B0BE" w:rsidR="003078BE" w:rsidRDefault="00312E88">
          <w:pPr>
            <w:pStyle w:val="TOC3"/>
            <w:rPr>
              <w:rFonts w:asciiTheme="minorHAnsi" w:hAnsiTheme="minorHAnsi"/>
              <w:noProof/>
              <w:sz w:val="24"/>
              <w:lang w:eastAsia="en-GB"/>
            </w:rPr>
          </w:pPr>
          <w:hyperlink w:anchor="_Toc85031264" w:history="1">
            <w:r w:rsidR="003078BE" w:rsidRPr="00D9777D">
              <w:rPr>
                <w:rStyle w:val="Hyperlink"/>
                <w:noProof/>
              </w:rPr>
              <w:t>5.7</w:t>
            </w:r>
            <w:r w:rsidR="003078BE">
              <w:rPr>
                <w:rFonts w:asciiTheme="minorHAnsi" w:hAnsiTheme="minorHAnsi"/>
                <w:noProof/>
                <w:sz w:val="24"/>
                <w:lang w:eastAsia="en-GB"/>
              </w:rPr>
              <w:tab/>
            </w:r>
            <w:r w:rsidR="003078BE" w:rsidRPr="00D9777D">
              <w:rPr>
                <w:rStyle w:val="Hyperlink"/>
                <w:noProof/>
              </w:rPr>
              <w:t>Lifetime cost estimates</w:t>
            </w:r>
            <w:r w:rsidR="003078BE">
              <w:rPr>
                <w:noProof/>
                <w:webHidden/>
              </w:rPr>
              <w:tab/>
            </w:r>
            <w:r w:rsidR="003078BE">
              <w:rPr>
                <w:noProof/>
                <w:webHidden/>
              </w:rPr>
              <w:fldChar w:fldCharType="begin"/>
            </w:r>
            <w:r w:rsidR="003078BE">
              <w:rPr>
                <w:noProof/>
                <w:webHidden/>
              </w:rPr>
              <w:instrText xml:space="preserve"> PAGEREF _Toc85031264 \h </w:instrText>
            </w:r>
            <w:r w:rsidR="003078BE">
              <w:rPr>
                <w:noProof/>
                <w:webHidden/>
              </w:rPr>
            </w:r>
            <w:r w:rsidR="003078BE">
              <w:rPr>
                <w:noProof/>
                <w:webHidden/>
              </w:rPr>
              <w:fldChar w:fldCharType="separate"/>
            </w:r>
            <w:r w:rsidR="00E50032">
              <w:rPr>
                <w:noProof/>
                <w:webHidden/>
              </w:rPr>
              <w:t>74</w:t>
            </w:r>
            <w:r w:rsidR="003078BE">
              <w:rPr>
                <w:noProof/>
                <w:webHidden/>
              </w:rPr>
              <w:fldChar w:fldCharType="end"/>
            </w:r>
          </w:hyperlink>
        </w:p>
        <w:p w14:paraId="6ECE2525" w14:textId="1209C7C3" w:rsidR="003078BE" w:rsidRDefault="00312E88">
          <w:pPr>
            <w:pStyle w:val="TOC2"/>
            <w:rPr>
              <w:rFonts w:asciiTheme="minorHAnsi" w:hAnsiTheme="minorHAnsi"/>
              <w:noProof/>
              <w:sz w:val="24"/>
              <w:lang w:eastAsia="en-GB"/>
            </w:rPr>
          </w:pPr>
          <w:hyperlink w:anchor="_Toc85031265" w:history="1">
            <w:r w:rsidR="003078BE" w:rsidRPr="00D9777D">
              <w:rPr>
                <w:rStyle w:val="Hyperlink"/>
                <w:noProof/>
                <w14:scene3d>
                  <w14:camera w14:prst="orthographicFront"/>
                  <w14:lightRig w14:rig="threePt" w14:dir="t">
                    <w14:rot w14:lat="0" w14:lon="0" w14:rev="0"/>
                  </w14:lightRig>
                </w14:scene3d>
              </w:rPr>
              <w:t>6.</w:t>
            </w:r>
            <w:r w:rsidR="003078BE">
              <w:rPr>
                <w:rFonts w:asciiTheme="minorHAnsi" w:hAnsiTheme="minorHAnsi"/>
                <w:noProof/>
                <w:sz w:val="24"/>
                <w:lang w:eastAsia="en-GB"/>
              </w:rPr>
              <w:tab/>
            </w:r>
            <w:r w:rsidR="003078BE" w:rsidRPr="00D9777D">
              <w:rPr>
                <w:rStyle w:val="Hyperlink"/>
                <w:noProof/>
              </w:rPr>
              <w:t>Scenario analysis and comparisons to benchmarks</w:t>
            </w:r>
            <w:r w:rsidR="003078BE">
              <w:rPr>
                <w:noProof/>
                <w:webHidden/>
              </w:rPr>
              <w:tab/>
            </w:r>
            <w:r w:rsidR="003078BE">
              <w:rPr>
                <w:noProof/>
                <w:webHidden/>
              </w:rPr>
              <w:fldChar w:fldCharType="begin"/>
            </w:r>
            <w:r w:rsidR="003078BE">
              <w:rPr>
                <w:noProof/>
                <w:webHidden/>
              </w:rPr>
              <w:instrText xml:space="preserve"> PAGEREF _Toc85031265 \h </w:instrText>
            </w:r>
            <w:r w:rsidR="003078BE">
              <w:rPr>
                <w:noProof/>
                <w:webHidden/>
              </w:rPr>
            </w:r>
            <w:r w:rsidR="003078BE">
              <w:rPr>
                <w:noProof/>
                <w:webHidden/>
              </w:rPr>
              <w:fldChar w:fldCharType="separate"/>
            </w:r>
            <w:r w:rsidR="00E50032">
              <w:rPr>
                <w:noProof/>
                <w:webHidden/>
              </w:rPr>
              <w:t>77</w:t>
            </w:r>
            <w:r w:rsidR="003078BE">
              <w:rPr>
                <w:noProof/>
                <w:webHidden/>
              </w:rPr>
              <w:fldChar w:fldCharType="end"/>
            </w:r>
          </w:hyperlink>
        </w:p>
        <w:p w14:paraId="7573EB7B" w14:textId="0DE2855E" w:rsidR="003078BE" w:rsidRDefault="00312E88">
          <w:pPr>
            <w:pStyle w:val="TOC3"/>
            <w:rPr>
              <w:rFonts w:asciiTheme="minorHAnsi" w:hAnsiTheme="minorHAnsi"/>
              <w:noProof/>
              <w:sz w:val="24"/>
              <w:lang w:eastAsia="en-GB"/>
            </w:rPr>
          </w:pPr>
          <w:hyperlink w:anchor="_Toc85031266" w:history="1">
            <w:r w:rsidR="003078BE" w:rsidRPr="00D9777D">
              <w:rPr>
                <w:rStyle w:val="Hyperlink"/>
                <w:noProof/>
              </w:rPr>
              <w:t>6.1</w:t>
            </w:r>
            <w:r w:rsidR="003078BE">
              <w:rPr>
                <w:rFonts w:asciiTheme="minorHAnsi" w:hAnsiTheme="minorHAnsi"/>
                <w:noProof/>
                <w:sz w:val="24"/>
                <w:lang w:eastAsia="en-GB"/>
              </w:rPr>
              <w:tab/>
            </w:r>
            <w:r w:rsidR="003078BE" w:rsidRPr="00D9777D">
              <w:rPr>
                <w:rStyle w:val="Hyperlink"/>
                <w:noProof/>
              </w:rPr>
              <w:t>Scenario Analysis</w:t>
            </w:r>
            <w:r w:rsidR="003078BE">
              <w:rPr>
                <w:noProof/>
                <w:webHidden/>
              </w:rPr>
              <w:tab/>
            </w:r>
            <w:r w:rsidR="003078BE">
              <w:rPr>
                <w:noProof/>
                <w:webHidden/>
              </w:rPr>
              <w:fldChar w:fldCharType="begin"/>
            </w:r>
            <w:r w:rsidR="003078BE">
              <w:rPr>
                <w:noProof/>
                <w:webHidden/>
              </w:rPr>
              <w:instrText xml:space="preserve"> PAGEREF _Toc85031266 \h </w:instrText>
            </w:r>
            <w:r w:rsidR="003078BE">
              <w:rPr>
                <w:noProof/>
                <w:webHidden/>
              </w:rPr>
            </w:r>
            <w:r w:rsidR="003078BE">
              <w:rPr>
                <w:noProof/>
                <w:webHidden/>
              </w:rPr>
              <w:fldChar w:fldCharType="separate"/>
            </w:r>
            <w:r w:rsidR="00E50032">
              <w:rPr>
                <w:noProof/>
                <w:webHidden/>
              </w:rPr>
              <w:t>77</w:t>
            </w:r>
            <w:r w:rsidR="003078BE">
              <w:rPr>
                <w:noProof/>
                <w:webHidden/>
              </w:rPr>
              <w:fldChar w:fldCharType="end"/>
            </w:r>
          </w:hyperlink>
        </w:p>
        <w:p w14:paraId="7B1DD560" w14:textId="4C2B9903" w:rsidR="003078BE" w:rsidRDefault="00312E88">
          <w:pPr>
            <w:pStyle w:val="TOC3"/>
            <w:rPr>
              <w:rFonts w:asciiTheme="minorHAnsi" w:hAnsiTheme="minorHAnsi"/>
              <w:noProof/>
              <w:sz w:val="24"/>
              <w:lang w:eastAsia="en-GB"/>
            </w:rPr>
          </w:pPr>
          <w:hyperlink w:anchor="_Toc85031267" w:history="1">
            <w:r w:rsidR="003078BE" w:rsidRPr="00D9777D">
              <w:rPr>
                <w:rStyle w:val="Hyperlink"/>
                <w:noProof/>
              </w:rPr>
              <w:t>6.2</w:t>
            </w:r>
            <w:r w:rsidR="003078BE">
              <w:rPr>
                <w:rFonts w:asciiTheme="minorHAnsi" w:hAnsiTheme="minorHAnsi"/>
                <w:noProof/>
                <w:sz w:val="24"/>
                <w:lang w:eastAsia="en-GB"/>
              </w:rPr>
              <w:tab/>
            </w:r>
            <w:r w:rsidR="003078BE" w:rsidRPr="00D9777D">
              <w:rPr>
                <w:rStyle w:val="Hyperlink"/>
                <w:noProof/>
              </w:rPr>
              <w:t>Historic AFSR projections</w:t>
            </w:r>
            <w:r w:rsidR="003078BE">
              <w:rPr>
                <w:noProof/>
                <w:webHidden/>
              </w:rPr>
              <w:tab/>
            </w:r>
            <w:r w:rsidR="003078BE">
              <w:rPr>
                <w:noProof/>
                <w:webHidden/>
              </w:rPr>
              <w:fldChar w:fldCharType="begin"/>
            </w:r>
            <w:r w:rsidR="003078BE">
              <w:rPr>
                <w:noProof/>
                <w:webHidden/>
              </w:rPr>
              <w:instrText xml:space="preserve"> PAGEREF _Toc85031267 \h </w:instrText>
            </w:r>
            <w:r w:rsidR="003078BE">
              <w:rPr>
                <w:noProof/>
                <w:webHidden/>
              </w:rPr>
            </w:r>
            <w:r w:rsidR="003078BE">
              <w:rPr>
                <w:noProof/>
                <w:webHidden/>
              </w:rPr>
              <w:fldChar w:fldCharType="separate"/>
            </w:r>
            <w:r w:rsidR="00E50032">
              <w:rPr>
                <w:noProof/>
                <w:webHidden/>
              </w:rPr>
              <w:t>81</w:t>
            </w:r>
            <w:r w:rsidR="003078BE">
              <w:rPr>
                <w:noProof/>
                <w:webHidden/>
              </w:rPr>
              <w:fldChar w:fldCharType="end"/>
            </w:r>
          </w:hyperlink>
        </w:p>
        <w:p w14:paraId="428FC247" w14:textId="0D91583B" w:rsidR="003078BE" w:rsidRDefault="00312E88">
          <w:pPr>
            <w:pStyle w:val="TOC3"/>
            <w:rPr>
              <w:rFonts w:asciiTheme="minorHAnsi" w:hAnsiTheme="minorHAnsi"/>
              <w:noProof/>
              <w:sz w:val="24"/>
              <w:lang w:eastAsia="en-GB"/>
            </w:rPr>
          </w:pPr>
          <w:hyperlink w:anchor="_Toc85031268" w:history="1">
            <w:r w:rsidR="003078BE" w:rsidRPr="00D9777D">
              <w:rPr>
                <w:rStyle w:val="Hyperlink"/>
                <w:noProof/>
              </w:rPr>
              <w:t>6.3</w:t>
            </w:r>
            <w:r w:rsidR="003078BE">
              <w:rPr>
                <w:rFonts w:asciiTheme="minorHAnsi" w:hAnsiTheme="minorHAnsi"/>
                <w:noProof/>
                <w:sz w:val="24"/>
                <w:lang w:eastAsia="en-GB"/>
              </w:rPr>
              <w:tab/>
            </w:r>
            <w:r w:rsidR="003078BE" w:rsidRPr="00D9777D">
              <w:rPr>
                <w:rStyle w:val="Hyperlink"/>
                <w:noProof/>
              </w:rPr>
              <w:t>Comparison with PBS estimates and the Productivity Commission estimates</w:t>
            </w:r>
            <w:r w:rsidR="003078BE">
              <w:rPr>
                <w:noProof/>
                <w:webHidden/>
              </w:rPr>
              <w:tab/>
            </w:r>
            <w:r w:rsidR="003078BE">
              <w:rPr>
                <w:noProof/>
                <w:webHidden/>
              </w:rPr>
              <w:fldChar w:fldCharType="begin"/>
            </w:r>
            <w:r w:rsidR="003078BE">
              <w:rPr>
                <w:noProof/>
                <w:webHidden/>
              </w:rPr>
              <w:instrText xml:space="preserve"> PAGEREF _Toc85031268 \h </w:instrText>
            </w:r>
            <w:r w:rsidR="003078BE">
              <w:rPr>
                <w:noProof/>
                <w:webHidden/>
              </w:rPr>
            </w:r>
            <w:r w:rsidR="003078BE">
              <w:rPr>
                <w:noProof/>
                <w:webHidden/>
              </w:rPr>
              <w:fldChar w:fldCharType="separate"/>
            </w:r>
            <w:r w:rsidR="00E50032">
              <w:rPr>
                <w:noProof/>
                <w:webHidden/>
              </w:rPr>
              <w:t>87</w:t>
            </w:r>
            <w:r w:rsidR="003078BE">
              <w:rPr>
                <w:noProof/>
                <w:webHidden/>
              </w:rPr>
              <w:fldChar w:fldCharType="end"/>
            </w:r>
          </w:hyperlink>
        </w:p>
        <w:p w14:paraId="201D081E" w14:textId="42F0C6AB" w:rsidR="003078BE" w:rsidRDefault="00312E88">
          <w:pPr>
            <w:pStyle w:val="TOC2"/>
            <w:rPr>
              <w:rFonts w:asciiTheme="minorHAnsi" w:hAnsiTheme="minorHAnsi"/>
              <w:noProof/>
              <w:sz w:val="24"/>
              <w:lang w:eastAsia="en-GB"/>
            </w:rPr>
          </w:pPr>
          <w:hyperlink w:anchor="_Toc85031269" w:history="1">
            <w:r w:rsidR="003078BE" w:rsidRPr="00D9777D">
              <w:rPr>
                <w:rStyle w:val="Hyperlink"/>
                <w:noProof/>
                <w14:scene3d>
                  <w14:camera w14:prst="orthographicFront"/>
                  <w14:lightRig w14:rig="threePt" w14:dir="t">
                    <w14:rot w14:lat="0" w14:lon="0" w14:rev="0"/>
                  </w14:lightRig>
                </w14:scene3d>
              </w:rPr>
              <w:t>7.</w:t>
            </w:r>
            <w:r w:rsidR="003078BE">
              <w:rPr>
                <w:rFonts w:asciiTheme="minorHAnsi" w:hAnsiTheme="minorHAnsi"/>
                <w:noProof/>
                <w:sz w:val="24"/>
                <w:lang w:eastAsia="en-GB"/>
              </w:rPr>
              <w:tab/>
            </w:r>
            <w:r w:rsidR="003078BE" w:rsidRPr="00D9777D">
              <w:rPr>
                <w:rStyle w:val="Hyperlink"/>
                <w:noProof/>
              </w:rPr>
              <w:t>Outcomes</w:t>
            </w:r>
            <w:r w:rsidR="003078BE">
              <w:rPr>
                <w:noProof/>
                <w:webHidden/>
              </w:rPr>
              <w:tab/>
            </w:r>
            <w:r w:rsidR="003078BE">
              <w:rPr>
                <w:noProof/>
                <w:webHidden/>
              </w:rPr>
              <w:fldChar w:fldCharType="begin"/>
            </w:r>
            <w:r w:rsidR="003078BE">
              <w:rPr>
                <w:noProof/>
                <w:webHidden/>
              </w:rPr>
              <w:instrText xml:space="preserve"> PAGEREF _Toc85031269 \h </w:instrText>
            </w:r>
            <w:r w:rsidR="003078BE">
              <w:rPr>
                <w:noProof/>
                <w:webHidden/>
              </w:rPr>
            </w:r>
            <w:r w:rsidR="003078BE">
              <w:rPr>
                <w:noProof/>
                <w:webHidden/>
              </w:rPr>
              <w:fldChar w:fldCharType="separate"/>
            </w:r>
            <w:r w:rsidR="00E50032">
              <w:rPr>
                <w:noProof/>
                <w:webHidden/>
              </w:rPr>
              <w:t>89</w:t>
            </w:r>
            <w:r w:rsidR="003078BE">
              <w:rPr>
                <w:noProof/>
                <w:webHidden/>
              </w:rPr>
              <w:fldChar w:fldCharType="end"/>
            </w:r>
          </w:hyperlink>
        </w:p>
        <w:p w14:paraId="14CD3713" w14:textId="394CBAB0" w:rsidR="003078BE" w:rsidRDefault="00312E88">
          <w:pPr>
            <w:pStyle w:val="TOC3"/>
            <w:rPr>
              <w:rFonts w:asciiTheme="minorHAnsi" w:hAnsiTheme="minorHAnsi"/>
              <w:noProof/>
              <w:sz w:val="24"/>
              <w:lang w:eastAsia="en-GB"/>
            </w:rPr>
          </w:pPr>
          <w:hyperlink w:anchor="_Toc85031270" w:history="1">
            <w:r w:rsidR="003078BE" w:rsidRPr="00D9777D">
              <w:rPr>
                <w:rStyle w:val="Hyperlink"/>
                <w:noProof/>
              </w:rPr>
              <w:t>7.1</w:t>
            </w:r>
            <w:r w:rsidR="003078BE">
              <w:rPr>
                <w:rFonts w:asciiTheme="minorHAnsi" w:hAnsiTheme="minorHAnsi"/>
                <w:noProof/>
                <w:sz w:val="24"/>
                <w:lang w:eastAsia="en-GB"/>
              </w:rPr>
              <w:tab/>
            </w:r>
            <w:r w:rsidR="003078BE" w:rsidRPr="00D9777D">
              <w:rPr>
                <w:rStyle w:val="Hyperlink"/>
                <w:noProof/>
              </w:rPr>
              <w:t>Participant outcomes</w:t>
            </w:r>
            <w:r w:rsidR="003078BE">
              <w:rPr>
                <w:noProof/>
                <w:webHidden/>
              </w:rPr>
              <w:tab/>
            </w:r>
            <w:r w:rsidR="003078BE">
              <w:rPr>
                <w:noProof/>
                <w:webHidden/>
              </w:rPr>
              <w:fldChar w:fldCharType="begin"/>
            </w:r>
            <w:r w:rsidR="003078BE">
              <w:rPr>
                <w:noProof/>
                <w:webHidden/>
              </w:rPr>
              <w:instrText xml:space="preserve"> PAGEREF _Toc85031270 \h </w:instrText>
            </w:r>
            <w:r w:rsidR="003078BE">
              <w:rPr>
                <w:noProof/>
                <w:webHidden/>
              </w:rPr>
            </w:r>
            <w:r w:rsidR="003078BE">
              <w:rPr>
                <w:noProof/>
                <w:webHidden/>
              </w:rPr>
              <w:fldChar w:fldCharType="separate"/>
            </w:r>
            <w:r w:rsidR="00E50032">
              <w:rPr>
                <w:noProof/>
                <w:webHidden/>
              </w:rPr>
              <w:t>89</w:t>
            </w:r>
            <w:r w:rsidR="003078BE">
              <w:rPr>
                <w:noProof/>
                <w:webHidden/>
              </w:rPr>
              <w:fldChar w:fldCharType="end"/>
            </w:r>
          </w:hyperlink>
        </w:p>
        <w:p w14:paraId="1FC69504" w14:textId="30B5E264" w:rsidR="003078BE" w:rsidRDefault="00312E88">
          <w:pPr>
            <w:pStyle w:val="TOC3"/>
            <w:rPr>
              <w:rFonts w:asciiTheme="minorHAnsi" w:hAnsiTheme="minorHAnsi"/>
              <w:noProof/>
              <w:sz w:val="24"/>
              <w:lang w:eastAsia="en-GB"/>
            </w:rPr>
          </w:pPr>
          <w:hyperlink w:anchor="_Toc85031271" w:history="1">
            <w:r w:rsidR="003078BE" w:rsidRPr="00D9777D">
              <w:rPr>
                <w:rStyle w:val="Hyperlink"/>
                <w:noProof/>
              </w:rPr>
              <w:t>7.2</w:t>
            </w:r>
            <w:r w:rsidR="003078BE">
              <w:rPr>
                <w:rFonts w:asciiTheme="minorHAnsi" w:hAnsiTheme="minorHAnsi"/>
                <w:noProof/>
                <w:sz w:val="24"/>
                <w:lang w:eastAsia="en-GB"/>
              </w:rPr>
              <w:tab/>
            </w:r>
            <w:r w:rsidR="003078BE" w:rsidRPr="00D9777D">
              <w:rPr>
                <w:rStyle w:val="Hyperlink"/>
                <w:noProof/>
              </w:rPr>
              <w:t>Family and carer outcomes</w:t>
            </w:r>
            <w:r w:rsidR="003078BE">
              <w:rPr>
                <w:noProof/>
                <w:webHidden/>
              </w:rPr>
              <w:tab/>
            </w:r>
            <w:r w:rsidR="003078BE">
              <w:rPr>
                <w:noProof/>
                <w:webHidden/>
              </w:rPr>
              <w:fldChar w:fldCharType="begin"/>
            </w:r>
            <w:r w:rsidR="003078BE">
              <w:rPr>
                <w:noProof/>
                <w:webHidden/>
              </w:rPr>
              <w:instrText xml:space="preserve"> PAGEREF _Toc85031271 \h </w:instrText>
            </w:r>
            <w:r w:rsidR="003078BE">
              <w:rPr>
                <w:noProof/>
                <w:webHidden/>
              </w:rPr>
            </w:r>
            <w:r w:rsidR="003078BE">
              <w:rPr>
                <w:noProof/>
                <w:webHidden/>
              </w:rPr>
              <w:fldChar w:fldCharType="separate"/>
            </w:r>
            <w:r w:rsidR="00E50032">
              <w:rPr>
                <w:noProof/>
                <w:webHidden/>
              </w:rPr>
              <w:t>93</w:t>
            </w:r>
            <w:r w:rsidR="003078BE">
              <w:rPr>
                <w:noProof/>
                <w:webHidden/>
              </w:rPr>
              <w:fldChar w:fldCharType="end"/>
            </w:r>
          </w:hyperlink>
        </w:p>
        <w:p w14:paraId="204F8E60" w14:textId="3B238D37" w:rsidR="003078BE" w:rsidRDefault="00312E88">
          <w:pPr>
            <w:pStyle w:val="TOC2"/>
            <w:rPr>
              <w:rFonts w:asciiTheme="minorHAnsi" w:hAnsiTheme="minorHAnsi"/>
              <w:noProof/>
              <w:sz w:val="24"/>
              <w:lang w:eastAsia="en-GB"/>
            </w:rPr>
          </w:pPr>
          <w:hyperlink w:anchor="_Toc85031272" w:history="1">
            <w:r w:rsidR="003078BE" w:rsidRPr="00D9777D">
              <w:rPr>
                <w:rStyle w:val="Hyperlink"/>
                <w:noProof/>
                <w14:scene3d>
                  <w14:camera w14:prst="orthographicFront"/>
                  <w14:lightRig w14:rig="threePt" w14:dir="t">
                    <w14:rot w14:lat="0" w14:lon="0" w14:rev="0"/>
                  </w14:lightRig>
                </w14:scene3d>
              </w:rPr>
              <w:t>8.</w:t>
            </w:r>
            <w:r w:rsidR="003078BE">
              <w:rPr>
                <w:rFonts w:asciiTheme="minorHAnsi" w:hAnsiTheme="minorHAnsi"/>
                <w:noProof/>
                <w:sz w:val="24"/>
                <w:lang w:eastAsia="en-GB"/>
              </w:rPr>
              <w:tab/>
            </w:r>
            <w:r w:rsidR="003078BE" w:rsidRPr="00D9777D">
              <w:rPr>
                <w:rStyle w:val="Hyperlink"/>
                <w:noProof/>
              </w:rPr>
              <w:t>Information systems and risk management approach</w:t>
            </w:r>
            <w:r w:rsidR="003078BE">
              <w:rPr>
                <w:noProof/>
                <w:webHidden/>
              </w:rPr>
              <w:tab/>
            </w:r>
            <w:r w:rsidR="003078BE">
              <w:rPr>
                <w:noProof/>
                <w:webHidden/>
              </w:rPr>
              <w:fldChar w:fldCharType="begin"/>
            </w:r>
            <w:r w:rsidR="003078BE">
              <w:rPr>
                <w:noProof/>
                <w:webHidden/>
              </w:rPr>
              <w:instrText xml:space="preserve"> PAGEREF _Toc85031272 \h </w:instrText>
            </w:r>
            <w:r w:rsidR="003078BE">
              <w:rPr>
                <w:noProof/>
                <w:webHidden/>
              </w:rPr>
            </w:r>
            <w:r w:rsidR="003078BE">
              <w:rPr>
                <w:noProof/>
                <w:webHidden/>
              </w:rPr>
              <w:fldChar w:fldCharType="separate"/>
            </w:r>
            <w:r w:rsidR="00E50032">
              <w:rPr>
                <w:noProof/>
                <w:webHidden/>
              </w:rPr>
              <w:t>95</w:t>
            </w:r>
            <w:r w:rsidR="003078BE">
              <w:rPr>
                <w:noProof/>
                <w:webHidden/>
              </w:rPr>
              <w:fldChar w:fldCharType="end"/>
            </w:r>
          </w:hyperlink>
        </w:p>
        <w:p w14:paraId="2715BD23" w14:textId="73E93DF8" w:rsidR="003078BE" w:rsidRDefault="00312E88">
          <w:pPr>
            <w:pStyle w:val="TOC3"/>
            <w:rPr>
              <w:rFonts w:asciiTheme="minorHAnsi" w:hAnsiTheme="minorHAnsi"/>
              <w:noProof/>
              <w:sz w:val="24"/>
              <w:lang w:eastAsia="en-GB"/>
            </w:rPr>
          </w:pPr>
          <w:hyperlink w:anchor="_Toc85031273" w:history="1">
            <w:r w:rsidR="003078BE" w:rsidRPr="00D9777D">
              <w:rPr>
                <w:rStyle w:val="Hyperlink"/>
                <w:noProof/>
              </w:rPr>
              <w:t>8.1</w:t>
            </w:r>
            <w:r w:rsidR="003078BE">
              <w:rPr>
                <w:rFonts w:asciiTheme="minorHAnsi" w:hAnsiTheme="minorHAnsi"/>
                <w:noProof/>
                <w:sz w:val="24"/>
                <w:lang w:eastAsia="en-GB"/>
              </w:rPr>
              <w:tab/>
            </w:r>
            <w:r w:rsidR="003078BE" w:rsidRPr="00D9777D">
              <w:rPr>
                <w:rStyle w:val="Hyperlink"/>
                <w:noProof/>
              </w:rPr>
              <w:t>Information systems</w:t>
            </w:r>
            <w:r w:rsidR="003078BE">
              <w:rPr>
                <w:noProof/>
                <w:webHidden/>
              </w:rPr>
              <w:tab/>
            </w:r>
            <w:r w:rsidR="003078BE">
              <w:rPr>
                <w:noProof/>
                <w:webHidden/>
              </w:rPr>
              <w:fldChar w:fldCharType="begin"/>
            </w:r>
            <w:r w:rsidR="003078BE">
              <w:rPr>
                <w:noProof/>
                <w:webHidden/>
              </w:rPr>
              <w:instrText xml:space="preserve"> PAGEREF _Toc85031273 \h </w:instrText>
            </w:r>
            <w:r w:rsidR="003078BE">
              <w:rPr>
                <w:noProof/>
                <w:webHidden/>
              </w:rPr>
            </w:r>
            <w:r w:rsidR="003078BE">
              <w:rPr>
                <w:noProof/>
                <w:webHidden/>
              </w:rPr>
              <w:fldChar w:fldCharType="separate"/>
            </w:r>
            <w:r w:rsidR="00E50032">
              <w:rPr>
                <w:noProof/>
                <w:webHidden/>
              </w:rPr>
              <w:t>95</w:t>
            </w:r>
            <w:r w:rsidR="003078BE">
              <w:rPr>
                <w:noProof/>
                <w:webHidden/>
              </w:rPr>
              <w:fldChar w:fldCharType="end"/>
            </w:r>
          </w:hyperlink>
        </w:p>
        <w:p w14:paraId="0805AD67" w14:textId="21CC2991" w:rsidR="003078BE" w:rsidRDefault="00312E88">
          <w:pPr>
            <w:pStyle w:val="TOC3"/>
            <w:rPr>
              <w:rFonts w:asciiTheme="minorHAnsi" w:hAnsiTheme="minorHAnsi"/>
              <w:noProof/>
              <w:sz w:val="24"/>
              <w:lang w:eastAsia="en-GB"/>
            </w:rPr>
          </w:pPr>
          <w:hyperlink w:anchor="_Toc85031274" w:history="1">
            <w:r w:rsidR="003078BE" w:rsidRPr="00D9777D">
              <w:rPr>
                <w:rStyle w:val="Hyperlink"/>
                <w:noProof/>
              </w:rPr>
              <w:t>8.2</w:t>
            </w:r>
            <w:r w:rsidR="003078BE">
              <w:rPr>
                <w:rFonts w:asciiTheme="minorHAnsi" w:hAnsiTheme="minorHAnsi"/>
                <w:noProof/>
                <w:sz w:val="24"/>
                <w:lang w:eastAsia="en-GB"/>
              </w:rPr>
              <w:tab/>
            </w:r>
            <w:r w:rsidR="003078BE" w:rsidRPr="00D9777D">
              <w:rPr>
                <w:rStyle w:val="Hyperlink"/>
                <w:noProof/>
              </w:rPr>
              <w:t>Risk management</w:t>
            </w:r>
            <w:r w:rsidR="003078BE">
              <w:rPr>
                <w:noProof/>
                <w:webHidden/>
              </w:rPr>
              <w:tab/>
            </w:r>
            <w:r w:rsidR="003078BE">
              <w:rPr>
                <w:noProof/>
                <w:webHidden/>
              </w:rPr>
              <w:fldChar w:fldCharType="begin"/>
            </w:r>
            <w:r w:rsidR="003078BE">
              <w:rPr>
                <w:noProof/>
                <w:webHidden/>
              </w:rPr>
              <w:instrText xml:space="preserve"> PAGEREF _Toc85031274 \h </w:instrText>
            </w:r>
            <w:r w:rsidR="003078BE">
              <w:rPr>
                <w:noProof/>
                <w:webHidden/>
              </w:rPr>
            </w:r>
            <w:r w:rsidR="003078BE">
              <w:rPr>
                <w:noProof/>
                <w:webHidden/>
              </w:rPr>
              <w:fldChar w:fldCharType="separate"/>
            </w:r>
            <w:r w:rsidR="00E50032">
              <w:rPr>
                <w:noProof/>
                <w:webHidden/>
              </w:rPr>
              <w:t>97</w:t>
            </w:r>
            <w:r w:rsidR="003078BE">
              <w:rPr>
                <w:noProof/>
                <w:webHidden/>
              </w:rPr>
              <w:fldChar w:fldCharType="end"/>
            </w:r>
          </w:hyperlink>
        </w:p>
        <w:p w14:paraId="5CD9F90C" w14:textId="7250B919" w:rsidR="003078BE" w:rsidRDefault="00312E88">
          <w:pPr>
            <w:pStyle w:val="TOC2"/>
            <w:rPr>
              <w:rFonts w:asciiTheme="minorHAnsi" w:hAnsiTheme="minorHAnsi"/>
              <w:noProof/>
              <w:sz w:val="24"/>
              <w:lang w:eastAsia="en-GB"/>
            </w:rPr>
          </w:pPr>
          <w:hyperlink w:anchor="_Toc85031275" w:history="1">
            <w:r w:rsidR="003078BE" w:rsidRPr="00D9777D">
              <w:rPr>
                <w:rStyle w:val="Hyperlink"/>
                <w:noProof/>
                <w14:scene3d>
                  <w14:camera w14:prst="orthographicFront"/>
                  <w14:lightRig w14:rig="threePt" w14:dir="t">
                    <w14:rot w14:lat="0" w14:lon="0" w14:rev="0"/>
                  </w14:lightRig>
                </w14:scene3d>
              </w:rPr>
              <w:t>9.</w:t>
            </w:r>
            <w:r w:rsidR="003078BE">
              <w:rPr>
                <w:rFonts w:asciiTheme="minorHAnsi" w:hAnsiTheme="minorHAnsi"/>
                <w:noProof/>
                <w:sz w:val="24"/>
                <w:lang w:eastAsia="en-GB"/>
              </w:rPr>
              <w:tab/>
            </w:r>
            <w:r w:rsidR="003078BE" w:rsidRPr="00D9777D">
              <w:rPr>
                <w:rStyle w:val="Hyperlink"/>
                <w:noProof/>
              </w:rPr>
              <w:t>Recommendations</w:t>
            </w:r>
            <w:r w:rsidR="003078BE">
              <w:rPr>
                <w:noProof/>
                <w:webHidden/>
              </w:rPr>
              <w:tab/>
            </w:r>
            <w:r w:rsidR="003078BE">
              <w:rPr>
                <w:noProof/>
                <w:webHidden/>
              </w:rPr>
              <w:fldChar w:fldCharType="begin"/>
            </w:r>
            <w:r w:rsidR="003078BE">
              <w:rPr>
                <w:noProof/>
                <w:webHidden/>
              </w:rPr>
              <w:instrText xml:space="preserve"> PAGEREF _Toc85031275 \h </w:instrText>
            </w:r>
            <w:r w:rsidR="003078BE">
              <w:rPr>
                <w:noProof/>
                <w:webHidden/>
              </w:rPr>
            </w:r>
            <w:r w:rsidR="003078BE">
              <w:rPr>
                <w:noProof/>
                <w:webHidden/>
              </w:rPr>
              <w:fldChar w:fldCharType="separate"/>
            </w:r>
            <w:r w:rsidR="00E50032">
              <w:rPr>
                <w:noProof/>
                <w:webHidden/>
              </w:rPr>
              <w:t>99</w:t>
            </w:r>
            <w:r w:rsidR="003078BE">
              <w:rPr>
                <w:noProof/>
                <w:webHidden/>
              </w:rPr>
              <w:fldChar w:fldCharType="end"/>
            </w:r>
          </w:hyperlink>
        </w:p>
        <w:p w14:paraId="313416C7" w14:textId="4BB45AC1" w:rsidR="003078BE" w:rsidRDefault="00312E88">
          <w:pPr>
            <w:pStyle w:val="TOC2"/>
            <w:rPr>
              <w:rFonts w:asciiTheme="minorHAnsi" w:hAnsiTheme="minorHAnsi"/>
              <w:noProof/>
              <w:sz w:val="24"/>
              <w:lang w:eastAsia="en-GB"/>
            </w:rPr>
          </w:pPr>
          <w:hyperlink w:anchor="_Toc85031276" w:history="1">
            <w:r w:rsidR="003078BE" w:rsidRPr="00D9777D">
              <w:rPr>
                <w:rStyle w:val="Hyperlink"/>
                <w:noProof/>
              </w:rPr>
              <w:t>Acronyms and definitions</w:t>
            </w:r>
            <w:r w:rsidR="003078BE">
              <w:rPr>
                <w:noProof/>
                <w:webHidden/>
              </w:rPr>
              <w:tab/>
            </w:r>
            <w:r w:rsidR="003078BE">
              <w:rPr>
                <w:noProof/>
                <w:webHidden/>
              </w:rPr>
              <w:fldChar w:fldCharType="begin"/>
            </w:r>
            <w:r w:rsidR="003078BE">
              <w:rPr>
                <w:noProof/>
                <w:webHidden/>
              </w:rPr>
              <w:instrText xml:space="preserve"> PAGEREF _Toc85031276 \h </w:instrText>
            </w:r>
            <w:r w:rsidR="003078BE">
              <w:rPr>
                <w:noProof/>
                <w:webHidden/>
              </w:rPr>
            </w:r>
            <w:r w:rsidR="003078BE">
              <w:rPr>
                <w:noProof/>
                <w:webHidden/>
              </w:rPr>
              <w:fldChar w:fldCharType="separate"/>
            </w:r>
            <w:r w:rsidR="00E50032">
              <w:rPr>
                <w:noProof/>
                <w:webHidden/>
              </w:rPr>
              <w:t>104</w:t>
            </w:r>
            <w:r w:rsidR="003078BE">
              <w:rPr>
                <w:noProof/>
                <w:webHidden/>
              </w:rPr>
              <w:fldChar w:fldCharType="end"/>
            </w:r>
          </w:hyperlink>
        </w:p>
        <w:p w14:paraId="365AACD5" w14:textId="6A0D38C9" w:rsidR="003078BE" w:rsidRDefault="00312E88">
          <w:pPr>
            <w:pStyle w:val="TOC2"/>
            <w:rPr>
              <w:rFonts w:asciiTheme="minorHAnsi" w:hAnsiTheme="minorHAnsi"/>
              <w:noProof/>
              <w:sz w:val="24"/>
              <w:lang w:eastAsia="en-GB"/>
            </w:rPr>
          </w:pPr>
          <w:hyperlink w:anchor="_Toc85031277" w:history="1">
            <w:r w:rsidR="003078BE" w:rsidRPr="00D9777D">
              <w:rPr>
                <w:rStyle w:val="Hyperlink"/>
                <w:noProof/>
              </w:rPr>
              <w:t>Appendix A: Average Payment Assumption setting details</w:t>
            </w:r>
            <w:r w:rsidR="003078BE">
              <w:rPr>
                <w:noProof/>
                <w:webHidden/>
              </w:rPr>
              <w:tab/>
            </w:r>
            <w:r w:rsidR="003078BE">
              <w:rPr>
                <w:noProof/>
                <w:webHidden/>
              </w:rPr>
              <w:fldChar w:fldCharType="begin"/>
            </w:r>
            <w:r w:rsidR="003078BE">
              <w:rPr>
                <w:noProof/>
                <w:webHidden/>
              </w:rPr>
              <w:instrText xml:space="preserve"> PAGEREF _Toc85031277 \h </w:instrText>
            </w:r>
            <w:r w:rsidR="003078BE">
              <w:rPr>
                <w:noProof/>
                <w:webHidden/>
              </w:rPr>
            </w:r>
            <w:r w:rsidR="003078BE">
              <w:rPr>
                <w:noProof/>
                <w:webHidden/>
              </w:rPr>
              <w:fldChar w:fldCharType="separate"/>
            </w:r>
            <w:r w:rsidR="00E50032">
              <w:rPr>
                <w:noProof/>
                <w:webHidden/>
              </w:rPr>
              <w:t>107</w:t>
            </w:r>
            <w:r w:rsidR="003078BE">
              <w:rPr>
                <w:noProof/>
                <w:webHidden/>
              </w:rPr>
              <w:fldChar w:fldCharType="end"/>
            </w:r>
          </w:hyperlink>
        </w:p>
        <w:p w14:paraId="4FA5275E" w14:textId="2AA32A77" w:rsidR="003078BE" w:rsidRDefault="00312E88">
          <w:pPr>
            <w:pStyle w:val="TOC2"/>
            <w:rPr>
              <w:rFonts w:asciiTheme="minorHAnsi" w:hAnsiTheme="minorHAnsi"/>
              <w:noProof/>
              <w:sz w:val="24"/>
              <w:lang w:eastAsia="en-GB"/>
            </w:rPr>
          </w:pPr>
          <w:hyperlink w:anchor="_Toc85031278" w:history="1">
            <w:r w:rsidR="003078BE" w:rsidRPr="00D9777D">
              <w:rPr>
                <w:rStyle w:val="Hyperlink"/>
                <w:noProof/>
              </w:rPr>
              <w:t>Appendix B: Comparison to previous review – detailed tables</w:t>
            </w:r>
            <w:r w:rsidR="003078BE">
              <w:rPr>
                <w:noProof/>
                <w:webHidden/>
              </w:rPr>
              <w:tab/>
            </w:r>
            <w:r w:rsidR="003078BE">
              <w:rPr>
                <w:noProof/>
                <w:webHidden/>
              </w:rPr>
              <w:fldChar w:fldCharType="begin"/>
            </w:r>
            <w:r w:rsidR="003078BE">
              <w:rPr>
                <w:noProof/>
                <w:webHidden/>
              </w:rPr>
              <w:instrText xml:space="preserve"> PAGEREF _Toc85031278 \h </w:instrText>
            </w:r>
            <w:r w:rsidR="003078BE">
              <w:rPr>
                <w:noProof/>
                <w:webHidden/>
              </w:rPr>
            </w:r>
            <w:r w:rsidR="003078BE">
              <w:rPr>
                <w:noProof/>
                <w:webHidden/>
              </w:rPr>
              <w:fldChar w:fldCharType="separate"/>
            </w:r>
            <w:r w:rsidR="00E50032">
              <w:rPr>
                <w:noProof/>
                <w:webHidden/>
              </w:rPr>
              <w:t>111</w:t>
            </w:r>
            <w:r w:rsidR="003078BE">
              <w:rPr>
                <w:noProof/>
                <w:webHidden/>
              </w:rPr>
              <w:fldChar w:fldCharType="end"/>
            </w:r>
          </w:hyperlink>
        </w:p>
        <w:p w14:paraId="0DE41FA3" w14:textId="45F7579F" w:rsidR="003078BE" w:rsidRDefault="00312E88">
          <w:pPr>
            <w:pStyle w:val="TOC2"/>
            <w:rPr>
              <w:rFonts w:asciiTheme="minorHAnsi" w:hAnsiTheme="minorHAnsi"/>
              <w:noProof/>
              <w:sz w:val="24"/>
              <w:lang w:eastAsia="en-GB"/>
            </w:rPr>
          </w:pPr>
          <w:hyperlink w:anchor="_Toc85031279" w:history="1">
            <w:r w:rsidR="003078BE" w:rsidRPr="00D9777D">
              <w:rPr>
                <w:rStyle w:val="Hyperlink"/>
                <w:noProof/>
              </w:rPr>
              <w:t>Appendix C: Reconciliation to previous review</w:t>
            </w:r>
            <w:r w:rsidR="003078BE">
              <w:rPr>
                <w:noProof/>
                <w:webHidden/>
              </w:rPr>
              <w:tab/>
            </w:r>
            <w:r w:rsidR="003078BE">
              <w:rPr>
                <w:noProof/>
                <w:webHidden/>
              </w:rPr>
              <w:fldChar w:fldCharType="begin"/>
            </w:r>
            <w:r w:rsidR="003078BE">
              <w:rPr>
                <w:noProof/>
                <w:webHidden/>
              </w:rPr>
              <w:instrText xml:space="preserve"> PAGEREF _Toc85031279 \h </w:instrText>
            </w:r>
            <w:r w:rsidR="003078BE">
              <w:rPr>
                <w:noProof/>
                <w:webHidden/>
              </w:rPr>
            </w:r>
            <w:r w:rsidR="003078BE">
              <w:rPr>
                <w:noProof/>
                <w:webHidden/>
              </w:rPr>
              <w:fldChar w:fldCharType="separate"/>
            </w:r>
            <w:r w:rsidR="00E50032">
              <w:rPr>
                <w:noProof/>
                <w:webHidden/>
              </w:rPr>
              <w:t>118</w:t>
            </w:r>
            <w:r w:rsidR="003078BE">
              <w:rPr>
                <w:noProof/>
                <w:webHidden/>
              </w:rPr>
              <w:fldChar w:fldCharType="end"/>
            </w:r>
          </w:hyperlink>
        </w:p>
        <w:p w14:paraId="039E6591" w14:textId="5BF4F4BB" w:rsidR="003078BE" w:rsidRDefault="00312E88">
          <w:pPr>
            <w:pStyle w:val="TOC2"/>
            <w:rPr>
              <w:rFonts w:asciiTheme="minorHAnsi" w:hAnsiTheme="minorHAnsi"/>
              <w:noProof/>
              <w:sz w:val="24"/>
              <w:lang w:eastAsia="en-GB"/>
            </w:rPr>
          </w:pPr>
          <w:hyperlink w:anchor="_Toc85031280" w:history="1">
            <w:r w:rsidR="003078BE" w:rsidRPr="00D9777D">
              <w:rPr>
                <w:rStyle w:val="Hyperlink"/>
                <w:noProof/>
              </w:rPr>
              <w:t>Appendix D: State and Territory Breakdown</w:t>
            </w:r>
            <w:r w:rsidR="003078BE">
              <w:rPr>
                <w:noProof/>
                <w:webHidden/>
              </w:rPr>
              <w:tab/>
            </w:r>
            <w:r w:rsidR="003078BE">
              <w:rPr>
                <w:noProof/>
                <w:webHidden/>
              </w:rPr>
              <w:fldChar w:fldCharType="begin"/>
            </w:r>
            <w:r w:rsidR="003078BE">
              <w:rPr>
                <w:noProof/>
                <w:webHidden/>
              </w:rPr>
              <w:instrText xml:space="preserve"> PAGEREF _Toc85031280 \h </w:instrText>
            </w:r>
            <w:r w:rsidR="003078BE">
              <w:rPr>
                <w:noProof/>
                <w:webHidden/>
              </w:rPr>
            </w:r>
            <w:r w:rsidR="003078BE">
              <w:rPr>
                <w:noProof/>
                <w:webHidden/>
              </w:rPr>
              <w:fldChar w:fldCharType="separate"/>
            </w:r>
            <w:r w:rsidR="00E50032">
              <w:rPr>
                <w:noProof/>
                <w:webHidden/>
              </w:rPr>
              <w:t>120</w:t>
            </w:r>
            <w:r w:rsidR="003078BE">
              <w:rPr>
                <w:noProof/>
                <w:webHidden/>
              </w:rPr>
              <w:fldChar w:fldCharType="end"/>
            </w:r>
          </w:hyperlink>
        </w:p>
        <w:p w14:paraId="6EAB2BBD" w14:textId="20FCBB75" w:rsidR="003078BE" w:rsidRDefault="00312E88">
          <w:pPr>
            <w:pStyle w:val="TOC2"/>
            <w:rPr>
              <w:rFonts w:asciiTheme="minorHAnsi" w:hAnsiTheme="minorHAnsi"/>
              <w:noProof/>
              <w:sz w:val="24"/>
              <w:lang w:eastAsia="en-GB"/>
            </w:rPr>
          </w:pPr>
          <w:hyperlink w:anchor="_Toc85031281" w:history="1">
            <w:r w:rsidR="003078BE" w:rsidRPr="00D9777D">
              <w:rPr>
                <w:rStyle w:val="Hyperlink"/>
                <w:noProof/>
              </w:rPr>
              <w:t>Appendix E: Historic average participant payments by SIL type</w:t>
            </w:r>
            <w:r w:rsidR="003078BE">
              <w:rPr>
                <w:noProof/>
                <w:webHidden/>
              </w:rPr>
              <w:tab/>
            </w:r>
            <w:r w:rsidR="003078BE">
              <w:rPr>
                <w:noProof/>
                <w:webHidden/>
              </w:rPr>
              <w:fldChar w:fldCharType="begin"/>
            </w:r>
            <w:r w:rsidR="003078BE">
              <w:rPr>
                <w:noProof/>
                <w:webHidden/>
              </w:rPr>
              <w:instrText xml:space="preserve"> PAGEREF _Toc85031281 \h </w:instrText>
            </w:r>
            <w:r w:rsidR="003078BE">
              <w:rPr>
                <w:noProof/>
                <w:webHidden/>
              </w:rPr>
            </w:r>
            <w:r w:rsidR="003078BE">
              <w:rPr>
                <w:noProof/>
                <w:webHidden/>
              </w:rPr>
              <w:fldChar w:fldCharType="separate"/>
            </w:r>
            <w:r w:rsidR="00E50032">
              <w:rPr>
                <w:noProof/>
                <w:webHidden/>
              </w:rPr>
              <w:t>121</w:t>
            </w:r>
            <w:r w:rsidR="003078BE">
              <w:rPr>
                <w:noProof/>
                <w:webHidden/>
              </w:rPr>
              <w:fldChar w:fldCharType="end"/>
            </w:r>
          </w:hyperlink>
        </w:p>
        <w:p w14:paraId="37B9D71D" w14:textId="7758E3B8" w:rsidR="003078BE" w:rsidRDefault="00312E88">
          <w:pPr>
            <w:pStyle w:val="TOC2"/>
            <w:rPr>
              <w:rFonts w:asciiTheme="minorHAnsi" w:hAnsiTheme="minorHAnsi"/>
              <w:noProof/>
              <w:sz w:val="24"/>
              <w:lang w:eastAsia="en-GB"/>
            </w:rPr>
          </w:pPr>
          <w:hyperlink w:anchor="_Toc85031282" w:history="1">
            <w:r w:rsidR="003078BE" w:rsidRPr="00D9777D">
              <w:rPr>
                <w:rStyle w:val="Hyperlink"/>
                <w:noProof/>
              </w:rPr>
              <w:t>Appendix F: Scenario analysis from previous AFSRs</w:t>
            </w:r>
            <w:r w:rsidR="003078BE">
              <w:rPr>
                <w:noProof/>
                <w:webHidden/>
              </w:rPr>
              <w:tab/>
            </w:r>
            <w:r w:rsidR="003078BE">
              <w:rPr>
                <w:noProof/>
                <w:webHidden/>
              </w:rPr>
              <w:fldChar w:fldCharType="begin"/>
            </w:r>
            <w:r w:rsidR="003078BE">
              <w:rPr>
                <w:noProof/>
                <w:webHidden/>
              </w:rPr>
              <w:instrText xml:space="preserve"> PAGEREF _Toc85031282 \h </w:instrText>
            </w:r>
            <w:r w:rsidR="003078BE">
              <w:rPr>
                <w:noProof/>
                <w:webHidden/>
              </w:rPr>
            </w:r>
            <w:r w:rsidR="003078BE">
              <w:rPr>
                <w:noProof/>
                <w:webHidden/>
              </w:rPr>
              <w:fldChar w:fldCharType="separate"/>
            </w:r>
            <w:r w:rsidR="00E50032">
              <w:rPr>
                <w:noProof/>
                <w:webHidden/>
              </w:rPr>
              <w:t>122</w:t>
            </w:r>
            <w:r w:rsidR="003078BE">
              <w:rPr>
                <w:noProof/>
                <w:webHidden/>
              </w:rPr>
              <w:fldChar w:fldCharType="end"/>
            </w:r>
          </w:hyperlink>
        </w:p>
        <w:p w14:paraId="66C6FE3F" w14:textId="6F7E4B46" w:rsidR="0014246F" w:rsidRPr="00C578EB" w:rsidRDefault="00E27451" w:rsidP="0014246F">
          <w:pPr>
            <w:rPr>
              <w:bCs/>
              <w:noProof/>
            </w:rPr>
          </w:pPr>
          <w:r w:rsidRPr="00C578EB">
            <w:rPr>
              <w:b/>
              <w:bCs/>
              <w:noProof/>
            </w:rPr>
            <w:fldChar w:fldCharType="end"/>
          </w:r>
        </w:p>
      </w:sdtContent>
    </w:sdt>
    <w:p w14:paraId="1EAA6599" w14:textId="309522EB" w:rsidR="006C26E9" w:rsidRDefault="00CC3B52" w:rsidP="0031019F">
      <w:pPr>
        <w:pStyle w:val="Heading2"/>
        <w:numPr>
          <w:ilvl w:val="0"/>
          <w:numId w:val="0"/>
        </w:numPr>
      </w:pPr>
      <w:bookmarkStart w:id="2" w:name="_Toc83220836"/>
      <w:bookmarkStart w:id="3" w:name="_Toc85031247"/>
      <w:r>
        <w:lastRenderedPageBreak/>
        <w:t>Executive Summary</w:t>
      </w:r>
      <w:bookmarkEnd w:id="2"/>
      <w:bookmarkEnd w:id="3"/>
    </w:p>
    <w:p w14:paraId="549989C7" w14:textId="56ACFBBA" w:rsidR="00274668" w:rsidRDefault="00274668" w:rsidP="00274668">
      <w:pPr>
        <w:pStyle w:val="FSRnormal"/>
      </w:pPr>
      <w:r w:rsidRPr="00FC5C6C">
        <w:t>An annual financial sustainability report (AFSR) is required under section 180B of the NDIS</w:t>
      </w:r>
      <w:r w:rsidRPr="00AB4E2F">
        <w:t xml:space="preserve"> Act and provides an assessment of the financial sustainability of the National Disability Insurance Scheme (“the Scheme”, or NDIS). </w:t>
      </w:r>
      <w:r>
        <w:t xml:space="preserve">The AFSR </w:t>
      </w:r>
      <w:r w:rsidRPr="00AB4E2F">
        <w:t xml:space="preserve">is produced using </w:t>
      </w:r>
      <w:r>
        <w:t xml:space="preserve">data at </w:t>
      </w:r>
      <w:r w:rsidRPr="00AB4E2F">
        <w:t>30 June each year</w:t>
      </w:r>
      <w:r>
        <w:t xml:space="preserve"> and a summary of each year’s </w:t>
      </w:r>
      <w:r w:rsidRPr="00AB4E2F">
        <w:t xml:space="preserve">AFSR </w:t>
      </w:r>
      <w:r>
        <w:t xml:space="preserve">has been </w:t>
      </w:r>
      <w:r w:rsidRPr="00AB4E2F">
        <w:t>included in the NDIA annual re</w:t>
      </w:r>
      <w:r w:rsidRPr="00AC4F79">
        <w:t>port. This report uses data to 3</w:t>
      </w:r>
      <w:r>
        <w:t xml:space="preserve">0 June </w:t>
      </w:r>
      <w:r w:rsidRPr="00AC4F79">
        <w:t>202</w:t>
      </w:r>
      <w:r>
        <w:t>1</w:t>
      </w:r>
      <w:r w:rsidRPr="00AC4F79">
        <w:t xml:space="preserve"> to project the future cost of the Scheme. </w:t>
      </w:r>
      <w:r>
        <w:t xml:space="preserve">It </w:t>
      </w:r>
      <w:r w:rsidRPr="00AC4F79">
        <w:t>includes analyses and discu</w:t>
      </w:r>
      <w:r w:rsidRPr="00B56B5D">
        <w:t xml:space="preserve">ssion on recent Scheme experience, best estimate projections of future participant numbers and </w:t>
      </w:r>
      <w:r w:rsidR="00D31577">
        <w:t xml:space="preserve">average </w:t>
      </w:r>
      <w:r w:rsidR="004050C5">
        <w:t>payments</w:t>
      </w:r>
      <w:r w:rsidR="00D31577">
        <w:t xml:space="preserve"> </w:t>
      </w:r>
      <w:r w:rsidRPr="00B56B5D">
        <w:t>(based on emerging experience and future expectations)</w:t>
      </w:r>
      <w:r w:rsidR="000D3E3B">
        <w:t>, scenarios relating to plausible variances in the projections</w:t>
      </w:r>
      <w:r w:rsidRPr="00B56B5D">
        <w:t xml:space="preserve">, and </w:t>
      </w:r>
      <w:r w:rsidR="00E30044">
        <w:t xml:space="preserve">recommended </w:t>
      </w:r>
      <w:r w:rsidRPr="00B56B5D">
        <w:t>strategies to address risks to sustainability.</w:t>
      </w:r>
    </w:p>
    <w:p w14:paraId="21477ED9" w14:textId="0E80529F" w:rsidR="00274668" w:rsidRPr="00B56B5D" w:rsidRDefault="00CC3B52" w:rsidP="00274668">
      <w:pPr>
        <w:pStyle w:val="FSRnormal"/>
      </w:pPr>
      <w:r>
        <w:t xml:space="preserve">The previous such report was an interim update to the AFSR </w:t>
      </w:r>
      <w:r w:rsidR="00440413">
        <w:t xml:space="preserve">released </w:t>
      </w:r>
      <w:r>
        <w:t>on 3 July 2021.</w:t>
      </w:r>
      <w:r>
        <w:rPr>
          <w:rStyle w:val="FootnoteReference"/>
        </w:rPr>
        <w:footnoteReference w:id="2"/>
      </w:r>
      <w:r>
        <w:t xml:space="preserve"> It was based on data to 31 December 2020, with commentary about experience to 31 May 2021 (the “previous review”). References to the “previous review” throughout this report refer to results contained within that report.</w:t>
      </w:r>
      <w:r w:rsidR="00274668">
        <w:t xml:space="preserve"> </w:t>
      </w:r>
    </w:p>
    <w:p w14:paraId="633A13CF" w14:textId="77777777" w:rsidR="00274668" w:rsidRPr="00274668" w:rsidRDefault="00274668" w:rsidP="00274668">
      <w:pPr>
        <w:pStyle w:val="FSRHeading4"/>
      </w:pPr>
      <w:r w:rsidRPr="00274668">
        <w:t>Financial sustainability</w:t>
      </w:r>
    </w:p>
    <w:p w14:paraId="4616D3D3" w14:textId="41ADD47F" w:rsidR="00274668" w:rsidRPr="00B56B5D" w:rsidRDefault="00274668" w:rsidP="00274668">
      <w:pPr>
        <w:pStyle w:val="FSRnormal"/>
      </w:pPr>
      <w:r w:rsidRPr="00B56B5D">
        <w:t xml:space="preserve">The </w:t>
      </w:r>
      <w:r w:rsidRPr="00B56B5D">
        <w:rPr>
          <w:i/>
        </w:rPr>
        <w:t>NDIS Insurance Principles and Financial Sustainability Manual</w:t>
      </w:r>
      <w:r w:rsidRPr="00B56B5D">
        <w:rPr>
          <w:rStyle w:val="FootnoteReference"/>
        </w:rPr>
        <w:footnoteReference w:id="3"/>
      </w:r>
      <w:r w:rsidRPr="00B56B5D">
        <w:t xml:space="preserve"> outlines the </w:t>
      </w:r>
      <w:r w:rsidR="009D279F">
        <w:t xml:space="preserve">NDIS’ </w:t>
      </w:r>
      <w:r w:rsidRPr="00B56B5D">
        <w:t>insurance model in detail and defines financial sustainability as the state where:</w:t>
      </w:r>
    </w:p>
    <w:p w14:paraId="74C92781" w14:textId="57EBD994" w:rsidR="00274668" w:rsidRPr="00B56B5D" w:rsidRDefault="00274668" w:rsidP="00274668">
      <w:pPr>
        <w:pStyle w:val="FSRlist"/>
        <w:rPr>
          <w:i/>
        </w:rPr>
      </w:pPr>
      <w:r w:rsidRPr="00B56B5D">
        <w:rPr>
          <w:i/>
        </w:rPr>
        <w:t xml:space="preserve">The </w:t>
      </w:r>
      <w:r w:rsidR="00475322">
        <w:rPr>
          <w:i/>
        </w:rPr>
        <w:t>Scheme</w:t>
      </w:r>
      <w:r w:rsidRPr="00B56B5D">
        <w:rPr>
          <w:i/>
        </w:rPr>
        <w:t xml:space="preserv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63FD889B" w14:textId="77777777" w:rsidR="00274668" w:rsidRPr="00B56B5D" w:rsidRDefault="00274668" w:rsidP="00274668">
      <w:pPr>
        <w:pStyle w:val="FSRlist"/>
        <w:spacing w:after="240"/>
        <w:ind w:left="714" w:hanging="357"/>
        <w:rPr>
          <w:i/>
        </w:rPr>
      </w:pPr>
      <w:r w:rsidRPr="00B56B5D">
        <w:rPr>
          <w:i/>
        </w:rPr>
        <w:t>Contributors think that the cost is and will continue to be affordable, under control, represents value for money and, therefore, remain willing to contribute.</w:t>
      </w:r>
    </w:p>
    <w:p w14:paraId="106E8F2F" w14:textId="40BFBAB4" w:rsidR="00274668" w:rsidRPr="00B56B5D" w:rsidRDefault="00274668" w:rsidP="00274668">
      <w:pPr>
        <w:pStyle w:val="FSRnormal"/>
      </w:pPr>
      <w:r w:rsidRPr="00B56B5D">
        <w:t>The current government expectation of Scheme cost is included in the annual Portfolio Budget Statements (PBS)</w:t>
      </w:r>
      <w:r w:rsidR="009D279F">
        <w:rPr>
          <w:rStyle w:val="FootnoteReference"/>
        </w:rPr>
        <w:footnoteReference w:id="4"/>
      </w:r>
      <w:r w:rsidRPr="00B56B5D">
        <w:t>, noting it is not only the financial cost of the Scheme that is important within the context of financial sustainability, but also the outcomes achieved by the Scheme.</w:t>
      </w:r>
      <w:r w:rsidRPr="00B56B5D">
        <w:rPr>
          <w:rStyle w:val="FootnoteReference"/>
        </w:rPr>
        <w:footnoteReference w:id="5"/>
      </w:r>
    </w:p>
    <w:p w14:paraId="4796ACC5" w14:textId="77777777" w:rsidR="00292A59" w:rsidRDefault="00292A59">
      <w:pPr>
        <w:spacing w:after="160" w:line="259" w:lineRule="auto"/>
        <w:rPr>
          <w:b/>
          <w:i/>
          <w:color w:val="6B2976"/>
          <w:sz w:val="25"/>
        </w:rPr>
      </w:pPr>
      <w:r>
        <w:br w:type="page"/>
      </w:r>
    </w:p>
    <w:p w14:paraId="1124B5BC" w14:textId="6D0DDAFA" w:rsidR="00274668" w:rsidRPr="00274668" w:rsidRDefault="00274668" w:rsidP="00274668">
      <w:pPr>
        <w:pStyle w:val="FSRHeading4"/>
      </w:pPr>
      <w:r w:rsidRPr="00274668">
        <w:lastRenderedPageBreak/>
        <w:t>Projection model</w:t>
      </w:r>
    </w:p>
    <w:p w14:paraId="485C9FE0" w14:textId="0A6D41D6" w:rsidR="00274668" w:rsidRPr="00B56B5D" w:rsidRDefault="00274668" w:rsidP="00274668">
      <w:pPr>
        <w:pStyle w:val="FSRnormal"/>
      </w:pPr>
      <w:r w:rsidRPr="00B56B5D">
        <w:t xml:space="preserve">In projecting future </w:t>
      </w:r>
      <w:r w:rsidR="00475322">
        <w:t>Scheme</w:t>
      </w:r>
      <w:r w:rsidRPr="00B56B5D">
        <w:t xml:space="preserve"> costs, assumptions on both the number of participants in the Scheme and the average payment per participant are required. The number of participants each year is derived based on assumptions on </w:t>
      </w:r>
      <w:r>
        <w:t xml:space="preserve">both </w:t>
      </w:r>
      <w:r w:rsidRPr="00B56B5D">
        <w:t xml:space="preserve">the number of participants entering and </w:t>
      </w:r>
      <w:r>
        <w:t xml:space="preserve">the number of participants </w:t>
      </w:r>
      <w:r w:rsidRPr="00B56B5D">
        <w:t>exiting the Scheme</w:t>
      </w:r>
      <w:r>
        <w:t>. A</w:t>
      </w:r>
      <w:r w:rsidRPr="00B56B5D">
        <w:t>verage payment</w:t>
      </w:r>
      <w:r>
        <w:t>s</w:t>
      </w:r>
      <w:r w:rsidRPr="00B56B5D">
        <w:t xml:space="preserve"> </w:t>
      </w:r>
      <w:r>
        <w:t xml:space="preserve">are </w:t>
      </w:r>
      <w:r w:rsidRPr="00B56B5D">
        <w:t>based on current payment levels which are then inflated each year.</w:t>
      </w:r>
    </w:p>
    <w:p w14:paraId="246E1F28" w14:textId="54E00C89" w:rsidR="00274668" w:rsidRPr="00B56B5D" w:rsidRDefault="00274668" w:rsidP="00274668">
      <w:pPr>
        <w:pStyle w:val="FSRnormal"/>
      </w:pPr>
      <w:r w:rsidRPr="00B56B5D">
        <w:t>Participant characteristics and levels of support need differ substantially amongst participants in the Scheme. Therefore, assumptions on participant numbers and average payments are calibrated by different participant cohorts. Specifically, assumptions are derived by age group, disability, level of function, gender, and whether the participant resides in Supported Independent Living (SIL).</w:t>
      </w:r>
      <w:r w:rsidRPr="00B56B5D">
        <w:rPr>
          <w:rStyle w:val="FootnoteReference"/>
        </w:rPr>
        <w:footnoteReference w:id="6"/>
      </w:r>
      <w:r w:rsidRPr="00B56B5D">
        <w:t xml:space="preserve"> This results in approximately 2,000 unique </w:t>
      </w:r>
      <w:r w:rsidR="00CD3984">
        <w:t>cohorts</w:t>
      </w:r>
      <w:r w:rsidRPr="00B56B5D">
        <w:t xml:space="preserve">. </w:t>
      </w:r>
    </w:p>
    <w:p w14:paraId="2FADFFA6" w14:textId="1F87A193" w:rsidR="00274668" w:rsidRPr="00B56B5D" w:rsidRDefault="00274668" w:rsidP="00274668">
      <w:pPr>
        <w:pStyle w:val="FSRnormal"/>
      </w:pPr>
      <w:r w:rsidRPr="00B56B5D">
        <w:t xml:space="preserve">Assumptions have been set using both past Scheme experience and expectations of future Scheme performance. That is, the </w:t>
      </w:r>
      <w:r w:rsidR="009D279F">
        <w:t xml:space="preserve">best estimate </w:t>
      </w:r>
      <w:r w:rsidRPr="00B56B5D">
        <w:t xml:space="preserve">projection in this report is not </w:t>
      </w:r>
      <w:r w:rsidR="009D279F">
        <w:t xml:space="preserve">simply </w:t>
      </w:r>
      <w:r w:rsidRPr="00B56B5D">
        <w:t>an extrapolation of past Scheme trends</w:t>
      </w:r>
      <w:r w:rsidR="009D279F">
        <w:t xml:space="preserve">; rather, </w:t>
      </w:r>
      <w:r w:rsidRPr="00B56B5D">
        <w:t xml:space="preserve">a forward-looking approach is taken, which assumes </w:t>
      </w:r>
      <w:r>
        <w:t xml:space="preserve">operational </w:t>
      </w:r>
      <w:r w:rsidRPr="00B56B5D">
        <w:t xml:space="preserve">initiatives undertaken by the NDIA will </w:t>
      </w:r>
      <w:r w:rsidR="009D279F">
        <w:t xml:space="preserve">result in </w:t>
      </w:r>
      <w:r w:rsidRPr="00B56B5D">
        <w:t xml:space="preserve">past trends </w:t>
      </w:r>
      <w:r w:rsidR="009D279F">
        <w:t>not necessarily continuing</w:t>
      </w:r>
      <w:r w:rsidR="0039217B">
        <w:t xml:space="preserve"> to the same extent</w:t>
      </w:r>
      <w:r w:rsidRPr="00B56B5D">
        <w:t xml:space="preserve">. </w:t>
      </w:r>
    </w:p>
    <w:p w14:paraId="41354D09" w14:textId="25EFA8CB" w:rsidR="00274668" w:rsidRPr="00B56B5D" w:rsidRDefault="00274668" w:rsidP="00274668">
      <w:pPr>
        <w:pStyle w:val="FSRnormal"/>
      </w:pPr>
      <w:r w:rsidRPr="00B56B5D">
        <w:t xml:space="preserve">As with any projection, there is uncertainty in the results. </w:t>
      </w:r>
      <w:r w:rsidRPr="00F71F20">
        <w:t>As the Scheme continues to mature, Scheme experience can change, perhaps materially, resulting from the decisions and actions of the Agency and governments, and this would affect the eventual trajectory of participant costs</w:t>
      </w:r>
      <w:r w:rsidRPr="00B56B5D">
        <w:t>.</w:t>
      </w:r>
      <w:r w:rsidR="009D279F">
        <w:t xml:space="preserve"> Uncertainty is explored further in </w:t>
      </w:r>
      <w:r w:rsidR="002C3782">
        <w:t>Section 6.1</w:t>
      </w:r>
      <w:r w:rsidR="009D279F">
        <w:t xml:space="preserve">, where plausible </w:t>
      </w:r>
      <w:r w:rsidR="006735F4">
        <w:t xml:space="preserve">high </w:t>
      </w:r>
      <w:r w:rsidR="009D279F">
        <w:t xml:space="preserve">and </w:t>
      </w:r>
      <w:r w:rsidR="006735F4">
        <w:t xml:space="preserve">low </w:t>
      </w:r>
      <w:r w:rsidR="009D279F">
        <w:t xml:space="preserve">case estimates of </w:t>
      </w:r>
      <w:r w:rsidR="00475322">
        <w:t>Scheme</w:t>
      </w:r>
      <w:r w:rsidR="009D279F">
        <w:t xml:space="preserve"> cost are quantified. </w:t>
      </w:r>
    </w:p>
    <w:p w14:paraId="4C32FE96" w14:textId="77777777" w:rsidR="00274668" w:rsidRPr="00274668" w:rsidRDefault="00274668" w:rsidP="00274668">
      <w:pPr>
        <w:pStyle w:val="FSRHeading4"/>
      </w:pPr>
      <w:r w:rsidRPr="00274668">
        <w:t>Number of participants</w:t>
      </w:r>
    </w:p>
    <w:p w14:paraId="5B5DAA11" w14:textId="7E4BD8F0" w:rsidR="00274668" w:rsidRDefault="00274668" w:rsidP="00274668">
      <w:pPr>
        <w:pStyle w:val="FSRnormal"/>
      </w:pPr>
      <w:r w:rsidRPr="00B56B5D">
        <w:t>The number of the participants in the Scheme each year, and the projection of future participants is presented in</w:t>
      </w:r>
      <w:r>
        <w:t xml:space="preserve"> </w:t>
      </w:r>
      <w:r w:rsidRPr="00F72C97">
        <w:rPr>
          <w:u w:val="single"/>
        </w:rPr>
        <w:fldChar w:fldCharType="begin"/>
      </w:r>
      <w:r w:rsidRPr="00F72C97">
        <w:rPr>
          <w:u w:val="single"/>
        </w:rPr>
        <w:instrText xml:space="preserve"> REF _Ref76039126 \h </w:instrText>
      </w:r>
      <w:r w:rsidRPr="00F72C97">
        <w:rPr>
          <w:u w:val="single"/>
        </w:rPr>
      </w:r>
      <w:r w:rsidRPr="00F72C97">
        <w:rPr>
          <w:u w:val="single"/>
        </w:rPr>
        <w:fldChar w:fldCharType="separate"/>
      </w:r>
      <w:r w:rsidR="00E50032" w:rsidRPr="00274668">
        <w:t xml:space="preserve">Figure </w:t>
      </w:r>
      <w:r w:rsidR="00E50032">
        <w:rPr>
          <w:noProof/>
        </w:rPr>
        <w:t>1</w:t>
      </w:r>
      <w:r w:rsidRPr="00F72C97">
        <w:rPr>
          <w:u w:val="single"/>
        </w:rPr>
        <w:fldChar w:fldCharType="end"/>
      </w:r>
      <w:r w:rsidRPr="00F72C97">
        <w:rPr>
          <w:u w:val="single"/>
        </w:rPr>
        <w:t>.</w:t>
      </w:r>
      <w:r w:rsidRPr="00B56B5D">
        <w:t xml:space="preserve"> In 2024-25 it is estimated that there will be </w:t>
      </w:r>
      <w:r>
        <w:t>670,400</w:t>
      </w:r>
      <w:r w:rsidRPr="00B56B5D">
        <w:t xml:space="preserve"> participants in the Scheme (of which </w:t>
      </w:r>
      <w:r w:rsidRPr="00CF372F">
        <w:t>633,596</w:t>
      </w:r>
      <w:r w:rsidRPr="00B56B5D">
        <w:t xml:space="preserve"> are under the age of 65 years), and in 2029-30 it is estimated that the number of participants will increase to </w:t>
      </w:r>
      <w:r>
        <w:t>859,328</w:t>
      </w:r>
      <w:r w:rsidRPr="00B56B5D">
        <w:t xml:space="preserve"> (of which </w:t>
      </w:r>
      <w:r>
        <w:t>798,341</w:t>
      </w:r>
      <w:r w:rsidRPr="00B56B5D">
        <w:t xml:space="preserve"> are under the age of 65 years). These figures are significantly higher than originally envisaged by the Productivity Commission</w:t>
      </w:r>
      <w:r w:rsidR="009D279F">
        <w:t xml:space="preserve"> - </w:t>
      </w:r>
      <w:r w:rsidRPr="00B56B5D">
        <w:t>the 2017</w:t>
      </w:r>
      <w:r>
        <w:t> </w:t>
      </w:r>
      <w:r w:rsidRPr="00B56B5D">
        <w:t>Productivity Commission Study report</w:t>
      </w:r>
      <w:r w:rsidRPr="00B56B5D">
        <w:rPr>
          <w:rStyle w:val="FootnoteReference"/>
          <w:bCs/>
        </w:rPr>
        <w:footnoteReference w:id="7"/>
      </w:r>
      <w:r w:rsidRPr="00B56B5D">
        <w:t xml:space="preserve"> assumed 582,860 participants in the Scheme at 2029-30 (of which 513,162 </w:t>
      </w:r>
      <w:r>
        <w:t xml:space="preserve">would be </w:t>
      </w:r>
      <w:r w:rsidRPr="00B56B5D">
        <w:t>under 65 years).</w:t>
      </w:r>
      <w:r>
        <w:t xml:space="preserve"> </w:t>
      </w:r>
      <w:r w:rsidR="009D279F">
        <w:t>I</w:t>
      </w:r>
      <w:r>
        <w:t>n 2029-</w:t>
      </w:r>
      <w:r w:rsidR="00E30044">
        <w:t>3</w:t>
      </w:r>
      <w:r>
        <w:t xml:space="preserve">0 the number of participants is </w:t>
      </w:r>
      <w:r w:rsidR="009D279F">
        <w:t xml:space="preserve">therefore </w:t>
      </w:r>
      <w:r>
        <w:t xml:space="preserve">estimated to be </w:t>
      </w:r>
      <w:r w:rsidR="00E30044">
        <w:t>276,468</w:t>
      </w:r>
      <w:r>
        <w:t xml:space="preserve"> (or 4</w:t>
      </w:r>
      <w:r w:rsidR="002C3782">
        <w:t>7</w:t>
      </w:r>
      <w:r>
        <w:t xml:space="preserve">%) higher than estimated in the </w:t>
      </w:r>
      <w:r w:rsidRPr="00B56B5D">
        <w:t>2017</w:t>
      </w:r>
      <w:r>
        <w:t> </w:t>
      </w:r>
      <w:r w:rsidRPr="00B56B5D">
        <w:t>Productivity Commission Study report</w:t>
      </w:r>
      <w:r>
        <w:t xml:space="preserve">. </w:t>
      </w:r>
    </w:p>
    <w:p w14:paraId="335230DC" w14:textId="473EA323" w:rsidR="00274668" w:rsidRPr="0068304D" w:rsidRDefault="00274668" w:rsidP="00274668">
      <w:pPr>
        <w:pStyle w:val="FSRnormal"/>
        <w:rPr>
          <w:i/>
        </w:rPr>
      </w:pPr>
      <w:r>
        <w:lastRenderedPageBreak/>
        <w:t xml:space="preserve">The projected number of participants at this review is compared to those from the previous review in </w:t>
      </w:r>
      <w:r w:rsidRPr="003612AA">
        <w:rPr>
          <w:u w:val="single"/>
        </w:rPr>
        <w:fldChar w:fldCharType="begin"/>
      </w:r>
      <w:r w:rsidRPr="003612AA">
        <w:rPr>
          <w:u w:val="single"/>
        </w:rPr>
        <w:instrText xml:space="preserve"> REF _Ref80193757 \h </w:instrText>
      </w:r>
      <w:r w:rsidRPr="003612AA">
        <w:rPr>
          <w:u w:val="single"/>
        </w:rPr>
      </w:r>
      <w:r w:rsidRPr="003612AA">
        <w:rPr>
          <w:u w:val="single"/>
        </w:rPr>
        <w:fldChar w:fldCharType="separate"/>
      </w:r>
      <w:r w:rsidR="00E50032" w:rsidRPr="008023E6">
        <w:t xml:space="preserve">Figure </w:t>
      </w:r>
      <w:r w:rsidR="00E50032">
        <w:rPr>
          <w:noProof/>
        </w:rPr>
        <w:t>2</w:t>
      </w:r>
      <w:r w:rsidRPr="003612AA">
        <w:rPr>
          <w:u w:val="single"/>
        </w:rPr>
        <w:fldChar w:fldCharType="end"/>
      </w:r>
      <w:r>
        <w:t>. It shows that the projection at this review is very similar to the previous review, with the projection ha</w:t>
      </w:r>
      <w:r w:rsidRPr="00D923DF">
        <w:t xml:space="preserve">ving reduced by 1.8% </w:t>
      </w:r>
      <w:r w:rsidR="00E92ABC">
        <w:t>by June 20</w:t>
      </w:r>
      <w:r w:rsidRPr="00D923DF">
        <w:t xml:space="preserve">25 and 1.3% </w:t>
      </w:r>
      <w:r w:rsidR="00E92ABC">
        <w:t>by June 20</w:t>
      </w:r>
      <w:r w:rsidRPr="00D923DF">
        <w:t>30.</w:t>
      </w:r>
    </w:p>
    <w:p w14:paraId="1E46DF11" w14:textId="3ECCE7AB" w:rsidR="00274668" w:rsidRDefault="00274668" w:rsidP="00274668">
      <w:pPr>
        <w:pStyle w:val="Figures"/>
      </w:pPr>
      <w:bookmarkStart w:id="4" w:name="_Ref76039126"/>
      <w:r w:rsidRPr="00274668">
        <w:t xml:space="preserve">Figure </w:t>
      </w:r>
      <w:fldSimple w:instr=" SEQ Figure \* ARABIC ">
        <w:r w:rsidR="00E50032">
          <w:rPr>
            <w:noProof/>
          </w:rPr>
          <w:t>1</w:t>
        </w:r>
      </w:fldSimple>
      <w:bookmarkEnd w:id="4"/>
      <w:r w:rsidRPr="00274668">
        <w:t xml:space="preserve"> Comparison of actuals, future projections (total, and participants aged 0 to 64) and 2017 Productivity Commission estimates</w:t>
      </w:r>
    </w:p>
    <w:p w14:paraId="6F388E99" w14:textId="67C369B5" w:rsidR="00DB1088" w:rsidRPr="00274668" w:rsidRDefault="00DB1088" w:rsidP="00274668">
      <w:pPr>
        <w:pStyle w:val="Figures"/>
      </w:pPr>
      <w:r>
        <w:rPr>
          <w:noProof/>
          <w:lang w:eastAsia="en-AU"/>
        </w:rPr>
        <w:drawing>
          <wp:inline distT="0" distB="0" distL="0" distR="0" wp14:anchorId="4EBB34C5" wp14:editId="3D370303">
            <wp:extent cx="5731510" cy="2460625"/>
            <wp:effectExtent l="0" t="0" r="0" b="3175"/>
            <wp:docPr id="23" name="Picture 23" descr="Line graph showing comparison of actual participant numbers and future participant projections. Actual totals were 164,297 as at 30 June 2018, 286,015 as at 30 June 2019, 391,999 as at 30 June 2020 and 466,619 as at 30 June 2021.&#10;PC estimates were 264,150 as at 30 June 2018, 447,341 as at 30 June 2019, 473,653 as at 30 June 2020, 485,877 as at 30 June 2021, 520,834 as at 30 June 2024, 532,042 as at 30 June 2025 and 582,860 as at 30 June 2030. &#10;The 2020-21 FSR Projection for total participants is 630,327 as at 30 June 2024, 670,400 as at 30 June 2025 and 859,328 as at 30 June 2030.&#10;The 2020-21 FSR projection of participants between ages 0 and 64 is 598,491 as at 30 June 2024, 633,596 as at 30 June 2025 and 798,341 as at 30 June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ine graph showing comparison of actual participant numbers and future participant projections. Actual totals were 164,297 as at 30 June 2018, 286,015 as at 30 June 2019, 391,999 as at 30 June 2020 and 466,619 as at 30 June 2021.&#10;PC estimates were 264,150 as at 30 June 2018, 447,341 as at 30 June 2019, 473,653 as at 30 June 2020, 485,877 as at 30 June 2021, 520,834 as at 30 June 2024, 532,042 as at 30 June 2025 and 582,860 as at 30 June 2030. &#10;The 2020-21 FSR Projection for total participants is 630,327 as at 30 June 2024, 670,400 as at 30 June 2025 and 859,328 as at 30 June 2030.&#10;The 2020-21 FSR projection of participants between ages 0 and 64 is 598,491 as at 30 June 2024, 633,596 as at 30 June 2025 and 798,341 as at 30 June 2030"/>
                    <pic:cNvPicPr/>
                  </pic:nvPicPr>
                  <pic:blipFill>
                    <a:blip r:embed="rId9">
                      <a:extLst>
                        <a:ext uri="{28A0092B-C50C-407E-A947-70E740481C1C}">
                          <a14:useLocalDpi xmlns:a14="http://schemas.microsoft.com/office/drawing/2010/main" val="0"/>
                        </a:ext>
                      </a:extLst>
                    </a:blip>
                    <a:stretch>
                      <a:fillRect/>
                    </a:stretch>
                  </pic:blipFill>
                  <pic:spPr>
                    <a:xfrm>
                      <a:off x="0" y="0"/>
                      <a:ext cx="5731510" cy="2460625"/>
                    </a:xfrm>
                    <a:prstGeom prst="rect">
                      <a:avLst/>
                    </a:prstGeom>
                  </pic:spPr>
                </pic:pic>
              </a:graphicData>
            </a:graphic>
          </wp:inline>
        </w:drawing>
      </w:r>
    </w:p>
    <w:p w14:paraId="1FE850AA" w14:textId="027B607C" w:rsidR="00274668" w:rsidRPr="00B56B5D" w:rsidRDefault="00285A82" w:rsidP="00274668">
      <w:pPr>
        <w:pStyle w:val="FSRnormal"/>
      </w:pPr>
      <w:r w:rsidRPr="00285A82">
        <w:t xml:space="preserve"> </w:t>
      </w:r>
    </w:p>
    <w:p w14:paraId="2E6B5A28" w14:textId="54E8576E" w:rsidR="00274668" w:rsidRPr="008023E6" w:rsidRDefault="00274668" w:rsidP="00274668">
      <w:pPr>
        <w:pStyle w:val="Figures"/>
      </w:pPr>
      <w:bookmarkStart w:id="5" w:name="_Ref80193757"/>
      <w:r w:rsidRPr="008023E6">
        <w:t xml:space="preserve">Figure </w:t>
      </w:r>
      <w:fldSimple w:instr=" SEQ Figure \* ARABIC ">
        <w:r w:rsidR="00E50032">
          <w:rPr>
            <w:noProof/>
          </w:rPr>
          <w:t>2</w:t>
        </w:r>
      </w:fldSimple>
      <w:bookmarkEnd w:id="5"/>
      <w:r w:rsidRPr="008023E6">
        <w:t xml:space="preserve"> </w:t>
      </w:r>
      <w:r>
        <w:t>Comparison of participant number</w:t>
      </w:r>
      <w:r w:rsidR="00D923DF">
        <w:t>s</w:t>
      </w:r>
      <w:r>
        <w:t xml:space="preserve"> to previous review</w:t>
      </w:r>
    </w:p>
    <w:p w14:paraId="12FF7B68" w14:textId="17FA7708" w:rsidR="00274668" w:rsidRPr="00B56B5D" w:rsidRDefault="00E55CF1" w:rsidP="00274668">
      <w:pPr>
        <w:pStyle w:val="FSRnormal"/>
      </w:pPr>
      <w:r>
        <w:rPr>
          <w:noProof/>
          <w:lang w:eastAsia="en-AU"/>
        </w:rPr>
        <w:drawing>
          <wp:inline distT="0" distB="0" distL="0" distR="0" wp14:anchorId="7EB520DB" wp14:editId="05BA5F2F">
            <wp:extent cx="5682220" cy="2480733"/>
            <wp:effectExtent l="0" t="0" r="0" b="0"/>
            <wp:docPr id="30" name="Picture 30" descr="Line graph showing comparison of actual participant numbers and future participant projections. Actual totals were 164,297 as at 30 June 2018, 286,015 as at 30 June 2019, 391,999 as at 30 June 2020 and 466,619 as at 30 June 2021.&#10;The Dec20 FSR Projection as at 30 June 2024 is 643,229, 682,760 as at 30 June 2025 and 870,761 as at 30 June 2030.&#10;The 2020-21 FSR Projection as 30 June 2024 is 630,327, at 30 June 2025 this is at 670,400, at 30 June 2030 this number has increased to 85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e graph showing comparison of actual participant numbers and future participant projections. Actual totals were 164,297 as at 30 June 2018, 286,015 as at 30 June 2019, 391,999 as at 30 June 2020 and 466,619 as at 30 June 2021.&#10;The Dec20 FSR Projection as at 30 June 2024 is 643,229, 682,760 as at 30 June 2025 and 870,761 as at 30 June 2030.&#10;The 2020-21 FSR Projection as 30 June 2024 is 630,327, at 30 June 2025 this is at 670,400, at 30 June 2030 this number has increased to 859,328"/>
                    <pic:cNvPicPr/>
                  </pic:nvPicPr>
                  <pic:blipFill>
                    <a:blip r:embed="rId10">
                      <a:extLst>
                        <a:ext uri="{28A0092B-C50C-407E-A947-70E740481C1C}">
                          <a14:useLocalDpi xmlns:a14="http://schemas.microsoft.com/office/drawing/2010/main" val="0"/>
                        </a:ext>
                      </a:extLst>
                    </a:blip>
                    <a:stretch>
                      <a:fillRect/>
                    </a:stretch>
                  </pic:blipFill>
                  <pic:spPr>
                    <a:xfrm>
                      <a:off x="0" y="0"/>
                      <a:ext cx="5712536" cy="2493968"/>
                    </a:xfrm>
                    <a:prstGeom prst="rect">
                      <a:avLst/>
                    </a:prstGeom>
                  </pic:spPr>
                </pic:pic>
              </a:graphicData>
            </a:graphic>
          </wp:inline>
        </w:drawing>
      </w:r>
      <w:r w:rsidR="00274668" w:rsidRPr="00B56B5D">
        <w:t xml:space="preserve">The </w:t>
      </w:r>
      <w:r w:rsidR="00274668">
        <w:t xml:space="preserve">two </w:t>
      </w:r>
      <w:r w:rsidR="00274668" w:rsidRPr="00B56B5D">
        <w:t xml:space="preserve">drivers in the growth in the number of participants </w:t>
      </w:r>
      <w:r w:rsidR="00D923DF">
        <w:t xml:space="preserve">are </w:t>
      </w:r>
      <w:r w:rsidR="00274668" w:rsidRPr="00B56B5D">
        <w:t xml:space="preserve">the rate of new entrants </w:t>
      </w:r>
      <w:r w:rsidR="00274668">
        <w:t xml:space="preserve">to the Scheme, </w:t>
      </w:r>
      <w:r w:rsidR="00274668" w:rsidRPr="00B56B5D">
        <w:t xml:space="preserve">and the rate at which participants exit the Scheme. The rate of new entrants to the Scheme continues to be </w:t>
      </w:r>
      <w:r w:rsidR="00D923DF">
        <w:t xml:space="preserve">very </w:t>
      </w:r>
      <w:r w:rsidR="002C3782">
        <w:t xml:space="preserve">high, especially </w:t>
      </w:r>
      <w:r w:rsidR="00274668" w:rsidRPr="00B56B5D">
        <w:t xml:space="preserve">in </w:t>
      </w:r>
      <w:r w:rsidR="002C3782">
        <w:t xml:space="preserve">the </w:t>
      </w:r>
      <w:r w:rsidR="00274668" w:rsidRPr="00B56B5D">
        <w:t xml:space="preserve">geographical areas where the Scheme has been operating for several years. As an example, the rate of new entrants in geographical areas that commenced in 2013 </w:t>
      </w:r>
      <w:r w:rsidR="007364FD">
        <w:t>was</w:t>
      </w:r>
      <w:r w:rsidR="007364FD" w:rsidRPr="00B56B5D">
        <w:t xml:space="preserve"> </w:t>
      </w:r>
      <w:r w:rsidR="00274668" w:rsidRPr="00B56B5D">
        <w:t>3</w:t>
      </w:r>
      <w:r w:rsidR="00274668">
        <w:t>41</w:t>
      </w:r>
      <w:r w:rsidR="00274668" w:rsidRPr="00B56B5D">
        <w:t xml:space="preserve"> per 100,000 people</w:t>
      </w:r>
      <w:r w:rsidR="007364FD">
        <w:t xml:space="preserve"> over 2020-21</w:t>
      </w:r>
      <w:r w:rsidR="00274668" w:rsidRPr="00B56B5D">
        <w:t xml:space="preserve">, which is approximately </w:t>
      </w:r>
      <w:r w:rsidR="00274668">
        <w:t>93</w:t>
      </w:r>
      <w:r w:rsidR="00274668" w:rsidRPr="00B56B5D">
        <w:t xml:space="preserve">% higher than the </w:t>
      </w:r>
      <w:r w:rsidR="00B549A8">
        <w:t xml:space="preserve">30 </w:t>
      </w:r>
      <w:r w:rsidR="00274668">
        <w:t xml:space="preserve">June </w:t>
      </w:r>
      <w:r w:rsidR="00B549A8">
        <w:t>20</w:t>
      </w:r>
      <w:r w:rsidR="00274668">
        <w:t>20 AFSR</w:t>
      </w:r>
      <w:r w:rsidR="00274668" w:rsidRPr="00B56B5D">
        <w:t xml:space="preserve"> assumed rate of 177 per 100,000</w:t>
      </w:r>
      <w:r w:rsidR="003679C6">
        <w:t xml:space="preserve"> people</w:t>
      </w:r>
      <w:r w:rsidR="00346512">
        <w:t>,</w:t>
      </w:r>
      <w:r w:rsidR="003679C6">
        <w:t xml:space="preserve"> and 28% higher than the rate assumed at this review of 267 per 100,000 people</w:t>
      </w:r>
      <w:r w:rsidR="00274668" w:rsidRPr="00B56B5D">
        <w:t xml:space="preserve">. </w:t>
      </w:r>
    </w:p>
    <w:p w14:paraId="131719C9" w14:textId="5DECA034" w:rsidR="00274668" w:rsidRPr="00C434EA" w:rsidRDefault="00274668" w:rsidP="00274668">
      <w:pPr>
        <w:pStyle w:val="Figures"/>
      </w:pPr>
      <w:r w:rsidRPr="00C434EA">
        <w:lastRenderedPageBreak/>
        <w:t xml:space="preserve">Figure </w:t>
      </w:r>
      <w:r w:rsidRPr="00C434EA">
        <w:fldChar w:fldCharType="begin"/>
      </w:r>
      <w:r w:rsidRPr="0031019F">
        <w:instrText xml:space="preserve"> SEQ Figure \* ARABIC </w:instrText>
      </w:r>
      <w:r w:rsidRPr="00C434EA">
        <w:fldChar w:fldCharType="separate"/>
      </w:r>
      <w:r w:rsidR="00E50032">
        <w:rPr>
          <w:noProof/>
        </w:rPr>
        <w:t>3</w:t>
      </w:r>
      <w:r w:rsidRPr="00C434EA">
        <w:rPr>
          <w:noProof/>
        </w:rPr>
        <w:fldChar w:fldCharType="end"/>
      </w:r>
      <w:r w:rsidRPr="00C434EA">
        <w:t xml:space="preserve"> </w:t>
      </w:r>
      <w:r w:rsidR="004B6909">
        <w:t>Observed n</w:t>
      </w:r>
      <w:r w:rsidR="004B6909" w:rsidRPr="00FC5C6C">
        <w:t xml:space="preserve">ew incidence </w:t>
      </w:r>
      <w:r w:rsidR="004B6909">
        <w:t xml:space="preserve">rate </w:t>
      </w:r>
      <w:r w:rsidR="004B6909" w:rsidRPr="00FC5C6C">
        <w:t>by phasing yea</w:t>
      </w:r>
      <w:r w:rsidR="004B6909" w:rsidRPr="00AB4E2F">
        <w:t>r</w:t>
      </w:r>
      <w:r w:rsidR="004B6909">
        <w:t xml:space="preserve"> and assumptions at 30 June 2020 and 2021</w:t>
      </w:r>
      <w:r>
        <w:rPr>
          <w:rStyle w:val="FootnoteReference"/>
        </w:rPr>
        <w:footnoteReference w:id="8"/>
      </w:r>
    </w:p>
    <w:p w14:paraId="7844DE93" w14:textId="3FF14D5A" w:rsidR="00274668" w:rsidRPr="00274668" w:rsidRDefault="0039217B" w:rsidP="00274668">
      <w:pPr>
        <w:pStyle w:val="FSRnormal"/>
      </w:pPr>
      <w:r w:rsidRPr="0039217B">
        <w:t xml:space="preserve"> </w:t>
      </w:r>
      <w:r w:rsidRPr="0039217B">
        <w:rPr>
          <w:noProof/>
          <w:lang w:eastAsia="en-AU"/>
        </w:rPr>
        <w:drawing>
          <wp:inline distT="0" distB="0" distL="0" distR="0" wp14:anchorId="787B660B" wp14:editId="3847EEE7">
            <wp:extent cx="5731510" cy="2540114"/>
            <wp:effectExtent l="0" t="0" r="2540" b="0"/>
            <wp:docPr id="458" name="Picture 458" descr="Bar chart showing Observed new incidence rate per 100k people by phasing year and assumptions at 30 June 2020 and 2021. The June 2021 projection assumption is at 267 per 100,000 people, and the projection assumption for June 2020 was 177,  The actual for 2013 is 341, for 2016 is 303, for 2017 is 344, for 2018 is 328 and for 2019 is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Bar chart showing Observed new incidence rate per 100k people by phasing year and assumptions at 30 June 2020 and 2021. The June 2021 projection assumption is at 267 per 100,000 people, and the projection assumption for June 2020 was 177,  The actual for 2013 is 341, for 2016 is 303, for 2017 is 344, for 2018 is 328 and for 2019 is 4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540114"/>
                    </a:xfrm>
                    <a:prstGeom prst="rect">
                      <a:avLst/>
                    </a:prstGeom>
                    <a:noFill/>
                    <a:ln>
                      <a:noFill/>
                    </a:ln>
                  </pic:spPr>
                </pic:pic>
              </a:graphicData>
            </a:graphic>
          </wp:inline>
        </w:drawing>
      </w:r>
    </w:p>
    <w:p w14:paraId="19A48FD3" w14:textId="21C28F92" w:rsidR="00B549A8" w:rsidRPr="00274668" w:rsidRDefault="00B549A8" w:rsidP="00B549A8">
      <w:pPr>
        <w:pStyle w:val="FSRnormal"/>
      </w:pPr>
      <w:r w:rsidRPr="00274668">
        <w:t xml:space="preserve">The assumption adopted </w:t>
      </w:r>
      <w:r>
        <w:t xml:space="preserve">at this review </w:t>
      </w:r>
      <w:r w:rsidRPr="00274668">
        <w:t xml:space="preserve">(267 per 100,000 people), is </w:t>
      </w:r>
      <w:r>
        <w:t xml:space="preserve">lower than </w:t>
      </w:r>
      <w:r w:rsidRPr="00274668">
        <w:t xml:space="preserve">the rates </w:t>
      </w:r>
      <w:r w:rsidR="00285A82">
        <w:t xml:space="preserve">recently </w:t>
      </w:r>
      <w:r w:rsidRPr="00274668">
        <w:t>observed</w:t>
      </w:r>
      <w:r w:rsidR="00285A82">
        <w:t xml:space="preserve"> but higher than the rate assumed at 30 June 2020 and prior reviews</w:t>
      </w:r>
      <w:r w:rsidRPr="00274668">
        <w:t xml:space="preserve">. This </w:t>
      </w:r>
      <w:r>
        <w:t xml:space="preserve">is based on an assumption that </w:t>
      </w:r>
      <w:r w:rsidRPr="00274668">
        <w:t xml:space="preserve">the </w:t>
      </w:r>
      <w:r>
        <w:t xml:space="preserve">longer term rate </w:t>
      </w:r>
      <w:r w:rsidRPr="00274668">
        <w:t xml:space="preserve">of new entrants will be </w:t>
      </w:r>
      <w:r>
        <w:t xml:space="preserve">lower </w:t>
      </w:r>
      <w:r w:rsidRPr="00274668">
        <w:t>than previously observed</w:t>
      </w:r>
      <w:r>
        <w:t>. The adopted assumption is approximately 80% of the observed experience (and approximately 70% for adult participants, where there is greater uncertainty about the long</w:t>
      </w:r>
      <w:r w:rsidR="002C3782">
        <w:t>er</w:t>
      </w:r>
      <w:r>
        <w:t xml:space="preserve"> term number of new participants). There therefore remains </w:t>
      </w:r>
      <w:r w:rsidRPr="00274668">
        <w:t>upside risk in this assumption</w:t>
      </w:r>
      <w:r>
        <w:t xml:space="preserve"> (that is, the risk that participant numbers will be higher)</w:t>
      </w:r>
      <w:r w:rsidRPr="00274668">
        <w:t>.</w:t>
      </w:r>
    </w:p>
    <w:p w14:paraId="59535503" w14:textId="6AE6CF2A" w:rsidR="00DF7EA2" w:rsidRDefault="00B549A8" w:rsidP="00B549A8">
      <w:pPr>
        <w:pStyle w:val="FSRnormal"/>
      </w:pPr>
      <w:r>
        <w:t xml:space="preserve">In response to this uncertainty </w:t>
      </w:r>
      <w:r w:rsidRPr="00274668">
        <w:t xml:space="preserve">the </w:t>
      </w:r>
      <w:r>
        <w:t>A</w:t>
      </w:r>
      <w:r w:rsidRPr="00274668">
        <w:t xml:space="preserve">gency has undertaken </w:t>
      </w:r>
      <w:r>
        <w:t xml:space="preserve">further analysis </w:t>
      </w:r>
      <w:r w:rsidRPr="00274668">
        <w:t xml:space="preserve">to understand the reasons for the high number of new entrants. </w:t>
      </w:r>
      <w:r>
        <w:t>Specifically, a</w:t>
      </w:r>
      <w:r w:rsidRPr="00274668">
        <w:t xml:space="preserve"> sample of recent </w:t>
      </w:r>
      <w:r w:rsidR="00B15E9E">
        <w:t xml:space="preserve">adult </w:t>
      </w:r>
      <w:r w:rsidRPr="00274668">
        <w:t xml:space="preserve">new entrants from </w:t>
      </w:r>
      <w:r>
        <w:t xml:space="preserve">early </w:t>
      </w:r>
      <w:r w:rsidRPr="00274668">
        <w:t>geographic areas was analysed. 61% of the sample was regarded as likely to be true new incidence</w:t>
      </w:r>
      <w:r w:rsidR="00361CA7">
        <w:rPr>
          <w:rStyle w:val="FootnoteReference"/>
        </w:rPr>
        <w:footnoteReference w:id="9"/>
      </w:r>
      <w:r>
        <w:t xml:space="preserve"> (and can therefore be regarded as indicative of future levels of new incidence).</w:t>
      </w:r>
      <w:r w:rsidR="00DF7EA2">
        <w:t xml:space="preserve"> </w:t>
      </w:r>
    </w:p>
    <w:p w14:paraId="16D0046A" w14:textId="0DB3C63C" w:rsidR="00274668" w:rsidRPr="00274668" w:rsidRDefault="00DF7EA2" w:rsidP="00274668">
      <w:pPr>
        <w:pStyle w:val="FSRnormal"/>
      </w:pPr>
      <w:r>
        <w:t>F</w:t>
      </w:r>
      <w:r w:rsidR="00274668" w:rsidRPr="00274668">
        <w:t>or the remain</w:t>
      </w:r>
      <w:r>
        <w:t>ing</w:t>
      </w:r>
      <w:r w:rsidR="00274668" w:rsidRPr="00274668">
        <w:t xml:space="preserve"> 39% it is less clear whether they represent true new incidence or previously unmet need</w:t>
      </w:r>
      <w:r w:rsidR="00361CA7">
        <w:rPr>
          <w:rStyle w:val="FootnoteReference"/>
        </w:rPr>
        <w:footnoteReference w:id="10"/>
      </w:r>
      <w:r>
        <w:t xml:space="preserve"> </w:t>
      </w:r>
      <w:r w:rsidR="00A651B6">
        <w:t xml:space="preserve">(who </w:t>
      </w:r>
      <w:r>
        <w:t xml:space="preserve">would therefore </w:t>
      </w:r>
      <w:r>
        <w:rPr>
          <w:b/>
        </w:rPr>
        <w:t xml:space="preserve">not </w:t>
      </w:r>
      <w:r>
        <w:t>be regarded as indicative of future levels of new incidence</w:t>
      </w:r>
      <w:r w:rsidR="00A651B6">
        <w:t>)</w:t>
      </w:r>
      <w:r w:rsidR="00274668" w:rsidRPr="00274668">
        <w:t xml:space="preserve">. Many of these participants </w:t>
      </w:r>
      <w:r>
        <w:t xml:space="preserve">where there is uncertainty </w:t>
      </w:r>
      <w:r w:rsidR="00274668" w:rsidRPr="00274668">
        <w:t xml:space="preserve">have interacted with the justice and/or mental health systems, and it is plausible to expect that it has taken some time for participants such as these to access the </w:t>
      </w:r>
      <w:r w:rsidR="00475322">
        <w:t>Scheme</w:t>
      </w:r>
      <w:r w:rsidR="00274668" w:rsidRPr="00274668">
        <w:t xml:space="preserve">. Based on the analysis of this sample, the assumed rate of new incidence has been left unchanged since the previous review, as the current assumption does not appear unreasonable. Nonetheless there </w:t>
      </w:r>
      <w:r w:rsidR="00274668" w:rsidRPr="00274668">
        <w:lastRenderedPageBreak/>
        <w:t>remains a high degree of uncertainty around this underlying assumption</w:t>
      </w:r>
      <w:r w:rsidR="0063616E">
        <w:t xml:space="preserve"> (especially considering the </w:t>
      </w:r>
      <w:r w:rsidR="0039217B">
        <w:t xml:space="preserve">range of </w:t>
      </w:r>
      <w:r w:rsidR="00BF7566">
        <w:t>disabilities and conditions of participants entering the Scheme</w:t>
      </w:r>
      <w:r w:rsidR="0063616E">
        <w:t>)</w:t>
      </w:r>
      <w:r w:rsidR="0039217B" w:rsidRPr="00274668">
        <w:t>.</w:t>
      </w:r>
      <w:r w:rsidR="0039217B">
        <w:t xml:space="preserve"> This </w:t>
      </w:r>
      <w:r w:rsidR="00274668" w:rsidRPr="00274668">
        <w:t xml:space="preserve">is further explored in </w:t>
      </w:r>
      <w:r w:rsidR="002C3782">
        <w:t>Section 6.1</w:t>
      </w:r>
      <w:r w:rsidR="00A651B6">
        <w:t xml:space="preserve"> of </w:t>
      </w:r>
      <w:r>
        <w:t>this report</w:t>
      </w:r>
      <w:r w:rsidR="00274668" w:rsidRPr="00274668">
        <w:t xml:space="preserve">.  </w:t>
      </w:r>
    </w:p>
    <w:p w14:paraId="2A227B0F" w14:textId="1C23BBB9" w:rsidR="00D600C5" w:rsidRDefault="00DB257D" w:rsidP="00D600C5">
      <w:pPr>
        <w:pStyle w:val="FSRnormal"/>
      </w:pPr>
      <w:r w:rsidRPr="00274668">
        <w:t xml:space="preserve">The rate at which participants exit the Scheme for reasons other than mortality is also lower than </w:t>
      </w:r>
      <w:r w:rsidR="00742D5B">
        <w:t>e</w:t>
      </w:r>
      <w:r w:rsidR="00A21E9B">
        <w:t>xpected</w:t>
      </w:r>
      <w:r w:rsidRPr="00274668">
        <w:t xml:space="preserve">. Section 25 of the NDIS Act allows participants to enter the Scheme to receive early intervention support, and it was assumed that some participants would receive this support and then be supported by mainstream and community services. </w:t>
      </w:r>
      <w:r>
        <w:t>However, t</w:t>
      </w:r>
      <w:r w:rsidRPr="00274668">
        <w:t xml:space="preserve">he rate of non-mortality exits compared to expectations in the year to 30 June 2021 </w:t>
      </w:r>
      <w:r>
        <w:t>(</w:t>
      </w:r>
      <w:r w:rsidRPr="00274668">
        <w:t xml:space="preserve">as seen in </w:t>
      </w:r>
      <w:r>
        <w:fldChar w:fldCharType="begin"/>
      </w:r>
      <w:r>
        <w:instrText xml:space="preserve"> REF _Ref76038125 \h </w:instrText>
      </w:r>
      <w:r>
        <w:fldChar w:fldCharType="separate"/>
      </w:r>
      <w:r w:rsidR="00E50032" w:rsidRPr="00274668">
        <w:t xml:space="preserve">Figure </w:t>
      </w:r>
      <w:r w:rsidR="00E50032">
        <w:rPr>
          <w:noProof/>
        </w:rPr>
        <w:t>4</w:t>
      </w:r>
      <w:r>
        <w:fldChar w:fldCharType="end"/>
      </w:r>
      <w:r>
        <w:t xml:space="preserve"> </w:t>
      </w:r>
      <w:r w:rsidRPr="00274668">
        <w:t xml:space="preserve">and </w:t>
      </w:r>
      <w:r>
        <w:fldChar w:fldCharType="begin"/>
      </w:r>
      <w:r>
        <w:instrText xml:space="preserve"> REF _Ref76038131 \h </w:instrText>
      </w:r>
      <w:r>
        <w:fldChar w:fldCharType="separate"/>
      </w:r>
      <w:r w:rsidR="00E50032" w:rsidRPr="00274668">
        <w:t xml:space="preserve">Figure </w:t>
      </w:r>
      <w:r w:rsidR="00E50032">
        <w:rPr>
          <w:noProof/>
        </w:rPr>
        <w:t>5</w:t>
      </w:r>
      <w:r>
        <w:fldChar w:fldCharType="end"/>
      </w:r>
      <w:r>
        <w:t xml:space="preserve"> </w:t>
      </w:r>
      <w:r w:rsidRPr="00274668">
        <w:t>below</w:t>
      </w:r>
      <w:r>
        <w:t>), is considerably less than the current long term assumption</w:t>
      </w:r>
      <w:r w:rsidRPr="00274668">
        <w:t>. For example, non-mortality exit rates were assumed to be 1.</w:t>
      </w:r>
      <w:r w:rsidR="00B13C8E">
        <w:t>02</w:t>
      </w:r>
      <w:r w:rsidRPr="00274668">
        <w:t>% for 0-6 year olds, and the rate in the past year to 30 June 21 was 0.75%.</w:t>
      </w:r>
      <w:r w:rsidR="00D600C5" w:rsidRPr="00274668">
        <w:t xml:space="preserve"> </w:t>
      </w:r>
    </w:p>
    <w:p w14:paraId="45460184" w14:textId="7FF810E9" w:rsidR="00274668" w:rsidRPr="00274668" w:rsidRDefault="00046B31" w:rsidP="00D600C5">
      <w:pPr>
        <w:pStyle w:val="FSRnormal"/>
      </w:pPr>
      <w:r w:rsidRPr="006D1C72">
        <w:t>Similarly, f</w:t>
      </w:r>
      <w:r w:rsidR="00D600C5" w:rsidRPr="00AF1790">
        <w:t>or participants aged 7+ years</w:t>
      </w:r>
      <w:r w:rsidRPr="006D1C72">
        <w:t>,</w:t>
      </w:r>
      <w:r w:rsidR="00D600C5" w:rsidRPr="00AF1790">
        <w:t xml:space="preserve"> the actual </w:t>
      </w:r>
      <w:r w:rsidRPr="006D1C72">
        <w:t xml:space="preserve">non-mortality exit rate </w:t>
      </w:r>
      <w:r w:rsidR="00D600C5" w:rsidRPr="00AF1790">
        <w:t xml:space="preserve">experience to 30 June 2021 remains noticeably lower </w:t>
      </w:r>
      <w:r w:rsidR="00F97733" w:rsidRPr="00AF1790">
        <w:t xml:space="preserve">than </w:t>
      </w:r>
      <w:r w:rsidR="00D600C5" w:rsidRPr="00AF1790">
        <w:t xml:space="preserve">the long term assumptions. </w:t>
      </w:r>
      <w:r w:rsidR="001C72E3" w:rsidRPr="00AF1790" w:rsidDel="001C72E3">
        <w:t xml:space="preserve"> </w:t>
      </w:r>
    </w:p>
    <w:p w14:paraId="1C1050AB" w14:textId="53B4C12B" w:rsidR="00274668" w:rsidRPr="00274668" w:rsidRDefault="00274668" w:rsidP="00274668">
      <w:pPr>
        <w:pStyle w:val="Figures"/>
      </w:pPr>
      <w:bookmarkStart w:id="6" w:name="_Ref76038125"/>
      <w:r w:rsidRPr="00274668">
        <w:t xml:space="preserve">Figure </w:t>
      </w:r>
      <w:fldSimple w:instr=" SEQ Figure \* ARABIC ">
        <w:r w:rsidR="00E50032">
          <w:rPr>
            <w:noProof/>
          </w:rPr>
          <w:t>4</w:t>
        </w:r>
      </w:fldSimple>
      <w:bookmarkEnd w:id="6"/>
      <w:r w:rsidRPr="00274668">
        <w:t xml:space="preserve"> Actual versus expected non-mortality exits for participants aged 0 to 6</w:t>
      </w:r>
    </w:p>
    <w:p w14:paraId="38F373DB" w14:textId="5157A13E" w:rsidR="00274668" w:rsidRPr="00274668" w:rsidRDefault="00DB513D" w:rsidP="00274668">
      <w:pPr>
        <w:pStyle w:val="FSRnormal"/>
      </w:pPr>
      <w:r>
        <w:rPr>
          <w:noProof/>
          <w:lang w:eastAsia="en-AU"/>
        </w:rPr>
        <w:drawing>
          <wp:inline distT="0" distB="0" distL="0" distR="0" wp14:anchorId="29D1B512" wp14:editId="66502CFD">
            <wp:extent cx="5731510" cy="2456180"/>
            <wp:effectExtent l="0" t="0" r="0" b="0"/>
            <wp:docPr id="34" name="Picture 34" descr="Bar and line graph showing actual versus expected non-mortality exits for participants aged 0 to 6. The Long Term expected non-mortality exit rate is 3.09%, &#10;The 2021-22 Expected non-mortality rate is 1.02%&#10;The actual non-mortality exit rates were 2.19% in the quarter ending June 2018, 1.10% in the quarter ending June 2019, 0.45% in the quarter ending June 2020, and 0.75% in the quarter ending Jun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Bar and line graph showing actual versus expected non-mortality exits for participants aged 0 to 6. The Long Term expected non-mortality exit rate is 3.09%, &#10;The 2021-22 Expected non-mortality rate is 1.02%&#10;The actual non-mortality exit rates were 2.19% in the quarter ending June 2018, 1.10% in the quarter ending June 2019, 0.45% in the quarter ending June 2020, and 0.75% in the quarter ending June 2021."/>
                    <pic:cNvPicPr/>
                  </pic:nvPicPr>
                  <pic:blipFill>
                    <a:blip r:embed="rId12">
                      <a:extLst>
                        <a:ext uri="{28A0092B-C50C-407E-A947-70E740481C1C}">
                          <a14:useLocalDpi xmlns:a14="http://schemas.microsoft.com/office/drawing/2010/main" val="0"/>
                        </a:ext>
                      </a:extLst>
                    </a:blip>
                    <a:stretch>
                      <a:fillRect/>
                    </a:stretch>
                  </pic:blipFill>
                  <pic:spPr>
                    <a:xfrm>
                      <a:off x="0" y="0"/>
                      <a:ext cx="5731510" cy="2456180"/>
                    </a:xfrm>
                    <a:prstGeom prst="rect">
                      <a:avLst/>
                    </a:prstGeom>
                  </pic:spPr>
                </pic:pic>
              </a:graphicData>
            </a:graphic>
          </wp:inline>
        </w:drawing>
      </w:r>
    </w:p>
    <w:p w14:paraId="6EB07A30" w14:textId="2E4E9305" w:rsidR="00274668" w:rsidRPr="00274668" w:rsidRDefault="00274668" w:rsidP="00274668">
      <w:pPr>
        <w:pStyle w:val="Figures"/>
      </w:pPr>
      <w:bookmarkStart w:id="7" w:name="_Ref76038131"/>
      <w:r w:rsidRPr="00274668">
        <w:t xml:space="preserve">Figure </w:t>
      </w:r>
      <w:fldSimple w:instr=" SEQ Figure \* ARABIC ">
        <w:r w:rsidR="00E50032">
          <w:rPr>
            <w:noProof/>
          </w:rPr>
          <w:t>5</w:t>
        </w:r>
      </w:fldSimple>
      <w:bookmarkEnd w:id="7"/>
      <w:r w:rsidRPr="00274668">
        <w:t xml:space="preserve"> Actual versus expected non-mortality exits for participants aged over 7</w:t>
      </w:r>
    </w:p>
    <w:p w14:paraId="034C7748" w14:textId="30C67EB1" w:rsidR="00274668" w:rsidRPr="00274668" w:rsidRDefault="00BD0E87" w:rsidP="00274668">
      <w:pPr>
        <w:pStyle w:val="FSRnormal"/>
      </w:pPr>
      <w:r>
        <w:rPr>
          <w:noProof/>
          <w:lang w:eastAsia="en-AU"/>
        </w:rPr>
        <w:drawing>
          <wp:inline distT="0" distB="0" distL="0" distR="0" wp14:anchorId="49F71C19" wp14:editId="47CA6D10">
            <wp:extent cx="5731510" cy="2242185"/>
            <wp:effectExtent l="0" t="0" r="0" b="5715"/>
            <wp:docPr id="31" name="Picture 31" descr="Bar and line graph showing actual versus expected non-mortality exits for participants aged over 7. The Long term expected non-mortality exit rate was 1.41%,&#10;The 2021-2022 expected non mortality exit rate is 0.46%&#10;actual non-mortality exit rates were 1.02% in the quarter ending June 2018, 0.62% in the quarter ending June 2019, 0.52% in the quarter ending June 2020, and 0.60% in the quarter ending June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Bar and line graph showing actual versus expected non-mortality exits for participants aged over 7. The Long term expected non-mortality exit rate was 1.41%,&#10;The 2021-2022 expected non mortality exit rate is 0.46%&#10;actual non-mortality exit rates were 1.02% in the quarter ending June 2018, 0.62% in the quarter ending June 2019, 0.52% in the quarter ending June 2020, and 0.60% in the quarter ending June 2021.&#10;"/>
                    <pic:cNvPicPr/>
                  </pic:nvPicPr>
                  <pic:blipFill>
                    <a:blip r:embed="rId13">
                      <a:extLst>
                        <a:ext uri="{28A0092B-C50C-407E-A947-70E740481C1C}">
                          <a14:useLocalDpi xmlns:a14="http://schemas.microsoft.com/office/drawing/2010/main" val="0"/>
                        </a:ext>
                      </a:extLst>
                    </a:blip>
                    <a:stretch>
                      <a:fillRect/>
                    </a:stretch>
                  </pic:blipFill>
                  <pic:spPr>
                    <a:xfrm>
                      <a:off x="0" y="0"/>
                      <a:ext cx="5731510" cy="2242185"/>
                    </a:xfrm>
                    <a:prstGeom prst="rect">
                      <a:avLst/>
                    </a:prstGeom>
                  </pic:spPr>
                </pic:pic>
              </a:graphicData>
            </a:graphic>
          </wp:inline>
        </w:drawing>
      </w:r>
      <w:r w:rsidR="00274668" w:rsidRPr="00274668">
        <w:t xml:space="preserve"> </w:t>
      </w:r>
    </w:p>
    <w:p w14:paraId="61374A34" w14:textId="4EC0373A" w:rsidR="005E7D65" w:rsidRPr="00274668" w:rsidRDefault="00040D36" w:rsidP="005E7D65">
      <w:pPr>
        <w:pStyle w:val="FSRnormal"/>
      </w:pPr>
      <w:r w:rsidRPr="00274668">
        <w:lastRenderedPageBreak/>
        <w:t>There remains significant uncertainty around th</w:t>
      </w:r>
      <w:r>
        <w:t>ese assumptions</w:t>
      </w:r>
      <w:r w:rsidRPr="00274668">
        <w:t>. In light of this</w:t>
      </w:r>
      <w:r>
        <w:t xml:space="preserve"> uncertainty </w:t>
      </w:r>
      <w:r w:rsidRPr="00274668">
        <w:t xml:space="preserve">the </w:t>
      </w:r>
      <w:r w:rsidR="00292EA6" w:rsidRPr="00274668">
        <w:t>long-term</w:t>
      </w:r>
      <w:r w:rsidRPr="00274668">
        <w:t xml:space="preserve"> exit rate assumptions have remained unchanged from </w:t>
      </w:r>
      <w:r>
        <w:t xml:space="preserve">the </w:t>
      </w:r>
      <w:r w:rsidRPr="00274668">
        <w:t>previous review</w:t>
      </w:r>
      <w:r>
        <w:t xml:space="preserve">. It continues to be assumed </w:t>
      </w:r>
      <w:r w:rsidR="00274668" w:rsidRPr="00274668">
        <w:t xml:space="preserve">that rates of exit will increase as </w:t>
      </w:r>
      <w:r w:rsidR="002C3782">
        <w:t xml:space="preserve">participants </w:t>
      </w:r>
      <w:r>
        <w:t>receive</w:t>
      </w:r>
      <w:r w:rsidR="00274668" w:rsidRPr="00274668">
        <w:t xml:space="preserve"> early intervention support</w:t>
      </w:r>
      <w:r w:rsidR="002C3782">
        <w:t>s</w:t>
      </w:r>
      <w:r w:rsidR="00274668" w:rsidRPr="00274668">
        <w:t xml:space="preserve">, and the NDIA focuses on ensuring participants continue to meet the access criteria (as per the NDIS Act). </w:t>
      </w:r>
      <w:r>
        <w:t xml:space="preserve">As the current </w:t>
      </w:r>
      <w:r w:rsidR="00292EA6">
        <w:t>long-term</w:t>
      </w:r>
      <w:r>
        <w:t xml:space="preserve"> assumption is considerably higher than observed experience, there a</w:t>
      </w:r>
      <w:r w:rsidR="00274668" w:rsidRPr="00274668">
        <w:t xml:space="preserve">gain </w:t>
      </w:r>
      <w:r>
        <w:t xml:space="preserve">remains </w:t>
      </w:r>
      <w:r w:rsidRPr="00274668">
        <w:t>upside risk in this assumption</w:t>
      </w:r>
      <w:r w:rsidR="00D600C5">
        <w:t xml:space="preserve"> (that is, the risk that participant numbers will be higher)</w:t>
      </w:r>
      <w:r w:rsidRPr="00274668">
        <w:t>.</w:t>
      </w:r>
      <w:r w:rsidR="005E7D65">
        <w:t xml:space="preserve"> An alternative scenario regarding the rate of non-mortality exits is considered in Section 6.1.  </w:t>
      </w:r>
    </w:p>
    <w:p w14:paraId="6B75BDCC" w14:textId="523F8E4B" w:rsidR="001C72E3" w:rsidRDefault="001C72E3" w:rsidP="001C72E3">
      <w:pPr>
        <w:pStyle w:val="FSRnormal"/>
        <w:rPr>
          <w:rFonts w:cs="Arial"/>
        </w:rPr>
      </w:pPr>
      <w:r w:rsidRPr="00E64BE8">
        <w:t xml:space="preserve">Since the previous </w:t>
      </w:r>
      <w:r>
        <w:t>review</w:t>
      </w:r>
      <w:r w:rsidRPr="00E64BE8">
        <w:t>, analysis has been undertaken to understand the composition of the new SIL participant intake between those participants transitioning from existing schemes and those who were new to disability supports. This indicate</w:t>
      </w:r>
      <w:r>
        <w:t>d</w:t>
      </w:r>
      <w:r w:rsidRPr="00E64BE8">
        <w:t xml:space="preserve"> that the number of new SIL participants who were new to disability supports is lower than the assumption at the previous </w:t>
      </w:r>
      <w:r>
        <w:t>review</w:t>
      </w:r>
      <w:r w:rsidRPr="00E64BE8">
        <w:t xml:space="preserve">. </w:t>
      </w:r>
      <w:r>
        <w:rPr>
          <w:rFonts w:cs="Arial"/>
        </w:rPr>
        <w:fldChar w:fldCharType="begin"/>
      </w:r>
      <w:r>
        <w:instrText xml:space="preserve"> REF _Ref80700999 \h </w:instrText>
      </w:r>
      <w:r>
        <w:rPr>
          <w:rFonts w:cs="Arial"/>
        </w:rPr>
      </w:r>
      <w:r>
        <w:rPr>
          <w:rFonts w:cs="Arial"/>
        </w:rPr>
        <w:fldChar w:fldCharType="separate"/>
      </w:r>
      <w:r w:rsidR="00E50032" w:rsidRPr="00392A9A">
        <w:t xml:space="preserve">Figure </w:t>
      </w:r>
      <w:r w:rsidR="00E50032">
        <w:rPr>
          <w:noProof/>
        </w:rPr>
        <w:t>6</w:t>
      </w:r>
      <w:r>
        <w:rPr>
          <w:rFonts w:cs="Arial"/>
        </w:rPr>
        <w:fldChar w:fldCharType="end"/>
      </w:r>
      <w:r>
        <w:rPr>
          <w:rFonts w:cs="Arial"/>
        </w:rPr>
        <w:t xml:space="preserve"> below highlights that the revised projection is more in line with the actual new entrant net intake than was the previous projection. </w:t>
      </w:r>
    </w:p>
    <w:p w14:paraId="1EFF2DC1" w14:textId="41B35E7A" w:rsidR="001C72E3" w:rsidRPr="00392A9A" w:rsidRDefault="001C72E3" w:rsidP="001C72E3">
      <w:pPr>
        <w:pStyle w:val="Figures"/>
      </w:pPr>
      <w:bookmarkStart w:id="8" w:name="_Ref80700999"/>
      <w:r w:rsidRPr="00392A9A">
        <w:t xml:space="preserve">Figure </w:t>
      </w:r>
      <w:fldSimple w:instr=" SEQ Figure \* ARABIC ">
        <w:r w:rsidR="00E50032">
          <w:rPr>
            <w:noProof/>
          </w:rPr>
          <w:t>6</w:t>
        </w:r>
      </w:fldSimple>
      <w:bookmarkEnd w:id="8"/>
      <w:r w:rsidRPr="00392A9A">
        <w:t xml:space="preserve"> SIL participants intake experience to date and trajectory</w:t>
      </w:r>
      <w:r w:rsidR="00035E5D">
        <w:rPr>
          <w:rStyle w:val="FootnoteReference"/>
        </w:rPr>
        <w:footnoteReference w:id="11"/>
      </w:r>
    </w:p>
    <w:p w14:paraId="214E845F" w14:textId="354A885F" w:rsidR="001C72E3" w:rsidRDefault="003C4061" w:rsidP="001C72E3">
      <w:pPr>
        <w:pStyle w:val="FSRHeading4"/>
      </w:pPr>
      <w:r>
        <w:rPr>
          <w:noProof/>
          <w:lang w:eastAsia="en-AU"/>
        </w:rPr>
        <w:drawing>
          <wp:inline distT="0" distB="0" distL="0" distR="0" wp14:anchorId="075E6567" wp14:editId="149C7158">
            <wp:extent cx="5731510" cy="2948448"/>
            <wp:effectExtent l="0" t="0" r="0" b="0"/>
            <wp:docPr id="35" name="Picture 35" descr="Line Graph showing SIL participants intake experience to date and trajectory. The Actual combined net intake as at 30 June 2018 is 5,867, as at 30 June 2019 this is at 8,389, 3,067 at 30 June 2020 and 1,201 at 30 June 2021. The Actual New Entrants net intake as at 30 June 2018 is at 48, 430 as at 30 June 2019 and 767 at 30 June 2020. The Dec20 Projected net intake is 2,859 as at 30 June 2022, 2,673 as at 30 June 2023, 2,362 as at 30 June 2024, 1,560 as at 30 June 2025, 1,644 as at 30 June 2026, 1,729 as at 30 June 2027, 1,813 as at 30 June 2028, 1,889 as at 30 June 2029 and 1,994 as at 30 June 2030. The Jun21 Projected net intake is 1,113 as at 30 June 2022, 905 as at 30 June 2023, 1,006 as at 30 June 2024, 1,015 as at 30 June 2025, 1,067 as at 30 June 2026, 1,106 as at 30 June 2027, 1,166 as at 30 June 2028, 1,195 as at 30 June 2029 and 1,261 as at 30 June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ine Graph showing SIL participants intake experience to date and trajectory. The Actual combined net intake as at 30 June 2018 is 5,867, as at 30 June 2019 this is at 8,389, 3,067 at 30 June 2020 and 1,201 at 30 June 2021. The Actual New Entrants net intake as at 30 June 2018 is at 48, 430 as at 30 June 2019 and 767 at 30 June 2020. The Dec20 Projected net intake is 2,859 as at 30 June 2022, 2,673 as at 30 June 2023, 2,362 as at 30 June 2024, 1,560 as at 30 June 2025, 1,644 as at 30 June 2026, 1,729 as at 30 June 2027, 1,813 as at 30 June 2028, 1,889 as at 30 June 2029 and 1,994 as at 30 June 2030. The Jun21 Projected net intake is 1,113 as at 30 June 2022, 905 as at 30 June 2023, 1,006 as at 30 June 2024, 1,015 as at 30 June 2025, 1,067 as at 30 June 2026, 1,106 as at 30 June 2027, 1,166 as at 30 June 2028, 1,195 as at 30 June 2029 and 1,261 as at 30 June 2030"/>
                    <pic:cNvPicPr/>
                  </pic:nvPicPr>
                  <pic:blipFill>
                    <a:blip r:embed="rId14">
                      <a:extLst>
                        <a:ext uri="{28A0092B-C50C-407E-A947-70E740481C1C}">
                          <a14:useLocalDpi xmlns:a14="http://schemas.microsoft.com/office/drawing/2010/main" val="0"/>
                        </a:ext>
                      </a:extLst>
                    </a:blip>
                    <a:stretch>
                      <a:fillRect/>
                    </a:stretch>
                  </pic:blipFill>
                  <pic:spPr>
                    <a:xfrm>
                      <a:off x="0" y="0"/>
                      <a:ext cx="5731510" cy="2948448"/>
                    </a:xfrm>
                    <a:prstGeom prst="rect">
                      <a:avLst/>
                    </a:prstGeom>
                  </pic:spPr>
                </pic:pic>
              </a:graphicData>
            </a:graphic>
          </wp:inline>
        </w:drawing>
      </w:r>
    </w:p>
    <w:p w14:paraId="29FD0749" w14:textId="146C7EF0" w:rsidR="00274668" w:rsidRPr="00274668" w:rsidRDefault="00274668" w:rsidP="00274668">
      <w:pPr>
        <w:pStyle w:val="FSRHeading4"/>
      </w:pPr>
      <w:r w:rsidRPr="00274668">
        <w:t>Average payments per participant</w:t>
      </w:r>
    </w:p>
    <w:p w14:paraId="6B0D501C" w14:textId="5DDF28EA" w:rsidR="00274668" w:rsidRPr="00274668" w:rsidRDefault="00274668" w:rsidP="00274668">
      <w:pPr>
        <w:pStyle w:val="FSRnormal"/>
      </w:pPr>
      <w:r w:rsidRPr="00274668">
        <w:t>Average annualised payments have continued to increase year on year (</w:t>
      </w:r>
      <w:r w:rsidRPr="003C4061">
        <w:rPr>
          <w:u w:val="single"/>
        </w:rPr>
        <w:fldChar w:fldCharType="begin"/>
      </w:r>
      <w:r w:rsidRPr="003C4061">
        <w:rPr>
          <w:u w:val="single"/>
        </w:rPr>
        <w:instrText xml:space="preserve"> REF _Ref76039518 \h  \* MERGEFORMAT </w:instrText>
      </w:r>
      <w:r w:rsidRPr="003C4061">
        <w:rPr>
          <w:u w:val="single"/>
        </w:rPr>
      </w:r>
      <w:r w:rsidRPr="003C4061">
        <w:rPr>
          <w:u w:val="single"/>
        </w:rPr>
        <w:fldChar w:fldCharType="separate"/>
      </w:r>
      <w:r w:rsidR="00E50032" w:rsidRPr="00E50032">
        <w:rPr>
          <w:u w:val="single"/>
        </w:rPr>
        <w:t xml:space="preserve">Figure </w:t>
      </w:r>
      <w:r w:rsidR="00E50032" w:rsidRPr="00E50032">
        <w:rPr>
          <w:noProof/>
          <w:u w:val="single"/>
        </w:rPr>
        <w:t>7</w:t>
      </w:r>
      <w:r w:rsidRPr="003C4061">
        <w:rPr>
          <w:u w:val="single"/>
        </w:rPr>
        <w:fldChar w:fldCharType="end"/>
      </w:r>
      <w:r w:rsidRPr="00274668">
        <w:t xml:space="preserve">). </w:t>
      </w:r>
      <w:r w:rsidR="00040D36">
        <w:t>A</w:t>
      </w:r>
      <w:r w:rsidRPr="00274668">
        <w:t>verage payment</w:t>
      </w:r>
      <w:r w:rsidR="00040D36">
        <w:t xml:space="preserve">s have increased by </w:t>
      </w:r>
      <w:r w:rsidRPr="00274668">
        <w:t>11.8%</w:t>
      </w:r>
      <w:r w:rsidR="00035E5D">
        <w:t xml:space="preserve"> </w:t>
      </w:r>
      <w:r w:rsidR="00040D36">
        <w:t>p.a.</w:t>
      </w:r>
      <w:r w:rsidRPr="00274668">
        <w:t xml:space="preserve"> over the last four years. </w:t>
      </w:r>
    </w:p>
    <w:p w14:paraId="78C74525" w14:textId="4AF9A86C" w:rsidR="00274668" w:rsidRDefault="00274668" w:rsidP="00274668">
      <w:pPr>
        <w:pStyle w:val="Figures"/>
      </w:pPr>
      <w:bookmarkStart w:id="9" w:name="_Ref76039518"/>
      <w:r w:rsidRPr="00C578EB">
        <w:lastRenderedPageBreak/>
        <w:t xml:space="preserve">Figure </w:t>
      </w:r>
      <w:r w:rsidRPr="00597704">
        <w:fldChar w:fldCharType="begin"/>
      </w:r>
      <w:r w:rsidRPr="00C578EB">
        <w:instrText xml:space="preserve"> SEQ Figure \* ARABIC </w:instrText>
      </w:r>
      <w:r w:rsidRPr="00597704">
        <w:fldChar w:fldCharType="separate"/>
      </w:r>
      <w:r w:rsidR="00E50032">
        <w:rPr>
          <w:noProof/>
        </w:rPr>
        <w:t>7</w:t>
      </w:r>
      <w:r w:rsidRPr="00597704">
        <w:rPr>
          <w:noProof/>
        </w:rPr>
        <w:fldChar w:fldCharType="end"/>
      </w:r>
      <w:bookmarkEnd w:id="9"/>
      <w:r w:rsidRPr="00C578EB">
        <w:t xml:space="preserve"> </w:t>
      </w:r>
      <w:r w:rsidRPr="00C64C21">
        <w:t>Average annualised payments o</w:t>
      </w:r>
      <w:r>
        <w:t>ver time</w:t>
      </w:r>
      <w:r>
        <w:rPr>
          <w:rStyle w:val="FootnoteReference"/>
        </w:rPr>
        <w:footnoteReference w:id="12"/>
      </w:r>
    </w:p>
    <w:p w14:paraId="0FB489C4" w14:textId="4B4891FD" w:rsidR="00274668" w:rsidRPr="00C578EB" w:rsidRDefault="00D44D36" w:rsidP="00274668">
      <w:pPr>
        <w:pStyle w:val="FSRnormal"/>
      </w:pPr>
      <w:r>
        <w:rPr>
          <w:noProof/>
          <w:lang w:eastAsia="en-AU"/>
        </w:rPr>
        <w:drawing>
          <wp:inline distT="0" distB="0" distL="0" distR="0" wp14:anchorId="3A156895" wp14:editId="6259F584">
            <wp:extent cx="3234267" cy="2606723"/>
            <wp:effectExtent l="0" t="0" r="4445" b="0"/>
            <wp:docPr id="55" name="Picture 55" descr="Bar and line graph showing average annualised payments per participant increasing by 11.8% per annum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Bar and line graph showing average annualised payments per participant increasing by 11.8% per annum over time."/>
                    <pic:cNvPicPr/>
                  </pic:nvPicPr>
                  <pic:blipFill>
                    <a:blip r:embed="rId15">
                      <a:extLst>
                        <a:ext uri="{28A0092B-C50C-407E-A947-70E740481C1C}">
                          <a14:useLocalDpi xmlns:a14="http://schemas.microsoft.com/office/drawing/2010/main" val="0"/>
                        </a:ext>
                      </a:extLst>
                    </a:blip>
                    <a:stretch>
                      <a:fillRect/>
                    </a:stretch>
                  </pic:blipFill>
                  <pic:spPr>
                    <a:xfrm>
                      <a:off x="0" y="0"/>
                      <a:ext cx="3317525" cy="2673827"/>
                    </a:xfrm>
                    <a:prstGeom prst="rect">
                      <a:avLst/>
                    </a:prstGeom>
                  </pic:spPr>
                </pic:pic>
              </a:graphicData>
            </a:graphic>
          </wp:inline>
        </w:drawing>
      </w:r>
    </w:p>
    <w:p w14:paraId="1EEF4823" w14:textId="74CFF627" w:rsidR="007A577A" w:rsidRDefault="007A577A" w:rsidP="007A577A">
      <w:pPr>
        <w:pStyle w:val="FSRnormal"/>
      </w:pPr>
      <w:r w:rsidRPr="00717B82">
        <w:t xml:space="preserve">Over the past four years, the mix of participants in the Scheme has changed. That is, as the Scheme has rolled out across the country, the proportion of participants by different characteristics has changed. </w:t>
      </w:r>
      <w:r w:rsidR="002C3782">
        <w:t>In particular,</w:t>
      </w:r>
      <w:r w:rsidRPr="00717B82">
        <w:t xml:space="preserve"> the proportion of children in the Scheme is higher in 2020-21 compared with 2017-18, and the proportion of SIL participants in the Scheme is lower in 2020-21 compared with 2017-18</w:t>
      </w:r>
      <w:r>
        <w:t>.</w:t>
      </w:r>
    </w:p>
    <w:p w14:paraId="5CAF22BB" w14:textId="66177235" w:rsidR="007A577A" w:rsidRDefault="007A577A" w:rsidP="007A577A">
      <w:pPr>
        <w:pStyle w:val="FSRnormal"/>
      </w:pPr>
      <w:r w:rsidRPr="00C578EB">
        <w:t xml:space="preserve">Analysing the change in average payment over time by whether or not participants are in SIL indicates that the </w:t>
      </w:r>
      <w:r>
        <w:t xml:space="preserve">average annual </w:t>
      </w:r>
      <w:r w:rsidRPr="00C578EB">
        <w:t>increase in</w:t>
      </w:r>
      <w:r>
        <w:t xml:space="preserve"> average payment has been consistently high</w:t>
      </w:r>
      <w:r w:rsidRPr="00C578EB">
        <w:t xml:space="preserve"> </w:t>
      </w:r>
      <w:r>
        <w:t>across both participant groups</w:t>
      </w:r>
      <w:r w:rsidRPr="00C578EB">
        <w:t xml:space="preserve">. </w:t>
      </w:r>
      <w:r w:rsidRPr="000E6D8A">
        <w:t>Specifically, the average annual payment has increased for SIL participants by 12</w:t>
      </w:r>
      <w:r w:rsidR="00405A88">
        <w:t>.0</w:t>
      </w:r>
      <w:r w:rsidRPr="000E6D8A">
        <w:t>%</w:t>
      </w:r>
      <w:r w:rsidR="002C3782">
        <w:t>p.a.</w:t>
      </w:r>
      <w:r w:rsidRPr="000E6D8A">
        <w:t>, and the average annual payment has increased for non-SIL participants by 17</w:t>
      </w:r>
      <w:r w:rsidR="00405A88">
        <w:t>.1</w:t>
      </w:r>
      <w:r w:rsidRPr="000E6D8A">
        <w:t>%</w:t>
      </w:r>
      <w:r w:rsidR="002C3782">
        <w:t>p.a.</w:t>
      </w:r>
      <w:r w:rsidRPr="00C578EB">
        <w:t xml:space="preserve"> (</w:t>
      </w:r>
      <w:r w:rsidRPr="00D44D36">
        <w:rPr>
          <w:u w:val="single"/>
        </w:rPr>
        <w:fldChar w:fldCharType="begin"/>
      </w:r>
      <w:r w:rsidRPr="00D44D36">
        <w:rPr>
          <w:u w:val="single"/>
        </w:rPr>
        <w:instrText xml:space="preserve"> REF _Ref76121200 \h </w:instrText>
      </w:r>
      <w:r w:rsidRPr="00D44D36">
        <w:rPr>
          <w:u w:val="single"/>
        </w:rPr>
      </w:r>
      <w:r w:rsidRPr="00D44D36">
        <w:rPr>
          <w:u w:val="single"/>
        </w:rPr>
        <w:fldChar w:fldCharType="separate"/>
      </w:r>
      <w:r w:rsidR="00E50032" w:rsidRPr="00763E37">
        <w:t xml:space="preserve">Figure </w:t>
      </w:r>
      <w:r w:rsidR="00E50032">
        <w:rPr>
          <w:noProof/>
        </w:rPr>
        <w:t>8</w:t>
      </w:r>
      <w:r w:rsidRPr="00D44D36">
        <w:rPr>
          <w:u w:val="single"/>
        </w:rPr>
        <w:fldChar w:fldCharType="end"/>
      </w:r>
      <w:r>
        <w:t>)</w:t>
      </w:r>
      <w:r w:rsidRPr="00C578EB">
        <w:t>.</w:t>
      </w:r>
      <w:r>
        <w:t xml:space="preserve"> These averages are higher than the overall average (of 11.8%</w:t>
      </w:r>
      <w:r w:rsidR="002C3782">
        <w:t>p.a.</w:t>
      </w:r>
      <w:r>
        <w:t>), as the proportion of participants in SIL has decreased over the period.</w:t>
      </w:r>
      <w:r w:rsidR="00040D36">
        <w:t xml:space="preserve"> Th</w:t>
      </w:r>
      <w:r w:rsidR="00A651B6">
        <w:t xml:space="preserve">e average inflation over the past three years (removing the effect of change in mix) was 14.9% p.a. </w:t>
      </w:r>
      <w:r w:rsidR="00040D36">
        <w:t xml:space="preserve">  </w:t>
      </w:r>
    </w:p>
    <w:p w14:paraId="65772322" w14:textId="128DF0AD" w:rsidR="007A577A" w:rsidRPr="00464CEB" w:rsidRDefault="007A577A" w:rsidP="007A577A">
      <w:pPr>
        <w:pStyle w:val="Figures"/>
        <w:rPr>
          <w:rFonts w:cs="Arial"/>
        </w:rPr>
      </w:pPr>
      <w:bookmarkStart w:id="10" w:name="_Ref76121200"/>
      <w:r w:rsidRPr="00763E37">
        <w:lastRenderedPageBreak/>
        <w:t xml:space="preserve">Figure </w:t>
      </w:r>
      <w:r w:rsidRPr="00E779D3">
        <w:fldChar w:fldCharType="begin"/>
      </w:r>
      <w:r w:rsidRPr="00763E37">
        <w:instrText xml:space="preserve"> SEQ Figure \* ARABIC </w:instrText>
      </w:r>
      <w:r w:rsidRPr="00E779D3">
        <w:fldChar w:fldCharType="separate"/>
      </w:r>
      <w:r w:rsidR="00E50032">
        <w:rPr>
          <w:noProof/>
        </w:rPr>
        <w:t>8</w:t>
      </w:r>
      <w:r w:rsidRPr="00E779D3">
        <w:rPr>
          <w:noProof/>
        </w:rPr>
        <w:fldChar w:fldCharType="end"/>
      </w:r>
      <w:bookmarkEnd w:id="10"/>
      <w:r w:rsidRPr="00763E37">
        <w:t xml:space="preserve"> Average annualised payments over time </w:t>
      </w:r>
      <w:r>
        <w:t>by SIL group</w:t>
      </w:r>
      <w:r w:rsidRPr="00763E37">
        <w:rPr>
          <w:rStyle w:val="FootnoteReference"/>
        </w:rPr>
        <w:footnoteReference w:id="13"/>
      </w:r>
    </w:p>
    <w:p w14:paraId="268BAAD7" w14:textId="05E398A7" w:rsidR="007A577A" w:rsidRDefault="00405A88" w:rsidP="007A577A">
      <w:pPr>
        <w:pStyle w:val="FSRnormal"/>
        <w:rPr>
          <w:rFonts w:eastAsiaTheme="minorHAnsi"/>
        </w:rPr>
      </w:pPr>
      <w:r w:rsidRPr="00405A88">
        <w:rPr>
          <w:noProof/>
          <w:lang w:eastAsia="en-AU"/>
        </w:rPr>
        <w:drawing>
          <wp:inline distT="0" distB="0" distL="0" distR="0" wp14:anchorId="5662AD1E" wp14:editId="7F19ACEC">
            <wp:extent cx="5731510" cy="2082159"/>
            <wp:effectExtent l="0" t="0" r="2540" b="0"/>
            <wp:docPr id="257" name="Picture 257" descr="Bar and line graphs showing average annualised payments per participant increasing by 12% per annum over time for SIL and 17% per annum for Non-SIL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Bar and line graphs showing average annualised payments per participant increasing by 12% per annum over time for SIL and 17% per annum for Non-SIL participant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082159"/>
                    </a:xfrm>
                    <a:prstGeom prst="rect">
                      <a:avLst/>
                    </a:prstGeom>
                    <a:noFill/>
                    <a:ln>
                      <a:noFill/>
                    </a:ln>
                  </pic:spPr>
                </pic:pic>
              </a:graphicData>
            </a:graphic>
          </wp:inline>
        </w:drawing>
      </w:r>
    </w:p>
    <w:p w14:paraId="4809D561" w14:textId="33E8AA6F" w:rsidR="007A577A" w:rsidRPr="00763E37" w:rsidRDefault="007A577A" w:rsidP="007A577A">
      <w:pPr>
        <w:pStyle w:val="FSRnormal"/>
      </w:pPr>
      <w:r>
        <w:fldChar w:fldCharType="begin"/>
      </w:r>
      <w:r>
        <w:instrText xml:space="preserve"> REF _Ref76039593 \h </w:instrText>
      </w:r>
      <w:r>
        <w:fldChar w:fldCharType="separate"/>
      </w:r>
      <w:r w:rsidR="00E50032" w:rsidRPr="00763E37">
        <w:t xml:space="preserve">Figure </w:t>
      </w:r>
      <w:r w:rsidR="00E50032">
        <w:rPr>
          <w:noProof/>
        </w:rPr>
        <w:t>9</w:t>
      </w:r>
      <w:r>
        <w:fldChar w:fldCharType="end"/>
      </w:r>
      <w:r>
        <w:t xml:space="preserve"> </w:t>
      </w:r>
      <w:r w:rsidRPr="00763E37">
        <w:t>analyses the change in average payment over time by age band for participants not in SIL</w:t>
      </w:r>
      <w:r w:rsidR="00CE2F19">
        <w:rPr>
          <w:rStyle w:val="FootnoteReference"/>
        </w:rPr>
        <w:footnoteReference w:id="14"/>
      </w:r>
      <w:r w:rsidRPr="00763E37">
        <w:t xml:space="preserve">. The average increase </w:t>
      </w:r>
      <w:r>
        <w:t xml:space="preserve">for </w:t>
      </w:r>
      <w:r w:rsidRPr="00763E37">
        <w:t>0 to 14 year olds is 13%</w:t>
      </w:r>
      <w:r w:rsidR="002C3782">
        <w:t>p.a.</w:t>
      </w:r>
      <w:r w:rsidRPr="00763E37">
        <w:t xml:space="preserve">, the average increase </w:t>
      </w:r>
      <w:r>
        <w:t xml:space="preserve">for </w:t>
      </w:r>
      <w:r w:rsidRPr="00763E37">
        <w:t>15 to 24 year olds is 12%</w:t>
      </w:r>
      <w:r w:rsidR="002C3782">
        <w:t>p.a.</w:t>
      </w:r>
      <w:r w:rsidRPr="00763E37">
        <w:t xml:space="preserve">, the average increase </w:t>
      </w:r>
      <w:r>
        <w:t xml:space="preserve">for </w:t>
      </w:r>
      <w:r w:rsidRPr="00763E37">
        <w:t xml:space="preserve">25 to 64 year olds is </w:t>
      </w:r>
      <w:r>
        <w:t>21</w:t>
      </w:r>
      <w:r w:rsidRPr="00763E37">
        <w:t>%</w:t>
      </w:r>
      <w:r w:rsidR="002C3782">
        <w:t>p.a.</w:t>
      </w:r>
      <w:r>
        <w:t>,</w:t>
      </w:r>
      <w:r w:rsidRPr="00763E37">
        <w:t xml:space="preserve"> and the average increase </w:t>
      </w:r>
      <w:r>
        <w:t xml:space="preserve">for </w:t>
      </w:r>
      <w:r w:rsidRPr="00763E37">
        <w:t>participants aged over 65 is 2</w:t>
      </w:r>
      <w:r>
        <w:t>2</w:t>
      </w:r>
      <w:r w:rsidRPr="00763E37">
        <w:t>%</w:t>
      </w:r>
      <w:r w:rsidR="002C3782">
        <w:t>p.a.</w:t>
      </w:r>
      <w:r w:rsidRPr="00763E37">
        <w:t xml:space="preserve"> For participants not in SIL, average payments have increased at a faster rate for adults (those aged over 25) and reflect</w:t>
      </w:r>
      <w:r w:rsidR="00040D36">
        <w:t xml:space="preserve"> </w:t>
      </w:r>
      <w:r w:rsidRPr="00763E37">
        <w:t>material increase</w:t>
      </w:r>
      <w:r w:rsidR="00040D36">
        <w:t>s</w:t>
      </w:r>
      <w:r w:rsidRPr="00763E37">
        <w:t xml:space="preserve"> in the hours of attendant care support </w:t>
      </w:r>
      <w:r w:rsidR="00040D36">
        <w:t xml:space="preserve">received by </w:t>
      </w:r>
      <w:r>
        <w:t xml:space="preserve">these </w:t>
      </w:r>
      <w:r w:rsidRPr="00763E37">
        <w:t>participants.</w:t>
      </w:r>
    </w:p>
    <w:p w14:paraId="3C4BC820" w14:textId="0FC4618F" w:rsidR="007A577A" w:rsidRPr="00763E37" w:rsidRDefault="007A577A" w:rsidP="007A577A">
      <w:pPr>
        <w:pStyle w:val="Figures"/>
        <w:rPr>
          <w:rFonts w:cs="Arial"/>
        </w:rPr>
      </w:pPr>
      <w:bookmarkStart w:id="11" w:name="_Ref76039593"/>
      <w:r w:rsidRPr="00763E37">
        <w:lastRenderedPageBreak/>
        <w:t xml:space="preserve">Figure </w:t>
      </w:r>
      <w:r w:rsidRPr="00E779D3">
        <w:fldChar w:fldCharType="begin"/>
      </w:r>
      <w:r w:rsidRPr="00763E37">
        <w:instrText xml:space="preserve"> SEQ Figure \* ARABIC </w:instrText>
      </w:r>
      <w:r w:rsidRPr="00E779D3">
        <w:fldChar w:fldCharType="separate"/>
      </w:r>
      <w:r w:rsidR="00E50032">
        <w:rPr>
          <w:noProof/>
        </w:rPr>
        <w:t>9</w:t>
      </w:r>
      <w:r w:rsidRPr="00E779D3">
        <w:rPr>
          <w:noProof/>
        </w:rPr>
        <w:fldChar w:fldCharType="end"/>
      </w:r>
      <w:bookmarkEnd w:id="11"/>
      <w:r w:rsidRPr="00763E37">
        <w:t xml:space="preserve"> Average annualised payments over time for non-SIL participants by age band</w:t>
      </w:r>
      <w:r w:rsidRPr="00763E37">
        <w:rPr>
          <w:rStyle w:val="FootnoteReference"/>
        </w:rPr>
        <w:footnoteReference w:id="15"/>
      </w:r>
    </w:p>
    <w:p w14:paraId="42493DF4" w14:textId="7C4F480F" w:rsidR="007A577A" w:rsidRDefault="007A577A" w:rsidP="007A577A">
      <w:pPr>
        <w:pStyle w:val="FSRnormal"/>
      </w:pPr>
      <w:r w:rsidRPr="000E6D8A">
        <w:rPr>
          <w:noProof/>
          <w:lang w:eastAsia="en-AU"/>
        </w:rPr>
        <w:drawing>
          <wp:inline distT="0" distB="0" distL="0" distR="0" wp14:anchorId="0EDA9AAD" wp14:editId="4E0776D0">
            <wp:extent cx="5731510" cy="3275330"/>
            <wp:effectExtent l="0" t="0" r="2540" b="1270"/>
            <wp:docPr id="317" name="Picture 317" descr="Bar and line graphs showing average annualised payments per participant over time for non-SIL participants by age band. There was a 13% increase per annum for 0 to 14 years, 12% increase per annum for 15-24 years, 21% increase per annum for 25 to 64 years, and 22% increase per annum for those age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Bar and line graphs showing average annualised payments per participant over time for non-SIL participants by age band. There was a 13% increase per annum for 0 to 14 years, 12% increase per annum for 15-24 years, 21% increase per annum for 25 to 64 years, and 22% increase per annum for those aged 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275330"/>
                    </a:xfrm>
                    <a:prstGeom prst="rect">
                      <a:avLst/>
                    </a:prstGeom>
                    <a:noFill/>
                    <a:ln>
                      <a:noFill/>
                    </a:ln>
                  </pic:spPr>
                </pic:pic>
              </a:graphicData>
            </a:graphic>
          </wp:inline>
        </w:drawing>
      </w:r>
    </w:p>
    <w:p w14:paraId="670B76F8" w14:textId="77777777" w:rsidR="007A67C4" w:rsidRDefault="007A577A" w:rsidP="002648CE">
      <w:pPr>
        <w:pStyle w:val="FSRnormal"/>
      </w:pPr>
      <w:r w:rsidRPr="005843DB">
        <w:t>A forward looking approach to inflation has been adopted, that is, it is not assumed past trends will continue. Inflation is expected to be 6</w:t>
      </w:r>
      <w:r w:rsidR="008F195E" w:rsidRPr="005843DB">
        <w:t>.7</w:t>
      </w:r>
      <w:r w:rsidRPr="005843DB">
        <w:t xml:space="preserve">% in 2021-22 and </w:t>
      </w:r>
      <w:r w:rsidR="008F195E" w:rsidRPr="005843DB">
        <w:t>3.5</w:t>
      </w:r>
      <w:r w:rsidRPr="005843DB">
        <w:t>% in 2022-23</w:t>
      </w:r>
      <w:r w:rsidR="008F195E" w:rsidRPr="005843DB">
        <w:t xml:space="preserve">. These figures include the impact of </w:t>
      </w:r>
      <w:r w:rsidR="002C3782">
        <w:t>the change</w:t>
      </w:r>
      <w:r w:rsidR="008F195E" w:rsidRPr="005843DB">
        <w:t xml:space="preserve"> </w:t>
      </w:r>
      <w:r w:rsidR="002C3782">
        <w:t xml:space="preserve">in </w:t>
      </w:r>
      <w:r w:rsidR="008F195E" w:rsidRPr="005843DB">
        <w:t xml:space="preserve">mix in </w:t>
      </w:r>
      <w:r w:rsidR="00475322">
        <w:t>Scheme</w:t>
      </w:r>
      <w:r w:rsidR="008F195E" w:rsidRPr="005843DB">
        <w:t xml:space="preserve"> population (with average </w:t>
      </w:r>
      <w:r w:rsidR="008D0FEC">
        <w:t xml:space="preserve">reported </w:t>
      </w:r>
      <w:r w:rsidR="00C71E66">
        <w:t>functional capacity</w:t>
      </w:r>
      <w:r w:rsidR="008F195E" w:rsidRPr="005843DB">
        <w:t xml:space="preserve"> </w:t>
      </w:r>
      <w:r w:rsidR="00C71E66">
        <w:t>increasing</w:t>
      </w:r>
      <w:r w:rsidR="00D600C5">
        <w:rPr>
          <w:rStyle w:val="FootnoteReference"/>
        </w:rPr>
        <w:footnoteReference w:id="16"/>
      </w:r>
      <w:r w:rsidR="008F195E" w:rsidRPr="005843DB">
        <w:t>)</w:t>
      </w:r>
      <w:r w:rsidR="0014072D">
        <w:t>,</w:t>
      </w:r>
      <w:r w:rsidR="008F195E" w:rsidRPr="005843DB">
        <w:t xml:space="preserve"> and the consequent expected reduction in average </w:t>
      </w:r>
      <w:r w:rsidR="00180C52">
        <w:t>payment per</w:t>
      </w:r>
      <w:r w:rsidR="008F195E" w:rsidRPr="005843DB">
        <w:t xml:space="preserve"> participant.</w:t>
      </w:r>
      <w:r w:rsidRPr="005843DB">
        <w:t xml:space="preserve"> </w:t>
      </w:r>
      <w:r w:rsidR="00A651B6">
        <w:t xml:space="preserve">The </w:t>
      </w:r>
      <w:r w:rsidR="00A2569E">
        <w:t>historic</w:t>
      </w:r>
      <w:r w:rsidR="00A651B6">
        <w:t xml:space="preserve"> average shown implicitly includes change in mix, and so the most appropriate comparison to past experience is the total including change in mix. </w:t>
      </w:r>
    </w:p>
    <w:p w14:paraId="6FC1FF43" w14:textId="4DF206BE" w:rsidR="002648CE" w:rsidRPr="002648CE" w:rsidRDefault="007A67C4" w:rsidP="002648CE">
      <w:pPr>
        <w:pStyle w:val="FSRnormal"/>
      </w:pPr>
      <w:r w:rsidRPr="00AC3DA7">
        <w:rPr>
          <w:u w:val="single"/>
        </w:rPr>
        <w:fldChar w:fldCharType="begin"/>
      </w:r>
      <w:r w:rsidRPr="00AC3DA7">
        <w:rPr>
          <w:u w:val="single"/>
        </w:rPr>
        <w:instrText xml:space="preserve"> REF _Ref76040081 \h </w:instrText>
      </w:r>
      <w:r w:rsidR="00292A59" w:rsidRPr="00AC3DA7">
        <w:rPr>
          <w:u w:val="single"/>
        </w:rPr>
        <w:instrText xml:space="preserve"> \* MERGEFORMAT </w:instrText>
      </w:r>
      <w:r w:rsidRPr="00AC3DA7">
        <w:rPr>
          <w:u w:val="single"/>
        </w:rPr>
      </w:r>
      <w:r w:rsidRPr="00AC3DA7">
        <w:rPr>
          <w:u w:val="single"/>
        </w:rPr>
        <w:fldChar w:fldCharType="separate"/>
      </w:r>
      <w:r w:rsidR="00E50032" w:rsidRPr="00E50032">
        <w:rPr>
          <w:rFonts w:eastAsiaTheme="minorHAnsi"/>
          <w:bCs/>
          <w:szCs w:val="18"/>
          <w:u w:val="single"/>
          <w:lang w:eastAsia="en-US"/>
        </w:rPr>
        <w:t xml:space="preserve">Figure </w:t>
      </w:r>
      <w:r w:rsidR="00E50032" w:rsidRPr="00E50032">
        <w:rPr>
          <w:rFonts w:eastAsiaTheme="minorHAnsi"/>
          <w:bCs/>
          <w:noProof/>
          <w:szCs w:val="18"/>
          <w:u w:val="single"/>
          <w:lang w:eastAsia="en-US"/>
        </w:rPr>
        <w:t>10</w:t>
      </w:r>
      <w:r w:rsidRPr="00AC3DA7">
        <w:rPr>
          <w:u w:val="single"/>
        </w:rPr>
        <w:fldChar w:fldCharType="end"/>
      </w:r>
      <w:r w:rsidRPr="00292A59">
        <w:t xml:space="preserve"> an</w:t>
      </w:r>
      <w:r w:rsidRPr="007A67C4">
        <w:t>d Table 1 below, which compare historic inflation experience with the adopted total inflation in this review, shows that the forecast inflation (including change in mix) is below the observed average over the preceding three years</w:t>
      </w:r>
      <w:r w:rsidR="00201885">
        <w:t xml:space="preserve">. </w:t>
      </w:r>
      <w:r w:rsidRPr="007A67C4">
        <w:t>In p</w:t>
      </w:r>
      <w:r w:rsidR="00426F94">
        <w:t xml:space="preserve">articular, the assumed rate of </w:t>
      </w:r>
      <w:r w:rsidRPr="007A67C4">
        <w:t>9.7% from 2020-21 to 2021-22 is higher than future years noting that just over half of this inflation has already occurred in the latter half of 2020-21</w:t>
      </w:r>
      <w:r w:rsidR="00426F94">
        <w:rPr>
          <w:rStyle w:val="FootnoteReference"/>
        </w:rPr>
        <w:footnoteReference w:id="17"/>
      </w:r>
      <w:r w:rsidRPr="007A67C4">
        <w:t>. There is considerable uncertainty regarding these future levels of superimposed inflation, and the impact of different scenarios is quantified in Section 6.1.</w:t>
      </w:r>
    </w:p>
    <w:p w14:paraId="0CD4EE32" w14:textId="51F6043F" w:rsidR="00201885" w:rsidRDefault="00201885" w:rsidP="00201885">
      <w:pPr>
        <w:pStyle w:val="Tables"/>
      </w:pPr>
      <w:r w:rsidRPr="00B158C4">
        <w:lastRenderedPageBreak/>
        <w:t xml:space="preserve">Table </w:t>
      </w:r>
      <w:fldSimple w:instr=" SEQ Table \* ARABIC ">
        <w:r w:rsidR="00E50032">
          <w:rPr>
            <w:noProof/>
          </w:rPr>
          <w:t>1</w:t>
        </w:r>
      </w:fldSimple>
      <w:r w:rsidRPr="00B158C4">
        <w:t xml:space="preserve"> </w:t>
      </w:r>
      <w:r w:rsidRPr="00EA4DD3">
        <w:t>Comparison of historical inflation experience and adopted total inflation</w:t>
      </w:r>
      <w:r w:rsidRPr="00EA4DD3">
        <w:rPr>
          <w:rStyle w:val="FootnoteReference"/>
        </w:rPr>
        <w:footnoteReference w:id="18"/>
      </w:r>
    </w:p>
    <w:tbl>
      <w:tblPr>
        <w:tblStyle w:val="TableGrid"/>
        <w:tblW w:w="8926" w:type="dxa"/>
        <w:jc w:val="center"/>
        <w:tblLayout w:type="fixed"/>
        <w:tblLook w:val="04A0" w:firstRow="1" w:lastRow="0" w:firstColumn="1" w:lastColumn="0" w:noHBand="0" w:noVBand="1"/>
      </w:tblPr>
      <w:tblGrid>
        <w:gridCol w:w="2268"/>
        <w:gridCol w:w="1427"/>
        <w:gridCol w:w="851"/>
        <w:gridCol w:w="850"/>
        <w:gridCol w:w="851"/>
        <w:gridCol w:w="850"/>
        <w:gridCol w:w="851"/>
        <w:gridCol w:w="978"/>
      </w:tblGrid>
      <w:tr w:rsidR="00576026" w14:paraId="48259C15" w14:textId="77777777" w:rsidTr="00312E88">
        <w:trPr>
          <w:tblHeader/>
          <w:jc w:val="center"/>
        </w:trPr>
        <w:tc>
          <w:tcPr>
            <w:tcW w:w="2268" w:type="dxa"/>
            <w:shd w:val="clear" w:color="auto" w:fill="6B2E76"/>
            <w:vAlign w:val="center"/>
          </w:tcPr>
          <w:p w14:paraId="102DF9FA" w14:textId="77777777" w:rsidR="00576026" w:rsidRPr="00524428" w:rsidRDefault="00576026" w:rsidP="00312E88">
            <w:pPr>
              <w:pStyle w:val="Tables"/>
              <w:jc w:val="center"/>
              <w:rPr>
                <w:rFonts w:cs="Arial"/>
                <w:color w:val="FFFFFF" w:themeColor="background1"/>
                <w:sz w:val="15"/>
                <w:szCs w:val="15"/>
              </w:rPr>
            </w:pPr>
            <w:r w:rsidRPr="00524428">
              <w:rPr>
                <w:rFonts w:cs="Arial"/>
                <w:color w:val="FFFFFF" w:themeColor="background1"/>
                <w:sz w:val="15"/>
                <w:szCs w:val="15"/>
              </w:rPr>
              <w:t>Inflation on Payments</w:t>
            </w:r>
          </w:p>
        </w:tc>
        <w:tc>
          <w:tcPr>
            <w:tcW w:w="1427" w:type="dxa"/>
            <w:shd w:val="clear" w:color="auto" w:fill="6B2E76"/>
            <w:vAlign w:val="center"/>
          </w:tcPr>
          <w:p w14:paraId="4EDBB28D" w14:textId="77777777" w:rsidR="00576026" w:rsidRPr="00524428" w:rsidRDefault="00576026" w:rsidP="00312E88">
            <w:pPr>
              <w:pStyle w:val="Tables"/>
              <w:jc w:val="center"/>
              <w:rPr>
                <w:rFonts w:cs="Arial"/>
                <w:color w:val="FFFFFF" w:themeColor="background1"/>
                <w:sz w:val="15"/>
                <w:szCs w:val="15"/>
              </w:rPr>
            </w:pPr>
            <w:r w:rsidRPr="00524428">
              <w:rPr>
                <w:rFonts w:cs="Arial"/>
                <w:color w:val="FFFFFF" w:themeColor="background1"/>
                <w:sz w:val="15"/>
                <w:szCs w:val="15"/>
              </w:rPr>
              <w:t>Average Annual rate over the previous 3 years</w:t>
            </w:r>
          </w:p>
        </w:tc>
        <w:tc>
          <w:tcPr>
            <w:tcW w:w="851" w:type="dxa"/>
            <w:shd w:val="clear" w:color="auto" w:fill="6B2E76"/>
            <w:vAlign w:val="center"/>
          </w:tcPr>
          <w:p w14:paraId="5D5DB70B" w14:textId="77777777" w:rsidR="00576026" w:rsidRPr="00524428" w:rsidRDefault="00576026" w:rsidP="00312E88">
            <w:pPr>
              <w:pStyle w:val="Tables"/>
              <w:jc w:val="center"/>
              <w:rPr>
                <w:rFonts w:cs="Arial"/>
                <w:color w:val="FFFFFF" w:themeColor="background1"/>
                <w:sz w:val="15"/>
                <w:szCs w:val="15"/>
              </w:rPr>
            </w:pPr>
            <w:r w:rsidRPr="00524428">
              <w:rPr>
                <w:rFonts w:cs="Arial"/>
                <w:color w:val="FFFFFF" w:themeColor="background1"/>
                <w:sz w:val="15"/>
                <w:szCs w:val="15"/>
              </w:rPr>
              <w:t>2021-22</w:t>
            </w:r>
          </w:p>
        </w:tc>
        <w:tc>
          <w:tcPr>
            <w:tcW w:w="850" w:type="dxa"/>
            <w:shd w:val="clear" w:color="auto" w:fill="6B2E76"/>
            <w:vAlign w:val="center"/>
          </w:tcPr>
          <w:p w14:paraId="6F440972" w14:textId="77777777" w:rsidR="00576026" w:rsidRPr="00524428" w:rsidRDefault="00576026" w:rsidP="00312E88">
            <w:pPr>
              <w:pStyle w:val="Tables"/>
              <w:jc w:val="center"/>
              <w:rPr>
                <w:rFonts w:cs="Arial"/>
                <w:color w:val="FFFFFF" w:themeColor="background1"/>
                <w:sz w:val="15"/>
                <w:szCs w:val="15"/>
              </w:rPr>
            </w:pPr>
            <w:r w:rsidRPr="00524428">
              <w:rPr>
                <w:rFonts w:cs="Arial"/>
                <w:color w:val="FFFFFF" w:themeColor="background1"/>
                <w:sz w:val="15"/>
                <w:szCs w:val="15"/>
              </w:rPr>
              <w:t>2022-23</w:t>
            </w:r>
          </w:p>
        </w:tc>
        <w:tc>
          <w:tcPr>
            <w:tcW w:w="851" w:type="dxa"/>
            <w:shd w:val="clear" w:color="auto" w:fill="6B2E76"/>
            <w:vAlign w:val="center"/>
          </w:tcPr>
          <w:p w14:paraId="202B3C33" w14:textId="77777777" w:rsidR="00576026" w:rsidRPr="00524428" w:rsidRDefault="00576026" w:rsidP="00312E88">
            <w:pPr>
              <w:pStyle w:val="Tables"/>
              <w:jc w:val="center"/>
              <w:rPr>
                <w:rFonts w:cs="Arial"/>
                <w:color w:val="FFFFFF" w:themeColor="background1"/>
                <w:sz w:val="15"/>
                <w:szCs w:val="15"/>
              </w:rPr>
            </w:pPr>
            <w:r w:rsidRPr="00524428">
              <w:rPr>
                <w:rFonts w:cs="Arial"/>
                <w:color w:val="FFFFFF" w:themeColor="background1"/>
                <w:sz w:val="15"/>
                <w:szCs w:val="15"/>
              </w:rPr>
              <w:t>2023-24</w:t>
            </w:r>
          </w:p>
        </w:tc>
        <w:tc>
          <w:tcPr>
            <w:tcW w:w="850" w:type="dxa"/>
            <w:shd w:val="clear" w:color="auto" w:fill="6B2E76"/>
            <w:vAlign w:val="center"/>
          </w:tcPr>
          <w:p w14:paraId="35B125A7" w14:textId="77777777" w:rsidR="00576026" w:rsidRPr="00524428" w:rsidRDefault="00576026" w:rsidP="00312E88">
            <w:pPr>
              <w:pStyle w:val="Tables"/>
              <w:jc w:val="center"/>
              <w:rPr>
                <w:rFonts w:cs="Arial"/>
                <w:color w:val="FFFFFF" w:themeColor="background1"/>
                <w:sz w:val="15"/>
                <w:szCs w:val="15"/>
              </w:rPr>
            </w:pPr>
            <w:r w:rsidRPr="00524428">
              <w:rPr>
                <w:rFonts w:cs="Arial"/>
                <w:color w:val="FFFFFF" w:themeColor="background1"/>
                <w:sz w:val="15"/>
                <w:szCs w:val="15"/>
              </w:rPr>
              <w:t>2024-25</w:t>
            </w:r>
          </w:p>
        </w:tc>
        <w:tc>
          <w:tcPr>
            <w:tcW w:w="851" w:type="dxa"/>
            <w:shd w:val="clear" w:color="auto" w:fill="6B2E76"/>
            <w:vAlign w:val="center"/>
          </w:tcPr>
          <w:p w14:paraId="67FE4930" w14:textId="77777777" w:rsidR="00576026" w:rsidRPr="00524428" w:rsidRDefault="00576026" w:rsidP="00312E88">
            <w:pPr>
              <w:pStyle w:val="Tables"/>
              <w:jc w:val="center"/>
              <w:rPr>
                <w:rFonts w:cs="Arial"/>
                <w:color w:val="FFFFFF" w:themeColor="background1"/>
                <w:sz w:val="15"/>
                <w:szCs w:val="15"/>
              </w:rPr>
            </w:pPr>
            <w:r w:rsidRPr="00524428">
              <w:rPr>
                <w:rFonts w:cs="Arial"/>
                <w:color w:val="FFFFFF" w:themeColor="background1"/>
                <w:sz w:val="15"/>
                <w:szCs w:val="15"/>
              </w:rPr>
              <w:t>2029-30</w:t>
            </w:r>
          </w:p>
        </w:tc>
        <w:tc>
          <w:tcPr>
            <w:tcW w:w="978" w:type="dxa"/>
            <w:shd w:val="clear" w:color="auto" w:fill="6B2E76"/>
            <w:vAlign w:val="center"/>
          </w:tcPr>
          <w:p w14:paraId="214AA841" w14:textId="77777777" w:rsidR="00576026" w:rsidRPr="00524428" w:rsidRDefault="00576026" w:rsidP="00312E88">
            <w:pPr>
              <w:pStyle w:val="Tables"/>
              <w:jc w:val="center"/>
              <w:rPr>
                <w:rFonts w:cs="Arial"/>
                <w:color w:val="FFFFFF" w:themeColor="background1"/>
                <w:sz w:val="15"/>
                <w:szCs w:val="15"/>
              </w:rPr>
            </w:pPr>
            <w:r w:rsidRPr="00524428">
              <w:rPr>
                <w:rFonts w:cs="Arial"/>
                <w:color w:val="FFFFFF" w:themeColor="background1"/>
                <w:sz w:val="15"/>
                <w:szCs w:val="15"/>
              </w:rPr>
              <w:t>Thereafter</w:t>
            </w:r>
          </w:p>
        </w:tc>
      </w:tr>
      <w:tr w:rsidR="00D10B5E" w14:paraId="642800C1" w14:textId="77777777" w:rsidTr="00312E88">
        <w:trPr>
          <w:trHeight w:hRule="exact" w:val="284"/>
          <w:jc w:val="center"/>
        </w:trPr>
        <w:tc>
          <w:tcPr>
            <w:tcW w:w="2268" w:type="dxa"/>
          </w:tcPr>
          <w:p w14:paraId="65E19CA1" w14:textId="77777777" w:rsidR="00D10B5E" w:rsidRPr="00524428" w:rsidRDefault="00D10B5E" w:rsidP="00312E88">
            <w:pPr>
              <w:pStyle w:val="Tables"/>
              <w:rPr>
                <w:rFonts w:cs="Arial"/>
                <w:sz w:val="16"/>
                <w:szCs w:val="16"/>
              </w:rPr>
            </w:pPr>
            <w:r w:rsidRPr="00524428">
              <w:rPr>
                <w:rFonts w:cs="Arial"/>
                <w:sz w:val="16"/>
                <w:szCs w:val="16"/>
              </w:rPr>
              <w:t>2020-21 AFSR</w:t>
            </w:r>
          </w:p>
        </w:tc>
        <w:tc>
          <w:tcPr>
            <w:tcW w:w="6658" w:type="dxa"/>
            <w:gridSpan w:val="7"/>
            <w:vAlign w:val="center"/>
          </w:tcPr>
          <w:p w14:paraId="086D4CCD" w14:textId="77777777" w:rsidR="00D10B5E" w:rsidRPr="00524428" w:rsidRDefault="00D10B5E" w:rsidP="00312E88">
            <w:pPr>
              <w:pStyle w:val="Tables"/>
              <w:rPr>
                <w:rFonts w:cs="Arial"/>
                <w:b w:val="0"/>
                <w:bCs w:val="0"/>
                <w:sz w:val="16"/>
                <w:szCs w:val="16"/>
              </w:rPr>
            </w:pPr>
          </w:p>
        </w:tc>
      </w:tr>
      <w:tr w:rsidR="00576026" w14:paraId="4BBB90D8" w14:textId="77777777" w:rsidTr="00312E88">
        <w:trPr>
          <w:trHeight w:hRule="exact" w:val="284"/>
          <w:jc w:val="center"/>
        </w:trPr>
        <w:tc>
          <w:tcPr>
            <w:tcW w:w="2268" w:type="dxa"/>
          </w:tcPr>
          <w:p w14:paraId="6DB1D35D" w14:textId="77777777" w:rsidR="00576026" w:rsidRPr="00524428" w:rsidRDefault="00576026" w:rsidP="00312E88">
            <w:pPr>
              <w:pStyle w:val="Tables"/>
              <w:rPr>
                <w:rFonts w:cs="Arial"/>
                <w:sz w:val="16"/>
                <w:szCs w:val="16"/>
              </w:rPr>
            </w:pPr>
            <w:r w:rsidRPr="00524428">
              <w:rPr>
                <w:rFonts w:cs="Arial"/>
                <w:sz w:val="16"/>
                <w:szCs w:val="16"/>
              </w:rPr>
              <w:t>Normal Inflation</w:t>
            </w:r>
          </w:p>
        </w:tc>
        <w:tc>
          <w:tcPr>
            <w:tcW w:w="1427" w:type="dxa"/>
            <w:vAlign w:val="center"/>
          </w:tcPr>
          <w:p w14:paraId="5A067C29" w14:textId="77777777" w:rsidR="00576026" w:rsidRPr="00524428" w:rsidRDefault="00576026" w:rsidP="00312E88">
            <w:pPr>
              <w:pStyle w:val="Tables"/>
              <w:jc w:val="center"/>
              <w:rPr>
                <w:rFonts w:cs="Arial"/>
                <w:b w:val="0"/>
                <w:bCs w:val="0"/>
                <w:sz w:val="16"/>
                <w:szCs w:val="16"/>
              </w:rPr>
            </w:pPr>
          </w:p>
        </w:tc>
        <w:tc>
          <w:tcPr>
            <w:tcW w:w="851" w:type="dxa"/>
          </w:tcPr>
          <w:p w14:paraId="45D627F5"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3.0%</w:t>
            </w:r>
          </w:p>
        </w:tc>
        <w:tc>
          <w:tcPr>
            <w:tcW w:w="850" w:type="dxa"/>
          </w:tcPr>
          <w:p w14:paraId="43C7AD88"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3.2%</w:t>
            </w:r>
          </w:p>
        </w:tc>
        <w:tc>
          <w:tcPr>
            <w:tcW w:w="851" w:type="dxa"/>
          </w:tcPr>
          <w:p w14:paraId="5E5917D7"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3.2%</w:t>
            </w:r>
          </w:p>
        </w:tc>
        <w:tc>
          <w:tcPr>
            <w:tcW w:w="850" w:type="dxa"/>
          </w:tcPr>
          <w:p w14:paraId="1AF4805A"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3.2%</w:t>
            </w:r>
          </w:p>
        </w:tc>
        <w:tc>
          <w:tcPr>
            <w:tcW w:w="851" w:type="dxa"/>
          </w:tcPr>
          <w:p w14:paraId="30ECD017"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3.2%</w:t>
            </w:r>
          </w:p>
        </w:tc>
        <w:tc>
          <w:tcPr>
            <w:tcW w:w="978" w:type="dxa"/>
          </w:tcPr>
          <w:p w14:paraId="07F7E291"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3.2%</w:t>
            </w:r>
          </w:p>
        </w:tc>
      </w:tr>
      <w:tr w:rsidR="00576026" w14:paraId="62215F05" w14:textId="77777777" w:rsidTr="00312E88">
        <w:trPr>
          <w:trHeight w:hRule="exact" w:val="397"/>
          <w:jc w:val="center"/>
        </w:trPr>
        <w:tc>
          <w:tcPr>
            <w:tcW w:w="2268" w:type="dxa"/>
          </w:tcPr>
          <w:p w14:paraId="75B082D6" w14:textId="77777777" w:rsidR="00576026" w:rsidRPr="00524428" w:rsidRDefault="00576026" w:rsidP="00312E88">
            <w:pPr>
              <w:pStyle w:val="Tables"/>
              <w:rPr>
                <w:rFonts w:cs="Arial"/>
                <w:sz w:val="16"/>
                <w:szCs w:val="16"/>
              </w:rPr>
            </w:pPr>
            <w:r w:rsidRPr="00524428">
              <w:rPr>
                <w:rFonts w:cs="Arial"/>
                <w:sz w:val="16"/>
                <w:szCs w:val="16"/>
              </w:rPr>
              <w:t>Superimposed Inflation</w:t>
            </w:r>
          </w:p>
        </w:tc>
        <w:tc>
          <w:tcPr>
            <w:tcW w:w="1427" w:type="dxa"/>
            <w:vAlign w:val="center"/>
          </w:tcPr>
          <w:p w14:paraId="0F9839D1" w14:textId="77777777" w:rsidR="00576026" w:rsidRPr="00524428" w:rsidRDefault="00576026" w:rsidP="00312E88">
            <w:pPr>
              <w:pStyle w:val="Tables"/>
              <w:jc w:val="center"/>
              <w:rPr>
                <w:rFonts w:cs="Arial"/>
                <w:b w:val="0"/>
                <w:bCs w:val="0"/>
                <w:sz w:val="16"/>
                <w:szCs w:val="16"/>
              </w:rPr>
            </w:pPr>
          </w:p>
        </w:tc>
        <w:tc>
          <w:tcPr>
            <w:tcW w:w="851" w:type="dxa"/>
          </w:tcPr>
          <w:p w14:paraId="5DEEB3F5"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9.7%</w:t>
            </w:r>
          </w:p>
        </w:tc>
        <w:tc>
          <w:tcPr>
            <w:tcW w:w="850" w:type="dxa"/>
          </w:tcPr>
          <w:p w14:paraId="297A9E37"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5.0%</w:t>
            </w:r>
          </w:p>
        </w:tc>
        <w:tc>
          <w:tcPr>
            <w:tcW w:w="851" w:type="dxa"/>
          </w:tcPr>
          <w:p w14:paraId="60146025"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3.0%</w:t>
            </w:r>
          </w:p>
        </w:tc>
        <w:tc>
          <w:tcPr>
            <w:tcW w:w="850" w:type="dxa"/>
          </w:tcPr>
          <w:p w14:paraId="08B9662D"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1.1%</w:t>
            </w:r>
          </w:p>
        </w:tc>
        <w:tc>
          <w:tcPr>
            <w:tcW w:w="851" w:type="dxa"/>
          </w:tcPr>
          <w:p w14:paraId="4B91940E"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0.0%</w:t>
            </w:r>
          </w:p>
        </w:tc>
        <w:tc>
          <w:tcPr>
            <w:tcW w:w="978" w:type="dxa"/>
          </w:tcPr>
          <w:p w14:paraId="2AE9B068"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0.0%</w:t>
            </w:r>
          </w:p>
        </w:tc>
      </w:tr>
      <w:tr w:rsidR="00576026" w14:paraId="0B07E0E2" w14:textId="77777777" w:rsidTr="00312E88">
        <w:trPr>
          <w:trHeight w:hRule="exact" w:val="284"/>
          <w:jc w:val="center"/>
        </w:trPr>
        <w:tc>
          <w:tcPr>
            <w:tcW w:w="2268" w:type="dxa"/>
          </w:tcPr>
          <w:p w14:paraId="35472978" w14:textId="77777777" w:rsidR="00576026" w:rsidRPr="00524428" w:rsidRDefault="00576026" w:rsidP="00312E88">
            <w:pPr>
              <w:pStyle w:val="Tables"/>
              <w:rPr>
                <w:rFonts w:cs="Arial"/>
                <w:sz w:val="16"/>
                <w:szCs w:val="16"/>
              </w:rPr>
            </w:pPr>
            <w:r w:rsidRPr="00524428">
              <w:rPr>
                <w:rFonts w:cs="Arial"/>
                <w:sz w:val="16"/>
                <w:szCs w:val="16"/>
              </w:rPr>
              <w:t>Total (excl change in mix)</w:t>
            </w:r>
          </w:p>
        </w:tc>
        <w:tc>
          <w:tcPr>
            <w:tcW w:w="1427" w:type="dxa"/>
            <w:vAlign w:val="center"/>
          </w:tcPr>
          <w:p w14:paraId="060EB498" w14:textId="77777777" w:rsidR="00576026" w:rsidRPr="00524428" w:rsidRDefault="00576026" w:rsidP="00312E88">
            <w:pPr>
              <w:pStyle w:val="Tables"/>
              <w:jc w:val="center"/>
              <w:rPr>
                <w:rFonts w:cs="Arial"/>
                <w:b w:val="0"/>
                <w:bCs w:val="0"/>
                <w:sz w:val="16"/>
                <w:szCs w:val="16"/>
              </w:rPr>
            </w:pPr>
            <w:r w:rsidRPr="00524428">
              <w:rPr>
                <w:rFonts w:cs="Arial"/>
                <w:b w:val="0"/>
                <w:bCs w:val="0"/>
                <w:sz w:val="16"/>
                <w:szCs w:val="16"/>
              </w:rPr>
              <w:t>14.9%</w:t>
            </w:r>
          </w:p>
        </w:tc>
        <w:tc>
          <w:tcPr>
            <w:tcW w:w="851" w:type="dxa"/>
          </w:tcPr>
          <w:p w14:paraId="7D32D014"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12.7%</w:t>
            </w:r>
          </w:p>
        </w:tc>
        <w:tc>
          <w:tcPr>
            <w:tcW w:w="850" w:type="dxa"/>
          </w:tcPr>
          <w:p w14:paraId="21659D8F"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8.1%</w:t>
            </w:r>
          </w:p>
        </w:tc>
        <w:tc>
          <w:tcPr>
            <w:tcW w:w="851" w:type="dxa"/>
          </w:tcPr>
          <w:p w14:paraId="525A2807"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6.2%</w:t>
            </w:r>
          </w:p>
        </w:tc>
        <w:tc>
          <w:tcPr>
            <w:tcW w:w="850" w:type="dxa"/>
          </w:tcPr>
          <w:p w14:paraId="67BE6D68"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4.3%</w:t>
            </w:r>
          </w:p>
        </w:tc>
        <w:tc>
          <w:tcPr>
            <w:tcW w:w="851" w:type="dxa"/>
          </w:tcPr>
          <w:p w14:paraId="0F7818F5"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3.3%</w:t>
            </w:r>
          </w:p>
        </w:tc>
        <w:tc>
          <w:tcPr>
            <w:tcW w:w="978" w:type="dxa"/>
          </w:tcPr>
          <w:p w14:paraId="0D62313E"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3.3%</w:t>
            </w:r>
          </w:p>
        </w:tc>
      </w:tr>
      <w:tr w:rsidR="00576026" w14:paraId="1129AE80" w14:textId="77777777" w:rsidTr="00312E88">
        <w:trPr>
          <w:trHeight w:hRule="exact" w:val="284"/>
          <w:jc w:val="center"/>
        </w:trPr>
        <w:tc>
          <w:tcPr>
            <w:tcW w:w="2268" w:type="dxa"/>
          </w:tcPr>
          <w:p w14:paraId="484AEAE9" w14:textId="77777777" w:rsidR="00576026" w:rsidRPr="00524428" w:rsidRDefault="00576026" w:rsidP="00312E88">
            <w:pPr>
              <w:pStyle w:val="Tables"/>
              <w:rPr>
                <w:rFonts w:cs="Arial"/>
                <w:sz w:val="16"/>
                <w:szCs w:val="16"/>
              </w:rPr>
            </w:pPr>
            <w:r w:rsidRPr="00524428">
              <w:rPr>
                <w:rFonts w:cs="Arial"/>
                <w:sz w:val="16"/>
                <w:szCs w:val="16"/>
              </w:rPr>
              <w:t>Change in mix</w:t>
            </w:r>
          </w:p>
        </w:tc>
        <w:tc>
          <w:tcPr>
            <w:tcW w:w="1427" w:type="dxa"/>
            <w:vAlign w:val="center"/>
          </w:tcPr>
          <w:p w14:paraId="7D22B7F2" w14:textId="77777777" w:rsidR="00576026" w:rsidRPr="00524428" w:rsidRDefault="00576026" w:rsidP="00312E88">
            <w:pPr>
              <w:pStyle w:val="Tables"/>
              <w:jc w:val="center"/>
              <w:rPr>
                <w:rFonts w:cs="Arial"/>
                <w:b w:val="0"/>
                <w:bCs w:val="0"/>
                <w:sz w:val="16"/>
                <w:szCs w:val="16"/>
              </w:rPr>
            </w:pPr>
            <w:r w:rsidRPr="00524428">
              <w:rPr>
                <w:rFonts w:cs="Arial"/>
                <w:b w:val="0"/>
                <w:bCs w:val="0"/>
                <w:sz w:val="16"/>
                <w:szCs w:val="16"/>
              </w:rPr>
              <w:t>-3.1%</w:t>
            </w:r>
          </w:p>
        </w:tc>
        <w:tc>
          <w:tcPr>
            <w:tcW w:w="851" w:type="dxa"/>
          </w:tcPr>
          <w:p w14:paraId="37F7ADCF"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-5.6%</w:t>
            </w:r>
          </w:p>
        </w:tc>
        <w:tc>
          <w:tcPr>
            <w:tcW w:w="850" w:type="dxa"/>
          </w:tcPr>
          <w:p w14:paraId="33D3B172"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-4.4%</w:t>
            </w:r>
          </w:p>
        </w:tc>
        <w:tc>
          <w:tcPr>
            <w:tcW w:w="851" w:type="dxa"/>
          </w:tcPr>
          <w:p w14:paraId="5B4B34AF"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-3.2%</w:t>
            </w:r>
          </w:p>
        </w:tc>
        <w:tc>
          <w:tcPr>
            <w:tcW w:w="850" w:type="dxa"/>
          </w:tcPr>
          <w:p w14:paraId="6F310858"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-2.3%</w:t>
            </w:r>
          </w:p>
        </w:tc>
        <w:tc>
          <w:tcPr>
            <w:tcW w:w="851" w:type="dxa"/>
          </w:tcPr>
          <w:p w14:paraId="471A11F4"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-0.7%</w:t>
            </w:r>
          </w:p>
        </w:tc>
        <w:tc>
          <w:tcPr>
            <w:tcW w:w="978" w:type="dxa"/>
          </w:tcPr>
          <w:p w14:paraId="4E2F8C64" w14:textId="77777777" w:rsidR="00576026" w:rsidRPr="00524428" w:rsidRDefault="00576026" w:rsidP="00312E88">
            <w:pPr>
              <w:pStyle w:val="Tables"/>
              <w:rPr>
                <w:rFonts w:cs="Arial"/>
                <w:b w:val="0"/>
                <w:bCs w:val="0"/>
                <w:sz w:val="16"/>
                <w:szCs w:val="16"/>
              </w:rPr>
            </w:pPr>
          </w:p>
        </w:tc>
      </w:tr>
      <w:tr w:rsidR="00576026" w14:paraId="5C8F46FC" w14:textId="77777777" w:rsidTr="00312E88">
        <w:trPr>
          <w:trHeight w:hRule="exact" w:val="284"/>
          <w:jc w:val="center"/>
        </w:trPr>
        <w:tc>
          <w:tcPr>
            <w:tcW w:w="2268" w:type="dxa"/>
          </w:tcPr>
          <w:p w14:paraId="071813A2" w14:textId="77777777" w:rsidR="00576026" w:rsidRPr="00524428" w:rsidRDefault="00576026" w:rsidP="00312E88">
            <w:pPr>
              <w:pStyle w:val="Tables"/>
              <w:rPr>
                <w:rFonts w:cs="Arial"/>
                <w:sz w:val="16"/>
                <w:szCs w:val="16"/>
              </w:rPr>
            </w:pPr>
            <w:r w:rsidRPr="00524428">
              <w:rPr>
                <w:rFonts w:cs="Arial"/>
                <w:sz w:val="16"/>
                <w:szCs w:val="16"/>
              </w:rPr>
              <w:t>Total (incl change in mix)</w:t>
            </w:r>
          </w:p>
        </w:tc>
        <w:tc>
          <w:tcPr>
            <w:tcW w:w="1427" w:type="dxa"/>
            <w:vAlign w:val="center"/>
          </w:tcPr>
          <w:p w14:paraId="41B5EAFE" w14:textId="77777777" w:rsidR="00576026" w:rsidRPr="00524428" w:rsidRDefault="00576026" w:rsidP="00312E88">
            <w:pPr>
              <w:pStyle w:val="Tables"/>
              <w:jc w:val="center"/>
              <w:rPr>
                <w:rFonts w:cs="Arial"/>
                <w:b w:val="0"/>
                <w:bCs w:val="0"/>
                <w:sz w:val="16"/>
                <w:szCs w:val="16"/>
              </w:rPr>
            </w:pPr>
            <w:r w:rsidRPr="00524428">
              <w:rPr>
                <w:rFonts w:cs="Arial"/>
                <w:b w:val="0"/>
                <w:bCs w:val="0"/>
                <w:sz w:val="16"/>
                <w:szCs w:val="16"/>
              </w:rPr>
              <w:t>11.8%</w:t>
            </w:r>
          </w:p>
        </w:tc>
        <w:tc>
          <w:tcPr>
            <w:tcW w:w="851" w:type="dxa"/>
          </w:tcPr>
          <w:p w14:paraId="7B04F480"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6.7%</w:t>
            </w:r>
          </w:p>
        </w:tc>
        <w:tc>
          <w:tcPr>
            <w:tcW w:w="850" w:type="dxa"/>
          </w:tcPr>
          <w:p w14:paraId="0824D7BA"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3.5%</w:t>
            </w:r>
          </w:p>
        </w:tc>
        <w:tc>
          <w:tcPr>
            <w:tcW w:w="851" w:type="dxa"/>
          </w:tcPr>
          <w:p w14:paraId="0874AC8D"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2.9%</w:t>
            </w:r>
          </w:p>
        </w:tc>
        <w:tc>
          <w:tcPr>
            <w:tcW w:w="850" w:type="dxa"/>
          </w:tcPr>
          <w:p w14:paraId="7F0C569D"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1.9%</w:t>
            </w:r>
          </w:p>
        </w:tc>
        <w:tc>
          <w:tcPr>
            <w:tcW w:w="851" w:type="dxa"/>
          </w:tcPr>
          <w:p w14:paraId="1763CA7C" w14:textId="77777777" w:rsidR="00576026" w:rsidRPr="00524428" w:rsidRDefault="00576026" w:rsidP="00312E88">
            <w:pPr>
              <w:pStyle w:val="Tables"/>
              <w:rPr>
                <w:rFonts w:cs="Arial"/>
                <w:b w:val="0"/>
                <w:bCs w:val="0"/>
                <w:sz w:val="16"/>
                <w:szCs w:val="16"/>
              </w:rPr>
            </w:pPr>
            <w:r w:rsidRPr="00524428">
              <w:rPr>
                <w:rFonts w:cs="Arial"/>
                <w:b w:val="0"/>
                <w:bCs w:val="0"/>
                <w:sz w:val="16"/>
                <w:szCs w:val="16"/>
              </w:rPr>
              <w:t>2.6%</w:t>
            </w:r>
          </w:p>
        </w:tc>
        <w:tc>
          <w:tcPr>
            <w:tcW w:w="978" w:type="dxa"/>
          </w:tcPr>
          <w:p w14:paraId="6A5BBDDA" w14:textId="77777777" w:rsidR="00576026" w:rsidRPr="00524428" w:rsidRDefault="00576026" w:rsidP="00312E88">
            <w:pPr>
              <w:pStyle w:val="Tables"/>
              <w:rPr>
                <w:rFonts w:cs="Arial"/>
                <w:b w:val="0"/>
                <w:bCs w:val="0"/>
                <w:sz w:val="16"/>
                <w:szCs w:val="16"/>
              </w:rPr>
            </w:pPr>
          </w:p>
        </w:tc>
      </w:tr>
    </w:tbl>
    <w:p w14:paraId="1C78A6A6" w14:textId="36E42CF3" w:rsidR="00E30E41" w:rsidRPr="00846125" w:rsidRDefault="00AF1790" w:rsidP="00AF1790">
      <w:pPr>
        <w:pStyle w:val="FSRnormal"/>
      </w:pPr>
      <w:r>
        <w:rPr>
          <w:rFonts w:eastAsiaTheme="minorHAnsi"/>
          <w:szCs w:val="18"/>
          <w:lang w:eastAsia="en-US"/>
        </w:rPr>
        <w:t xml:space="preserve">Further, </w:t>
      </w:r>
      <w:r>
        <w:t>a</w:t>
      </w:r>
      <w:r w:rsidR="00846125">
        <w:t>dopted total inflation at this review (excluding change in mix) is higher than the previous review for the next three years</w:t>
      </w:r>
      <w:r>
        <w:t xml:space="preserve"> (</w:t>
      </w:r>
      <w:r w:rsidRPr="00576026">
        <w:rPr>
          <w:rFonts w:eastAsiaTheme="minorHAnsi"/>
          <w:szCs w:val="18"/>
          <w:u w:val="single"/>
          <w:lang w:eastAsia="en-US"/>
        </w:rPr>
        <w:fldChar w:fldCharType="begin"/>
      </w:r>
      <w:r w:rsidRPr="00576026">
        <w:rPr>
          <w:u w:val="single"/>
        </w:rPr>
        <w:instrText xml:space="preserve"> REF _Ref83722939 \h </w:instrText>
      </w:r>
      <w:r w:rsidRPr="00576026">
        <w:rPr>
          <w:rFonts w:eastAsiaTheme="minorHAnsi"/>
          <w:szCs w:val="18"/>
          <w:u w:val="single"/>
          <w:lang w:eastAsia="en-US"/>
        </w:rPr>
      </w:r>
      <w:r w:rsidRPr="00576026">
        <w:rPr>
          <w:rFonts w:eastAsiaTheme="minorHAnsi"/>
          <w:szCs w:val="18"/>
          <w:u w:val="single"/>
          <w:lang w:eastAsia="en-US"/>
        </w:rPr>
        <w:fldChar w:fldCharType="separate"/>
      </w:r>
      <w:r w:rsidR="00E50032" w:rsidRPr="00794F2C">
        <w:t xml:space="preserve">Figure </w:t>
      </w:r>
      <w:r w:rsidR="00E50032">
        <w:rPr>
          <w:noProof/>
        </w:rPr>
        <w:t>11</w:t>
      </w:r>
      <w:r w:rsidRPr="00576026">
        <w:rPr>
          <w:rFonts w:eastAsiaTheme="minorHAnsi"/>
          <w:szCs w:val="18"/>
          <w:u w:val="single"/>
          <w:lang w:eastAsia="en-US"/>
        </w:rPr>
        <w:fldChar w:fldCharType="end"/>
      </w:r>
      <w:r>
        <w:rPr>
          <w:rFonts w:eastAsiaTheme="minorHAnsi"/>
          <w:szCs w:val="18"/>
          <w:lang w:eastAsia="en-US"/>
        </w:rPr>
        <w:t>)</w:t>
      </w:r>
      <w:r w:rsidR="00846125">
        <w:t>.</w:t>
      </w:r>
      <w:r w:rsidR="0063616E">
        <w:t xml:space="preserve"> </w:t>
      </w:r>
      <w:r w:rsidR="00846125" w:rsidDel="00A651B6">
        <w:t xml:space="preserve"> </w:t>
      </w:r>
    </w:p>
    <w:p w14:paraId="38C6D063" w14:textId="0EE9283C" w:rsidR="00110BAC" w:rsidRDefault="007A577A" w:rsidP="00292A59">
      <w:pPr>
        <w:pStyle w:val="NoSpacing"/>
        <w:rPr>
          <w:rFonts w:eastAsiaTheme="minorHAnsi"/>
          <w:b/>
          <w:bCs/>
          <w:szCs w:val="18"/>
          <w:lang w:eastAsia="en-US"/>
        </w:rPr>
      </w:pPr>
      <w:bookmarkStart w:id="12" w:name="_Ref76040081"/>
      <w:r w:rsidRPr="00292A59">
        <w:rPr>
          <w:rFonts w:eastAsiaTheme="minorHAnsi"/>
          <w:b/>
          <w:bCs/>
          <w:szCs w:val="18"/>
          <w:lang w:eastAsia="en-US"/>
        </w:rPr>
        <w:t xml:space="preserve">Figure </w:t>
      </w:r>
      <w:r w:rsidR="00956C1F" w:rsidRPr="00292A59">
        <w:rPr>
          <w:rFonts w:eastAsiaTheme="minorHAnsi"/>
          <w:b/>
          <w:bCs/>
          <w:szCs w:val="18"/>
          <w:lang w:eastAsia="en-US"/>
        </w:rPr>
        <w:fldChar w:fldCharType="begin"/>
      </w:r>
      <w:r w:rsidR="00956C1F" w:rsidRPr="00292A59">
        <w:rPr>
          <w:rFonts w:eastAsiaTheme="minorHAnsi"/>
          <w:b/>
          <w:bCs/>
          <w:szCs w:val="18"/>
          <w:lang w:eastAsia="en-US"/>
        </w:rPr>
        <w:instrText xml:space="preserve"> SEQ Figure \* ARABIC </w:instrText>
      </w:r>
      <w:r w:rsidR="00956C1F" w:rsidRPr="00292A59">
        <w:rPr>
          <w:rFonts w:eastAsiaTheme="minorHAnsi"/>
          <w:b/>
          <w:bCs/>
          <w:szCs w:val="18"/>
          <w:lang w:eastAsia="en-US"/>
        </w:rPr>
        <w:fldChar w:fldCharType="separate"/>
      </w:r>
      <w:r w:rsidR="00E50032">
        <w:rPr>
          <w:rFonts w:eastAsiaTheme="minorHAnsi"/>
          <w:b/>
          <w:bCs/>
          <w:noProof/>
          <w:szCs w:val="18"/>
          <w:lang w:eastAsia="en-US"/>
        </w:rPr>
        <w:t>10</w:t>
      </w:r>
      <w:r w:rsidR="00956C1F" w:rsidRPr="00292A59">
        <w:rPr>
          <w:rFonts w:eastAsiaTheme="minorHAnsi"/>
          <w:b/>
          <w:bCs/>
          <w:szCs w:val="18"/>
          <w:lang w:eastAsia="en-US"/>
        </w:rPr>
        <w:fldChar w:fldCharType="end"/>
      </w:r>
      <w:bookmarkEnd w:id="12"/>
      <w:r w:rsidRPr="00292A59">
        <w:rPr>
          <w:rFonts w:eastAsiaTheme="minorHAnsi"/>
          <w:b/>
          <w:bCs/>
          <w:szCs w:val="18"/>
          <w:lang w:eastAsia="en-US"/>
        </w:rPr>
        <w:t xml:space="preserve"> Comparison of historic inflation experience and adopted total inflation</w:t>
      </w:r>
      <w:r w:rsidRPr="00EA4DD3">
        <w:rPr>
          <w:rStyle w:val="FootnoteReference"/>
        </w:rPr>
        <w:footnoteReference w:id="19"/>
      </w:r>
    </w:p>
    <w:p w14:paraId="664E6F7D" w14:textId="77777777" w:rsidR="00110BAC" w:rsidRDefault="00110BAC" w:rsidP="00292A59">
      <w:pPr>
        <w:pStyle w:val="NoSpacing"/>
        <w:rPr>
          <w:noProof/>
          <w:lang w:eastAsia="en-AU"/>
        </w:rPr>
      </w:pPr>
    </w:p>
    <w:p w14:paraId="34B13046" w14:textId="4776EF4A" w:rsidR="007A577A" w:rsidRDefault="003679C6" w:rsidP="00292A59">
      <w:pPr>
        <w:pStyle w:val="NoSpacing"/>
      </w:pPr>
      <w:r w:rsidRPr="003679C6">
        <w:rPr>
          <w:noProof/>
          <w:lang w:eastAsia="en-AU"/>
        </w:rPr>
        <w:drawing>
          <wp:inline distT="0" distB="0" distL="0" distR="0" wp14:anchorId="7E16FA13" wp14:editId="00016DD8">
            <wp:extent cx="5731510" cy="2865755"/>
            <wp:effectExtent l="0" t="0" r="2540" b="0"/>
            <wp:docPr id="240" name="Picture 240" descr="Bar and line graph showing Comparison of historical inflation experience and adopted total inflation. The average annual rate over the previous 3 years Total excluding change in mix) is 14.9% the change in mix is -3.1% and the total (including change in mix is 11.8%) For the years 2021-22 Normal inflation is 3.0%, superimposed inflation is at 9.7%, Total excluding change in mix is 12.7%, change in mix is -5.6% and the total including change of mix is 6.7%. For the years 2022-23 the normal inflation is 3.2%, superimposed inflation is 5.0%, total excluding change in mix is 8.1%, change in mix is -4.4%, total including change in mix is 3.5%. For the years of 2023-24 the normal inflation is 3.2%, superimposed inflation is 3.0%, Total excluding change in mix is 6.2%, change in mix is -3.2%, total including change in mix is 2.9%, for the years of 2024-25 the normal inflation is 3.2%, superimposed inflation is 1.1%, total excluding change in mix is 4.3%, change in mix is -2.3% and the total including change in mix is 1.9%. For the years of 2029-30 normal inflation is 3.2%, superimposed inflation is 0.0%, total excluding change in mix is 3.3%, change in mix is -0.7%, total including change in mix 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Bar and line graph showing Comparison of historical inflation experience and adopted total inflation. The average annual rate over the previous 3 years Total excluding change in mix) is 14.9% the change in mix is -3.1% and the total (including change in mix is 11.8%) For the years 2021-22 Normal inflation is 3.0%, superimposed inflation is at 9.7%, Total excluding change in mix is 12.7%, change in mix is -5.6% and the total including change of mix is 6.7%. For the years 2022-23 the normal inflation is 3.2%, superimposed inflation is 5.0%, total excluding change in mix is 8.1%, change in mix is -4.4%, total including change in mix is 3.5%. For the years of 2023-24 the normal inflation is 3.2%, superimposed inflation is 3.0%, Total excluding change in mix is 6.2%, change in mix is -3.2%, total including change in mix is 2.9%, for the years of 2024-25 the normal inflation is 3.2%, superimposed inflation is 1.1%, total excluding change in mix is 4.3%, change in mix is -2.3% and the total including change in mix is 1.9%. For the years of 2029-30 normal inflation is 3.2%, superimposed inflation is 0.0%, total excluding change in mix is 3.3%, change in mix is -0.7%, total including change in mix is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568F124B" w14:textId="552791E8" w:rsidR="00EA4DD3" w:rsidRPr="00794F2C" w:rsidRDefault="00EA4DD3" w:rsidP="00201885">
      <w:pPr>
        <w:pStyle w:val="Figures"/>
        <w:keepLines/>
      </w:pPr>
      <w:bookmarkStart w:id="13" w:name="_Ref80733237"/>
      <w:bookmarkStart w:id="14" w:name="_Ref83722939"/>
      <w:r w:rsidRPr="00794F2C">
        <w:lastRenderedPageBreak/>
        <w:t xml:space="preserve">Figure </w:t>
      </w:r>
      <w:fldSimple w:instr=" SEQ Figure \* ARABIC ">
        <w:r w:rsidR="00E50032">
          <w:rPr>
            <w:noProof/>
          </w:rPr>
          <w:t>11</w:t>
        </w:r>
      </w:fldSimple>
      <w:bookmarkEnd w:id="13"/>
      <w:bookmarkEnd w:id="14"/>
      <w:r w:rsidRPr="00794F2C">
        <w:t xml:space="preserve"> Comparison of adopted total inflation with previous review</w:t>
      </w:r>
      <w:r w:rsidR="005C5F6D" w:rsidRPr="00794F2C">
        <w:rPr>
          <w:rStyle w:val="FootnoteReference"/>
        </w:rPr>
        <w:footnoteReference w:id="20"/>
      </w:r>
    </w:p>
    <w:p w14:paraId="26D9A82B" w14:textId="6ABACD56" w:rsidR="00EA4DD3" w:rsidRPr="00EA4DD3" w:rsidRDefault="001314B3" w:rsidP="00201885">
      <w:pPr>
        <w:pStyle w:val="FSRnormal"/>
        <w:keepNext/>
        <w:keepLines/>
        <w:rPr>
          <w:i/>
        </w:rPr>
      </w:pPr>
      <w:r w:rsidRPr="00BE7D6E">
        <w:rPr>
          <w:noProof/>
          <w:lang w:eastAsia="en-AU"/>
        </w:rPr>
        <w:drawing>
          <wp:inline distT="0" distB="0" distL="0" distR="0" wp14:anchorId="41BF3CAA" wp14:editId="2A17F394">
            <wp:extent cx="5731510" cy="2854215"/>
            <wp:effectExtent l="0" t="0" r="2540" b="3810"/>
            <wp:docPr id="246" name="Picture 246" descr="A bar and line chart showing a comparison of adopted total inflation with previous review. The graph details a drop for 2020-21 AFSR (excluding change in mix) from a high of 12.7% in 2021-22 to 3.3% in 2029-30, a similar story for Dec20 AFSR (excluding change in mix) from 9.9% in 2021-22 to 3.5% in 2029-30. Dec20 AFSR (including change in mix) drops from 5.2% to 3.2% in the same period of time and the same trend is true for 2020-21 AFSR (including change in mix) which drops from 6.7% in 2021-22 to 2.6% in 2029-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A bar and line chart showing a comparison of adopted total inflation with previous review. The graph details a drop for 2020-21 AFSR (excluding change in mix) from a high of 12.7% in 2021-22 to 3.3% in 2029-30, a similar story for Dec20 AFSR (excluding change in mix) from 9.9% in 2021-22 to 3.5% in 2029-30. Dec20 AFSR (including change in mix) drops from 5.2% to 3.2% in the same period of time and the same trend is true for 2020-21 AFSR (including change in mix) which drops from 6.7% in 2021-22 to 2.6% in 2029-30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854215"/>
                    </a:xfrm>
                    <a:prstGeom prst="rect">
                      <a:avLst/>
                    </a:prstGeom>
                    <a:noFill/>
                    <a:ln>
                      <a:noFill/>
                    </a:ln>
                  </pic:spPr>
                </pic:pic>
              </a:graphicData>
            </a:graphic>
          </wp:inline>
        </w:drawing>
      </w:r>
    </w:p>
    <w:p w14:paraId="0D4F6BAD" w14:textId="77777777" w:rsidR="007A577A" w:rsidRPr="00C578EB" w:rsidRDefault="007A577A" w:rsidP="007A577A">
      <w:pPr>
        <w:pStyle w:val="FSRHeading4"/>
      </w:pPr>
      <w:r w:rsidRPr="00C578EB">
        <w:t>Total participant costs</w:t>
      </w:r>
    </w:p>
    <w:p w14:paraId="3B488CA1" w14:textId="32AE3F7D" w:rsidR="00B8229F" w:rsidRPr="00C578EB" w:rsidRDefault="00B8229F" w:rsidP="00B8229F">
      <w:pPr>
        <w:pStyle w:val="FSRnormal"/>
      </w:pPr>
      <w:r w:rsidRPr="00C578EB">
        <w:t xml:space="preserve">Combining the information on the </w:t>
      </w:r>
      <w:r>
        <w:t xml:space="preserve">projected </w:t>
      </w:r>
      <w:r w:rsidRPr="00C578EB">
        <w:t xml:space="preserve">number of participants and </w:t>
      </w:r>
      <w:r>
        <w:t xml:space="preserve">projected </w:t>
      </w:r>
      <w:r w:rsidRPr="00C578EB">
        <w:t>average payment per participant, result</w:t>
      </w:r>
      <w:r>
        <w:t xml:space="preserve">s in total participant costs </w:t>
      </w:r>
      <w:r w:rsidRPr="00C578EB">
        <w:t>of $</w:t>
      </w:r>
      <w:r>
        <w:t>29.2 billion</w:t>
      </w:r>
      <w:r w:rsidRPr="00C578EB">
        <w:t xml:space="preserve"> in 2021-22, $</w:t>
      </w:r>
      <w:r>
        <w:t>41.4 billion</w:t>
      </w:r>
      <w:r w:rsidRPr="00C578EB">
        <w:t xml:space="preserve"> in 2024-25, and $</w:t>
      </w:r>
      <w:r>
        <w:t>59.3 billion</w:t>
      </w:r>
      <w:r w:rsidRPr="00C578EB">
        <w:t xml:space="preserve"> in 2029-30</w:t>
      </w:r>
      <w:r>
        <w:t xml:space="preserve"> </w:t>
      </w:r>
      <w:r w:rsidR="00040D36">
        <w:t>(</w:t>
      </w:r>
      <w:r>
        <w:t>on an accrual basis</w:t>
      </w:r>
      <w:r w:rsidR="00040D36">
        <w:t>)</w:t>
      </w:r>
      <w:r w:rsidRPr="00C578EB">
        <w:t>.</w:t>
      </w:r>
      <w:r>
        <w:rPr>
          <w:rStyle w:val="FootnoteReference"/>
        </w:rPr>
        <w:footnoteReference w:id="21"/>
      </w:r>
    </w:p>
    <w:p w14:paraId="6947DB6C" w14:textId="0E79E56B" w:rsidR="00B8229F" w:rsidRPr="00C578EB" w:rsidRDefault="00B8229F" w:rsidP="00B8229F">
      <w:pPr>
        <w:pStyle w:val="Tables"/>
      </w:pPr>
      <w:bookmarkStart w:id="15" w:name="_Ref80337925"/>
      <w:r w:rsidRPr="00C578EB">
        <w:t xml:space="preserve">Table </w:t>
      </w:r>
      <w:r w:rsidRPr="00597704">
        <w:fldChar w:fldCharType="begin"/>
      </w:r>
      <w:r w:rsidRPr="00C578EB">
        <w:instrText xml:space="preserve"> SEQ Table \* ARABIC </w:instrText>
      </w:r>
      <w:r w:rsidRPr="00597704">
        <w:fldChar w:fldCharType="separate"/>
      </w:r>
      <w:r w:rsidR="00E50032">
        <w:rPr>
          <w:noProof/>
        </w:rPr>
        <w:t>2</w:t>
      </w:r>
      <w:r w:rsidRPr="00597704">
        <w:fldChar w:fldCharType="end"/>
      </w:r>
      <w:bookmarkEnd w:id="15"/>
      <w:r w:rsidRPr="00C578EB">
        <w:t xml:space="preserve"> Projected participant costs (cash and accrual basis)</w:t>
      </w:r>
    </w:p>
    <w:tbl>
      <w:tblPr>
        <w:tblStyle w:val="TableGrid"/>
        <w:tblW w:w="4636" w:type="pct"/>
        <w:tblLook w:val="04A0" w:firstRow="1" w:lastRow="0" w:firstColumn="1" w:lastColumn="0" w:noHBand="0" w:noVBand="1"/>
      </w:tblPr>
      <w:tblGrid>
        <w:gridCol w:w="3924"/>
        <w:gridCol w:w="903"/>
        <w:gridCol w:w="903"/>
        <w:gridCol w:w="903"/>
        <w:gridCol w:w="903"/>
        <w:gridCol w:w="824"/>
      </w:tblGrid>
      <w:tr w:rsidR="00F82FB2" w14:paraId="26A7DC16" w14:textId="77777777" w:rsidTr="00312E88">
        <w:trPr>
          <w:tblHeader/>
        </w:trPr>
        <w:tc>
          <w:tcPr>
            <w:tcW w:w="2347" w:type="pct"/>
            <w:shd w:val="clear" w:color="auto" w:fill="6B2E76"/>
          </w:tcPr>
          <w:p w14:paraId="1F127208" w14:textId="77777777" w:rsidR="00F82FB2" w:rsidRPr="00524428" w:rsidRDefault="00F82FB2" w:rsidP="00312E88">
            <w:pPr>
              <w:pStyle w:val="Tables"/>
              <w:jc w:val="center"/>
              <w:rPr>
                <w:rFonts w:cs="Arial"/>
                <w:color w:val="FFFFFF" w:themeColor="background1"/>
                <w:sz w:val="15"/>
                <w:szCs w:val="15"/>
              </w:rPr>
            </w:pPr>
            <w:r w:rsidRPr="00524428">
              <w:rPr>
                <w:rFonts w:cs="Arial"/>
                <w:color w:val="FFFFFF" w:themeColor="background1"/>
                <w:sz w:val="15"/>
                <w:szCs w:val="15"/>
              </w:rPr>
              <w:t>Participant costs ($m)</w:t>
            </w:r>
          </w:p>
        </w:tc>
        <w:tc>
          <w:tcPr>
            <w:tcW w:w="540" w:type="pct"/>
            <w:shd w:val="clear" w:color="auto" w:fill="6B2E76"/>
          </w:tcPr>
          <w:p w14:paraId="21AD4FAC" w14:textId="77777777" w:rsidR="00F82FB2" w:rsidRPr="00524428" w:rsidRDefault="00F82FB2" w:rsidP="00312E88">
            <w:pPr>
              <w:pStyle w:val="Tables"/>
              <w:jc w:val="center"/>
              <w:rPr>
                <w:rFonts w:cs="Arial"/>
                <w:color w:val="FFFFFF" w:themeColor="background1"/>
                <w:sz w:val="15"/>
                <w:szCs w:val="15"/>
              </w:rPr>
            </w:pPr>
            <w:r w:rsidRPr="00524428">
              <w:rPr>
                <w:rFonts w:cs="Arial"/>
                <w:color w:val="FFFFFF" w:themeColor="background1"/>
                <w:sz w:val="15"/>
                <w:szCs w:val="15"/>
              </w:rPr>
              <w:t>2021-22</w:t>
            </w:r>
          </w:p>
        </w:tc>
        <w:tc>
          <w:tcPr>
            <w:tcW w:w="540" w:type="pct"/>
            <w:shd w:val="clear" w:color="auto" w:fill="6B2E76"/>
          </w:tcPr>
          <w:p w14:paraId="10D64281" w14:textId="77777777" w:rsidR="00F82FB2" w:rsidRPr="00524428" w:rsidRDefault="00F82FB2" w:rsidP="00312E88">
            <w:pPr>
              <w:pStyle w:val="Tables"/>
              <w:jc w:val="center"/>
              <w:rPr>
                <w:rFonts w:cs="Arial"/>
                <w:color w:val="FFFFFF" w:themeColor="background1"/>
                <w:sz w:val="15"/>
                <w:szCs w:val="15"/>
              </w:rPr>
            </w:pPr>
            <w:r w:rsidRPr="00524428">
              <w:rPr>
                <w:rFonts w:cs="Arial"/>
                <w:color w:val="FFFFFF" w:themeColor="background1"/>
                <w:sz w:val="15"/>
                <w:szCs w:val="15"/>
              </w:rPr>
              <w:t>2022-23</w:t>
            </w:r>
          </w:p>
        </w:tc>
        <w:tc>
          <w:tcPr>
            <w:tcW w:w="540" w:type="pct"/>
            <w:shd w:val="clear" w:color="auto" w:fill="6B2E76"/>
          </w:tcPr>
          <w:p w14:paraId="06C215DD" w14:textId="77777777" w:rsidR="00F82FB2" w:rsidRPr="00524428" w:rsidRDefault="00F82FB2" w:rsidP="00312E88">
            <w:pPr>
              <w:pStyle w:val="Tables"/>
              <w:jc w:val="center"/>
              <w:rPr>
                <w:rFonts w:cs="Arial"/>
                <w:color w:val="FFFFFF" w:themeColor="background1"/>
                <w:sz w:val="15"/>
                <w:szCs w:val="15"/>
              </w:rPr>
            </w:pPr>
            <w:r w:rsidRPr="00524428">
              <w:rPr>
                <w:rFonts w:cs="Arial"/>
                <w:color w:val="FFFFFF" w:themeColor="background1"/>
                <w:sz w:val="15"/>
                <w:szCs w:val="15"/>
              </w:rPr>
              <w:t>2023-24</w:t>
            </w:r>
          </w:p>
        </w:tc>
        <w:tc>
          <w:tcPr>
            <w:tcW w:w="540" w:type="pct"/>
            <w:shd w:val="clear" w:color="auto" w:fill="6B2E76"/>
          </w:tcPr>
          <w:p w14:paraId="5ECD6396" w14:textId="77777777" w:rsidR="00F82FB2" w:rsidRPr="00524428" w:rsidRDefault="00F82FB2" w:rsidP="00312E88">
            <w:pPr>
              <w:pStyle w:val="Tables"/>
              <w:jc w:val="center"/>
              <w:rPr>
                <w:rFonts w:cs="Arial"/>
                <w:color w:val="FFFFFF" w:themeColor="background1"/>
                <w:sz w:val="15"/>
                <w:szCs w:val="15"/>
              </w:rPr>
            </w:pPr>
            <w:r w:rsidRPr="00524428">
              <w:rPr>
                <w:rFonts w:cs="Arial"/>
                <w:color w:val="FFFFFF" w:themeColor="background1"/>
                <w:sz w:val="15"/>
                <w:szCs w:val="15"/>
              </w:rPr>
              <w:t>2024-25</w:t>
            </w:r>
          </w:p>
        </w:tc>
        <w:tc>
          <w:tcPr>
            <w:tcW w:w="492" w:type="pct"/>
            <w:shd w:val="clear" w:color="auto" w:fill="6B2E76"/>
          </w:tcPr>
          <w:p w14:paraId="08725EB4" w14:textId="77777777" w:rsidR="00F82FB2" w:rsidRPr="00524428" w:rsidRDefault="00F82FB2" w:rsidP="00312E88">
            <w:pPr>
              <w:pStyle w:val="Tables"/>
              <w:jc w:val="center"/>
              <w:rPr>
                <w:rFonts w:cs="Arial"/>
                <w:color w:val="FFFFFF" w:themeColor="background1"/>
                <w:sz w:val="15"/>
                <w:szCs w:val="15"/>
              </w:rPr>
            </w:pPr>
            <w:r w:rsidRPr="00524428">
              <w:rPr>
                <w:rFonts w:cs="Arial"/>
                <w:color w:val="FFFFFF" w:themeColor="background1"/>
                <w:sz w:val="15"/>
                <w:szCs w:val="15"/>
              </w:rPr>
              <w:t>2029-30</w:t>
            </w:r>
          </w:p>
        </w:tc>
      </w:tr>
      <w:tr w:rsidR="00F82FB2" w14:paraId="7ED652DF" w14:textId="77777777" w:rsidTr="00312E88">
        <w:trPr>
          <w:trHeight w:hRule="exact" w:val="284"/>
        </w:trPr>
        <w:tc>
          <w:tcPr>
            <w:tcW w:w="2347" w:type="pct"/>
          </w:tcPr>
          <w:p w14:paraId="10B2F06B" w14:textId="77777777" w:rsidR="00F82FB2" w:rsidRPr="00524428" w:rsidRDefault="00F82FB2" w:rsidP="00312E88">
            <w:pPr>
              <w:pStyle w:val="Tables"/>
              <w:rPr>
                <w:rFonts w:cs="Arial"/>
                <w:sz w:val="16"/>
                <w:szCs w:val="16"/>
              </w:rPr>
            </w:pPr>
            <w:r w:rsidRPr="00524428">
              <w:rPr>
                <w:rFonts w:cs="Arial"/>
                <w:sz w:val="16"/>
                <w:szCs w:val="16"/>
              </w:rPr>
              <w:t>Participant Costs (cash basis)</w:t>
            </w:r>
          </w:p>
        </w:tc>
        <w:tc>
          <w:tcPr>
            <w:tcW w:w="2653" w:type="pct"/>
            <w:gridSpan w:val="5"/>
          </w:tcPr>
          <w:p w14:paraId="3BBDE3BB" w14:textId="77777777" w:rsidR="00F82FB2" w:rsidRPr="00524428" w:rsidRDefault="00F82FB2" w:rsidP="00312E88">
            <w:pPr>
              <w:pStyle w:val="Tables"/>
              <w:rPr>
                <w:rFonts w:cs="Arial"/>
                <w:b w:val="0"/>
                <w:bCs w:val="0"/>
                <w:sz w:val="16"/>
                <w:szCs w:val="16"/>
              </w:rPr>
            </w:pPr>
          </w:p>
        </w:tc>
      </w:tr>
      <w:tr w:rsidR="00F82FB2" w14:paraId="578AA2D4" w14:textId="77777777" w:rsidTr="00312E88">
        <w:trPr>
          <w:trHeight w:hRule="exact" w:val="284"/>
        </w:trPr>
        <w:tc>
          <w:tcPr>
            <w:tcW w:w="2347" w:type="pct"/>
          </w:tcPr>
          <w:p w14:paraId="7F364253"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Participant Costs (0-64)</w:t>
            </w:r>
          </w:p>
        </w:tc>
        <w:tc>
          <w:tcPr>
            <w:tcW w:w="540" w:type="pct"/>
          </w:tcPr>
          <w:p w14:paraId="5F9B5A2B"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26,994</w:t>
            </w:r>
          </w:p>
        </w:tc>
        <w:tc>
          <w:tcPr>
            <w:tcW w:w="540" w:type="pct"/>
          </w:tcPr>
          <w:p w14:paraId="65DF12BD"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30,965</w:t>
            </w:r>
          </w:p>
        </w:tc>
        <w:tc>
          <w:tcPr>
            <w:tcW w:w="540" w:type="pct"/>
          </w:tcPr>
          <w:p w14:paraId="39DEC4D0"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34,345</w:t>
            </w:r>
          </w:p>
        </w:tc>
        <w:tc>
          <w:tcPr>
            <w:tcW w:w="540" w:type="pct"/>
          </w:tcPr>
          <w:p w14:paraId="32312579"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37,067</w:t>
            </w:r>
          </w:p>
        </w:tc>
        <w:tc>
          <w:tcPr>
            <w:tcW w:w="492" w:type="pct"/>
          </w:tcPr>
          <w:p w14:paraId="2277587E"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51,471</w:t>
            </w:r>
          </w:p>
        </w:tc>
      </w:tr>
      <w:tr w:rsidR="00F82FB2" w14:paraId="2227E4E1" w14:textId="77777777" w:rsidTr="00312E88">
        <w:trPr>
          <w:trHeight w:hRule="exact" w:val="284"/>
        </w:trPr>
        <w:tc>
          <w:tcPr>
            <w:tcW w:w="2347" w:type="pct"/>
          </w:tcPr>
          <w:p w14:paraId="7C957CAC"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Participant Costs (65+)</w:t>
            </w:r>
          </w:p>
        </w:tc>
        <w:tc>
          <w:tcPr>
            <w:tcW w:w="540" w:type="pct"/>
          </w:tcPr>
          <w:p w14:paraId="0DDCD4A3"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1,837</w:t>
            </w:r>
          </w:p>
        </w:tc>
        <w:tc>
          <w:tcPr>
            <w:tcW w:w="540" w:type="pct"/>
          </w:tcPr>
          <w:p w14:paraId="6BD63852"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2,464</w:t>
            </w:r>
          </w:p>
        </w:tc>
        <w:tc>
          <w:tcPr>
            <w:tcW w:w="540" w:type="pct"/>
          </w:tcPr>
          <w:p w14:paraId="143B8A18"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3,114</w:t>
            </w:r>
          </w:p>
        </w:tc>
        <w:tc>
          <w:tcPr>
            <w:tcW w:w="540" w:type="pct"/>
          </w:tcPr>
          <w:p w14:paraId="4B2D6833"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3,748</w:t>
            </w:r>
          </w:p>
        </w:tc>
        <w:tc>
          <w:tcPr>
            <w:tcW w:w="492" w:type="pct"/>
          </w:tcPr>
          <w:p w14:paraId="2803502F"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7,012</w:t>
            </w:r>
          </w:p>
        </w:tc>
      </w:tr>
      <w:tr w:rsidR="00F82FB2" w14:paraId="3251C46D" w14:textId="77777777" w:rsidTr="00312E88">
        <w:trPr>
          <w:trHeight w:hRule="exact" w:val="397"/>
        </w:trPr>
        <w:tc>
          <w:tcPr>
            <w:tcW w:w="2347" w:type="pct"/>
          </w:tcPr>
          <w:p w14:paraId="6F84625A" w14:textId="77777777" w:rsidR="00F82FB2" w:rsidRPr="00524428" w:rsidRDefault="00F82FB2" w:rsidP="00312E88">
            <w:pPr>
              <w:pStyle w:val="Tables"/>
              <w:rPr>
                <w:rFonts w:cs="Arial"/>
                <w:sz w:val="16"/>
                <w:szCs w:val="16"/>
              </w:rPr>
            </w:pPr>
            <w:r w:rsidRPr="00524428">
              <w:rPr>
                <w:rFonts w:cs="Arial"/>
                <w:sz w:val="16"/>
                <w:szCs w:val="16"/>
              </w:rPr>
              <w:t>Total Participant Costs (cash basis)</w:t>
            </w:r>
          </w:p>
        </w:tc>
        <w:tc>
          <w:tcPr>
            <w:tcW w:w="540" w:type="pct"/>
          </w:tcPr>
          <w:p w14:paraId="44BE1600" w14:textId="77777777" w:rsidR="00F82FB2" w:rsidRPr="00524428" w:rsidRDefault="00F82FB2" w:rsidP="00312E88">
            <w:pPr>
              <w:pStyle w:val="Tables"/>
              <w:rPr>
                <w:rFonts w:cs="Arial"/>
                <w:sz w:val="16"/>
                <w:szCs w:val="16"/>
              </w:rPr>
            </w:pPr>
            <w:r w:rsidRPr="00524428">
              <w:rPr>
                <w:rFonts w:cs="Arial"/>
                <w:sz w:val="16"/>
                <w:szCs w:val="16"/>
              </w:rPr>
              <w:t>28,831</w:t>
            </w:r>
          </w:p>
        </w:tc>
        <w:tc>
          <w:tcPr>
            <w:tcW w:w="540" w:type="pct"/>
          </w:tcPr>
          <w:p w14:paraId="4B5EC8DA" w14:textId="77777777" w:rsidR="00F82FB2" w:rsidRPr="00524428" w:rsidRDefault="00F82FB2" w:rsidP="00312E88">
            <w:pPr>
              <w:pStyle w:val="Tables"/>
              <w:rPr>
                <w:rFonts w:cs="Arial"/>
                <w:sz w:val="16"/>
                <w:szCs w:val="16"/>
              </w:rPr>
            </w:pPr>
            <w:r w:rsidRPr="00524428">
              <w:rPr>
                <w:rFonts w:cs="Arial"/>
                <w:sz w:val="16"/>
                <w:szCs w:val="16"/>
              </w:rPr>
              <w:t>33,429</w:t>
            </w:r>
          </w:p>
        </w:tc>
        <w:tc>
          <w:tcPr>
            <w:tcW w:w="540" w:type="pct"/>
          </w:tcPr>
          <w:p w14:paraId="0E4C3EA5" w14:textId="77777777" w:rsidR="00F82FB2" w:rsidRPr="00524428" w:rsidRDefault="00F82FB2" w:rsidP="00312E88">
            <w:pPr>
              <w:pStyle w:val="Tables"/>
              <w:rPr>
                <w:rFonts w:cs="Arial"/>
                <w:sz w:val="16"/>
                <w:szCs w:val="16"/>
              </w:rPr>
            </w:pPr>
            <w:r w:rsidRPr="00524428">
              <w:rPr>
                <w:rFonts w:cs="Arial"/>
                <w:sz w:val="16"/>
                <w:szCs w:val="16"/>
              </w:rPr>
              <w:t>37,459</w:t>
            </w:r>
          </w:p>
        </w:tc>
        <w:tc>
          <w:tcPr>
            <w:tcW w:w="540" w:type="pct"/>
          </w:tcPr>
          <w:p w14:paraId="1E0C058D" w14:textId="77777777" w:rsidR="00F82FB2" w:rsidRPr="00524428" w:rsidRDefault="00F82FB2" w:rsidP="00312E88">
            <w:pPr>
              <w:pStyle w:val="Tables"/>
              <w:rPr>
                <w:rFonts w:cs="Arial"/>
                <w:sz w:val="16"/>
                <w:szCs w:val="16"/>
              </w:rPr>
            </w:pPr>
            <w:r w:rsidRPr="00524428">
              <w:rPr>
                <w:rFonts w:cs="Arial"/>
                <w:sz w:val="16"/>
                <w:szCs w:val="16"/>
              </w:rPr>
              <w:t>40,814</w:t>
            </w:r>
          </w:p>
        </w:tc>
        <w:tc>
          <w:tcPr>
            <w:tcW w:w="492" w:type="pct"/>
          </w:tcPr>
          <w:p w14:paraId="4E3DC23F" w14:textId="77777777" w:rsidR="00F82FB2" w:rsidRPr="00524428" w:rsidRDefault="00F82FB2" w:rsidP="00312E88">
            <w:pPr>
              <w:pStyle w:val="Tables"/>
              <w:rPr>
                <w:rFonts w:cs="Arial"/>
                <w:sz w:val="16"/>
                <w:szCs w:val="16"/>
              </w:rPr>
            </w:pPr>
            <w:r w:rsidRPr="00524428">
              <w:rPr>
                <w:rFonts w:cs="Arial"/>
                <w:sz w:val="16"/>
                <w:szCs w:val="16"/>
              </w:rPr>
              <w:t>58,483</w:t>
            </w:r>
          </w:p>
        </w:tc>
      </w:tr>
      <w:tr w:rsidR="00F82FB2" w14:paraId="0394226D" w14:textId="77777777" w:rsidTr="00312E88">
        <w:trPr>
          <w:trHeight w:hRule="exact" w:val="284"/>
        </w:trPr>
        <w:tc>
          <w:tcPr>
            <w:tcW w:w="2347" w:type="pct"/>
          </w:tcPr>
          <w:p w14:paraId="05E965C3" w14:textId="77777777" w:rsidR="00F82FB2" w:rsidRPr="00524428" w:rsidRDefault="00F82FB2" w:rsidP="00312E88">
            <w:pPr>
              <w:pStyle w:val="Tables"/>
              <w:rPr>
                <w:rFonts w:cs="Arial"/>
                <w:sz w:val="16"/>
                <w:szCs w:val="16"/>
              </w:rPr>
            </w:pPr>
            <w:r w:rsidRPr="00524428">
              <w:rPr>
                <w:rFonts w:cs="Arial"/>
                <w:sz w:val="16"/>
                <w:szCs w:val="16"/>
              </w:rPr>
              <w:t>Total Participant Costs (accrual basis)</w:t>
            </w:r>
          </w:p>
        </w:tc>
        <w:tc>
          <w:tcPr>
            <w:tcW w:w="2653" w:type="pct"/>
            <w:gridSpan w:val="5"/>
          </w:tcPr>
          <w:p w14:paraId="65F1AD59" w14:textId="77777777" w:rsidR="00F82FB2" w:rsidRPr="00524428" w:rsidRDefault="00F82FB2" w:rsidP="00312E88">
            <w:pPr>
              <w:pStyle w:val="Tables"/>
              <w:rPr>
                <w:rFonts w:cs="Arial"/>
                <w:b w:val="0"/>
                <w:bCs w:val="0"/>
                <w:sz w:val="16"/>
                <w:szCs w:val="16"/>
              </w:rPr>
            </w:pPr>
          </w:p>
        </w:tc>
      </w:tr>
      <w:tr w:rsidR="00F82FB2" w14:paraId="458C251A" w14:textId="77777777" w:rsidTr="00312E88">
        <w:trPr>
          <w:trHeight w:hRule="exact" w:val="284"/>
        </w:trPr>
        <w:tc>
          <w:tcPr>
            <w:tcW w:w="2347" w:type="pct"/>
          </w:tcPr>
          <w:p w14:paraId="64F96312" w14:textId="77777777" w:rsidR="00F82FB2" w:rsidRPr="00524428" w:rsidRDefault="00F82FB2" w:rsidP="00312E88">
            <w:pPr>
              <w:pStyle w:val="Tables"/>
              <w:rPr>
                <w:rFonts w:cs="Arial"/>
                <w:sz w:val="16"/>
                <w:szCs w:val="16"/>
              </w:rPr>
            </w:pPr>
            <w:r w:rsidRPr="00524428">
              <w:rPr>
                <w:rFonts w:cs="Arial"/>
                <w:b w:val="0"/>
                <w:bCs w:val="0"/>
                <w:sz w:val="16"/>
                <w:szCs w:val="16"/>
              </w:rPr>
              <w:t>Participant Costs (0-64)</w:t>
            </w:r>
          </w:p>
        </w:tc>
        <w:tc>
          <w:tcPr>
            <w:tcW w:w="540" w:type="pct"/>
          </w:tcPr>
          <w:p w14:paraId="4E5AA193"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27,359</w:t>
            </w:r>
          </w:p>
        </w:tc>
        <w:tc>
          <w:tcPr>
            <w:tcW w:w="540" w:type="pct"/>
          </w:tcPr>
          <w:p w14:paraId="05F55DCC"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31,386</w:t>
            </w:r>
          </w:p>
        </w:tc>
        <w:tc>
          <w:tcPr>
            <w:tcW w:w="540" w:type="pct"/>
          </w:tcPr>
          <w:p w14:paraId="311C02F9"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34,812</w:t>
            </w:r>
          </w:p>
        </w:tc>
        <w:tc>
          <w:tcPr>
            <w:tcW w:w="540" w:type="pct"/>
          </w:tcPr>
          <w:p w14:paraId="1AAAD636"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37,569</w:t>
            </w:r>
          </w:p>
        </w:tc>
        <w:tc>
          <w:tcPr>
            <w:tcW w:w="492" w:type="pct"/>
          </w:tcPr>
          <w:p w14:paraId="26E8A199"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52,169</w:t>
            </w:r>
          </w:p>
        </w:tc>
      </w:tr>
      <w:tr w:rsidR="00F82FB2" w14:paraId="49F6C47C" w14:textId="77777777" w:rsidTr="00312E88">
        <w:trPr>
          <w:trHeight w:hRule="exact" w:val="284"/>
        </w:trPr>
        <w:tc>
          <w:tcPr>
            <w:tcW w:w="2347" w:type="pct"/>
          </w:tcPr>
          <w:p w14:paraId="2C782AF7"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Participant Costs (65+)</w:t>
            </w:r>
          </w:p>
        </w:tc>
        <w:tc>
          <w:tcPr>
            <w:tcW w:w="540" w:type="pct"/>
          </w:tcPr>
          <w:p w14:paraId="19151B60"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1,864</w:t>
            </w:r>
          </w:p>
        </w:tc>
        <w:tc>
          <w:tcPr>
            <w:tcW w:w="540" w:type="pct"/>
          </w:tcPr>
          <w:p w14:paraId="59C7FCF4"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2,501</w:t>
            </w:r>
          </w:p>
        </w:tc>
        <w:tc>
          <w:tcPr>
            <w:tcW w:w="540" w:type="pct"/>
          </w:tcPr>
          <w:p w14:paraId="683FF6A1"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3,161</w:t>
            </w:r>
          </w:p>
        </w:tc>
        <w:tc>
          <w:tcPr>
            <w:tcW w:w="540" w:type="pct"/>
          </w:tcPr>
          <w:p w14:paraId="78E55E18"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3,803</w:t>
            </w:r>
          </w:p>
        </w:tc>
        <w:tc>
          <w:tcPr>
            <w:tcW w:w="492" w:type="pct"/>
          </w:tcPr>
          <w:p w14:paraId="1257B63C" w14:textId="77777777" w:rsidR="00F82FB2" w:rsidRPr="00524428" w:rsidRDefault="00F82FB2" w:rsidP="00312E88">
            <w:pPr>
              <w:pStyle w:val="Tables"/>
              <w:rPr>
                <w:rFonts w:cs="Arial"/>
                <w:b w:val="0"/>
                <w:bCs w:val="0"/>
                <w:sz w:val="16"/>
                <w:szCs w:val="16"/>
              </w:rPr>
            </w:pPr>
            <w:r w:rsidRPr="00524428">
              <w:rPr>
                <w:rFonts w:cs="Arial"/>
                <w:b w:val="0"/>
                <w:bCs w:val="0"/>
                <w:sz w:val="16"/>
                <w:szCs w:val="16"/>
              </w:rPr>
              <w:t>7,115</w:t>
            </w:r>
          </w:p>
        </w:tc>
      </w:tr>
      <w:tr w:rsidR="00F82FB2" w14:paraId="35548339" w14:textId="77777777" w:rsidTr="00312E88">
        <w:trPr>
          <w:trHeight w:hRule="exact" w:val="284"/>
        </w:trPr>
        <w:tc>
          <w:tcPr>
            <w:tcW w:w="2347" w:type="pct"/>
          </w:tcPr>
          <w:p w14:paraId="1ADC94BA" w14:textId="77777777" w:rsidR="00F82FB2" w:rsidRPr="00524428" w:rsidRDefault="00F82FB2" w:rsidP="00312E88">
            <w:pPr>
              <w:pStyle w:val="Tables"/>
              <w:rPr>
                <w:rFonts w:cs="Arial"/>
                <w:sz w:val="16"/>
                <w:szCs w:val="16"/>
              </w:rPr>
            </w:pPr>
            <w:r w:rsidRPr="00524428">
              <w:rPr>
                <w:rFonts w:cs="Arial"/>
                <w:sz w:val="16"/>
                <w:szCs w:val="16"/>
              </w:rPr>
              <w:t>Total Participant Costs (accrual basis)</w:t>
            </w:r>
          </w:p>
        </w:tc>
        <w:tc>
          <w:tcPr>
            <w:tcW w:w="540" w:type="pct"/>
          </w:tcPr>
          <w:p w14:paraId="1B426895" w14:textId="77777777" w:rsidR="00F82FB2" w:rsidRPr="00524428" w:rsidRDefault="00F82FB2" w:rsidP="00312E88">
            <w:pPr>
              <w:pStyle w:val="Tables"/>
              <w:rPr>
                <w:rFonts w:cs="Arial"/>
                <w:sz w:val="16"/>
                <w:szCs w:val="16"/>
              </w:rPr>
            </w:pPr>
            <w:r w:rsidRPr="00524428">
              <w:rPr>
                <w:rFonts w:cs="Arial"/>
                <w:sz w:val="16"/>
                <w:szCs w:val="16"/>
              </w:rPr>
              <w:t>29,223</w:t>
            </w:r>
          </w:p>
        </w:tc>
        <w:tc>
          <w:tcPr>
            <w:tcW w:w="540" w:type="pct"/>
          </w:tcPr>
          <w:p w14:paraId="5DB2DAC4" w14:textId="77777777" w:rsidR="00F82FB2" w:rsidRPr="00524428" w:rsidRDefault="00F82FB2" w:rsidP="00312E88">
            <w:pPr>
              <w:pStyle w:val="Tables"/>
              <w:rPr>
                <w:rFonts w:cs="Arial"/>
                <w:sz w:val="16"/>
                <w:szCs w:val="16"/>
              </w:rPr>
            </w:pPr>
            <w:r w:rsidRPr="00524428">
              <w:rPr>
                <w:rFonts w:cs="Arial"/>
                <w:sz w:val="16"/>
                <w:szCs w:val="16"/>
              </w:rPr>
              <w:t>33,886</w:t>
            </w:r>
          </w:p>
        </w:tc>
        <w:tc>
          <w:tcPr>
            <w:tcW w:w="540" w:type="pct"/>
          </w:tcPr>
          <w:p w14:paraId="317F8BB6" w14:textId="77777777" w:rsidR="00F82FB2" w:rsidRPr="00524428" w:rsidRDefault="00F82FB2" w:rsidP="00312E88">
            <w:pPr>
              <w:pStyle w:val="Tables"/>
              <w:rPr>
                <w:rFonts w:cs="Arial"/>
                <w:sz w:val="16"/>
                <w:szCs w:val="16"/>
              </w:rPr>
            </w:pPr>
            <w:r w:rsidRPr="00524428">
              <w:rPr>
                <w:rFonts w:cs="Arial"/>
                <w:sz w:val="16"/>
                <w:szCs w:val="16"/>
              </w:rPr>
              <w:t>37,973</w:t>
            </w:r>
          </w:p>
        </w:tc>
        <w:tc>
          <w:tcPr>
            <w:tcW w:w="540" w:type="pct"/>
          </w:tcPr>
          <w:p w14:paraId="051F9E49" w14:textId="77777777" w:rsidR="00F82FB2" w:rsidRPr="00524428" w:rsidRDefault="00F82FB2" w:rsidP="00312E88">
            <w:pPr>
              <w:pStyle w:val="Tables"/>
              <w:rPr>
                <w:rFonts w:cs="Arial"/>
                <w:sz w:val="16"/>
                <w:szCs w:val="16"/>
              </w:rPr>
            </w:pPr>
            <w:r w:rsidRPr="00524428">
              <w:rPr>
                <w:rFonts w:cs="Arial"/>
                <w:sz w:val="16"/>
                <w:szCs w:val="16"/>
              </w:rPr>
              <w:t>41,373</w:t>
            </w:r>
          </w:p>
        </w:tc>
        <w:tc>
          <w:tcPr>
            <w:tcW w:w="492" w:type="pct"/>
          </w:tcPr>
          <w:p w14:paraId="29080FD7" w14:textId="77777777" w:rsidR="00F82FB2" w:rsidRPr="00524428" w:rsidRDefault="00F82FB2" w:rsidP="00312E88">
            <w:pPr>
              <w:pStyle w:val="Tables"/>
              <w:rPr>
                <w:rFonts w:cs="Arial"/>
                <w:sz w:val="16"/>
                <w:szCs w:val="16"/>
              </w:rPr>
            </w:pPr>
            <w:r w:rsidRPr="00524428">
              <w:rPr>
                <w:rFonts w:cs="Arial"/>
                <w:sz w:val="16"/>
                <w:szCs w:val="16"/>
              </w:rPr>
              <w:t>59,284</w:t>
            </w:r>
          </w:p>
        </w:tc>
      </w:tr>
    </w:tbl>
    <w:p w14:paraId="5FD7F964" w14:textId="27C610C8" w:rsidR="00B8229F" w:rsidRPr="00C578EB" w:rsidRDefault="00B8229F" w:rsidP="00B8229F">
      <w:pPr>
        <w:pStyle w:val="FSRnormal"/>
      </w:pPr>
      <w:r w:rsidRPr="00C578EB">
        <w:t xml:space="preserve">As noted above, this projection is not </w:t>
      </w:r>
      <w:r w:rsidR="0015058E">
        <w:t xml:space="preserve">simply </w:t>
      </w:r>
      <w:r w:rsidRPr="00C578EB">
        <w:t>an extrapolation of past trends</w:t>
      </w:r>
      <w:r>
        <w:t>. Instead,</w:t>
      </w:r>
      <w:r w:rsidRPr="00C578EB">
        <w:t xml:space="preserve"> a forward</w:t>
      </w:r>
      <w:r>
        <w:t>-</w:t>
      </w:r>
      <w:r w:rsidRPr="00C578EB">
        <w:t xml:space="preserve">looking approach has been </w:t>
      </w:r>
      <w:r>
        <w:t>adopted for new entrants, non-mortality exit rates, and inflation in average payments</w:t>
      </w:r>
      <w:r w:rsidRPr="00C578EB">
        <w:t xml:space="preserve">. </w:t>
      </w:r>
      <w:r w:rsidR="0014072D">
        <w:t xml:space="preserve">The </w:t>
      </w:r>
      <w:r w:rsidR="002B6DAC">
        <w:t xml:space="preserve">scenario analysis </w:t>
      </w:r>
      <w:r w:rsidR="0014072D">
        <w:t xml:space="preserve">in Section 6.1 considers a range of uncertainties in relation to these key assumptions.  </w:t>
      </w:r>
    </w:p>
    <w:p w14:paraId="2FCF7051" w14:textId="77777777" w:rsidR="00B8229F" w:rsidRDefault="00B8229F" w:rsidP="00B8229F">
      <w:pPr>
        <w:pStyle w:val="FSRHeading4"/>
      </w:pPr>
      <w:r>
        <w:lastRenderedPageBreak/>
        <w:t>Comparison with previous AFSR</w:t>
      </w:r>
    </w:p>
    <w:p w14:paraId="44149031" w14:textId="68B077FD" w:rsidR="00B8229F" w:rsidRPr="00B158C4" w:rsidRDefault="00B8229F" w:rsidP="00B8229F">
      <w:pPr>
        <w:pStyle w:val="FSRnormal"/>
      </w:pPr>
      <w:r>
        <w:t xml:space="preserve">The projected participant costs are </w:t>
      </w:r>
      <w:r w:rsidR="00B47157">
        <w:t xml:space="preserve">approximately </w:t>
      </w:r>
      <w:r>
        <w:t xml:space="preserve">$3.9 billion </w:t>
      </w:r>
      <w:r w:rsidRPr="00B47157">
        <w:rPr>
          <w:b/>
        </w:rPr>
        <w:t>higher</w:t>
      </w:r>
      <w:r>
        <w:t xml:space="preserve"> than the previous review in the four years to June 2025, and </w:t>
      </w:r>
      <w:r w:rsidR="00B47157">
        <w:t xml:space="preserve">about </w:t>
      </w:r>
      <w:r>
        <w:t xml:space="preserve">$1.0 billion </w:t>
      </w:r>
      <w:r w:rsidRPr="00B47157">
        <w:rPr>
          <w:b/>
        </w:rPr>
        <w:t>lower</w:t>
      </w:r>
      <w:r>
        <w:t xml:space="preserve"> in 2029-</w:t>
      </w:r>
      <w:r w:rsidRPr="00F03681">
        <w:t>30 (</w:t>
      </w:r>
      <w:r>
        <w:fldChar w:fldCharType="begin"/>
      </w:r>
      <w:r>
        <w:instrText xml:space="preserve"> REF _Ref80210937 \h </w:instrText>
      </w:r>
      <w:r>
        <w:fldChar w:fldCharType="separate"/>
      </w:r>
      <w:r w:rsidR="00E50032" w:rsidRPr="00B158C4">
        <w:t xml:space="preserve">Table </w:t>
      </w:r>
      <w:r w:rsidR="00E50032">
        <w:rPr>
          <w:noProof/>
        </w:rPr>
        <w:t>3</w:t>
      </w:r>
      <w:r>
        <w:fldChar w:fldCharType="end"/>
      </w:r>
      <w:r w:rsidRPr="00F03681">
        <w:t xml:space="preserve">). </w:t>
      </w:r>
    </w:p>
    <w:p w14:paraId="63EC8D8D" w14:textId="050312A4" w:rsidR="00B8229F" w:rsidRDefault="00B8229F" w:rsidP="00B8229F">
      <w:pPr>
        <w:pStyle w:val="Tables"/>
      </w:pPr>
      <w:bookmarkStart w:id="16" w:name="_Ref80210937"/>
      <w:r w:rsidRPr="00B158C4">
        <w:t xml:space="preserve">Table </w:t>
      </w:r>
      <w:fldSimple w:instr=" SEQ Table \* ARABIC ">
        <w:r w:rsidR="00E50032">
          <w:rPr>
            <w:noProof/>
          </w:rPr>
          <w:t>3</w:t>
        </w:r>
      </w:fldSimple>
      <w:bookmarkEnd w:id="16"/>
      <w:r w:rsidRPr="00B158C4">
        <w:t xml:space="preserve"> Total Participant costs (accrual basis) compared to </w:t>
      </w:r>
      <w:r>
        <w:t>previous review</w:t>
      </w:r>
    </w:p>
    <w:tbl>
      <w:tblPr>
        <w:tblStyle w:val="TableGrid"/>
        <w:tblW w:w="8910" w:type="dxa"/>
        <w:jc w:val="center"/>
        <w:tblLayout w:type="fixed"/>
        <w:tblLook w:val="04A0" w:firstRow="1" w:lastRow="0" w:firstColumn="1" w:lastColumn="0" w:noHBand="0" w:noVBand="1"/>
      </w:tblPr>
      <w:tblGrid>
        <w:gridCol w:w="3848"/>
        <w:gridCol w:w="851"/>
        <w:gridCol w:w="850"/>
        <w:gridCol w:w="851"/>
        <w:gridCol w:w="850"/>
        <w:gridCol w:w="830"/>
        <w:gridCol w:w="830"/>
      </w:tblGrid>
      <w:tr w:rsidR="00753754" w14:paraId="1C258932" w14:textId="77777777" w:rsidTr="00312E88">
        <w:trPr>
          <w:tblHeader/>
          <w:jc w:val="center"/>
        </w:trPr>
        <w:tc>
          <w:tcPr>
            <w:tcW w:w="3848" w:type="dxa"/>
            <w:shd w:val="clear" w:color="auto" w:fill="6B2E76"/>
            <w:vAlign w:val="center"/>
          </w:tcPr>
          <w:p w14:paraId="724C110C" w14:textId="77777777" w:rsidR="00753754" w:rsidRPr="00524428" w:rsidRDefault="00753754" w:rsidP="00312E88">
            <w:pPr>
              <w:pStyle w:val="Tables"/>
              <w:jc w:val="center"/>
              <w:rPr>
                <w:rFonts w:cs="Arial"/>
                <w:color w:val="FFFFFF" w:themeColor="background1"/>
                <w:sz w:val="15"/>
                <w:szCs w:val="15"/>
              </w:rPr>
            </w:pPr>
            <w:r w:rsidRPr="00524428">
              <w:rPr>
                <w:rFonts w:cs="Arial"/>
                <w:color w:val="FFFFFF" w:themeColor="background1"/>
                <w:sz w:val="15"/>
                <w:szCs w:val="15"/>
              </w:rPr>
              <w:t>Projected Participant Costs ($m)</w:t>
            </w:r>
          </w:p>
        </w:tc>
        <w:tc>
          <w:tcPr>
            <w:tcW w:w="851" w:type="dxa"/>
            <w:shd w:val="clear" w:color="auto" w:fill="6B2E76"/>
            <w:vAlign w:val="center"/>
          </w:tcPr>
          <w:p w14:paraId="6B36DD80" w14:textId="77777777" w:rsidR="00753754" w:rsidRPr="00524428" w:rsidRDefault="00753754" w:rsidP="00312E88">
            <w:pPr>
              <w:pStyle w:val="Tables"/>
              <w:jc w:val="center"/>
              <w:rPr>
                <w:rFonts w:cs="Arial"/>
                <w:color w:val="FFFFFF" w:themeColor="background1"/>
                <w:sz w:val="15"/>
                <w:szCs w:val="15"/>
              </w:rPr>
            </w:pPr>
            <w:r w:rsidRPr="00524428">
              <w:rPr>
                <w:rFonts w:cs="Arial"/>
                <w:color w:val="FFFFFF" w:themeColor="background1"/>
                <w:sz w:val="15"/>
                <w:szCs w:val="15"/>
              </w:rPr>
              <w:t>2021-22</w:t>
            </w:r>
          </w:p>
        </w:tc>
        <w:tc>
          <w:tcPr>
            <w:tcW w:w="850" w:type="dxa"/>
            <w:shd w:val="clear" w:color="auto" w:fill="6B2E76"/>
            <w:vAlign w:val="center"/>
          </w:tcPr>
          <w:p w14:paraId="32DC5B88" w14:textId="77777777" w:rsidR="00753754" w:rsidRPr="00524428" w:rsidRDefault="00753754" w:rsidP="00312E88">
            <w:pPr>
              <w:pStyle w:val="Tables"/>
              <w:jc w:val="center"/>
              <w:rPr>
                <w:rFonts w:cs="Arial"/>
                <w:color w:val="FFFFFF" w:themeColor="background1"/>
                <w:sz w:val="15"/>
                <w:szCs w:val="15"/>
              </w:rPr>
            </w:pPr>
            <w:r w:rsidRPr="00524428">
              <w:rPr>
                <w:rFonts w:cs="Arial"/>
                <w:color w:val="FFFFFF" w:themeColor="background1"/>
                <w:sz w:val="15"/>
                <w:szCs w:val="15"/>
              </w:rPr>
              <w:t>2022-23</w:t>
            </w:r>
          </w:p>
        </w:tc>
        <w:tc>
          <w:tcPr>
            <w:tcW w:w="851" w:type="dxa"/>
            <w:shd w:val="clear" w:color="auto" w:fill="6B2E76"/>
            <w:vAlign w:val="center"/>
          </w:tcPr>
          <w:p w14:paraId="4AB036C3" w14:textId="77777777" w:rsidR="00753754" w:rsidRPr="00524428" w:rsidRDefault="00753754" w:rsidP="00312E88">
            <w:pPr>
              <w:pStyle w:val="Tables"/>
              <w:jc w:val="center"/>
              <w:rPr>
                <w:rFonts w:cs="Arial"/>
                <w:color w:val="FFFFFF" w:themeColor="background1"/>
                <w:sz w:val="15"/>
                <w:szCs w:val="15"/>
              </w:rPr>
            </w:pPr>
            <w:r w:rsidRPr="00524428">
              <w:rPr>
                <w:rFonts w:cs="Arial"/>
                <w:color w:val="FFFFFF" w:themeColor="background1"/>
                <w:sz w:val="15"/>
                <w:szCs w:val="15"/>
              </w:rPr>
              <w:t>2023-24</w:t>
            </w:r>
          </w:p>
        </w:tc>
        <w:tc>
          <w:tcPr>
            <w:tcW w:w="850" w:type="dxa"/>
            <w:shd w:val="clear" w:color="auto" w:fill="6B2E76"/>
            <w:vAlign w:val="center"/>
          </w:tcPr>
          <w:p w14:paraId="6531C62E" w14:textId="77777777" w:rsidR="00753754" w:rsidRPr="00524428" w:rsidRDefault="00753754" w:rsidP="00312E88">
            <w:pPr>
              <w:pStyle w:val="Tables"/>
              <w:jc w:val="center"/>
              <w:rPr>
                <w:rFonts w:cs="Arial"/>
                <w:color w:val="FFFFFF" w:themeColor="background1"/>
                <w:sz w:val="15"/>
                <w:szCs w:val="15"/>
              </w:rPr>
            </w:pPr>
            <w:r w:rsidRPr="00524428">
              <w:rPr>
                <w:rFonts w:cs="Arial"/>
                <w:color w:val="FFFFFF" w:themeColor="background1"/>
                <w:sz w:val="15"/>
                <w:szCs w:val="15"/>
              </w:rPr>
              <w:t>2024-25</w:t>
            </w:r>
          </w:p>
        </w:tc>
        <w:tc>
          <w:tcPr>
            <w:tcW w:w="830" w:type="dxa"/>
            <w:shd w:val="clear" w:color="auto" w:fill="6B2E76"/>
            <w:vAlign w:val="center"/>
          </w:tcPr>
          <w:p w14:paraId="418CCFC4" w14:textId="77777777" w:rsidR="00753754" w:rsidRPr="00524428" w:rsidRDefault="00753754" w:rsidP="00312E88">
            <w:pPr>
              <w:pStyle w:val="Tables"/>
              <w:jc w:val="center"/>
              <w:rPr>
                <w:rFonts w:cs="Arial"/>
                <w:color w:val="FFFFFF" w:themeColor="background1"/>
                <w:sz w:val="15"/>
                <w:szCs w:val="15"/>
              </w:rPr>
            </w:pPr>
            <w:r w:rsidRPr="00524428">
              <w:rPr>
                <w:rFonts w:cs="Arial"/>
                <w:color w:val="FFFFFF" w:themeColor="background1"/>
                <w:sz w:val="15"/>
                <w:szCs w:val="15"/>
              </w:rPr>
              <w:t>2029-30</w:t>
            </w:r>
          </w:p>
        </w:tc>
        <w:tc>
          <w:tcPr>
            <w:tcW w:w="830" w:type="dxa"/>
            <w:shd w:val="clear" w:color="auto" w:fill="6B2E76"/>
          </w:tcPr>
          <w:p w14:paraId="520B721C" w14:textId="77777777" w:rsidR="00753754" w:rsidRPr="00524428" w:rsidRDefault="00753754" w:rsidP="00312E88">
            <w:pPr>
              <w:pStyle w:val="Tables"/>
              <w:jc w:val="center"/>
              <w:rPr>
                <w:rFonts w:cs="Arial"/>
                <w:color w:val="FFFFFF" w:themeColor="background1"/>
                <w:sz w:val="15"/>
                <w:szCs w:val="15"/>
              </w:rPr>
            </w:pPr>
            <w:r w:rsidRPr="00524428">
              <w:rPr>
                <w:rFonts w:cs="Arial"/>
                <w:color w:val="FFFFFF" w:themeColor="background1"/>
                <w:sz w:val="15"/>
                <w:szCs w:val="15"/>
              </w:rPr>
              <w:t>Total 2021-25</w:t>
            </w:r>
          </w:p>
        </w:tc>
      </w:tr>
      <w:tr w:rsidR="00753754" w14:paraId="7E1D508D" w14:textId="77777777" w:rsidTr="00312E88">
        <w:trPr>
          <w:trHeight w:hRule="exact" w:val="284"/>
          <w:jc w:val="center"/>
        </w:trPr>
        <w:tc>
          <w:tcPr>
            <w:tcW w:w="3848" w:type="dxa"/>
          </w:tcPr>
          <w:p w14:paraId="670D01A7"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2020-21 AFSR</w:t>
            </w:r>
          </w:p>
        </w:tc>
        <w:tc>
          <w:tcPr>
            <w:tcW w:w="851" w:type="dxa"/>
          </w:tcPr>
          <w:p w14:paraId="7905503C"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29,223</w:t>
            </w:r>
          </w:p>
        </w:tc>
        <w:tc>
          <w:tcPr>
            <w:tcW w:w="850" w:type="dxa"/>
          </w:tcPr>
          <w:p w14:paraId="5BE41591"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33,886</w:t>
            </w:r>
          </w:p>
        </w:tc>
        <w:tc>
          <w:tcPr>
            <w:tcW w:w="851" w:type="dxa"/>
          </w:tcPr>
          <w:p w14:paraId="581C3A9C"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37,973</w:t>
            </w:r>
          </w:p>
        </w:tc>
        <w:tc>
          <w:tcPr>
            <w:tcW w:w="850" w:type="dxa"/>
          </w:tcPr>
          <w:p w14:paraId="4E0151D5"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41,373</w:t>
            </w:r>
          </w:p>
        </w:tc>
        <w:tc>
          <w:tcPr>
            <w:tcW w:w="830" w:type="dxa"/>
          </w:tcPr>
          <w:p w14:paraId="23AD2615"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59,284</w:t>
            </w:r>
          </w:p>
        </w:tc>
        <w:tc>
          <w:tcPr>
            <w:tcW w:w="830" w:type="dxa"/>
          </w:tcPr>
          <w:p w14:paraId="449AB4F7"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142,455</w:t>
            </w:r>
          </w:p>
        </w:tc>
      </w:tr>
      <w:tr w:rsidR="00753754" w14:paraId="6643391E" w14:textId="77777777" w:rsidTr="00312E88">
        <w:trPr>
          <w:trHeight w:hRule="exact" w:val="284"/>
          <w:jc w:val="center"/>
        </w:trPr>
        <w:tc>
          <w:tcPr>
            <w:tcW w:w="3848" w:type="dxa"/>
          </w:tcPr>
          <w:p w14:paraId="45A835D9"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Dec20 AFSR</w:t>
            </w:r>
          </w:p>
        </w:tc>
        <w:tc>
          <w:tcPr>
            <w:tcW w:w="851" w:type="dxa"/>
          </w:tcPr>
          <w:p w14:paraId="61268CCA"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28,139</w:t>
            </w:r>
          </w:p>
        </w:tc>
        <w:tc>
          <w:tcPr>
            <w:tcW w:w="850" w:type="dxa"/>
          </w:tcPr>
          <w:p w14:paraId="1EF3FBC0"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32,900</w:t>
            </w:r>
          </w:p>
        </w:tc>
        <w:tc>
          <w:tcPr>
            <w:tcW w:w="851" w:type="dxa"/>
          </w:tcPr>
          <w:p w14:paraId="110DAA7A"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36,906</w:t>
            </w:r>
          </w:p>
        </w:tc>
        <w:tc>
          <w:tcPr>
            <w:tcW w:w="850" w:type="dxa"/>
          </w:tcPr>
          <w:p w14:paraId="5451C6DD"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40,659</w:t>
            </w:r>
          </w:p>
        </w:tc>
        <w:tc>
          <w:tcPr>
            <w:tcW w:w="830" w:type="dxa"/>
          </w:tcPr>
          <w:p w14:paraId="6046DD22"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60,324</w:t>
            </w:r>
          </w:p>
        </w:tc>
        <w:tc>
          <w:tcPr>
            <w:tcW w:w="830" w:type="dxa"/>
          </w:tcPr>
          <w:p w14:paraId="199E3AD2"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138,603</w:t>
            </w:r>
          </w:p>
        </w:tc>
      </w:tr>
      <w:tr w:rsidR="00753754" w14:paraId="565803F6" w14:textId="77777777" w:rsidTr="006C6AC6">
        <w:trPr>
          <w:trHeight w:hRule="exact" w:val="320"/>
          <w:jc w:val="center"/>
        </w:trPr>
        <w:tc>
          <w:tcPr>
            <w:tcW w:w="3848" w:type="dxa"/>
          </w:tcPr>
          <w:p w14:paraId="3BF321E5"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Difference</w:t>
            </w:r>
          </w:p>
        </w:tc>
        <w:tc>
          <w:tcPr>
            <w:tcW w:w="851" w:type="dxa"/>
          </w:tcPr>
          <w:p w14:paraId="79681A8A"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1,085</w:t>
            </w:r>
          </w:p>
        </w:tc>
        <w:tc>
          <w:tcPr>
            <w:tcW w:w="850" w:type="dxa"/>
          </w:tcPr>
          <w:p w14:paraId="29CF23DC"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987</w:t>
            </w:r>
          </w:p>
        </w:tc>
        <w:tc>
          <w:tcPr>
            <w:tcW w:w="851" w:type="dxa"/>
          </w:tcPr>
          <w:p w14:paraId="0A9F6EFD"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1,066</w:t>
            </w:r>
          </w:p>
        </w:tc>
        <w:tc>
          <w:tcPr>
            <w:tcW w:w="850" w:type="dxa"/>
          </w:tcPr>
          <w:p w14:paraId="21719F01"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714</w:t>
            </w:r>
          </w:p>
        </w:tc>
        <w:tc>
          <w:tcPr>
            <w:tcW w:w="830" w:type="dxa"/>
          </w:tcPr>
          <w:p w14:paraId="1EED9A98"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-1,040</w:t>
            </w:r>
          </w:p>
        </w:tc>
        <w:tc>
          <w:tcPr>
            <w:tcW w:w="830" w:type="dxa"/>
          </w:tcPr>
          <w:p w14:paraId="1C5079A9" w14:textId="77777777" w:rsidR="00753754" w:rsidRPr="00524428" w:rsidRDefault="00753754" w:rsidP="00312E88">
            <w:pPr>
              <w:pStyle w:val="Tables"/>
              <w:rPr>
                <w:rFonts w:cs="Arial"/>
                <w:b w:val="0"/>
                <w:bCs w:val="0"/>
                <w:sz w:val="16"/>
                <w:szCs w:val="16"/>
              </w:rPr>
            </w:pPr>
            <w:r w:rsidRPr="00524428">
              <w:rPr>
                <w:rFonts w:cs="Arial"/>
                <w:b w:val="0"/>
                <w:bCs w:val="0"/>
                <w:sz w:val="16"/>
                <w:szCs w:val="16"/>
              </w:rPr>
              <w:t>3,852</w:t>
            </w:r>
          </w:p>
        </w:tc>
      </w:tr>
    </w:tbl>
    <w:p w14:paraId="51542F41" w14:textId="15796708" w:rsidR="00B8229F" w:rsidRPr="00B8229F" w:rsidRDefault="00B8229F" w:rsidP="00B8229F">
      <w:pPr>
        <w:pStyle w:val="FSRnormal"/>
      </w:pPr>
      <w:r w:rsidRPr="00B8229F">
        <w:t xml:space="preserve">The sources of variance between this projection and the previous review </w:t>
      </w:r>
      <w:r w:rsidR="00B47157">
        <w:t xml:space="preserve">are </w:t>
      </w:r>
      <w:r w:rsidRPr="00B8229F">
        <w:t xml:space="preserve">shown in </w:t>
      </w:r>
      <w:r w:rsidR="005F4426">
        <w:br/>
      </w:r>
      <w:r w:rsidRPr="00B8229F">
        <w:fldChar w:fldCharType="begin"/>
      </w:r>
      <w:r w:rsidRPr="00B8229F">
        <w:instrText xml:space="preserve"> REF _Ref80286892 \h  \* MERGEFORMAT </w:instrText>
      </w:r>
      <w:r w:rsidRPr="00B8229F">
        <w:fldChar w:fldCharType="separate"/>
      </w:r>
      <w:r w:rsidR="00E50032" w:rsidRPr="00B158C4">
        <w:t xml:space="preserve">Table </w:t>
      </w:r>
      <w:r w:rsidR="00E50032">
        <w:t>4</w:t>
      </w:r>
      <w:r w:rsidRPr="00B8229F">
        <w:fldChar w:fldCharType="end"/>
      </w:r>
      <w:r w:rsidR="00D97AA2">
        <w:t>:</w:t>
      </w:r>
    </w:p>
    <w:p w14:paraId="09EB9013" w14:textId="14C73857" w:rsidR="00B47157" w:rsidRDefault="00B47157" w:rsidP="000A0D48">
      <w:pPr>
        <w:pStyle w:val="FSRnormal"/>
        <w:numPr>
          <w:ilvl w:val="0"/>
          <w:numId w:val="11"/>
        </w:numPr>
      </w:pPr>
      <w:r>
        <w:t>Changes to assumptions regarding population numbers (</w:t>
      </w:r>
      <w:r w:rsidR="00D97AA2">
        <w:t>predominantly</w:t>
      </w:r>
      <w:r>
        <w:t xml:space="preserve"> the number of new participants entering Supported Independent Living) have </w:t>
      </w:r>
      <w:r w:rsidRPr="00E31DF3">
        <w:rPr>
          <w:b/>
        </w:rPr>
        <w:t>reduced</w:t>
      </w:r>
      <w:r>
        <w:t xml:space="preserve"> the projection by $5.0</w:t>
      </w:r>
      <w:r w:rsidR="007D6333">
        <w:t xml:space="preserve"> billion</w:t>
      </w:r>
      <w:r>
        <w:t xml:space="preserve"> in the four years to June 2025 and $3.2</w:t>
      </w:r>
      <w:r w:rsidR="007D6333">
        <w:t xml:space="preserve"> billion</w:t>
      </w:r>
      <w:r>
        <w:t xml:space="preserve"> in 2029-30</w:t>
      </w:r>
    </w:p>
    <w:p w14:paraId="4A4B2BF0" w14:textId="752E9649" w:rsidR="00B47157" w:rsidRDefault="00B47157" w:rsidP="000A0D48">
      <w:pPr>
        <w:pStyle w:val="FSRnormal"/>
        <w:numPr>
          <w:ilvl w:val="0"/>
          <w:numId w:val="11"/>
        </w:numPr>
      </w:pPr>
      <w:r>
        <w:t xml:space="preserve">Higher base payment assumptions (i.e. the average payment per participant in the immediate future), resulting from higher recent payment experience have </w:t>
      </w:r>
      <w:r w:rsidRPr="00AD69A7">
        <w:rPr>
          <w:b/>
        </w:rPr>
        <w:t>increased</w:t>
      </w:r>
      <w:r>
        <w:t xml:space="preserve"> the projection by $3.5</w:t>
      </w:r>
      <w:r w:rsidR="007D6333">
        <w:t xml:space="preserve"> billion</w:t>
      </w:r>
      <w:r>
        <w:t xml:space="preserve"> in the four years to June 2025 and $1.4</w:t>
      </w:r>
      <w:r w:rsidR="007D6333">
        <w:t xml:space="preserve"> billion</w:t>
      </w:r>
      <w:r>
        <w:t xml:space="preserve"> in 2029-30</w:t>
      </w:r>
    </w:p>
    <w:p w14:paraId="071962F6" w14:textId="4F487256" w:rsidR="00B47157" w:rsidRDefault="00B47157" w:rsidP="000A0D48">
      <w:pPr>
        <w:pStyle w:val="FSRnormal"/>
        <w:numPr>
          <w:ilvl w:val="0"/>
          <w:numId w:val="11"/>
        </w:numPr>
      </w:pPr>
      <w:r>
        <w:t xml:space="preserve">An increased allowance for future inflation (i.e. </w:t>
      </w:r>
      <w:r w:rsidRPr="00B47157">
        <w:rPr>
          <w:b/>
        </w:rPr>
        <w:t>in addition</w:t>
      </w:r>
      <w:r>
        <w:t xml:space="preserve"> to the higher base payment assumptions)</w:t>
      </w:r>
      <w:r w:rsidR="0014072D">
        <w:t>,</w:t>
      </w:r>
      <w:r>
        <w:t xml:space="preserve"> has </w:t>
      </w:r>
      <w:r w:rsidRPr="00AD69A7">
        <w:rPr>
          <w:b/>
        </w:rPr>
        <w:t>increased</w:t>
      </w:r>
      <w:r>
        <w:t xml:space="preserve"> the projection by $</w:t>
      </w:r>
      <w:r w:rsidR="00D97AA2">
        <w:t>7</w:t>
      </w:r>
      <w:r>
        <w:t>.</w:t>
      </w:r>
      <w:r w:rsidR="00D97AA2">
        <w:t>1</w:t>
      </w:r>
      <w:r w:rsidR="007D6333">
        <w:t xml:space="preserve"> billion</w:t>
      </w:r>
      <w:r>
        <w:t xml:space="preserve"> in the four years to June 2025 and $</w:t>
      </w:r>
      <w:r w:rsidR="00D97AA2">
        <w:t>2</w:t>
      </w:r>
      <w:r>
        <w:t>.</w:t>
      </w:r>
      <w:r w:rsidR="00D97AA2">
        <w:t>6</w:t>
      </w:r>
      <w:r w:rsidR="007D6333">
        <w:t xml:space="preserve"> billion</w:t>
      </w:r>
      <w:r>
        <w:t xml:space="preserve"> in 2029-30</w:t>
      </w:r>
    </w:p>
    <w:p w14:paraId="25A5B40C" w14:textId="07A9B0C8" w:rsidR="00B8229F" w:rsidRPr="00B8229F" w:rsidRDefault="009953D7" w:rsidP="000A0D48">
      <w:pPr>
        <w:pStyle w:val="FSRnormal"/>
        <w:numPr>
          <w:ilvl w:val="0"/>
          <w:numId w:val="11"/>
        </w:numPr>
      </w:pPr>
      <w:r>
        <w:t xml:space="preserve">A reduction </w:t>
      </w:r>
      <w:r w:rsidR="007364CC">
        <w:t xml:space="preserve">of 8.5% </w:t>
      </w:r>
      <w:r>
        <w:t>in the allowance for the average payment for new entrants</w:t>
      </w:r>
      <w:r w:rsidRPr="00B8229F">
        <w:t xml:space="preserve"> </w:t>
      </w:r>
      <w:r>
        <w:t xml:space="preserve">has </w:t>
      </w:r>
      <w:r w:rsidRPr="00AD69A7">
        <w:rPr>
          <w:b/>
        </w:rPr>
        <w:t>reduced</w:t>
      </w:r>
      <w:r>
        <w:t xml:space="preserve"> the projection by $1.8 billion in the four years to June 2025 and $1.9 billion in 2029-30. This reduction arises from new entrants, on a mix-adjusted basis, being observed to cost less than existing participants. </w:t>
      </w:r>
      <w:r w:rsidR="00B8229F" w:rsidRPr="00B8229F">
        <w:t xml:space="preserve"> </w:t>
      </w:r>
    </w:p>
    <w:p w14:paraId="60F8E542" w14:textId="53616FE7" w:rsidR="00B8229F" w:rsidRDefault="00B8229F" w:rsidP="00B8229F">
      <w:pPr>
        <w:pStyle w:val="Tables"/>
      </w:pPr>
      <w:bookmarkStart w:id="17" w:name="_Ref80286892"/>
      <w:r w:rsidRPr="00B158C4">
        <w:lastRenderedPageBreak/>
        <w:t xml:space="preserve">Table </w:t>
      </w:r>
      <w:fldSimple w:instr=" SEQ Table \* ARABIC ">
        <w:r w:rsidR="00E50032">
          <w:rPr>
            <w:noProof/>
          </w:rPr>
          <w:t>4</w:t>
        </w:r>
      </w:fldSimple>
      <w:bookmarkEnd w:id="17"/>
      <w:r w:rsidRPr="00B158C4">
        <w:t xml:space="preserve"> </w:t>
      </w:r>
      <w:r>
        <w:t>Variance between this projection and previous review</w:t>
      </w:r>
    </w:p>
    <w:tbl>
      <w:tblPr>
        <w:tblStyle w:val="TableGrid"/>
        <w:tblW w:w="9047" w:type="dxa"/>
        <w:jc w:val="center"/>
        <w:tblLayout w:type="fixed"/>
        <w:tblLook w:val="04A0" w:firstRow="1" w:lastRow="0" w:firstColumn="1" w:lastColumn="0" w:noHBand="0" w:noVBand="1"/>
      </w:tblPr>
      <w:tblGrid>
        <w:gridCol w:w="3701"/>
        <w:gridCol w:w="851"/>
        <w:gridCol w:w="850"/>
        <w:gridCol w:w="851"/>
        <w:gridCol w:w="850"/>
        <w:gridCol w:w="972"/>
        <w:gridCol w:w="972"/>
      </w:tblGrid>
      <w:tr w:rsidR="006C6AC6" w14:paraId="3517F3AB" w14:textId="77777777" w:rsidTr="00312E88">
        <w:trPr>
          <w:tblHeader/>
          <w:jc w:val="center"/>
        </w:trPr>
        <w:tc>
          <w:tcPr>
            <w:tcW w:w="3701" w:type="dxa"/>
            <w:shd w:val="clear" w:color="auto" w:fill="6B2E76"/>
            <w:vAlign w:val="center"/>
          </w:tcPr>
          <w:p w14:paraId="5877C6AC" w14:textId="77777777" w:rsidR="006C6AC6" w:rsidRPr="00524428" w:rsidRDefault="006C6AC6" w:rsidP="00312E88">
            <w:pPr>
              <w:pStyle w:val="Tables"/>
              <w:rPr>
                <w:rFonts w:cs="Arial"/>
                <w:color w:val="FFFFFF" w:themeColor="background1"/>
                <w:sz w:val="15"/>
                <w:szCs w:val="15"/>
              </w:rPr>
            </w:pPr>
            <w:r w:rsidRPr="00524428">
              <w:rPr>
                <w:rFonts w:cs="Arial"/>
                <w:color w:val="FFFFFF" w:themeColor="background1"/>
                <w:sz w:val="15"/>
                <w:szCs w:val="15"/>
              </w:rPr>
              <w:t>Total Participant costs – accrual basis ($m)</w:t>
            </w:r>
          </w:p>
        </w:tc>
        <w:tc>
          <w:tcPr>
            <w:tcW w:w="851" w:type="dxa"/>
            <w:shd w:val="clear" w:color="auto" w:fill="6B2E76"/>
            <w:vAlign w:val="center"/>
          </w:tcPr>
          <w:p w14:paraId="060D98AB" w14:textId="77777777" w:rsidR="006C6AC6" w:rsidRPr="00524428" w:rsidRDefault="006C6AC6" w:rsidP="00312E88">
            <w:pPr>
              <w:pStyle w:val="Tables"/>
              <w:jc w:val="center"/>
              <w:rPr>
                <w:rFonts w:cs="Arial"/>
                <w:color w:val="FFFFFF" w:themeColor="background1"/>
                <w:sz w:val="15"/>
                <w:szCs w:val="15"/>
              </w:rPr>
            </w:pPr>
            <w:r w:rsidRPr="00524428">
              <w:rPr>
                <w:rFonts w:cs="Arial"/>
                <w:color w:val="FFFFFF" w:themeColor="background1"/>
                <w:sz w:val="15"/>
                <w:szCs w:val="15"/>
              </w:rPr>
              <w:t>2021-22</w:t>
            </w:r>
          </w:p>
        </w:tc>
        <w:tc>
          <w:tcPr>
            <w:tcW w:w="850" w:type="dxa"/>
            <w:shd w:val="clear" w:color="auto" w:fill="6B2E76"/>
            <w:vAlign w:val="center"/>
          </w:tcPr>
          <w:p w14:paraId="52A685FA" w14:textId="77777777" w:rsidR="006C6AC6" w:rsidRPr="00524428" w:rsidRDefault="006C6AC6" w:rsidP="00312E88">
            <w:pPr>
              <w:pStyle w:val="Tables"/>
              <w:jc w:val="center"/>
              <w:rPr>
                <w:rFonts w:cs="Arial"/>
                <w:color w:val="FFFFFF" w:themeColor="background1"/>
                <w:sz w:val="15"/>
                <w:szCs w:val="15"/>
              </w:rPr>
            </w:pPr>
            <w:r w:rsidRPr="00524428">
              <w:rPr>
                <w:rFonts w:cs="Arial"/>
                <w:color w:val="FFFFFF" w:themeColor="background1"/>
                <w:sz w:val="15"/>
                <w:szCs w:val="15"/>
              </w:rPr>
              <w:t>2022-23</w:t>
            </w:r>
          </w:p>
        </w:tc>
        <w:tc>
          <w:tcPr>
            <w:tcW w:w="851" w:type="dxa"/>
            <w:shd w:val="clear" w:color="auto" w:fill="6B2E76"/>
            <w:vAlign w:val="center"/>
          </w:tcPr>
          <w:p w14:paraId="596EA7F4" w14:textId="77777777" w:rsidR="006C6AC6" w:rsidRPr="00524428" w:rsidRDefault="006C6AC6" w:rsidP="00312E88">
            <w:pPr>
              <w:pStyle w:val="Tables"/>
              <w:jc w:val="center"/>
              <w:rPr>
                <w:rFonts w:cs="Arial"/>
                <w:color w:val="FFFFFF" w:themeColor="background1"/>
                <w:sz w:val="15"/>
                <w:szCs w:val="15"/>
              </w:rPr>
            </w:pPr>
            <w:r w:rsidRPr="00524428">
              <w:rPr>
                <w:rFonts w:cs="Arial"/>
                <w:color w:val="FFFFFF" w:themeColor="background1"/>
                <w:sz w:val="15"/>
                <w:szCs w:val="15"/>
              </w:rPr>
              <w:t>2023-24</w:t>
            </w:r>
          </w:p>
        </w:tc>
        <w:tc>
          <w:tcPr>
            <w:tcW w:w="850" w:type="dxa"/>
            <w:shd w:val="clear" w:color="auto" w:fill="6B2E76"/>
            <w:vAlign w:val="center"/>
          </w:tcPr>
          <w:p w14:paraId="052E1735" w14:textId="77777777" w:rsidR="006C6AC6" w:rsidRPr="00524428" w:rsidRDefault="006C6AC6" w:rsidP="00312E88">
            <w:pPr>
              <w:pStyle w:val="Tables"/>
              <w:jc w:val="center"/>
              <w:rPr>
                <w:rFonts w:cs="Arial"/>
                <w:color w:val="FFFFFF" w:themeColor="background1"/>
                <w:sz w:val="15"/>
                <w:szCs w:val="15"/>
              </w:rPr>
            </w:pPr>
            <w:r w:rsidRPr="00524428">
              <w:rPr>
                <w:rFonts w:cs="Arial"/>
                <w:color w:val="FFFFFF" w:themeColor="background1"/>
                <w:sz w:val="15"/>
                <w:szCs w:val="15"/>
              </w:rPr>
              <w:t>2024-25</w:t>
            </w:r>
          </w:p>
        </w:tc>
        <w:tc>
          <w:tcPr>
            <w:tcW w:w="972" w:type="dxa"/>
            <w:shd w:val="clear" w:color="auto" w:fill="6B2E76"/>
            <w:vAlign w:val="center"/>
          </w:tcPr>
          <w:p w14:paraId="543CFE61" w14:textId="77777777" w:rsidR="006C6AC6" w:rsidRPr="00524428" w:rsidRDefault="006C6AC6" w:rsidP="00312E88">
            <w:pPr>
              <w:pStyle w:val="Tables"/>
              <w:jc w:val="center"/>
              <w:rPr>
                <w:rFonts w:cs="Arial"/>
                <w:color w:val="FFFFFF" w:themeColor="background1"/>
                <w:sz w:val="15"/>
                <w:szCs w:val="15"/>
              </w:rPr>
            </w:pPr>
            <w:r w:rsidRPr="00524428">
              <w:rPr>
                <w:rFonts w:cs="Arial"/>
                <w:color w:val="FFFFFF" w:themeColor="background1"/>
                <w:sz w:val="15"/>
                <w:szCs w:val="15"/>
              </w:rPr>
              <w:t>2029-30</w:t>
            </w:r>
          </w:p>
        </w:tc>
        <w:tc>
          <w:tcPr>
            <w:tcW w:w="972" w:type="dxa"/>
            <w:shd w:val="clear" w:color="auto" w:fill="6B2E76"/>
          </w:tcPr>
          <w:p w14:paraId="42F7BCEF" w14:textId="77777777" w:rsidR="006C6AC6" w:rsidRPr="00524428" w:rsidRDefault="006C6AC6" w:rsidP="00312E88">
            <w:pPr>
              <w:pStyle w:val="Tables"/>
              <w:jc w:val="center"/>
              <w:rPr>
                <w:rFonts w:cs="Arial"/>
                <w:color w:val="FFFFFF" w:themeColor="background1"/>
                <w:sz w:val="15"/>
                <w:szCs w:val="15"/>
              </w:rPr>
            </w:pPr>
            <w:r w:rsidRPr="00524428">
              <w:rPr>
                <w:rFonts w:cs="Arial"/>
                <w:color w:val="FFFFFF" w:themeColor="background1"/>
                <w:sz w:val="15"/>
                <w:szCs w:val="15"/>
              </w:rPr>
              <w:t>Total 2021-25</w:t>
            </w:r>
          </w:p>
        </w:tc>
      </w:tr>
      <w:tr w:rsidR="006C6AC6" w14:paraId="5B38B055" w14:textId="77777777" w:rsidTr="00312E88">
        <w:trPr>
          <w:trHeight w:hRule="exact" w:val="284"/>
          <w:jc w:val="center"/>
        </w:trPr>
        <w:tc>
          <w:tcPr>
            <w:tcW w:w="3701" w:type="dxa"/>
          </w:tcPr>
          <w:p w14:paraId="72EBAE9A"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Updated population numbers and assumptions</w:t>
            </w:r>
          </w:p>
        </w:tc>
        <w:tc>
          <w:tcPr>
            <w:tcW w:w="851" w:type="dxa"/>
          </w:tcPr>
          <w:p w14:paraId="56962EB9"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-486</w:t>
            </w:r>
          </w:p>
        </w:tc>
        <w:tc>
          <w:tcPr>
            <w:tcW w:w="850" w:type="dxa"/>
          </w:tcPr>
          <w:p w14:paraId="5A8B54E2"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-1,121</w:t>
            </w:r>
          </w:p>
        </w:tc>
        <w:tc>
          <w:tcPr>
            <w:tcW w:w="851" w:type="dxa"/>
          </w:tcPr>
          <w:p w14:paraId="2E444E99"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-1,513</w:t>
            </w:r>
          </w:p>
        </w:tc>
        <w:tc>
          <w:tcPr>
            <w:tcW w:w="850" w:type="dxa"/>
          </w:tcPr>
          <w:p w14:paraId="0D881E06"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-1,882</w:t>
            </w:r>
          </w:p>
        </w:tc>
        <w:tc>
          <w:tcPr>
            <w:tcW w:w="972" w:type="dxa"/>
          </w:tcPr>
          <w:p w14:paraId="39F488DF"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-3,163</w:t>
            </w:r>
          </w:p>
        </w:tc>
        <w:tc>
          <w:tcPr>
            <w:tcW w:w="972" w:type="dxa"/>
          </w:tcPr>
          <w:p w14:paraId="7533B1CB"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-5,002</w:t>
            </w:r>
          </w:p>
        </w:tc>
      </w:tr>
      <w:tr w:rsidR="006C6AC6" w14:paraId="7083E27F" w14:textId="77777777" w:rsidTr="00312E88">
        <w:trPr>
          <w:trHeight w:hRule="exact" w:val="284"/>
          <w:jc w:val="center"/>
        </w:trPr>
        <w:tc>
          <w:tcPr>
            <w:tcW w:w="3701" w:type="dxa"/>
          </w:tcPr>
          <w:p w14:paraId="28D182D3"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Updated base payment assumptions</w:t>
            </w:r>
          </w:p>
        </w:tc>
        <w:tc>
          <w:tcPr>
            <w:tcW w:w="851" w:type="dxa"/>
          </w:tcPr>
          <w:p w14:paraId="0894993F"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818</w:t>
            </w:r>
          </w:p>
        </w:tc>
        <w:tc>
          <w:tcPr>
            <w:tcW w:w="850" w:type="dxa"/>
          </w:tcPr>
          <w:p w14:paraId="47C7A907"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849</w:t>
            </w:r>
          </w:p>
        </w:tc>
        <w:tc>
          <w:tcPr>
            <w:tcW w:w="851" w:type="dxa"/>
          </w:tcPr>
          <w:p w14:paraId="51AC52A6"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901</w:t>
            </w:r>
          </w:p>
        </w:tc>
        <w:tc>
          <w:tcPr>
            <w:tcW w:w="850" w:type="dxa"/>
          </w:tcPr>
          <w:p w14:paraId="5AEB93BA"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967</w:t>
            </w:r>
          </w:p>
        </w:tc>
        <w:tc>
          <w:tcPr>
            <w:tcW w:w="972" w:type="dxa"/>
          </w:tcPr>
          <w:p w14:paraId="1A8F3637"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1,404</w:t>
            </w:r>
          </w:p>
        </w:tc>
        <w:tc>
          <w:tcPr>
            <w:tcW w:w="972" w:type="dxa"/>
          </w:tcPr>
          <w:p w14:paraId="031FA830"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3,535</w:t>
            </w:r>
          </w:p>
        </w:tc>
      </w:tr>
      <w:tr w:rsidR="006C6AC6" w14:paraId="13B6BCFB" w14:textId="77777777" w:rsidTr="00312E88">
        <w:trPr>
          <w:trHeight w:hRule="exact" w:val="284"/>
          <w:jc w:val="center"/>
        </w:trPr>
        <w:tc>
          <w:tcPr>
            <w:tcW w:w="3701" w:type="dxa"/>
          </w:tcPr>
          <w:p w14:paraId="0E9510A9"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Updated inflation assumptions</w:t>
            </w:r>
          </w:p>
        </w:tc>
        <w:tc>
          <w:tcPr>
            <w:tcW w:w="851" w:type="dxa"/>
          </w:tcPr>
          <w:p w14:paraId="07ACEACE"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866</w:t>
            </w:r>
          </w:p>
        </w:tc>
        <w:tc>
          <w:tcPr>
            <w:tcW w:w="850" w:type="dxa"/>
          </w:tcPr>
          <w:p w14:paraId="0FB89849"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1,613</w:t>
            </w:r>
          </w:p>
        </w:tc>
        <w:tc>
          <w:tcPr>
            <w:tcW w:w="851" w:type="dxa"/>
          </w:tcPr>
          <w:p w14:paraId="37B6EBE2"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2,262</w:t>
            </w:r>
          </w:p>
        </w:tc>
        <w:tc>
          <w:tcPr>
            <w:tcW w:w="850" w:type="dxa"/>
          </w:tcPr>
          <w:p w14:paraId="7F83FBE3"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2,422</w:t>
            </w:r>
          </w:p>
        </w:tc>
        <w:tc>
          <w:tcPr>
            <w:tcW w:w="972" w:type="dxa"/>
          </w:tcPr>
          <w:p w14:paraId="05633BEA"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2,646</w:t>
            </w:r>
          </w:p>
        </w:tc>
        <w:tc>
          <w:tcPr>
            <w:tcW w:w="972" w:type="dxa"/>
          </w:tcPr>
          <w:p w14:paraId="4AFE2AA4"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7,163</w:t>
            </w:r>
          </w:p>
        </w:tc>
      </w:tr>
      <w:tr w:rsidR="006C6AC6" w14:paraId="22D2D834" w14:textId="77777777" w:rsidTr="00312E88">
        <w:trPr>
          <w:trHeight w:hRule="exact" w:val="284"/>
          <w:jc w:val="center"/>
        </w:trPr>
        <w:tc>
          <w:tcPr>
            <w:tcW w:w="3701" w:type="dxa"/>
          </w:tcPr>
          <w:p w14:paraId="647CB622"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Lower cost of new entrants</w:t>
            </w:r>
          </w:p>
        </w:tc>
        <w:tc>
          <w:tcPr>
            <w:tcW w:w="851" w:type="dxa"/>
          </w:tcPr>
          <w:p w14:paraId="1F642519"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-112</w:t>
            </w:r>
          </w:p>
        </w:tc>
        <w:tc>
          <w:tcPr>
            <w:tcW w:w="850" w:type="dxa"/>
          </w:tcPr>
          <w:p w14:paraId="5FEFF564"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-354</w:t>
            </w:r>
          </w:p>
        </w:tc>
        <w:tc>
          <w:tcPr>
            <w:tcW w:w="851" w:type="dxa"/>
          </w:tcPr>
          <w:p w14:paraId="13A5D7D8"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-584</w:t>
            </w:r>
          </w:p>
        </w:tc>
        <w:tc>
          <w:tcPr>
            <w:tcW w:w="850" w:type="dxa"/>
          </w:tcPr>
          <w:p w14:paraId="5C563D21"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-793</w:t>
            </w:r>
          </w:p>
        </w:tc>
        <w:tc>
          <w:tcPr>
            <w:tcW w:w="972" w:type="dxa"/>
          </w:tcPr>
          <w:p w14:paraId="7373F5A6"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-1,927</w:t>
            </w:r>
          </w:p>
        </w:tc>
        <w:tc>
          <w:tcPr>
            <w:tcW w:w="972" w:type="dxa"/>
          </w:tcPr>
          <w:p w14:paraId="42A3D944"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-1,843</w:t>
            </w:r>
          </w:p>
        </w:tc>
      </w:tr>
      <w:tr w:rsidR="006C6AC6" w14:paraId="7A0C8A86" w14:textId="77777777" w:rsidTr="00312E88">
        <w:trPr>
          <w:trHeight w:hRule="exact" w:val="284"/>
          <w:jc w:val="center"/>
        </w:trPr>
        <w:tc>
          <w:tcPr>
            <w:tcW w:w="3701" w:type="dxa"/>
          </w:tcPr>
          <w:p w14:paraId="0DBCF5D8" w14:textId="77777777" w:rsidR="006C6AC6" w:rsidRPr="00524428" w:rsidRDefault="006C6AC6" w:rsidP="00312E88">
            <w:pPr>
              <w:pStyle w:val="Tables"/>
              <w:rPr>
                <w:rFonts w:cs="Arial"/>
                <w:sz w:val="16"/>
                <w:szCs w:val="16"/>
              </w:rPr>
            </w:pPr>
            <w:r w:rsidRPr="00524428">
              <w:rPr>
                <w:rFonts w:cs="Arial"/>
                <w:sz w:val="16"/>
                <w:szCs w:val="16"/>
              </w:rPr>
              <w:t>Total impact of experience and modelling</w:t>
            </w:r>
          </w:p>
        </w:tc>
        <w:tc>
          <w:tcPr>
            <w:tcW w:w="851" w:type="dxa"/>
          </w:tcPr>
          <w:p w14:paraId="253026BA" w14:textId="77777777" w:rsidR="006C6AC6" w:rsidRPr="00524428" w:rsidRDefault="006C6AC6" w:rsidP="00312E88">
            <w:pPr>
              <w:pStyle w:val="Tables"/>
              <w:rPr>
                <w:rFonts w:cs="Arial"/>
                <w:sz w:val="16"/>
                <w:szCs w:val="16"/>
              </w:rPr>
            </w:pPr>
            <w:r w:rsidRPr="00524428">
              <w:rPr>
                <w:rFonts w:cs="Arial"/>
                <w:sz w:val="16"/>
                <w:szCs w:val="16"/>
              </w:rPr>
              <w:t>1,085</w:t>
            </w:r>
          </w:p>
        </w:tc>
        <w:tc>
          <w:tcPr>
            <w:tcW w:w="850" w:type="dxa"/>
          </w:tcPr>
          <w:p w14:paraId="434A7D72" w14:textId="77777777" w:rsidR="006C6AC6" w:rsidRPr="00524428" w:rsidRDefault="006C6AC6" w:rsidP="00312E88">
            <w:pPr>
              <w:pStyle w:val="Tables"/>
              <w:rPr>
                <w:rFonts w:cs="Arial"/>
                <w:sz w:val="16"/>
                <w:szCs w:val="16"/>
              </w:rPr>
            </w:pPr>
            <w:r w:rsidRPr="00524428">
              <w:rPr>
                <w:rFonts w:cs="Arial"/>
                <w:sz w:val="16"/>
                <w:szCs w:val="16"/>
              </w:rPr>
              <w:t>987</w:t>
            </w:r>
          </w:p>
        </w:tc>
        <w:tc>
          <w:tcPr>
            <w:tcW w:w="851" w:type="dxa"/>
          </w:tcPr>
          <w:p w14:paraId="1BBB4A05" w14:textId="77777777" w:rsidR="006C6AC6" w:rsidRPr="00524428" w:rsidRDefault="006C6AC6" w:rsidP="00312E88">
            <w:pPr>
              <w:pStyle w:val="Tables"/>
              <w:rPr>
                <w:rFonts w:cs="Arial"/>
                <w:sz w:val="16"/>
                <w:szCs w:val="16"/>
              </w:rPr>
            </w:pPr>
            <w:r w:rsidRPr="00524428">
              <w:rPr>
                <w:rFonts w:cs="Arial"/>
                <w:sz w:val="16"/>
                <w:szCs w:val="16"/>
              </w:rPr>
              <w:t>1,066</w:t>
            </w:r>
          </w:p>
        </w:tc>
        <w:tc>
          <w:tcPr>
            <w:tcW w:w="850" w:type="dxa"/>
          </w:tcPr>
          <w:p w14:paraId="7B135FDB" w14:textId="77777777" w:rsidR="006C6AC6" w:rsidRPr="00524428" w:rsidRDefault="006C6AC6" w:rsidP="00312E88">
            <w:pPr>
              <w:pStyle w:val="Tables"/>
              <w:rPr>
                <w:rFonts w:cs="Arial"/>
                <w:sz w:val="16"/>
                <w:szCs w:val="16"/>
              </w:rPr>
            </w:pPr>
            <w:r w:rsidRPr="00524428">
              <w:rPr>
                <w:rFonts w:cs="Arial"/>
                <w:sz w:val="16"/>
                <w:szCs w:val="16"/>
              </w:rPr>
              <w:t>714</w:t>
            </w:r>
          </w:p>
        </w:tc>
        <w:tc>
          <w:tcPr>
            <w:tcW w:w="972" w:type="dxa"/>
          </w:tcPr>
          <w:p w14:paraId="31513DAF" w14:textId="77777777" w:rsidR="006C6AC6" w:rsidRPr="00524428" w:rsidRDefault="006C6AC6" w:rsidP="00312E88">
            <w:pPr>
              <w:pStyle w:val="Tables"/>
              <w:rPr>
                <w:rFonts w:cs="Arial"/>
                <w:sz w:val="16"/>
                <w:szCs w:val="16"/>
              </w:rPr>
            </w:pPr>
            <w:r w:rsidRPr="00524428">
              <w:rPr>
                <w:rFonts w:cs="Arial"/>
                <w:sz w:val="16"/>
                <w:szCs w:val="16"/>
              </w:rPr>
              <w:t>-1,040</w:t>
            </w:r>
          </w:p>
        </w:tc>
        <w:tc>
          <w:tcPr>
            <w:tcW w:w="972" w:type="dxa"/>
          </w:tcPr>
          <w:p w14:paraId="14B8366C" w14:textId="77777777" w:rsidR="006C6AC6" w:rsidRPr="00524428" w:rsidRDefault="006C6AC6" w:rsidP="00312E88">
            <w:pPr>
              <w:pStyle w:val="Tables"/>
              <w:rPr>
                <w:rFonts w:cs="Arial"/>
                <w:sz w:val="16"/>
                <w:szCs w:val="16"/>
              </w:rPr>
            </w:pPr>
            <w:r w:rsidRPr="00524428">
              <w:rPr>
                <w:rFonts w:cs="Arial"/>
                <w:sz w:val="16"/>
                <w:szCs w:val="16"/>
              </w:rPr>
              <w:t>3,852</w:t>
            </w:r>
          </w:p>
        </w:tc>
      </w:tr>
      <w:tr w:rsidR="006C6AC6" w14:paraId="78659E8D" w14:textId="77777777" w:rsidTr="00312E88">
        <w:trPr>
          <w:trHeight w:hRule="exact" w:val="284"/>
          <w:jc w:val="center"/>
        </w:trPr>
        <w:tc>
          <w:tcPr>
            <w:tcW w:w="3701" w:type="dxa"/>
          </w:tcPr>
          <w:p w14:paraId="4E2B26D9"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Updated population numbers and assumptions</w:t>
            </w:r>
          </w:p>
        </w:tc>
        <w:tc>
          <w:tcPr>
            <w:tcW w:w="851" w:type="dxa"/>
          </w:tcPr>
          <w:p w14:paraId="687E2986"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-1.7%</w:t>
            </w:r>
          </w:p>
        </w:tc>
        <w:tc>
          <w:tcPr>
            <w:tcW w:w="850" w:type="dxa"/>
          </w:tcPr>
          <w:p w14:paraId="4B0BD996"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-3.4%</w:t>
            </w:r>
          </w:p>
        </w:tc>
        <w:tc>
          <w:tcPr>
            <w:tcW w:w="851" w:type="dxa"/>
          </w:tcPr>
          <w:p w14:paraId="20A73C84"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-4.1%</w:t>
            </w:r>
          </w:p>
        </w:tc>
        <w:tc>
          <w:tcPr>
            <w:tcW w:w="850" w:type="dxa"/>
          </w:tcPr>
          <w:p w14:paraId="4AC95271"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-4.6%</w:t>
            </w:r>
          </w:p>
        </w:tc>
        <w:tc>
          <w:tcPr>
            <w:tcW w:w="972" w:type="dxa"/>
          </w:tcPr>
          <w:p w14:paraId="286CA5A0"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-5.2%</w:t>
            </w:r>
          </w:p>
        </w:tc>
        <w:tc>
          <w:tcPr>
            <w:tcW w:w="972" w:type="dxa"/>
          </w:tcPr>
          <w:p w14:paraId="6B1AA62B"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-3.6%</w:t>
            </w:r>
          </w:p>
        </w:tc>
      </w:tr>
      <w:tr w:rsidR="006C6AC6" w14:paraId="6DD73D05" w14:textId="77777777" w:rsidTr="00312E88">
        <w:trPr>
          <w:trHeight w:hRule="exact" w:val="284"/>
          <w:jc w:val="center"/>
        </w:trPr>
        <w:tc>
          <w:tcPr>
            <w:tcW w:w="3701" w:type="dxa"/>
          </w:tcPr>
          <w:p w14:paraId="6D808CD1"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Updated base payment assumptions</w:t>
            </w:r>
          </w:p>
        </w:tc>
        <w:tc>
          <w:tcPr>
            <w:tcW w:w="851" w:type="dxa"/>
          </w:tcPr>
          <w:p w14:paraId="77A72908"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2.9%</w:t>
            </w:r>
          </w:p>
        </w:tc>
        <w:tc>
          <w:tcPr>
            <w:tcW w:w="850" w:type="dxa"/>
          </w:tcPr>
          <w:p w14:paraId="62DE0287"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2.6%</w:t>
            </w:r>
          </w:p>
        </w:tc>
        <w:tc>
          <w:tcPr>
            <w:tcW w:w="851" w:type="dxa"/>
          </w:tcPr>
          <w:p w14:paraId="7A13E129"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2.4%</w:t>
            </w:r>
          </w:p>
        </w:tc>
        <w:tc>
          <w:tcPr>
            <w:tcW w:w="850" w:type="dxa"/>
          </w:tcPr>
          <w:p w14:paraId="67B1E637"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2.4%</w:t>
            </w:r>
          </w:p>
        </w:tc>
        <w:tc>
          <w:tcPr>
            <w:tcW w:w="972" w:type="dxa"/>
          </w:tcPr>
          <w:p w14:paraId="2ED9C3CB"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2.3%</w:t>
            </w:r>
          </w:p>
        </w:tc>
        <w:tc>
          <w:tcPr>
            <w:tcW w:w="972" w:type="dxa"/>
          </w:tcPr>
          <w:p w14:paraId="7339073A"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2.6%</w:t>
            </w:r>
          </w:p>
        </w:tc>
      </w:tr>
      <w:tr w:rsidR="006C6AC6" w14:paraId="0DC4666A" w14:textId="77777777" w:rsidTr="00312E88">
        <w:trPr>
          <w:trHeight w:hRule="exact" w:val="284"/>
          <w:jc w:val="center"/>
        </w:trPr>
        <w:tc>
          <w:tcPr>
            <w:tcW w:w="3701" w:type="dxa"/>
          </w:tcPr>
          <w:p w14:paraId="754CD9E1"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Updated inflation assumptions</w:t>
            </w:r>
          </w:p>
        </w:tc>
        <w:tc>
          <w:tcPr>
            <w:tcW w:w="851" w:type="dxa"/>
          </w:tcPr>
          <w:p w14:paraId="204F90B0"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3.1%</w:t>
            </w:r>
          </w:p>
        </w:tc>
        <w:tc>
          <w:tcPr>
            <w:tcW w:w="850" w:type="dxa"/>
          </w:tcPr>
          <w:p w14:paraId="276E84D5"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4.9%</w:t>
            </w:r>
          </w:p>
        </w:tc>
        <w:tc>
          <w:tcPr>
            <w:tcW w:w="851" w:type="dxa"/>
          </w:tcPr>
          <w:p w14:paraId="55EAB180"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6.1%</w:t>
            </w:r>
          </w:p>
        </w:tc>
        <w:tc>
          <w:tcPr>
            <w:tcW w:w="850" w:type="dxa"/>
          </w:tcPr>
          <w:p w14:paraId="27A85857"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6.0%</w:t>
            </w:r>
          </w:p>
        </w:tc>
        <w:tc>
          <w:tcPr>
            <w:tcW w:w="972" w:type="dxa"/>
          </w:tcPr>
          <w:p w14:paraId="0051B71C"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4.4%</w:t>
            </w:r>
          </w:p>
        </w:tc>
        <w:tc>
          <w:tcPr>
            <w:tcW w:w="972" w:type="dxa"/>
          </w:tcPr>
          <w:p w14:paraId="59EA54CF"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5.2%</w:t>
            </w:r>
          </w:p>
        </w:tc>
      </w:tr>
      <w:tr w:rsidR="006C6AC6" w14:paraId="02AD93EE" w14:textId="77777777" w:rsidTr="00312E88">
        <w:trPr>
          <w:trHeight w:hRule="exact" w:val="284"/>
          <w:jc w:val="center"/>
        </w:trPr>
        <w:tc>
          <w:tcPr>
            <w:tcW w:w="3701" w:type="dxa"/>
          </w:tcPr>
          <w:p w14:paraId="4299B0DF"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Lower cost of new entrants</w:t>
            </w:r>
          </w:p>
        </w:tc>
        <w:tc>
          <w:tcPr>
            <w:tcW w:w="851" w:type="dxa"/>
          </w:tcPr>
          <w:p w14:paraId="1D2335FA"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-0.4%</w:t>
            </w:r>
          </w:p>
        </w:tc>
        <w:tc>
          <w:tcPr>
            <w:tcW w:w="850" w:type="dxa"/>
          </w:tcPr>
          <w:p w14:paraId="6ADA7EED"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-1.1%</w:t>
            </w:r>
          </w:p>
        </w:tc>
        <w:tc>
          <w:tcPr>
            <w:tcW w:w="851" w:type="dxa"/>
          </w:tcPr>
          <w:p w14:paraId="5B443266"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-1.6%</w:t>
            </w:r>
          </w:p>
        </w:tc>
        <w:tc>
          <w:tcPr>
            <w:tcW w:w="850" w:type="dxa"/>
          </w:tcPr>
          <w:p w14:paraId="624E46E6"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-1.9%</w:t>
            </w:r>
          </w:p>
        </w:tc>
        <w:tc>
          <w:tcPr>
            <w:tcW w:w="972" w:type="dxa"/>
          </w:tcPr>
          <w:p w14:paraId="7002C935"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-3.2%</w:t>
            </w:r>
          </w:p>
        </w:tc>
        <w:tc>
          <w:tcPr>
            <w:tcW w:w="972" w:type="dxa"/>
          </w:tcPr>
          <w:p w14:paraId="35EDE66C" w14:textId="77777777" w:rsidR="006C6AC6" w:rsidRPr="00524428" w:rsidRDefault="006C6AC6" w:rsidP="00312E88">
            <w:pPr>
              <w:pStyle w:val="Tables"/>
              <w:rPr>
                <w:rFonts w:cs="Arial"/>
                <w:b w:val="0"/>
                <w:bCs w:val="0"/>
                <w:sz w:val="16"/>
                <w:szCs w:val="16"/>
              </w:rPr>
            </w:pPr>
            <w:r w:rsidRPr="00524428">
              <w:rPr>
                <w:rFonts w:cs="Arial"/>
                <w:b w:val="0"/>
                <w:bCs w:val="0"/>
                <w:sz w:val="16"/>
                <w:szCs w:val="16"/>
              </w:rPr>
              <w:t>-1.3%</w:t>
            </w:r>
          </w:p>
        </w:tc>
      </w:tr>
      <w:tr w:rsidR="006C6AC6" w14:paraId="3AAE5825" w14:textId="77777777" w:rsidTr="00312E88">
        <w:trPr>
          <w:trHeight w:hRule="exact" w:val="284"/>
          <w:jc w:val="center"/>
        </w:trPr>
        <w:tc>
          <w:tcPr>
            <w:tcW w:w="3701" w:type="dxa"/>
          </w:tcPr>
          <w:p w14:paraId="5810CB01" w14:textId="77777777" w:rsidR="006C6AC6" w:rsidRPr="00524428" w:rsidRDefault="006C6AC6" w:rsidP="00312E88">
            <w:pPr>
              <w:pStyle w:val="Tables"/>
              <w:rPr>
                <w:rFonts w:cs="Arial"/>
                <w:sz w:val="16"/>
                <w:szCs w:val="16"/>
              </w:rPr>
            </w:pPr>
            <w:r w:rsidRPr="00524428">
              <w:rPr>
                <w:rFonts w:cs="Arial"/>
                <w:sz w:val="16"/>
                <w:szCs w:val="16"/>
              </w:rPr>
              <w:t>Total impact of experience and modelling</w:t>
            </w:r>
          </w:p>
        </w:tc>
        <w:tc>
          <w:tcPr>
            <w:tcW w:w="851" w:type="dxa"/>
          </w:tcPr>
          <w:p w14:paraId="1748D264" w14:textId="77777777" w:rsidR="006C6AC6" w:rsidRPr="00524428" w:rsidRDefault="006C6AC6" w:rsidP="00312E88">
            <w:pPr>
              <w:pStyle w:val="Tables"/>
              <w:rPr>
                <w:rFonts w:cs="Arial"/>
                <w:sz w:val="16"/>
                <w:szCs w:val="16"/>
              </w:rPr>
            </w:pPr>
            <w:r w:rsidRPr="00524428">
              <w:rPr>
                <w:rFonts w:cs="Arial"/>
                <w:sz w:val="16"/>
                <w:szCs w:val="16"/>
              </w:rPr>
              <w:t>3.9%</w:t>
            </w:r>
          </w:p>
        </w:tc>
        <w:tc>
          <w:tcPr>
            <w:tcW w:w="850" w:type="dxa"/>
          </w:tcPr>
          <w:p w14:paraId="5FBBF575" w14:textId="77777777" w:rsidR="006C6AC6" w:rsidRPr="00524428" w:rsidRDefault="006C6AC6" w:rsidP="00312E88">
            <w:pPr>
              <w:pStyle w:val="Tables"/>
              <w:rPr>
                <w:rFonts w:cs="Arial"/>
                <w:sz w:val="16"/>
                <w:szCs w:val="16"/>
              </w:rPr>
            </w:pPr>
            <w:r w:rsidRPr="00524428">
              <w:rPr>
                <w:rFonts w:cs="Arial"/>
                <w:sz w:val="16"/>
                <w:szCs w:val="16"/>
              </w:rPr>
              <w:t>3.0%</w:t>
            </w:r>
          </w:p>
        </w:tc>
        <w:tc>
          <w:tcPr>
            <w:tcW w:w="851" w:type="dxa"/>
          </w:tcPr>
          <w:p w14:paraId="48C46D02" w14:textId="77777777" w:rsidR="006C6AC6" w:rsidRPr="00524428" w:rsidRDefault="006C6AC6" w:rsidP="00312E88">
            <w:pPr>
              <w:pStyle w:val="Tables"/>
              <w:rPr>
                <w:rFonts w:cs="Arial"/>
                <w:sz w:val="16"/>
                <w:szCs w:val="16"/>
              </w:rPr>
            </w:pPr>
            <w:r w:rsidRPr="00524428">
              <w:rPr>
                <w:rFonts w:cs="Arial"/>
                <w:sz w:val="16"/>
                <w:szCs w:val="16"/>
              </w:rPr>
              <w:t>2.9%</w:t>
            </w:r>
          </w:p>
        </w:tc>
        <w:tc>
          <w:tcPr>
            <w:tcW w:w="850" w:type="dxa"/>
          </w:tcPr>
          <w:p w14:paraId="3296C7F5" w14:textId="77777777" w:rsidR="006C6AC6" w:rsidRPr="00524428" w:rsidRDefault="006C6AC6" w:rsidP="00312E88">
            <w:pPr>
              <w:pStyle w:val="Tables"/>
              <w:rPr>
                <w:rFonts w:cs="Arial"/>
                <w:sz w:val="16"/>
                <w:szCs w:val="16"/>
              </w:rPr>
            </w:pPr>
            <w:r w:rsidRPr="00524428">
              <w:rPr>
                <w:rFonts w:cs="Arial"/>
                <w:sz w:val="16"/>
                <w:szCs w:val="16"/>
              </w:rPr>
              <w:t>1.8%</w:t>
            </w:r>
          </w:p>
        </w:tc>
        <w:tc>
          <w:tcPr>
            <w:tcW w:w="972" w:type="dxa"/>
          </w:tcPr>
          <w:p w14:paraId="5D81E0DD" w14:textId="77777777" w:rsidR="006C6AC6" w:rsidRPr="00524428" w:rsidRDefault="006C6AC6" w:rsidP="00312E88">
            <w:pPr>
              <w:pStyle w:val="Tables"/>
              <w:rPr>
                <w:rFonts w:cs="Arial"/>
                <w:sz w:val="16"/>
                <w:szCs w:val="16"/>
              </w:rPr>
            </w:pPr>
            <w:r w:rsidRPr="00524428">
              <w:rPr>
                <w:rFonts w:cs="Arial"/>
                <w:sz w:val="16"/>
                <w:szCs w:val="16"/>
              </w:rPr>
              <w:t>-1.7%</w:t>
            </w:r>
          </w:p>
        </w:tc>
        <w:tc>
          <w:tcPr>
            <w:tcW w:w="972" w:type="dxa"/>
          </w:tcPr>
          <w:p w14:paraId="5A9C5679" w14:textId="77777777" w:rsidR="006C6AC6" w:rsidRPr="00524428" w:rsidRDefault="006C6AC6" w:rsidP="00312E88">
            <w:pPr>
              <w:pStyle w:val="Tables"/>
              <w:rPr>
                <w:rFonts w:cs="Arial"/>
                <w:sz w:val="16"/>
                <w:szCs w:val="16"/>
              </w:rPr>
            </w:pPr>
            <w:r w:rsidRPr="00524428">
              <w:rPr>
                <w:rFonts w:cs="Arial"/>
                <w:sz w:val="16"/>
                <w:szCs w:val="16"/>
              </w:rPr>
              <w:t>2.8%</w:t>
            </w:r>
          </w:p>
        </w:tc>
      </w:tr>
    </w:tbl>
    <w:p w14:paraId="62849719" w14:textId="77777777" w:rsidR="00B8229F" w:rsidRPr="00B8229F" w:rsidRDefault="00B8229F" w:rsidP="00B8229F">
      <w:pPr>
        <w:pStyle w:val="FSRHeading4"/>
      </w:pPr>
      <w:r w:rsidRPr="00B8229F">
        <w:t>Comparison with PBS and Productivity Commission estimates</w:t>
      </w:r>
    </w:p>
    <w:p w14:paraId="62DD5F41" w14:textId="77777777" w:rsidR="00E50032" w:rsidRPr="00E50032" w:rsidRDefault="00D97AA2" w:rsidP="00B8229F">
      <w:pPr>
        <w:pStyle w:val="Tables"/>
        <w:rPr>
          <w:b w:val="0"/>
        </w:rPr>
      </w:pPr>
      <w:r w:rsidRPr="00224F0C">
        <w:rPr>
          <w:b w:val="0"/>
        </w:rPr>
        <w:t xml:space="preserve">Projected participant costs are </w:t>
      </w:r>
      <w:r w:rsidR="00B8229F" w:rsidRPr="00224F0C">
        <w:rPr>
          <w:b w:val="0"/>
        </w:rPr>
        <w:t>higher than the most recent 2021-22 Portfolio Budget Statements (</w:t>
      </w:r>
      <w:r w:rsidR="00B8229F" w:rsidRPr="00224F0C">
        <w:rPr>
          <w:b w:val="0"/>
        </w:rPr>
        <w:fldChar w:fldCharType="begin"/>
      </w:r>
      <w:r w:rsidR="00B8229F" w:rsidRPr="00224F0C">
        <w:rPr>
          <w:b w:val="0"/>
        </w:rPr>
        <w:instrText xml:space="preserve"> REF _Ref76040281 \h </w:instrText>
      </w:r>
      <w:r w:rsidR="00B8229F" w:rsidRPr="00224F0C">
        <w:rPr>
          <w:b w:val="0"/>
        </w:rPr>
      </w:r>
      <w:r w:rsidR="00224F0C">
        <w:rPr>
          <w:b w:val="0"/>
        </w:rPr>
        <w:instrText xml:space="preserve"> \* MERGEFORMAT </w:instrText>
      </w:r>
      <w:r w:rsidR="00B8229F" w:rsidRPr="00224F0C">
        <w:rPr>
          <w:b w:val="0"/>
        </w:rPr>
        <w:fldChar w:fldCharType="separate"/>
      </w:r>
      <w:r w:rsidR="00E50032" w:rsidRPr="00E50032">
        <w:rPr>
          <w:b w:val="0"/>
        </w:rPr>
        <w:t xml:space="preserve">Table </w:t>
      </w:r>
      <w:r w:rsidR="00E50032" w:rsidRPr="00E50032">
        <w:rPr>
          <w:b w:val="0"/>
          <w:noProof/>
        </w:rPr>
        <w:t>5</w:t>
      </w:r>
      <w:r w:rsidR="00B8229F" w:rsidRPr="00224F0C">
        <w:rPr>
          <w:b w:val="0"/>
        </w:rPr>
        <w:fldChar w:fldCharType="end"/>
      </w:r>
      <w:r w:rsidR="00B8229F" w:rsidRPr="00224F0C">
        <w:rPr>
          <w:b w:val="0"/>
        </w:rPr>
        <w:t>), and higher than the 2017 Productivity Commission costing (</w:t>
      </w:r>
      <w:r w:rsidR="00B8229F" w:rsidRPr="00224F0C">
        <w:rPr>
          <w:b w:val="0"/>
        </w:rPr>
        <w:fldChar w:fldCharType="begin"/>
      </w:r>
      <w:r w:rsidR="00B8229F" w:rsidRPr="00224F0C">
        <w:rPr>
          <w:b w:val="0"/>
        </w:rPr>
        <w:instrText xml:space="preserve"> REF _Ref76040288 \h </w:instrText>
      </w:r>
      <w:r w:rsidR="00B8229F" w:rsidRPr="00224F0C">
        <w:rPr>
          <w:b w:val="0"/>
        </w:rPr>
      </w:r>
      <w:r w:rsidR="00224F0C">
        <w:rPr>
          <w:b w:val="0"/>
        </w:rPr>
        <w:instrText xml:space="preserve"> \* MERGEFORMAT </w:instrText>
      </w:r>
      <w:r w:rsidR="00B8229F" w:rsidRPr="00224F0C">
        <w:rPr>
          <w:b w:val="0"/>
        </w:rPr>
        <w:fldChar w:fldCharType="separate"/>
      </w:r>
    </w:p>
    <w:p w14:paraId="13A593B2" w14:textId="3D703D26" w:rsidR="00B8229F" w:rsidRPr="00224F0C" w:rsidRDefault="00E50032" w:rsidP="00224F0C">
      <w:pPr>
        <w:pStyle w:val="Tables"/>
        <w:rPr>
          <w:b w:val="0"/>
        </w:rPr>
      </w:pPr>
      <w:r w:rsidRPr="00E50032">
        <w:rPr>
          <w:b w:val="0"/>
        </w:rPr>
        <w:t>Table</w:t>
      </w:r>
      <w:r w:rsidRPr="00E50032">
        <w:rPr>
          <w:b w:val="0"/>
          <w:noProof/>
        </w:rPr>
        <w:t xml:space="preserve"> </w:t>
      </w:r>
      <w:r>
        <w:rPr>
          <w:noProof/>
        </w:rPr>
        <w:t>6</w:t>
      </w:r>
      <w:r w:rsidR="00B8229F" w:rsidRPr="00224F0C">
        <w:rPr>
          <w:b w:val="0"/>
        </w:rPr>
        <w:fldChar w:fldCharType="end"/>
      </w:r>
      <w:r w:rsidR="00B8229F" w:rsidRPr="00224F0C">
        <w:rPr>
          <w:b w:val="0"/>
        </w:rPr>
        <w:t>).</w:t>
      </w:r>
      <w:r w:rsidR="00B8229F" w:rsidRPr="00224F0C">
        <w:rPr>
          <w:rStyle w:val="FootnoteReference"/>
          <w:b w:val="0"/>
        </w:rPr>
        <w:footnoteReference w:id="22"/>
      </w:r>
      <w:r w:rsidR="00B8229F" w:rsidRPr="00224F0C">
        <w:rPr>
          <w:b w:val="0"/>
        </w:rPr>
        <w:t xml:space="preserve"> </w:t>
      </w:r>
    </w:p>
    <w:p w14:paraId="33DDC137" w14:textId="77777777" w:rsidR="00224F0C" w:rsidRDefault="00224F0C" w:rsidP="00224F0C">
      <w:pPr>
        <w:pStyle w:val="Tables"/>
      </w:pPr>
    </w:p>
    <w:p w14:paraId="521FBF92" w14:textId="0FF125D3" w:rsidR="00B8229F" w:rsidRPr="00C578EB" w:rsidRDefault="00B8229F" w:rsidP="00B8229F">
      <w:pPr>
        <w:pStyle w:val="Tables"/>
      </w:pPr>
      <w:bookmarkStart w:id="18" w:name="_Ref76040281"/>
      <w:r w:rsidRPr="00C578EB">
        <w:t xml:space="preserve">Table </w:t>
      </w:r>
      <w:r w:rsidRPr="00597704">
        <w:fldChar w:fldCharType="begin"/>
      </w:r>
      <w:r w:rsidRPr="00C578EB">
        <w:instrText xml:space="preserve"> SEQ Table \* ARABIC </w:instrText>
      </w:r>
      <w:r w:rsidRPr="00597704">
        <w:fldChar w:fldCharType="separate"/>
      </w:r>
      <w:r w:rsidR="00E50032">
        <w:rPr>
          <w:noProof/>
        </w:rPr>
        <w:t>5</w:t>
      </w:r>
      <w:r w:rsidRPr="00597704">
        <w:rPr>
          <w:noProof/>
        </w:rPr>
        <w:fldChar w:fldCharType="end"/>
      </w:r>
      <w:bookmarkEnd w:id="18"/>
      <w:r w:rsidRPr="00C578EB">
        <w:t xml:space="preserve"> </w:t>
      </w:r>
      <w:r w:rsidR="00F91A23">
        <w:t>Projected t</w:t>
      </w:r>
      <w:r w:rsidR="00F91A23" w:rsidRPr="00C578EB">
        <w:t xml:space="preserve">otal </w:t>
      </w:r>
      <w:r w:rsidRPr="00C578EB">
        <w:t>Participant costs (accrual basis) compared to PBS</w:t>
      </w:r>
    </w:p>
    <w:tbl>
      <w:tblPr>
        <w:tblStyle w:val="TableGrid"/>
        <w:tblW w:w="9209" w:type="dxa"/>
        <w:jc w:val="center"/>
        <w:tblLayout w:type="fixed"/>
        <w:tblLook w:val="04A0" w:firstRow="1" w:lastRow="0" w:firstColumn="1" w:lastColumn="0" w:noHBand="0" w:noVBand="1"/>
      </w:tblPr>
      <w:tblGrid>
        <w:gridCol w:w="4957"/>
        <w:gridCol w:w="850"/>
        <w:gridCol w:w="851"/>
        <w:gridCol w:w="850"/>
        <w:gridCol w:w="851"/>
        <w:gridCol w:w="850"/>
      </w:tblGrid>
      <w:tr w:rsidR="007A36EE" w14:paraId="1F31908E" w14:textId="77777777" w:rsidTr="00312E88">
        <w:trPr>
          <w:tblHeader/>
          <w:jc w:val="center"/>
        </w:trPr>
        <w:tc>
          <w:tcPr>
            <w:tcW w:w="4957" w:type="dxa"/>
            <w:shd w:val="clear" w:color="auto" w:fill="6B2E76"/>
          </w:tcPr>
          <w:p w14:paraId="3888F892" w14:textId="77777777" w:rsidR="007A36EE" w:rsidRPr="00524428" w:rsidRDefault="007A36EE" w:rsidP="00312E88">
            <w:pPr>
              <w:pStyle w:val="Tables"/>
              <w:rPr>
                <w:rFonts w:cs="Arial"/>
                <w:color w:val="FFFFFF" w:themeColor="background1"/>
                <w:sz w:val="15"/>
                <w:szCs w:val="15"/>
              </w:rPr>
            </w:pPr>
            <w:r w:rsidRPr="00524428">
              <w:rPr>
                <w:rFonts w:cs="Arial"/>
                <w:color w:val="FFFFFF" w:themeColor="background1"/>
                <w:sz w:val="15"/>
                <w:szCs w:val="15"/>
              </w:rPr>
              <w:t>Comparison to Portfolio Budget Statements (PBS) ($m)</w:t>
            </w:r>
          </w:p>
        </w:tc>
        <w:tc>
          <w:tcPr>
            <w:tcW w:w="850" w:type="dxa"/>
            <w:shd w:val="clear" w:color="auto" w:fill="6B2E76"/>
            <w:vAlign w:val="center"/>
          </w:tcPr>
          <w:p w14:paraId="79B4BF9E" w14:textId="77777777" w:rsidR="007A36EE" w:rsidRPr="00524428" w:rsidRDefault="007A36EE" w:rsidP="00312E88">
            <w:pPr>
              <w:pStyle w:val="Tables"/>
              <w:jc w:val="center"/>
              <w:rPr>
                <w:rFonts w:cs="Arial"/>
                <w:color w:val="FFFFFF" w:themeColor="background1"/>
                <w:sz w:val="15"/>
                <w:szCs w:val="15"/>
              </w:rPr>
            </w:pPr>
            <w:r w:rsidRPr="00524428">
              <w:rPr>
                <w:rFonts w:cs="Arial"/>
                <w:color w:val="FFFFFF" w:themeColor="background1"/>
                <w:sz w:val="15"/>
                <w:szCs w:val="15"/>
              </w:rPr>
              <w:t>2021-22</w:t>
            </w:r>
          </w:p>
        </w:tc>
        <w:tc>
          <w:tcPr>
            <w:tcW w:w="851" w:type="dxa"/>
            <w:shd w:val="clear" w:color="auto" w:fill="6B2E76"/>
            <w:vAlign w:val="center"/>
          </w:tcPr>
          <w:p w14:paraId="262814A6" w14:textId="77777777" w:rsidR="007A36EE" w:rsidRPr="00524428" w:rsidRDefault="007A36EE" w:rsidP="00312E88">
            <w:pPr>
              <w:pStyle w:val="Tables"/>
              <w:jc w:val="center"/>
              <w:rPr>
                <w:rFonts w:cs="Arial"/>
                <w:color w:val="FFFFFF" w:themeColor="background1"/>
                <w:sz w:val="15"/>
                <w:szCs w:val="15"/>
              </w:rPr>
            </w:pPr>
            <w:r w:rsidRPr="00524428">
              <w:rPr>
                <w:rFonts w:cs="Arial"/>
                <w:color w:val="FFFFFF" w:themeColor="background1"/>
                <w:sz w:val="15"/>
                <w:szCs w:val="15"/>
              </w:rPr>
              <w:t>2022-23</w:t>
            </w:r>
          </w:p>
        </w:tc>
        <w:tc>
          <w:tcPr>
            <w:tcW w:w="850" w:type="dxa"/>
            <w:shd w:val="clear" w:color="auto" w:fill="6B2E76"/>
            <w:vAlign w:val="center"/>
          </w:tcPr>
          <w:p w14:paraId="6AACEEB5" w14:textId="77777777" w:rsidR="007A36EE" w:rsidRPr="00524428" w:rsidRDefault="007A36EE" w:rsidP="00312E88">
            <w:pPr>
              <w:pStyle w:val="Tables"/>
              <w:jc w:val="center"/>
              <w:rPr>
                <w:rFonts w:cs="Arial"/>
                <w:color w:val="FFFFFF" w:themeColor="background1"/>
                <w:sz w:val="15"/>
                <w:szCs w:val="15"/>
              </w:rPr>
            </w:pPr>
            <w:r w:rsidRPr="00524428">
              <w:rPr>
                <w:rFonts w:cs="Arial"/>
                <w:color w:val="FFFFFF" w:themeColor="background1"/>
                <w:sz w:val="15"/>
                <w:szCs w:val="15"/>
              </w:rPr>
              <w:t>2023-24</w:t>
            </w:r>
          </w:p>
        </w:tc>
        <w:tc>
          <w:tcPr>
            <w:tcW w:w="851" w:type="dxa"/>
            <w:shd w:val="clear" w:color="auto" w:fill="6B2E76"/>
            <w:vAlign w:val="center"/>
          </w:tcPr>
          <w:p w14:paraId="074E7DC2" w14:textId="77777777" w:rsidR="007A36EE" w:rsidRPr="00524428" w:rsidRDefault="007A36EE" w:rsidP="00312E88">
            <w:pPr>
              <w:pStyle w:val="Tables"/>
              <w:jc w:val="center"/>
              <w:rPr>
                <w:rFonts w:cs="Arial"/>
                <w:color w:val="FFFFFF" w:themeColor="background1"/>
                <w:sz w:val="15"/>
                <w:szCs w:val="15"/>
              </w:rPr>
            </w:pPr>
            <w:r w:rsidRPr="00524428">
              <w:rPr>
                <w:rFonts w:cs="Arial"/>
                <w:color w:val="FFFFFF" w:themeColor="background1"/>
                <w:sz w:val="15"/>
                <w:szCs w:val="15"/>
              </w:rPr>
              <w:t>2024-25</w:t>
            </w:r>
          </w:p>
        </w:tc>
        <w:tc>
          <w:tcPr>
            <w:tcW w:w="850" w:type="dxa"/>
            <w:shd w:val="clear" w:color="auto" w:fill="6B2E76"/>
            <w:vAlign w:val="center"/>
          </w:tcPr>
          <w:p w14:paraId="693B3372" w14:textId="77777777" w:rsidR="007A36EE" w:rsidRPr="00524428" w:rsidRDefault="007A36EE" w:rsidP="00312E88">
            <w:pPr>
              <w:pStyle w:val="Tables"/>
              <w:jc w:val="center"/>
              <w:rPr>
                <w:rFonts w:cs="Arial"/>
                <w:color w:val="FFFFFF" w:themeColor="background1"/>
                <w:sz w:val="15"/>
                <w:szCs w:val="15"/>
              </w:rPr>
            </w:pPr>
            <w:r w:rsidRPr="00524428">
              <w:rPr>
                <w:rFonts w:cs="Arial"/>
                <w:color w:val="FFFFFF" w:themeColor="background1"/>
                <w:sz w:val="15"/>
                <w:szCs w:val="15"/>
              </w:rPr>
              <w:t>Total</w:t>
            </w:r>
          </w:p>
        </w:tc>
      </w:tr>
      <w:tr w:rsidR="007A36EE" w14:paraId="207B07C0" w14:textId="77777777" w:rsidTr="00312E88">
        <w:trPr>
          <w:trHeight w:hRule="exact" w:val="284"/>
          <w:jc w:val="center"/>
        </w:trPr>
        <w:tc>
          <w:tcPr>
            <w:tcW w:w="4957" w:type="dxa"/>
          </w:tcPr>
          <w:p w14:paraId="4B835FE4" w14:textId="77777777" w:rsidR="007A36EE" w:rsidRPr="00524428" w:rsidRDefault="007A36EE" w:rsidP="00312E88">
            <w:pPr>
              <w:pStyle w:val="Tables"/>
              <w:rPr>
                <w:rFonts w:cs="Arial"/>
                <w:sz w:val="16"/>
                <w:szCs w:val="16"/>
              </w:rPr>
            </w:pPr>
            <w:r w:rsidRPr="00524428">
              <w:rPr>
                <w:rFonts w:cs="Arial"/>
                <w:sz w:val="16"/>
                <w:szCs w:val="16"/>
              </w:rPr>
              <w:t>2021-22 Portfolio Budget Statements (PBS)</w:t>
            </w:r>
          </w:p>
        </w:tc>
        <w:tc>
          <w:tcPr>
            <w:tcW w:w="850" w:type="dxa"/>
          </w:tcPr>
          <w:p w14:paraId="0A029289" w14:textId="77777777" w:rsidR="007A36EE" w:rsidRPr="00524428" w:rsidRDefault="007A36EE" w:rsidP="00312E88">
            <w:pPr>
              <w:pStyle w:val="Tables"/>
              <w:rPr>
                <w:rFonts w:cs="Arial"/>
                <w:sz w:val="16"/>
                <w:szCs w:val="16"/>
              </w:rPr>
            </w:pPr>
            <w:r w:rsidRPr="00524428">
              <w:rPr>
                <w:rFonts w:cs="Arial"/>
                <w:sz w:val="16"/>
                <w:szCs w:val="16"/>
              </w:rPr>
              <w:t>26,487</w:t>
            </w:r>
          </w:p>
        </w:tc>
        <w:tc>
          <w:tcPr>
            <w:tcW w:w="851" w:type="dxa"/>
          </w:tcPr>
          <w:p w14:paraId="1FBC4A0B" w14:textId="77777777" w:rsidR="007A36EE" w:rsidRPr="00524428" w:rsidRDefault="007A36EE" w:rsidP="00312E88">
            <w:pPr>
              <w:pStyle w:val="Tables"/>
              <w:rPr>
                <w:rFonts w:cs="Arial"/>
                <w:sz w:val="16"/>
                <w:szCs w:val="16"/>
              </w:rPr>
            </w:pPr>
            <w:r w:rsidRPr="00524428">
              <w:rPr>
                <w:rFonts w:cs="Arial"/>
                <w:sz w:val="16"/>
                <w:szCs w:val="16"/>
              </w:rPr>
              <w:t>28,257</w:t>
            </w:r>
          </w:p>
        </w:tc>
        <w:tc>
          <w:tcPr>
            <w:tcW w:w="850" w:type="dxa"/>
          </w:tcPr>
          <w:p w14:paraId="15714B49" w14:textId="77777777" w:rsidR="007A36EE" w:rsidRPr="00524428" w:rsidRDefault="007A36EE" w:rsidP="00312E88">
            <w:pPr>
              <w:pStyle w:val="Tables"/>
              <w:rPr>
                <w:rFonts w:cs="Arial"/>
                <w:sz w:val="16"/>
                <w:szCs w:val="16"/>
              </w:rPr>
            </w:pPr>
            <w:r w:rsidRPr="00524428">
              <w:rPr>
                <w:rFonts w:cs="Arial"/>
                <w:sz w:val="16"/>
                <w:szCs w:val="16"/>
              </w:rPr>
              <w:t>29,425</w:t>
            </w:r>
          </w:p>
        </w:tc>
        <w:tc>
          <w:tcPr>
            <w:tcW w:w="851" w:type="dxa"/>
          </w:tcPr>
          <w:p w14:paraId="3661E758" w14:textId="77777777" w:rsidR="007A36EE" w:rsidRPr="00524428" w:rsidRDefault="007A36EE" w:rsidP="00312E88">
            <w:pPr>
              <w:pStyle w:val="Tables"/>
              <w:rPr>
                <w:rFonts w:cs="Arial"/>
                <w:sz w:val="16"/>
                <w:szCs w:val="16"/>
              </w:rPr>
            </w:pPr>
            <w:r w:rsidRPr="00524428">
              <w:rPr>
                <w:rFonts w:cs="Arial"/>
                <w:sz w:val="16"/>
                <w:szCs w:val="16"/>
              </w:rPr>
              <w:t>31,884</w:t>
            </w:r>
          </w:p>
        </w:tc>
        <w:tc>
          <w:tcPr>
            <w:tcW w:w="850" w:type="dxa"/>
          </w:tcPr>
          <w:p w14:paraId="64F4DACE" w14:textId="77777777" w:rsidR="007A36EE" w:rsidRPr="00524428" w:rsidRDefault="007A36EE" w:rsidP="00312E88">
            <w:pPr>
              <w:pStyle w:val="Tables"/>
              <w:rPr>
                <w:rFonts w:cs="Arial"/>
                <w:sz w:val="16"/>
                <w:szCs w:val="16"/>
              </w:rPr>
            </w:pPr>
            <w:r w:rsidRPr="00524428">
              <w:rPr>
                <w:rFonts w:cs="Arial"/>
                <w:sz w:val="16"/>
                <w:szCs w:val="16"/>
              </w:rPr>
              <w:t>116,053</w:t>
            </w:r>
          </w:p>
        </w:tc>
      </w:tr>
      <w:tr w:rsidR="007A36EE" w14:paraId="41B2E6C3" w14:textId="77777777" w:rsidTr="00312E88">
        <w:trPr>
          <w:trHeight w:hRule="exact" w:val="284"/>
          <w:jc w:val="center"/>
        </w:trPr>
        <w:tc>
          <w:tcPr>
            <w:tcW w:w="4957" w:type="dxa"/>
          </w:tcPr>
          <w:p w14:paraId="2AE50E58"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Participant costs from Jun21 AFSR (cash basis)</w:t>
            </w:r>
          </w:p>
        </w:tc>
        <w:tc>
          <w:tcPr>
            <w:tcW w:w="850" w:type="dxa"/>
          </w:tcPr>
          <w:p w14:paraId="30640549"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28,831</w:t>
            </w:r>
          </w:p>
        </w:tc>
        <w:tc>
          <w:tcPr>
            <w:tcW w:w="851" w:type="dxa"/>
          </w:tcPr>
          <w:p w14:paraId="082B87A8"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33,429</w:t>
            </w:r>
          </w:p>
        </w:tc>
        <w:tc>
          <w:tcPr>
            <w:tcW w:w="850" w:type="dxa"/>
          </w:tcPr>
          <w:p w14:paraId="08FFEC1C"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37,459</w:t>
            </w:r>
          </w:p>
        </w:tc>
        <w:tc>
          <w:tcPr>
            <w:tcW w:w="851" w:type="dxa"/>
          </w:tcPr>
          <w:p w14:paraId="5D11AADD"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40,814</w:t>
            </w:r>
          </w:p>
        </w:tc>
        <w:tc>
          <w:tcPr>
            <w:tcW w:w="850" w:type="dxa"/>
          </w:tcPr>
          <w:p w14:paraId="09D4BF13"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140,534</w:t>
            </w:r>
          </w:p>
        </w:tc>
      </w:tr>
      <w:tr w:rsidR="007A36EE" w14:paraId="7A3E6168" w14:textId="77777777" w:rsidTr="00312E88">
        <w:trPr>
          <w:trHeight w:hRule="exact" w:val="284"/>
          <w:jc w:val="center"/>
        </w:trPr>
        <w:tc>
          <w:tcPr>
            <w:tcW w:w="4957" w:type="dxa"/>
          </w:tcPr>
          <w:p w14:paraId="074B9CC9"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Estimated costs for support provided but not yet paid</w:t>
            </w:r>
          </w:p>
        </w:tc>
        <w:tc>
          <w:tcPr>
            <w:tcW w:w="850" w:type="dxa"/>
          </w:tcPr>
          <w:p w14:paraId="7ACA8B9B"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392</w:t>
            </w:r>
          </w:p>
        </w:tc>
        <w:tc>
          <w:tcPr>
            <w:tcW w:w="851" w:type="dxa"/>
          </w:tcPr>
          <w:p w14:paraId="475AA92D"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457</w:t>
            </w:r>
          </w:p>
        </w:tc>
        <w:tc>
          <w:tcPr>
            <w:tcW w:w="850" w:type="dxa"/>
          </w:tcPr>
          <w:p w14:paraId="7C190487"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513</w:t>
            </w:r>
          </w:p>
        </w:tc>
        <w:tc>
          <w:tcPr>
            <w:tcW w:w="851" w:type="dxa"/>
          </w:tcPr>
          <w:p w14:paraId="66CF9F6F"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558</w:t>
            </w:r>
          </w:p>
        </w:tc>
        <w:tc>
          <w:tcPr>
            <w:tcW w:w="850" w:type="dxa"/>
          </w:tcPr>
          <w:p w14:paraId="462450D9" w14:textId="77777777" w:rsidR="007A36EE" w:rsidRPr="00524428" w:rsidRDefault="007A36EE" w:rsidP="00312E88">
            <w:pPr>
              <w:pStyle w:val="Tables"/>
              <w:rPr>
                <w:rFonts w:cs="Arial"/>
                <w:b w:val="0"/>
                <w:bCs w:val="0"/>
                <w:sz w:val="16"/>
                <w:szCs w:val="16"/>
              </w:rPr>
            </w:pPr>
            <w:r w:rsidRPr="00524428">
              <w:rPr>
                <w:rFonts w:cs="Arial"/>
                <w:b w:val="0"/>
                <w:bCs w:val="0"/>
                <w:sz w:val="16"/>
                <w:szCs w:val="16"/>
              </w:rPr>
              <w:t>1,921</w:t>
            </w:r>
          </w:p>
        </w:tc>
      </w:tr>
      <w:tr w:rsidR="007A36EE" w14:paraId="580C72EC" w14:textId="77777777" w:rsidTr="00312E88">
        <w:trPr>
          <w:trHeight w:hRule="exact" w:val="284"/>
          <w:jc w:val="center"/>
        </w:trPr>
        <w:tc>
          <w:tcPr>
            <w:tcW w:w="4957" w:type="dxa"/>
          </w:tcPr>
          <w:p w14:paraId="462BC50C" w14:textId="77777777" w:rsidR="007A36EE" w:rsidRPr="00524428" w:rsidRDefault="007A36EE" w:rsidP="00312E88">
            <w:pPr>
              <w:pStyle w:val="Tables"/>
              <w:rPr>
                <w:rFonts w:cs="Arial"/>
                <w:sz w:val="16"/>
                <w:szCs w:val="16"/>
              </w:rPr>
            </w:pPr>
            <w:r w:rsidRPr="00524428">
              <w:rPr>
                <w:rFonts w:cs="Arial"/>
                <w:sz w:val="16"/>
                <w:szCs w:val="16"/>
              </w:rPr>
              <w:t>Participant costs from Jun21 AFSR (accrual basis)</w:t>
            </w:r>
          </w:p>
        </w:tc>
        <w:tc>
          <w:tcPr>
            <w:tcW w:w="850" w:type="dxa"/>
          </w:tcPr>
          <w:p w14:paraId="1833375A" w14:textId="77777777" w:rsidR="007A36EE" w:rsidRPr="00524428" w:rsidRDefault="007A36EE" w:rsidP="00312E88">
            <w:pPr>
              <w:pStyle w:val="Tables"/>
              <w:rPr>
                <w:rFonts w:cs="Arial"/>
                <w:sz w:val="16"/>
                <w:szCs w:val="16"/>
              </w:rPr>
            </w:pPr>
            <w:r w:rsidRPr="00524428">
              <w:rPr>
                <w:rFonts w:cs="Arial"/>
                <w:sz w:val="16"/>
                <w:szCs w:val="16"/>
              </w:rPr>
              <w:t>29,223</w:t>
            </w:r>
          </w:p>
        </w:tc>
        <w:tc>
          <w:tcPr>
            <w:tcW w:w="851" w:type="dxa"/>
          </w:tcPr>
          <w:p w14:paraId="7FDF30F0" w14:textId="77777777" w:rsidR="007A36EE" w:rsidRPr="00524428" w:rsidRDefault="007A36EE" w:rsidP="00312E88">
            <w:pPr>
              <w:pStyle w:val="Tables"/>
              <w:rPr>
                <w:rFonts w:cs="Arial"/>
                <w:sz w:val="16"/>
                <w:szCs w:val="16"/>
              </w:rPr>
            </w:pPr>
            <w:r w:rsidRPr="00524428">
              <w:rPr>
                <w:rFonts w:cs="Arial"/>
                <w:sz w:val="16"/>
                <w:szCs w:val="16"/>
              </w:rPr>
              <w:t>33,886</w:t>
            </w:r>
          </w:p>
        </w:tc>
        <w:tc>
          <w:tcPr>
            <w:tcW w:w="850" w:type="dxa"/>
          </w:tcPr>
          <w:p w14:paraId="30655EB3" w14:textId="77777777" w:rsidR="007A36EE" w:rsidRPr="00524428" w:rsidRDefault="007A36EE" w:rsidP="00312E88">
            <w:pPr>
              <w:pStyle w:val="Tables"/>
              <w:rPr>
                <w:rFonts w:cs="Arial"/>
                <w:sz w:val="16"/>
                <w:szCs w:val="16"/>
              </w:rPr>
            </w:pPr>
            <w:r w:rsidRPr="00524428">
              <w:rPr>
                <w:rFonts w:cs="Arial"/>
                <w:sz w:val="16"/>
                <w:szCs w:val="16"/>
              </w:rPr>
              <w:t>37,973</w:t>
            </w:r>
          </w:p>
        </w:tc>
        <w:tc>
          <w:tcPr>
            <w:tcW w:w="851" w:type="dxa"/>
          </w:tcPr>
          <w:p w14:paraId="3BEEC814" w14:textId="77777777" w:rsidR="007A36EE" w:rsidRPr="00524428" w:rsidRDefault="007A36EE" w:rsidP="00312E88">
            <w:pPr>
              <w:pStyle w:val="Tables"/>
              <w:rPr>
                <w:rFonts w:cs="Arial"/>
                <w:sz w:val="16"/>
                <w:szCs w:val="16"/>
              </w:rPr>
            </w:pPr>
            <w:r w:rsidRPr="00524428">
              <w:rPr>
                <w:rFonts w:cs="Arial"/>
                <w:sz w:val="16"/>
                <w:szCs w:val="16"/>
              </w:rPr>
              <w:t>41,373</w:t>
            </w:r>
          </w:p>
        </w:tc>
        <w:tc>
          <w:tcPr>
            <w:tcW w:w="850" w:type="dxa"/>
          </w:tcPr>
          <w:p w14:paraId="527E72F1" w14:textId="77777777" w:rsidR="007A36EE" w:rsidRPr="00524428" w:rsidRDefault="007A36EE" w:rsidP="00312E88">
            <w:pPr>
              <w:pStyle w:val="Tables"/>
              <w:rPr>
                <w:rFonts w:cs="Arial"/>
                <w:sz w:val="16"/>
                <w:szCs w:val="16"/>
              </w:rPr>
            </w:pPr>
            <w:r w:rsidRPr="00524428">
              <w:rPr>
                <w:rFonts w:cs="Arial"/>
                <w:sz w:val="16"/>
                <w:szCs w:val="16"/>
              </w:rPr>
              <w:t>142,455</w:t>
            </w:r>
          </w:p>
        </w:tc>
      </w:tr>
      <w:tr w:rsidR="007A36EE" w14:paraId="3DF6EDFC" w14:textId="77777777" w:rsidTr="00312E88">
        <w:trPr>
          <w:trHeight w:hRule="exact" w:val="284"/>
          <w:jc w:val="center"/>
        </w:trPr>
        <w:tc>
          <w:tcPr>
            <w:tcW w:w="4957" w:type="dxa"/>
          </w:tcPr>
          <w:p w14:paraId="70A1ACBC" w14:textId="77777777" w:rsidR="007A36EE" w:rsidRPr="00524428" w:rsidRDefault="007A36EE" w:rsidP="00312E88">
            <w:pPr>
              <w:pStyle w:val="Tables"/>
              <w:rPr>
                <w:rFonts w:cs="Arial"/>
                <w:sz w:val="16"/>
                <w:szCs w:val="16"/>
              </w:rPr>
            </w:pPr>
            <w:r w:rsidRPr="00524428">
              <w:rPr>
                <w:rFonts w:cs="Arial"/>
                <w:sz w:val="16"/>
                <w:szCs w:val="16"/>
              </w:rPr>
              <w:t>Participant costs, compared to Portfolio Budget Statements</w:t>
            </w:r>
          </w:p>
        </w:tc>
        <w:tc>
          <w:tcPr>
            <w:tcW w:w="850" w:type="dxa"/>
          </w:tcPr>
          <w:p w14:paraId="056CA2CF" w14:textId="77777777" w:rsidR="007A36EE" w:rsidRPr="00524428" w:rsidRDefault="007A36EE" w:rsidP="00312E88">
            <w:pPr>
              <w:pStyle w:val="Tables"/>
              <w:rPr>
                <w:rFonts w:cs="Arial"/>
                <w:sz w:val="16"/>
                <w:szCs w:val="16"/>
              </w:rPr>
            </w:pPr>
            <w:r w:rsidRPr="00524428">
              <w:rPr>
                <w:rFonts w:cs="Arial"/>
                <w:sz w:val="16"/>
                <w:szCs w:val="16"/>
              </w:rPr>
              <w:t>2,736</w:t>
            </w:r>
          </w:p>
        </w:tc>
        <w:tc>
          <w:tcPr>
            <w:tcW w:w="851" w:type="dxa"/>
          </w:tcPr>
          <w:p w14:paraId="33AE9214" w14:textId="77777777" w:rsidR="007A36EE" w:rsidRPr="00524428" w:rsidRDefault="007A36EE" w:rsidP="00312E88">
            <w:pPr>
              <w:pStyle w:val="Tables"/>
              <w:rPr>
                <w:rFonts w:cs="Arial"/>
                <w:sz w:val="16"/>
                <w:szCs w:val="16"/>
              </w:rPr>
            </w:pPr>
            <w:r w:rsidRPr="00524428">
              <w:rPr>
                <w:rFonts w:cs="Arial"/>
                <w:sz w:val="16"/>
                <w:szCs w:val="16"/>
              </w:rPr>
              <w:t>5,629</w:t>
            </w:r>
          </w:p>
        </w:tc>
        <w:tc>
          <w:tcPr>
            <w:tcW w:w="850" w:type="dxa"/>
          </w:tcPr>
          <w:p w14:paraId="4B26C98E" w14:textId="77777777" w:rsidR="007A36EE" w:rsidRPr="00524428" w:rsidRDefault="007A36EE" w:rsidP="00312E88">
            <w:pPr>
              <w:pStyle w:val="Tables"/>
              <w:rPr>
                <w:rFonts w:cs="Arial"/>
                <w:sz w:val="16"/>
                <w:szCs w:val="16"/>
              </w:rPr>
            </w:pPr>
            <w:r w:rsidRPr="00524428">
              <w:rPr>
                <w:rFonts w:cs="Arial"/>
                <w:sz w:val="16"/>
                <w:szCs w:val="16"/>
              </w:rPr>
              <w:t>8,548</w:t>
            </w:r>
          </w:p>
        </w:tc>
        <w:tc>
          <w:tcPr>
            <w:tcW w:w="851" w:type="dxa"/>
          </w:tcPr>
          <w:p w14:paraId="2A0F2095" w14:textId="77777777" w:rsidR="007A36EE" w:rsidRPr="00524428" w:rsidRDefault="007A36EE" w:rsidP="00312E88">
            <w:pPr>
              <w:pStyle w:val="Tables"/>
              <w:rPr>
                <w:rFonts w:cs="Arial"/>
                <w:sz w:val="16"/>
                <w:szCs w:val="16"/>
              </w:rPr>
            </w:pPr>
            <w:r w:rsidRPr="00524428">
              <w:rPr>
                <w:rFonts w:cs="Arial"/>
                <w:sz w:val="16"/>
                <w:szCs w:val="16"/>
              </w:rPr>
              <w:t>9,489</w:t>
            </w:r>
          </w:p>
        </w:tc>
        <w:tc>
          <w:tcPr>
            <w:tcW w:w="850" w:type="dxa"/>
          </w:tcPr>
          <w:p w14:paraId="2161BF5C" w14:textId="77777777" w:rsidR="007A36EE" w:rsidRPr="00524428" w:rsidRDefault="007A36EE" w:rsidP="00312E88">
            <w:pPr>
              <w:pStyle w:val="Tables"/>
              <w:rPr>
                <w:rFonts w:cs="Arial"/>
                <w:sz w:val="16"/>
                <w:szCs w:val="16"/>
              </w:rPr>
            </w:pPr>
            <w:r w:rsidRPr="00524428">
              <w:rPr>
                <w:rFonts w:cs="Arial"/>
                <w:sz w:val="16"/>
                <w:szCs w:val="16"/>
              </w:rPr>
              <w:t>26,402</w:t>
            </w:r>
          </w:p>
        </w:tc>
      </w:tr>
    </w:tbl>
    <w:p w14:paraId="4C94E2BE" w14:textId="77777777" w:rsidR="007A36EE" w:rsidRDefault="007A36EE" w:rsidP="00B8229F">
      <w:pPr>
        <w:pStyle w:val="Tables"/>
      </w:pPr>
      <w:bookmarkStart w:id="19" w:name="_Ref76040288"/>
    </w:p>
    <w:p w14:paraId="0CE1B530" w14:textId="1D718FB4" w:rsidR="00B8229F" w:rsidRPr="00C578EB" w:rsidRDefault="00B8229F" w:rsidP="00B8229F">
      <w:pPr>
        <w:pStyle w:val="Tables"/>
      </w:pPr>
      <w:r w:rsidRPr="00402B65">
        <w:t xml:space="preserve">Table </w:t>
      </w:r>
      <w:fldSimple w:instr=" SEQ Table \* ARABIC ">
        <w:r w:rsidR="00E50032">
          <w:rPr>
            <w:noProof/>
          </w:rPr>
          <w:t>6</w:t>
        </w:r>
      </w:fldSimple>
      <w:bookmarkEnd w:id="19"/>
      <w:r w:rsidRPr="00402B65">
        <w:t xml:space="preserve"> </w:t>
      </w:r>
      <w:r w:rsidR="00F91A23">
        <w:t>Projected t</w:t>
      </w:r>
      <w:r w:rsidR="00F91A23" w:rsidRPr="00402B65">
        <w:t xml:space="preserve">otal </w:t>
      </w:r>
      <w:r w:rsidR="00D97AA2" w:rsidRPr="00402B65">
        <w:t>Participant costs (accrual basis) compared to e</w:t>
      </w:r>
      <w:r w:rsidRPr="00402B65">
        <w:t>stimates of Scheme costs in the 2017 PC study report</w:t>
      </w:r>
      <w:r w:rsidRPr="00402B65">
        <w:rPr>
          <w:rStyle w:val="FootnoteReference"/>
          <w:noProof/>
          <w:szCs w:val="22"/>
        </w:rPr>
        <w:footnoteReference w:id="23"/>
      </w:r>
      <w:r w:rsidRPr="00402B65">
        <w:rPr>
          <w:vertAlign w:val="superscript"/>
        </w:rPr>
        <w:t>,</w:t>
      </w:r>
      <w:r w:rsidRPr="00402B65">
        <w:rPr>
          <w:rStyle w:val="FootnoteReference"/>
          <w:bCs w:val="0"/>
        </w:rPr>
        <w:footnoteReference w:id="24"/>
      </w:r>
    </w:p>
    <w:tbl>
      <w:tblPr>
        <w:tblStyle w:val="TableGrid"/>
        <w:tblW w:w="9072" w:type="dxa"/>
        <w:jc w:val="center"/>
        <w:tblLayout w:type="fixed"/>
        <w:tblLook w:val="04A0" w:firstRow="1" w:lastRow="0" w:firstColumn="1" w:lastColumn="0" w:noHBand="0" w:noVBand="1"/>
      </w:tblPr>
      <w:tblGrid>
        <w:gridCol w:w="4820"/>
        <w:gridCol w:w="850"/>
        <w:gridCol w:w="851"/>
        <w:gridCol w:w="850"/>
        <w:gridCol w:w="851"/>
        <w:gridCol w:w="850"/>
      </w:tblGrid>
      <w:tr w:rsidR="00EF2E0C" w14:paraId="24A26141" w14:textId="77777777" w:rsidTr="00312E88">
        <w:trPr>
          <w:tblHeader/>
          <w:jc w:val="center"/>
        </w:trPr>
        <w:tc>
          <w:tcPr>
            <w:tcW w:w="4820" w:type="dxa"/>
            <w:shd w:val="clear" w:color="auto" w:fill="6B2E76"/>
          </w:tcPr>
          <w:p w14:paraId="431BCF72" w14:textId="77777777" w:rsidR="00EF2E0C" w:rsidRPr="00524428" w:rsidRDefault="00EF2E0C" w:rsidP="00312E88">
            <w:pPr>
              <w:pStyle w:val="Tables"/>
              <w:rPr>
                <w:rFonts w:cs="Arial"/>
                <w:color w:val="FFFFFF" w:themeColor="background1"/>
                <w:sz w:val="15"/>
                <w:szCs w:val="15"/>
              </w:rPr>
            </w:pPr>
            <w:r w:rsidRPr="00524428">
              <w:rPr>
                <w:rFonts w:cs="Arial"/>
                <w:color w:val="FFFFFF" w:themeColor="background1"/>
                <w:sz w:val="15"/>
                <w:szCs w:val="15"/>
              </w:rPr>
              <w:t>Participant costs – accrual basis ($b)</w:t>
            </w:r>
          </w:p>
        </w:tc>
        <w:tc>
          <w:tcPr>
            <w:tcW w:w="850" w:type="dxa"/>
            <w:shd w:val="clear" w:color="auto" w:fill="6B2E76"/>
            <w:vAlign w:val="center"/>
          </w:tcPr>
          <w:p w14:paraId="1CF22567" w14:textId="77777777" w:rsidR="00EF2E0C" w:rsidRPr="00524428" w:rsidRDefault="00EF2E0C" w:rsidP="00312E88">
            <w:pPr>
              <w:pStyle w:val="Tables"/>
              <w:jc w:val="center"/>
              <w:rPr>
                <w:rFonts w:cs="Arial"/>
                <w:color w:val="FFFFFF" w:themeColor="background1"/>
                <w:sz w:val="15"/>
                <w:szCs w:val="15"/>
              </w:rPr>
            </w:pPr>
            <w:r w:rsidRPr="00524428">
              <w:rPr>
                <w:rFonts w:cs="Arial"/>
                <w:color w:val="FFFFFF" w:themeColor="background1"/>
                <w:sz w:val="15"/>
                <w:szCs w:val="15"/>
              </w:rPr>
              <w:t>2021-22</w:t>
            </w:r>
          </w:p>
        </w:tc>
        <w:tc>
          <w:tcPr>
            <w:tcW w:w="851" w:type="dxa"/>
            <w:shd w:val="clear" w:color="auto" w:fill="6B2E76"/>
            <w:vAlign w:val="center"/>
          </w:tcPr>
          <w:p w14:paraId="1091A3DB" w14:textId="77777777" w:rsidR="00EF2E0C" w:rsidRPr="00524428" w:rsidRDefault="00EF2E0C" w:rsidP="00312E88">
            <w:pPr>
              <w:pStyle w:val="Tables"/>
              <w:jc w:val="center"/>
              <w:rPr>
                <w:rFonts w:cs="Arial"/>
                <w:color w:val="FFFFFF" w:themeColor="background1"/>
                <w:sz w:val="15"/>
                <w:szCs w:val="15"/>
              </w:rPr>
            </w:pPr>
            <w:r w:rsidRPr="00524428">
              <w:rPr>
                <w:rFonts w:cs="Arial"/>
                <w:color w:val="FFFFFF" w:themeColor="background1"/>
                <w:sz w:val="15"/>
                <w:szCs w:val="15"/>
              </w:rPr>
              <w:t>2022-23</w:t>
            </w:r>
          </w:p>
        </w:tc>
        <w:tc>
          <w:tcPr>
            <w:tcW w:w="850" w:type="dxa"/>
            <w:shd w:val="clear" w:color="auto" w:fill="6B2E76"/>
            <w:vAlign w:val="center"/>
          </w:tcPr>
          <w:p w14:paraId="3E47CE51" w14:textId="77777777" w:rsidR="00EF2E0C" w:rsidRPr="00524428" w:rsidRDefault="00EF2E0C" w:rsidP="00312E88">
            <w:pPr>
              <w:pStyle w:val="Tables"/>
              <w:jc w:val="center"/>
              <w:rPr>
                <w:rFonts w:cs="Arial"/>
                <w:color w:val="FFFFFF" w:themeColor="background1"/>
                <w:sz w:val="15"/>
                <w:szCs w:val="15"/>
              </w:rPr>
            </w:pPr>
            <w:r w:rsidRPr="00524428">
              <w:rPr>
                <w:rFonts w:cs="Arial"/>
                <w:color w:val="FFFFFF" w:themeColor="background1"/>
                <w:sz w:val="15"/>
                <w:szCs w:val="15"/>
              </w:rPr>
              <w:t>2023-24</w:t>
            </w:r>
          </w:p>
        </w:tc>
        <w:tc>
          <w:tcPr>
            <w:tcW w:w="851" w:type="dxa"/>
            <w:shd w:val="clear" w:color="auto" w:fill="6B2E76"/>
            <w:vAlign w:val="center"/>
          </w:tcPr>
          <w:p w14:paraId="63C2D762" w14:textId="77777777" w:rsidR="00EF2E0C" w:rsidRPr="00524428" w:rsidRDefault="00EF2E0C" w:rsidP="00312E88">
            <w:pPr>
              <w:pStyle w:val="Tables"/>
              <w:jc w:val="center"/>
              <w:rPr>
                <w:rFonts w:cs="Arial"/>
                <w:color w:val="FFFFFF" w:themeColor="background1"/>
                <w:sz w:val="15"/>
                <w:szCs w:val="15"/>
              </w:rPr>
            </w:pPr>
            <w:r w:rsidRPr="00524428">
              <w:rPr>
                <w:rFonts w:cs="Arial"/>
                <w:color w:val="FFFFFF" w:themeColor="background1"/>
                <w:sz w:val="15"/>
                <w:szCs w:val="15"/>
              </w:rPr>
              <w:t>2024-25</w:t>
            </w:r>
          </w:p>
        </w:tc>
        <w:tc>
          <w:tcPr>
            <w:tcW w:w="850" w:type="dxa"/>
            <w:shd w:val="clear" w:color="auto" w:fill="6B2E76"/>
            <w:vAlign w:val="center"/>
          </w:tcPr>
          <w:p w14:paraId="44CDC243" w14:textId="77777777" w:rsidR="00EF2E0C" w:rsidRPr="00524428" w:rsidRDefault="00EF2E0C" w:rsidP="00312E88">
            <w:pPr>
              <w:pStyle w:val="Tables"/>
              <w:jc w:val="center"/>
              <w:rPr>
                <w:rFonts w:cs="Arial"/>
                <w:color w:val="FFFFFF" w:themeColor="background1"/>
                <w:sz w:val="15"/>
                <w:szCs w:val="15"/>
              </w:rPr>
            </w:pPr>
            <w:r w:rsidRPr="00524428">
              <w:rPr>
                <w:rFonts w:cs="Arial"/>
                <w:color w:val="FFFFFF" w:themeColor="background1"/>
                <w:sz w:val="15"/>
                <w:szCs w:val="15"/>
              </w:rPr>
              <w:t>2029-30</w:t>
            </w:r>
          </w:p>
        </w:tc>
      </w:tr>
      <w:tr w:rsidR="00EF2E0C" w14:paraId="70D4CB06" w14:textId="77777777" w:rsidTr="00312E88">
        <w:trPr>
          <w:trHeight w:hRule="exact" w:val="284"/>
          <w:jc w:val="center"/>
        </w:trPr>
        <w:tc>
          <w:tcPr>
            <w:tcW w:w="4820" w:type="dxa"/>
          </w:tcPr>
          <w:p w14:paraId="0479B716"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 xml:space="preserve">2017 Productivity Commission report </w:t>
            </w:r>
          </w:p>
        </w:tc>
        <w:tc>
          <w:tcPr>
            <w:tcW w:w="850" w:type="dxa"/>
          </w:tcPr>
          <w:p w14:paraId="4C716A82"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25</w:t>
            </w:r>
            <w:r>
              <w:rPr>
                <w:rFonts w:cs="Arial"/>
                <w:b w:val="0"/>
                <w:bCs w:val="0"/>
                <w:sz w:val="16"/>
                <w:szCs w:val="16"/>
              </w:rPr>
              <w:t>,158</w:t>
            </w:r>
          </w:p>
        </w:tc>
        <w:tc>
          <w:tcPr>
            <w:tcW w:w="851" w:type="dxa"/>
          </w:tcPr>
          <w:p w14:paraId="360FDAD0"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26</w:t>
            </w:r>
            <w:r>
              <w:rPr>
                <w:rFonts w:cs="Arial"/>
                <w:b w:val="0"/>
                <w:bCs w:val="0"/>
                <w:sz w:val="16"/>
                <w:szCs w:val="16"/>
              </w:rPr>
              <w:t>,</w:t>
            </w:r>
            <w:r w:rsidRPr="00524428">
              <w:rPr>
                <w:rFonts w:cs="Arial"/>
                <w:b w:val="0"/>
                <w:bCs w:val="0"/>
                <w:sz w:val="16"/>
                <w:szCs w:val="16"/>
              </w:rPr>
              <w:t>7</w:t>
            </w:r>
            <w:r>
              <w:rPr>
                <w:rFonts w:cs="Arial"/>
                <w:b w:val="0"/>
                <w:bCs w:val="0"/>
                <w:sz w:val="16"/>
                <w:szCs w:val="16"/>
              </w:rPr>
              <w:t>40</w:t>
            </w:r>
          </w:p>
        </w:tc>
        <w:tc>
          <w:tcPr>
            <w:tcW w:w="850" w:type="dxa"/>
          </w:tcPr>
          <w:p w14:paraId="194A3262"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28</w:t>
            </w:r>
            <w:r>
              <w:rPr>
                <w:rFonts w:cs="Arial"/>
                <w:b w:val="0"/>
                <w:bCs w:val="0"/>
                <w:sz w:val="16"/>
                <w:szCs w:val="16"/>
              </w:rPr>
              <w:t>,351</w:t>
            </w:r>
          </w:p>
        </w:tc>
        <w:tc>
          <w:tcPr>
            <w:tcW w:w="851" w:type="dxa"/>
          </w:tcPr>
          <w:p w14:paraId="4E7BA4C1"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30</w:t>
            </w:r>
            <w:r>
              <w:rPr>
                <w:rFonts w:cs="Arial"/>
                <w:b w:val="0"/>
                <w:bCs w:val="0"/>
                <w:sz w:val="16"/>
                <w:szCs w:val="16"/>
              </w:rPr>
              <w:t>,555</w:t>
            </w:r>
          </w:p>
        </w:tc>
        <w:tc>
          <w:tcPr>
            <w:tcW w:w="850" w:type="dxa"/>
          </w:tcPr>
          <w:p w14:paraId="786C6111"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40</w:t>
            </w:r>
            <w:r>
              <w:rPr>
                <w:rFonts w:cs="Arial"/>
                <w:b w:val="0"/>
                <w:bCs w:val="0"/>
                <w:sz w:val="16"/>
                <w:szCs w:val="16"/>
              </w:rPr>
              <w:t>,915</w:t>
            </w:r>
          </w:p>
        </w:tc>
      </w:tr>
      <w:tr w:rsidR="00EF2E0C" w14:paraId="35DD80BC" w14:textId="77777777" w:rsidTr="00312E88">
        <w:trPr>
          <w:trHeight w:hRule="exact" w:val="284"/>
          <w:jc w:val="center"/>
        </w:trPr>
        <w:tc>
          <w:tcPr>
            <w:tcW w:w="4820" w:type="dxa"/>
          </w:tcPr>
          <w:p w14:paraId="2E7D9D24" w14:textId="77777777" w:rsidR="00EF2E0C" w:rsidRPr="00524428" w:rsidRDefault="00EF2E0C" w:rsidP="00312E88">
            <w:pPr>
              <w:pStyle w:val="Tables"/>
              <w:rPr>
                <w:rFonts w:cs="Arial"/>
                <w:b w:val="0"/>
                <w:bCs w:val="0"/>
                <w:sz w:val="16"/>
                <w:szCs w:val="16"/>
              </w:rPr>
            </w:pPr>
            <w:r w:rsidRPr="00524428">
              <w:rPr>
                <w:rFonts w:cs="Arial"/>
                <w:b w:val="0"/>
                <w:bCs w:val="0"/>
                <w:i/>
                <w:iCs/>
                <w:sz w:val="16"/>
                <w:szCs w:val="16"/>
              </w:rPr>
              <w:t>less operating costs</w:t>
            </w:r>
          </w:p>
        </w:tc>
        <w:tc>
          <w:tcPr>
            <w:tcW w:w="850" w:type="dxa"/>
          </w:tcPr>
          <w:p w14:paraId="24024094"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-1</w:t>
            </w:r>
            <w:r>
              <w:rPr>
                <w:rFonts w:cs="Arial"/>
                <w:b w:val="0"/>
                <w:bCs w:val="0"/>
                <w:sz w:val="16"/>
                <w:szCs w:val="16"/>
              </w:rPr>
              <w:t>,450</w:t>
            </w:r>
          </w:p>
        </w:tc>
        <w:tc>
          <w:tcPr>
            <w:tcW w:w="851" w:type="dxa"/>
          </w:tcPr>
          <w:p w14:paraId="057420B9"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-1</w:t>
            </w:r>
            <w:r>
              <w:rPr>
                <w:rFonts w:cs="Arial"/>
                <w:b w:val="0"/>
                <w:bCs w:val="0"/>
                <w:sz w:val="16"/>
                <w:szCs w:val="16"/>
              </w:rPr>
              <w:t>,503</w:t>
            </w:r>
          </w:p>
        </w:tc>
        <w:tc>
          <w:tcPr>
            <w:tcW w:w="850" w:type="dxa"/>
          </w:tcPr>
          <w:p w14:paraId="5317FA1A"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-1</w:t>
            </w:r>
            <w:r>
              <w:rPr>
                <w:rFonts w:cs="Arial"/>
                <w:b w:val="0"/>
                <w:bCs w:val="0"/>
                <w:sz w:val="16"/>
                <w:szCs w:val="16"/>
              </w:rPr>
              <w:t>,511</w:t>
            </w:r>
          </w:p>
        </w:tc>
        <w:tc>
          <w:tcPr>
            <w:tcW w:w="851" w:type="dxa"/>
          </w:tcPr>
          <w:p w14:paraId="59E28751"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-2</w:t>
            </w:r>
            <w:r>
              <w:rPr>
                <w:rFonts w:cs="Arial"/>
                <w:b w:val="0"/>
                <w:bCs w:val="0"/>
                <w:sz w:val="16"/>
                <w:szCs w:val="16"/>
              </w:rPr>
              <w:t>,054</w:t>
            </w:r>
          </w:p>
        </w:tc>
        <w:tc>
          <w:tcPr>
            <w:tcW w:w="850" w:type="dxa"/>
          </w:tcPr>
          <w:p w14:paraId="626E2064" w14:textId="77777777" w:rsidR="00EF2E0C" w:rsidRPr="00524428" w:rsidRDefault="00EF2E0C" w:rsidP="00312E88">
            <w:pPr>
              <w:pStyle w:val="Tables"/>
              <w:rPr>
                <w:rFonts w:cs="Arial"/>
                <w:b w:val="0"/>
                <w:bCs w:val="0"/>
                <w:sz w:val="16"/>
                <w:szCs w:val="16"/>
              </w:rPr>
            </w:pPr>
            <w:r w:rsidRPr="00524428">
              <w:rPr>
                <w:rFonts w:cs="Arial"/>
                <w:b w:val="0"/>
                <w:bCs w:val="0"/>
                <w:sz w:val="16"/>
                <w:szCs w:val="16"/>
              </w:rPr>
              <w:t>-2</w:t>
            </w:r>
            <w:r>
              <w:rPr>
                <w:rFonts w:cs="Arial"/>
                <w:b w:val="0"/>
                <w:bCs w:val="0"/>
                <w:sz w:val="16"/>
                <w:szCs w:val="16"/>
              </w:rPr>
              <w:t>,784</w:t>
            </w:r>
          </w:p>
        </w:tc>
      </w:tr>
      <w:tr w:rsidR="00EF2E0C" w14:paraId="6CB4623D" w14:textId="77777777" w:rsidTr="00312E88">
        <w:trPr>
          <w:trHeight w:hRule="exact" w:val="284"/>
          <w:jc w:val="center"/>
        </w:trPr>
        <w:tc>
          <w:tcPr>
            <w:tcW w:w="4820" w:type="dxa"/>
          </w:tcPr>
          <w:p w14:paraId="0DA06F10" w14:textId="77777777" w:rsidR="00EF2E0C" w:rsidRPr="00524428" w:rsidRDefault="00EF2E0C" w:rsidP="00312E88">
            <w:pPr>
              <w:pStyle w:val="Tables"/>
              <w:rPr>
                <w:rFonts w:cs="Arial"/>
                <w:sz w:val="16"/>
                <w:szCs w:val="16"/>
              </w:rPr>
            </w:pPr>
            <w:r w:rsidRPr="00524428">
              <w:rPr>
                <w:rFonts w:cs="Arial"/>
                <w:sz w:val="16"/>
                <w:szCs w:val="16"/>
              </w:rPr>
              <w:t>2017 Productivity Commission participant costs</w:t>
            </w:r>
          </w:p>
        </w:tc>
        <w:tc>
          <w:tcPr>
            <w:tcW w:w="850" w:type="dxa"/>
          </w:tcPr>
          <w:p w14:paraId="5ED16638" w14:textId="77777777" w:rsidR="00EF2E0C" w:rsidRPr="00524428" w:rsidRDefault="00EF2E0C" w:rsidP="00312E88">
            <w:pPr>
              <w:pStyle w:val="Tables"/>
              <w:rPr>
                <w:rFonts w:cs="Arial"/>
                <w:sz w:val="16"/>
                <w:szCs w:val="16"/>
              </w:rPr>
            </w:pPr>
            <w:r w:rsidRPr="00524428">
              <w:rPr>
                <w:rFonts w:cs="Arial"/>
                <w:sz w:val="16"/>
                <w:szCs w:val="16"/>
              </w:rPr>
              <w:t>23</w:t>
            </w:r>
            <w:r>
              <w:rPr>
                <w:rFonts w:cs="Arial"/>
                <w:sz w:val="16"/>
                <w:szCs w:val="16"/>
              </w:rPr>
              <w:t>,708</w:t>
            </w:r>
          </w:p>
        </w:tc>
        <w:tc>
          <w:tcPr>
            <w:tcW w:w="851" w:type="dxa"/>
          </w:tcPr>
          <w:p w14:paraId="224B4F08" w14:textId="507A2511" w:rsidR="00EF2E0C" w:rsidRPr="00524428" w:rsidRDefault="00EF2E0C" w:rsidP="00312E88">
            <w:pPr>
              <w:pStyle w:val="Tables"/>
              <w:rPr>
                <w:rFonts w:cs="Arial"/>
                <w:sz w:val="16"/>
                <w:szCs w:val="16"/>
              </w:rPr>
            </w:pPr>
            <w:r w:rsidRPr="00524428">
              <w:rPr>
                <w:rFonts w:cs="Arial"/>
                <w:sz w:val="16"/>
                <w:szCs w:val="16"/>
              </w:rPr>
              <w:t>25</w:t>
            </w:r>
            <w:r w:rsidR="00312E88">
              <w:rPr>
                <w:rFonts w:cs="Arial"/>
                <w:sz w:val="16"/>
                <w:szCs w:val="16"/>
              </w:rPr>
              <w:t>,23</w:t>
            </w:r>
            <w:r>
              <w:rPr>
                <w:rFonts w:cs="Arial"/>
                <w:sz w:val="16"/>
                <w:szCs w:val="16"/>
              </w:rPr>
              <w:t>8</w:t>
            </w:r>
          </w:p>
        </w:tc>
        <w:tc>
          <w:tcPr>
            <w:tcW w:w="850" w:type="dxa"/>
          </w:tcPr>
          <w:p w14:paraId="3E23B3D5" w14:textId="77777777" w:rsidR="00EF2E0C" w:rsidRPr="00524428" w:rsidRDefault="00EF2E0C" w:rsidP="00312E88">
            <w:pPr>
              <w:pStyle w:val="Tables"/>
              <w:rPr>
                <w:rFonts w:cs="Arial"/>
                <w:sz w:val="16"/>
                <w:szCs w:val="16"/>
              </w:rPr>
            </w:pPr>
            <w:r w:rsidRPr="00524428">
              <w:rPr>
                <w:rFonts w:cs="Arial"/>
                <w:sz w:val="16"/>
                <w:szCs w:val="16"/>
              </w:rPr>
              <w:t>26</w:t>
            </w:r>
            <w:r>
              <w:rPr>
                <w:rFonts w:cs="Arial"/>
                <w:sz w:val="16"/>
                <w:szCs w:val="16"/>
              </w:rPr>
              <w:t>,</w:t>
            </w:r>
            <w:r w:rsidRPr="00524428">
              <w:rPr>
                <w:rFonts w:cs="Arial"/>
                <w:sz w:val="16"/>
                <w:szCs w:val="16"/>
              </w:rPr>
              <w:t>8</w:t>
            </w:r>
            <w:r>
              <w:rPr>
                <w:rFonts w:cs="Arial"/>
                <w:sz w:val="16"/>
                <w:szCs w:val="16"/>
              </w:rPr>
              <w:t>39</w:t>
            </w:r>
          </w:p>
        </w:tc>
        <w:tc>
          <w:tcPr>
            <w:tcW w:w="851" w:type="dxa"/>
          </w:tcPr>
          <w:p w14:paraId="7AB6C89E" w14:textId="77777777" w:rsidR="00EF2E0C" w:rsidRPr="00524428" w:rsidRDefault="00EF2E0C" w:rsidP="00312E88">
            <w:pPr>
              <w:pStyle w:val="Tables"/>
              <w:rPr>
                <w:rFonts w:cs="Arial"/>
                <w:sz w:val="16"/>
                <w:szCs w:val="16"/>
              </w:rPr>
            </w:pPr>
            <w:r w:rsidRPr="00524428">
              <w:rPr>
                <w:rFonts w:cs="Arial"/>
                <w:sz w:val="16"/>
                <w:szCs w:val="16"/>
              </w:rPr>
              <w:t>28</w:t>
            </w:r>
            <w:r>
              <w:rPr>
                <w:rFonts w:cs="Arial"/>
                <w:sz w:val="16"/>
                <w:szCs w:val="16"/>
              </w:rPr>
              <w:t>,500</w:t>
            </w:r>
          </w:p>
        </w:tc>
        <w:tc>
          <w:tcPr>
            <w:tcW w:w="850" w:type="dxa"/>
          </w:tcPr>
          <w:p w14:paraId="513B5839" w14:textId="77777777" w:rsidR="00EF2E0C" w:rsidRPr="00524428" w:rsidRDefault="00EF2E0C" w:rsidP="00312E88">
            <w:pPr>
              <w:pStyle w:val="Tables"/>
              <w:rPr>
                <w:rFonts w:cs="Arial"/>
                <w:sz w:val="16"/>
                <w:szCs w:val="16"/>
              </w:rPr>
            </w:pPr>
            <w:r w:rsidRPr="00524428">
              <w:rPr>
                <w:rFonts w:cs="Arial"/>
                <w:sz w:val="16"/>
                <w:szCs w:val="16"/>
              </w:rPr>
              <w:t>38</w:t>
            </w:r>
            <w:r>
              <w:rPr>
                <w:rFonts w:cs="Arial"/>
                <w:sz w:val="16"/>
                <w:szCs w:val="16"/>
              </w:rPr>
              <w:t>,130</w:t>
            </w:r>
          </w:p>
        </w:tc>
      </w:tr>
      <w:tr w:rsidR="00EF2E0C" w14:paraId="78BED4EE" w14:textId="77777777" w:rsidTr="00312E88">
        <w:trPr>
          <w:trHeight w:hRule="exact" w:val="284"/>
          <w:jc w:val="center"/>
        </w:trPr>
        <w:tc>
          <w:tcPr>
            <w:tcW w:w="4820" w:type="dxa"/>
          </w:tcPr>
          <w:p w14:paraId="5F29AEB3" w14:textId="77777777" w:rsidR="00EF2E0C" w:rsidRPr="00524428" w:rsidRDefault="00EF2E0C" w:rsidP="00312E88">
            <w:pPr>
              <w:pStyle w:val="Tables"/>
              <w:rPr>
                <w:rFonts w:cs="Arial"/>
                <w:sz w:val="16"/>
                <w:szCs w:val="16"/>
              </w:rPr>
            </w:pPr>
            <w:r w:rsidRPr="00524428">
              <w:rPr>
                <w:rFonts w:cs="Arial"/>
                <w:sz w:val="16"/>
                <w:szCs w:val="16"/>
              </w:rPr>
              <w:t>Baseline projected participant costs (accrual basis)</w:t>
            </w:r>
          </w:p>
        </w:tc>
        <w:tc>
          <w:tcPr>
            <w:tcW w:w="850" w:type="dxa"/>
          </w:tcPr>
          <w:p w14:paraId="5D2002A2" w14:textId="77777777" w:rsidR="00EF2E0C" w:rsidRPr="00524428" w:rsidRDefault="00EF2E0C" w:rsidP="00312E88">
            <w:pPr>
              <w:pStyle w:val="Tables"/>
              <w:rPr>
                <w:rFonts w:cs="Arial"/>
                <w:sz w:val="16"/>
                <w:szCs w:val="16"/>
              </w:rPr>
            </w:pPr>
            <w:r w:rsidRPr="00524428">
              <w:rPr>
                <w:rFonts w:cs="Arial"/>
                <w:sz w:val="16"/>
                <w:szCs w:val="16"/>
              </w:rPr>
              <w:t>29</w:t>
            </w:r>
            <w:r>
              <w:rPr>
                <w:rFonts w:cs="Arial"/>
                <w:sz w:val="16"/>
                <w:szCs w:val="16"/>
              </w:rPr>
              <w:t>,223</w:t>
            </w:r>
          </w:p>
        </w:tc>
        <w:tc>
          <w:tcPr>
            <w:tcW w:w="851" w:type="dxa"/>
          </w:tcPr>
          <w:p w14:paraId="3011F97D" w14:textId="77777777" w:rsidR="00EF2E0C" w:rsidRPr="00524428" w:rsidRDefault="00EF2E0C" w:rsidP="00312E88">
            <w:pPr>
              <w:pStyle w:val="Tables"/>
              <w:rPr>
                <w:rFonts w:cs="Arial"/>
                <w:sz w:val="16"/>
                <w:szCs w:val="16"/>
              </w:rPr>
            </w:pPr>
            <w:r>
              <w:rPr>
                <w:rFonts w:cs="Arial"/>
                <w:sz w:val="16"/>
                <w:szCs w:val="16"/>
              </w:rPr>
              <w:t>33,886</w:t>
            </w:r>
          </w:p>
        </w:tc>
        <w:tc>
          <w:tcPr>
            <w:tcW w:w="850" w:type="dxa"/>
          </w:tcPr>
          <w:p w14:paraId="3C9CF4D2" w14:textId="77777777" w:rsidR="00EF2E0C" w:rsidRPr="00524428" w:rsidRDefault="00EF2E0C" w:rsidP="00312E88">
            <w:pPr>
              <w:pStyle w:val="Tables"/>
              <w:rPr>
                <w:rFonts w:cs="Arial"/>
                <w:sz w:val="16"/>
                <w:szCs w:val="16"/>
              </w:rPr>
            </w:pPr>
            <w:r>
              <w:rPr>
                <w:rFonts w:cs="Arial"/>
                <w:sz w:val="16"/>
                <w:szCs w:val="16"/>
              </w:rPr>
              <w:t>37,973</w:t>
            </w:r>
          </w:p>
        </w:tc>
        <w:tc>
          <w:tcPr>
            <w:tcW w:w="851" w:type="dxa"/>
          </w:tcPr>
          <w:p w14:paraId="6C68EFE8" w14:textId="77777777" w:rsidR="00EF2E0C" w:rsidRPr="00524428" w:rsidRDefault="00EF2E0C" w:rsidP="00312E88">
            <w:pPr>
              <w:pStyle w:val="Tables"/>
              <w:rPr>
                <w:rFonts w:cs="Arial"/>
                <w:sz w:val="16"/>
                <w:szCs w:val="16"/>
              </w:rPr>
            </w:pPr>
            <w:r>
              <w:rPr>
                <w:rFonts w:cs="Arial"/>
                <w:sz w:val="16"/>
                <w:szCs w:val="16"/>
              </w:rPr>
              <w:t>41,373</w:t>
            </w:r>
          </w:p>
        </w:tc>
        <w:tc>
          <w:tcPr>
            <w:tcW w:w="850" w:type="dxa"/>
          </w:tcPr>
          <w:p w14:paraId="10C88C66" w14:textId="77777777" w:rsidR="00EF2E0C" w:rsidRPr="00524428" w:rsidRDefault="00EF2E0C" w:rsidP="00312E88">
            <w:pPr>
              <w:pStyle w:val="Tables"/>
              <w:rPr>
                <w:rFonts w:cs="Arial"/>
                <w:sz w:val="16"/>
                <w:szCs w:val="16"/>
              </w:rPr>
            </w:pPr>
            <w:r>
              <w:rPr>
                <w:rFonts w:cs="Arial"/>
                <w:sz w:val="16"/>
                <w:szCs w:val="16"/>
              </w:rPr>
              <w:t>59,284</w:t>
            </w:r>
          </w:p>
        </w:tc>
      </w:tr>
      <w:tr w:rsidR="00EF2E0C" w14:paraId="30460224" w14:textId="77777777" w:rsidTr="00312E88">
        <w:trPr>
          <w:trHeight w:hRule="exact" w:val="284"/>
          <w:jc w:val="center"/>
        </w:trPr>
        <w:tc>
          <w:tcPr>
            <w:tcW w:w="4820" w:type="dxa"/>
          </w:tcPr>
          <w:p w14:paraId="4BFBB149" w14:textId="77777777" w:rsidR="00EF2E0C" w:rsidRPr="00524428" w:rsidRDefault="00EF2E0C" w:rsidP="00312E88">
            <w:pPr>
              <w:pStyle w:val="Tables"/>
              <w:rPr>
                <w:rFonts w:cs="Arial"/>
                <w:sz w:val="16"/>
                <w:szCs w:val="16"/>
              </w:rPr>
            </w:pPr>
            <w:r w:rsidRPr="00524428">
              <w:rPr>
                <w:rFonts w:cs="Arial"/>
                <w:sz w:val="16"/>
                <w:szCs w:val="16"/>
              </w:rPr>
              <w:t>Difference</w:t>
            </w:r>
          </w:p>
        </w:tc>
        <w:tc>
          <w:tcPr>
            <w:tcW w:w="850" w:type="dxa"/>
          </w:tcPr>
          <w:p w14:paraId="11CD1D0E" w14:textId="77777777" w:rsidR="00EF2E0C" w:rsidRPr="00524428" w:rsidRDefault="00EF2E0C" w:rsidP="00312E88">
            <w:pPr>
              <w:pStyle w:val="Tables"/>
              <w:rPr>
                <w:rFonts w:cs="Arial"/>
                <w:sz w:val="16"/>
                <w:szCs w:val="16"/>
              </w:rPr>
            </w:pPr>
            <w:r w:rsidRPr="00524428">
              <w:rPr>
                <w:rFonts w:cs="Arial"/>
                <w:sz w:val="16"/>
                <w:szCs w:val="16"/>
              </w:rPr>
              <w:t>5</w:t>
            </w:r>
            <w:r>
              <w:rPr>
                <w:rFonts w:cs="Arial"/>
                <w:sz w:val="16"/>
                <w:szCs w:val="16"/>
              </w:rPr>
              <w:t>,515</w:t>
            </w:r>
          </w:p>
        </w:tc>
        <w:tc>
          <w:tcPr>
            <w:tcW w:w="851" w:type="dxa"/>
          </w:tcPr>
          <w:p w14:paraId="04E06C45" w14:textId="77777777" w:rsidR="00EF2E0C" w:rsidRPr="00524428" w:rsidRDefault="00EF2E0C" w:rsidP="00312E88">
            <w:pPr>
              <w:pStyle w:val="Tables"/>
              <w:rPr>
                <w:rFonts w:cs="Arial"/>
                <w:sz w:val="16"/>
                <w:szCs w:val="16"/>
              </w:rPr>
            </w:pPr>
            <w:r>
              <w:rPr>
                <w:rFonts w:cs="Arial"/>
                <w:sz w:val="16"/>
                <w:szCs w:val="16"/>
              </w:rPr>
              <w:t>8,649</w:t>
            </w:r>
          </w:p>
        </w:tc>
        <w:tc>
          <w:tcPr>
            <w:tcW w:w="850" w:type="dxa"/>
          </w:tcPr>
          <w:p w14:paraId="30A63FCD" w14:textId="77777777" w:rsidR="00EF2E0C" w:rsidRPr="00524428" w:rsidRDefault="00EF2E0C" w:rsidP="00312E88">
            <w:pPr>
              <w:pStyle w:val="Tables"/>
              <w:rPr>
                <w:rFonts w:cs="Arial"/>
                <w:sz w:val="16"/>
                <w:szCs w:val="16"/>
              </w:rPr>
            </w:pPr>
            <w:r>
              <w:rPr>
                <w:rFonts w:cs="Arial"/>
                <w:sz w:val="16"/>
                <w:szCs w:val="16"/>
              </w:rPr>
              <w:t>11,133</w:t>
            </w:r>
          </w:p>
        </w:tc>
        <w:tc>
          <w:tcPr>
            <w:tcW w:w="851" w:type="dxa"/>
          </w:tcPr>
          <w:p w14:paraId="74EA5FCE" w14:textId="77777777" w:rsidR="00EF2E0C" w:rsidRPr="00524428" w:rsidRDefault="00EF2E0C" w:rsidP="00312E88">
            <w:pPr>
              <w:pStyle w:val="Tables"/>
              <w:rPr>
                <w:rFonts w:cs="Arial"/>
                <w:sz w:val="16"/>
                <w:szCs w:val="16"/>
              </w:rPr>
            </w:pPr>
            <w:r>
              <w:rPr>
                <w:rFonts w:cs="Arial"/>
                <w:sz w:val="16"/>
                <w:szCs w:val="16"/>
              </w:rPr>
              <w:t>12,872</w:t>
            </w:r>
          </w:p>
        </w:tc>
        <w:tc>
          <w:tcPr>
            <w:tcW w:w="850" w:type="dxa"/>
          </w:tcPr>
          <w:p w14:paraId="5E6A54D9" w14:textId="77777777" w:rsidR="00EF2E0C" w:rsidRPr="00524428" w:rsidRDefault="00EF2E0C" w:rsidP="00312E88">
            <w:pPr>
              <w:pStyle w:val="Tables"/>
              <w:rPr>
                <w:rFonts w:cs="Arial"/>
                <w:sz w:val="16"/>
                <w:szCs w:val="16"/>
              </w:rPr>
            </w:pPr>
            <w:r>
              <w:rPr>
                <w:rFonts w:cs="Arial"/>
                <w:sz w:val="16"/>
                <w:szCs w:val="16"/>
              </w:rPr>
              <w:t>21,154</w:t>
            </w:r>
          </w:p>
        </w:tc>
      </w:tr>
    </w:tbl>
    <w:p w14:paraId="49F09AD3" w14:textId="7926085D" w:rsidR="00B8229F" w:rsidRPr="00B8229F" w:rsidRDefault="00B8229F" w:rsidP="00B8229F">
      <w:pPr>
        <w:pStyle w:val="FSRnormal"/>
      </w:pPr>
    </w:p>
    <w:p w14:paraId="18929109" w14:textId="63916D44" w:rsidR="00513DD8" w:rsidRPr="00C578EB" w:rsidRDefault="00513DD8" w:rsidP="00513DD8">
      <w:pPr>
        <w:pStyle w:val="FSRnormal"/>
      </w:pPr>
      <w:r w:rsidRPr="00C578EB">
        <w:lastRenderedPageBreak/>
        <w:t xml:space="preserve">The 2021-22 PBS included an increase in future expenditure for 2021-22 onwards compared with the 2020-21 PBS (of $12.0 billion). A comparison of actual participant costs and </w:t>
      </w:r>
      <w:r>
        <w:t>previous P</w:t>
      </w:r>
      <w:r w:rsidRPr="00C578EB">
        <w:t xml:space="preserve">ortfolio </w:t>
      </w:r>
      <w:r>
        <w:t>B</w:t>
      </w:r>
      <w:r w:rsidRPr="00C578EB">
        <w:t xml:space="preserve">udget </w:t>
      </w:r>
      <w:r>
        <w:t>S</w:t>
      </w:r>
      <w:r w:rsidRPr="00C578EB">
        <w:t xml:space="preserve">tatements </w:t>
      </w:r>
      <w:r>
        <w:t xml:space="preserve">is shown </w:t>
      </w:r>
      <w:r w:rsidRPr="00C578EB">
        <w:t>in</w:t>
      </w:r>
      <w:r>
        <w:t xml:space="preserve"> </w:t>
      </w:r>
      <w:r w:rsidRPr="002E36B0">
        <w:fldChar w:fldCharType="begin"/>
      </w:r>
      <w:r w:rsidRPr="002E36B0">
        <w:instrText xml:space="preserve"> REF _Ref83662559 \h </w:instrText>
      </w:r>
      <w:r w:rsidR="002E36B0" w:rsidRPr="002E36B0">
        <w:instrText xml:space="preserve"> \* MERGEFORMAT </w:instrText>
      </w:r>
      <w:r w:rsidRPr="002E36B0">
        <w:fldChar w:fldCharType="separate"/>
      </w:r>
      <w:r w:rsidR="00E50032" w:rsidRPr="00E50032">
        <w:rPr>
          <w:rFonts w:eastAsiaTheme="minorHAnsi"/>
          <w:bCs/>
          <w:szCs w:val="18"/>
          <w:lang w:eastAsia="en-US"/>
        </w:rPr>
        <w:t>Table 7</w:t>
      </w:r>
      <w:r w:rsidRPr="002E36B0">
        <w:fldChar w:fldCharType="end"/>
      </w:r>
      <w:r w:rsidRPr="002E36B0">
        <w:t>, with</w:t>
      </w:r>
      <w:r w:rsidRPr="00C578EB">
        <w:t xml:space="preserve"> a negative amount reflecting underspend on participant costs and a positive amount reflecting </w:t>
      </w:r>
      <w:proofErr w:type="gramStart"/>
      <w:r w:rsidRPr="00C578EB">
        <w:t>an overspend</w:t>
      </w:r>
      <w:proofErr w:type="gramEnd"/>
      <w:r w:rsidRPr="00C578EB">
        <w:t>.</w:t>
      </w:r>
    </w:p>
    <w:p w14:paraId="1053D283" w14:textId="4A3F36A5" w:rsidR="002E36B0" w:rsidRDefault="00513DD8" w:rsidP="002E36B0">
      <w:pPr>
        <w:pStyle w:val="NoSpacing"/>
        <w:rPr>
          <w:rFonts w:eastAsiaTheme="minorHAnsi"/>
          <w:b/>
          <w:bCs/>
          <w:szCs w:val="18"/>
          <w:lang w:eastAsia="en-US"/>
        </w:rPr>
      </w:pPr>
      <w:bookmarkStart w:id="20" w:name="_Ref83662559"/>
      <w:r w:rsidRPr="002E36B0">
        <w:rPr>
          <w:rFonts w:eastAsiaTheme="minorHAnsi"/>
          <w:b/>
          <w:bCs/>
          <w:szCs w:val="18"/>
          <w:lang w:eastAsia="en-US"/>
        </w:rPr>
        <w:t xml:space="preserve">Table </w:t>
      </w:r>
      <w:r w:rsidRPr="002E36B0">
        <w:rPr>
          <w:rFonts w:eastAsiaTheme="minorHAnsi"/>
          <w:b/>
          <w:bCs/>
          <w:szCs w:val="18"/>
          <w:lang w:eastAsia="en-US"/>
        </w:rPr>
        <w:fldChar w:fldCharType="begin"/>
      </w:r>
      <w:r w:rsidRPr="002E36B0">
        <w:rPr>
          <w:rFonts w:eastAsiaTheme="minorHAnsi"/>
          <w:b/>
          <w:bCs/>
          <w:szCs w:val="18"/>
          <w:lang w:eastAsia="en-US"/>
        </w:rPr>
        <w:instrText xml:space="preserve"> SEQ Table \* ARABIC </w:instrText>
      </w:r>
      <w:r w:rsidRPr="002E36B0">
        <w:rPr>
          <w:rFonts w:eastAsiaTheme="minorHAnsi"/>
          <w:b/>
          <w:bCs/>
          <w:szCs w:val="18"/>
          <w:lang w:eastAsia="en-US"/>
        </w:rPr>
        <w:fldChar w:fldCharType="separate"/>
      </w:r>
      <w:r w:rsidR="00E50032">
        <w:rPr>
          <w:rFonts w:eastAsiaTheme="minorHAnsi"/>
          <w:b/>
          <w:bCs/>
          <w:noProof/>
          <w:szCs w:val="18"/>
          <w:lang w:eastAsia="en-US"/>
        </w:rPr>
        <w:t>7</w:t>
      </w:r>
      <w:r w:rsidRPr="002E36B0">
        <w:rPr>
          <w:rFonts w:eastAsiaTheme="minorHAnsi"/>
          <w:b/>
          <w:bCs/>
          <w:szCs w:val="18"/>
          <w:lang w:eastAsia="en-US"/>
        </w:rPr>
        <w:fldChar w:fldCharType="end"/>
      </w:r>
      <w:bookmarkEnd w:id="20"/>
      <w:r w:rsidRPr="002E36B0">
        <w:rPr>
          <w:rFonts w:eastAsiaTheme="minorHAnsi"/>
          <w:b/>
          <w:bCs/>
          <w:szCs w:val="18"/>
          <w:lang w:eastAsia="en-US"/>
        </w:rPr>
        <w:t xml:space="preserve"> Comparison of actual participant costs and PBS estimates</w:t>
      </w:r>
    </w:p>
    <w:p w14:paraId="780B4AA4" w14:textId="77777777" w:rsidR="002E36B0" w:rsidRDefault="002E36B0" w:rsidP="002E36B0">
      <w:pPr>
        <w:pStyle w:val="NoSpacing"/>
        <w:rPr>
          <w:rFonts w:eastAsiaTheme="minorHAnsi"/>
          <w:b/>
          <w:bCs/>
          <w:szCs w:val="18"/>
          <w:lang w:eastAsia="en-US"/>
        </w:rPr>
      </w:pPr>
    </w:p>
    <w:tbl>
      <w:tblPr>
        <w:tblStyle w:val="TableGrid"/>
        <w:tblpPr w:leftFromText="180" w:rightFromText="180" w:vertAnchor="text" w:horzAnchor="margin" w:tblpXSpec="center" w:tblpY="89"/>
        <w:tblW w:w="10205" w:type="dxa"/>
        <w:tblLayout w:type="fixed"/>
        <w:tblLook w:val="04A0" w:firstRow="1" w:lastRow="0" w:firstColumn="1" w:lastColumn="0" w:noHBand="0" w:noVBand="1"/>
      </w:tblPr>
      <w:tblGrid>
        <w:gridCol w:w="2549"/>
        <w:gridCol w:w="851"/>
        <w:gridCol w:w="851"/>
        <w:gridCol w:w="851"/>
        <w:gridCol w:w="851"/>
        <w:gridCol w:w="851"/>
        <w:gridCol w:w="850"/>
        <w:gridCol w:w="851"/>
        <w:gridCol w:w="850"/>
        <w:gridCol w:w="850"/>
      </w:tblGrid>
      <w:tr w:rsidR="00295C69" w14:paraId="0A4F7D5B" w14:textId="77777777" w:rsidTr="00312E88">
        <w:trPr>
          <w:tblHeader/>
        </w:trPr>
        <w:tc>
          <w:tcPr>
            <w:tcW w:w="2549" w:type="dxa"/>
            <w:shd w:val="clear" w:color="auto" w:fill="6B2E76"/>
          </w:tcPr>
          <w:p w14:paraId="1EA8B346" w14:textId="77777777" w:rsidR="00295C69" w:rsidRPr="00524428" w:rsidRDefault="00295C69" w:rsidP="00312E88">
            <w:pPr>
              <w:pStyle w:val="Tables"/>
              <w:rPr>
                <w:rFonts w:cs="Arial"/>
                <w:color w:val="FFFFFF" w:themeColor="background1"/>
                <w:sz w:val="14"/>
                <w:szCs w:val="14"/>
              </w:rPr>
            </w:pPr>
            <w:r w:rsidRPr="00524428">
              <w:rPr>
                <w:rFonts w:cs="Arial"/>
                <w:color w:val="FFFFFF" w:themeColor="background1"/>
                <w:sz w:val="14"/>
                <w:szCs w:val="14"/>
              </w:rPr>
              <w:t>Total Participant Costs ($m)</w:t>
            </w:r>
          </w:p>
        </w:tc>
        <w:tc>
          <w:tcPr>
            <w:tcW w:w="851" w:type="dxa"/>
            <w:shd w:val="clear" w:color="auto" w:fill="6B2E76"/>
            <w:vAlign w:val="center"/>
          </w:tcPr>
          <w:p w14:paraId="48F248FD" w14:textId="77777777" w:rsidR="00295C69" w:rsidRPr="00524428" w:rsidRDefault="00295C69" w:rsidP="00312E88">
            <w:pPr>
              <w:pStyle w:val="Tables"/>
              <w:jc w:val="center"/>
              <w:rPr>
                <w:rFonts w:cs="Arial"/>
                <w:color w:val="FFFFFF" w:themeColor="background1"/>
                <w:sz w:val="14"/>
                <w:szCs w:val="14"/>
              </w:rPr>
            </w:pPr>
            <w:r w:rsidRPr="00524428">
              <w:rPr>
                <w:rFonts w:cs="Arial"/>
                <w:color w:val="FFFFFF" w:themeColor="background1"/>
                <w:sz w:val="14"/>
                <w:szCs w:val="14"/>
              </w:rPr>
              <w:t>2016-17</w:t>
            </w:r>
          </w:p>
        </w:tc>
        <w:tc>
          <w:tcPr>
            <w:tcW w:w="851" w:type="dxa"/>
            <w:shd w:val="clear" w:color="auto" w:fill="6B2E76"/>
            <w:vAlign w:val="center"/>
          </w:tcPr>
          <w:p w14:paraId="11E6F378" w14:textId="77777777" w:rsidR="00295C69" w:rsidRPr="00524428" w:rsidRDefault="00295C69" w:rsidP="00312E88">
            <w:pPr>
              <w:pStyle w:val="Tables"/>
              <w:jc w:val="center"/>
              <w:rPr>
                <w:rFonts w:cs="Arial"/>
                <w:color w:val="FFFFFF" w:themeColor="background1"/>
                <w:sz w:val="14"/>
                <w:szCs w:val="14"/>
              </w:rPr>
            </w:pPr>
            <w:r w:rsidRPr="00524428">
              <w:rPr>
                <w:rFonts w:cs="Arial"/>
                <w:color w:val="FFFFFF" w:themeColor="background1"/>
                <w:sz w:val="14"/>
                <w:szCs w:val="14"/>
              </w:rPr>
              <w:t>2017-18</w:t>
            </w:r>
          </w:p>
        </w:tc>
        <w:tc>
          <w:tcPr>
            <w:tcW w:w="851" w:type="dxa"/>
            <w:shd w:val="clear" w:color="auto" w:fill="6B2E76"/>
            <w:vAlign w:val="center"/>
          </w:tcPr>
          <w:p w14:paraId="64170919" w14:textId="77777777" w:rsidR="00295C69" w:rsidRPr="00524428" w:rsidRDefault="00295C69" w:rsidP="00312E88">
            <w:pPr>
              <w:pStyle w:val="Tables"/>
              <w:jc w:val="center"/>
              <w:rPr>
                <w:rFonts w:cs="Arial"/>
                <w:color w:val="FFFFFF" w:themeColor="background1"/>
                <w:sz w:val="14"/>
                <w:szCs w:val="14"/>
              </w:rPr>
            </w:pPr>
            <w:r w:rsidRPr="00524428">
              <w:rPr>
                <w:rFonts w:cs="Arial"/>
                <w:color w:val="FFFFFF" w:themeColor="background1"/>
                <w:sz w:val="14"/>
                <w:szCs w:val="14"/>
              </w:rPr>
              <w:t>2018-19</w:t>
            </w:r>
          </w:p>
        </w:tc>
        <w:tc>
          <w:tcPr>
            <w:tcW w:w="851" w:type="dxa"/>
            <w:shd w:val="clear" w:color="auto" w:fill="6B2E76"/>
            <w:vAlign w:val="center"/>
          </w:tcPr>
          <w:p w14:paraId="62C5015C" w14:textId="77777777" w:rsidR="00295C69" w:rsidRPr="00524428" w:rsidRDefault="00295C69" w:rsidP="00312E88">
            <w:pPr>
              <w:pStyle w:val="Tables"/>
              <w:jc w:val="center"/>
              <w:rPr>
                <w:rFonts w:cs="Arial"/>
                <w:color w:val="FFFFFF" w:themeColor="background1"/>
                <w:sz w:val="14"/>
                <w:szCs w:val="14"/>
              </w:rPr>
            </w:pPr>
            <w:r w:rsidRPr="00524428">
              <w:rPr>
                <w:rFonts w:cs="Arial"/>
                <w:color w:val="FFFFFF" w:themeColor="background1"/>
                <w:sz w:val="14"/>
                <w:szCs w:val="14"/>
              </w:rPr>
              <w:t>2019-20</w:t>
            </w:r>
          </w:p>
        </w:tc>
        <w:tc>
          <w:tcPr>
            <w:tcW w:w="851" w:type="dxa"/>
            <w:shd w:val="clear" w:color="auto" w:fill="6B2E76"/>
          </w:tcPr>
          <w:p w14:paraId="3AD21B3C" w14:textId="77777777" w:rsidR="00295C69" w:rsidRPr="00524428" w:rsidRDefault="00295C69" w:rsidP="00312E88">
            <w:pPr>
              <w:pStyle w:val="Tables"/>
              <w:jc w:val="center"/>
              <w:rPr>
                <w:rFonts w:cs="Arial"/>
                <w:color w:val="FFFFFF" w:themeColor="background1"/>
                <w:sz w:val="14"/>
                <w:szCs w:val="14"/>
              </w:rPr>
            </w:pPr>
            <w:r w:rsidRPr="00524428">
              <w:rPr>
                <w:rFonts w:cs="Arial"/>
                <w:color w:val="FFFFFF" w:themeColor="background1"/>
                <w:sz w:val="14"/>
                <w:szCs w:val="14"/>
              </w:rPr>
              <w:t>2020-21</w:t>
            </w:r>
          </w:p>
        </w:tc>
        <w:tc>
          <w:tcPr>
            <w:tcW w:w="850" w:type="dxa"/>
            <w:shd w:val="clear" w:color="auto" w:fill="6B2E76"/>
            <w:vAlign w:val="center"/>
          </w:tcPr>
          <w:p w14:paraId="296BAD75" w14:textId="77777777" w:rsidR="00295C69" w:rsidRPr="00524428" w:rsidRDefault="00295C69" w:rsidP="00312E88">
            <w:pPr>
              <w:pStyle w:val="Tables"/>
              <w:jc w:val="center"/>
              <w:rPr>
                <w:rFonts w:cs="Arial"/>
                <w:color w:val="FFFFFF" w:themeColor="background1"/>
                <w:sz w:val="14"/>
                <w:szCs w:val="14"/>
              </w:rPr>
            </w:pPr>
            <w:r w:rsidRPr="00524428">
              <w:rPr>
                <w:rFonts w:cs="Arial"/>
                <w:color w:val="FFFFFF" w:themeColor="background1"/>
                <w:sz w:val="14"/>
                <w:szCs w:val="14"/>
              </w:rPr>
              <w:t>2021-22</w:t>
            </w:r>
          </w:p>
        </w:tc>
        <w:tc>
          <w:tcPr>
            <w:tcW w:w="851" w:type="dxa"/>
            <w:shd w:val="clear" w:color="auto" w:fill="6B2E76"/>
          </w:tcPr>
          <w:p w14:paraId="22EA211F" w14:textId="77777777" w:rsidR="00295C69" w:rsidRPr="00524428" w:rsidRDefault="00295C69" w:rsidP="00312E88">
            <w:pPr>
              <w:pStyle w:val="Tables"/>
              <w:jc w:val="center"/>
              <w:rPr>
                <w:rFonts w:cs="Arial"/>
                <w:color w:val="FFFFFF" w:themeColor="background1"/>
                <w:sz w:val="14"/>
                <w:szCs w:val="14"/>
              </w:rPr>
            </w:pPr>
            <w:r w:rsidRPr="00524428">
              <w:rPr>
                <w:rFonts w:cs="Arial"/>
                <w:color w:val="FFFFFF" w:themeColor="background1"/>
                <w:sz w:val="14"/>
                <w:szCs w:val="14"/>
              </w:rPr>
              <w:t>2022-23</w:t>
            </w:r>
          </w:p>
        </w:tc>
        <w:tc>
          <w:tcPr>
            <w:tcW w:w="850" w:type="dxa"/>
            <w:shd w:val="clear" w:color="auto" w:fill="6B2E76"/>
          </w:tcPr>
          <w:p w14:paraId="0B055DE8" w14:textId="77777777" w:rsidR="00295C69" w:rsidRPr="00524428" w:rsidRDefault="00295C69" w:rsidP="00312E88">
            <w:pPr>
              <w:pStyle w:val="Tables"/>
              <w:jc w:val="center"/>
              <w:rPr>
                <w:rFonts w:cs="Arial"/>
                <w:color w:val="FFFFFF" w:themeColor="background1"/>
                <w:sz w:val="14"/>
                <w:szCs w:val="14"/>
              </w:rPr>
            </w:pPr>
            <w:r w:rsidRPr="00524428">
              <w:rPr>
                <w:rFonts w:cs="Arial"/>
                <w:color w:val="FFFFFF" w:themeColor="background1"/>
                <w:sz w:val="14"/>
                <w:szCs w:val="14"/>
              </w:rPr>
              <w:t>2023-24</w:t>
            </w:r>
          </w:p>
        </w:tc>
        <w:tc>
          <w:tcPr>
            <w:tcW w:w="850" w:type="dxa"/>
            <w:shd w:val="clear" w:color="auto" w:fill="6B2E76"/>
          </w:tcPr>
          <w:p w14:paraId="67F0573C" w14:textId="77777777" w:rsidR="00295C69" w:rsidRPr="00524428" w:rsidRDefault="00295C69" w:rsidP="00312E88">
            <w:pPr>
              <w:pStyle w:val="Tables"/>
              <w:jc w:val="center"/>
              <w:rPr>
                <w:rFonts w:cs="Arial"/>
                <w:color w:val="FFFFFF" w:themeColor="background1"/>
                <w:sz w:val="14"/>
                <w:szCs w:val="14"/>
              </w:rPr>
            </w:pPr>
            <w:r w:rsidRPr="00524428">
              <w:rPr>
                <w:rFonts w:cs="Arial"/>
                <w:color w:val="FFFFFF" w:themeColor="background1"/>
                <w:sz w:val="14"/>
                <w:szCs w:val="14"/>
              </w:rPr>
              <w:t>2024-25</w:t>
            </w:r>
          </w:p>
        </w:tc>
      </w:tr>
      <w:tr w:rsidR="00295C69" w14:paraId="264ACFE4" w14:textId="77777777" w:rsidTr="00312E88">
        <w:trPr>
          <w:trHeight w:hRule="exact" w:val="284"/>
        </w:trPr>
        <w:tc>
          <w:tcPr>
            <w:tcW w:w="2549" w:type="dxa"/>
          </w:tcPr>
          <w:p w14:paraId="2688B665"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Portfolio Budget Statements 2021-22</w:t>
            </w:r>
          </w:p>
        </w:tc>
        <w:tc>
          <w:tcPr>
            <w:tcW w:w="3404" w:type="dxa"/>
            <w:gridSpan w:val="4"/>
            <w:shd w:val="clear" w:color="auto" w:fill="BFBFBF"/>
          </w:tcPr>
          <w:p w14:paraId="65CA0C38" w14:textId="77777777" w:rsidR="00295C69" w:rsidRPr="00524428" w:rsidRDefault="00295C69" w:rsidP="00312E88">
            <w:pPr>
              <w:pStyle w:val="Tables"/>
              <w:rPr>
                <w:rFonts w:cs="Arial"/>
                <w:b w:val="0"/>
                <w:bCs w:val="0"/>
                <w:sz w:val="14"/>
                <w:szCs w:val="14"/>
              </w:rPr>
            </w:pPr>
          </w:p>
        </w:tc>
        <w:tc>
          <w:tcPr>
            <w:tcW w:w="851" w:type="dxa"/>
            <w:shd w:val="clear" w:color="auto" w:fill="BFBFBF"/>
          </w:tcPr>
          <w:p w14:paraId="13439DC8" w14:textId="77777777" w:rsidR="00295C69" w:rsidRPr="00524428" w:rsidRDefault="00295C69" w:rsidP="00312E88">
            <w:pPr>
              <w:pStyle w:val="Tables"/>
              <w:rPr>
                <w:rFonts w:cs="Arial"/>
                <w:b w:val="0"/>
                <w:bCs w:val="0"/>
                <w:sz w:val="14"/>
                <w:szCs w:val="14"/>
              </w:rPr>
            </w:pPr>
          </w:p>
        </w:tc>
        <w:tc>
          <w:tcPr>
            <w:tcW w:w="850" w:type="dxa"/>
          </w:tcPr>
          <w:p w14:paraId="2408C88A"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26,487</w:t>
            </w:r>
          </w:p>
        </w:tc>
        <w:tc>
          <w:tcPr>
            <w:tcW w:w="851" w:type="dxa"/>
          </w:tcPr>
          <w:p w14:paraId="00022988"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28,257</w:t>
            </w:r>
          </w:p>
        </w:tc>
        <w:tc>
          <w:tcPr>
            <w:tcW w:w="850" w:type="dxa"/>
          </w:tcPr>
          <w:p w14:paraId="6E000040"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29,425</w:t>
            </w:r>
          </w:p>
        </w:tc>
        <w:tc>
          <w:tcPr>
            <w:tcW w:w="850" w:type="dxa"/>
          </w:tcPr>
          <w:p w14:paraId="111679C9"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31,884</w:t>
            </w:r>
          </w:p>
        </w:tc>
      </w:tr>
      <w:tr w:rsidR="00295C69" w14:paraId="5CBDC06F" w14:textId="77777777" w:rsidTr="00312E88">
        <w:trPr>
          <w:trHeight w:hRule="exact" w:val="284"/>
        </w:trPr>
        <w:tc>
          <w:tcPr>
            <w:tcW w:w="2549" w:type="dxa"/>
          </w:tcPr>
          <w:p w14:paraId="1F161654" w14:textId="77777777" w:rsidR="00295C69" w:rsidRPr="00524428" w:rsidRDefault="00295C69" w:rsidP="00312E88">
            <w:pPr>
              <w:pStyle w:val="Tables"/>
              <w:rPr>
                <w:rFonts w:cs="Arial"/>
                <w:sz w:val="14"/>
                <w:szCs w:val="14"/>
              </w:rPr>
            </w:pPr>
            <w:r w:rsidRPr="00524428">
              <w:rPr>
                <w:rFonts w:cs="Arial"/>
                <w:b w:val="0"/>
                <w:bCs w:val="0"/>
                <w:sz w:val="14"/>
                <w:szCs w:val="14"/>
              </w:rPr>
              <w:t>Portfolio Budget Statements 2020-21</w:t>
            </w:r>
          </w:p>
        </w:tc>
        <w:tc>
          <w:tcPr>
            <w:tcW w:w="3404" w:type="dxa"/>
            <w:gridSpan w:val="4"/>
            <w:shd w:val="clear" w:color="auto" w:fill="BFBFBF"/>
          </w:tcPr>
          <w:p w14:paraId="2D634658" w14:textId="77777777" w:rsidR="00295C69" w:rsidRPr="00524428" w:rsidRDefault="00295C69" w:rsidP="00312E88">
            <w:pPr>
              <w:pStyle w:val="Tables"/>
              <w:rPr>
                <w:rFonts w:cs="Arial"/>
                <w:sz w:val="14"/>
                <w:szCs w:val="14"/>
              </w:rPr>
            </w:pPr>
          </w:p>
        </w:tc>
        <w:tc>
          <w:tcPr>
            <w:tcW w:w="851" w:type="dxa"/>
          </w:tcPr>
          <w:p w14:paraId="548E6FCA"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21,720</w:t>
            </w:r>
          </w:p>
        </w:tc>
        <w:tc>
          <w:tcPr>
            <w:tcW w:w="850" w:type="dxa"/>
          </w:tcPr>
          <w:p w14:paraId="77637FB5"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23,807</w:t>
            </w:r>
          </w:p>
        </w:tc>
        <w:tc>
          <w:tcPr>
            <w:tcW w:w="851" w:type="dxa"/>
          </w:tcPr>
          <w:p w14:paraId="3F272F1A"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24,022</w:t>
            </w:r>
          </w:p>
        </w:tc>
        <w:tc>
          <w:tcPr>
            <w:tcW w:w="850" w:type="dxa"/>
          </w:tcPr>
          <w:p w14:paraId="5D46C518"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24,315</w:t>
            </w:r>
          </w:p>
        </w:tc>
        <w:tc>
          <w:tcPr>
            <w:tcW w:w="850" w:type="dxa"/>
            <w:shd w:val="clear" w:color="auto" w:fill="BFBFBF"/>
          </w:tcPr>
          <w:p w14:paraId="7F0422F3" w14:textId="77777777" w:rsidR="00295C69" w:rsidRPr="00524428" w:rsidRDefault="00295C69" w:rsidP="00312E88">
            <w:pPr>
              <w:pStyle w:val="Tables"/>
              <w:rPr>
                <w:rFonts w:cs="Arial"/>
                <w:sz w:val="14"/>
                <w:szCs w:val="14"/>
              </w:rPr>
            </w:pPr>
          </w:p>
        </w:tc>
      </w:tr>
      <w:tr w:rsidR="00295C69" w14:paraId="410628FD" w14:textId="77777777" w:rsidTr="00312E88">
        <w:trPr>
          <w:trHeight w:hRule="exact" w:val="284"/>
        </w:trPr>
        <w:tc>
          <w:tcPr>
            <w:tcW w:w="2549" w:type="dxa"/>
          </w:tcPr>
          <w:p w14:paraId="768C3B69"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Portfolio Budget Statements 2019-20</w:t>
            </w:r>
          </w:p>
        </w:tc>
        <w:tc>
          <w:tcPr>
            <w:tcW w:w="2553" w:type="dxa"/>
            <w:gridSpan w:val="3"/>
            <w:shd w:val="clear" w:color="auto" w:fill="BFBFBF"/>
          </w:tcPr>
          <w:p w14:paraId="7CD02A38" w14:textId="77777777" w:rsidR="00295C69" w:rsidRPr="00524428" w:rsidRDefault="00295C69" w:rsidP="00312E88">
            <w:pPr>
              <w:pStyle w:val="Tables"/>
              <w:rPr>
                <w:rFonts w:cs="Arial"/>
                <w:b w:val="0"/>
                <w:bCs w:val="0"/>
                <w:sz w:val="14"/>
                <w:szCs w:val="14"/>
              </w:rPr>
            </w:pPr>
          </w:p>
        </w:tc>
        <w:tc>
          <w:tcPr>
            <w:tcW w:w="851" w:type="dxa"/>
          </w:tcPr>
          <w:p w14:paraId="58F0A8F1"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16,262</w:t>
            </w:r>
          </w:p>
        </w:tc>
        <w:tc>
          <w:tcPr>
            <w:tcW w:w="851" w:type="dxa"/>
          </w:tcPr>
          <w:p w14:paraId="238E1678"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20,903</w:t>
            </w:r>
          </w:p>
        </w:tc>
        <w:tc>
          <w:tcPr>
            <w:tcW w:w="850" w:type="dxa"/>
          </w:tcPr>
          <w:p w14:paraId="1D00C92C"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22,116</w:t>
            </w:r>
          </w:p>
        </w:tc>
        <w:tc>
          <w:tcPr>
            <w:tcW w:w="851" w:type="dxa"/>
          </w:tcPr>
          <w:p w14:paraId="42324CB7"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23,361</w:t>
            </w:r>
          </w:p>
        </w:tc>
        <w:tc>
          <w:tcPr>
            <w:tcW w:w="1700" w:type="dxa"/>
            <w:gridSpan w:val="2"/>
            <w:shd w:val="clear" w:color="auto" w:fill="BFBFBF"/>
          </w:tcPr>
          <w:p w14:paraId="1EB5D702" w14:textId="77777777" w:rsidR="00295C69" w:rsidRPr="00524428" w:rsidRDefault="00295C69" w:rsidP="00312E88">
            <w:pPr>
              <w:pStyle w:val="Tables"/>
              <w:rPr>
                <w:rFonts w:cs="Arial"/>
                <w:b w:val="0"/>
                <w:bCs w:val="0"/>
                <w:sz w:val="14"/>
                <w:szCs w:val="14"/>
              </w:rPr>
            </w:pPr>
          </w:p>
        </w:tc>
      </w:tr>
      <w:tr w:rsidR="00295C69" w14:paraId="475D3A49" w14:textId="77777777" w:rsidTr="00312E88">
        <w:trPr>
          <w:trHeight w:hRule="exact" w:val="284"/>
        </w:trPr>
        <w:tc>
          <w:tcPr>
            <w:tcW w:w="2549" w:type="dxa"/>
          </w:tcPr>
          <w:p w14:paraId="245F53C5"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Portfolio Budget Statements 2018-19</w:t>
            </w:r>
          </w:p>
          <w:p w14:paraId="781D6895" w14:textId="77777777" w:rsidR="00295C69" w:rsidRPr="00524428" w:rsidRDefault="00295C69" w:rsidP="00312E88">
            <w:pPr>
              <w:pStyle w:val="Tables"/>
              <w:rPr>
                <w:rFonts w:cs="Arial"/>
                <w:b w:val="0"/>
                <w:bCs w:val="0"/>
                <w:sz w:val="14"/>
                <w:szCs w:val="14"/>
              </w:rPr>
            </w:pPr>
          </w:p>
          <w:p w14:paraId="1B4208ED" w14:textId="77777777" w:rsidR="00295C69" w:rsidRPr="00524428" w:rsidRDefault="00295C69" w:rsidP="00312E88">
            <w:pPr>
              <w:pStyle w:val="Tables"/>
              <w:rPr>
                <w:rFonts w:cs="Arial"/>
                <w:b w:val="0"/>
                <w:bCs w:val="0"/>
                <w:sz w:val="14"/>
                <w:szCs w:val="14"/>
              </w:rPr>
            </w:pPr>
          </w:p>
        </w:tc>
        <w:tc>
          <w:tcPr>
            <w:tcW w:w="1702" w:type="dxa"/>
            <w:gridSpan w:val="2"/>
            <w:shd w:val="clear" w:color="auto" w:fill="BFBFBF"/>
          </w:tcPr>
          <w:p w14:paraId="4F5D3C0C" w14:textId="77777777" w:rsidR="00295C69" w:rsidRPr="00524428" w:rsidRDefault="00295C69" w:rsidP="00312E88">
            <w:pPr>
              <w:pStyle w:val="Tables"/>
              <w:rPr>
                <w:rFonts w:cs="Arial"/>
                <w:b w:val="0"/>
                <w:bCs w:val="0"/>
                <w:sz w:val="14"/>
                <w:szCs w:val="14"/>
              </w:rPr>
            </w:pPr>
          </w:p>
        </w:tc>
        <w:tc>
          <w:tcPr>
            <w:tcW w:w="851" w:type="dxa"/>
            <w:shd w:val="clear" w:color="auto" w:fill="FFFFFF" w:themeFill="background1"/>
          </w:tcPr>
          <w:p w14:paraId="46D56AEE"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15,139</w:t>
            </w:r>
          </w:p>
        </w:tc>
        <w:tc>
          <w:tcPr>
            <w:tcW w:w="851" w:type="dxa"/>
            <w:shd w:val="clear" w:color="auto" w:fill="FFFFFF" w:themeFill="background1"/>
          </w:tcPr>
          <w:p w14:paraId="04740CBF"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19,537</w:t>
            </w:r>
          </w:p>
          <w:p w14:paraId="7319BE85" w14:textId="77777777" w:rsidR="00295C69" w:rsidRPr="00524428" w:rsidRDefault="00295C69" w:rsidP="00312E88">
            <w:pPr>
              <w:pStyle w:val="Tables"/>
              <w:rPr>
                <w:rFonts w:cs="Arial"/>
                <w:b w:val="0"/>
                <w:bCs w:val="0"/>
                <w:sz w:val="14"/>
                <w:szCs w:val="14"/>
              </w:rPr>
            </w:pPr>
          </w:p>
        </w:tc>
        <w:tc>
          <w:tcPr>
            <w:tcW w:w="851" w:type="dxa"/>
          </w:tcPr>
          <w:p w14:paraId="3DAEEAEE"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21,064</w:t>
            </w:r>
          </w:p>
        </w:tc>
        <w:tc>
          <w:tcPr>
            <w:tcW w:w="850" w:type="dxa"/>
          </w:tcPr>
          <w:p w14:paraId="7A77749D"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22,300</w:t>
            </w:r>
          </w:p>
        </w:tc>
        <w:tc>
          <w:tcPr>
            <w:tcW w:w="2551" w:type="dxa"/>
            <w:gridSpan w:val="3"/>
            <w:shd w:val="clear" w:color="auto" w:fill="BFBFBF"/>
          </w:tcPr>
          <w:p w14:paraId="53C1A82A" w14:textId="77777777" w:rsidR="00295C69" w:rsidRPr="00524428" w:rsidRDefault="00295C69" w:rsidP="00312E88">
            <w:pPr>
              <w:pStyle w:val="Tables"/>
              <w:rPr>
                <w:rFonts w:cs="Arial"/>
                <w:b w:val="0"/>
                <w:bCs w:val="0"/>
                <w:sz w:val="14"/>
                <w:szCs w:val="14"/>
              </w:rPr>
            </w:pPr>
          </w:p>
        </w:tc>
      </w:tr>
      <w:tr w:rsidR="00295C69" w14:paraId="3ECD0959" w14:textId="77777777" w:rsidTr="00312E88">
        <w:trPr>
          <w:trHeight w:hRule="exact" w:val="284"/>
        </w:trPr>
        <w:tc>
          <w:tcPr>
            <w:tcW w:w="2549" w:type="dxa"/>
          </w:tcPr>
          <w:p w14:paraId="5E91D2FE"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Portfolio Budget Statements 2017-18</w:t>
            </w:r>
          </w:p>
        </w:tc>
        <w:tc>
          <w:tcPr>
            <w:tcW w:w="851" w:type="dxa"/>
            <w:shd w:val="clear" w:color="auto" w:fill="BFBFBF"/>
          </w:tcPr>
          <w:p w14:paraId="1B583743" w14:textId="77777777" w:rsidR="00295C69" w:rsidRPr="00524428" w:rsidRDefault="00295C69" w:rsidP="00312E88">
            <w:pPr>
              <w:pStyle w:val="Tables"/>
              <w:rPr>
                <w:rFonts w:cs="Arial"/>
                <w:b w:val="0"/>
                <w:bCs w:val="0"/>
                <w:sz w:val="14"/>
                <w:szCs w:val="14"/>
              </w:rPr>
            </w:pPr>
          </w:p>
        </w:tc>
        <w:tc>
          <w:tcPr>
            <w:tcW w:w="851" w:type="dxa"/>
            <w:shd w:val="clear" w:color="auto" w:fill="FFFFFF" w:themeFill="background1"/>
          </w:tcPr>
          <w:p w14:paraId="224CC8C7"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8,045</w:t>
            </w:r>
          </w:p>
        </w:tc>
        <w:tc>
          <w:tcPr>
            <w:tcW w:w="851" w:type="dxa"/>
            <w:shd w:val="clear" w:color="auto" w:fill="FFFFFF" w:themeFill="background1"/>
          </w:tcPr>
          <w:p w14:paraId="76BF400C"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14,267</w:t>
            </w:r>
          </w:p>
        </w:tc>
        <w:tc>
          <w:tcPr>
            <w:tcW w:w="851" w:type="dxa"/>
          </w:tcPr>
          <w:p w14:paraId="220910AF"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17,856</w:t>
            </w:r>
          </w:p>
        </w:tc>
        <w:tc>
          <w:tcPr>
            <w:tcW w:w="851" w:type="dxa"/>
          </w:tcPr>
          <w:p w14:paraId="50D1DB05"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19,165</w:t>
            </w:r>
          </w:p>
        </w:tc>
        <w:tc>
          <w:tcPr>
            <w:tcW w:w="3401" w:type="dxa"/>
            <w:gridSpan w:val="4"/>
            <w:shd w:val="clear" w:color="auto" w:fill="BFBFBF"/>
          </w:tcPr>
          <w:p w14:paraId="1DCC39AB" w14:textId="77777777" w:rsidR="00295C69" w:rsidRPr="00524428" w:rsidRDefault="00295C69" w:rsidP="00312E88">
            <w:pPr>
              <w:pStyle w:val="Tables"/>
              <w:rPr>
                <w:rFonts w:cs="Arial"/>
                <w:b w:val="0"/>
                <w:bCs w:val="0"/>
                <w:sz w:val="14"/>
                <w:szCs w:val="14"/>
              </w:rPr>
            </w:pPr>
          </w:p>
        </w:tc>
      </w:tr>
      <w:tr w:rsidR="00295C69" w14:paraId="0285DA31" w14:textId="77777777" w:rsidTr="00312E88">
        <w:trPr>
          <w:trHeight w:hRule="exact" w:val="284"/>
        </w:trPr>
        <w:tc>
          <w:tcPr>
            <w:tcW w:w="2549" w:type="dxa"/>
          </w:tcPr>
          <w:p w14:paraId="5AEC65F6"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Portfolio Budget Statements 2016-17</w:t>
            </w:r>
          </w:p>
        </w:tc>
        <w:tc>
          <w:tcPr>
            <w:tcW w:w="851" w:type="dxa"/>
            <w:shd w:val="clear" w:color="auto" w:fill="FFFFFF" w:themeFill="background1"/>
          </w:tcPr>
          <w:p w14:paraId="3A1064E9"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3,487</w:t>
            </w:r>
          </w:p>
        </w:tc>
        <w:tc>
          <w:tcPr>
            <w:tcW w:w="851" w:type="dxa"/>
            <w:shd w:val="clear" w:color="auto" w:fill="FFFFFF" w:themeFill="background1"/>
          </w:tcPr>
          <w:p w14:paraId="21FC109E"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8,813</w:t>
            </w:r>
          </w:p>
        </w:tc>
        <w:tc>
          <w:tcPr>
            <w:tcW w:w="851" w:type="dxa"/>
            <w:shd w:val="clear" w:color="auto" w:fill="FFFFFF" w:themeFill="background1"/>
          </w:tcPr>
          <w:p w14:paraId="5E164C4C"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15,905</w:t>
            </w:r>
          </w:p>
        </w:tc>
        <w:tc>
          <w:tcPr>
            <w:tcW w:w="851" w:type="dxa"/>
          </w:tcPr>
          <w:p w14:paraId="1879E3B7"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20,077</w:t>
            </w:r>
          </w:p>
        </w:tc>
        <w:tc>
          <w:tcPr>
            <w:tcW w:w="4252" w:type="dxa"/>
            <w:gridSpan w:val="5"/>
            <w:shd w:val="clear" w:color="auto" w:fill="BFBFBF"/>
          </w:tcPr>
          <w:p w14:paraId="1721B0BC" w14:textId="77777777" w:rsidR="00295C69" w:rsidRPr="00524428" w:rsidRDefault="00295C69" w:rsidP="00312E88">
            <w:pPr>
              <w:pStyle w:val="Tables"/>
              <w:rPr>
                <w:rFonts w:cs="Arial"/>
                <w:b w:val="0"/>
                <w:bCs w:val="0"/>
                <w:sz w:val="14"/>
                <w:szCs w:val="14"/>
              </w:rPr>
            </w:pPr>
          </w:p>
        </w:tc>
      </w:tr>
      <w:tr w:rsidR="00295C69" w14:paraId="2E6A8220" w14:textId="77777777" w:rsidTr="00312E88">
        <w:trPr>
          <w:trHeight w:hRule="exact" w:val="284"/>
        </w:trPr>
        <w:tc>
          <w:tcPr>
            <w:tcW w:w="2549" w:type="dxa"/>
          </w:tcPr>
          <w:p w14:paraId="64103EA0"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Actual participant costs (accrual)</w:t>
            </w:r>
          </w:p>
        </w:tc>
        <w:tc>
          <w:tcPr>
            <w:tcW w:w="851" w:type="dxa"/>
            <w:shd w:val="clear" w:color="auto" w:fill="FFFFFF" w:themeFill="background1"/>
          </w:tcPr>
          <w:p w14:paraId="5E3F5C23"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2,238</w:t>
            </w:r>
          </w:p>
        </w:tc>
        <w:tc>
          <w:tcPr>
            <w:tcW w:w="851" w:type="dxa"/>
            <w:shd w:val="clear" w:color="auto" w:fill="FFFFFF" w:themeFill="background1"/>
          </w:tcPr>
          <w:p w14:paraId="3FBE9DA8"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5,418</w:t>
            </w:r>
          </w:p>
        </w:tc>
        <w:tc>
          <w:tcPr>
            <w:tcW w:w="851" w:type="dxa"/>
            <w:shd w:val="clear" w:color="auto" w:fill="FFFFFF" w:themeFill="background1"/>
          </w:tcPr>
          <w:p w14:paraId="0EB301F0"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10,4</w:t>
            </w:r>
            <w:r>
              <w:rPr>
                <w:rFonts w:cs="Arial"/>
                <w:b w:val="0"/>
                <w:bCs w:val="0"/>
                <w:sz w:val="14"/>
                <w:szCs w:val="14"/>
              </w:rPr>
              <w:t>6</w:t>
            </w:r>
            <w:r w:rsidRPr="00524428">
              <w:rPr>
                <w:rFonts w:cs="Arial"/>
                <w:b w:val="0"/>
                <w:bCs w:val="0"/>
                <w:sz w:val="14"/>
                <w:szCs w:val="14"/>
              </w:rPr>
              <w:t>0</w:t>
            </w:r>
          </w:p>
        </w:tc>
        <w:tc>
          <w:tcPr>
            <w:tcW w:w="851" w:type="dxa"/>
            <w:shd w:val="clear" w:color="auto" w:fill="FFFFFF" w:themeFill="background1"/>
          </w:tcPr>
          <w:p w14:paraId="045E07BE"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17,589</w:t>
            </w:r>
          </w:p>
        </w:tc>
        <w:tc>
          <w:tcPr>
            <w:tcW w:w="851" w:type="dxa"/>
          </w:tcPr>
          <w:p w14:paraId="265BB64D"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23,</w:t>
            </w:r>
            <w:r>
              <w:rPr>
                <w:rFonts w:cs="Arial"/>
                <w:b w:val="0"/>
                <w:bCs w:val="0"/>
                <w:sz w:val="14"/>
                <w:szCs w:val="14"/>
              </w:rPr>
              <w:t>347</w:t>
            </w:r>
          </w:p>
        </w:tc>
        <w:tc>
          <w:tcPr>
            <w:tcW w:w="3401" w:type="dxa"/>
            <w:gridSpan w:val="4"/>
            <w:shd w:val="clear" w:color="auto" w:fill="BFBFBF"/>
          </w:tcPr>
          <w:p w14:paraId="276D7D3E" w14:textId="77777777" w:rsidR="00295C69" w:rsidRPr="00524428" w:rsidRDefault="00295C69" w:rsidP="00312E88">
            <w:pPr>
              <w:pStyle w:val="Tables"/>
              <w:rPr>
                <w:rFonts w:cs="Arial"/>
                <w:b w:val="0"/>
                <w:bCs w:val="0"/>
                <w:sz w:val="14"/>
                <w:szCs w:val="14"/>
              </w:rPr>
            </w:pPr>
          </w:p>
        </w:tc>
      </w:tr>
      <w:tr w:rsidR="00295C69" w14:paraId="2B86CE71" w14:textId="77777777" w:rsidTr="00312E88">
        <w:trPr>
          <w:trHeight w:hRule="exact" w:val="340"/>
        </w:trPr>
        <w:tc>
          <w:tcPr>
            <w:tcW w:w="2549" w:type="dxa"/>
            <w:shd w:val="clear" w:color="auto" w:fill="D3C5D7"/>
          </w:tcPr>
          <w:p w14:paraId="470ECDDB" w14:textId="542D0448" w:rsidR="00295C69" w:rsidRPr="00524428" w:rsidRDefault="00295C69" w:rsidP="00312E88">
            <w:pPr>
              <w:pStyle w:val="Tables"/>
              <w:rPr>
                <w:rFonts w:cs="Arial"/>
                <w:b w:val="0"/>
                <w:bCs w:val="0"/>
                <w:sz w:val="14"/>
                <w:szCs w:val="14"/>
              </w:rPr>
            </w:pPr>
            <w:r w:rsidRPr="00524428">
              <w:rPr>
                <w:rFonts w:cs="Arial"/>
                <w:b w:val="0"/>
                <w:bCs w:val="0"/>
                <w:sz w:val="14"/>
                <w:szCs w:val="14"/>
              </w:rPr>
              <w:t>Actual participan</w:t>
            </w:r>
            <w:r w:rsidR="00312E88">
              <w:rPr>
                <w:rFonts w:cs="Arial"/>
                <w:b w:val="0"/>
                <w:bCs w:val="0"/>
                <w:sz w:val="14"/>
                <w:szCs w:val="14"/>
              </w:rPr>
              <w:t>t costs compared with latest PBS</w:t>
            </w:r>
          </w:p>
        </w:tc>
        <w:tc>
          <w:tcPr>
            <w:tcW w:w="851" w:type="dxa"/>
            <w:shd w:val="clear" w:color="auto" w:fill="D3C5D7"/>
          </w:tcPr>
          <w:p w14:paraId="1DFC284C"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-1,249</w:t>
            </w:r>
          </w:p>
        </w:tc>
        <w:tc>
          <w:tcPr>
            <w:tcW w:w="851" w:type="dxa"/>
            <w:shd w:val="clear" w:color="auto" w:fill="D3C5D7"/>
          </w:tcPr>
          <w:p w14:paraId="6DA2A800"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-2,627</w:t>
            </w:r>
          </w:p>
        </w:tc>
        <w:tc>
          <w:tcPr>
            <w:tcW w:w="851" w:type="dxa"/>
            <w:shd w:val="clear" w:color="auto" w:fill="D3C5D7"/>
          </w:tcPr>
          <w:p w14:paraId="1413F147"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-4,679</w:t>
            </w:r>
          </w:p>
        </w:tc>
        <w:tc>
          <w:tcPr>
            <w:tcW w:w="851" w:type="dxa"/>
            <w:shd w:val="clear" w:color="auto" w:fill="D3C5D7"/>
          </w:tcPr>
          <w:p w14:paraId="5C1BEC36" w14:textId="77777777" w:rsidR="00295C69" w:rsidRPr="00524428" w:rsidRDefault="00295C69" w:rsidP="00312E88">
            <w:pPr>
              <w:pStyle w:val="Tables"/>
              <w:rPr>
                <w:rFonts w:cs="Arial"/>
                <w:b w:val="0"/>
                <w:bCs w:val="0"/>
                <w:sz w:val="14"/>
                <w:szCs w:val="14"/>
              </w:rPr>
            </w:pPr>
            <w:r w:rsidRPr="00524428">
              <w:rPr>
                <w:rFonts w:cs="Arial"/>
                <w:b w:val="0"/>
                <w:bCs w:val="0"/>
                <w:sz w:val="14"/>
                <w:szCs w:val="14"/>
              </w:rPr>
              <w:t>1,327</w:t>
            </w:r>
          </w:p>
        </w:tc>
        <w:tc>
          <w:tcPr>
            <w:tcW w:w="851" w:type="dxa"/>
            <w:shd w:val="clear" w:color="auto" w:fill="D3C5D7"/>
          </w:tcPr>
          <w:p w14:paraId="3641AF08" w14:textId="4C84121B" w:rsidR="00295C69" w:rsidRPr="00524428" w:rsidRDefault="00312E88" w:rsidP="00312E88">
            <w:pPr>
              <w:pStyle w:val="Tables"/>
              <w:rPr>
                <w:rFonts w:cs="Arial"/>
                <w:b w:val="0"/>
                <w:bCs w:val="0"/>
                <w:sz w:val="14"/>
                <w:szCs w:val="14"/>
              </w:rPr>
            </w:pPr>
            <w:r>
              <w:rPr>
                <w:rFonts w:cs="Arial"/>
                <w:b w:val="0"/>
                <w:bCs w:val="0"/>
                <w:sz w:val="14"/>
                <w:szCs w:val="14"/>
              </w:rPr>
              <w:t>1,627</w:t>
            </w:r>
          </w:p>
        </w:tc>
        <w:tc>
          <w:tcPr>
            <w:tcW w:w="3401" w:type="dxa"/>
            <w:gridSpan w:val="4"/>
            <w:shd w:val="clear" w:color="auto" w:fill="BFBFBF"/>
          </w:tcPr>
          <w:p w14:paraId="10E49077" w14:textId="77777777" w:rsidR="00295C69" w:rsidRPr="00524428" w:rsidRDefault="00295C69" w:rsidP="00312E88">
            <w:pPr>
              <w:pStyle w:val="Tables"/>
              <w:rPr>
                <w:rFonts w:cs="Arial"/>
                <w:b w:val="0"/>
                <w:bCs w:val="0"/>
                <w:sz w:val="14"/>
                <w:szCs w:val="14"/>
              </w:rPr>
            </w:pPr>
          </w:p>
        </w:tc>
      </w:tr>
    </w:tbl>
    <w:p w14:paraId="6BE600D4" w14:textId="0CBF36DF" w:rsidR="00513DD8" w:rsidRDefault="00513DD8" w:rsidP="002E36B0">
      <w:pPr>
        <w:pStyle w:val="NoSpacing"/>
      </w:pPr>
    </w:p>
    <w:p w14:paraId="3FA07DCD" w14:textId="1BB0E24A" w:rsidR="00B8229F" w:rsidRPr="00F80E83" w:rsidRDefault="00B8229F" w:rsidP="00B8229F">
      <w:pPr>
        <w:pStyle w:val="FSRHeading4"/>
      </w:pPr>
      <w:r w:rsidRPr="00F80E83">
        <w:t>Operating Costs</w:t>
      </w:r>
    </w:p>
    <w:p w14:paraId="599AAE7E" w14:textId="5C5A2D7D" w:rsidR="00212603" w:rsidRDefault="00212603" w:rsidP="00212603">
      <w:r>
        <w:t xml:space="preserve">The Agency maintains a detailed activity-based costing of its operations. The operating </w:t>
      </w:r>
      <w:r w:rsidRPr="00D124C1">
        <w:t xml:space="preserve">expenses adopted in this AFSR are based on this internal </w:t>
      </w:r>
      <w:r>
        <w:t>model</w:t>
      </w:r>
      <w:r w:rsidRPr="00D124C1">
        <w:t>.</w:t>
      </w:r>
      <w:r>
        <w:t xml:space="preserve"> In 2020-21 actual operating expenses (at $1.5 billion) were lower than budgeted in the PBS by $</w:t>
      </w:r>
      <w:r w:rsidR="007364FD">
        <w:t>40.7</w:t>
      </w:r>
      <w:r>
        <w:t xml:space="preserve"> million, or 2.</w:t>
      </w:r>
      <w:r w:rsidR="007364FD">
        <w:t>7</w:t>
      </w:r>
      <w:r>
        <w:t>% (</w:t>
      </w:r>
      <w:r w:rsidR="006C15A3" w:rsidRPr="00295C69">
        <w:rPr>
          <w:u w:val="single"/>
        </w:rPr>
        <w:fldChar w:fldCharType="begin"/>
      </w:r>
      <w:r w:rsidR="006C15A3" w:rsidRPr="00295C69">
        <w:rPr>
          <w:u w:val="single"/>
        </w:rPr>
        <w:instrText xml:space="preserve"> REF _Ref83664334 \h </w:instrText>
      </w:r>
      <w:r w:rsidR="006C15A3" w:rsidRPr="00295C69">
        <w:rPr>
          <w:u w:val="single"/>
        </w:rPr>
      </w:r>
      <w:r w:rsidR="006C15A3" w:rsidRPr="00295C69">
        <w:rPr>
          <w:u w:val="single"/>
        </w:rPr>
        <w:fldChar w:fldCharType="separate"/>
      </w:r>
      <w:r w:rsidR="00E50032">
        <w:t xml:space="preserve">Table </w:t>
      </w:r>
      <w:r w:rsidR="00E50032">
        <w:rPr>
          <w:noProof/>
        </w:rPr>
        <w:t>8</w:t>
      </w:r>
      <w:r w:rsidR="006C15A3" w:rsidRPr="00295C69">
        <w:rPr>
          <w:u w:val="single"/>
        </w:rPr>
        <w:fldChar w:fldCharType="end"/>
      </w:r>
      <w:r>
        <w:t xml:space="preserve">). In 2020-21 operating costs represented 6.3% of participant costs. </w:t>
      </w:r>
    </w:p>
    <w:p w14:paraId="1E250C97" w14:textId="41C4491C" w:rsidR="00212603" w:rsidRDefault="00212603" w:rsidP="00212603">
      <w:pPr>
        <w:pStyle w:val="Caption"/>
        <w:keepNext/>
      </w:pPr>
      <w:bookmarkStart w:id="21" w:name="_Ref83664334"/>
      <w:r>
        <w:t xml:space="preserve">Table </w:t>
      </w:r>
      <w:fldSimple w:instr=" SEQ Table \* ARABIC ">
        <w:r w:rsidR="00E50032">
          <w:rPr>
            <w:noProof/>
          </w:rPr>
          <w:t>8</w:t>
        </w:r>
      </w:fldSimple>
      <w:bookmarkEnd w:id="21"/>
      <w:r>
        <w:t xml:space="preserve"> Actual operating expenses compared to expectations for 2020-21</w:t>
      </w:r>
    </w:p>
    <w:tbl>
      <w:tblPr>
        <w:tblStyle w:val="TableGrid"/>
        <w:tblW w:w="7508" w:type="dxa"/>
        <w:tblInd w:w="-5" w:type="dxa"/>
        <w:tblLayout w:type="fixed"/>
        <w:tblLook w:val="04A0" w:firstRow="1" w:lastRow="0" w:firstColumn="1" w:lastColumn="0" w:noHBand="0" w:noVBand="1"/>
      </w:tblPr>
      <w:tblGrid>
        <w:gridCol w:w="6374"/>
        <w:gridCol w:w="1134"/>
      </w:tblGrid>
      <w:tr w:rsidR="0055558D" w14:paraId="22D3A71A" w14:textId="77777777" w:rsidTr="00312E88">
        <w:trPr>
          <w:tblHeader/>
        </w:trPr>
        <w:tc>
          <w:tcPr>
            <w:tcW w:w="6374" w:type="dxa"/>
            <w:shd w:val="clear" w:color="auto" w:fill="6B2E76"/>
          </w:tcPr>
          <w:p w14:paraId="5A17AB9C" w14:textId="77777777" w:rsidR="0055558D" w:rsidRPr="00524428" w:rsidRDefault="0055558D" w:rsidP="00312E88">
            <w:pPr>
              <w:pStyle w:val="Tables"/>
              <w:rPr>
                <w:rFonts w:cs="Arial"/>
                <w:color w:val="FFFFFF" w:themeColor="background1"/>
                <w:sz w:val="15"/>
                <w:szCs w:val="15"/>
              </w:rPr>
            </w:pPr>
            <w:r w:rsidRPr="00524428">
              <w:rPr>
                <w:rFonts w:cs="Arial"/>
                <w:color w:val="FFFFFF" w:themeColor="background1"/>
                <w:sz w:val="15"/>
                <w:szCs w:val="15"/>
              </w:rPr>
              <w:t>Operating expenses – full year to 30 June 2021</w:t>
            </w:r>
          </w:p>
        </w:tc>
        <w:tc>
          <w:tcPr>
            <w:tcW w:w="1134" w:type="dxa"/>
            <w:shd w:val="clear" w:color="auto" w:fill="6B2E76"/>
            <w:vAlign w:val="center"/>
          </w:tcPr>
          <w:p w14:paraId="591F5A2F" w14:textId="77777777" w:rsidR="0055558D" w:rsidRPr="00524428" w:rsidRDefault="0055558D" w:rsidP="00312E88">
            <w:pPr>
              <w:pStyle w:val="Tables"/>
              <w:jc w:val="center"/>
              <w:rPr>
                <w:rFonts w:cs="Arial"/>
                <w:color w:val="FFFFFF" w:themeColor="background1"/>
                <w:sz w:val="15"/>
                <w:szCs w:val="15"/>
              </w:rPr>
            </w:pPr>
            <w:r w:rsidRPr="00524428">
              <w:rPr>
                <w:rFonts w:cs="Arial"/>
                <w:color w:val="FFFFFF" w:themeColor="background1"/>
                <w:sz w:val="15"/>
                <w:szCs w:val="15"/>
              </w:rPr>
              <w:t>$m</w:t>
            </w:r>
          </w:p>
        </w:tc>
      </w:tr>
      <w:tr w:rsidR="0055558D" w14:paraId="7577A9F7" w14:textId="77777777" w:rsidTr="00312E88">
        <w:trPr>
          <w:trHeight w:hRule="exact" w:val="284"/>
        </w:trPr>
        <w:tc>
          <w:tcPr>
            <w:tcW w:w="6374" w:type="dxa"/>
          </w:tcPr>
          <w:p w14:paraId="2CBE44BF" w14:textId="77777777" w:rsidR="0055558D" w:rsidRPr="00524428" w:rsidRDefault="0055558D" w:rsidP="00312E88">
            <w:pPr>
              <w:pStyle w:val="Tables"/>
              <w:rPr>
                <w:rFonts w:cs="Arial"/>
                <w:sz w:val="16"/>
                <w:szCs w:val="16"/>
              </w:rPr>
            </w:pPr>
            <w:r w:rsidRPr="00524428">
              <w:rPr>
                <w:rFonts w:cs="Arial"/>
                <w:sz w:val="16"/>
                <w:szCs w:val="16"/>
              </w:rPr>
              <w:t>Actual</w:t>
            </w:r>
          </w:p>
        </w:tc>
        <w:tc>
          <w:tcPr>
            <w:tcW w:w="1134" w:type="dxa"/>
          </w:tcPr>
          <w:p w14:paraId="1A6024FC" w14:textId="77777777" w:rsidR="0055558D" w:rsidRPr="00524428" w:rsidRDefault="0055558D" w:rsidP="00312E88">
            <w:pPr>
              <w:pStyle w:val="Tables"/>
              <w:rPr>
                <w:rFonts w:cs="Arial"/>
                <w:sz w:val="16"/>
                <w:szCs w:val="16"/>
              </w:rPr>
            </w:pPr>
            <w:r w:rsidRPr="00524428">
              <w:rPr>
                <w:rFonts w:cs="Arial"/>
                <w:sz w:val="16"/>
                <w:szCs w:val="16"/>
              </w:rPr>
              <w:t>1,</w:t>
            </w:r>
            <w:r>
              <w:rPr>
                <w:rFonts w:cs="Arial"/>
                <w:sz w:val="16"/>
                <w:szCs w:val="16"/>
              </w:rPr>
              <w:t>481.0</w:t>
            </w:r>
          </w:p>
        </w:tc>
      </w:tr>
      <w:tr w:rsidR="0055558D" w14:paraId="3631E655" w14:textId="77777777" w:rsidTr="00312E88">
        <w:trPr>
          <w:trHeight w:hRule="exact" w:val="284"/>
        </w:trPr>
        <w:tc>
          <w:tcPr>
            <w:tcW w:w="6374" w:type="dxa"/>
          </w:tcPr>
          <w:p w14:paraId="0AC06172" w14:textId="77777777" w:rsidR="0055558D" w:rsidRPr="00524428" w:rsidRDefault="0055558D" w:rsidP="00312E88">
            <w:pPr>
              <w:pStyle w:val="Tables"/>
              <w:rPr>
                <w:rFonts w:cs="Arial"/>
                <w:b w:val="0"/>
                <w:bCs w:val="0"/>
                <w:sz w:val="16"/>
                <w:szCs w:val="16"/>
              </w:rPr>
            </w:pPr>
            <w:r w:rsidRPr="00524428">
              <w:rPr>
                <w:rFonts w:cs="Arial"/>
                <w:b w:val="0"/>
                <w:bCs w:val="0"/>
                <w:sz w:val="16"/>
                <w:szCs w:val="16"/>
              </w:rPr>
              <w:t>Budget (from 2019-20 PBS)</w:t>
            </w:r>
          </w:p>
        </w:tc>
        <w:tc>
          <w:tcPr>
            <w:tcW w:w="1134" w:type="dxa"/>
          </w:tcPr>
          <w:p w14:paraId="1166F782" w14:textId="5F59602C" w:rsidR="0055558D" w:rsidRPr="00524428" w:rsidRDefault="0055558D" w:rsidP="00312E88">
            <w:pPr>
              <w:pStyle w:val="Tables"/>
              <w:rPr>
                <w:rFonts w:cs="Arial"/>
                <w:b w:val="0"/>
                <w:bCs w:val="0"/>
                <w:sz w:val="16"/>
                <w:szCs w:val="16"/>
              </w:rPr>
            </w:pPr>
            <w:r w:rsidRPr="00524428">
              <w:rPr>
                <w:rFonts w:cs="Arial"/>
                <w:b w:val="0"/>
                <w:bCs w:val="0"/>
                <w:sz w:val="16"/>
                <w:szCs w:val="16"/>
              </w:rPr>
              <w:t>1,5</w:t>
            </w:r>
            <w:r>
              <w:rPr>
                <w:rFonts w:cs="Arial"/>
                <w:b w:val="0"/>
                <w:bCs w:val="0"/>
                <w:sz w:val="16"/>
                <w:szCs w:val="16"/>
              </w:rPr>
              <w:t>21</w:t>
            </w:r>
            <w:r w:rsidRPr="00524428">
              <w:rPr>
                <w:rFonts w:cs="Arial"/>
                <w:b w:val="0"/>
                <w:bCs w:val="0"/>
                <w:sz w:val="16"/>
                <w:szCs w:val="16"/>
              </w:rPr>
              <w:t>.</w:t>
            </w:r>
            <w:r>
              <w:rPr>
                <w:rFonts w:cs="Arial"/>
                <w:b w:val="0"/>
                <w:bCs w:val="0"/>
                <w:sz w:val="16"/>
                <w:szCs w:val="16"/>
              </w:rPr>
              <w:t>7</w:t>
            </w:r>
          </w:p>
        </w:tc>
      </w:tr>
      <w:tr w:rsidR="0055558D" w14:paraId="5EAD52FD" w14:textId="77777777" w:rsidTr="00312E88">
        <w:trPr>
          <w:trHeight w:hRule="exact" w:val="284"/>
        </w:trPr>
        <w:tc>
          <w:tcPr>
            <w:tcW w:w="6374" w:type="dxa"/>
          </w:tcPr>
          <w:p w14:paraId="335E15E2" w14:textId="77777777" w:rsidR="0055558D" w:rsidRPr="00524428" w:rsidRDefault="0055558D" w:rsidP="00312E88">
            <w:pPr>
              <w:pStyle w:val="Tables"/>
              <w:rPr>
                <w:rFonts w:cs="Arial"/>
                <w:b w:val="0"/>
                <w:bCs w:val="0"/>
                <w:sz w:val="16"/>
                <w:szCs w:val="16"/>
              </w:rPr>
            </w:pPr>
            <w:r w:rsidRPr="00524428">
              <w:rPr>
                <w:rFonts w:cs="Arial"/>
                <w:b w:val="0"/>
                <w:bCs w:val="0"/>
                <w:sz w:val="16"/>
                <w:szCs w:val="16"/>
              </w:rPr>
              <w:t>Difference (Actual – Budget)</w:t>
            </w:r>
          </w:p>
        </w:tc>
        <w:tc>
          <w:tcPr>
            <w:tcW w:w="1134" w:type="dxa"/>
          </w:tcPr>
          <w:p w14:paraId="3B7A521F" w14:textId="77777777" w:rsidR="0055558D" w:rsidRPr="00524428" w:rsidRDefault="0055558D" w:rsidP="00312E88">
            <w:pPr>
              <w:pStyle w:val="Tables"/>
              <w:rPr>
                <w:rFonts w:cs="Arial"/>
                <w:b w:val="0"/>
                <w:bCs w:val="0"/>
                <w:sz w:val="16"/>
                <w:szCs w:val="16"/>
              </w:rPr>
            </w:pPr>
            <w:r w:rsidRPr="00524428">
              <w:rPr>
                <w:rFonts w:cs="Arial"/>
                <w:b w:val="0"/>
                <w:bCs w:val="0"/>
                <w:sz w:val="16"/>
                <w:szCs w:val="16"/>
              </w:rPr>
              <w:t>-</w:t>
            </w:r>
            <w:r>
              <w:rPr>
                <w:rFonts w:cs="Arial"/>
                <w:b w:val="0"/>
                <w:bCs w:val="0"/>
                <w:sz w:val="16"/>
                <w:szCs w:val="16"/>
              </w:rPr>
              <w:t>40.7</w:t>
            </w:r>
          </w:p>
        </w:tc>
      </w:tr>
    </w:tbl>
    <w:p w14:paraId="0B06F625" w14:textId="14BD7564" w:rsidR="00B8229F" w:rsidRPr="00F80E83" w:rsidRDefault="00F80E83" w:rsidP="00B8229F">
      <w:pPr>
        <w:pStyle w:val="FSRnormal"/>
        <w:rPr>
          <w:b/>
          <w:i/>
        </w:rPr>
      </w:pPr>
      <w:r w:rsidRPr="00F80E83">
        <w:t xml:space="preserve">Operating expenses, as a percentage of participant costs, are projected to reduce over time, as the relative cost of bringing new participants into the </w:t>
      </w:r>
      <w:r w:rsidR="00783DE5">
        <w:t>Scheme</w:t>
      </w:r>
      <w:r w:rsidRPr="00F80E83">
        <w:t xml:space="preserve"> is expected to reduce, and also because the average </w:t>
      </w:r>
      <w:r w:rsidR="00180C52">
        <w:t>payment per</w:t>
      </w:r>
      <w:r w:rsidRPr="00F80E83">
        <w:t xml:space="preserve"> participant is expected to increase at a faster rate than the inflation rate assumed to underpin the Scheme’s operating costs (</w:t>
      </w:r>
      <w:r w:rsidR="000678BD">
        <w:fldChar w:fldCharType="begin"/>
      </w:r>
      <w:r w:rsidR="000678BD">
        <w:instrText xml:space="preserve"> REF _Ref80211181 \h </w:instrText>
      </w:r>
      <w:r w:rsidR="000678BD">
        <w:fldChar w:fldCharType="separate"/>
      </w:r>
      <w:r w:rsidR="00E50032" w:rsidRPr="00F80E83">
        <w:t xml:space="preserve">Table </w:t>
      </w:r>
      <w:r w:rsidR="00E50032">
        <w:rPr>
          <w:noProof/>
        </w:rPr>
        <w:t>9</w:t>
      </w:r>
      <w:r w:rsidR="000678BD">
        <w:fldChar w:fldCharType="end"/>
      </w:r>
      <w:r w:rsidRPr="00F80E83">
        <w:t xml:space="preserve">). Operating costs are forecast to be </w:t>
      </w:r>
      <w:r w:rsidR="00B44FC4">
        <w:t>6.0</w:t>
      </w:r>
      <w:r w:rsidRPr="00F80E83">
        <w:t>% of participant expenses in 2021-22, reducing to 5.0% in 2024-25, and 4.1% in 2029-30.</w:t>
      </w:r>
    </w:p>
    <w:p w14:paraId="251DA6A9" w14:textId="268AD79E" w:rsidR="00B8229F" w:rsidRPr="00F80E83" w:rsidRDefault="00B8229F" w:rsidP="00B8229F">
      <w:pPr>
        <w:pStyle w:val="Tables"/>
      </w:pPr>
      <w:bookmarkStart w:id="22" w:name="_Ref80211181"/>
      <w:r w:rsidRPr="00F80E83">
        <w:lastRenderedPageBreak/>
        <w:t xml:space="preserve">Table </w:t>
      </w:r>
      <w:fldSimple w:instr=" SEQ Table \* ARABIC ">
        <w:r w:rsidR="00E50032">
          <w:rPr>
            <w:noProof/>
          </w:rPr>
          <w:t>9</w:t>
        </w:r>
      </w:fldSimple>
      <w:bookmarkEnd w:id="22"/>
      <w:r w:rsidRPr="00F80E83">
        <w:t xml:space="preserve"> Agency operating costs</w:t>
      </w:r>
    </w:p>
    <w:tbl>
      <w:tblPr>
        <w:tblStyle w:val="TableGrid"/>
        <w:tblW w:w="9209" w:type="dxa"/>
        <w:jc w:val="center"/>
        <w:tblLayout w:type="fixed"/>
        <w:tblLook w:val="04A0" w:firstRow="1" w:lastRow="0" w:firstColumn="1" w:lastColumn="0" w:noHBand="0" w:noVBand="1"/>
      </w:tblPr>
      <w:tblGrid>
        <w:gridCol w:w="4957"/>
        <w:gridCol w:w="850"/>
        <w:gridCol w:w="851"/>
        <w:gridCol w:w="850"/>
        <w:gridCol w:w="851"/>
        <w:gridCol w:w="850"/>
      </w:tblGrid>
      <w:tr w:rsidR="00D43F95" w14:paraId="02076C92" w14:textId="77777777" w:rsidTr="00312E88">
        <w:trPr>
          <w:tblHeader/>
          <w:jc w:val="center"/>
        </w:trPr>
        <w:tc>
          <w:tcPr>
            <w:tcW w:w="4957" w:type="dxa"/>
            <w:shd w:val="clear" w:color="auto" w:fill="6B2E76"/>
          </w:tcPr>
          <w:p w14:paraId="625EBC6F" w14:textId="77777777" w:rsidR="00D43F95" w:rsidRPr="00524428" w:rsidRDefault="00D43F95" w:rsidP="00312E88">
            <w:pPr>
              <w:pStyle w:val="Tables"/>
              <w:rPr>
                <w:rFonts w:cs="Arial"/>
                <w:color w:val="FFFFFF" w:themeColor="background1"/>
                <w:sz w:val="15"/>
                <w:szCs w:val="15"/>
              </w:rPr>
            </w:pPr>
            <w:r w:rsidRPr="00524428">
              <w:rPr>
                <w:rFonts w:cs="Arial"/>
                <w:color w:val="FFFFFF" w:themeColor="background1"/>
                <w:sz w:val="15"/>
                <w:szCs w:val="15"/>
              </w:rPr>
              <w:t>Operating and Participant Costs ($m)</w:t>
            </w:r>
          </w:p>
        </w:tc>
        <w:tc>
          <w:tcPr>
            <w:tcW w:w="850" w:type="dxa"/>
            <w:shd w:val="clear" w:color="auto" w:fill="6B2E76"/>
            <w:vAlign w:val="center"/>
          </w:tcPr>
          <w:p w14:paraId="676FDE0A" w14:textId="77777777" w:rsidR="00D43F95" w:rsidRPr="00524428" w:rsidRDefault="00D43F95" w:rsidP="00312E88">
            <w:pPr>
              <w:pStyle w:val="Tables"/>
              <w:jc w:val="center"/>
              <w:rPr>
                <w:rFonts w:cs="Arial"/>
                <w:color w:val="FFFFFF" w:themeColor="background1"/>
                <w:sz w:val="15"/>
                <w:szCs w:val="15"/>
              </w:rPr>
            </w:pPr>
            <w:r w:rsidRPr="00524428">
              <w:rPr>
                <w:rFonts w:cs="Arial"/>
                <w:color w:val="FFFFFF" w:themeColor="background1"/>
                <w:sz w:val="15"/>
                <w:szCs w:val="15"/>
              </w:rPr>
              <w:t>2022</w:t>
            </w:r>
          </w:p>
        </w:tc>
        <w:tc>
          <w:tcPr>
            <w:tcW w:w="851" w:type="dxa"/>
            <w:shd w:val="clear" w:color="auto" w:fill="6B2E76"/>
            <w:vAlign w:val="center"/>
          </w:tcPr>
          <w:p w14:paraId="49A61F2B" w14:textId="77777777" w:rsidR="00D43F95" w:rsidRPr="00524428" w:rsidRDefault="00D43F95" w:rsidP="00312E88">
            <w:pPr>
              <w:pStyle w:val="Tables"/>
              <w:jc w:val="center"/>
              <w:rPr>
                <w:rFonts w:cs="Arial"/>
                <w:color w:val="FFFFFF" w:themeColor="background1"/>
                <w:sz w:val="15"/>
                <w:szCs w:val="15"/>
              </w:rPr>
            </w:pPr>
            <w:r w:rsidRPr="00524428">
              <w:rPr>
                <w:rFonts w:cs="Arial"/>
                <w:color w:val="FFFFFF" w:themeColor="background1"/>
                <w:sz w:val="15"/>
                <w:szCs w:val="15"/>
              </w:rPr>
              <w:t>2023</w:t>
            </w:r>
          </w:p>
        </w:tc>
        <w:tc>
          <w:tcPr>
            <w:tcW w:w="850" w:type="dxa"/>
            <w:shd w:val="clear" w:color="auto" w:fill="6B2E76"/>
            <w:vAlign w:val="center"/>
          </w:tcPr>
          <w:p w14:paraId="05067FEE" w14:textId="77777777" w:rsidR="00D43F95" w:rsidRPr="00524428" w:rsidRDefault="00D43F95" w:rsidP="00312E88">
            <w:pPr>
              <w:pStyle w:val="Tables"/>
              <w:jc w:val="center"/>
              <w:rPr>
                <w:rFonts w:cs="Arial"/>
                <w:color w:val="FFFFFF" w:themeColor="background1"/>
                <w:sz w:val="15"/>
                <w:szCs w:val="15"/>
              </w:rPr>
            </w:pPr>
            <w:r w:rsidRPr="00524428">
              <w:rPr>
                <w:rFonts w:cs="Arial"/>
                <w:color w:val="FFFFFF" w:themeColor="background1"/>
                <w:sz w:val="15"/>
                <w:szCs w:val="15"/>
              </w:rPr>
              <w:t>2024</w:t>
            </w:r>
          </w:p>
        </w:tc>
        <w:tc>
          <w:tcPr>
            <w:tcW w:w="851" w:type="dxa"/>
            <w:shd w:val="clear" w:color="auto" w:fill="6B2E76"/>
            <w:vAlign w:val="center"/>
          </w:tcPr>
          <w:p w14:paraId="65666FA0" w14:textId="77777777" w:rsidR="00D43F95" w:rsidRPr="00524428" w:rsidRDefault="00D43F95" w:rsidP="00312E88">
            <w:pPr>
              <w:pStyle w:val="Tables"/>
              <w:jc w:val="center"/>
              <w:rPr>
                <w:rFonts w:cs="Arial"/>
                <w:color w:val="FFFFFF" w:themeColor="background1"/>
                <w:sz w:val="15"/>
                <w:szCs w:val="15"/>
              </w:rPr>
            </w:pPr>
            <w:r w:rsidRPr="00524428">
              <w:rPr>
                <w:rFonts w:cs="Arial"/>
                <w:color w:val="FFFFFF" w:themeColor="background1"/>
                <w:sz w:val="15"/>
                <w:szCs w:val="15"/>
              </w:rPr>
              <w:t>2025</w:t>
            </w:r>
          </w:p>
        </w:tc>
        <w:tc>
          <w:tcPr>
            <w:tcW w:w="850" w:type="dxa"/>
            <w:shd w:val="clear" w:color="auto" w:fill="6B2E76"/>
            <w:vAlign w:val="center"/>
          </w:tcPr>
          <w:p w14:paraId="25D546BC" w14:textId="77777777" w:rsidR="00D43F95" w:rsidRPr="00524428" w:rsidRDefault="00D43F95" w:rsidP="00312E88">
            <w:pPr>
              <w:pStyle w:val="Tables"/>
              <w:jc w:val="center"/>
              <w:rPr>
                <w:rFonts w:cs="Arial"/>
                <w:color w:val="FFFFFF" w:themeColor="background1"/>
                <w:sz w:val="15"/>
                <w:szCs w:val="15"/>
              </w:rPr>
            </w:pPr>
            <w:r w:rsidRPr="00524428">
              <w:rPr>
                <w:rFonts w:cs="Arial"/>
                <w:color w:val="FFFFFF" w:themeColor="background1"/>
                <w:sz w:val="15"/>
                <w:szCs w:val="15"/>
              </w:rPr>
              <w:t>2030</w:t>
            </w:r>
          </w:p>
        </w:tc>
      </w:tr>
      <w:tr w:rsidR="00D43F95" w14:paraId="42CB4AE2" w14:textId="77777777" w:rsidTr="00312E88">
        <w:trPr>
          <w:trHeight w:hRule="exact" w:val="284"/>
          <w:jc w:val="center"/>
        </w:trPr>
        <w:tc>
          <w:tcPr>
            <w:tcW w:w="4957" w:type="dxa"/>
          </w:tcPr>
          <w:p w14:paraId="71DCE172" w14:textId="77777777" w:rsidR="00D43F95" w:rsidRPr="00524428" w:rsidRDefault="00D43F95" w:rsidP="00312E88">
            <w:pPr>
              <w:pStyle w:val="Tables"/>
              <w:rPr>
                <w:rFonts w:cs="Arial"/>
                <w:sz w:val="16"/>
                <w:szCs w:val="16"/>
              </w:rPr>
            </w:pPr>
            <w:r w:rsidRPr="00524428">
              <w:rPr>
                <w:rFonts w:cs="Arial"/>
                <w:sz w:val="16"/>
                <w:szCs w:val="16"/>
              </w:rPr>
              <w:t>2020-21 AFSR</w:t>
            </w:r>
          </w:p>
        </w:tc>
        <w:tc>
          <w:tcPr>
            <w:tcW w:w="4252" w:type="dxa"/>
            <w:gridSpan w:val="5"/>
          </w:tcPr>
          <w:p w14:paraId="41C1CC66" w14:textId="77777777" w:rsidR="00D43F95" w:rsidRPr="00524428" w:rsidRDefault="00D43F95" w:rsidP="00312E88">
            <w:pPr>
              <w:pStyle w:val="Tables"/>
              <w:rPr>
                <w:rFonts w:cs="Arial"/>
                <w:b w:val="0"/>
                <w:bCs w:val="0"/>
                <w:sz w:val="16"/>
                <w:szCs w:val="16"/>
              </w:rPr>
            </w:pPr>
          </w:p>
        </w:tc>
      </w:tr>
      <w:tr w:rsidR="00D43F95" w14:paraId="165114E4" w14:textId="77777777" w:rsidTr="00312E88">
        <w:trPr>
          <w:trHeight w:hRule="exact" w:val="284"/>
          <w:jc w:val="center"/>
        </w:trPr>
        <w:tc>
          <w:tcPr>
            <w:tcW w:w="4957" w:type="dxa"/>
          </w:tcPr>
          <w:p w14:paraId="0C04942D"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Participant Costs (accrual basis)</w:t>
            </w:r>
          </w:p>
        </w:tc>
        <w:tc>
          <w:tcPr>
            <w:tcW w:w="850" w:type="dxa"/>
          </w:tcPr>
          <w:p w14:paraId="26B52E2F"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29,223</w:t>
            </w:r>
          </w:p>
        </w:tc>
        <w:tc>
          <w:tcPr>
            <w:tcW w:w="851" w:type="dxa"/>
          </w:tcPr>
          <w:p w14:paraId="0FB97E85"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33,886</w:t>
            </w:r>
          </w:p>
        </w:tc>
        <w:tc>
          <w:tcPr>
            <w:tcW w:w="850" w:type="dxa"/>
          </w:tcPr>
          <w:p w14:paraId="5A3765B1"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37,973</w:t>
            </w:r>
          </w:p>
        </w:tc>
        <w:tc>
          <w:tcPr>
            <w:tcW w:w="851" w:type="dxa"/>
          </w:tcPr>
          <w:p w14:paraId="1A452C0B"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41,373</w:t>
            </w:r>
          </w:p>
        </w:tc>
        <w:tc>
          <w:tcPr>
            <w:tcW w:w="850" w:type="dxa"/>
          </w:tcPr>
          <w:p w14:paraId="6AB75552"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59,284</w:t>
            </w:r>
          </w:p>
        </w:tc>
      </w:tr>
      <w:tr w:rsidR="00D43F95" w14:paraId="68CCD213" w14:textId="77777777" w:rsidTr="00312E88">
        <w:trPr>
          <w:trHeight w:hRule="exact" w:val="284"/>
          <w:jc w:val="center"/>
        </w:trPr>
        <w:tc>
          <w:tcPr>
            <w:tcW w:w="4957" w:type="dxa"/>
          </w:tcPr>
          <w:p w14:paraId="3F9B2A19" w14:textId="77777777" w:rsidR="00D43F95" w:rsidRPr="00524428" w:rsidRDefault="00D43F95" w:rsidP="00312E88">
            <w:pPr>
              <w:pStyle w:val="Tables"/>
              <w:rPr>
                <w:rFonts w:cs="Arial"/>
                <w:sz w:val="16"/>
                <w:szCs w:val="16"/>
              </w:rPr>
            </w:pPr>
            <w:r w:rsidRPr="00524428">
              <w:rPr>
                <w:rFonts w:cs="Arial"/>
                <w:sz w:val="16"/>
                <w:szCs w:val="16"/>
              </w:rPr>
              <w:t>Operating Costs</w:t>
            </w:r>
          </w:p>
        </w:tc>
        <w:tc>
          <w:tcPr>
            <w:tcW w:w="850" w:type="dxa"/>
          </w:tcPr>
          <w:p w14:paraId="3EAACE8F" w14:textId="162846F0" w:rsidR="00D43F95" w:rsidRPr="00524428" w:rsidRDefault="00C17311" w:rsidP="00312E88">
            <w:pPr>
              <w:pStyle w:val="Tables"/>
              <w:rPr>
                <w:rFonts w:cs="Arial"/>
                <w:sz w:val="16"/>
                <w:szCs w:val="16"/>
              </w:rPr>
            </w:pPr>
            <w:r>
              <w:rPr>
                <w:rFonts w:cs="Arial"/>
                <w:sz w:val="16"/>
                <w:szCs w:val="16"/>
              </w:rPr>
              <w:t>1,760</w:t>
            </w:r>
          </w:p>
        </w:tc>
        <w:tc>
          <w:tcPr>
            <w:tcW w:w="851" w:type="dxa"/>
          </w:tcPr>
          <w:p w14:paraId="39C316BF" w14:textId="77777777" w:rsidR="00D43F95" w:rsidRPr="00524428" w:rsidRDefault="00D43F95" w:rsidP="00312E88">
            <w:pPr>
              <w:pStyle w:val="Tables"/>
              <w:rPr>
                <w:rFonts w:cs="Arial"/>
                <w:sz w:val="16"/>
                <w:szCs w:val="16"/>
              </w:rPr>
            </w:pPr>
            <w:r w:rsidRPr="00524428">
              <w:rPr>
                <w:rFonts w:cs="Arial"/>
                <w:sz w:val="16"/>
                <w:szCs w:val="16"/>
              </w:rPr>
              <w:t>1,879</w:t>
            </w:r>
          </w:p>
        </w:tc>
        <w:tc>
          <w:tcPr>
            <w:tcW w:w="850" w:type="dxa"/>
          </w:tcPr>
          <w:p w14:paraId="0C4C6C37" w14:textId="77777777" w:rsidR="00D43F95" w:rsidRPr="00524428" w:rsidRDefault="00D43F95" w:rsidP="00312E88">
            <w:pPr>
              <w:pStyle w:val="Tables"/>
              <w:rPr>
                <w:rFonts w:cs="Arial"/>
                <w:sz w:val="16"/>
                <w:szCs w:val="16"/>
              </w:rPr>
            </w:pPr>
            <w:r w:rsidRPr="00524428">
              <w:rPr>
                <w:rFonts w:cs="Arial"/>
                <w:sz w:val="16"/>
                <w:szCs w:val="16"/>
              </w:rPr>
              <w:t>1,978</w:t>
            </w:r>
          </w:p>
        </w:tc>
        <w:tc>
          <w:tcPr>
            <w:tcW w:w="851" w:type="dxa"/>
          </w:tcPr>
          <w:p w14:paraId="6AE030C0" w14:textId="77777777" w:rsidR="00D43F95" w:rsidRPr="00524428" w:rsidRDefault="00D43F95" w:rsidP="00312E88">
            <w:pPr>
              <w:pStyle w:val="Tables"/>
              <w:rPr>
                <w:rFonts w:cs="Arial"/>
                <w:sz w:val="16"/>
                <w:szCs w:val="16"/>
              </w:rPr>
            </w:pPr>
            <w:r w:rsidRPr="00524428">
              <w:rPr>
                <w:rFonts w:cs="Arial"/>
                <w:sz w:val="16"/>
                <w:szCs w:val="16"/>
              </w:rPr>
              <w:t>2,055</w:t>
            </w:r>
          </w:p>
        </w:tc>
        <w:tc>
          <w:tcPr>
            <w:tcW w:w="850" w:type="dxa"/>
          </w:tcPr>
          <w:p w14:paraId="35BB2D7D" w14:textId="77777777" w:rsidR="00D43F95" w:rsidRPr="00524428" w:rsidRDefault="00D43F95" w:rsidP="00312E88">
            <w:pPr>
              <w:pStyle w:val="Tables"/>
              <w:rPr>
                <w:rFonts w:cs="Arial"/>
                <w:sz w:val="16"/>
                <w:szCs w:val="16"/>
              </w:rPr>
            </w:pPr>
            <w:r w:rsidRPr="00524428">
              <w:rPr>
                <w:rFonts w:cs="Arial"/>
                <w:sz w:val="16"/>
                <w:szCs w:val="16"/>
              </w:rPr>
              <w:t>2,452</w:t>
            </w:r>
          </w:p>
        </w:tc>
      </w:tr>
      <w:tr w:rsidR="00D43F95" w14:paraId="54B1F5DD" w14:textId="77777777" w:rsidTr="00312E88">
        <w:trPr>
          <w:trHeight w:hRule="exact" w:val="284"/>
          <w:jc w:val="center"/>
        </w:trPr>
        <w:tc>
          <w:tcPr>
            <w:tcW w:w="4957" w:type="dxa"/>
          </w:tcPr>
          <w:p w14:paraId="14A40F8D"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As a % of Participant Costs</w:t>
            </w:r>
          </w:p>
        </w:tc>
        <w:tc>
          <w:tcPr>
            <w:tcW w:w="850" w:type="dxa"/>
          </w:tcPr>
          <w:p w14:paraId="74F5563B" w14:textId="4125EB4C" w:rsidR="00D43F95" w:rsidRPr="00524428" w:rsidRDefault="00C17311" w:rsidP="00312E88">
            <w:pPr>
              <w:pStyle w:val="Tables"/>
              <w:rPr>
                <w:rFonts w:cs="Arial"/>
                <w:b w:val="0"/>
                <w:bCs w:val="0"/>
                <w:sz w:val="16"/>
                <w:szCs w:val="16"/>
              </w:rPr>
            </w:pPr>
            <w:r>
              <w:rPr>
                <w:rFonts w:cs="Arial"/>
                <w:b w:val="0"/>
                <w:bCs w:val="0"/>
                <w:sz w:val="16"/>
                <w:szCs w:val="16"/>
              </w:rPr>
              <w:t>6.0</w:t>
            </w:r>
            <w:r w:rsidR="00D43F95" w:rsidRPr="00524428">
              <w:rPr>
                <w:rFonts w:cs="Arial"/>
                <w:b w:val="0"/>
                <w:bCs w:val="0"/>
                <w:sz w:val="16"/>
                <w:szCs w:val="16"/>
              </w:rPr>
              <w:t>%</w:t>
            </w:r>
          </w:p>
        </w:tc>
        <w:tc>
          <w:tcPr>
            <w:tcW w:w="851" w:type="dxa"/>
          </w:tcPr>
          <w:p w14:paraId="02FA169D"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5.5%</w:t>
            </w:r>
          </w:p>
        </w:tc>
        <w:tc>
          <w:tcPr>
            <w:tcW w:w="850" w:type="dxa"/>
          </w:tcPr>
          <w:p w14:paraId="4F423E34"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5.2%</w:t>
            </w:r>
          </w:p>
        </w:tc>
        <w:tc>
          <w:tcPr>
            <w:tcW w:w="851" w:type="dxa"/>
          </w:tcPr>
          <w:p w14:paraId="3B594170"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5.0%</w:t>
            </w:r>
          </w:p>
        </w:tc>
        <w:tc>
          <w:tcPr>
            <w:tcW w:w="850" w:type="dxa"/>
          </w:tcPr>
          <w:p w14:paraId="6A30296C" w14:textId="77777777" w:rsidR="00D43F95" w:rsidRPr="00524428" w:rsidRDefault="00D43F95" w:rsidP="00312E88">
            <w:pPr>
              <w:pStyle w:val="Tables"/>
              <w:rPr>
                <w:rFonts w:cs="Arial"/>
                <w:b w:val="0"/>
                <w:bCs w:val="0"/>
                <w:sz w:val="16"/>
                <w:szCs w:val="16"/>
              </w:rPr>
            </w:pPr>
            <w:r w:rsidRPr="00524428">
              <w:rPr>
                <w:rFonts w:cs="Arial"/>
                <w:b w:val="0"/>
                <w:bCs w:val="0"/>
                <w:sz w:val="16"/>
                <w:szCs w:val="16"/>
              </w:rPr>
              <w:t>4.1%</w:t>
            </w:r>
          </w:p>
        </w:tc>
      </w:tr>
    </w:tbl>
    <w:p w14:paraId="07B666FE" w14:textId="764579CE" w:rsidR="00F80E83" w:rsidRDefault="00F80E83" w:rsidP="00B8229F">
      <w:pPr>
        <w:pStyle w:val="Tables"/>
        <w:rPr>
          <w:i/>
        </w:rPr>
      </w:pPr>
    </w:p>
    <w:p w14:paraId="3D077FDA" w14:textId="4B2C6BD2" w:rsidR="0005623C" w:rsidRDefault="00B03D44" w:rsidP="0005623C">
      <w:r w:rsidRPr="00B03D44">
        <w:t>The forecast operating costs of $1,760m in 2021-22 are approximately $250m (or 18%) higher than those in 2020-21</w:t>
      </w:r>
      <w:r w:rsidR="00BB1F98">
        <w:t xml:space="preserve"> (</w:t>
      </w:r>
      <w:r w:rsidRPr="00B03D44">
        <w:t>and a similar amount higher than the amount allowed for in the 2021-22 PBS</w:t>
      </w:r>
      <w:r w:rsidR="00BB1F98">
        <w:t xml:space="preserve">), </w:t>
      </w:r>
      <w:r w:rsidR="0005623C">
        <w:t xml:space="preserve">however this variance is regarded as relatively small in the context of the sustainability risks relating to participant costs which are identified in this report, and the recommended operating expense range in the </w:t>
      </w:r>
      <w:r w:rsidR="0005623C" w:rsidRPr="00405627">
        <w:t>2017 PC study report</w:t>
      </w:r>
      <w:r w:rsidR="0005623C">
        <w:t>, of 7-10%.</w:t>
      </w:r>
      <w:r w:rsidR="002B6DAC">
        <w:rPr>
          <w:rStyle w:val="FootnoteReference"/>
        </w:rPr>
        <w:footnoteReference w:id="25"/>
      </w:r>
      <w:r w:rsidR="0005623C">
        <w:t xml:space="preserve">   </w:t>
      </w:r>
    </w:p>
    <w:p w14:paraId="0105062D" w14:textId="73D9C6AF" w:rsidR="00B8229F" w:rsidRPr="004C292C" w:rsidRDefault="001C03B8" w:rsidP="00B8229F">
      <w:pPr>
        <w:pStyle w:val="FSRHeading4"/>
      </w:pPr>
      <w:r>
        <w:t xml:space="preserve">Variability in </w:t>
      </w:r>
      <w:r w:rsidR="00903F7D">
        <w:t>c</w:t>
      </w:r>
      <w:r>
        <w:t xml:space="preserve">ost </w:t>
      </w:r>
      <w:r w:rsidR="00903F7D">
        <w:t>p</w:t>
      </w:r>
      <w:r>
        <w:t>rojections</w:t>
      </w:r>
      <w:r w:rsidR="00903F7D">
        <w:t xml:space="preserve"> – scenario analysis</w:t>
      </w:r>
    </w:p>
    <w:p w14:paraId="41013BD9" w14:textId="65FB4F3D" w:rsidR="00903F7D" w:rsidRDefault="00903F7D" w:rsidP="00903F7D">
      <w:pPr>
        <w:spacing w:before="240"/>
      </w:pPr>
      <w:r>
        <w:t xml:space="preserve">The projections presented in Section 5 of this report represent the “baseline” estimate of </w:t>
      </w:r>
      <w:r w:rsidR="00783DE5">
        <w:t>Scheme</w:t>
      </w:r>
      <w:r>
        <w:t xml:space="preserve"> population and costs. As highlighted throughout this report, there is considerable uncertainty in relation to these projections, and the actual cost may vary from the baseline projections possibly significantly. More specifically there is significant uncertainty in relation to:</w:t>
      </w:r>
    </w:p>
    <w:p w14:paraId="6761C7AD" w14:textId="33229D14" w:rsidR="00903F7D" w:rsidRPr="00EF5E91" w:rsidRDefault="00903F7D" w:rsidP="00903F7D">
      <w:pPr>
        <w:pStyle w:val="ListParagraph"/>
        <w:numPr>
          <w:ilvl w:val="0"/>
          <w:numId w:val="21"/>
        </w:numPr>
        <w:spacing w:before="240"/>
      </w:pPr>
      <w:r>
        <w:rPr>
          <w:b/>
        </w:rPr>
        <w:t>N</w:t>
      </w:r>
      <w:r w:rsidRPr="00261DEB">
        <w:rPr>
          <w:b/>
        </w:rPr>
        <w:t>umber</w:t>
      </w:r>
      <w:r>
        <w:rPr>
          <w:b/>
        </w:rPr>
        <w:t>s</w:t>
      </w:r>
      <w:r w:rsidRPr="00261DEB">
        <w:rPr>
          <w:b/>
        </w:rPr>
        <w:t xml:space="preserve"> of new entrants to the </w:t>
      </w:r>
      <w:r w:rsidR="00783DE5">
        <w:rPr>
          <w:b/>
        </w:rPr>
        <w:t>Scheme</w:t>
      </w:r>
      <w:r>
        <w:t xml:space="preserve"> – observed numbers of new participants</w:t>
      </w:r>
      <w:r w:rsidR="00497F0C">
        <w:t xml:space="preserve">, whilst slightly lower than the previous review </w:t>
      </w:r>
      <w:r>
        <w:t xml:space="preserve">are significantly higher than those forecast in </w:t>
      </w:r>
      <w:r w:rsidR="00497F0C">
        <w:t xml:space="preserve">earlier </w:t>
      </w:r>
      <w:r>
        <w:t xml:space="preserve">reports and in the 2017 PC Study Report. </w:t>
      </w:r>
      <w:r w:rsidR="005C0E00">
        <w:t xml:space="preserve">Whilst the </w:t>
      </w:r>
      <w:r>
        <w:t xml:space="preserve">number of new entrants </w:t>
      </w:r>
      <w:r w:rsidR="00515906">
        <w:t xml:space="preserve">per annum </w:t>
      </w:r>
      <w:r>
        <w:t xml:space="preserve">is reducing it is unclear when </w:t>
      </w:r>
      <w:r w:rsidR="005C0E00">
        <w:t xml:space="preserve">they </w:t>
      </w:r>
      <w:r>
        <w:t xml:space="preserve">will stabilise and at what level  </w:t>
      </w:r>
    </w:p>
    <w:p w14:paraId="2D361B81" w14:textId="0BECEAC2" w:rsidR="00903F7D" w:rsidRPr="00261DEB" w:rsidRDefault="00903F7D" w:rsidP="00903F7D">
      <w:pPr>
        <w:pStyle w:val="ListParagraph"/>
        <w:numPr>
          <w:ilvl w:val="0"/>
          <w:numId w:val="21"/>
        </w:numPr>
        <w:spacing w:before="240"/>
        <w:rPr>
          <w:b/>
        </w:rPr>
      </w:pPr>
      <w:r>
        <w:rPr>
          <w:b/>
        </w:rPr>
        <w:t xml:space="preserve">The </w:t>
      </w:r>
      <w:r w:rsidR="009F2CB7">
        <w:rPr>
          <w:b/>
        </w:rPr>
        <w:t xml:space="preserve">average payment for </w:t>
      </w:r>
      <w:r w:rsidRPr="00261DEB">
        <w:rPr>
          <w:b/>
        </w:rPr>
        <w:t>new entrants to the Scheme</w:t>
      </w:r>
      <w:r>
        <w:t xml:space="preserve"> - there are relatively few years of experience from which to determine the </w:t>
      </w:r>
      <w:r w:rsidR="009F2CB7">
        <w:t xml:space="preserve">average payment for </w:t>
      </w:r>
      <w:r>
        <w:t xml:space="preserve">new entrants, </w:t>
      </w:r>
      <w:r w:rsidR="009F2CB7">
        <w:t xml:space="preserve">compared </w:t>
      </w:r>
      <w:r>
        <w:t xml:space="preserve">to existing participants. As more new entrants enter the </w:t>
      </w:r>
      <w:r w:rsidR="00783DE5">
        <w:t>Scheme</w:t>
      </w:r>
      <w:r>
        <w:t xml:space="preserve"> the relative </w:t>
      </w:r>
      <w:r w:rsidR="009F2CB7">
        <w:t xml:space="preserve">average payment for </w:t>
      </w:r>
      <w:r>
        <w:t>new entrants may vary substantially from that previously observed</w:t>
      </w:r>
    </w:p>
    <w:p w14:paraId="0FC9EDAC" w14:textId="02CEC30C" w:rsidR="00903F7D" w:rsidRPr="00261DEB" w:rsidRDefault="00903F7D" w:rsidP="00903F7D">
      <w:pPr>
        <w:pStyle w:val="ListParagraph"/>
        <w:numPr>
          <w:ilvl w:val="0"/>
          <w:numId w:val="21"/>
        </w:numPr>
        <w:spacing w:before="240"/>
        <w:rPr>
          <w:b/>
        </w:rPr>
      </w:pPr>
      <w:r>
        <w:rPr>
          <w:b/>
        </w:rPr>
        <w:t>R</w:t>
      </w:r>
      <w:r w:rsidRPr="00261DEB">
        <w:rPr>
          <w:b/>
        </w:rPr>
        <w:t>ate</w:t>
      </w:r>
      <w:r>
        <w:rPr>
          <w:b/>
        </w:rPr>
        <w:t>s</w:t>
      </w:r>
      <w:r w:rsidRPr="00261DEB">
        <w:rPr>
          <w:b/>
        </w:rPr>
        <w:t xml:space="preserve"> of non-mortality exits</w:t>
      </w:r>
      <w:r>
        <w:t xml:space="preserve"> – observed rates of non-mortality exits are significantly lower than forecast in in previous reports and in the 2017 PC Study Report </w:t>
      </w:r>
      <w:r w:rsidR="009478F0">
        <w:t xml:space="preserve">and the long term rates assumed may not </w:t>
      </w:r>
      <w:r w:rsidR="00AD7AF9">
        <w:t>eventuate</w:t>
      </w:r>
      <w:r w:rsidR="009478F0">
        <w:t xml:space="preserve">. </w:t>
      </w:r>
    </w:p>
    <w:p w14:paraId="50AF8FBD" w14:textId="63C5577B" w:rsidR="00903F7D" w:rsidRPr="00E255CE" w:rsidRDefault="00903F7D" w:rsidP="00903F7D">
      <w:pPr>
        <w:pStyle w:val="ListParagraph"/>
        <w:numPr>
          <w:ilvl w:val="0"/>
          <w:numId w:val="21"/>
        </w:numPr>
        <w:spacing w:before="240"/>
        <w:rPr>
          <w:b/>
        </w:rPr>
      </w:pPr>
      <w:r>
        <w:rPr>
          <w:b/>
        </w:rPr>
        <w:t>R</w:t>
      </w:r>
      <w:r w:rsidRPr="00261DEB">
        <w:rPr>
          <w:b/>
        </w:rPr>
        <w:t>ate</w:t>
      </w:r>
      <w:r>
        <w:rPr>
          <w:b/>
        </w:rPr>
        <w:t>s</w:t>
      </w:r>
      <w:r w:rsidRPr="00261DEB">
        <w:rPr>
          <w:b/>
        </w:rPr>
        <w:t xml:space="preserve"> of superimposed inflation</w:t>
      </w:r>
      <w:r>
        <w:t xml:space="preserve"> – average </w:t>
      </w:r>
      <w:r w:rsidR="00D31577">
        <w:t>payments</w:t>
      </w:r>
      <w:r>
        <w:t xml:space="preserve"> per participant have grown at rates substantially exceeding normal inflation for several years</w:t>
      </w:r>
      <w:r w:rsidR="00513DD8">
        <w:t xml:space="preserve">. Whilst some of the pressures giving rise to past increases remain, these would not be expected to continue indefinitely </w:t>
      </w:r>
      <w:r>
        <w:t xml:space="preserve">and hence </w:t>
      </w:r>
      <w:r w:rsidR="00513DD8">
        <w:t xml:space="preserve">past rates of inflation </w:t>
      </w:r>
      <w:r w:rsidR="002278CC">
        <w:t>d</w:t>
      </w:r>
      <w:r w:rsidR="00571522">
        <w:t xml:space="preserve">o not provide definitive </w:t>
      </w:r>
      <w:r>
        <w:t xml:space="preserve">guidance regarding likely future rates of inflation.  </w:t>
      </w:r>
    </w:p>
    <w:p w14:paraId="7A2A1E99" w14:textId="5171F1FE" w:rsidR="00903F7D" w:rsidRPr="00E255CE" w:rsidRDefault="00903F7D" w:rsidP="00903F7D">
      <w:pPr>
        <w:pStyle w:val="ListParagraph"/>
        <w:numPr>
          <w:ilvl w:val="0"/>
          <w:numId w:val="21"/>
        </w:numPr>
        <w:spacing w:before="240"/>
        <w:rPr>
          <w:b/>
        </w:rPr>
      </w:pPr>
      <w:r w:rsidRPr="00E255CE">
        <w:rPr>
          <w:b/>
        </w:rPr>
        <w:t>Numbers of participants transitioning into Supported Independent Living</w:t>
      </w:r>
      <w:r>
        <w:t xml:space="preserve"> –there is only one year of experience of participants transitioning into Supported Independent Living following all </w:t>
      </w:r>
      <w:r w:rsidR="009478F0">
        <w:t xml:space="preserve">geographic </w:t>
      </w:r>
      <w:r>
        <w:t xml:space="preserve">regions </w:t>
      </w:r>
      <w:r w:rsidR="009478F0">
        <w:t xml:space="preserve">gaining </w:t>
      </w:r>
      <w:r>
        <w:t xml:space="preserve">access to the Scheme. </w:t>
      </w:r>
      <w:r>
        <w:lastRenderedPageBreak/>
        <w:t>Longer term SIL participant numbers are therefore based on relatively little experience</w:t>
      </w:r>
      <w:r w:rsidR="002B6DAC">
        <w:t>.</w:t>
      </w:r>
      <w:r>
        <w:t xml:space="preserve"> </w:t>
      </w:r>
    </w:p>
    <w:p w14:paraId="51DB581A" w14:textId="47C6231E" w:rsidR="00BF1F38" w:rsidRDefault="00903F7D" w:rsidP="00BF1F38">
      <w:pPr>
        <w:spacing w:before="240"/>
      </w:pPr>
      <w:r>
        <w:t xml:space="preserve">To consider the uncertainty inherent within the projection revised projections have been calculated for a number of scenarios. These consider a range of plausible outcomes in relation to the uncertainties above. </w:t>
      </w:r>
      <w:r>
        <w:fldChar w:fldCharType="begin"/>
      </w:r>
      <w:r>
        <w:instrText xml:space="preserve"> REF _Ref80451209 \h </w:instrText>
      </w:r>
      <w:r>
        <w:fldChar w:fldCharType="separate"/>
      </w:r>
      <w:r w:rsidR="00E50032" w:rsidRPr="00AA44C0">
        <w:t xml:space="preserve">Table </w:t>
      </w:r>
      <w:r w:rsidR="00E50032">
        <w:rPr>
          <w:noProof/>
        </w:rPr>
        <w:t>10</w:t>
      </w:r>
      <w:r>
        <w:fldChar w:fldCharType="end"/>
      </w:r>
      <w:r w:rsidR="00BA0742" w:rsidRPr="004C292C">
        <w:t xml:space="preserve"> shows the </w:t>
      </w:r>
      <w:r w:rsidR="001C03B8">
        <w:t xml:space="preserve">range of plausible </w:t>
      </w:r>
      <w:r w:rsidR="00BA0742">
        <w:t xml:space="preserve">scenarios </w:t>
      </w:r>
      <w:r w:rsidR="001C03B8">
        <w:t>estimated</w:t>
      </w:r>
      <w:r>
        <w:t>.</w:t>
      </w:r>
      <w:r w:rsidR="00BF1F38">
        <w:t xml:space="preserve"> Comments about specific scenarios are as follows:</w:t>
      </w:r>
    </w:p>
    <w:p w14:paraId="66CFAED1" w14:textId="77777777" w:rsidR="00BF1F38" w:rsidRDefault="00BF1F38" w:rsidP="00BF1F38">
      <w:pPr>
        <w:pStyle w:val="ListParagraph"/>
        <w:numPr>
          <w:ilvl w:val="0"/>
          <w:numId w:val="31"/>
        </w:numPr>
        <w:spacing w:before="240"/>
      </w:pPr>
      <w:r w:rsidRPr="00220157">
        <w:rPr>
          <w:i/>
        </w:rPr>
        <w:t>Two additional years of high inflation</w:t>
      </w:r>
      <w:r>
        <w:t xml:space="preserve"> is assumed at the same rate as observed over the past three years, which is higher than that assumed in the baseline projection</w:t>
      </w:r>
    </w:p>
    <w:p w14:paraId="48726BCE" w14:textId="77777777" w:rsidR="00BF1F38" w:rsidRDefault="00BF1F38" w:rsidP="00BF1F38">
      <w:pPr>
        <w:pStyle w:val="ListParagraph"/>
        <w:numPr>
          <w:ilvl w:val="0"/>
          <w:numId w:val="31"/>
        </w:numPr>
        <w:spacing w:before="240"/>
      </w:pPr>
      <w:r w:rsidRPr="00220157">
        <w:rPr>
          <w:i/>
        </w:rPr>
        <w:t>Higher long term new incidence assumptions</w:t>
      </w:r>
      <w:r>
        <w:t xml:space="preserve"> are consistent with the rate observed over the past year which is higher than that assumed in the longer term in the baseline projection</w:t>
      </w:r>
    </w:p>
    <w:p w14:paraId="689E9C8B" w14:textId="77777777" w:rsidR="00BF1F38" w:rsidRDefault="00BF1F38" w:rsidP="00BF1F38">
      <w:pPr>
        <w:pStyle w:val="ListParagraph"/>
        <w:numPr>
          <w:ilvl w:val="0"/>
          <w:numId w:val="31"/>
        </w:numPr>
        <w:spacing w:before="240"/>
      </w:pPr>
      <w:r w:rsidRPr="00220157">
        <w:rPr>
          <w:i/>
        </w:rPr>
        <w:t>Lower non-mortality exit rates</w:t>
      </w:r>
      <w:r>
        <w:t xml:space="preserve"> are consistent with those recently observed, which are lower than those assumed in the longer term in the baseline projection</w:t>
      </w:r>
    </w:p>
    <w:p w14:paraId="27E8711D" w14:textId="5A68E553" w:rsidR="00BF1F38" w:rsidRDefault="00BF1F38" w:rsidP="00BF1F38">
      <w:pPr>
        <w:pStyle w:val="ListParagraph"/>
        <w:numPr>
          <w:ilvl w:val="0"/>
          <w:numId w:val="31"/>
        </w:numPr>
        <w:spacing w:before="240"/>
      </w:pPr>
      <w:r w:rsidRPr="00220157">
        <w:rPr>
          <w:i/>
        </w:rPr>
        <w:t>Higher cost of new entrants</w:t>
      </w:r>
      <w:r>
        <w:t xml:space="preserve"> assumes new entrants having the same average payment as existing participants in the same cohort</w:t>
      </w:r>
      <w:r w:rsidR="00864DC5">
        <w:rPr>
          <w:rStyle w:val="FootnoteReference"/>
        </w:rPr>
        <w:footnoteReference w:id="26"/>
      </w:r>
    </w:p>
    <w:p w14:paraId="1B483F9A" w14:textId="34CDC32F" w:rsidR="00BF1F38" w:rsidRDefault="00BF1F38" w:rsidP="00BF1F38">
      <w:pPr>
        <w:pStyle w:val="ListParagraph"/>
        <w:numPr>
          <w:ilvl w:val="0"/>
          <w:numId w:val="31"/>
        </w:numPr>
        <w:spacing w:before="240"/>
      </w:pPr>
      <w:r w:rsidRPr="00220157">
        <w:rPr>
          <w:i/>
        </w:rPr>
        <w:t>One year less of high inflation</w:t>
      </w:r>
      <w:r>
        <w:t xml:space="preserve"> assumes that inflation reduces to a lower long term level one year earlier</w:t>
      </w:r>
      <w:r w:rsidR="00CC7D1D">
        <w:t xml:space="preserve"> (i.e. the long-term assumption is adopted from </w:t>
      </w:r>
      <w:r w:rsidR="00864DC5">
        <w:t xml:space="preserve">2027-28 </w:t>
      </w:r>
      <w:r w:rsidR="00CC7D1D">
        <w:t xml:space="preserve">onwards compared with </w:t>
      </w:r>
      <w:r w:rsidR="00864DC5">
        <w:t xml:space="preserve">2028-29 </w:t>
      </w:r>
      <w:r w:rsidR="00CC7D1D">
        <w:t>onwards in the baseline projection).</w:t>
      </w:r>
    </w:p>
    <w:p w14:paraId="3DBCB729" w14:textId="77777777" w:rsidR="00BF1F38" w:rsidRPr="00220157" w:rsidRDefault="00BF1F38" w:rsidP="00BF1F38">
      <w:pPr>
        <w:pStyle w:val="ListParagraph"/>
        <w:numPr>
          <w:ilvl w:val="0"/>
          <w:numId w:val="31"/>
        </w:numPr>
        <w:spacing w:before="240"/>
        <w:rPr>
          <w:i/>
        </w:rPr>
      </w:pPr>
      <w:r w:rsidRPr="00220157">
        <w:rPr>
          <w:i/>
        </w:rPr>
        <w:t xml:space="preserve">Lower long term new incidence assumptions </w:t>
      </w:r>
      <w:r>
        <w:t>projects new entrants consistent with that assumed at 30 June 2020, which is about 33% below current assumptions</w:t>
      </w:r>
    </w:p>
    <w:p w14:paraId="0BCB6CED" w14:textId="30EDF752" w:rsidR="00BF1F38" w:rsidRPr="00220157" w:rsidRDefault="00BF1F38" w:rsidP="00BF1F38">
      <w:pPr>
        <w:pStyle w:val="ListParagraph"/>
        <w:numPr>
          <w:ilvl w:val="0"/>
          <w:numId w:val="31"/>
        </w:numPr>
        <w:spacing w:before="240"/>
        <w:rPr>
          <w:i/>
        </w:rPr>
      </w:pPr>
      <w:r>
        <w:rPr>
          <w:i/>
        </w:rPr>
        <w:t>Lower cost of new entrants</w:t>
      </w:r>
      <w:r>
        <w:t xml:space="preserve"> assumes new entrants having average payments 17% below existing participants, consistent with the recent observed exper</w:t>
      </w:r>
      <w:r w:rsidR="00864DC5">
        <w:t xml:space="preserve">ience (under the baseline projection the cost of </w:t>
      </w:r>
      <w:r w:rsidR="00CC7D1D">
        <w:t xml:space="preserve">new entrants </w:t>
      </w:r>
      <w:r w:rsidR="00864DC5">
        <w:t xml:space="preserve">is </w:t>
      </w:r>
      <w:r w:rsidR="00CC7D1D">
        <w:t>assumed to be 8.5% lower than existing participants</w:t>
      </w:r>
      <w:r>
        <w:t>)</w:t>
      </w:r>
    </w:p>
    <w:p w14:paraId="486FC490" w14:textId="77777777" w:rsidR="00864DC5" w:rsidRPr="00864DC5" w:rsidRDefault="00BF1F38" w:rsidP="00BF1F38">
      <w:pPr>
        <w:pStyle w:val="ListParagraph"/>
        <w:numPr>
          <w:ilvl w:val="0"/>
          <w:numId w:val="31"/>
        </w:numPr>
        <w:spacing w:before="240"/>
        <w:rPr>
          <w:i/>
        </w:rPr>
      </w:pPr>
      <w:r>
        <w:rPr>
          <w:i/>
        </w:rPr>
        <w:t>Other</w:t>
      </w:r>
      <w:r>
        <w:t xml:space="preserve"> scenarios include </w:t>
      </w:r>
    </w:p>
    <w:p w14:paraId="50789753" w14:textId="161BFA15" w:rsidR="00864DC5" w:rsidRPr="00402B65" w:rsidRDefault="00864DC5" w:rsidP="00864DC5">
      <w:pPr>
        <w:pStyle w:val="ListParagraph"/>
        <w:numPr>
          <w:ilvl w:val="1"/>
          <w:numId w:val="31"/>
        </w:numPr>
        <w:spacing w:before="240"/>
        <w:rPr>
          <w:i/>
        </w:rPr>
      </w:pPr>
      <w:r>
        <w:t>v</w:t>
      </w:r>
      <w:r w:rsidR="00BF1F38">
        <w:t>ariance</w:t>
      </w:r>
      <w:r>
        <w:t xml:space="preserve">s in the number of SIL participants (200 less p.a. in the reduction scenario and 500 more </w:t>
      </w:r>
      <w:r w:rsidR="00CE28F3">
        <w:t xml:space="preserve">p.a. </w:t>
      </w:r>
      <w:r>
        <w:t xml:space="preserve">in </w:t>
      </w:r>
      <w:r w:rsidRPr="00402B65">
        <w:t>the increase scenario)</w:t>
      </w:r>
    </w:p>
    <w:p w14:paraId="5AC6974A" w14:textId="77777777" w:rsidR="00864DC5" w:rsidRPr="00402B65" w:rsidRDefault="00CC7D1D" w:rsidP="00864DC5">
      <w:pPr>
        <w:pStyle w:val="ListParagraph"/>
        <w:numPr>
          <w:ilvl w:val="1"/>
          <w:numId w:val="31"/>
        </w:numPr>
        <w:spacing w:before="240"/>
        <w:rPr>
          <w:i/>
        </w:rPr>
      </w:pPr>
      <w:r w:rsidRPr="00402B65">
        <w:t xml:space="preserve">lower </w:t>
      </w:r>
      <w:r w:rsidR="00BF1F38" w:rsidRPr="00402B65">
        <w:t xml:space="preserve">general population growth </w:t>
      </w:r>
      <w:r w:rsidR="00864DC5" w:rsidRPr="00402B65">
        <w:t>(i.e. lower growth in the Australian population)</w:t>
      </w:r>
    </w:p>
    <w:p w14:paraId="161E6916" w14:textId="13B391F1" w:rsidR="00BF1F38" w:rsidRPr="00402B65" w:rsidRDefault="00864DC5" w:rsidP="00864DC5">
      <w:pPr>
        <w:pStyle w:val="ListParagraph"/>
        <w:numPr>
          <w:ilvl w:val="1"/>
          <w:numId w:val="31"/>
        </w:numPr>
        <w:spacing w:before="240"/>
        <w:rPr>
          <w:i/>
        </w:rPr>
      </w:pPr>
      <w:proofErr w:type="gramStart"/>
      <w:r w:rsidRPr="00402B65">
        <w:t>three</w:t>
      </w:r>
      <w:proofErr w:type="gramEnd"/>
      <w:r w:rsidRPr="00402B65">
        <w:t xml:space="preserve"> additional years </w:t>
      </w:r>
      <w:r w:rsidR="00402B65" w:rsidRPr="004B3B25">
        <w:t>of new entrant numbers in excess of the long term rate</w:t>
      </w:r>
      <w:r w:rsidRPr="00402B65">
        <w:t xml:space="preserve"> (i.e. the new incidence rate stabilises in </w:t>
      </w:r>
      <w:r w:rsidR="00217FF9" w:rsidRPr="00402B65">
        <w:t>2026-27</w:t>
      </w:r>
      <w:r w:rsidRPr="00402B65">
        <w:t xml:space="preserve"> instead of 2023-24)</w:t>
      </w:r>
      <w:r w:rsidR="00BF1F38" w:rsidRPr="00402B65">
        <w:t>.</w:t>
      </w:r>
    </w:p>
    <w:p w14:paraId="0C75A924" w14:textId="6AF28B70" w:rsidR="00BA0742" w:rsidRPr="00502B9D" w:rsidRDefault="00BA0742" w:rsidP="00903F7D">
      <w:pPr>
        <w:spacing w:before="240"/>
        <w:rPr>
          <w:b/>
          <w:i/>
          <w:color w:val="6B2976"/>
          <w:sz w:val="25"/>
        </w:rPr>
      </w:pPr>
      <w:r>
        <w:t>The plausible range estimated in 2024-25 is between $3</w:t>
      </w:r>
      <w:r w:rsidR="009478F0">
        <w:t>9</w:t>
      </w:r>
      <w:r>
        <w:t>.</w:t>
      </w:r>
      <w:r w:rsidR="009478F0">
        <w:t>0</w:t>
      </w:r>
      <w:r w:rsidR="007D6333">
        <w:t xml:space="preserve"> billion</w:t>
      </w:r>
      <w:r>
        <w:t xml:space="preserve"> and $4</w:t>
      </w:r>
      <w:r w:rsidR="009478F0">
        <w:t>7</w:t>
      </w:r>
      <w:r>
        <w:t>.</w:t>
      </w:r>
      <w:r w:rsidR="009478F0">
        <w:t>8</w:t>
      </w:r>
      <w:r w:rsidR="007D6333">
        <w:t xml:space="preserve"> billion</w:t>
      </w:r>
      <w:r w:rsidR="00903F7D">
        <w:t>, whilst t</w:t>
      </w:r>
      <w:r>
        <w:t>he plausible range estimated in 202</w:t>
      </w:r>
      <w:r w:rsidR="00903F7D">
        <w:t>9</w:t>
      </w:r>
      <w:r>
        <w:t>-</w:t>
      </w:r>
      <w:r w:rsidR="00903F7D">
        <w:t>30</w:t>
      </w:r>
      <w:r>
        <w:t xml:space="preserve"> is between $5</w:t>
      </w:r>
      <w:r w:rsidR="00903F7D">
        <w:t>3</w:t>
      </w:r>
      <w:r>
        <w:t>.</w:t>
      </w:r>
      <w:r w:rsidR="009478F0">
        <w:t>2</w:t>
      </w:r>
      <w:r w:rsidR="007D6333">
        <w:t xml:space="preserve"> billion</w:t>
      </w:r>
      <w:r>
        <w:t xml:space="preserve"> and $7</w:t>
      </w:r>
      <w:r w:rsidR="009478F0">
        <w:t>4</w:t>
      </w:r>
      <w:r>
        <w:t>.</w:t>
      </w:r>
      <w:r w:rsidR="00C82EF5">
        <w:t>2</w:t>
      </w:r>
      <w:r w:rsidR="007D6333">
        <w:t xml:space="preserve"> billion</w:t>
      </w:r>
      <w:r w:rsidR="002B6DAC">
        <w:t>.</w:t>
      </w:r>
    </w:p>
    <w:p w14:paraId="18E67A7C" w14:textId="520C623F" w:rsidR="00BA0742" w:rsidRDefault="00BA0742" w:rsidP="00BA0742">
      <w:pPr>
        <w:pStyle w:val="Tables"/>
        <w:keepLines/>
      </w:pPr>
      <w:bookmarkStart w:id="23" w:name="_Ref80451209"/>
      <w:r w:rsidRPr="00AA44C0">
        <w:lastRenderedPageBreak/>
        <w:t xml:space="preserve">Table </w:t>
      </w:r>
      <w:fldSimple w:instr=" SEQ Table \* ARABIC ">
        <w:r w:rsidR="00E50032">
          <w:rPr>
            <w:noProof/>
          </w:rPr>
          <w:t>10</w:t>
        </w:r>
      </w:fldSimple>
      <w:bookmarkEnd w:id="23"/>
      <w:r w:rsidRPr="00AA44C0">
        <w:t xml:space="preserve"> </w:t>
      </w:r>
      <w:r w:rsidR="004C292C">
        <w:t>Plausible range of cost outcomes</w:t>
      </w:r>
    </w:p>
    <w:tbl>
      <w:tblPr>
        <w:tblStyle w:val="TableGrid"/>
        <w:tblpPr w:leftFromText="180" w:rightFromText="180" w:vertAnchor="text" w:horzAnchor="margin" w:tblpY="-68"/>
        <w:tblW w:w="9918" w:type="dxa"/>
        <w:tblLayout w:type="fixed"/>
        <w:tblLook w:val="04A0" w:firstRow="1" w:lastRow="0" w:firstColumn="1" w:lastColumn="0" w:noHBand="0" w:noVBand="1"/>
      </w:tblPr>
      <w:tblGrid>
        <w:gridCol w:w="4390"/>
        <w:gridCol w:w="850"/>
        <w:gridCol w:w="851"/>
        <w:gridCol w:w="850"/>
        <w:gridCol w:w="992"/>
        <w:gridCol w:w="1134"/>
        <w:gridCol w:w="851"/>
      </w:tblGrid>
      <w:tr w:rsidR="00F506AF" w14:paraId="349CF075" w14:textId="77777777" w:rsidTr="00312E88">
        <w:trPr>
          <w:tblHeader/>
        </w:trPr>
        <w:tc>
          <w:tcPr>
            <w:tcW w:w="4390" w:type="dxa"/>
            <w:shd w:val="clear" w:color="auto" w:fill="6B2E76"/>
            <w:vAlign w:val="center"/>
          </w:tcPr>
          <w:p w14:paraId="05C7F542" w14:textId="77777777" w:rsidR="00F506AF" w:rsidRPr="00524428" w:rsidRDefault="00F506AF" w:rsidP="00312E88">
            <w:pPr>
              <w:pStyle w:val="Tables"/>
              <w:rPr>
                <w:rFonts w:cs="Arial"/>
                <w:color w:val="FFFFFF" w:themeColor="background1"/>
                <w:sz w:val="15"/>
                <w:szCs w:val="15"/>
              </w:rPr>
            </w:pPr>
            <w:r w:rsidRPr="00524428">
              <w:rPr>
                <w:rFonts w:cs="Arial"/>
                <w:color w:val="FFFFFF" w:themeColor="background1"/>
                <w:sz w:val="15"/>
                <w:szCs w:val="15"/>
              </w:rPr>
              <w:t>Scenarios – all participants ($m)</w:t>
            </w:r>
          </w:p>
        </w:tc>
        <w:tc>
          <w:tcPr>
            <w:tcW w:w="850" w:type="dxa"/>
            <w:shd w:val="clear" w:color="auto" w:fill="6B2E76"/>
            <w:vAlign w:val="center"/>
          </w:tcPr>
          <w:p w14:paraId="63188E2F" w14:textId="77777777" w:rsidR="00F506AF" w:rsidRPr="00524428" w:rsidRDefault="00F506AF" w:rsidP="00312E88">
            <w:pPr>
              <w:pStyle w:val="Tables"/>
              <w:jc w:val="center"/>
              <w:rPr>
                <w:rFonts w:cs="Arial"/>
                <w:color w:val="FFFFFF" w:themeColor="background1"/>
                <w:sz w:val="15"/>
                <w:szCs w:val="15"/>
              </w:rPr>
            </w:pPr>
            <w:r w:rsidRPr="00524428">
              <w:rPr>
                <w:rFonts w:cs="Arial"/>
                <w:color w:val="FFFFFF" w:themeColor="background1"/>
                <w:sz w:val="15"/>
                <w:szCs w:val="15"/>
              </w:rPr>
              <w:t>2021-22</w:t>
            </w:r>
          </w:p>
        </w:tc>
        <w:tc>
          <w:tcPr>
            <w:tcW w:w="851" w:type="dxa"/>
            <w:shd w:val="clear" w:color="auto" w:fill="6B2E76"/>
            <w:vAlign w:val="center"/>
          </w:tcPr>
          <w:p w14:paraId="40139D88" w14:textId="77777777" w:rsidR="00F506AF" w:rsidRPr="00524428" w:rsidRDefault="00F506AF" w:rsidP="00312E88">
            <w:pPr>
              <w:pStyle w:val="Tables"/>
              <w:jc w:val="center"/>
              <w:rPr>
                <w:rFonts w:cs="Arial"/>
                <w:color w:val="FFFFFF" w:themeColor="background1"/>
                <w:sz w:val="15"/>
                <w:szCs w:val="15"/>
              </w:rPr>
            </w:pPr>
            <w:r w:rsidRPr="00524428">
              <w:rPr>
                <w:rFonts w:cs="Arial"/>
                <w:color w:val="FFFFFF" w:themeColor="background1"/>
                <w:sz w:val="15"/>
                <w:szCs w:val="15"/>
              </w:rPr>
              <w:t>2022-23</w:t>
            </w:r>
          </w:p>
        </w:tc>
        <w:tc>
          <w:tcPr>
            <w:tcW w:w="850" w:type="dxa"/>
            <w:shd w:val="clear" w:color="auto" w:fill="6B2E76"/>
            <w:vAlign w:val="center"/>
          </w:tcPr>
          <w:p w14:paraId="4B8F38EE" w14:textId="77777777" w:rsidR="00F506AF" w:rsidRPr="00524428" w:rsidRDefault="00F506AF" w:rsidP="00312E88">
            <w:pPr>
              <w:pStyle w:val="Tables"/>
              <w:jc w:val="center"/>
              <w:rPr>
                <w:rFonts w:cs="Arial"/>
                <w:color w:val="FFFFFF" w:themeColor="background1"/>
                <w:sz w:val="15"/>
                <w:szCs w:val="15"/>
              </w:rPr>
            </w:pPr>
            <w:r w:rsidRPr="00524428">
              <w:rPr>
                <w:rFonts w:cs="Arial"/>
                <w:color w:val="FFFFFF" w:themeColor="background1"/>
                <w:sz w:val="15"/>
                <w:szCs w:val="15"/>
              </w:rPr>
              <w:t>2023-24</w:t>
            </w:r>
          </w:p>
        </w:tc>
        <w:tc>
          <w:tcPr>
            <w:tcW w:w="992" w:type="dxa"/>
            <w:shd w:val="clear" w:color="auto" w:fill="6B2E76"/>
            <w:vAlign w:val="center"/>
          </w:tcPr>
          <w:p w14:paraId="5087EA16" w14:textId="77777777" w:rsidR="00F506AF" w:rsidRPr="00524428" w:rsidRDefault="00F506AF" w:rsidP="00312E88">
            <w:pPr>
              <w:pStyle w:val="Tables"/>
              <w:jc w:val="center"/>
              <w:rPr>
                <w:rFonts w:cs="Arial"/>
                <w:color w:val="FFFFFF" w:themeColor="background1"/>
                <w:sz w:val="15"/>
                <w:szCs w:val="15"/>
              </w:rPr>
            </w:pPr>
            <w:r w:rsidRPr="00524428">
              <w:rPr>
                <w:rFonts w:cs="Arial"/>
                <w:color w:val="FFFFFF" w:themeColor="background1"/>
                <w:sz w:val="15"/>
                <w:szCs w:val="15"/>
              </w:rPr>
              <w:t>2024-25</w:t>
            </w:r>
          </w:p>
        </w:tc>
        <w:tc>
          <w:tcPr>
            <w:tcW w:w="1134" w:type="dxa"/>
            <w:shd w:val="clear" w:color="auto" w:fill="6B2E76"/>
            <w:vAlign w:val="center"/>
          </w:tcPr>
          <w:p w14:paraId="092C2FDA" w14:textId="77777777" w:rsidR="00F506AF" w:rsidRPr="00524428" w:rsidRDefault="00F506AF" w:rsidP="00312E88">
            <w:pPr>
              <w:pStyle w:val="Tables"/>
              <w:jc w:val="center"/>
              <w:rPr>
                <w:rFonts w:cs="Arial"/>
                <w:color w:val="FFFFFF" w:themeColor="background1"/>
                <w:sz w:val="15"/>
                <w:szCs w:val="15"/>
              </w:rPr>
            </w:pPr>
            <w:r w:rsidRPr="00524428">
              <w:rPr>
                <w:rFonts w:cs="Arial"/>
                <w:color w:val="FFFFFF" w:themeColor="background1"/>
                <w:sz w:val="15"/>
                <w:szCs w:val="15"/>
              </w:rPr>
              <w:t>2029-30</w:t>
            </w:r>
          </w:p>
        </w:tc>
        <w:tc>
          <w:tcPr>
            <w:tcW w:w="851" w:type="dxa"/>
            <w:shd w:val="clear" w:color="auto" w:fill="6B2E76"/>
          </w:tcPr>
          <w:p w14:paraId="7F347A36" w14:textId="77777777" w:rsidR="00F506AF" w:rsidRDefault="00F506AF" w:rsidP="00312E88">
            <w:pPr>
              <w:pStyle w:val="Tables"/>
              <w:jc w:val="center"/>
              <w:rPr>
                <w:rFonts w:cs="Arial"/>
                <w:color w:val="FFFFFF" w:themeColor="background1"/>
                <w:sz w:val="15"/>
                <w:szCs w:val="15"/>
              </w:rPr>
            </w:pPr>
            <w:r w:rsidRPr="00524428">
              <w:rPr>
                <w:rFonts w:cs="Arial"/>
                <w:color w:val="FFFFFF" w:themeColor="background1"/>
                <w:sz w:val="15"/>
                <w:szCs w:val="15"/>
              </w:rPr>
              <w:t>Total</w:t>
            </w:r>
          </w:p>
          <w:p w14:paraId="1B41566A" w14:textId="77777777" w:rsidR="00F506AF" w:rsidRPr="00524428" w:rsidRDefault="00F506AF" w:rsidP="00312E88">
            <w:pPr>
              <w:pStyle w:val="Tables"/>
              <w:jc w:val="center"/>
              <w:rPr>
                <w:rFonts w:cs="Arial"/>
                <w:color w:val="FFFFFF" w:themeColor="background1"/>
                <w:sz w:val="15"/>
                <w:szCs w:val="15"/>
              </w:rPr>
            </w:pPr>
            <w:r>
              <w:rPr>
                <w:rFonts w:cs="Arial"/>
                <w:color w:val="FFFFFF" w:themeColor="background1"/>
                <w:sz w:val="15"/>
                <w:szCs w:val="15"/>
              </w:rPr>
              <w:t>2021-25</w:t>
            </w:r>
          </w:p>
        </w:tc>
      </w:tr>
      <w:tr w:rsidR="00F506AF" w14:paraId="3809D116" w14:textId="77777777" w:rsidTr="00312E88">
        <w:trPr>
          <w:trHeight w:hRule="exact" w:val="284"/>
        </w:trPr>
        <w:tc>
          <w:tcPr>
            <w:tcW w:w="4390" w:type="dxa"/>
          </w:tcPr>
          <w:p w14:paraId="03C18B14" w14:textId="77777777" w:rsidR="00F506AF" w:rsidRPr="00524428" w:rsidRDefault="00F506AF" w:rsidP="00312E88">
            <w:pPr>
              <w:pStyle w:val="Tables"/>
              <w:rPr>
                <w:rFonts w:cs="Arial"/>
                <w:sz w:val="16"/>
                <w:szCs w:val="16"/>
              </w:rPr>
            </w:pPr>
            <w:r w:rsidRPr="00524428">
              <w:rPr>
                <w:rFonts w:cs="Arial"/>
                <w:sz w:val="16"/>
                <w:szCs w:val="16"/>
              </w:rPr>
              <w:t>Baseline Projection</w:t>
            </w:r>
          </w:p>
        </w:tc>
        <w:tc>
          <w:tcPr>
            <w:tcW w:w="850" w:type="dxa"/>
          </w:tcPr>
          <w:p w14:paraId="33013830" w14:textId="77777777" w:rsidR="00F506AF" w:rsidRPr="00524428" w:rsidRDefault="00F506AF" w:rsidP="00312E88">
            <w:pPr>
              <w:pStyle w:val="Tables"/>
              <w:rPr>
                <w:rFonts w:cs="Arial"/>
                <w:sz w:val="16"/>
                <w:szCs w:val="16"/>
              </w:rPr>
            </w:pPr>
            <w:r w:rsidRPr="00524428">
              <w:rPr>
                <w:rFonts w:cs="Arial"/>
                <w:sz w:val="16"/>
                <w:szCs w:val="16"/>
              </w:rPr>
              <w:t>29,223</w:t>
            </w:r>
          </w:p>
        </w:tc>
        <w:tc>
          <w:tcPr>
            <w:tcW w:w="851" w:type="dxa"/>
          </w:tcPr>
          <w:p w14:paraId="50D54C93" w14:textId="77777777" w:rsidR="00F506AF" w:rsidRPr="00524428" w:rsidRDefault="00F506AF" w:rsidP="00312E88">
            <w:pPr>
              <w:pStyle w:val="Tables"/>
              <w:rPr>
                <w:rFonts w:cs="Arial"/>
                <w:sz w:val="16"/>
                <w:szCs w:val="16"/>
              </w:rPr>
            </w:pPr>
            <w:r w:rsidRPr="00524428">
              <w:rPr>
                <w:rFonts w:cs="Arial"/>
                <w:sz w:val="16"/>
                <w:szCs w:val="16"/>
              </w:rPr>
              <w:t>33,886</w:t>
            </w:r>
          </w:p>
        </w:tc>
        <w:tc>
          <w:tcPr>
            <w:tcW w:w="850" w:type="dxa"/>
          </w:tcPr>
          <w:p w14:paraId="21E773A7" w14:textId="77777777" w:rsidR="00F506AF" w:rsidRPr="00524428" w:rsidRDefault="00F506AF" w:rsidP="00312E88">
            <w:pPr>
              <w:pStyle w:val="Tables"/>
              <w:rPr>
                <w:rFonts w:cs="Arial"/>
                <w:sz w:val="16"/>
                <w:szCs w:val="16"/>
              </w:rPr>
            </w:pPr>
            <w:r w:rsidRPr="00524428">
              <w:rPr>
                <w:rFonts w:cs="Arial"/>
                <w:sz w:val="16"/>
                <w:szCs w:val="16"/>
              </w:rPr>
              <w:t>37,973</w:t>
            </w:r>
          </w:p>
        </w:tc>
        <w:tc>
          <w:tcPr>
            <w:tcW w:w="992" w:type="dxa"/>
          </w:tcPr>
          <w:p w14:paraId="474C95C0" w14:textId="77777777" w:rsidR="00F506AF" w:rsidRPr="00524428" w:rsidRDefault="00F506AF" w:rsidP="00312E88">
            <w:pPr>
              <w:pStyle w:val="Tables"/>
              <w:rPr>
                <w:rFonts w:cs="Arial"/>
                <w:sz w:val="16"/>
                <w:szCs w:val="16"/>
              </w:rPr>
            </w:pPr>
            <w:r w:rsidRPr="00524428">
              <w:rPr>
                <w:rFonts w:cs="Arial"/>
                <w:sz w:val="16"/>
                <w:szCs w:val="16"/>
              </w:rPr>
              <w:t>41,373</w:t>
            </w:r>
          </w:p>
        </w:tc>
        <w:tc>
          <w:tcPr>
            <w:tcW w:w="1134" w:type="dxa"/>
          </w:tcPr>
          <w:p w14:paraId="6019B68C" w14:textId="77777777" w:rsidR="00F506AF" w:rsidRPr="00524428" w:rsidRDefault="00F506AF" w:rsidP="00312E88">
            <w:pPr>
              <w:pStyle w:val="Tables"/>
              <w:rPr>
                <w:rFonts w:cs="Arial"/>
                <w:sz w:val="16"/>
                <w:szCs w:val="16"/>
              </w:rPr>
            </w:pPr>
            <w:r w:rsidRPr="00524428">
              <w:rPr>
                <w:rFonts w:cs="Arial"/>
                <w:sz w:val="16"/>
                <w:szCs w:val="16"/>
              </w:rPr>
              <w:t>59,284</w:t>
            </w:r>
          </w:p>
        </w:tc>
        <w:tc>
          <w:tcPr>
            <w:tcW w:w="851" w:type="dxa"/>
          </w:tcPr>
          <w:p w14:paraId="557D03DB" w14:textId="77777777" w:rsidR="00F506AF" w:rsidRPr="00524428" w:rsidRDefault="00F506AF" w:rsidP="00312E88">
            <w:pPr>
              <w:pStyle w:val="Tables"/>
              <w:rPr>
                <w:rFonts w:cs="Arial"/>
                <w:sz w:val="16"/>
                <w:szCs w:val="16"/>
              </w:rPr>
            </w:pPr>
            <w:r w:rsidRPr="00524428">
              <w:rPr>
                <w:rFonts w:cs="Arial"/>
                <w:sz w:val="16"/>
                <w:szCs w:val="16"/>
              </w:rPr>
              <w:t>142,455</w:t>
            </w:r>
          </w:p>
        </w:tc>
      </w:tr>
      <w:tr w:rsidR="00F506AF" w14:paraId="16BD1F6A" w14:textId="77777777" w:rsidTr="00312E88">
        <w:trPr>
          <w:trHeight w:hRule="exact" w:val="284"/>
        </w:trPr>
        <w:tc>
          <w:tcPr>
            <w:tcW w:w="4390" w:type="dxa"/>
            <w:shd w:val="clear" w:color="auto" w:fill="D3C5D7"/>
          </w:tcPr>
          <w:p w14:paraId="6BA6FB60" w14:textId="77777777" w:rsidR="00F506AF" w:rsidRPr="00524428" w:rsidRDefault="00F506AF" w:rsidP="00312E88">
            <w:pPr>
              <w:pStyle w:val="Tables"/>
              <w:rPr>
                <w:rFonts w:cs="Arial"/>
                <w:sz w:val="16"/>
                <w:szCs w:val="16"/>
              </w:rPr>
            </w:pPr>
            <w:r w:rsidRPr="00524428">
              <w:rPr>
                <w:rFonts w:cs="Arial"/>
                <w:sz w:val="16"/>
                <w:szCs w:val="16"/>
              </w:rPr>
              <w:t>Cost increase scenarios</w:t>
            </w:r>
          </w:p>
        </w:tc>
        <w:tc>
          <w:tcPr>
            <w:tcW w:w="5528" w:type="dxa"/>
            <w:gridSpan w:val="6"/>
            <w:shd w:val="clear" w:color="auto" w:fill="D3C5D7"/>
          </w:tcPr>
          <w:p w14:paraId="00068F89" w14:textId="77777777" w:rsidR="00F506AF" w:rsidRPr="00524428" w:rsidRDefault="00F506AF" w:rsidP="00312E88">
            <w:pPr>
              <w:pStyle w:val="Tables"/>
              <w:rPr>
                <w:rFonts w:cs="Arial"/>
                <w:sz w:val="16"/>
                <w:szCs w:val="16"/>
              </w:rPr>
            </w:pPr>
          </w:p>
        </w:tc>
      </w:tr>
      <w:tr w:rsidR="00F506AF" w14:paraId="03967CB5" w14:textId="77777777" w:rsidTr="00312E88">
        <w:trPr>
          <w:trHeight w:hRule="exact" w:val="284"/>
        </w:trPr>
        <w:tc>
          <w:tcPr>
            <w:tcW w:w="4390" w:type="dxa"/>
          </w:tcPr>
          <w:p w14:paraId="706AD22A"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Two additional years of high inflation</w:t>
            </w:r>
          </w:p>
        </w:tc>
        <w:tc>
          <w:tcPr>
            <w:tcW w:w="850" w:type="dxa"/>
          </w:tcPr>
          <w:p w14:paraId="4D0D86A5"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w:t>
            </w:r>
            <w:r>
              <w:rPr>
                <w:rFonts w:cs="Arial"/>
                <w:b w:val="0"/>
                <w:bCs w:val="0"/>
                <w:sz w:val="16"/>
                <w:szCs w:val="16"/>
              </w:rPr>
              <w:t>183</w:t>
            </w:r>
          </w:p>
        </w:tc>
        <w:tc>
          <w:tcPr>
            <w:tcW w:w="851" w:type="dxa"/>
          </w:tcPr>
          <w:p w14:paraId="1AF3333F" w14:textId="77777777" w:rsidR="00F506AF" w:rsidRPr="00524428" w:rsidRDefault="00F506AF" w:rsidP="00312E88">
            <w:pPr>
              <w:pStyle w:val="Tables"/>
              <w:rPr>
                <w:rFonts w:cs="Arial"/>
                <w:b w:val="0"/>
                <w:bCs w:val="0"/>
                <w:sz w:val="16"/>
                <w:szCs w:val="16"/>
              </w:rPr>
            </w:pPr>
            <w:r>
              <w:rPr>
                <w:rFonts w:cs="Arial"/>
                <w:b w:val="0"/>
                <w:bCs w:val="0"/>
                <w:sz w:val="16"/>
                <w:szCs w:val="16"/>
              </w:rPr>
              <w:t>2,508</w:t>
            </w:r>
          </w:p>
        </w:tc>
        <w:tc>
          <w:tcPr>
            <w:tcW w:w="850" w:type="dxa"/>
          </w:tcPr>
          <w:p w14:paraId="7F01C06A" w14:textId="77777777" w:rsidR="00F506AF" w:rsidRPr="00524428" w:rsidRDefault="00F506AF" w:rsidP="00312E88">
            <w:pPr>
              <w:pStyle w:val="Tables"/>
              <w:rPr>
                <w:rFonts w:cs="Arial"/>
                <w:b w:val="0"/>
                <w:bCs w:val="0"/>
                <w:sz w:val="16"/>
                <w:szCs w:val="16"/>
              </w:rPr>
            </w:pPr>
            <w:r>
              <w:rPr>
                <w:rFonts w:cs="Arial"/>
                <w:b w:val="0"/>
                <w:bCs w:val="0"/>
                <w:sz w:val="16"/>
                <w:szCs w:val="16"/>
              </w:rPr>
              <w:t>3,247</w:t>
            </w:r>
          </w:p>
        </w:tc>
        <w:tc>
          <w:tcPr>
            <w:tcW w:w="992" w:type="dxa"/>
          </w:tcPr>
          <w:p w14:paraId="013F9C1F" w14:textId="77777777" w:rsidR="00F506AF" w:rsidRPr="00524428" w:rsidRDefault="00F506AF" w:rsidP="00312E88">
            <w:pPr>
              <w:pStyle w:val="Tables"/>
              <w:rPr>
                <w:rFonts w:cs="Arial"/>
                <w:b w:val="0"/>
                <w:bCs w:val="0"/>
                <w:sz w:val="16"/>
                <w:szCs w:val="16"/>
              </w:rPr>
            </w:pPr>
            <w:r>
              <w:rPr>
                <w:rFonts w:cs="Arial"/>
                <w:b w:val="0"/>
                <w:bCs w:val="0"/>
                <w:sz w:val="16"/>
                <w:szCs w:val="16"/>
              </w:rPr>
              <w:t>5,240</w:t>
            </w:r>
          </w:p>
        </w:tc>
        <w:tc>
          <w:tcPr>
            <w:tcW w:w="1134" w:type="dxa"/>
          </w:tcPr>
          <w:p w14:paraId="0054FD40" w14:textId="77777777" w:rsidR="00F506AF" w:rsidRPr="00524428" w:rsidRDefault="00F506AF" w:rsidP="00312E88">
            <w:pPr>
              <w:pStyle w:val="Tables"/>
              <w:rPr>
                <w:rFonts w:cs="Arial"/>
                <w:b w:val="0"/>
                <w:bCs w:val="0"/>
                <w:sz w:val="16"/>
                <w:szCs w:val="16"/>
              </w:rPr>
            </w:pPr>
            <w:r>
              <w:rPr>
                <w:rFonts w:cs="Arial"/>
                <w:b w:val="0"/>
                <w:bCs w:val="0"/>
                <w:sz w:val="16"/>
                <w:szCs w:val="16"/>
              </w:rPr>
              <w:t>10,180</w:t>
            </w:r>
          </w:p>
        </w:tc>
        <w:tc>
          <w:tcPr>
            <w:tcW w:w="851" w:type="dxa"/>
          </w:tcPr>
          <w:p w14:paraId="57842544" w14:textId="77777777" w:rsidR="00F506AF" w:rsidRPr="00524428" w:rsidRDefault="00F506AF" w:rsidP="00312E88">
            <w:pPr>
              <w:pStyle w:val="Tables"/>
              <w:rPr>
                <w:rFonts w:cs="Arial"/>
                <w:b w:val="0"/>
                <w:bCs w:val="0"/>
                <w:sz w:val="16"/>
                <w:szCs w:val="16"/>
              </w:rPr>
            </w:pPr>
            <w:r>
              <w:rPr>
                <w:rFonts w:cs="Arial"/>
                <w:b w:val="0"/>
                <w:bCs w:val="0"/>
                <w:sz w:val="16"/>
                <w:szCs w:val="16"/>
              </w:rPr>
              <w:t>12,179</w:t>
            </w:r>
          </w:p>
        </w:tc>
      </w:tr>
      <w:tr w:rsidR="00F506AF" w14:paraId="6FEDCADA" w14:textId="77777777" w:rsidTr="00312E88">
        <w:trPr>
          <w:trHeight w:hRule="exact" w:val="284"/>
        </w:trPr>
        <w:tc>
          <w:tcPr>
            <w:tcW w:w="4390" w:type="dxa"/>
          </w:tcPr>
          <w:p w14:paraId="3F3ACF0C"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Higher long term new incidence assumptions</w:t>
            </w:r>
          </w:p>
        </w:tc>
        <w:tc>
          <w:tcPr>
            <w:tcW w:w="850" w:type="dxa"/>
          </w:tcPr>
          <w:p w14:paraId="4E25C80A"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0</w:t>
            </w:r>
          </w:p>
        </w:tc>
        <w:tc>
          <w:tcPr>
            <w:tcW w:w="851" w:type="dxa"/>
          </w:tcPr>
          <w:p w14:paraId="1A7808D1" w14:textId="77777777" w:rsidR="00F506AF" w:rsidRPr="00524428" w:rsidRDefault="00F506AF" w:rsidP="00312E88">
            <w:pPr>
              <w:pStyle w:val="Tables"/>
              <w:rPr>
                <w:rFonts w:cs="Arial"/>
                <w:b w:val="0"/>
                <w:bCs w:val="0"/>
                <w:sz w:val="16"/>
                <w:szCs w:val="16"/>
              </w:rPr>
            </w:pPr>
            <w:r>
              <w:rPr>
                <w:rFonts w:cs="Arial"/>
                <w:b w:val="0"/>
                <w:bCs w:val="0"/>
                <w:sz w:val="16"/>
                <w:szCs w:val="16"/>
              </w:rPr>
              <w:t>76</w:t>
            </w:r>
          </w:p>
        </w:tc>
        <w:tc>
          <w:tcPr>
            <w:tcW w:w="850" w:type="dxa"/>
          </w:tcPr>
          <w:p w14:paraId="09F703F5" w14:textId="77777777" w:rsidR="00F506AF" w:rsidRPr="00524428" w:rsidRDefault="00F506AF" w:rsidP="00312E88">
            <w:pPr>
              <w:pStyle w:val="Tables"/>
              <w:rPr>
                <w:rFonts w:cs="Arial"/>
                <w:b w:val="0"/>
                <w:bCs w:val="0"/>
                <w:sz w:val="16"/>
                <w:szCs w:val="16"/>
              </w:rPr>
            </w:pPr>
            <w:r>
              <w:rPr>
                <w:rFonts w:cs="Arial"/>
                <w:b w:val="0"/>
                <w:bCs w:val="0"/>
                <w:sz w:val="16"/>
                <w:szCs w:val="16"/>
              </w:rPr>
              <w:t>500</w:t>
            </w:r>
          </w:p>
        </w:tc>
        <w:tc>
          <w:tcPr>
            <w:tcW w:w="992" w:type="dxa"/>
          </w:tcPr>
          <w:p w14:paraId="645F9329" w14:textId="77777777" w:rsidR="00F506AF" w:rsidRPr="00524428" w:rsidRDefault="00F506AF" w:rsidP="00312E88">
            <w:pPr>
              <w:pStyle w:val="Tables"/>
              <w:rPr>
                <w:rFonts w:cs="Arial"/>
                <w:b w:val="0"/>
                <w:bCs w:val="0"/>
                <w:sz w:val="16"/>
                <w:szCs w:val="16"/>
              </w:rPr>
            </w:pPr>
            <w:r>
              <w:rPr>
                <w:rFonts w:cs="Arial"/>
                <w:b w:val="0"/>
                <w:bCs w:val="0"/>
                <w:sz w:val="16"/>
                <w:szCs w:val="16"/>
              </w:rPr>
              <w:t>1,253</w:t>
            </w:r>
          </w:p>
        </w:tc>
        <w:tc>
          <w:tcPr>
            <w:tcW w:w="1134" w:type="dxa"/>
          </w:tcPr>
          <w:p w14:paraId="419D7ED6" w14:textId="77777777" w:rsidR="00F506AF" w:rsidRPr="00524428" w:rsidRDefault="00F506AF" w:rsidP="00312E88">
            <w:pPr>
              <w:pStyle w:val="Tables"/>
              <w:rPr>
                <w:rFonts w:cs="Arial"/>
                <w:b w:val="0"/>
                <w:bCs w:val="0"/>
                <w:sz w:val="16"/>
                <w:szCs w:val="16"/>
              </w:rPr>
            </w:pPr>
            <w:r>
              <w:rPr>
                <w:rFonts w:cs="Arial"/>
                <w:b w:val="0"/>
                <w:bCs w:val="0"/>
                <w:sz w:val="16"/>
                <w:szCs w:val="16"/>
              </w:rPr>
              <w:t>6,272</w:t>
            </w:r>
          </w:p>
        </w:tc>
        <w:tc>
          <w:tcPr>
            <w:tcW w:w="851" w:type="dxa"/>
          </w:tcPr>
          <w:p w14:paraId="5217A3A5" w14:textId="77777777" w:rsidR="00F506AF" w:rsidRPr="00524428" w:rsidRDefault="00F506AF" w:rsidP="00312E88">
            <w:pPr>
              <w:pStyle w:val="Tables"/>
              <w:rPr>
                <w:rFonts w:cs="Arial"/>
                <w:b w:val="0"/>
                <w:bCs w:val="0"/>
                <w:sz w:val="16"/>
                <w:szCs w:val="16"/>
              </w:rPr>
            </w:pPr>
            <w:r>
              <w:rPr>
                <w:rFonts w:cs="Arial"/>
                <w:b w:val="0"/>
                <w:bCs w:val="0"/>
                <w:sz w:val="16"/>
                <w:szCs w:val="16"/>
              </w:rPr>
              <w:t>1,828</w:t>
            </w:r>
          </w:p>
        </w:tc>
      </w:tr>
      <w:tr w:rsidR="00F506AF" w14:paraId="40A9B228" w14:textId="77777777" w:rsidTr="00312E88">
        <w:trPr>
          <w:trHeight w:hRule="exact" w:val="284"/>
        </w:trPr>
        <w:tc>
          <w:tcPr>
            <w:tcW w:w="4390" w:type="dxa"/>
          </w:tcPr>
          <w:p w14:paraId="108C0C34"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Lower non-mortality exit rates</w:t>
            </w:r>
          </w:p>
        </w:tc>
        <w:tc>
          <w:tcPr>
            <w:tcW w:w="850" w:type="dxa"/>
          </w:tcPr>
          <w:p w14:paraId="67BCD5DE"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15</w:t>
            </w:r>
          </w:p>
        </w:tc>
        <w:tc>
          <w:tcPr>
            <w:tcW w:w="851" w:type="dxa"/>
          </w:tcPr>
          <w:p w14:paraId="5265A194" w14:textId="77777777" w:rsidR="00F506AF" w:rsidRPr="00524428" w:rsidRDefault="00F506AF" w:rsidP="00312E88">
            <w:pPr>
              <w:pStyle w:val="Tables"/>
              <w:rPr>
                <w:rFonts w:cs="Arial"/>
                <w:b w:val="0"/>
                <w:bCs w:val="0"/>
                <w:sz w:val="16"/>
                <w:szCs w:val="16"/>
              </w:rPr>
            </w:pPr>
            <w:r>
              <w:rPr>
                <w:rFonts w:cs="Arial"/>
                <w:b w:val="0"/>
                <w:bCs w:val="0"/>
                <w:sz w:val="16"/>
                <w:szCs w:val="16"/>
              </w:rPr>
              <w:t>82</w:t>
            </w:r>
          </w:p>
        </w:tc>
        <w:tc>
          <w:tcPr>
            <w:tcW w:w="850" w:type="dxa"/>
          </w:tcPr>
          <w:p w14:paraId="1FF4953E" w14:textId="77777777" w:rsidR="00F506AF" w:rsidRPr="00524428" w:rsidRDefault="00F506AF" w:rsidP="00312E88">
            <w:pPr>
              <w:pStyle w:val="Tables"/>
              <w:rPr>
                <w:rFonts w:cs="Arial"/>
                <w:b w:val="0"/>
                <w:bCs w:val="0"/>
                <w:sz w:val="16"/>
                <w:szCs w:val="16"/>
              </w:rPr>
            </w:pPr>
            <w:r>
              <w:rPr>
                <w:rFonts w:cs="Arial"/>
                <w:b w:val="0"/>
                <w:bCs w:val="0"/>
                <w:sz w:val="16"/>
                <w:szCs w:val="16"/>
              </w:rPr>
              <w:t>233</w:t>
            </w:r>
          </w:p>
        </w:tc>
        <w:tc>
          <w:tcPr>
            <w:tcW w:w="992" w:type="dxa"/>
          </w:tcPr>
          <w:p w14:paraId="050E2346" w14:textId="77777777" w:rsidR="00F506AF" w:rsidRPr="00524428" w:rsidRDefault="00F506AF" w:rsidP="00312E88">
            <w:pPr>
              <w:pStyle w:val="Tables"/>
              <w:rPr>
                <w:rFonts w:cs="Arial"/>
                <w:b w:val="0"/>
                <w:bCs w:val="0"/>
                <w:sz w:val="16"/>
                <w:szCs w:val="16"/>
              </w:rPr>
            </w:pPr>
            <w:r>
              <w:rPr>
                <w:rFonts w:cs="Arial"/>
                <w:b w:val="0"/>
                <w:bCs w:val="0"/>
                <w:sz w:val="16"/>
                <w:szCs w:val="16"/>
              </w:rPr>
              <w:t>488</w:t>
            </w:r>
          </w:p>
        </w:tc>
        <w:tc>
          <w:tcPr>
            <w:tcW w:w="1134" w:type="dxa"/>
          </w:tcPr>
          <w:p w14:paraId="0A6BED4E" w14:textId="77777777" w:rsidR="00F506AF" w:rsidRPr="00524428" w:rsidRDefault="00F506AF" w:rsidP="00312E88">
            <w:pPr>
              <w:pStyle w:val="Tables"/>
              <w:rPr>
                <w:rFonts w:cs="Arial"/>
                <w:b w:val="0"/>
                <w:bCs w:val="0"/>
                <w:sz w:val="16"/>
                <w:szCs w:val="16"/>
              </w:rPr>
            </w:pPr>
            <w:r>
              <w:rPr>
                <w:rFonts w:cs="Arial"/>
                <w:b w:val="0"/>
                <w:bCs w:val="0"/>
                <w:sz w:val="16"/>
                <w:szCs w:val="16"/>
              </w:rPr>
              <w:t>2,655</w:t>
            </w:r>
          </w:p>
        </w:tc>
        <w:tc>
          <w:tcPr>
            <w:tcW w:w="851" w:type="dxa"/>
          </w:tcPr>
          <w:p w14:paraId="697B77A4" w14:textId="77777777" w:rsidR="00F506AF" w:rsidRPr="00524428" w:rsidRDefault="00F506AF" w:rsidP="00312E88">
            <w:pPr>
              <w:pStyle w:val="Tables"/>
              <w:rPr>
                <w:rFonts w:cs="Arial"/>
                <w:b w:val="0"/>
                <w:bCs w:val="0"/>
                <w:sz w:val="16"/>
                <w:szCs w:val="16"/>
              </w:rPr>
            </w:pPr>
            <w:r>
              <w:rPr>
                <w:rFonts w:cs="Arial"/>
                <w:b w:val="0"/>
                <w:bCs w:val="0"/>
                <w:sz w:val="16"/>
                <w:szCs w:val="16"/>
              </w:rPr>
              <w:t>818</w:t>
            </w:r>
          </w:p>
        </w:tc>
      </w:tr>
      <w:tr w:rsidR="00F506AF" w14:paraId="2037A970" w14:textId="77777777" w:rsidTr="00312E88">
        <w:trPr>
          <w:trHeight w:hRule="exact" w:val="284"/>
        </w:trPr>
        <w:tc>
          <w:tcPr>
            <w:tcW w:w="4390" w:type="dxa"/>
          </w:tcPr>
          <w:p w14:paraId="492491BB"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Higher cost of new entrants</w:t>
            </w:r>
          </w:p>
        </w:tc>
        <w:tc>
          <w:tcPr>
            <w:tcW w:w="850" w:type="dxa"/>
          </w:tcPr>
          <w:p w14:paraId="1AF78DAD"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11</w:t>
            </w:r>
            <w:r>
              <w:rPr>
                <w:rFonts w:cs="Arial"/>
                <w:b w:val="0"/>
                <w:bCs w:val="0"/>
                <w:sz w:val="16"/>
                <w:szCs w:val="16"/>
              </w:rPr>
              <w:t>3</w:t>
            </w:r>
          </w:p>
        </w:tc>
        <w:tc>
          <w:tcPr>
            <w:tcW w:w="851" w:type="dxa"/>
          </w:tcPr>
          <w:p w14:paraId="2602D80D" w14:textId="77777777" w:rsidR="00F506AF" w:rsidRPr="00524428" w:rsidRDefault="00F506AF" w:rsidP="00312E88">
            <w:pPr>
              <w:pStyle w:val="Tables"/>
              <w:rPr>
                <w:rFonts w:cs="Arial"/>
                <w:b w:val="0"/>
                <w:bCs w:val="0"/>
                <w:sz w:val="16"/>
                <w:szCs w:val="16"/>
              </w:rPr>
            </w:pPr>
            <w:r>
              <w:rPr>
                <w:rFonts w:cs="Arial"/>
                <w:b w:val="0"/>
                <w:bCs w:val="0"/>
                <w:sz w:val="16"/>
                <w:szCs w:val="16"/>
              </w:rPr>
              <w:t>355</w:t>
            </w:r>
          </w:p>
        </w:tc>
        <w:tc>
          <w:tcPr>
            <w:tcW w:w="850" w:type="dxa"/>
          </w:tcPr>
          <w:p w14:paraId="56273906" w14:textId="77777777" w:rsidR="00F506AF" w:rsidRPr="00524428" w:rsidRDefault="00F506AF" w:rsidP="00312E88">
            <w:pPr>
              <w:pStyle w:val="Tables"/>
              <w:rPr>
                <w:rFonts w:cs="Arial"/>
                <w:b w:val="0"/>
                <w:bCs w:val="0"/>
                <w:sz w:val="16"/>
                <w:szCs w:val="16"/>
              </w:rPr>
            </w:pPr>
            <w:r>
              <w:rPr>
                <w:rFonts w:cs="Arial"/>
                <w:b w:val="0"/>
                <w:bCs w:val="0"/>
                <w:sz w:val="16"/>
                <w:szCs w:val="16"/>
              </w:rPr>
              <w:t>585</w:t>
            </w:r>
          </w:p>
        </w:tc>
        <w:tc>
          <w:tcPr>
            <w:tcW w:w="992" w:type="dxa"/>
          </w:tcPr>
          <w:p w14:paraId="39C36DE7" w14:textId="77777777" w:rsidR="00F506AF" w:rsidRPr="00524428" w:rsidRDefault="00F506AF" w:rsidP="00312E88">
            <w:pPr>
              <w:pStyle w:val="Tables"/>
              <w:rPr>
                <w:rFonts w:cs="Arial"/>
                <w:b w:val="0"/>
                <w:bCs w:val="0"/>
                <w:sz w:val="16"/>
                <w:szCs w:val="16"/>
              </w:rPr>
            </w:pPr>
            <w:r>
              <w:rPr>
                <w:rFonts w:cs="Arial"/>
                <w:b w:val="0"/>
                <w:bCs w:val="0"/>
                <w:sz w:val="16"/>
                <w:szCs w:val="16"/>
              </w:rPr>
              <w:t>794</w:t>
            </w:r>
          </w:p>
        </w:tc>
        <w:tc>
          <w:tcPr>
            <w:tcW w:w="1134" w:type="dxa"/>
          </w:tcPr>
          <w:p w14:paraId="195BFEC7" w14:textId="77777777" w:rsidR="00F506AF" w:rsidRPr="00524428" w:rsidRDefault="00F506AF" w:rsidP="00312E88">
            <w:pPr>
              <w:pStyle w:val="Tables"/>
              <w:rPr>
                <w:rFonts w:cs="Arial"/>
                <w:b w:val="0"/>
                <w:bCs w:val="0"/>
                <w:sz w:val="16"/>
                <w:szCs w:val="16"/>
              </w:rPr>
            </w:pPr>
            <w:r>
              <w:rPr>
                <w:rFonts w:cs="Arial"/>
                <w:b w:val="0"/>
                <w:bCs w:val="0"/>
                <w:sz w:val="16"/>
                <w:szCs w:val="16"/>
              </w:rPr>
              <w:t>1,929</w:t>
            </w:r>
          </w:p>
        </w:tc>
        <w:tc>
          <w:tcPr>
            <w:tcW w:w="851" w:type="dxa"/>
          </w:tcPr>
          <w:p w14:paraId="7949D32F" w14:textId="77777777" w:rsidR="00F506AF" w:rsidRPr="00524428" w:rsidRDefault="00F506AF" w:rsidP="00312E88">
            <w:pPr>
              <w:pStyle w:val="Tables"/>
              <w:rPr>
                <w:rFonts w:cs="Arial"/>
                <w:b w:val="0"/>
                <w:bCs w:val="0"/>
                <w:sz w:val="16"/>
                <w:szCs w:val="16"/>
              </w:rPr>
            </w:pPr>
            <w:r>
              <w:rPr>
                <w:rFonts w:cs="Arial"/>
                <w:b w:val="0"/>
                <w:bCs w:val="0"/>
                <w:sz w:val="16"/>
                <w:szCs w:val="16"/>
              </w:rPr>
              <w:t>1,845</w:t>
            </w:r>
          </w:p>
        </w:tc>
      </w:tr>
      <w:tr w:rsidR="00F506AF" w14:paraId="536A8BDB" w14:textId="77777777" w:rsidTr="00312E88">
        <w:trPr>
          <w:trHeight w:hRule="exact" w:val="284"/>
        </w:trPr>
        <w:tc>
          <w:tcPr>
            <w:tcW w:w="4390" w:type="dxa"/>
          </w:tcPr>
          <w:p w14:paraId="126BEECE"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Other</w:t>
            </w:r>
          </w:p>
        </w:tc>
        <w:tc>
          <w:tcPr>
            <w:tcW w:w="850" w:type="dxa"/>
          </w:tcPr>
          <w:p w14:paraId="51B50264"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w:t>
            </w:r>
            <w:r>
              <w:rPr>
                <w:rFonts w:cs="Arial"/>
                <w:b w:val="0"/>
                <w:bCs w:val="0"/>
                <w:sz w:val="16"/>
                <w:szCs w:val="16"/>
              </w:rPr>
              <w:t>50</w:t>
            </w:r>
          </w:p>
        </w:tc>
        <w:tc>
          <w:tcPr>
            <w:tcW w:w="851" w:type="dxa"/>
          </w:tcPr>
          <w:p w14:paraId="2829A0F4" w14:textId="77777777" w:rsidR="00F506AF" w:rsidRPr="00524428" w:rsidRDefault="00F506AF" w:rsidP="00312E88">
            <w:pPr>
              <w:pStyle w:val="Tables"/>
              <w:rPr>
                <w:rFonts w:cs="Arial"/>
                <w:b w:val="0"/>
                <w:bCs w:val="0"/>
                <w:sz w:val="16"/>
                <w:szCs w:val="16"/>
              </w:rPr>
            </w:pPr>
            <w:r>
              <w:rPr>
                <w:rFonts w:cs="Arial"/>
                <w:b w:val="0"/>
                <w:bCs w:val="0"/>
                <w:sz w:val="16"/>
                <w:szCs w:val="16"/>
              </w:rPr>
              <w:t>269</w:t>
            </w:r>
          </w:p>
        </w:tc>
        <w:tc>
          <w:tcPr>
            <w:tcW w:w="850" w:type="dxa"/>
          </w:tcPr>
          <w:p w14:paraId="60107653" w14:textId="77777777" w:rsidR="00F506AF" w:rsidRPr="00524428" w:rsidRDefault="00F506AF" w:rsidP="00312E88">
            <w:pPr>
              <w:pStyle w:val="Tables"/>
              <w:rPr>
                <w:rFonts w:cs="Arial"/>
                <w:b w:val="0"/>
                <w:bCs w:val="0"/>
                <w:sz w:val="16"/>
                <w:szCs w:val="16"/>
              </w:rPr>
            </w:pPr>
            <w:r>
              <w:rPr>
                <w:rFonts w:cs="Arial"/>
                <w:b w:val="0"/>
                <w:bCs w:val="0"/>
                <w:sz w:val="16"/>
                <w:szCs w:val="16"/>
              </w:rPr>
              <w:t>689</w:t>
            </w:r>
          </w:p>
        </w:tc>
        <w:tc>
          <w:tcPr>
            <w:tcW w:w="992" w:type="dxa"/>
          </w:tcPr>
          <w:p w14:paraId="72982524" w14:textId="77777777" w:rsidR="00F506AF" w:rsidRPr="00524428" w:rsidRDefault="00F506AF" w:rsidP="00312E88">
            <w:pPr>
              <w:pStyle w:val="Tables"/>
              <w:rPr>
                <w:rFonts w:cs="Arial"/>
                <w:b w:val="0"/>
                <w:bCs w:val="0"/>
                <w:sz w:val="16"/>
                <w:szCs w:val="16"/>
              </w:rPr>
            </w:pPr>
            <w:r>
              <w:rPr>
                <w:rFonts w:cs="Arial"/>
                <w:b w:val="0"/>
                <w:bCs w:val="0"/>
                <w:sz w:val="16"/>
                <w:szCs w:val="16"/>
              </w:rPr>
              <w:t>1,301</w:t>
            </w:r>
          </w:p>
        </w:tc>
        <w:tc>
          <w:tcPr>
            <w:tcW w:w="1134" w:type="dxa"/>
          </w:tcPr>
          <w:p w14:paraId="51D5D1DC" w14:textId="77777777" w:rsidR="00F506AF" w:rsidRPr="00524428" w:rsidRDefault="00F506AF" w:rsidP="00312E88">
            <w:pPr>
              <w:pStyle w:val="Tables"/>
              <w:rPr>
                <w:rFonts w:cs="Arial"/>
                <w:b w:val="0"/>
                <w:bCs w:val="0"/>
                <w:sz w:val="16"/>
                <w:szCs w:val="16"/>
              </w:rPr>
            </w:pPr>
            <w:r>
              <w:rPr>
                <w:rFonts w:cs="Arial"/>
                <w:b w:val="0"/>
                <w:bCs w:val="0"/>
                <w:sz w:val="16"/>
                <w:szCs w:val="16"/>
              </w:rPr>
              <w:t>3,275</w:t>
            </w:r>
          </w:p>
        </w:tc>
        <w:tc>
          <w:tcPr>
            <w:tcW w:w="851" w:type="dxa"/>
          </w:tcPr>
          <w:p w14:paraId="12E0C176" w14:textId="77777777" w:rsidR="00F506AF" w:rsidRPr="00524428" w:rsidRDefault="00F506AF" w:rsidP="00312E88">
            <w:pPr>
              <w:pStyle w:val="Tables"/>
              <w:rPr>
                <w:rFonts w:cs="Arial"/>
                <w:b w:val="0"/>
                <w:bCs w:val="0"/>
                <w:sz w:val="16"/>
                <w:szCs w:val="16"/>
              </w:rPr>
            </w:pPr>
            <w:r>
              <w:rPr>
                <w:rFonts w:cs="Arial"/>
                <w:b w:val="0"/>
                <w:bCs w:val="0"/>
                <w:sz w:val="16"/>
                <w:szCs w:val="16"/>
              </w:rPr>
              <w:t>2,409</w:t>
            </w:r>
          </w:p>
        </w:tc>
      </w:tr>
      <w:tr w:rsidR="00F506AF" w14:paraId="11A90315" w14:textId="77777777" w:rsidTr="00312E88">
        <w:trPr>
          <w:trHeight w:hRule="exact" w:val="284"/>
        </w:trPr>
        <w:tc>
          <w:tcPr>
            <w:tcW w:w="4390" w:type="dxa"/>
          </w:tcPr>
          <w:p w14:paraId="39842F0B" w14:textId="262FB9F6" w:rsidR="00F506AF" w:rsidRPr="00524428" w:rsidRDefault="00F506AF" w:rsidP="00312E88">
            <w:pPr>
              <w:pStyle w:val="Tables"/>
              <w:rPr>
                <w:rFonts w:cs="Arial"/>
                <w:sz w:val="16"/>
                <w:szCs w:val="16"/>
              </w:rPr>
            </w:pPr>
            <w:r w:rsidRPr="00524428">
              <w:rPr>
                <w:rFonts w:cs="Arial"/>
                <w:sz w:val="16"/>
                <w:szCs w:val="16"/>
              </w:rPr>
              <w:t xml:space="preserve">Total </w:t>
            </w:r>
            <w:r w:rsidR="00312E88">
              <w:rPr>
                <w:rFonts w:cs="Arial"/>
                <w:sz w:val="16"/>
                <w:szCs w:val="16"/>
              </w:rPr>
              <w:t xml:space="preserve">of cost </w:t>
            </w:r>
            <w:r>
              <w:rPr>
                <w:rFonts w:cs="Arial"/>
                <w:sz w:val="16"/>
                <w:szCs w:val="16"/>
              </w:rPr>
              <w:t>increase scenarios</w:t>
            </w:r>
          </w:p>
        </w:tc>
        <w:tc>
          <w:tcPr>
            <w:tcW w:w="850" w:type="dxa"/>
          </w:tcPr>
          <w:p w14:paraId="1F0D94B6" w14:textId="77777777" w:rsidR="00F506AF" w:rsidRPr="00524428" w:rsidRDefault="00F506AF" w:rsidP="00312E88">
            <w:pPr>
              <w:pStyle w:val="Tables"/>
              <w:rPr>
                <w:rFonts w:cs="Arial"/>
                <w:sz w:val="16"/>
                <w:szCs w:val="16"/>
              </w:rPr>
            </w:pPr>
            <w:r w:rsidRPr="00524428">
              <w:rPr>
                <w:rFonts w:cs="Arial"/>
                <w:sz w:val="16"/>
                <w:szCs w:val="16"/>
              </w:rPr>
              <w:t>1,4</w:t>
            </w:r>
            <w:r>
              <w:rPr>
                <w:rFonts w:cs="Arial"/>
                <w:sz w:val="16"/>
                <w:szCs w:val="16"/>
              </w:rPr>
              <w:t>6</w:t>
            </w:r>
            <w:r w:rsidRPr="00524428">
              <w:rPr>
                <w:rFonts w:cs="Arial"/>
                <w:sz w:val="16"/>
                <w:szCs w:val="16"/>
              </w:rPr>
              <w:t>1</w:t>
            </w:r>
          </w:p>
        </w:tc>
        <w:tc>
          <w:tcPr>
            <w:tcW w:w="851" w:type="dxa"/>
          </w:tcPr>
          <w:p w14:paraId="670ECA2E" w14:textId="77777777" w:rsidR="00F506AF" w:rsidRPr="00524428" w:rsidRDefault="00F506AF" w:rsidP="00312E88">
            <w:pPr>
              <w:pStyle w:val="Tables"/>
              <w:rPr>
                <w:rFonts w:cs="Arial"/>
                <w:sz w:val="16"/>
                <w:szCs w:val="16"/>
              </w:rPr>
            </w:pPr>
            <w:r>
              <w:rPr>
                <w:rFonts w:cs="Arial"/>
                <w:sz w:val="16"/>
                <w:szCs w:val="16"/>
              </w:rPr>
              <w:t>3,290</w:t>
            </w:r>
          </w:p>
        </w:tc>
        <w:tc>
          <w:tcPr>
            <w:tcW w:w="850" w:type="dxa"/>
          </w:tcPr>
          <w:p w14:paraId="3D6F2C2A" w14:textId="77777777" w:rsidR="00F506AF" w:rsidRPr="00524428" w:rsidRDefault="00F506AF" w:rsidP="00312E88">
            <w:pPr>
              <w:pStyle w:val="Tables"/>
              <w:rPr>
                <w:rFonts w:cs="Arial"/>
                <w:sz w:val="16"/>
                <w:szCs w:val="16"/>
              </w:rPr>
            </w:pPr>
            <w:r>
              <w:rPr>
                <w:rFonts w:cs="Arial"/>
                <w:sz w:val="16"/>
                <w:szCs w:val="16"/>
              </w:rPr>
              <w:t>5,253</w:t>
            </w:r>
          </w:p>
        </w:tc>
        <w:tc>
          <w:tcPr>
            <w:tcW w:w="992" w:type="dxa"/>
          </w:tcPr>
          <w:p w14:paraId="6CFE1ED9" w14:textId="77777777" w:rsidR="00F506AF" w:rsidRPr="00524428" w:rsidRDefault="00F506AF" w:rsidP="00312E88">
            <w:pPr>
              <w:pStyle w:val="Tables"/>
              <w:rPr>
                <w:rFonts w:cs="Arial"/>
                <w:sz w:val="16"/>
                <w:szCs w:val="16"/>
              </w:rPr>
            </w:pPr>
            <w:r>
              <w:rPr>
                <w:rFonts w:cs="Arial"/>
                <w:sz w:val="16"/>
                <w:szCs w:val="16"/>
              </w:rPr>
              <w:t>9,075</w:t>
            </w:r>
          </w:p>
        </w:tc>
        <w:tc>
          <w:tcPr>
            <w:tcW w:w="1134" w:type="dxa"/>
          </w:tcPr>
          <w:p w14:paraId="6BF251A2" w14:textId="77777777" w:rsidR="00F506AF" w:rsidRPr="00524428" w:rsidRDefault="00F506AF" w:rsidP="00312E88">
            <w:pPr>
              <w:pStyle w:val="Tables"/>
              <w:rPr>
                <w:rFonts w:cs="Arial"/>
                <w:sz w:val="16"/>
                <w:szCs w:val="16"/>
              </w:rPr>
            </w:pPr>
            <w:r>
              <w:rPr>
                <w:rFonts w:cs="Arial"/>
                <w:sz w:val="16"/>
                <w:szCs w:val="16"/>
              </w:rPr>
              <w:t>24,312</w:t>
            </w:r>
          </w:p>
        </w:tc>
        <w:tc>
          <w:tcPr>
            <w:tcW w:w="851" w:type="dxa"/>
          </w:tcPr>
          <w:p w14:paraId="4A3295C8" w14:textId="77777777" w:rsidR="00F506AF" w:rsidRPr="00524428" w:rsidRDefault="00F506AF" w:rsidP="00312E88">
            <w:pPr>
              <w:pStyle w:val="Tables"/>
              <w:rPr>
                <w:rFonts w:cs="Arial"/>
                <w:sz w:val="16"/>
                <w:szCs w:val="16"/>
              </w:rPr>
            </w:pPr>
            <w:r>
              <w:rPr>
                <w:rFonts w:cs="Arial"/>
                <w:sz w:val="16"/>
                <w:szCs w:val="16"/>
              </w:rPr>
              <w:t>19,079</w:t>
            </w:r>
          </w:p>
        </w:tc>
      </w:tr>
      <w:tr w:rsidR="00F506AF" w14:paraId="1F303041" w14:textId="77777777" w:rsidTr="00312E88">
        <w:trPr>
          <w:trHeight w:hRule="exact" w:val="284"/>
        </w:trPr>
        <w:tc>
          <w:tcPr>
            <w:tcW w:w="4390" w:type="dxa"/>
          </w:tcPr>
          <w:p w14:paraId="1BE805E9" w14:textId="1F98B845" w:rsidR="00F506AF" w:rsidRPr="00524428" w:rsidRDefault="00F506AF" w:rsidP="008D07F0">
            <w:pPr>
              <w:pStyle w:val="Tables"/>
              <w:rPr>
                <w:rFonts w:cs="Arial"/>
                <w:sz w:val="16"/>
                <w:szCs w:val="16"/>
              </w:rPr>
            </w:pPr>
            <w:r w:rsidRPr="00524428">
              <w:rPr>
                <w:rFonts w:cs="Arial"/>
                <w:sz w:val="16"/>
                <w:szCs w:val="16"/>
              </w:rPr>
              <w:t xml:space="preserve">Plausible </w:t>
            </w:r>
            <w:r w:rsidR="008D07F0">
              <w:rPr>
                <w:rFonts w:cs="Arial"/>
                <w:sz w:val="16"/>
                <w:szCs w:val="16"/>
              </w:rPr>
              <w:t>high</w:t>
            </w:r>
            <w:r>
              <w:rPr>
                <w:rFonts w:cs="Arial"/>
                <w:sz w:val="16"/>
                <w:szCs w:val="16"/>
              </w:rPr>
              <w:t xml:space="preserve"> </w:t>
            </w:r>
            <w:r w:rsidR="008D07F0">
              <w:rPr>
                <w:rFonts w:cs="Arial"/>
                <w:sz w:val="16"/>
                <w:szCs w:val="16"/>
              </w:rPr>
              <w:t>c</w:t>
            </w:r>
            <w:r>
              <w:rPr>
                <w:rFonts w:cs="Arial"/>
                <w:sz w:val="16"/>
                <w:szCs w:val="16"/>
              </w:rPr>
              <w:t>ase</w:t>
            </w:r>
            <w:r w:rsidRPr="00524428">
              <w:rPr>
                <w:rFonts w:cs="Arial"/>
                <w:sz w:val="16"/>
                <w:szCs w:val="16"/>
              </w:rPr>
              <w:t xml:space="preserve"> (variance)</w:t>
            </w:r>
          </w:p>
        </w:tc>
        <w:tc>
          <w:tcPr>
            <w:tcW w:w="850" w:type="dxa"/>
          </w:tcPr>
          <w:p w14:paraId="2F3787D9" w14:textId="77777777" w:rsidR="00F506AF" w:rsidRPr="00524428" w:rsidRDefault="00F506AF" w:rsidP="00312E88">
            <w:pPr>
              <w:pStyle w:val="Tables"/>
              <w:rPr>
                <w:rFonts w:cs="Arial"/>
                <w:sz w:val="16"/>
                <w:szCs w:val="16"/>
              </w:rPr>
            </w:pPr>
            <w:r w:rsidRPr="00524428">
              <w:rPr>
                <w:rFonts w:cs="Arial"/>
                <w:sz w:val="16"/>
                <w:szCs w:val="16"/>
              </w:rPr>
              <w:t>1,2</w:t>
            </w:r>
            <w:r>
              <w:rPr>
                <w:rFonts w:cs="Arial"/>
                <w:sz w:val="16"/>
                <w:szCs w:val="16"/>
              </w:rPr>
              <w:t>64</w:t>
            </w:r>
          </w:p>
        </w:tc>
        <w:tc>
          <w:tcPr>
            <w:tcW w:w="851" w:type="dxa"/>
          </w:tcPr>
          <w:p w14:paraId="00635F43" w14:textId="77777777" w:rsidR="00F506AF" w:rsidRPr="00524428" w:rsidRDefault="00F506AF" w:rsidP="00312E88">
            <w:pPr>
              <w:pStyle w:val="Tables"/>
              <w:rPr>
                <w:rFonts w:cs="Arial"/>
                <w:sz w:val="16"/>
                <w:szCs w:val="16"/>
              </w:rPr>
            </w:pPr>
            <w:r>
              <w:rPr>
                <w:rFonts w:cs="Arial"/>
                <w:sz w:val="16"/>
                <w:szCs w:val="16"/>
              </w:rPr>
              <w:t>2,726</w:t>
            </w:r>
          </w:p>
        </w:tc>
        <w:tc>
          <w:tcPr>
            <w:tcW w:w="850" w:type="dxa"/>
          </w:tcPr>
          <w:p w14:paraId="7F4A2F21" w14:textId="77777777" w:rsidR="00F506AF" w:rsidRPr="00524428" w:rsidRDefault="00F506AF" w:rsidP="00312E88">
            <w:pPr>
              <w:pStyle w:val="Tables"/>
              <w:rPr>
                <w:rFonts w:cs="Arial"/>
                <w:sz w:val="16"/>
                <w:szCs w:val="16"/>
              </w:rPr>
            </w:pPr>
            <w:r>
              <w:rPr>
                <w:rFonts w:cs="Arial"/>
                <w:sz w:val="16"/>
                <w:szCs w:val="16"/>
              </w:rPr>
              <w:t>3,883</w:t>
            </w:r>
          </w:p>
        </w:tc>
        <w:tc>
          <w:tcPr>
            <w:tcW w:w="992" w:type="dxa"/>
          </w:tcPr>
          <w:p w14:paraId="5BFF021E" w14:textId="77777777" w:rsidR="00F506AF" w:rsidRPr="00524428" w:rsidRDefault="00F506AF" w:rsidP="00312E88">
            <w:pPr>
              <w:pStyle w:val="Tables"/>
              <w:rPr>
                <w:rFonts w:cs="Arial"/>
                <w:sz w:val="16"/>
                <w:szCs w:val="16"/>
              </w:rPr>
            </w:pPr>
            <w:r>
              <w:rPr>
                <w:rFonts w:cs="Arial"/>
                <w:sz w:val="16"/>
                <w:szCs w:val="16"/>
              </w:rPr>
              <w:t>6,470</w:t>
            </w:r>
          </w:p>
        </w:tc>
        <w:tc>
          <w:tcPr>
            <w:tcW w:w="1134" w:type="dxa"/>
          </w:tcPr>
          <w:p w14:paraId="61012E29" w14:textId="77777777" w:rsidR="00F506AF" w:rsidRPr="00524428" w:rsidRDefault="00F506AF" w:rsidP="00312E88">
            <w:pPr>
              <w:pStyle w:val="Tables"/>
              <w:rPr>
                <w:rFonts w:cs="Arial"/>
                <w:sz w:val="16"/>
                <w:szCs w:val="16"/>
              </w:rPr>
            </w:pPr>
            <w:r>
              <w:rPr>
                <w:rFonts w:cs="Arial"/>
                <w:sz w:val="16"/>
                <w:szCs w:val="16"/>
              </w:rPr>
              <w:t>14,872</w:t>
            </w:r>
          </w:p>
        </w:tc>
        <w:tc>
          <w:tcPr>
            <w:tcW w:w="851" w:type="dxa"/>
          </w:tcPr>
          <w:p w14:paraId="0554BF01" w14:textId="77777777" w:rsidR="00F506AF" w:rsidRPr="00524428" w:rsidRDefault="00F506AF" w:rsidP="00312E88">
            <w:pPr>
              <w:pStyle w:val="Tables"/>
              <w:rPr>
                <w:rFonts w:cs="Arial"/>
                <w:sz w:val="16"/>
                <w:szCs w:val="16"/>
              </w:rPr>
            </w:pPr>
            <w:r>
              <w:rPr>
                <w:rFonts w:cs="Arial"/>
                <w:sz w:val="16"/>
                <w:szCs w:val="16"/>
              </w:rPr>
              <w:t>14,344</w:t>
            </w:r>
          </w:p>
        </w:tc>
      </w:tr>
      <w:tr w:rsidR="00F506AF" w14:paraId="30C6C1BC" w14:textId="77777777" w:rsidTr="00312E88">
        <w:trPr>
          <w:trHeight w:hRule="exact" w:val="284"/>
        </w:trPr>
        <w:tc>
          <w:tcPr>
            <w:tcW w:w="4390" w:type="dxa"/>
            <w:shd w:val="clear" w:color="auto" w:fill="D3C5D7"/>
          </w:tcPr>
          <w:p w14:paraId="16B7EB82" w14:textId="77777777" w:rsidR="00F506AF" w:rsidRPr="00524428" w:rsidRDefault="00F506AF" w:rsidP="00312E88">
            <w:pPr>
              <w:pStyle w:val="Tables"/>
              <w:rPr>
                <w:rFonts w:cs="Arial"/>
                <w:sz w:val="16"/>
                <w:szCs w:val="16"/>
              </w:rPr>
            </w:pPr>
            <w:r w:rsidRPr="00524428">
              <w:rPr>
                <w:rFonts w:cs="Arial"/>
                <w:sz w:val="16"/>
                <w:szCs w:val="16"/>
              </w:rPr>
              <w:t>Cost reduction scenarios</w:t>
            </w:r>
          </w:p>
        </w:tc>
        <w:tc>
          <w:tcPr>
            <w:tcW w:w="5528" w:type="dxa"/>
            <w:gridSpan w:val="6"/>
            <w:shd w:val="clear" w:color="auto" w:fill="D3C5D7"/>
          </w:tcPr>
          <w:p w14:paraId="28D28F0E" w14:textId="77777777" w:rsidR="00F506AF" w:rsidRPr="00524428" w:rsidRDefault="00F506AF" w:rsidP="00312E88">
            <w:pPr>
              <w:pStyle w:val="Tables"/>
              <w:rPr>
                <w:rFonts w:cs="Arial"/>
                <w:sz w:val="16"/>
                <w:szCs w:val="16"/>
              </w:rPr>
            </w:pPr>
          </w:p>
        </w:tc>
      </w:tr>
      <w:tr w:rsidR="00F506AF" w14:paraId="184685DE" w14:textId="77777777" w:rsidTr="00312E88">
        <w:trPr>
          <w:trHeight w:hRule="exact" w:val="284"/>
        </w:trPr>
        <w:tc>
          <w:tcPr>
            <w:tcW w:w="4390" w:type="dxa"/>
          </w:tcPr>
          <w:p w14:paraId="5403253C"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One year less of high inflation</w:t>
            </w:r>
          </w:p>
        </w:tc>
        <w:tc>
          <w:tcPr>
            <w:tcW w:w="850" w:type="dxa"/>
          </w:tcPr>
          <w:p w14:paraId="17B843C5"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-8</w:t>
            </w:r>
            <w:r>
              <w:rPr>
                <w:rFonts w:cs="Arial"/>
                <w:b w:val="0"/>
                <w:bCs w:val="0"/>
                <w:sz w:val="16"/>
                <w:szCs w:val="16"/>
              </w:rPr>
              <w:t>71</w:t>
            </w:r>
          </w:p>
        </w:tc>
        <w:tc>
          <w:tcPr>
            <w:tcW w:w="851" w:type="dxa"/>
          </w:tcPr>
          <w:p w14:paraId="130C8F4C"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-1,2</w:t>
            </w:r>
            <w:r>
              <w:rPr>
                <w:rFonts w:cs="Arial"/>
                <w:b w:val="0"/>
                <w:bCs w:val="0"/>
                <w:sz w:val="16"/>
                <w:szCs w:val="16"/>
              </w:rPr>
              <w:t>17</w:t>
            </w:r>
          </w:p>
        </w:tc>
        <w:tc>
          <w:tcPr>
            <w:tcW w:w="850" w:type="dxa"/>
          </w:tcPr>
          <w:p w14:paraId="63E208F6"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-1,6</w:t>
            </w:r>
            <w:r>
              <w:rPr>
                <w:rFonts w:cs="Arial"/>
                <w:b w:val="0"/>
                <w:bCs w:val="0"/>
                <w:sz w:val="16"/>
                <w:szCs w:val="16"/>
              </w:rPr>
              <w:t>97</w:t>
            </w:r>
          </w:p>
        </w:tc>
        <w:tc>
          <w:tcPr>
            <w:tcW w:w="992" w:type="dxa"/>
          </w:tcPr>
          <w:p w14:paraId="717EA19A"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w:t>
            </w:r>
            <w:r>
              <w:rPr>
                <w:rFonts w:cs="Arial"/>
                <w:b w:val="0"/>
                <w:bCs w:val="0"/>
                <w:sz w:val="16"/>
                <w:szCs w:val="16"/>
              </w:rPr>
              <w:t>2,015</w:t>
            </w:r>
          </w:p>
        </w:tc>
        <w:tc>
          <w:tcPr>
            <w:tcW w:w="1134" w:type="dxa"/>
          </w:tcPr>
          <w:p w14:paraId="220A81CA"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-3,</w:t>
            </w:r>
            <w:r>
              <w:rPr>
                <w:rFonts w:cs="Arial"/>
                <w:b w:val="0"/>
                <w:bCs w:val="0"/>
                <w:sz w:val="16"/>
                <w:szCs w:val="16"/>
              </w:rPr>
              <w:t>718</w:t>
            </w:r>
          </w:p>
        </w:tc>
        <w:tc>
          <w:tcPr>
            <w:tcW w:w="851" w:type="dxa"/>
          </w:tcPr>
          <w:p w14:paraId="0821EB24"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-5,</w:t>
            </w:r>
            <w:r>
              <w:rPr>
                <w:rFonts w:cs="Arial"/>
                <w:b w:val="0"/>
                <w:bCs w:val="0"/>
                <w:sz w:val="16"/>
                <w:szCs w:val="16"/>
              </w:rPr>
              <w:t>800</w:t>
            </w:r>
          </w:p>
        </w:tc>
      </w:tr>
      <w:tr w:rsidR="00F506AF" w14:paraId="16E9381E" w14:textId="77777777" w:rsidTr="00312E88">
        <w:trPr>
          <w:trHeight w:hRule="exact" w:val="284"/>
        </w:trPr>
        <w:tc>
          <w:tcPr>
            <w:tcW w:w="4390" w:type="dxa"/>
          </w:tcPr>
          <w:p w14:paraId="648A5B8E"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Lower long term new incidence assumptions</w:t>
            </w:r>
          </w:p>
        </w:tc>
        <w:tc>
          <w:tcPr>
            <w:tcW w:w="850" w:type="dxa"/>
          </w:tcPr>
          <w:p w14:paraId="2AE7427C"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0</w:t>
            </w:r>
          </w:p>
        </w:tc>
        <w:tc>
          <w:tcPr>
            <w:tcW w:w="851" w:type="dxa"/>
          </w:tcPr>
          <w:p w14:paraId="04EE581B"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0</w:t>
            </w:r>
          </w:p>
        </w:tc>
        <w:tc>
          <w:tcPr>
            <w:tcW w:w="850" w:type="dxa"/>
          </w:tcPr>
          <w:p w14:paraId="46B6BB1B"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0</w:t>
            </w:r>
          </w:p>
        </w:tc>
        <w:tc>
          <w:tcPr>
            <w:tcW w:w="992" w:type="dxa"/>
          </w:tcPr>
          <w:p w14:paraId="6B34D698"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0</w:t>
            </w:r>
          </w:p>
        </w:tc>
        <w:tc>
          <w:tcPr>
            <w:tcW w:w="1134" w:type="dxa"/>
          </w:tcPr>
          <w:p w14:paraId="6519729D"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-1,7</w:t>
            </w:r>
            <w:r>
              <w:rPr>
                <w:rFonts w:cs="Arial"/>
                <w:b w:val="0"/>
                <w:bCs w:val="0"/>
                <w:sz w:val="16"/>
                <w:szCs w:val="16"/>
              </w:rPr>
              <w:t>89</w:t>
            </w:r>
          </w:p>
        </w:tc>
        <w:tc>
          <w:tcPr>
            <w:tcW w:w="851" w:type="dxa"/>
          </w:tcPr>
          <w:p w14:paraId="1C4ED25F"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0</w:t>
            </w:r>
          </w:p>
        </w:tc>
      </w:tr>
      <w:tr w:rsidR="00F506AF" w14:paraId="6DB8CE9C" w14:textId="77777777" w:rsidTr="00312E88">
        <w:trPr>
          <w:trHeight w:hRule="exact" w:val="284"/>
        </w:trPr>
        <w:tc>
          <w:tcPr>
            <w:tcW w:w="4390" w:type="dxa"/>
          </w:tcPr>
          <w:p w14:paraId="0C1A93D2"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Lower cost of new entrants</w:t>
            </w:r>
          </w:p>
        </w:tc>
        <w:tc>
          <w:tcPr>
            <w:tcW w:w="850" w:type="dxa"/>
          </w:tcPr>
          <w:p w14:paraId="72A58640"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-11</w:t>
            </w:r>
            <w:r>
              <w:rPr>
                <w:rFonts w:cs="Arial"/>
                <w:b w:val="0"/>
                <w:bCs w:val="0"/>
                <w:sz w:val="16"/>
                <w:szCs w:val="16"/>
              </w:rPr>
              <w:t>3</w:t>
            </w:r>
          </w:p>
        </w:tc>
        <w:tc>
          <w:tcPr>
            <w:tcW w:w="851" w:type="dxa"/>
          </w:tcPr>
          <w:p w14:paraId="531C3079"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-35</w:t>
            </w:r>
            <w:r>
              <w:rPr>
                <w:rFonts w:cs="Arial"/>
                <w:b w:val="0"/>
                <w:bCs w:val="0"/>
                <w:sz w:val="16"/>
                <w:szCs w:val="16"/>
              </w:rPr>
              <w:t>5</w:t>
            </w:r>
          </w:p>
        </w:tc>
        <w:tc>
          <w:tcPr>
            <w:tcW w:w="850" w:type="dxa"/>
          </w:tcPr>
          <w:p w14:paraId="7B7C6918"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-5</w:t>
            </w:r>
            <w:r>
              <w:rPr>
                <w:rFonts w:cs="Arial"/>
                <w:b w:val="0"/>
                <w:bCs w:val="0"/>
                <w:sz w:val="16"/>
                <w:szCs w:val="16"/>
              </w:rPr>
              <w:t>85</w:t>
            </w:r>
          </w:p>
        </w:tc>
        <w:tc>
          <w:tcPr>
            <w:tcW w:w="992" w:type="dxa"/>
          </w:tcPr>
          <w:p w14:paraId="6ED8C76F"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-7</w:t>
            </w:r>
            <w:r>
              <w:rPr>
                <w:rFonts w:cs="Arial"/>
                <w:b w:val="0"/>
                <w:bCs w:val="0"/>
                <w:sz w:val="16"/>
                <w:szCs w:val="16"/>
              </w:rPr>
              <w:t>94</w:t>
            </w:r>
          </w:p>
        </w:tc>
        <w:tc>
          <w:tcPr>
            <w:tcW w:w="1134" w:type="dxa"/>
          </w:tcPr>
          <w:p w14:paraId="0D67E823"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-1,9</w:t>
            </w:r>
            <w:r>
              <w:rPr>
                <w:rFonts w:cs="Arial"/>
                <w:b w:val="0"/>
                <w:bCs w:val="0"/>
                <w:sz w:val="16"/>
                <w:szCs w:val="16"/>
              </w:rPr>
              <w:t>29</w:t>
            </w:r>
          </w:p>
        </w:tc>
        <w:tc>
          <w:tcPr>
            <w:tcW w:w="851" w:type="dxa"/>
          </w:tcPr>
          <w:p w14:paraId="66412F19"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-1,8</w:t>
            </w:r>
            <w:r>
              <w:rPr>
                <w:rFonts w:cs="Arial"/>
                <w:b w:val="0"/>
                <w:bCs w:val="0"/>
                <w:sz w:val="16"/>
                <w:szCs w:val="16"/>
              </w:rPr>
              <w:t>45</w:t>
            </w:r>
          </w:p>
        </w:tc>
      </w:tr>
      <w:tr w:rsidR="00F506AF" w14:paraId="15F51AA4" w14:textId="77777777" w:rsidTr="00312E88">
        <w:trPr>
          <w:trHeight w:hRule="exact" w:val="284"/>
        </w:trPr>
        <w:tc>
          <w:tcPr>
            <w:tcW w:w="4390" w:type="dxa"/>
          </w:tcPr>
          <w:p w14:paraId="65DB3287"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 xml:space="preserve">Other </w:t>
            </w:r>
          </w:p>
        </w:tc>
        <w:tc>
          <w:tcPr>
            <w:tcW w:w="850" w:type="dxa"/>
          </w:tcPr>
          <w:p w14:paraId="252E48A0"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w:t>
            </w:r>
            <w:r>
              <w:rPr>
                <w:rFonts w:cs="Arial"/>
                <w:b w:val="0"/>
                <w:bCs w:val="0"/>
                <w:sz w:val="16"/>
                <w:szCs w:val="16"/>
              </w:rPr>
              <w:t>60</w:t>
            </w:r>
          </w:p>
        </w:tc>
        <w:tc>
          <w:tcPr>
            <w:tcW w:w="851" w:type="dxa"/>
          </w:tcPr>
          <w:p w14:paraId="7BA4E4F5"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-9</w:t>
            </w:r>
            <w:r>
              <w:rPr>
                <w:rFonts w:cs="Arial"/>
                <w:b w:val="0"/>
                <w:bCs w:val="0"/>
                <w:sz w:val="16"/>
                <w:szCs w:val="16"/>
              </w:rPr>
              <w:t>8</w:t>
            </w:r>
          </w:p>
        </w:tc>
        <w:tc>
          <w:tcPr>
            <w:tcW w:w="850" w:type="dxa"/>
          </w:tcPr>
          <w:p w14:paraId="7FF08C1A"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-17</w:t>
            </w:r>
            <w:r>
              <w:rPr>
                <w:rFonts w:cs="Arial"/>
                <w:b w:val="0"/>
                <w:bCs w:val="0"/>
                <w:sz w:val="16"/>
                <w:szCs w:val="16"/>
              </w:rPr>
              <w:t>7</w:t>
            </w:r>
          </w:p>
        </w:tc>
        <w:tc>
          <w:tcPr>
            <w:tcW w:w="992" w:type="dxa"/>
          </w:tcPr>
          <w:p w14:paraId="4A3BC073"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-26</w:t>
            </w:r>
            <w:r>
              <w:rPr>
                <w:rFonts w:cs="Arial"/>
                <w:b w:val="0"/>
                <w:bCs w:val="0"/>
                <w:sz w:val="16"/>
                <w:szCs w:val="16"/>
              </w:rPr>
              <w:t>8</w:t>
            </w:r>
          </w:p>
        </w:tc>
        <w:tc>
          <w:tcPr>
            <w:tcW w:w="1134" w:type="dxa"/>
          </w:tcPr>
          <w:p w14:paraId="7152D11E"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-1,</w:t>
            </w:r>
            <w:r>
              <w:rPr>
                <w:rFonts w:cs="Arial"/>
                <w:b w:val="0"/>
                <w:bCs w:val="0"/>
                <w:sz w:val="16"/>
                <w:szCs w:val="16"/>
              </w:rPr>
              <w:t>918</w:t>
            </w:r>
          </w:p>
        </w:tc>
        <w:tc>
          <w:tcPr>
            <w:tcW w:w="851" w:type="dxa"/>
          </w:tcPr>
          <w:p w14:paraId="112D67D5" w14:textId="77777777" w:rsidR="00F506AF" w:rsidRPr="00524428" w:rsidRDefault="00F506AF" w:rsidP="00312E88">
            <w:pPr>
              <w:pStyle w:val="Tables"/>
              <w:rPr>
                <w:rFonts w:cs="Arial"/>
                <w:b w:val="0"/>
                <w:bCs w:val="0"/>
                <w:sz w:val="16"/>
                <w:szCs w:val="16"/>
              </w:rPr>
            </w:pPr>
            <w:r w:rsidRPr="00524428">
              <w:rPr>
                <w:rFonts w:cs="Arial"/>
                <w:b w:val="0"/>
                <w:bCs w:val="0"/>
                <w:sz w:val="16"/>
                <w:szCs w:val="16"/>
              </w:rPr>
              <w:t>-</w:t>
            </w:r>
            <w:r>
              <w:rPr>
                <w:rFonts w:cs="Arial"/>
                <w:b w:val="0"/>
                <w:bCs w:val="0"/>
                <w:sz w:val="16"/>
                <w:szCs w:val="16"/>
              </w:rPr>
              <w:t>603</w:t>
            </w:r>
          </w:p>
        </w:tc>
      </w:tr>
      <w:tr w:rsidR="00F506AF" w14:paraId="094914C7" w14:textId="77777777" w:rsidTr="00312E88">
        <w:trPr>
          <w:trHeight w:hRule="exact" w:val="284"/>
        </w:trPr>
        <w:tc>
          <w:tcPr>
            <w:tcW w:w="4390" w:type="dxa"/>
          </w:tcPr>
          <w:p w14:paraId="770BCB42" w14:textId="1987F0E5" w:rsidR="00F506AF" w:rsidRPr="00524428" w:rsidRDefault="00F506AF" w:rsidP="00312E88">
            <w:pPr>
              <w:pStyle w:val="Tables"/>
              <w:rPr>
                <w:rFonts w:cs="Arial"/>
                <w:sz w:val="16"/>
                <w:szCs w:val="16"/>
              </w:rPr>
            </w:pPr>
            <w:r w:rsidRPr="00524428">
              <w:rPr>
                <w:rFonts w:cs="Arial"/>
                <w:sz w:val="16"/>
                <w:szCs w:val="16"/>
              </w:rPr>
              <w:t xml:space="preserve">Total </w:t>
            </w:r>
            <w:r w:rsidR="00312E88">
              <w:rPr>
                <w:rFonts w:cs="Arial"/>
                <w:sz w:val="16"/>
                <w:szCs w:val="16"/>
              </w:rPr>
              <w:t>of cost decrease scenarios</w:t>
            </w:r>
          </w:p>
        </w:tc>
        <w:tc>
          <w:tcPr>
            <w:tcW w:w="850" w:type="dxa"/>
          </w:tcPr>
          <w:p w14:paraId="1A81A056" w14:textId="77777777" w:rsidR="00F506AF" w:rsidRPr="00524428" w:rsidRDefault="00F506AF" w:rsidP="00312E88">
            <w:pPr>
              <w:pStyle w:val="Tables"/>
              <w:rPr>
                <w:rFonts w:cs="Arial"/>
                <w:sz w:val="16"/>
                <w:szCs w:val="16"/>
              </w:rPr>
            </w:pPr>
            <w:r w:rsidRPr="00524428">
              <w:rPr>
                <w:rFonts w:cs="Arial"/>
                <w:sz w:val="16"/>
                <w:szCs w:val="16"/>
              </w:rPr>
              <w:t>-1,0</w:t>
            </w:r>
            <w:r>
              <w:rPr>
                <w:rFonts w:cs="Arial"/>
                <w:sz w:val="16"/>
                <w:szCs w:val="16"/>
              </w:rPr>
              <w:t>44</w:t>
            </w:r>
          </w:p>
        </w:tc>
        <w:tc>
          <w:tcPr>
            <w:tcW w:w="851" w:type="dxa"/>
          </w:tcPr>
          <w:p w14:paraId="79F0B25E" w14:textId="77777777" w:rsidR="00F506AF" w:rsidRPr="00524428" w:rsidRDefault="00F506AF" w:rsidP="00312E88">
            <w:pPr>
              <w:pStyle w:val="Tables"/>
              <w:rPr>
                <w:rFonts w:cs="Arial"/>
                <w:sz w:val="16"/>
                <w:szCs w:val="16"/>
              </w:rPr>
            </w:pPr>
            <w:r w:rsidRPr="00524428">
              <w:rPr>
                <w:rFonts w:cs="Arial"/>
                <w:sz w:val="16"/>
                <w:szCs w:val="16"/>
              </w:rPr>
              <w:t>-1,6</w:t>
            </w:r>
            <w:r>
              <w:rPr>
                <w:rFonts w:cs="Arial"/>
                <w:sz w:val="16"/>
                <w:szCs w:val="16"/>
              </w:rPr>
              <w:t>70</w:t>
            </w:r>
          </w:p>
        </w:tc>
        <w:tc>
          <w:tcPr>
            <w:tcW w:w="850" w:type="dxa"/>
          </w:tcPr>
          <w:p w14:paraId="21F7CA05" w14:textId="77777777" w:rsidR="00F506AF" w:rsidRPr="00524428" w:rsidRDefault="00F506AF" w:rsidP="00312E88">
            <w:pPr>
              <w:pStyle w:val="Tables"/>
              <w:rPr>
                <w:rFonts w:cs="Arial"/>
                <w:sz w:val="16"/>
                <w:szCs w:val="16"/>
              </w:rPr>
            </w:pPr>
            <w:r w:rsidRPr="00524428">
              <w:rPr>
                <w:rFonts w:cs="Arial"/>
                <w:sz w:val="16"/>
                <w:szCs w:val="16"/>
              </w:rPr>
              <w:t>-2,4</w:t>
            </w:r>
            <w:r>
              <w:rPr>
                <w:rFonts w:cs="Arial"/>
                <w:sz w:val="16"/>
                <w:szCs w:val="16"/>
              </w:rPr>
              <w:t>59</w:t>
            </w:r>
          </w:p>
        </w:tc>
        <w:tc>
          <w:tcPr>
            <w:tcW w:w="992" w:type="dxa"/>
          </w:tcPr>
          <w:p w14:paraId="3A0DDDAF" w14:textId="77777777" w:rsidR="00F506AF" w:rsidRPr="00524428" w:rsidRDefault="00F506AF" w:rsidP="00312E88">
            <w:pPr>
              <w:pStyle w:val="Tables"/>
              <w:rPr>
                <w:rFonts w:cs="Arial"/>
                <w:sz w:val="16"/>
                <w:szCs w:val="16"/>
              </w:rPr>
            </w:pPr>
            <w:r w:rsidRPr="00524428">
              <w:rPr>
                <w:rFonts w:cs="Arial"/>
                <w:sz w:val="16"/>
                <w:szCs w:val="16"/>
              </w:rPr>
              <w:t>-3,0</w:t>
            </w:r>
            <w:r>
              <w:rPr>
                <w:rFonts w:cs="Arial"/>
                <w:sz w:val="16"/>
                <w:szCs w:val="16"/>
              </w:rPr>
              <w:t>77</w:t>
            </w:r>
          </w:p>
        </w:tc>
        <w:tc>
          <w:tcPr>
            <w:tcW w:w="1134" w:type="dxa"/>
          </w:tcPr>
          <w:p w14:paraId="40FE616F" w14:textId="77777777" w:rsidR="00F506AF" w:rsidRPr="00524428" w:rsidRDefault="00F506AF" w:rsidP="00312E88">
            <w:pPr>
              <w:pStyle w:val="Tables"/>
              <w:rPr>
                <w:rFonts w:cs="Arial"/>
                <w:sz w:val="16"/>
                <w:szCs w:val="16"/>
              </w:rPr>
            </w:pPr>
            <w:r w:rsidRPr="00524428">
              <w:rPr>
                <w:rFonts w:cs="Arial"/>
                <w:sz w:val="16"/>
                <w:szCs w:val="16"/>
              </w:rPr>
              <w:t>-9,</w:t>
            </w:r>
            <w:r>
              <w:rPr>
                <w:rFonts w:cs="Arial"/>
                <w:sz w:val="16"/>
                <w:szCs w:val="16"/>
              </w:rPr>
              <w:t>354</w:t>
            </w:r>
          </w:p>
        </w:tc>
        <w:tc>
          <w:tcPr>
            <w:tcW w:w="851" w:type="dxa"/>
          </w:tcPr>
          <w:p w14:paraId="79ECB783" w14:textId="77777777" w:rsidR="00F506AF" w:rsidRPr="00524428" w:rsidRDefault="00F506AF" w:rsidP="00312E88">
            <w:pPr>
              <w:pStyle w:val="Tables"/>
              <w:rPr>
                <w:rFonts w:cs="Arial"/>
                <w:sz w:val="16"/>
                <w:szCs w:val="16"/>
              </w:rPr>
            </w:pPr>
            <w:r w:rsidRPr="00524428">
              <w:rPr>
                <w:rFonts w:cs="Arial"/>
                <w:sz w:val="16"/>
                <w:szCs w:val="16"/>
              </w:rPr>
              <w:t>-8,</w:t>
            </w:r>
            <w:r>
              <w:rPr>
                <w:rFonts w:cs="Arial"/>
                <w:sz w:val="16"/>
                <w:szCs w:val="16"/>
              </w:rPr>
              <w:t>249</w:t>
            </w:r>
          </w:p>
        </w:tc>
      </w:tr>
      <w:tr w:rsidR="00F506AF" w14:paraId="4CC647DE" w14:textId="77777777" w:rsidTr="00312E88">
        <w:trPr>
          <w:trHeight w:hRule="exact" w:val="284"/>
        </w:trPr>
        <w:tc>
          <w:tcPr>
            <w:tcW w:w="4390" w:type="dxa"/>
          </w:tcPr>
          <w:p w14:paraId="53AED741" w14:textId="77777777" w:rsidR="00F506AF" w:rsidRPr="00524428" w:rsidRDefault="00F506AF" w:rsidP="00312E88">
            <w:pPr>
              <w:pStyle w:val="Tables"/>
              <w:rPr>
                <w:rFonts w:cs="Arial"/>
                <w:sz w:val="16"/>
                <w:szCs w:val="16"/>
              </w:rPr>
            </w:pPr>
            <w:r w:rsidRPr="00524428">
              <w:rPr>
                <w:rFonts w:cs="Arial"/>
                <w:sz w:val="16"/>
                <w:szCs w:val="16"/>
              </w:rPr>
              <w:t xml:space="preserve">Plausible </w:t>
            </w:r>
            <w:r>
              <w:rPr>
                <w:rFonts w:cs="Arial"/>
                <w:sz w:val="16"/>
                <w:szCs w:val="16"/>
              </w:rPr>
              <w:t>low case</w:t>
            </w:r>
            <w:r w:rsidRPr="00524428">
              <w:rPr>
                <w:rFonts w:cs="Arial"/>
                <w:sz w:val="16"/>
                <w:szCs w:val="16"/>
              </w:rPr>
              <w:t xml:space="preserve"> (variance)</w:t>
            </w:r>
          </w:p>
        </w:tc>
        <w:tc>
          <w:tcPr>
            <w:tcW w:w="850" w:type="dxa"/>
          </w:tcPr>
          <w:p w14:paraId="7584C4F5" w14:textId="77777777" w:rsidR="00F506AF" w:rsidRPr="00524428" w:rsidRDefault="00F506AF" w:rsidP="00312E88">
            <w:pPr>
              <w:pStyle w:val="Tables"/>
              <w:rPr>
                <w:rFonts w:cs="Arial"/>
                <w:sz w:val="16"/>
                <w:szCs w:val="16"/>
              </w:rPr>
            </w:pPr>
            <w:r w:rsidRPr="00524428">
              <w:rPr>
                <w:rFonts w:cs="Arial"/>
                <w:sz w:val="16"/>
                <w:szCs w:val="16"/>
              </w:rPr>
              <w:t>-9</w:t>
            </w:r>
            <w:r>
              <w:rPr>
                <w:rFonts w:cs="Arial"/>
                <w:sz w:val="16"/>
                <w:szCs w:val="16"/>
              </w:rPr>
              <w:t>17</w:t>
            </w:r>
          </w:p>
        </w:tc>
        <w:tc>
          <w:tcPr>
            <w:tcW w:w="851" w:type="dxa"/>
          </w:tcPr>
          <w:p w14:paraId="0184DDE0" w14:textId="77777777" w:rsidR="00F506AF" w:rsidRPr="00524428" w:rsidRDefault="00F506AF" w:rsidP="00312E88">
            <w:pPr>
              <w:pStyle w:val="Tables"/>
              <w:rPr>
                <w:rFonts w:cs="Arial"/>
                <w:sz w:val="16"/>
                <w:szCs w:val="16"/>
              </w:rPr>
            </w:pPr>
            <w:r w:rsidRPr="00524428">
              <w:rPr>
                <w:rFonts w:cs="Arial"/>
                <w:sz w:val="16"/>
                <w:szCs w:val="16"/>
              </w:rPr>
              <w:t>-1,3</w:t>
            </w:r>
            <w:r>
              <w:rPr>
                <w:rFonts w:cs="Arial"/>
                <w:sz w:val="16"/>
                <w:szCs w:val="16"/>
              </w:rPr>
              <w:t>64</w:t>
            </w:r>
          </w:p>
        </w:tc>
        <w:tc>
          <w:tcPr>
            <w:tcW w:w="850" w:type="dxa"/>
          </w:tcPr>
          <w:p w14:paraId="61407905" w14:textId="77777777" w:rsidR="00F506AF" w:rsidRPr="00524428" w:rsidRDefault="00F506AF" w:rsidP="00312E88">
            <w:pPr>
              <w:pStyle w:val="Tables"/>
              <w:rPr>
                <w:rFonts w:cs="Arial"/>
                <w:sz w:val="16"/>
                <w:szCs w:val="16"/>
              </w:rPr>
            </w:pPr>
            <w:r w:rsidRPr="00524428">
              <w:rPr>
                <w:rFonts w:cs="Arial"/>
                <w:sz w:val="16"/>
                <w:szCs w:val="16"/>
              </w:rPr>
              <w:t>-1,9</w:t>
            </w:r>
            <w:r>
              <w:rPr>
                <w:rFonts w:cs="Arial"/>
                <w:sz w:val="16"/>
                <w:szCs w:val="16"/>
              </w:rPr>
              <w:t>60</w:t>
            </w:r>
          </w:p>
        </w:tc>
        <w:tc>
          <w:tcPr>
            <w:tcW w:w="992" w:type="dxa"/>
          </w:tcPr>
          <w:p w14:paraId="016F99D3" w14:textId="77777777" w:rsidR="00F506AF" w:rsidRPr="00524428" w:rsidRDefault="00F506AF" w:rsidP="00312E88">
            <w:pPr>
              <w:pStyle w:val="Tables"/>
              <w:rPr>
                <w:rFonts w:cs="Arial"/>
                <w:sz w:val="16"/>
                <w:szCs w:val="16"/>
              </w:rPr>
            </w:pPr>
            <w:r w:rsidRPr="00524428">
              <w:rPr>
                <w:rFonts w:cs="Arial"/>
                <w:sz w:val="16"/>
                <w:szCs w:val="16"/>
              </w:rPr>
              <w:t>-2,</w:t>
            </w:r>
            <w:r>
              <w:rPr>
                <w:rFonts w:cs="Arial"/>
                <w:sz w:val="16"/>
                <w:szCs w:val="16"/>
              </w:rPr>
              <w:t>403</w:t>
            </w:r>
          </w:p>
        </w:tc>
        <w:tc>
          <w:tcPr>
            <w:tcW w:w="1134" w:type="dxa"/>
          </w:tcPr>
          <w:p w14:paraId="316CECE6" w14:textId="77777777" w:rsidR="00F506AF" w:rsidRPr="00524428" w:rsidRDefault="00F506AF" w:rsidP="00312E88">
            <w:pPr>
              <w:pStyle w:val="Tables"/>
              <w:rPr>
                <w:rFonts w:cs="Arial"/>
                <w:sz w:val="16"/>
                <w:szCs w:val="16"/>
              </w:rPr>
            </w:pPr>
            <w:r w:rsidRPr="00524428">
              <w:rPr>
                <w:rFonts w:cs="Arial"/>
                <w:sz w:val="16"/>
                <w:szCs w:val="16"/>
              </w:rPr>
              <w:t>-6,</w:t>
            </w:r>
            <w:r>
              <w:rPr>
                <w:rFonts w:cs="Arial"/>
                <w:sz w:val="16"/>
                <w:szCs w:val="16"/>
              </w:rPr>
              <w:t>125</w:t>
            </w:r>
          </w:p>
        </w:tc>
        <w:tc>
          <w:tcPr>
            <w:tcW w:w="851" w:type="dxa"/>
          </w:tcPr>
          <w:p w14:paraId="3AC904B4" w14:textId="77777777" w:rsidR="00F506AF" w:rsidRPr="00524428" w:rsidRDefault="00F506AF" w:rsidP="00312E88">
            <w:pPr>
              <w:pStyle w:val="Tables"/>
              <w:rPr>
                <w:rFonts w:cs="Arial"/>
                <w:sz w:val="16"/>
                <w:szCs w:val="16"/>
              </w:rPr>
            </w:pPr>
            <w:r w:rsidRPr="00524428">
              <w:rPr>
                <w:rFonts w:cs="Arial"/>
                <w:sz w:val="16"/>
                <w:szCs w:val="16"/>
              </w:rPr>
              <w:t>-6,</w:t>
            </w:r>
            <w:r>
              <w:rPr>
                <w:rFonts w:cs="Arial"/>
                <w:sz w:val="16"/>
                <w:szCs w:val="16"/>
              </w:rPr>
              <w:t>645</w:t>
            </w:r>
          </w:p>
        </w:tc>
      </w:tr>
      <w:tr w:rsidR="00F506AF" w14:paraId="23EF3DA1" w14:textId="77777777" w:rsidTr="00312E88">
        <w:trPr>
          <w:trHeight w:hRule="exact" w:val="284"/>
        </w:trPr>
        <w:tc>
          <w:tcPr>
            <w:tcW w:w="4390" w:type="dxa"/>
          </w:tcPr>
          <w:p w14:paraId="6DBFE2F7" w14:textId="77777777" w:rsidR="00F506AF" w:rsidRPr="00524428" w:rsidRDefault="00F506AF" w:rsidP="00312E88">
            <w:pPr>
              <w:pStyle w:val="Tables"/>
              <w:rPr>
                <w:rFonts w:cs="Arial"/>
                <w:sz w:val="16"/>
                <w:szCs w:val="16"/>
              </w:rPr>
            </w:pPr>
            <w:r w:rsidRPr="00524428">
              <w:rPr>
                <w:rFonts w:cs="Arial"/>
                <w:sz w:val="16"/>
                <w:szCs w:val="16"/>
              </w:rPr>
              <w:t xml:space="preserve">Plausible </w:t>
            </w:r>
            <w:r>
              <w:rPr>
                <w:rFonts w:cs="Arial"/>
                <w:sz w:val="16"/>
                <w:szCs w:val="16"/>
              </w:rPr>
              <w:t>high case</w:t>
            </w:r>
            <w:r w:rsidRPr="00524428">
              <w:rPr>
                <w:rFonts w:cs="Arial"/>
                <w:sz w:val="16"/>
                <w:szCs w:val="16"/>
              </w:rPr>
              <w:t xml:space="preserve"> (total)</w:t>
            </w:r>
          </w:p>
        </w:tc>
        <w:tc>
          <w:tcPr>
            <w:tcW w:w="850" w:type="dxa"/>
          </w:tcPr>
          <w:p w14:paraId="75731D55" w14:textId="77777777" w:rsidR="00F506AF" w:rsidRPr="00524428" w:rsidRDefault="00F506AF" w:rsidP="00312E88">
            <w:pPr>
              <w:pStyle w:val="Tables"/>
              <w:rPr>
                <w:rFonts w:cs="Arial"/>
                <w:sz w:val="16"/>
                <w:szCs w:val="16"/>
              </w:rPr>
            </w:pPr>
            <w:r w:rsidRPr="00524428">
              <w:rPr>
                <w:rFonts w:cs="Arial"/>
                <w:sz w:val="16"/>
                <w:szCs w:val="16"/>
              </w:rPr>
              <w:t>30,4</w:t>
            </w:r>
            <w:r>
              <w:rPr>
                <w:rFonts w:cs="Arial"/>
                <w:sz w:val="16"/>
                <w:szCs w:val="16"/>
              </w:rPr>
              <w:t>87</w:t>
            </w:r>
          </w:p>
        </w:tc>
        <w:tc>
          <w:tcPr>
            <w:tcW w:w="851" w:type="dxa"/>
          </w:tcPr>
          <w:p w14:paraId="5C392C9B" w14:textId="77777777" w:rsidR="00F506AF" w:rsidRPr="00524428" w:rsidRDefault="00F506AF" w:rsidP="00312E88">
            <w:pPr>
              <w:pStyle w:val="Tables"/>
              <w:rPr>
                <w:rFonts w:cs="Arial"/>
                <w:sz w:val="16"/>
                <w:szCs w:val="16"/>
              </w:rPr>
            </w:pPr>
            <w:r w:rsidRPr="00524428">
              <w:rPr>
                <w:rFonts w:cs="Arial"/>
                <w:sz w:val="16"/>
                <w:szCs w:val="16"/>
              </w:rPr>
              <w:t>36,</w:t>
            </w:r>
            <w:r>
              <w:rPr>
                <w:rFonts w:cs="Arial"/>
                <w:sz w:val="16"/>
                <w:szCs w:val="16"/>
              </w:rPr>
              <w:t>613</w:t>
            </w:r>
          </w:p>
        </w:tc>
        <w:tc>
          <w:tcPr>
            <w:tcW w:w="850" w:type="dxa"/>
          </w:tcPr>
          <w:p w14:paraId="18711159" w14:textId="77777777" w:rsidR="00F506AF" w:rsidRPr="00524428" w:rsidRDefault="00F506AF" w:rsidP="00312E88">
            <w:pPr>
              <w:pStyle w:val="Tables"/>
              <w:rPr>
                <w:rFonts w:cs="Arial"/>
                <w:sz w:val="16"/>
                <w:szCs w:val="16"/>
              </w:rPr>
            </w:pPr>
            <w:r w:rsidRPr="00524428">
              <w:rPr>
                <w:rFonts w:cs="Arial"/>
                <w:sz w:val="16"/>
                <w:szCs w:val="16"/>
              </w:rPr>
              <w:t>41,8</w:t>
            </w:r>
            <w:r>
              <w:rPr>
                <w:rFonts w:cs="Arial"/>
                <w:sz w:val="16"/>
                <w:szCs w:val="16"/>
              </w:rPr>
              <w:t>55</w:t>
            </w:r>
          </w:p>
        </w:tc>
        <w:tc>
          <w:tcPr>
            <w:tcW w:w="992" w:type="dxa"/>
          </w:tcPr>
          <w:p w14:paraId="44B35168" w14:textId="77777777" w:rsidR="00F506AF" w:rsidRPr="00524428" w:rsidRDefault="00F506AF" w:rsidP="00312E88">
            <w:pPr>
              <w:pStyle w:val="Tables"/>
              <w:rPr>
                <w:rFonts w:cs="Arial"/>
                <w:sz w:val="16"/>
                <w:szCs w:val="16"/>
              </w:rPr>
            </w:pPr>
            <w:r w:rsidRPr="00524428">
              <w:rPr>
                <w:rFonts w:cs="Arial"/>
                <w:sz w:val="16"/>
                <w:szCs w:val="16"/>
              </w:rPr>
              <w:t>47,</w:t>
            </w:r>
            <w:r>
              <w:rPr>
                <w:rFonts w:cs="Arial"/>
                <w:sz w:val="16"/>
                <w:szCs w:val="16"/>
              </w:rPr>
              <w:t>843</w:t>
            </w:r>
          </w:p>
        </w:tc>
        <w:tc>
          <w:tcPr>
            <w:tcW w:w="1134" w:type="dxa"/>
          </w:tcPr>
          <w:p w14:paraId="2E46E6F6" w14:textId="77777777" w:rsidR="00F506AF" w:rsidRPr="00524428" w:rsidRDefault="00F506AF" w:rsidP="00312E88">
            <w:pPr>
              <w:pStyle w:val="Tables"/>
              <w:rPr>
                <w:rFonts w:cs="Arial"/>
                <w:sz w:val="16"/>
                <w:szCs w:val="16"/>
              </w:rPr>
            </w:pPr>
            <w:r w:rsidRPr="00524428">
              <w:rPr>
                <w:rFonts w:cs="Arial"/>
                <w:sz w:val="16"/>
                <w:szCs w:val="16"/>
              </w:rPr>
              <w:t>7</w:t>
            </w:r>
            <w:r>
              <w:rPr>
                <w:rFonts w:cs="Arial"/>
                <w:sz w:val="16"/>
                <w:szCs w:val="16"/>
              </w:rPr>
              <w:t>4,156</w:t>
            </w:r>
          </w:p>
        </w:tc>
        <w:tc>
          <w:tcPr>
            <w:tcW w:w="851" w:type="dxa"/>
          </w:tcPr>
          <w:p w14:paraId="71173F95" w14:textId="77777777" w:rsidR="00F506AF" w:rsidRPr="00524428" w:rsidRDefault="00F506AF" w:rsidP="00312E88">
            <w:pPr>
              <w:pStyle w:val="Tables"/>
              <w:rPr>
                <w:rFonts w:cs="Arial"/>
                <w:sz w:val="16"/>
                <w:szCs w:val="16"/>
              </w:rPr>
            </w:pPr>
            <w:r w:rsidRPr="00524428">
              <w:rPr>
                <w:rFonts w:cs="Arial"/>
                <w:sz w:val="16"/>
                <w:szCs w:val="16"/>
              </w:rPr>
              <w:t>156,</w:t>
            </w:r>
            <w:r>
              <w:rPr>
                <w:rFonts w:cs="Arial"/>
                <w:sz w:val="16"/>
                <w:szCs w:val="16"/>
              </w:rPr>
              <w:t>799</w:t>
            </w:r>
          </w:p>
        </w:tc>
      </w:tr>
      <w:tr w:rsidR="00F506AF" w14:paraId="1D8AC6B7" w14:textId="77777777" w:rsidTr="00312E88">
        <w:trPr>
          <w:trHeight w:hRule="exact" w:val="284"/>
        </w:trPr>
        <w:tc>
          <w:tcPr>
            <w:tcW w:w="4390" w:type="dxa"/>
          </w:tcPr>
          <w:p w14:paraId="2C1BFEC4" w14:textId="77777777" w:rsidR="00F506AF" w:rsidRPr="00524428" w:rsidRDefault="00F506AF" w:rsidP="00312E88">
            <w:pPr>
              <w:pStyle w:val="Tables"/>
              <w:rPr>
                <w:rFonts w:cs="Arial"/>
                <w:sz w:val="16"/>
                <w:szCs w:val="16"/>
              </w:rPr>
            </w:pPr>
            <w:r w:rsidRPr="00524428">
              <w:rPr>
                <w:rFonts w:cs="Arial"/>
                <w:sz w:val="16"/>
                <w:szCs w:val="16"/>
              </w:rPr>
              <w:t xml:space="preserve">Plausible </w:t>
            </w:r>
            <w:r>
              <w:rPr>
                <w:rFonts w:cs="Arial"/>
                <w:sz w:val="16"/>
                <w:szCs w:val="16"/>
              </w:rPr>
              <w:t>low case</w:t>
            </w:r>
            <w:r w:rsidRPr="00524428">
              <w:rPr>
                <w:rFonts w:cs="Arial"/>
                <w:sz w:val="16"/>
                <w:szCs w:val="16"/>
              </w:rPr>
              <w:t xml:space="preserve"> (total)</w:t>
            </w:r>
          </w:p>
        </w:tc>
        <w:tc>
          <w:tcPr>
            <w:tcW w:w="850" w:type="dxa"/>
          </w:tcPr>
          <w:p w14:paraId="49095E4C" w14:textId="77777777" w:rsidR="00F506AF" w:rsidRPr="00524428" w:rsidRDefault="00F506AF" w:rsidP="00312E88">
            <w:pPr>
              <w:pStyle w:val="Tables"/>
              <w:rPr>
                <w:rFonts w:cs="Arial"/>
                <w:sz w:val="16"/>
                <w:szCs w:val="16"/>
              </w:rPr>
            </w:pPr>
            <w:r w:rsidRPr="00524428">
              <w:rPr>
                <w:rFonts w:cs="Arial"/>
                <w:sz w:val="16"/>
                <w:szCs w:val="16"/>
              </w:rPr>
              <w:t>28,3</w:t>
            </w:r>
            <w:r>
              <w:rPr>
                <w:rFonts w:cs="Arial"/>
                <w:sz w:val="16"/>
                <w:szCs w:val="16"/>
              </w:rPr>
              <w:t>06</w:t>
            </w:r>
          </w:p>
        </w:tc>
        <w:tc>
          <w:tcPr>
            <w:tcW w:w="851" w:type="dxa"/>
          </w:tcPr>
          <w:p w14:paraId="07737330" w14:textId="77777777" w:rsidR="00F506AF" w:rsidRPr="00524428" w:rsidRDefault="00F506AF" w:rsidP="00312E88">
            <w:pPr>
              <w:pStyle w:val="Tables"/>
              <w:rPr>
                <w:rFonts w:cs="Arial"/>
                <w:sz w:val="16"/>
                <w:szCs w:val="16"/>
              </w:rPr>
            </w:pPr>
            <w:r w:rsidRPr="00524428">
              <w:rPr>
                <w:rFonts w:cs="Arial"/>
                <w:sz w:val="16"/>
                <w:szCs w:val="16"/>
              </w:rPr>
              <w:t>32,5</w:t>
            </w:r>
            <w:r>
              <w:rPr>
                <w:rFonts w:cs="Arial"/>
                <w:sz w:val="16"/>
                <w:szCs w:val="16"/>
              </w:rPr>
              <w:t>23</w:t>
            </w:r>
          </w:p>
        </w:tc>
        <w:tc>
          <w:tcPr>
            <w:tcW w:w="850" w:type="dxa"/>
          </w:tcPr>
          <w:p w14:paraId="7316A94A" w14:textId="77777777" w:rsidR="00F506AF" w:rsidRPr="00524428" w:rsidRDefault="00F506AF" w:rsidP="00312E88">
            <w:pPr>
              <w:pStyle w:val="Tables"/>
              <w:rPr>
                <w:rFonts w:cs="Arial"/>
                <w:sz w:val="16"/>
                <w:szCs w:val="16"/>
              </w:rPr>
            </w:pPr>
            <w:r w:rsidRPr="00524428">
              <w:rPr>
                <w:rFonts w:cs="Arial"/>
                <w:sz w:val="16"/>
                <w:szCs w:val="16"/>
              </w:rPr>
              <w:t>36,0</w:t>
            </w:r>
            <w:r>
              <w:rPr>
                <w:rFonts w:cs="Arial"/>
                <w:sz w:val="16"/>
                <w:szCs w:val="16"/>
              </w:rPr>
              <w:t>12</w:t>
            </w:r>
          </w:p>
        </w:tc>
        <w:tc>
          <w:tcPr>
            <w:tcW w:w="992" w:type="dxa"/>
          </w:tcPr>
          <w:p w14:paraId="47696635" w14:textId="77777777" w:rsidR="00F506AF" w:rsidRPr="00524428" w:rsidRDefault="00F506AF" w:rsidP="00312E88">
            <w:pPr>
              <w:pStyle w:val="Tables"/>
              <w:rPr>
                <w:rFonts w:cs="Arial"/>
                <w:sz w:val="16"/>
                <w:szCs w:val="16"/>
              </w:rPr>
            </w:pPr>
            <w:r w:rsidRPr="00524428">
              <w:rPr>
                <w:rFonts w:cs="Arial"/>
                <w:sz w:val="16"/>
                <w:szCs w:val="16"/>
              </w:rPr>
              <w:t>3</w:t>
            </w:r>
            <w:r>
              <w:rPr>
                <w:rFonts w:cs="Arial"/>
                <w:sz w:val="16"/>
                <w:szCs w:val="16"/>
              </w:rPr>
              <w:t>8,970</w:t>
            </w:r>
          </w:p>
        </w:tc>
        <w:tc>
          <w:tcPr>
            <w:tcW w:w="1134" w:type="dxa"/>
          </w:tcPr>
          <w:p w14:paraId="3182CF81" w14:textId="77777777" w:rsidR="00F506AF" w:rsidRPr="00524428" w:rsidRDefault="00F506AF" w:rsidP="00312E88">
            <w:pPr>
              <w:pStyle w:val="Tables"/>
              <w:rPr>
                <w:rFonts w:cs="Arial"/>
                <w:sz w:val="16"/>
                <w:szCs w:val="16"/>
              </w:rPr>
            </w:pPr>
            <w:r w:rsidRPr="00524428">
              <w:rPr>
                <w:rFonts w:cs="Arial"/>
                <w:sz w:val="16"/>
                <w:szCs w:val="16"/>
              </w:rPr>
              <w:t>53,</w:t>
            </w:r>
            <w:r>
              <w:rPr>
                <w:rFonts w:cs="Arial"/>
                <w:sz w:val="16"/>
                <w:szCs w:val="16"/>
              </w:rPr>
              <w:t>159</w:t>
            </w:r>
          </w:p>
        </w:tc>
        <w:tc>
          <w:tcPr>
            <w:tcW w:w="851" w:type="dxa"/>
          </w:tcPr>
          <w:p w14:paraId="025F4FF3" w14:textId="77777777" w:rsidR="00F506AF" w:rsidRPr="00524428" w:rsidRDefault="00F506AF" w:rsidP="00312E88">
            <w:pPr>
              <w:pStyle w:val="Tables"/>
              <w:rPr>
                <w:rFonts w:cs="Arial"/>
                <w:sz w:val="16"/>
                <w:szCs w:val="16"/>
              </w:rPr>
            </w:pPr>
            <w:r w:rsidRPr="00524428">
              <w:rPr>
                <w:rFonts w:cs="Arial"/>
                <w:sz w:val="16"/>
                <w:szCs w:val="16"/>
              </w:rPr>
              <w:t>135,</w:t>
            </w:r>
            <w:r>
              <w:rPr>
                <w:rFonts w:cs="Arial"/>
                <w:sz w:val="16"/>
                <w:szCs w:val="16"/>
              </w:rPr>
              <w:t>811</w:t>
            </w:r>
          </w:p>
        </w:tc>
      </w:tr>
    </w:tbl>
    <w:p w14:paraId="2049B8EF" w14:textId="77777777" w:rsidR="002E36B0" w:rsidRDefault="00903F7D" w:rsidP="002E36B0">
      <w:pPr>
        <w:spacing w:before="240"/>
      </w:pPr>
      <w:r>
        <w:t xml:space="preserve">The plausible </w:t>
      </w:r>
      <w:r w:rsidR="000021BC">
        <w:t xml:space="preserve">high and low </w:t>
      </w:r>
      <w:r>
        <w:t>case scenarios shown combine the various components of variance. Low positive correlation is assumed between the various components, resulting in the overall plausible scenarios being less extreme than the total</w:t>
      </w:r>
      <w:r w:rsidR="00BE6E74">
        <w:t>s</w:t>
      </w:r>
      <w:r>
        <w:t xml:space="preserve"> of the individual components. </w:t>
      </w:r>
    </w:p>
    <w:p w14:paraId="1C4F6553" w14:textId="387A72F0" w:rsidR="007A577A" w:rsidRDefault="00903F7D" w:rsidP="002E36B0">
      <w:pPr>
        <w:spacing w:before="240"/>
      </w:pPr>
      <w:r w:rsidRPr="00DE185E">
        <w:t xml:space="preserve">It is also noted that the range </w:t>
      </w:r>
      <w:r w:rsidR="005C0E00" w:rsidRPr="00DE185E">
        <w:t xml:space="preserve">adopted </w:t>
      </w:r>
      <w:r w:rsidRPr="00DE185E">
        <w:t>includes considerably more upside (</w:t>
      </w:r>
      <w:r w:rsidR="00E868B7" w:rsidRPr="00AF1790">
        <w:t>that is, higher costs</w:t>
      </w:r>
      <w:r w:rsidRPr="00DE185E">
        <w:t>) than downside (</w:t>
      </w:r>
      <w:r w:rsidR="00E868B7" w:rsidRPr="00AF1790">
        <w:t>that is, lower costs</w:t>
      </w:r>
      <w:r w:rsidRPr="00DE185E">
        <w:t>) risk. This results from considerably greater upside risk relating to superimposed inflation</w:t>
      </w:r>
      <w:r w:rsidR="00E868B7" w:rsidRPr="00AF1790">
        <w:t xml:space="preserve"> (that is, </w:t>
      </w:r>
      <w:r w:rsidR="00DE185E">
        <w:t xml:space="preserve">superimposed inflation </w:t>
      </w:r>
      <w:r w:rsidR="00E868B7" w:rsidRPr="00AF1790">
        <w:t>could be higher)</w:t>
      </w:r>
      <w:r w:rsidRPr="00DE185E">
        <w:t xml:space="preserve">, new incidence rates </w:t>
      </w:r>
      <w:r w:rsidR="00E868B7" w:rsidRPr="00AF1790">
        <w:t xml:space="preserve">(that is, </w:t>
      </w:r>
      <w:r w:rsidR="00DE185E">
        <w:t xml:space="preserve">new incidence rates </w:t>
      </w:r>
      <w:r w:rsidR="00E868B7" w:rsidRPr="00AF1790">
        <w:t xml:space="preserve">could be higher) </w:t>
      </w:r>
      <w:r w:rsidRPr="00DE185E">
        <w:t>and exit rates</w:t>
      </w:r>
      <w:r w:rsidR="00E868B7" w:rsidRPr="00AF1790">
        <w:t xml:space="preserve"> (that is, </w:t>
      </w:r>
      <w:r w:rsidR="00DE185E">
        <w:t xml:space="preserve">exit rates </w:t>
      </w:r>
      <w:r w:rsidR="00E868B7" w:rsidRPr="00AF1790">
        <w:t>could be lower)</w:t>
      </w:r>
      <w:r w:rsidR="00952228" w:rsidRPr="00DE185E">
        <w:t xml:space="preserve">. </w:t>
      </w:r>
    </w:p>
    <w:p w14:paraId="45F9D631" w14:textId="60D1D1AE" w:rsidR="00BD4A22" w:rsidRPr="00C578EB" w:rsidRDefault="00BD4A22" w:rsidP="00FC21CC">
      <w:pPr>
        <w:pStyle w:val="Heading2"/>
      </w:pPr>
      <w:bookmarkStart w:id="24" w:name="_Toc83220837"/>
      <w:bookmarkStart w:id="25" w:name="_Toc85031248"/>
      <w:r w:rsidRPr="00C578EB">
        <w:lastRenderedPageBreak/>
        <w:t>Introduction</w:t>
      </w:r>
      <w:bookmarkEnd w:id="0"/>
      <w:bookmarkEnd w:id="1"/>
      <w:bookmarkEnd w:id="24"/>
      <w:bookmarkEnd w:id="25"/>
    </w:p>
    <w:p w14:paraId="5FD3F070" w14:textId="58D2F480" w:rsidR="00FC21CC" w:rsidRPr="00C578EB" w:rsidRDefault="00FC21CC" w:rsidP="00FC21CC">
      <w:pPr>
        <w:pStyle w:val="FSRnormal"/>
      </w:pPr>
      <w:r w:rsidRPr="00C578EB">
        <w:t xml:space="preserve">An annual financial sustainability report (AFSR) is required under section 180B of the NDIS Act and provides an assessment of the financial sustainability of the National Disability Insurance Scheme (“the Scheme”, or NDIS). This report includes analyses and discussion on recent Scheme experience, best estimate projections of future participant numbers and costs (based on emerging experience and future expectations), and strategies to address risks to sustainability. </w:t>
      </w:r>
    </w:p>
    <w:p w14:paraId="634CE249" w14:textId="42FC2AFF" w:rsidR="00BD4A22" w:rsidRPr="00C578EB" w:rsidRDefault="00C45622" w:rsidP="00FC21CC">
      <w:pPr>
        <w:pStyle w:val="FSRHeading4"/>
      </w:pPr>
      <w:r w:rsidRPr="00FC21CC">
        <w:t>Background</w:t>
      </w:r>
    </w:p>
    <w:p w14:paraId="0CD8B6A1" w14:textId="4E58740E" w:rsidR="00FC21CC" w:rsidRPr="00C578EB" w:rsidRDefault="00FC21CC" w:rsidP="00FC21CC">
      <w:pPr>
        <w:pStyle w:val="FSRnormal"/>
      </w:pPr>
      <w:r w:rsidRPr="00C578EB">
        <w:t xml:space="preserve">The purpose of the NDIS is to provide reasonable and necessary funding to people with a permanent and significant disability so that they have choice and control over the supports and services they need to pursue </w:t>
      </w:r>
      <w:r w:rsidR="00440413">
        <w:t>an ordinary life</w:t>
      </w:r>
      <w:r w:rsidRPr="00C578EB">
        <w:t>. A key cornerstone underlying the operation of the Scheme is strong insurance principles, where evidence</w:t>
      </w:r>
      <w:r w:rsidRPr="00C578EB">
        <w:noBreakHyphen/>
        <w:t>based decisions on access and planning are made by drawing on objective information on individuals and the longitudinal data that is collected on participants in the Scheme. Experience is closely and regularly monitored to allow emerging risks and issues to be identified and where required, remediation strategies to be implemented.</w:t>
      </w:r>
    </w:p>
    <w:p w14:paraId="70E2E9CB" w14:textId="77777777" w:rsidR="00FC21CC" w:rsidRPr="00C578EB" w:rsidRDefault="00FC21CC" w:rsidP="00FC21CC">
      <w:pPr>
        <w:pStyle w:val="FSRnormal"/>
      </w:pPr>
      <w:r w:rsidRPr="00C578EB">
        <w:t xml:space="preserve">Importantly, the Scheme has a lifespan, person-centric approach to its model of support for people with disability, where early investment in core, capacity building and capital supports are anticipated to drive better outcomes for participants and their family/carers over their lifetime. </w:t>
      </w:r>
    </w:p>
    <w:p w14:paraId="156EEA40" w14:textId="1A98BB73" w:rsidR="00645F49" w:rsidRPr="00C578EB" w:rsidRDefault="00FC21CC" w:rsidP="00FC21CC">
      <w:pPr>
        <w:pStyle w:val="FSRnormal"/>
      </w:pPr>
      <w:r w:rsidRPr="00C578EB">
        <w:t xml:space="preserve">The </w:t>
      </w:r>
      <w:r w:rsidRPr="00C578EB">
        <w:rPr>
          <w:i/>
        </w:rPr>
        <w:t>NDIS Insurance Principles and Financial Sustainability Manual</w:t>
      </w:r>
      <w:r w:rsidRPr="00FC21CC">
        <w:rPr>
          <w:rStyle w:val="FootnoteReference"/>
        </w:rPr>
        <w:footnoteReference w:id="27"/>
      </w:r>
      <w:r w:rsidRPr="00C578EB">
        <w:t xml:space="preserve"> outlines the insurance model in detail and defines financial sustainability as the state where:</w:t>
      </w:r>
    </w:p>
    <w:p w14:paraId="21AE0323" w14:textId="4BCBCDF8" w:rsidR="00FC21CC" w:rsidRPr="00FC21CC" w:rsidRDefault="00FC21CC" w:rsidP="00FC21CC">
      <w:pPr>
        <w:pStyle w:val="FSRlist"/>
        <w:rPr>
          <w:i/>
        </w:rPr>
      </w:pPr>
      <w:r w:rsidRPr="00FC21CC">
        <w:rPr>
          <w:i/>
        </w:rPr>
        <w:t xml:space="preserve">the </w:t>
      </w:r>
      <w:r w:rsidR="00475322">
        <w:rPr>
          <w:i/>
        </w:rPr>
        <w:t>Scheme</w:t>
      </w:r>
      <w:r w:rsidRPr="00FC21CC">
        <w:rPr>
          <w:i/>
        </w:rPr>
        <w:t xml:space="preserv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2BBB1016" w14:textId="77777777" w:rsidR="00FC21CC" w:rsidRPr="00FC21CC" w:rsidRDefault="00FC21CC" w:rsidP="00FC21CC">
      <w:pPr>
        <w:pStyle w:val="FSRlist"/>
        <w:rPr>
          <w:i/>
        </w:rPr>
      </w:pPr>
      <w:proofErr w:type="gramStart"/>
      <w:r w:rsidRPr="00FC21CC">
        <w:rPr>
          <w:i/>
        </w:rPr>
        <w:t>contributors</w:t>
      </w:r>
      <w:proofErr w:type="gramEnd"/>
      <w:r w:rsidRPr="00FC21CC">
        <w:rPr>
          <w:i/>
        </w:rPr>
        <w:t xml:space="preserve"> think that the cost is and will continue to be affordable, under control, represents value for money and, therefore, remain willing to contribute.</w:t>
      </w:r>
    </w:p>
    <w:p w14:paraId="3666B664" w14:textId="05191E5F" w:rsidR="00FC21CC" w:rsidRDefault="00FC21CC" w:rsidP="00FC21CC">
      <w:pPr>
        <w:pStyle w:val="FSRnormal"/>
      </w:pPr>
      <w:r w:rsidRPr="00C578EB">
        <w:t xml:space="preserve">The current government expectation of Scheme cost is included in the annual Portfolio Budget Statements (PBS), noting it is not only the financial cost of the Scheme that is important within the context of financial sustainability, but also the outcomes </w:t>
      </w:r>
      <w:r w:rsidR="0034366D">
        <w:t xml:space="preserve">for participants </w:t>
      </w:r>
      <w:r w:rsidRPr="00C578EB">
        <w:t>achieved by the Scheme.</w:t>
      </w:r>
    </w:p>
    <w:p w14:paraId="05E69B30" w14:textId="6D74C7AF" w:rsidR="00FC21CC" w:rsidRPr="00C578EB" w:rsidRDefault="00FC21CC" w:rsidP="00FC21CC">
      <w:pPr>
        <w:pStyle w:val="FSRnormal"/>
      </w:pPr>
      <w:r w:rsidRPr="00C578EB">
        <w:lastRenderedPageBreak/>
        <w:t>Outcomes for participants and their families/carers are reported regularly in the NDIA’s quarterly reports to Disability Ministers, and more detailed analysis and data is available on the NDIA Data and Insights website.</w:t>
      </w:r>
      <w:r>
        <w:rPr>
          <w:rStyle w:val="FootnoteReference"/>
        </w:rPr>
        <w:footnoteReference w:id="28"/>
      </w:r>
    </w:p>
    <w:p w14:paraId="6A63DAD1" w14:textId="6218B9CA" w:rsidR="002C276D" w:rsidRPr="00C578EB" w:rsidRDefault="002C276D" w:rsidP="002C276D">
      <w:pPr>
        <w:pStyle w:val="FSRHeading4"/>
      </w:pPr>
      <w:r w:rsidRPr="00C578EB">
        <w:t>Current financial sustainability position</w:t>
      </w:r>
    </w:p>
    <w:p w14:paraId="43342239" w14:textId="218D4864" w:rsidR="00FC21CC" w:rsidRPr="00FC21CC" w:rsidRDefault="00FC21CC" w:rsidP="00FC21CC">
      <w:pPr>
        <w:pStyle w:val="FSRnormal"/>
      </w:pPr>
      <w:r w:rsidRPr="00FC21CC">
        <w:t xml:space="preserve">The NDIS has been in operation since 1 July 2013. The first three years of the Scheme were a trial period, and this was followed by the transition period which commenced on 1 July 2016, with the Scheme progressively rolled out across the country within four years. Since inception, the National Disability Insurance Agency (“the Agency”, or NDIA) has had an increasing focus on improving participant experience. For example, </w:t>
      </w:r>
      <w:r w:rsidR="003E0B1E">
        <w:t xml:space="preserve">from 2017 </w:t>
      </w:r>
      <w:r w:rsidRPr="00FC21CC">
        <w:t>there was significant work undertaken on the participant pathway to improve the participant experience, a need to improve the speed of internal decision</w:t>
      </w:r>
      <w:r w:rsidRPr="00FC21CC">
        <w:noBreakHyphen/>
        <w:t>making</w:t>
      </w:r>
      <w:r>
        <w:rPr>
          <w:rStyle w:val="FootnoteReference"/>
        </w:rPr>
        <w:footnoteReference w:id="29"/>
      </w:r>
      <w:r w:rsidRPr="00FC21CC">
        <w:t>, and a need to improve access to reasonable and necessary disability supports by growing provider markets to meet the increased demand. Several financial sustainability issues have also been building over the years, the impacts of which are becoming increasingly significant.</w:t>
      </w:r>
    </w:p>
    <w:p w14:paraId="49D8B038" w14:textId="52CA4AAE" w:rsidR="00FC21CC" w:rsidRPr="00C578EB" w:rsidRDefault="00FC21CC" w:rsidP="00EC162E">
      <w:pPr>
        <w:pStyle w:val="FSRnormal"/>
      </w:pPr>
      <w:bookmarkStart w:id="26" w:name="_Ref74331882"/>
      <w:r w:rsidRPr="00FC21CC">
        <w:t>Specifically, these financial sustainability issues are evident when compared to the PBS.</w:t>
      </w:r>
      <w:r w:rsidRPr="00C578EB">
        <w:t xml:space="preserve"> Between 2016-17 and 2018-19, total Scheme costs trended well below the estimates in the PBS. This was primarily due to participants en</w:t>
      </w:r>
      <w:r w:rsidRPr="00AA4213">
        <w:t>tering the Scheme more slowly than initially antici</w:t>
      </w:r>
      <w:r w:rsidRPr="00D248E2">
        <w:t>pated in the bilateral agreements between the Commonwealth and State/Territory governments</w:t>
      </w:r>
      <w:r w:rsidR="00EC162E" w:rsidRPr="00D248E2">
        <w:t xml:space="preserve">. </w:t>
      </w:r>
      <w:r w:rsidRPr="00AA4213">
        <w:t>However, in 2019-20, Scheme costs exceeded the 2019-20 PBS for the first time (costs were $17.6 billion compared with $</w:t>
      </w:r>
      <w:r w:rsidRPr="00741823">
        <w:t xml:space="preserve">16.3 billion). Costs in 2020-21 have also </w:t>
      </w:r>
      <w:r w:rsidR="00691831">
        <w:t xml:space="preserve">significantly </w:t>
      </w:r>
      <w:r w:rsidRPr="00741823">
        <w:t>exceeded the 2020-21 PBS (participant costs of $23.3 billion</w:t>
      </w:r>
      <w:r w:rsidRPr="00C578EB">
        <w:t xml:space="preserve"> compared with </w:t>
      </w:r>
      <w:r>
        <w:t xml:space="preserve">the PBS estimate of </w:t>
      </w:r>
      <w:r w:rsidRPr="00C578EB">
        <w:t xml:space="preserve">$21.7 billion). </w:t>
      </w:r>
    </w:p>
    <w:p w14:paraId="18ED1F93" w14:textId="00B28412" w:rsidR="00FC21CC" w:rsidRPr="00C578EB" w:rsidRDefault="00FC21CC" w:rsidP="00FC21CC">
      <w:pPr>
        <w:pStyle w:val="FSRnormal"/>
      </w:pPr>
      <w:r w:rsidRPr="00C578EB">
        <w:t xml:space="preserve">The 2021-22 PBS included an increase in future expenditure for 2021-22 onwards compared with the 2020-21 PBS (of $12.0 billion). A comparison of actual participant costs and portfolio budget statements </w:t>
      </w:r>
      <w:r w:rsidR="0034366D">
        <w:t xml:space="preserve">is shown </w:t>
      </w:r>
      <w:r w:rsidRPr="00C578EB">
        <w:t>in</w:t>
      </w:r>
      <w:r>
        <w:t xml:space="preserve"> </w:t>
      </w:r>
      <w:r>
        <w:fldChar w:fldCharType="begin"/>
      </w:r>
      <w:r>
        <w:instrText xml:space="preserve"> REF _Ref80109138 \h </w:instrText>
      </w:r>
      <w:r>
        <w:fldChar w:fldCharType="separate"/>
      </w:r>
      <w:r w:rsidR="00E50032" w:rsidRPr="00FC21CC">
        <w:t xml:space="preserve">Table </w:t>
      </w:r>
      <w:r w:rsidR="00E50032">
        <w:rPr>
          <w:noProof/>
        </w:rPr>
        <w:t>11</w:t>
      </w:r>
      <w:r>
        <w:fldChar w:fldCharType="end"/>
      </w:r>
      <w:r w:rsidRPr="00C578EB">
        <w:t xml:space="preserve">, with a negative amount reflecting underspend on participant costs and a positive amount reflecting </w:t>
      </w:r>
      <w:proofErr w:type="gramStart"/>
      <w:r w:rsidRPr="00C578EB">
        <w:t>an overspend</w:t>
      </w:r>
      <w:proofErr w:type="gramEnd"/>
      <w:r w:rsidRPr="00C578EB">
        <w:t>.</w:t>
      </w:r>
    </w:p>
    <w:p w14:paraId="4B2C1C78" w14:textId="048EE953" w:rsidR="00C129EB" w:rsidRPr="00FC21CC" w:rsidRDefault="00C129EB" w:rsidP="00FC21CC">
      <w:pPr>
        <w:pStyle w:val="Tables"/>
      </w:pPr>
      <w:bookmarkStart w:id="27" w:name="_Ref80109138"/>
      <w:r w:rsidRPr="00FC21CC">
        <w:t xml:space="preserve">Table </w:t>
      </w:r>
      <w:fldSimple w:instr=" SEQ Table \* ARABIC ">
        <w:r w:rsidR="00E50032">
          <w:rPr>
            <w:noProof/>
          </w:rPr>
          <w:t>11</w:t>
        </w:r>
      </w:fldSimple>
      <w:bookmarkEnd w:id="26"/>
      <w:bookmarkEnd w:id="27"/>
      <w:r w:rsidRPr="00FC21CC">
        <w:t xml:space="preserve"> Comparison of actual participant costs</w:t>
      </w:r>
      <w:r w:rsidR="00E52DDF" w:rsidRPr="00FC21CC">
        <w:t xml:space="preserve"> and</w:t>
      </w:r>
      <w:r w:rsidRPr="00FC21CC">
        <w:t xml:space="preserve"> PBS estimates</w:t>
      </w:r>
    </w:p>
    <w:tbl>
      <w:tblPr>
        <w:tblStyle w:val="TableGrid"/>
        <w:tblpPr w:leftFromText="180" w:rightFromText="180" w:vertAnchor="text" w:horzAnchor="margin" w:tblpXSpec="center" w:tblpY="89"/>
        <w:tblW w:w="10205" w:type="dxa"/>
        <w:tblLayout w:type="fixed"/>
        <w:tblLook w:val="04A0" w:firstRow="1" w:lastRow="0" w:firstColumn="1" w:lastColumn="0" w:noHBand="0" w:noVBand="1"/>
      </w:tblPr>
      <w:tblGrid>
        <w:gridCol w:w="2549"/>
        <w:gridCol w:w="851"/>
        <w:gridCol w:w="851"/>
        <w:gridCol w:w="851"/>
        <w:gridCol w:w="851"/>
        <w:gridCol w:w="851"/>
        <w:gridCol w:w="850"/>
        <w:gridCol w:w="851"/>
        <w:gridCol w:w="850"/>
        <w:gridCol w:w="850"/>
      </w:tblGrid>
      <w:tr w:rsidR="007A7B56" w14:paraId="2D67BCBE" w14:textId="77777777" w:rsidTr="00312E88">
        <w:trPr>
          <w:tblHeader/>
        </w:trPr>
        <w:tc>
          <w:tcPr>
            <w:tcW w:w="2549" w:type="dxa"/>
            <w:shd w:val="clear" w:color="auto" w:fill="6B2E76"/>
          </w:tcPr>
          <w:p w14:paraId="79AAA3E8" w14:textId="77777777" w:rsidR="007A7B56" w:rsidRPr="00524428" w:rsidRDefault="007A7B56" w:rsidP="00312E88">
            <w:pPr>
              <w:pStyle w:val="Tables"/>
              <w:rPr>
                <w:rFonts w:cs="Arial"/>
                <w:color w:val="FFFFFF" w:themeColor="background1"/>
                <w:sz w:val="14"/>
                <w:szCs w:val="14"/>
              </w:rPr>
            </w:pPr>
            <w:r w:rsidRPr="00524428">
              <w:rPr>
                <w:rFonts w:cs="Arial"/>
                <w:color w:val="FFFFFF" w:themeColor="background1"/>
                <w:sz w:val="14"/>
                <w:szCs w:val="14"/>
              </w:rPr>
              <w:t>Total Participant Costs ($m)</w:t>
            </w:r>
          </w:p>
        </w:tc>
        <w:tc>
          <w:tcPr>
            <w:tcW w:w="851" w:type="dxa"/>
            <w:shd w:val="clear" w:color="auto" w:fill="6B2E76"/>
            <w:vAlign w:val="center"/>
          </w:tcPr>
          <w:p w14:paraId="225EF63E" w14:textId="77777777" w:rsidR="007A7B56" w:rsidRPr="00524428" w:rsidRDefault="007A7B56" w:rsidP="00312E88">
            <w:pPr>
              <w:pStyle w:val="Tables"/>
              <w:jc w:val="center"/>
              <w:rPr>
                <w:rFonts w:cs="Arial"/>
                <w:color w:val="FFFFFF" w:themeColor="background1"/>
                <w:sz w:val="14"/>
                <w:szCs w:val="14"/>
              </w:rPr>
            </w:pPr>
            <w:r w:rsidRPr="00524428">
              <w:rPr>
                <w:rFonts w:cs="Arial"/>
                <w:color w:val="FFFFFF" w:themeColor="background1"/>
                <w:sz w:val="14"/>
                <w:szCs w:val="14"/>
              </w:rPr>
              <w:t>2016-17</w:t>
            </w:r>
          </w:p>
        </w:tc>
        <w:tc>
          <w:tcPr>
            <w:tcW w:w="851" w:type="dxa"/>
            <w:shd w:val="clear" w:color="auto" w:fill="6B2E76"/>
            <w:vAlign w:val="center"/>
          </w:tcPr>
          <w:p w14:paraId="30195ED9" w14:textId="77777777" w:rsidR="007A7B56" w:rsidRPr="00524428" w:rsidRDefault="007A7B56" w:rsidP="00312E88">
            <w:pPr>
              <w:pStyle w:val="Tables"/>
              <w:jc w:val="center"/>
              <w:rPr>
                <w:rFonts w:cs="Arial"/>
                <w:color w:val="FFFFFF" w:themeColor="background1"/>
                <w:sz w:val="14"/>
                <w:szCs w:val="14"/>
              </w:rPr>
            </w:pPr>
            <w:r w:rsidRPr="00524428">
              <w:rPr>
                <w:rFonts w:cs="Arial"/>
                <w:color w:val="FFFFFF" w:themeColor="background1"/>
                <w:sz w:val="14"/>
                <w:szCs w:val="14"/>
              </w:rPr>
              <w:t>2017-18</w:t>
            </w:r>
          </w:p>
        </w:tc>
        <w:tc>
          <w:tcPr>
            <w:tcW w:w="851" w:type="dxa"/>
            <w:shd w:val="clear" w:color="auto" w:fill="6B2E76"/>
            <w:vAlign w:val="center"/>
          </w:tcPr>
          <w:p w14:paraId="585878C2" w14:textId="77777777" w:rsidR="007A7B56" w:rsidRPr="00524428" w:rsidRDefault="007A7B56" w:rsidP="00312E88">
            <w:pPr>
              <w:pStyle w:val="Tables"/>
              <w:jc w:val="center"/>
              <w:rPr>
                <w:rFonts w:cs="Arial"/>
                <w:color w:val="FFFFFF" w:themeColor="background1"/>
                <w:sz w:val="14"/>
                <w:szCs w:val="14"/>
              </w:rPr>
            </w:pPr>
            <w:r w:rsidRPr="00524428">
              <w:rPr>
                <w:rFonts w:cs="Arial"/>
                <w:color w:val="FFFFFF" w:themeColor="background1"/>
                <w:sz w:val="14"/>
                <w:szCs w:val="14"/>
              </w:rPr>
              <w:t>2018-19</w:t>
            </w:r>
          </w:p>
        </w:tc>
        <w:tc>
          <w:tcPr>
            <w:tcW w:w="851" w:type="dxa"/>
            <w:shd w:val="clear" w:color="auto" w:fill="6B2E76"/>
            <w:vAlign w:val="center"/>
          </w:tcPr>
          <w:p w14:paraId="551D80B8" w14:textId="77777777" w:rsidR="007A7B56" w:rsidRPr="00524428" w:rsidRDefault="007A7B56" w:rsidP="00312E88">
            <w:pPr>
              <w:pStyle w:val="Tables"/>
              <w:jc w:val="center"/>
              <w:rPr>
                <w:rFonts w:cs="Arial"/>
                <w:color w:val="FFFFFF" w:themeColor="background1"/>
                <w:sz w:val="14"/>
                <w:szCs w:val="14"/>
              </w:rPr>
            </w:pPr>
            <w:r w:rsidRPr="00524428">
              <w:rPr>
                <w:rFonts w:cs="Arial"/>
                <w:color w:val="FFFFFF" w:themeColor="background1"/>
                <w:sz w:val="14"/>
                <w:szCs w:val="14"/>
              </w:rPr>
              <w:t>2019-20</w:t>
            </w:r>
          </w:p>
        </w:tc>
        <w:tc>
          <w:tcPr>
            <w:tcW w:w="851" w:type="dxa"/>
            <w:shd w:val="clear" w:color="auto" w:fill="6B2E76"/>
          </w:tcPr>
          <w:p w14:paraId="67DFEF4E" w14:textId="77777777" w:rsidR="007A7B56" w:rsidRPr="00524428" w:rsidRDefault="007A7B56" w:rsidP="00312E88">
            <w:pPr>
              <w:pStyle w:val="Tables"/>
              <w:jc w:val="center"/>
              <w:rPr>
                <w:rFonts w:cs="Arial"/>
                <w:color w:val="FFFFFF" w:themeColor="background1"/>
                <w:sz w:val="14"/>
                <w:szCs w:val="14"/>
              </w:rPr>
            </w:pPr>
            <w:r w:rsidRPr="00524428">
              <w:rPr>
                <w:rFonts w:cs="Arial"/>
                <w:color w:val="FFFFFF" w:themeColor="background1"/>
                <w:sz w:val="14"/>
                <w:szCs w:val="14"/>
              </w:rPr>
              <w:t>2020-21</w:t>
            </w:r>
          </w:p>
        </w:tc>
        <w:tc>
          <w:tcPr>
            <w:tcW w:w="850" w:type="dxa"/>
            <w:shd w:val="clear" w:color="auto" w:fill="6B2E76"/>
            <w:vAlign w:val="center"/>
          </w:tcPr>
          <w:p w14:paraId="14EC62B9" w14:textId="77777777" w:rsidR="007A7B56" w:rsidRPr="00524428" w:rsidRDefault="007A7B56" w:rsidP="00312E88">
            <w:pPr>
              <w:pStyle w:val="Tables"/>
              <w:jc w:val="center"/>
              <w:rPr>
                <w:rFonts w:cs="Arial"/>
                <w:color w:val="FFFFFF" w:themeColor="background1"/>
                <w:sz w:val="14"/>
                <w:szCs w:val="14"/>
              </w:rPr>
            </w:pPr>
            <w:r w:rsidRPr="00524428">
              <w:rPr>
                <w:rFonts w:cs="Arial"/>
                <w:color w:val="FFFFFF" w:themeColor="background1"/>
                <w:sz w:val="14"/>
                <w:szCs w:val="14"/>
              </w:rPr>
              <w:t>2021-22</w:t>
            </w:r>
          </w:p>
        </w:tc>
        <w:tc>
          <w:tcPr>
            <w:tcW w:w="851" w:type="dxa"/>
            <w:shd w:val="clear" w:color="auto" w:fill="6B2E76"/>
          </w:tcPr>
          <w:p w14:paraId="4B940F73" w14:textId="77777777" w:rsidR="007A7B56" w:rsidRPr="00524428" w:rsidRDefault="007A7B56" w:rsidP="00312E88">
            <w:pPr>
              <w:pStyle w:val="Tables"/>
              <w:jc w:val="center"/>
              <w:rPr>
                <w:rFonts w:cs="Arial"/>
                <w:color w:val="FFFFFF" w:themeColor="background1"/>
                <w:sz w:val="14"/>
                <w:szCs w:val="14"/>
              </w:rPr>
            </w:pPr>
            <w:r w:rsidRPr="00524428">
              <w:rPr>
                <w:rFonts w:cs="Arial"/>
                <w:color w:val="FFFFFF" w:themeColor="background1"/>
                <w:sz w:val="14"/>
                <w:szCs w:val="14"/>
              </w:rPr>
              <w:t>2022-23</w:t>
            </w:r>
          </w:p>
        </w:tc>
        <w:tc>
          <w:tcPr>
            <w:tcW w:w="850" w:type="dxa"/>
            <w:shd w:val="clear" w:color="auto" w:fill="6B2E76"/>
          </w:tcPr>
          <w:p w14:paraId="0A218A1E" w14:textId="77777777" w:rsidR="007A7B56" w:rsidRPr="00524428" w:rsidRDefault="007A7B56" w:rsidP="00312E88">
            <w:pPr>
              <w:pStyle w:val="Tables"/>
              <w:jc w:val="center"/>
              <w:rPr>
                <w:rFonts w:cs="Arial"/>
                <w:color w:val="FFFFFF" w:themeColor="background1"/>
                <w:sz w:val="14"/>
                <w:szCs w:val="14"/>
              </w:rPr>
            </w:pPr>
            <w:r w:rsidRPr="00524428">
              <w:rPr>
                <w:rFonts w:cs="Arial"/>
                <w:color w:val="FFFFFF" w:themeColor="background1"/>
                <w:sz w:val="14"/>
                <w:szCs w:val="14"/>
              </w:rPr>
              <w:t>2023-24</w:t>
            </w:r>
          </w:p>
        </w:tc>
        <w:tc>
          <w:tcPr>
            <w:tcW w:w="850" w:type="dxa"/>
            <w:shd w:val="clear" w:color="auto" w:fill="6B2E76"/>
          </w:tcPr>
          <w:p w14:paraId="43BC647C" w14:textId="77777777" w:rsidR="007A7B56" w:rsidRPr="00524428" w:rsidRDefault="007A7B56" w:rsidP="00312E88">
            <w:pPr>
              <w:pStyle w:val="Tables"/>
              <w:jc w:val="center"/>
              <w:rPr>
                <w:rFonts w:cs="Arial"/>
                <w:color w:val="FFFFFF" w:themeColor="background1"/>
                <w:sz w:val="14"/>
                <w:szCs w:val="14"/>
              </w:rPr>
            </w:pPr>
            <w:r w:rsidRPr="00524428">
              <w:rPr>
                <w:rFonts w:cs="Arial"/>
                <w:color w:val="FFFFFF" w:themeColor="background1"/>
                <w:sz w:val="14"/>
                <w:szCs w:val="14"/>
              </w:rPr>
              <w:t>2024-25</w:t>
            </w:r>
          </w:p>
        </w:tc>
      </w:tr>
      <w:tr w:rsidR="007A7B56" w14:paraId="761AEFAD" w14:textId="77777777" w:rsidTr="00312E88">
        <w:trPr>
          <w:trHeight w:hRule="exact" w:val="284"/>
        </w:trPr>
        <w:tc>
          <w:tcPr>
            <w:tcW w:w="2549" w:type="dxa"/>
          </w:tcPr>
          <w:p w14:paraId="7FC09ABD"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Portfolio Budget Statements 2021-22</w:t>
            </w:r>
          </w:p>
        </w:tc>
        <w:tc>
          <w:tcPr>
            <w:tcW w:w="3404" w:type="dxa"/>
            <w:gridSpan w:val="4"/>
            <w:shd w:val="clear" w:color="auto" w:fill="BFBFBF"/>
          </w:tcPr>
          <w:p w14:paraId="1AFD3D13" w14:textId="77777777" w:rsidR="007A7B56" w:rsidRPr="00524428" w:rsidRDefault="007A7B56" w:rsidP="00312E88">
            <w:pPr>
              <w:pStyle w:val="Tables"/>
              <w:rPr>
                <w:rFonts w:cs="Arial"/>
                <w:b w:val="0"/>
                <w:bCs w:val="0"/>
                <w:sz w:val="14"/>
                <w:szCs w:val="14"/>
              </w:rPr>
            </w:pPr>
          </w:p>
        </w:tc>
        <w:tc>
          <w:tcPr>
            <w:tcW w:w="851" w:type="dxa"/>
            <w:shd w:val="clear" w:color="auto" w:fill="BFBFBF"/>
          </w:tcPr>
          <w:p w14:paraId="001CB17C" w14:textId="77777777" w:rsidR="007A7B56" w:rsidRPr="00524428" w:rsidRDefault="007A7B56" w:rsidP="00312E88">
            <w:pPr>
              <w:pStyle w:val="Tables"/>
              <w:rPr>
                <w:rFonts w:cs="Arial"/>
                <w:b w:val="0"/>
                <w:bCs w:val="0"/>
                <w:sz w:val="14"/>
                <w:szCs w:val="14"/>
              </w:rPr>
            </w:pPr>
          </w:p>
        </w:tc>
        <w:tc>
          <w:tcPr>
            <w:tcW w:w="850" w:type="dxa"/>
          </w:tcPr>
          <w:p w14:paraId="67D1A2A2"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26,487</w:t>
            </w:r>
          </w:p>
        </w:tc>
        <w:tc>
          <w:tcPr>
            <w:tcW w:w="851" w:type="dxa"/>
          </w:tcPr>
          <w:p w14:paraId="705910B8"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28,257</w:t>
            </w:r>
          </w:p>
        </w:tc>
        <w:tc>
          <w:tcPr>
            <w:tcW w:w="850" w:type="dxa"/>
          </w:tcPr>
          <w:p w14:paraId="23E35257"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29,425</w:t>
            </w:r>
          </w:p>
        </w:tc>
        <w:tc>
          <w:tcPr>
            <w:tcW w:w="850" w:type="dxa"/>
          </w:tcPr>
          <w:p w14:paraId="62DA91DE"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31,884</w:t>
            </w:r>
          </w:p>
        </w:tc>
      </w:tr>
      <w:tr w:rsidR="007A7B56" w14:paraId="1747CCD4" w14:textId="77777777" w:rsidTr="00312E88">
        <w:trPr>
          <w:trHeight w:hRule="exact" w:val="284"/>
        </w:trPr>
        <w:tc>
          <w:tcPr>
            <w:tcW w:w="2549" w:type="dxa"/>
          </w:tcPr>
          <w:p w14:paraId="0269AD9F" w14:textId="77777777" w:rsidR="007A7B56" w:rsidRPr="00524428" w:rsidRDefault="007A7B56" w:rsidP="00312E88">
            <w:pPr>
              <w:pStyle w:val="Tables"/>
              <w:rPr>
                <w:rFonts w:cs="Arial"/>
                <w:sz w:val="14"/>
                <w:szCs w:val="14"/>
              </w:rPr>
            </w:pPr>
            <w:r w:rsidRPr="00524428">
              <w:rPr>
                <w:rFonts w:cs="Arial"/>
                <w:b w:val="0"/>
                <w:bCs w:val="0"/>
                <w:sz w:val="14"/>
                <w:szCs w:val="14"/>
              </w:rPr>
              <w:t>Portfolio Budget Statements 2020-21</w:t>
            </w:r>
          </w:p>
        </w:tc>
        <w:tc>
          <w:tcPr>
            <w:tcW w:w="3404" w:type="dxa"/>
            <w:gridSpan w:val="4"/>
            <w:shd w:val="clear" w:color="auto" w:fill="BFBFBF"/>
          </w:tcPr>
          <w:p w14:paraId="2B366449" w14:textId="77777777" w:rsidR="007A7B56" w:rsidRPr="00524428" w:rsidRDefault="007A7B56" w:rsidP="00312E88">
            <w:pPr>
              <w:pStyle w:val="Tables"/>
              <w:rPr>
                <w:rFonts w:cs="Arial"/>
                <w:sz w:val="14"/>
                <w:szCs w:val="14"/>
              </w:rPr>
            </w:pPr>
          </w:p>
        </w:tc>
        <w:tc>
          <w:tcPr>
            <w:tcW w:w="851" w:type="dxa"/>
          </w:tcPr>
          <w:p w14:paraId="60B20ED9"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21,720</w:t>
            </w:r>
          </w:p>
        </w:tc>
        <w:tc>
          <w:tcPr>
            <w:tcW w:w="850" w:type="dxa"/>
          </w:tcPr>
          <w:p w14:paraId="29F092DE"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23,807</w:t>
            </w:r>
          </w:p>
        </w:tc>
        <w:tc>
          <w:tcPr>
            <w:tcW w:w="851" w:type="dxa"/>
          </w:tcPr>
          <w:p w14:paraId="0D3F280B"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24,022</w:t>
            </w:r>
          </w:p>
        </w:tc>
        <w:tc>
          <w:tcPr>
            <w:tcW w:w="850" w:type="dxa"/>
          </w:tcPr>
          <w:p w14:paraId="4AEFD5DC"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24,315</w:t>
            </w:r>
          </w:p>
        </w:tc>
        <w:tc>
          <w:tcPr>
            <w:tcW w:w="850" w:type="dxa"/>
            <w:shd w:val="clear" w:color="auto" w:fill="BFBFBF"/>
          </w:tcPr>
          <w:p w14:paraId="6DEC24AC" w14:textId="77777777" w:rsidR="007A7B56" w:rsidRPr="00524428" w:rsidRDefault="007A7B56" w:rsidP="00312E88">
            <w:pPr>
              <w:pStyle w:val="Tables"/>
              <w:rPr>
                <w:rFonts w:cs="Arial"/>
                <w:sz w:val="14"/>
                <w:szCs w:val="14"/>
              </w:rPr>
            </w:pPr>
          </w:p>
        </w:tc>
      </w:tr>
      <w:tr w:rsidR="007A7B56" w14:paraId="7333803F" w14:textId="77777777" w:rsidTr="00312E88">
        <w:trPr>
          <w:trHeight w:hRule="exact" w:val="284"/>
        </w:trPr>
        <w:tc>
          <w:tcPr>
            <w:tcW w:w="2549" w:type="dxa"/>
          </w:tcPr>
          <w:p w14:paraId="38899BAF"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Portfolio Budget Statements 2019-20</w:t>
            </w:r>
          </w:p>
        </w:tc>
        <w:tc>
          <w:tcPr>
            <w:tcW w:w="2553" w:type="dxa"/>
            <w:gridSpan w:val="3"/>
            <w:shd w:val="clear" w:color="auto" w:fill="BFBFBF"/>
          </w:tcPr>
          <w:p w14:paraId="12266B08" w14:textId="77777777" w:rsidR="007A7B56" w:rsidRPr="00524428" w:rsidRDefault="007A7B56" w:rsidP="00312E88">
            <w:pPr>
              <w:pStyle w:val="Tables"/>
              <w:rPr>
                <w:rFonts w:cs="Arial"/>
                <w:b w:val="0"/>
                <w:bCs w:val="0"/>
                <w:sz w:val="14"/>
                <w:szCs w:val="14"/>
              </w:rPr>
            </w:pPr>
          </w:p>
        </w:tc>
        <w:tc>
          <w:tcPr>
            <w:tcW w:w="851" w:type="dxa"/>
          </w:tcPr>
          <w:p w14:paraId="66E4DF4E"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16,262</w:t>
            </w:r>
          </w:p>
        </w:tc>
        <w:tc>
          <w:tcPr>
            <w:tcW w:w="851" w:type="dxa"/>
          </w:tcPr>
          <w:p w14:paraId="7557A586"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20,903</w:t>
            </w:r>
          </w:p>
        </w:tc>
        <w:tc>
          <w:tcPr>
            <w:tcW w:w="850" w:type="dxa"/>
          </w:tcPr>
          <w:p w14:paraId="3E75FEFD"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22,116</w:t>
            </w:r>
          </w:p>
        </w:tc>
        <w:tc>
          <w:tcPr>
            <w:tcW w:w="851" w:type="dxa"/>
          </w:tcPr>
          <w:p w14:paraId="4FC40CBF"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23,361</w:t>
            </w:r>
          </w:p>
        </w:tc>
        <w:tc>
          <w:tcPr>
            <w:tcW w:w="1700" w:type="dxa"/>
            <w:gridSpan w:val="2"/>
            <w:shd w:val="clear" w:color="auto" w:fill="BFBFBF"/>
          </w:tcPr>
          <w:p w14:paraId="2F29D740" w14:textId="77777777" w:rsidR="007A7B56" w:rsidRPr="00524428" w:rsidRDefault="007A7B56" w:rsidP="00312E88">
            <w:pPr>
              <w:pStyle w:val="Tables"/>
              <w:rPr>
                <w:rFonts w:cs="Arial"/>
                <w:b w:val="0"/>
                <w:bCs w:val="0"/>
                <w:sz w:val="14"/>
                <w:szCs w:val="14"/>
              </w:rPr>
            </w:pPr>
          </w:p>
        </w:tc>
      </w:tr>
      <w:tr w:rsidR="007A7B56" w14:paraId="086947F5" w14:textId="77777777" w:rsidTr="00312E88">
        <w:trPr>
          <w:trHeight w:hRule="exact" w:val="284"/>
        </w:trPr>
        <w:tc>
          <w:tcPr>
            <w:tcW w:w="2549" w:type="dxa"/>
          </w:tcPr>
          <w:p w14:paraId="19CBF477"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Portfolio Budget Statements 2018-19</w:t>
            </w:r>
          </w:p>
          <w:p w14:paraId="406E2B35" w14:textId="77777777" w:rsidR="007A7B56" w:rsidRPr="00524428" w:rsidRDefault="007A7B56" w:rsidP="00312E88">
            <w:pPr>
              <w:pStyle w:val="Tables"/>
              <w:rPr>
                <w:rFonts w:cs="Arial"/>
                <w:b w:val="0"/>
                <w:bCs w:val="0"/>
                <w:sz w:val="14"/>
                <w:szCs w:val="14"/>
              </w:rPr>
            </w:pPr>
          </w:p>
          <w:p w14:paraId="5D7C7003" w14:textId="77777777" w:rsidR="007A7B56" w:rsidRPr="00524428" w:rsidRDefault="007A7B56" w:rsidP="00312E88">
            <w:pPr>
              <w:pStyle w:val="Tables"/>
              <w:rPr>
                <w:rFonts w:cs="Arial"/>
                <w:b w:val="0"/>
                <w:bCs w:val="0"/>
                <w:sz w:val="14"/>
                <w:szCs w:val="14"/>
              </w:rPr>
            </w:pPr>
          </w:p>
        </w:tc>
        <w:tc>
          <w:tcPr>
            <w:tcW w:w="1702" w:type="dxa"/>
            <w:gridSpan w:val="2"/>
            <w:shd w:val="clear" w:color="auto" w:fill="BFBFBF"/>
          </w:tcPr>
          <w:p w14:paraId="09E2022D" w14:textId="77777777" w:rsidR="007A7B56" w:rsidRPr="00524428" w:rsidRDefault="007A7B56" w:rsidP="00312E88">
            <w:pPr>
              <w:pStyle w:val="Tables"/>
              <w:rPr>
                <w:rFonts w:cs="Arial"/>
                <w:b w:val="0"/>
                <w:bCs w:val="0"/>
                <w:sz w:val="14"/>
                <w:szCs w:val="14"/>
              </w:rPr>
            </w:pPr>
          </w:p>
        </w:tc>
        <w:tc>
          <w:tcPr>
            <w:tcW w:w="851" w:type="dxa"/>
            <w:shd w:val="clear" w:color="auto" w:fill="FFFFFF" w:themeFill="background1"/>
          </w:tcPr>
          <w:p w14:paraId="3E7A3F15"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15,139</w:t>
            </w:r>
          </w:p>
        </w:tc>
        <w:tc>
          <w:tcPr>
            <w:tcW w:w="851" w:type="dxa"/>
            <w:shd w:val="clear" w:color="auto" w:fill="FFFFFF" w:themeFill="background1"/>
          </w:tcPr>
          <w:p w14:paraId="72D2CE16"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19,537</w:t>
            </w:r>
          </w:p>
          <w:p w14:paraId="1C390A72" w14:textId="77777777" w:rsidR="007A7B56" w:rsidRPr="00524428" w:rsidRDefault="007A7B56" w:rsidP="00312E88">
            <w:pPr>
              <w:pStyle w:val="Tables"/>
              <w:rPr>
                <w:rFonts w:cs="Arial"/>
                <w:b w:val="0"/>
                <w:bCs w:val="0"/>
                <w:sz w:val="14"/>
                <w:szCs w:val="14"/>
              </w:rPr>
            </w:pPr>
          </w:p>
        </w:tc>
        <w:tc>
          <w:tcPr>
            <w:tcW w:w="851" w:type="dxa"/>
          </w:tcPr>
          <w:p w14:paraId="535272FB"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21,064</w:t>
            </w:r>
          </w:p>
        </w:tc>
        <w:tc>
          <w:tcPr>
            <w:tcW w:w="850" w:type="dxa"/>
          </w:tcPr>
          <w:p w14:paraId="1D11F089"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22,300</w:t>
            </w:r>
          </w:p>
        </w:tc>
        <w:tc>
          <w:tcPr>
            <w:tcW w:w="2551" w:type="dxa"/>
            <w:gridSpan w:val="3"/>
            <w:shd w:val="clear" w:color="auto" w:fill="BFBFBF"/>
          </w:tcPr>
          <w:p w14:paraId="54457A15" w14:textId="77777777" w:rsidR="007A7B56" w:rsidRPr="00524428" w:rsidRDefault="007A7B56" w:rsidP="00312E88">
            <w:pPr>
              <w:pStyle w:val="Tables"/>
              <w:rPr>
                <w:rFonts w:cs="Arial"/>
                <w:b w:val="0"/>
                <w:bCs w:val="0"/>
                <w:sz w:val="14"/>
                <w:szCs w:val="14"/>
              </w:rPr>
            </w:pPr>
          </w:p>
        </w:tc>
      </w:tr>
      <w:tr w:rsidR="007A7B56" w14:paraId="59AC0062" w14:textId="77777777" w:rsidTr="00312E88">
        <w:trPr>
          <w:trHeight w:hRule="exact" w:val="284"/>
        </w:trPr>
        <w:tc>
          <w:tcPr>
            <w:tcW w:w="2549" w:type="dxa"/>
          </w:tcPr>
          <w:p w14:paraId="49FA2AB1"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Portfolio Budget Statements 2017-18</w:t>
            </w:r>
          </w:p>
        </w:tc>
        <w:tc>
          <w:tcPr>
            <w:tcW w:w="851" w:type="dxa"/>
            <w:shd w:val="clear" w:color="auto" w:fill="BFBFBF"/>
          </w:tcPr>
          <w:p w14:paraId="1D4493FB" w14:textId="77777777" w:rsidR="007A7B56" w:rsidRPr="00524428" w:rsidRDefault="007A7B56" w:rsidP="00312E88">
            <w:pPr>
              <w:pStyle w:val="Tables"/>
              <w:rPr>
                <w:rFonts w:cs="Arial"/>
                <w:b w:val="0"/>
                <w:bCs w:val="0"/>
                <w:sz w:val="14"/>
                <w:szCs w:val="14"/>
              </w:rPr>
            </w:pPr>
          </w:p>
        </w:tc>
        <w:tc>
          <w:tcPr>
            <w:tcW w:w="851" w:type="dxa"/>
            <w:shd w:val="clear" w:color="auto" w:fill="FFFFFF" w:themeFill="background1"/>
          </w:tcPr>
          <w:p w14:paraId="6AEDC931"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8,045</w:t>
            </w:r>
          </w:p>
        </w:tc>
        <w:tc>
          <w:tcPr>
            <w:tcW w:w="851" w:type="dxa"/>
            <w:shd w:val="clear" w:color="auto" w:fill="FFFFFF" w:themeFill="background1"/>
          </w:tcPr>
          <w:p w14:paraId="3F4C41CE"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14,267</w:t>
            </w:r>
          </w:p>
        </w:tc>
        <w:tc>
          <w:tcPr>
            <w:tcW w:w="851" w:type="dxa"/>
          </w:tcPr>
          <w:p w14:paraId="6B854FFA"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17,856</w:t>
            </w:r>
          </w:p>
        </w:tc>
        <w:tc>
          <w:tcPr>
            <w:tcW w:w="851" w:type="dxa"/>
          </w:tcPr>
          <w:p w14:paraId="745A2958"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19,165</w:t>
            </w:r>
          </w:p>
        </w:tc>
        <w:tc>
          <w:tcPr>
            <w:tcW w:w="3401" w:type="dxa"/>
            <w:gridSpan w:val="4"/>
            <w:shd w:val="clear" w:color="auto" w:fill="BFBFBF"/>
          </w:tcPr>
          <w:p w14:paraId="41F11B2A" w14:textId="77777777" w:rsidR="007A7B56" w:rsidRPr="00524428" w:rsidRDefault="007A7B56" w:rsidP="00312E88">
            <w:pPr>
              <w:pStyle w:val="Tables"/>
              <w:rPr>
                <w:rFonts w:cs="Arial"/>
                <w:b w:val="0"/>
                <w:bCs w:val="0"/>
                <w:sz w:val="14"/>
                <w:szCs w:val="14"/>
              </w:rPr>
            </w:pPr>
          </w:p>
        </w:tc>
      </w:tr>
      <w:tr w:rsidR="007A7B56" w14:paraId="68E9B1D8" w14:textId="77777777" w:rsidTr="00312E88">
        <w:trPr>
          <w:trHeight w:hRule="exact" w:val="284"/>
        </w:trPr>
        <w:tc>
          <w:tcPr>
            <w:tcW w:w="2549" w:type="dxa"/>
          </w:tcPr>
          <w:p w14:paraId="36979F8C"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Portfolio Budget Statements 2016-17</w:t>
            </w:r>
          </w:p>
        </w:tc>
        <w:tc>
          <w:tcPr>
            <w:tcW w:w="851" w:type="dxa"/>
            <w:shd w:val="clear" w:color="auto" w:fill="FFFFFF" w:themeFill="background1"/>
          </w:tcPr>
          <w:p w14:paraId="71D07F92"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3,487</w:t>
            </w:r>
          </w:p>
        </w:tc>
        <w:tc>
          <w:tcPr>
            <w:tcW w:w="851" w:type="dxa"/>
            <w:shd w:val="clear" w:color="auto" w:fill="FFFFFF" w:themeFill="background1"/>
          </w:tcPr>
          <w:p w14:paraId="66BAE957"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8,813</w:t>
            </w:r>
          </w:p>
        </w:tc>
        <w:tc>
          <w:tcPr>
            <w:tcW w:w="851" w:type="dxa"/>
            <w:shd w:val="clear" w:color="auto" w:fill="FFFFFF" w:themeFill="background1"/>
          </w:tcPr>
          <w:p w14:paraId="2B969EA0"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15,905</w:t>
            </w:r>
          </w:p>
        </w:tc>
        <w:tc>
          <w:tcPr>
            <w:tcW w:w="851" w:type="dxa"/>
          </w:tcPr>
          <w:p w14:paraId="4C5028CE"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20,077</w:t>
            </w:r>
          </w:p>
        </w:tc>
        <w:tc>
          <w:tcPr>
            <w:tcW w:w="4252" w:type="dxa"/>
            <w:gridSpan w:val="5"/>
            <w:shd w:val="clear" w:color="auto" w:fill="BFBFBF"/>
          </w:tcPr>
          <w:p w14:paraId="3A3A4805" w14:textId="77777777" w:rsidR="007A7B56" w:rsidRPr="00524428" w:rsidRDefault="007A7B56" w:rsidP="00312E88">
            <w:pPr>
              <w:pStyle w:val="Tables"/>
              <w:rPr>
                <w:rFonts w:cs="Arial"/>
                <w:b w:val="0"/>
                <w:bCs w:val="0"/>
                <w:sz w:val="14"/>
                <w:szCs w:val="14"/>
              </w:rPr>
            </w:pPr>
          </w:p>
        </w:tc>
      </w:tr>
      <w:tr w:rsidR="007A7B56" w14:paraId="3B49E7BD" w14:textId="77777777" w:rsidTr="00312E88">
        <w:trPr>
          <w:trHeight w:hRule="exact" w:val="284"/>
        </w:trPr>
        <w:tc>
          <w:tcPr>
            <w:tcW w:w="2549" w:type="dxa"/>
          </w:tcPr>
          <w:p w14:paraId="685896FD"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Actual participant costs (accrual)</w:t>
            </w:r>
          </w:p>
        </w:tc>
        <w:tc>
          <w:tcPr>
            <w:tcW w:w="851" w:type="dxa"/>
            <w:shd w:val="clear" w:color="auto" w:fill="FFFFFF" w:themeFill="background1"/>
          </w:tcPr>
          <w:p w14:paraId="29A55ADA"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2,238</w:t>
            </w:r>
          </w:p>
        </w:tc>
        <w:tc>
          <w:tcPr>
            <w:tcW w:w="851" w:type="dxa"/>
            <w:shd w:val="clear" w:color="auto" w:fill="FFFFFF" w:themeFill="background1"/>
          </w:tcPr>
          <w:p w14:paraId="479B2919"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5,418</w:t>
            </w:r>
          </w:p>
        </w:tc>
        <w:tc>
          <w:tcPr>
            <w:tcW w:w="851" w:type="dxa"/>
            <w:shd w:val="clear" w:color="auto" w:fill="FFFFFF" w:themeFill="background1"/>
          </w:tcPr>
          <w:p w14:paraId="26847DFF"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10,4</w:t>
            </w:r>
            <w:r>
              <w:rPr>
                <w:rFonts w:cs="Arial"/>
                <w:b w:val="0"/>
                <w:bCs w:val="0"/>
                <w:sz w:val="14"/>
                <w:szCs w:val="14"/>
              </w:rPr>
              <w:t>6</w:t>
            </w:r>
            <w:r w:rsidRPr="00524428">
              <w:rPr>
                <w:rFonts w:cs="Arial"/>
                <w:b w:val="0"/>
                <w:bCs w:val="0"/>
                <w:sz w:val="14"/>
                <w:szCs w:val="14"/>
              </w:rPr>
              <w:t>0</w:t>
            </w:r>
          </w:p>
        </w:tc>
        <w:tc>
          <w:tcPr>
            <w:tcW w:w="851" w:type="dxa"/>
            <w:shd w:val="clear" w:color="auto" w:fill="FFFFFF" w:themeFill="background1"/>
          </w:tcPr>
          <w:p w14:paraId="43E27847"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17,589</w:t>
            </w:r>
          </w:p>
        </w:tc>
        <w:tc>
          <w:tcPr>
            <w:tcW w:w="851" w:type="dxa"/>
          </w:tcPr>
          <w:p w14:paraId="622D110F"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23,3</w:t>
            </w:r>
            <w:r>
              <w:rPr>
                <w:rFonts w:cs="Arial"/>
                <w:b w:val="0"/>
                <w:bCs w:val="0"/>
                <w:sz w:val="14"/>
                <w:szCs w:val="14"/>
              </w:rPr>
              <w:t>47</w:t>
            </w:r>
          </w:p>
        </w:tc>
        <w:tc>
          <w:tcPr>
            <w:tcW w:w="3401" w:type="dxa"/>
            <w:gridSpan w:val="4"/>
            <w:shd w:val="clear" w:color="auto" w:fill="BFBFBF"/>
          </w:tcPr>
          <w:p w14:paraId="75F46169" w14:textId="77777777" w:rsidR="007A7B56" w:rsidRPr="00524428" w:rsidRDefault="007A7B56" w:rsidP="00312E88">
            <w:pPr>
              <w:pStyle w:val="Tables"/>
              <w:rPr>
                <w:rFonts w:cs="Arial"/>
                <w:b w:val="0"/>
                <w:bCs w:val="0"/>
                <w:sz w:val="14"/>
                <w:szCs w:val="14"/>
              </w:rPr>
            </w:pPr>
          </w:p>
        </w:tc>
      </w:tr>
      <w:tr w:rsidR="007A7B56" w14:paraId="3B9DBAE8" w14:textId="77777777" w:rsidTr="00312E88">
        <w:trPr>
          <w:trHeight w:hRule="exact" w:val="340"/>
        </w:trPr>
        <w:tc>
          <w:tcPr>
            <w:tcW w:w="2549" w:type="dxa"/>
            <w:shd w:val="clear" w:color="auto" w:fill="D3C5D7"/>
          </w:tcPr>
          <w:p w14:paraId="1D4C1B66"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Actual participant costs compared with latest PB</w:t>
            </w:r>
            <w:r>
              <w:rPr>
                <w:rFonts w:cs="Arial"/>
                <w:b w:val="0"/>
                <w:bCs w:val="0"/>
                <w:sz w:val="14"/>
                <w:szCs w:val="14"/>
              </w:rPr>
              <w:t>S</w:t>
            </w:r>
          </w:p>
        </w:tc>
        <w:tc>
          <w:tcPr>
            <w:tcW w:w="851" w:type="dxa"/>
            <w:shd w:val="clear" w:color="auto" w:fill="D3C5D7"/>
          </w:tcPr>
          <w:p w14:paraId="0BC3D473"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-1,249</w:t>
            </w:r>
          </w:p>
        </w:tc>
        <w:tc>
          <w:tcPr>
            <w:tcW w:w="851" w:type="dxa"/>
            <w:shd w:val="clear" w:color="auto" w:fill="D3C5D7"/>
          </w:tcPr>
          <w:p w14:paraId="72BA02AF"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-2,627</w:t>
            </w:r>
          </w:p>
        </w:tc>
        <w:tc>
          <w:tcPr>
            <w:tcW w:w="851" w:type="dxa"/>
            <w:shd w:val="clear" w:color="auto" w:fill="D3C5D7"/>
          </w:tcPr>
          <w:p w14:paraId="6505FBA4"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-4,679</w:t>
            </w:r>
          </w:p>
        </w:tc>
        <w:tc>
          <w:tcPr>
            <w:tcW w:w="851" w:type="dxa"/>
            <w:shd w:val="clear" w:color="auto" w:fill="D3C5D7"/>
          </w:tcPr>
          <w:p w14:paraId="3193BD63"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1,327</w:t>
            </w:r>
          </w:p>
        </w:tc>
        <w:tc>
          <w:tcPr>
            <w:tcW w:w="851" w:type="dxa"/>
            <w:shd w:val="clear" w:color="auto" w:fill="D3C5D7"/>
          </w:tcPr>
          <w:p w14:paraId="0BD54DA5" w14:textId="77777777" w:rsidR="007A7B56" w:rsidRPr="00524428" w:rsidRDefault="007A7B56" w:rsidP="00312E88">
            <w:pPr>
              <w:pStyle w:val="Tables"/>
              <w:rPr>
                <w:rFonts w:cs="Arial"/>
                <w:b w:val="0"/>
                <w:bCs w:val="0"/>
                <w:sz w:val="14"/>
                <w:szCs w:val="14"/>
              </w:rPr>
            </w:pPr>
            <w:r w:rsidRPr="00524428">
              <w:rPr>
                <w:rFonts w:cs="Arial"/>
                <w:b w:val="0"/>
                <w:bCs w:val="0"/>
                <w:sz w:val="14"/>
                <w:szCs w:val="14"/>
              </w:rPr>
              <w:t>1,6</w:t>
            </w:r>
            <w:r>
              <w:rPr>
                <w:rFonts w:cs="Arial"/>
                <w:b w:val="0"/>
                <w:bCs w:val="0"/>
                <w:sz w:val="14"/>
                <w:szCs w:val="14"/>
              </w:rPr>
              <w:t>27</w:t>
            </w:r>
          </w:p>
        </w:tc>
        <w:tc>
          <w:tcPr>
            <w:tcW w:w="3401" w:type="dxa"/>
            <w:gridSpan w:val="4"/>
            <w:shd w:val="clear" w:color="auto" w:fill="BFBFBF"/>
          </w:tcPr>
          <w:p w14:paraId="11105BC8" w14:textId="77777777" w:rsidR="007A7B56" w:rsidRPr="00524428" w:rsidRDefault="007A7B56" w:rsidP="00312E88">
            <w:pPr>
              <w:pStyle w:val="Tables"/>
              <w:rPr>
                <w:rFonts w:cs="Arial"/>
                <w:b w:val="0"/>
                <w:bCs w:val="0"/>
                <w:sz w:val="14"/>
                <w:szCs w:val="14"/>
              </w:rPr>
            </w:pPr>
          </w:p>
        </w:tc>
      </w:tr>
    </w:tbl>
    <w:p w14:paraId="2BBF1D68" w14:textId="6C7FB0B3" w:rsidR="00AD5E58" w:rsidRPr="00597704" w:rsidRDefault="00AD5E58" w:rsidP="00FC21CC">
      <w:pPr>
        <w:pStyle w:val="FSRnormal"/>
      </w:pPr>
    </w:p>
    <w:p w14:paraId="538155AD" w14:textId="558B05C9" w:rsidR="00C9049B" w:rsidRPr="00FC21CC" w:rsidRDefault="00FC21CC" w:rsidP="00FC21CC">
      <w:pPr>
        <w:pStyle w:val="FSRnormal"/>
      </w:pPr>
      <w:r w:rsidRPr="00FC21CC">
        <w:t>The estimates in the 2021-22 Portfolio Budget Statements now also exceed the estimates in the 2017 Productivity Commission study report by $12.</w:t>
      </w:r>
      <w:r w:rsidR="002B6DAC" w:rsidRPr="00FC21CC">
        <w:t>1</w:t>
      </w:r>
      <w:r w:rsidR="002B6DAC">
        <w:t> billion</w:t>
      </w:r>
      <w:r w:rsidR="002B6DAC" w:rsidRPr="00FC21CC">
        <w:t xml:space="preserve"> </w:t>
      </w:r>
      <w:r w:rsidRPr="00FC21CC">
        <w:t>over the four years to 2024-25. A comparison of the 2021-22 PBS estimates with the 2017 PC estimates is included in</w:t>
      </w:r>
      <w:r>
        <w:t xml:space="preserve"> </w:t>
      </w:r>
      <w:r>
        <w:fldChar w:fldCharType="begin"/>
      </w:r>
      <w:r>
        <w:instrText xml:space="preserve"> REF _Ref75444559 \h </w:instrText>
      </w:r>
      <w:r>
        <w:fldChar w:fldCharType="separate"/>
      </w:r>
      <w:r w:rsidR="00E50032" w:rsidRPr="00FC21CC">
        <w:t xml:space="preserve">Table </w:t>
      </w:r>
      <w:r w:rsidR="00E50032">
        <w:rPr>
          <w:noProof/>
        </w:rPr>
        <w:t>12</w:t>
      </w:r>
      <w:r>
        <w:fldChar w:fldCharType="end"/>
      </w:r>
      <w:r w:rsidRPr="00FC21CC">
        <w:t>.</w:t>
      </w:r>
    </w:p>
    <w:p w14:paraId="502E85DB" w14:textId="3DBE8C4E" w:rsidR="00C9049B" w:rsidRPr="00FC21CC" w:rsidRDefault="00C9049B" w:rsidP="00FC21CC">
      <w:pPr>
        <w:pStyle w:val="Tables"/>
      </w:pPr>
      <w:bookmarkStart w:id="28" w:name="_Ref75444559"/>
      <w:r w:rsidRPr="00FC21CC">
        <w:t xml:space="preserve">Table </w:t>
      </w:r>
      <w:fldSimple w:instr=" SEQ Table \* ARABIC ">
        <w:r w:rsidR="00E50032">
          <w:rPr>
            <w:noProof/>
          </w:rPr>
          <w:t>12</w:t>
        </w:r>
      </w:fldSimple>
      <w:bookmarkEnd w:id="28"/>
      <w:r w:rsidRPr="00FC21CC">
        <w:t xml:space="preserve"> Comparison of </w:t>
      </w:r>
      <w:r w:rsidR="008C084C" w:rsidRPr="00FC21CC">
        <w:t>2017 Productivity Commission estimates</w:t>
      </w:r>
      <w:r w:rsidR="00440413">
        <w:rPr>
          <w:rStyle w:val="FootnoteReference"/>
        </w:rPr>
        <w:footnoteReference w:id="30"/>
      </w:r>
      <w:r w:rsidR="008C084C" w:rsidRPr="00FC21CC">
        <w:t xml:space="preserve"> </w:t>
      </w:r>
      <w:r w:rsidRPr="00FC21CC">
        <w:t>and PBS estimates</w:t>
      </w:r>
    </w:p>
    <w:tbl>
      <w:tblPr>
        <w:tblStyle w:val="TableGrid"/>
        <w:tblW w:w="9069" w:type="dxa"/>
        <w:tblInd w:w="-5" w:type="dxa"/>
        <w:tblLayout w:type="fixed"/>
        <w:tblLook w:val="04A0" w:firstRow="1" w:lastRow="0" w:firstColumn="1" w:lastColumn="0" w:noHBand="0" w:noVBand="1"/>
      </w:tblPr>
      <w:tblGrid>
        <w:gridCol w:w="3828"/>
        <w:gridCol w:w="850"/>
        <w:gridCol w:w="992"/>
        <w:gridCol w:w="1134"/>
        <w:gridCol w:w="1134"/>
        <w:gridCol w:w="1131"/>
      </w:tblGrid>
      <w:tr w:rsidR="001A4844" w14:paraId="343C0462" w14:textId="77777777" w:rsidTr="00312E88">
        <w:trPr>
          <w:tblHeader/>
        </w:trPr>
        <w:tc>
          <w:tcPr>
            <w:tcW w:w="3828" w:type="dxa"/>
            <w:shd w:val="clear" w:color="auto" w:fill="6B2E76"/>
          </w:tcPr>
          <w:p w14:paraId="53D28D1F" w14:textId="77777777" w:rsidR="001A4844" w:rsidRPr="00524428" w:rsidRDefault="001A4844" w:rsidP="00312E88">
            <w:pPr>
              <w:pStyle w:val="Tables"/>
              <w:rPr>
                <w:rFonts w:cs="Arial"/>
                <w:color w:val="FFFFFF" w:themeColor="background1"/>
                <w:sz w:val="15"/>
                <w:szCs w:val="15"/>
              </w:rPr>
            </w:pPr>
            <w:r w:rsidRPr="00524428">
              <w:rPr>
                <w:rFonts w:cs="Arial"/>
                <w:color w:val="FFFFFF" w:themeColor="background1"/>
                <w:sz w:val="15"/>
                <w:szCs w:val="15"/>
              </w:rPr>
              <w:t>Total Participant costs ($m)</w:t>
            </w:r>
          </w:p>
        </w:tc>
        <w:tc>
          <w:tcPr>
            <w:tcW w:w="850" w:type="dxa"/>
            <w:shd w:val="clear" w:color="auto" w:fill="6B2E76"/>
            <w:vAlign w:val="center"/>
          </w:tcPr>
          <w:p w14:paraId="4F7CAEF5" w14:textId="77777777" w:rsidR="001A4844" w:rsidRPr="00524428" w:rsidRDefault="001A4844" w:rsidP="00312E88">
            <w:pPr>
              <w:pStyle w:val="Tables"/>
              <w:jc w:val="center"/>
              <w:rPr>
                <w:rFonts w:cs="Arial"/>
                <w:color w:val="FFFFFF" w:themeColor="background1"/>
                <w:sz w:val="15"/>
                <w:szCs w:val="15"/>
              </w:rPr>
            </w:pPr>
            <w:r w:rsidRPr="00524428">
              <w:rPr>
                <w:rFonts w:cs="Arial"/>
                <w:color w:val="FFFFFF" w:themeColor="background1"/>
                <w:sz w:val="15"/>
                <w:szCs w:val="15"/>
              </w:rPr>
              <w:t>2021-22</w:t>
            </w:r>
          </w:p>
        </w:tc>
        <w:tc>
          <w:tcPr>
            <w:tcW w:w="992" w:type="dxa"/>
            <w:shd w:val="clear" w:color="auto" w:fill="6B2E76"/>
          </w:tcPr>
          <w:p w14:paraId="7D50DEE4" w14:textId="77777777" w:rsidR="001A4844" w:rsidRPr="00524428" w:rsidRDefault="001A4844" w:rsidP="00312E88">
            <w:pPr>
              <w:pStyle w:val="Tables"/>
              <w:jc w:val="center"/>
              <w:rPr>
                <w:rFonts w:cs="Arial"/>
                <w:color w:val="FFFFFF" w:themeColor="background1"/>
                <w:sz w:val="15"/>
                <w:szCs w:val="15"/>
              </w:rPr>
            </w:pPr>
            <w:r w:rsidRPr="00524428">
              <w:rPr>
                <w:rFonts w:cs="Arial"/>
                <w:color w:val="FFFFFF" w:themeColor="background1"/>
                <w:sz w:val="15"/>
                <w:szCs w:val="15"/>
              </w:rPr>
              <w:t>2022-23</w:t>
            </w:r>
          </w:p>
        </w:tc>
        <w:tc>
          <w:tcPr>
            <w:tcW w:w="1134" w:type="dxa"/>
            <w:shd w:val="clear" w:color="auto" w:fill="6B2E76"/>
          </w:tcPr>
          <w:p w14:paraId="2283D4A1" w14:textId="77777777" w:rsidR="001A4844" w:rsidRPr="00524428" w:rsidRDefault="001A4844" w:rsidP="00312E88">
            <w:pPr>
              <w:pStyle w:val="Tables"/>
              <w:jc w:val="center"/>
              <w:rPr>
                <w:rFonts w:cs="Arial"/>
                <w:color w:val="FFFFFF" w:themeColor="background1"/>
                <w:sz w:val="15"/>
                <w:szCs w:val="15"/>
              </w:rPr>
            </w:pPr>
            <w:r w:rsidRPr="00524428">
              <w:rPr>
                <w:rFonts w:cs="Arial"/>
                <w:color w:val="FFFFFF" w:themeColor="background1"/>
                <w:sz w:val="15"/>
                <w:szCs w:val="15"/>
              </w:rPr>
              <w:t>2023-24</w:t>
            </w:r>
          </w:p>
        </w:tc>
        <w:tc>
          <w:tcPr>
            <w:tcW w:w="1134" w:type="dxa"/>
            <w:shd w:val="clear" w:color="auto" w:fill="6B2E76"/>
          </w:tcPr>
          <w:p w14:paraId="3680EB72" w14:textId="77777777" w:rsidR="001A4844" w:rsidRPr="00524428" w:rsidRDefault="001A4844" w:rsidP="00312E88">
            <w:pPr>
              <w:pStyle w:val="Tables"/>
              <w:jc w:val="center"/>
              <w:rPr>
                <w:rFonts w:cs="Arial"/>
                <w:color w:val="FFFFFF" w:themeColor="background1"/>
                <w:sz w:val="15"/>
                <w:szCs w:val="15"/>
              </w:rPr>
            </w:pPr>
            <w:r w:rsidRPr="00524428">
              <w:rPr>
                <w:rFonts w:cs="Arial"/>
                <w:color w:val="FFFFFF" w:themeColor="background1"/>
                <w:sz w:val="15"/>
                <w:szCs w:val="15"/>
              </w:rPr>
              <w:t>2024-25</w:t>
            </w:r>
          </w:p>
        </w:tc>
        <w:tc>
          <w:tcPr>
            <w:tcW w:w="1131" w:type="dxa"/>
            <w:shd w:val="clear" w:color="auto" w:fill="6B2E76"/>
          </w:tcPr>
          <w:p w14:paraId="0AD54EC8" w14:textId="77777777" w:rsidR="001A4844" w:rsidRPr="00524428" w:rsidRDefault="001A4844" w:rsidP="00312E88">
            <w:pPr>
              <w:pStyle w:val="Tables"/>
              <w:jc w:val="center"/>
              <w:rPr>
                <w:rFonts w:cs="Arial"/>
                <w:color w:val="FFFFFF" w:themeColor="background1"/>
                <w:sz w:val="15"/>
                <w:szCs w:val="15"/>
              </w:rPr>
            </w:pPr>
            <w:r w:rsidRPr="00524428">
              <w:rPr>
                <w:rFonts w:cs="Arial"/>
                <w:color w:val="FFFFFF" w:themeColor="background1"/>
                <w:sz w:val="15"/>
                <w:szCs w:val="15"/>
              </w:rPr>
              <w:t>Total</w:t>
            </w:r>
          </w:p>
        </w:tc>
      </w:tr>
      <w:tr w:rsidR="001A4844" w14:paraId="5988C709" w14:textId="77777777" w:rsidTr="00312E88">
        <w:trPr>
          <w:trHeight w:hRule="exact" w:val="284"/>
        </w:trPr>
        <w:tc>
          <w:tcPr>
            <w:tcW w:w="3828" w:type="dxa"/>
          </w:tcPr>
          <w:p w14:paraId="7D80E024"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2017 Productivity Commission Estimates</w:t>
            </w:r>
          </w:p>
        </w:tc>
        <w:tc>
          <w:tcPr>
            <w:tcW w:w="850" w:type="dxa"/>
          </w:tcPr>
          <w:p w14:paraId="5423BC4A"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23,664</w:t>
            </w:r>
          </w:p>
        </w:tc>
        <w:tc>
          <w:tcPr>
            <w:tcW w:w="992" w:type="dxa"/>
          </w:tcPr>
          <w:p w14:paraId="79FB3C6B"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25,158</w:t>
            </w:r>
          </w:p>
        </w:tc>
        <w:tc>
          <w:tcPr>
            <w:tcW w:w="1134" w:type="dxa"/>
          </w:tcPr>
          <w:p w14:paraId="3649D766"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26,740</w:t>
            </w:r>
          </w:p>
        </w:tc>
        <w:tc>
          <w:tcPr>
            <w:tcW w:w="1134" w:type="dxa"/>
          </w:tcPr>
          <w:p w14:paraId="49D927B7"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28,351</w:t>
            </w:r>
          </w:p>
        </w:tc>
        <w:tc>
          <w:tcPr>
            <w:tcW w:w="1131" w:type="dxa"/>
          </w:tcPr>
          <w:p w14:paraId="2AD57225"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103,914</w:t>
            </w:r>
          </w:p>
        </w:tc>
      </w:tr>
      <w:tr w:rsidR="001A4844" w14:paraId="5C04F023" w14:textId="77777777" w:rsidTr="00312E88">
        <w:trPr>
          <w:trHeight w:hRule="exact" w:val="284"/>
        </w:trPr>
        <w:tc>
          <w:tcPr>
            <w:tcW w:w="3828" w:type="dxa"/>
          </w:tcPr>
          <w:p w14:paraId="6F489D0D"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Portfolio Budget Statements 2021-22</w:t>
            </w:r>
          </w:p>
        </w:tc>
        <w:tc>
          <w:tcPr>
            <w:tcW w:w="850" w:type="dxa"/>
          </w:tcPr>
          <w:p w14:paraId="4FBDF46E"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26,487</w:t>
            </w:r>
          </w:p>
        </w:tc>
        <w:tc>
          <w:tcPr>
            <w:tcW w:w="992" w:type="dxa"/>
          </w:tcPr>
          <w:p w14:paraId="455711C7"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28,257</w:t>
            </w:r>
          </w:p>
        </w:tc>
        <w:tc>
          <w:tcPr>
            <w:tcW w:w="1134" w:type="dxa"/>
          </w:tcPr>
          <w:p w14:paraId="3851D5C3"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29,425</w:t>
            </w:r>
          </w:p>
        </w:tc>
        <w:tc>
          <w:tcPr>
            <w:tcW w:w="1134" w:type="dxa"/>
          </w:tcPr>
          <w:p w14:paraId="368264D8"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31,884</w:t>
            </w:r>
          </w:p>
        </w:tc>
        <w:tc>
          <w:tcPr>
            <w:tcW w:w="1131" w:type="dxa"/>
          </w:tcPr>
          <w:p w14:paraId="4363857D"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116,053</w:t>
            </w:r>
          </w:p>
        </w:tc>
      </w:tr>
      <w:tr w:rsidR="001A4844" w14:paraId="6BC06465" w14:textId="77777777" w:rsidTr="00312E88">
        <w:trPr>
          <w:trHeight w:hRule="exact" w:val="284"/>
        </w:trPr>
        <w:tc>
          <w:tcPr>
            <w:tcW w:w="3828" w:type="dxa"/>
            <w:shd w:val="clear" w:color="auto" w:fill="D3C5D7"/>
          </w:tcPr>
          <w:p w14:paraId="447D65DA"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Difference</w:t>
            </w:r>
          </w:p>
        </w:tc>
        <w:tc>
          <w:tcPr>
            <w:tcW w:w="850" w:type="dxa"/>
            <w:shd w:val="clear" w:color="auto" w:fill="BFBFBF"/>
          </w:tcPr>
          <w:p w14:paraId="19B92EB2"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2,823</w:t>
            </w:r>
          </w:p>
        </w:tc>
        <w:tc>
          <w:tcPr>
            <w:tcW w:w="992" w:type="dxa"/>
            <w:shd w:val="clear" w:color="auto" w:fill="BFBFBF"/>
          </w:tcPr>
          <w:p w14:paraId="7041159D"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3,099</w:t>
            </w:r>
          </w:p>
        </w:tc>
        <w:tc>
          <w:tcPr>
            <w:tcW w:w="1134" w:type="dxa"/>
            <w:shd w:val="clear" w:color="auto" w:fill="BFBFBF"/>
          </w:tcPr>
          <w:p w14:paraId="0BE715A9"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2,685</w:t>
            </w:r>
          </w:p>
        </w:tc>
        <w:tc>
          <w:tcPr>
            <w:tcW w:w="1134" w:type="dxa"/>
            <w:shd w:val="clear" w:color="auto" w:fill="BFBFBF"/>
          </w:tcPr>
          <w:p w14:paraId="3B369DFB"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3,533</w:t>
            </w:r>
          </w:p>
        </w:tc>
        <w:tc>
          <w:tcPr>
            <w:tcW w:w="1131" w:type="dxa"/>
            <w:shd w:val="clear" w:color="auto" w:fill="BFBFBF"/>
          </w:tcPr>
          <w:p w14:paraId="395778C1" w14:textId="77777777" w:rsidR="001A4844" w:rsidRPr="00524428" w:rsidRDefault="001A4844" w:rsidP="00312E88">
            <w:pPr>
              <w:pStyle w:val="Tables"/>
              <w:rPr>
                <w:rFonts w:cs="Arial"/>
                <w:b w:val="0"/>
                <w:bCs w:val="0"/>
                <w:sz w:val="16"/>
                <w:szCs w:val="16"/>
              </w:rPr>
            </w:pPr>
            <w:r w:rsidRPr="00524428">
              <w:rPr>
                <w:rFonts w:cs="Arial"/>
                <w:b w:val="0"/>
                <w:bCs w:val="0"/>
                <w:sz w:val="16"/>
                <w:szCs w:val="16"/>
              </w:rPr>
              <w:t>12,139</w:t>
            </w:r>
          </w:p>
        </w:tc>
      </w:tr>
    </w:tbl>
    <w:p w14:paraId="6842B4E5" w14:textId="06F9D8DF" w:rsidR="00CF535A" w:rsidRPr="00C578EB" w:rsidRDefault="00CF535A" w:rsidP="00CF535A">
      <w:pPr>
        <w:pStyle w:val="FSRHeading4"/>
      </w:pPr>
      <w:bookmarkStart w:id="29" w:name="_Ref17800025"/>
      <w:r w:rsidRPr="00C578EB">
        <w:t xml:space="preserve">Reliances and limitations </w:t>
      </w:r>
    </w:p>
    <w:p w14:paraId="522301A8" w14:textId="3B511278" w:rsidR="00EB6C72" w:rsidRPr="00EB6C72" w:rsidRDefault="00EB6C72" w:rsidP="00EB6C72">
      <w:pPr>
        <w:pStyle w:val="FSRnormal"/>
      </w:pPr>
      <w:bookmarkStart w:id="30" w:name="_Ref47594314"/>
      <w:r w:rsidRPr="00EB6C72">
        <w:t>This work was conducted for the sole use and benefit of the NDIA to assist with monitoring, reporting, and management of the financial sustainability of the Scheme.</w:t>
      </w:r>
      <w:r w:rsidR="00AF366D">
        <w:t xml:space="preserve"> </w:t>
      </w:r>
    </w:p>
    <w:p w14:paraId="24037A34" w14:textId="18E2CFA8" w:rsidR="00EB6C72" w:rsidRPr="00EB6C72" w:rsidRDefault="00EB6C72" w:rsidP="00EB6C72">
      <w:pPr>
        <w:pStyle w:val="FSRnormal"/>
      </w:pPr>
      <w:r w:rsidRPr="00EB6C72">
        <w:t xml:space="preserve">No liability is accepted for loss or damage arising </w:t>
      </w:r>
      <w:r w:rsidR="00095695">
        <w:t xml:space="preserve">from </w:t>
      </w:r>
      <w:r w:rsidRPr="00EB6C72">
        <w:t xml:space="preserve">the use of this document by the Agency or third parties for other than the purpose stated above, or for any use of this document, without </w:t>
      </w:r>
      <w:r w:rsidR="00095695">
        <w:t xml:space="preserve">a </w:t>
      </w:r>
      <w:r w:rsidRPr="00EB6C72">
        <w:t>full understanding of the reliance and limitations noted herein, or for errors or omissions arising from the provision of inaccurate or incomplete information.</w:t>
      </w:r>
    </w:p>
    <w:p w14:paraId="3473E426" w14:textId="77777777" w:rsidR="00EB6C72" w:rsidRPr="00EB6C72" w:rsidRDefault="00EB6C72" w:rsidP="00EB6C72">
      <w:pPr>
        <w:pStyle w:val="FSRnormal"/>
      </w:pPr>
      <w:r w:rsidRPr="00EB6C72">
        <w:t>It is the responsibility of the Agency and third parties to ensure that recipients of copies of, or extracts from, this document understand the reliances on which any conclusions in this document are based.</w:t>
      </w:r>
    </w:p>
    <w:p w14:paraId="0A57BFD1" w14:textId="09E15796" w:rsidR="00EB6C72" w:rsidRPr="00EB6C72" w:rsidRDefault="00EB6C72" w:rsidP="00EB6C72">
      <w:pPr>
        <w:pStyle w:val="FSRnormal"/>
      </w:pPr>
      <w:r w:rsidRPr="00EB6C72">
        <w:t xml:space="preserve">Given the long-tail nature of the Scheme, experience continues to be relatively immature and many aspects remain difficult to interpret. Specifically, </w:t>
      </w:r>
      <w:r w:rsidR="00AF366D">
        <w:t xml:space="preserve">estimation of </w:t>
      </w:r>
      <w:r w:rsidRPr="00EB6C72">
        <w:t>future expenditure based on past experience</w:t>
      </w:r>
      <w:r w:rsidR="00AF366D">
        <w:t xml:space="preserve"> is inherently challenging given the relative </w:t>
      </w:r>
      <w:r w:rsidR="000954A4">
        <w:t xml:space="preserve">size, </w:t>
      </w:r>
      <w:r w:rsidR="00AF366D">
        <w:t>complexity, and immaturity of the Scheme</w:t>
      </w:r>
      <w:r w:rsidRPr="00EB6C72">
        <w:t xml:space="preserve">, meaning there is significant uncertainty in the projection. In addition, in emerging experience to date, issues </w:t>
      </w:r>
      <w:r w:rsidR="00AF366D">
        <w:t xml:space="preserve">have been identified </w:t>
      </w:r>
      <w:r w:rsidRPr="00EB6C72">
        <w:t xml:space="preserve">with the current resource allocation process, and in particular the lack of a mechanism for robust assessment of support need. As the Scheme continues to mature, and staff, operational and governance capabilities improve, there is an expectation that the Scheme experience will change, perhaps materially, and this would affect the eventual trajectory of participant costs. </w:t>
      </w:r>
    </w:p>
    <w:p w14:paraId="636672F7" w14:textId="361E3DBF" w:rsidR="00EB6C72" w:rsidRPr="00EB6C72" w:rsidRDefault="00EB6C72" w:rsidP="00EB6C72">
      <w:pPr>
        <w:pStyle w:val="FSRnormal"/>
      </w:pPr>
      <w:r w:rsidRPr="00EB6C72">
        <w:t xml:space="preserve">Future events, which cannot currently be predicted, may also occur and would have an unexpected impact on Scheme experience and thus the projections in this report. For example, the COVID-19 pandemic over the 2020 and 2021 calendar years was an </w:t>
      </w:r>
      <w:r w:rsidRPr="00EB6C72">
        <w:lastRenderedPageBreak/>
        <w:t xml:space="preserve">unforeseen event that posed some initial uncertainty to participant experience, outcomes and cost trajectory of the Scheme over the short and medium term. </w:t>
      </w:r>
    </w:p>
    <w:p w14:paraId="6C5556DA" w14:textId="45CA4074" w:rsidR="00EB6C72" w:rsidRPr="00C578EB" w:rsidRDefault="00EB6C72" w:rsidP="00EB6C72">
      <w:pPr>
        <w:pStyle w:val="FSRnormal"/>
      </w:pPr>
      <w:r w:rsidRPr="00EB6C72">
        <w:t xml:space="preserve">Lastly, more data on </w:t>
      </w:r>
      <w:r w:rsidR="00475322">
        <w:t>Scheme</w:t>
      </w:r>
      <w:r w:rsidRPr="00EB6C72">
        <w:t xml:space="preserve"> experience is available in NDIA quarterly reports and on the NDIA Data and Insights website.</w:t>
      </w:r>
      <w:r>
        <w:rPr>
          <w:rStyle w:val="FootnoteReference"/>
        </w:rPr>
        <w:footnoteReference w:id="31"/>
      </w:r>
    </w:p>
    <w:p w14:paraId="49457FDB" w14:textId="2DA3A148" w:rsidR="009F25AC" w:rsidRPr="00C578EB" w:rsidRDefault="00637410" w:rsidP="003631E0">
      <w:pPr>
        <w:pStyle w:val="Heading2"/>
      </w:pPr>
      <w:bookmarkStart w:id="31" w:name="_Toc83220838"/>
      <w:bookmarkStart w:id="32" w:name="_Toc85031249"/>
      <w:r w:rsidRPr="003631E0">
        <w:lastRenderedPageBreak/>
        <w:t>Information</w:t>
      </w:r>
      <w:r w:rsidRPr="00C578EB">
        <w:t xml:space="preserve"> and d</w:t>
      </w:r>
      <w:r w:rsidR="009F25AC" w:rsidRPr="00C578EB">
        <w:t>ata</w:t>
      </w:r>
      <w:r w:rsidR="0014246F" w:rsidRPr="00C578EB">
        <w:t xml:space="preserve"> integrity</w:t>
      </w:r>
      <w:bookmarkEnd w:id="29"/>
      <w:bookmarkEnd w:id="30"/>
      <w:bookmarkEnd w:id="31"/>
      <w:bookmarkEnd w:id="32"/>
    </w:p>
    <w:p w14:paraId="3E25B07B" w14:textId="77777777" w:rsidR="003631E0" w:rsidRPr="006E537F" w:rsidRDefault="003631E0" w:rsidP="003631E0">
      <w:pPr>
        <w:pStyle w:val="FSRnormal"/>
      </w:pPr>
      <w:r w:rsidRPr="006E537F">
        <w:t>An integral part of an insurance model is the collection of accurate data in a timely manner. This is because quality data drives the ability of the Agency to monitor emerging experience, perform meaningful analyses</w:t>
      </w:r>
      <w:r>
        <w:t>, project the financial position of the Scheme</w:t>
      </w:r>
      <w:r w:rsidRPr="006E537F">
        <w:t xml:space="preserve"> and, hence make consistent evidence-based decisions</w:t>
      </w:r>
      <w:r>
        <w:t xml:space="preserve"> to support the Scheme objectives.</w:t>
      </w:r>
      <w:r w:rsidRPr="006E537F">
        <w:t xml:space="preserve"> </w:t>
      </w:r>
      <w:r>
        <w:t>The success of the Scheme is</w:t>
      </w:r>
      <w:r w:rsidRPr="006E537F">
        <w:t xml:space="preserve"> dependent on the </w:t>
      </w:r>
      <w:r>
        <w:t xml:space="preserve">availability and quality of the data and information collected. </w:t>
      </w:r>
      <w:r w:rsidRPr="006E537F">
        <w:t xml:space="preserve"> </w:t>
      </w:r>
    </w:p>
    <w:p w14:paraId="46F03586" w14:textId="77777777" w:rsidR="003631E0" w:rsidRPr="006E537F" w:rsidRDefault="003631E0" w:rsidP="003631E0">
      <w:pPr>
        <w:pStyle w:val="FSRnormal"/>
      </w:pPr>
      <w:r w:rsidRPr="006E537F">
        <w:t xml:space="preserve">The data collected by the Agency is varied and broad-reaching, and covers information across each step of the participant pathway, from Scheme access and eligibility to participant plan approval, plan implementation and plan review. Payments for disability supports and the outcomes for participants and their family/carers are also collected regularly to track </w:t>
      </w:r>
      <w:r>
        <w:t>progress of participants and the Scheme. The information being collected enables the Agency to continually build</w:t>
      </w:r>
      <w:r w:rsidRPr="006E537F">
        <w:t xml:space="preserve"> one of the most comprehensive, longitudinal data sources on disability in the world. </w:t>
      </w:r>
    </w:p>
    <w:p w14:paraId="1A47D1A4" w14:textId="3D0D86B0" w:rsidR="00637410" w:rsidRPr="003631E0" w:rsidRDefault="00637410" w:rsidP="003631E0">
      <w:pPr>
        <w:pStyle w:val="FSRHeading4"/>
      </w:pPr>
      <w:r w:rsidRPr="003631E0">
        <w:t>Information and data used for analysis</w:t>
      </w:r>
    </w:p>
    <w:p w14:paraId="63547371" w14:textId="77777777" w:rsidR="003631E0" w:rsidRPr="003631E0" w:rsidRDefault="003631E0" w:rsidP="003631E0">
      <w:pPr>
        <w:pStyle w:val="FSRnormal"/>
      </w:pPr>
      <w:bookmarkStart w:id="33" w:name="_Ref16673933"/>
      <w:r w:rsidRPr="003631E0">
        <w:t>The actuarial analysis underpinning this report relies upon the Agency’s case management system, finance system and data warehouse, as well as external sources (such as various industry benchmarks and population surveys). While there is a substantial amount of data in the current Client Relationship Management (CRM) system, this section focuses on the data utilised for the analysis presented in this report.</w:t>
      </w:r>
    </w:p>
    <w:p w14:paraId="39DDAD56" w14:textId="6884A199" w:rsidR="003631E0" w:rsidRPr="003631E0" w:rsidRDefault="003631E0" w:rsidP="003631E0">
      <w:pPr>
        <w:pStyle w:val="FSRnormal"/>
      </w:pPr>
      <w:r w:rsidRPr="003631E0">
        <w:t xml:space="preserve">The analysis in this report is based on data at 30 June 2021, unless stated otherwise. The sources of data are summarised in </w:t>
      </w:r>
      <w:r w:rsidRPr="001809D3">
        <w:rPr>
          <w:u w:val="single"/>
        </w:rPr>
        <w:fldChar w:fldCharType="begin"/>
      </w:r>
      <w:r w:rsidRPr="001809D3">
        <w:rPr>
          <w:u w:val="single"/>
        </w:rPr>
        <w:instrText xml:space="preserve"> REF _Ref80259912 \h  \* MERGEFORMAT </w:instrText>
      </w:r>
      <w:r w:rsidRPr="001809D3">
        <w:rPr>
          <w:u w:val="single"/>
        </w:rPr>
      </w:r>
      <w:r w:rsidRPr="001809D3">
        <w:rPr>
          <w:u w:val="single"/>
        </w:rPr>
        <w:fldChar w:fldCharType="separate"/>
      </w:r>
      <w:r w:rsidR="00E50032" w:rsidRPr="00E50032">
        <w:rPr>
          <w:u w:val="single"/>
        </w:rPr>
        <w:t>Table 13</w:t>
      </w:r>
      <w:r w:rsidRPr="001809D3">
        <w:rPr>
          <w:u w:val="single"/>
        </w:rPr>
        <w:fldChar w:fldCharType="end"/>
      </w:r>
      <w:r w:rsidRPr="003631E0">
        <w:t>.</w:t>
      </w:r>
    </w:p>
    <w:p w14:paraId="439E6F85" w14:textId="6932A22A" w:rsidR="00E15F44" w:rsidRDefault="00E15F44" w:rsidP="003631E0">
      <w:pPr>
        <w:pStyle w:val="Tables"/>
      </w:pPr>
      <w:bookmarkStart w:id="34" w:name="_Ref80259912"/>
      <w:r w:rsidRPr="003631E0">
        <w:t xml:space="preserve">Table </w:t>
      </w:r>
      <w:fldSimple w:instr=" SEQ Table \* ARABIC ">
        <w:r w:rsidR="00E50032">
          <w:rPr>
            <w:noProof/>
          </w:rPr>
          <w:t>13</w:t>
        </w:r>
      </w:fldSimple>
      <w:bookmarkEnd w:id="33"/>
      <w:bookmarkEnd w:id="34"/>
      <w:r w:rsidRPr="003631E0">
        <w:t xml:space="preserve"> Summary of data </w:t>
      </w:r>
      <w:r w:rsidR="004E7810" w:rsidRPr="003631E0">
        <w:t>utilised</w:t>
      </w:r>
      <w:r w:rsidRPr="003631E0">
        <w:t xml:space="preserve"> for actuarial analysis</w:t>
      </w:r>
    </w:p>
    <w:tbl>
      <w:tblPr>
        <w:tblStyle w:val="TableGrid"/>
        <w:tblW w:w="0" w:type="auto"/>
        <w:shd w:val="clear" w:color="auto" w:fill="EDEDED" w:themeFill="accent3" w:themeFillTint="33"/>
        <w:tblCellMar>
          <w:top w:w="57" w:type="dxa"/>
          <w:bottom w:w="57" w:type="dxa"/>
        </w:tblCellMar>
        <w:tblLook w:val="04A0" w:firstRow="1" w:lastRow="0" w:firstColumn="1" w:lastColumn="0" w:noHBand="0" w:noVBand="1"/>
      </w:tblPr>
      <w:tblGrid>
        <w:gridCol w:w="2689"/>
        <w:gridCol w:w="5825"/>
      </w:tblGrid>
      <w:tr w:rsidR="003631E0" w:rsidRPr="006E537F" w14:paraId="1CE02B89" w14:textId="77777777" w:rsidTr="00896C59">
        <w:trPr>
          <w:cantSplit/>
          <w:trHeight w:val="113"/>
          <w:tblHeader/>
        </w:trPr>
        <w:tc>
          <w:tcPr>
            <w:tcW w:w="2689" w:type="dxa"/>
            <w:tcBorders>
              <w:top w:val="single" w:sz="4" w:space="0" w:color="auto"/>
              <w:left w:val="single" w:sz="4" w:space="0" w:color="auto"/>
              <w:bottom w:val="single" w:sz="4" w:space="0" w:color="auto"/>
              <w:right w:val="single" w:sz="4" w:space="0" w:color="auto"/>
            </w:tcBorders>
            <w:shd w:val="clear" w:color="auto" w:fill="660066"/>
            <w:vAlign w:val="center"/>
            <w:hideMark/>
          </w:tcPr>
          <w:p w14:paraId="65B2C96D" w14:textId="77777777" w:rsidR="003631E0" w:rsidRPr="006E537F" w:rsidRDefault="003631E0" w:rsidP="00896C59">
            <w:pPr>
              <w:rPr>
                <w:b/>
                <w:color w:val="FFFFFF" w:themeColor="background1"/>
                <w:szCs w:val="22"/>
              </w:rPr>
            </w:pPr>
            <w:r w:rsidRPr="006E537F">
              <w:rPr>
                <w:b/>
                <w:color w:val="FFFFFF" w:themeColor="background1"/>
                <w:szCs w:val="22"/>
              </w:rPr>
              <w:t>Data</w:t>
            </w:r>
          </w:p>
        </w:tc>
        <w:tc>
          <w:tcPr>
            <w:tcW w:w="5825" w:type="dxa"/>
            <w:tcBorders>
              <w:top w:val="single" w:sz="4" w:space="0" w:color="auto"/>
              <w:left w:val="single" w:sz="4" w:space="0" w:color="auto"/>
              <w:bottom w:val="single" w:sz="4" w:space="0" w:color="auto"/>
              <w:right w:val="single" w:sz="4" w:space="0" w:color="auto"/>
            </w:tcBorders>
            <w:shd w:val="clear" w:color="auto" w:fill="660066"/>
            <w:vAlign w:val="center"/>
            <w:hideMark/>
          </w:tcPr>
          <w:p w14:paraId="16E651E3" w14:textId="77777777" w:rsidR="003631E0" w:rsidRPr="006E537F" w:rsidRDefault="003631E0" w:rsidP="00896C59">
            <w:pPr>
              <w:rPr>
                <w:rFonts w:cs="Arial"/>
                <w:b/>
                <w:color w:val="FFFFFF" w:themeColor="background1"/>
                <w:szCs w:val="22"/>
              </w:rPr>
            </w:pPr>
            <w:r w:rsidRPr="006E537F">
              <w:rPr>
                <w:rFonts w:cs="Arial"/>
                <w:b/>
                <w:color w:val="FFFFFF" w:themeColor="background1"/>
                <w:szCs w:val="22"/>
              </w:rPr>
              <w:t>Description</w:t>
            </w:r>
          </w:p>
        </w:tc>
      </w:tr>
      <w:tr w:rsidR="003631E0" w:rsidRPr="006E537F" w14:paraId="28118160"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hideMark/>
          </w:tcPr>
          <w:p w14:paraId="5EF2F7D7" w14:textId="77777777" w:rsidR="003631E0" w:rsidRPr="006E537F" w:rsidRDefault="003631E0" w:rsidP="00896C59">
            <w:pPr>
              <w:spacing w:after="0" w:line="240" w:lineRule="auto"/>
              <w:rPr>
                <w:b/>
                <w:szCs w:val="22"/>
              </w:rPr>
            </w:pPr>
            <w:r w:rsidRPr="006E537F">
              <w:rPr>
                <w:b/>
                <w:szCs w:val="22"/>
              </w:rPr>
              <w:t>Access requests to the NDIS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1AE17A"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Demographic information (age, gender, disability, geographic location, living arrangements and other participant profile information)</w:t>
            </w:r>
          </w:p>
          <w:p w14:paraId="6448CE26"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Contact details</w:t>
            </w:r>
          </w:p>
          <w:p w14:paraId="581976EC"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Access request date</w:t>
            </w:r>
          </w:p>
          <w:p w14:paraId="63F423E2"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Outcome of request (for example: eligible, ineligible)</w:t>
            </w:r>
          </w:p>
        </w:tc>
      </w:tr>
      <w:tr w:rsidR="003631E0" w:rsidRPr="006E537F" w14:paraId="34D053C7"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429D0569" w14:textId="77777777" w:rsidR="003631E0" w:rsidRPr="006E537F" w:rsidRDefault="003631E0" w:rsidP="00896C59">
            <w:pPr>
              <w:spacing w:after="0" w:line="240" w:lineRule="auto"/>
              <w:rPr>
                <w:b/>
                <w:szCs w:val="22"/>
              </w:rPr>
            </w:pPr>
            <w:r w:rsidRPr="006E537F">
              <w:rPr>
                <w:b/>
                <w:szCs w:val="22"/>
              </w:rPr>
              <w:t>Payments to service providers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CE55634"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Service provider submitting the claim for payment</w:t>
            </w:r>
          </w:p>
          <w:p w14:paraId="2528C031"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Participant for whom the support was provided</w:t>
            </w:r>
          </w:p>
          <w:p w14:paraId="2761CD3A"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The support item and cost of support provided</w:t>
            </w:r>
          </w:p>
          <w:p w14:paraId="6E0AF11A"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Dates of when the support was provided</w:t>
            </w:r>
          </w:p>
        </w:tc>
      </w:tr>
      <w:tr w:rsidR="003631E0" w:rsidRPr="006E537F" w14:paraId="3E4D59E0"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372AD156" w14:textId="77777777" w:rsidR="003631E0" w:rsidRPr="006E537F" w:rsidRDefault="003631E0" w:rsidP="00896C59">
            <w:pPr>
              <w:spacing w:after="0" w:line="240" w:lineRule="auto"/>
              <w:rPr>
                <w:b/>
                <w:szCs w:val="22"/>
              </w:rPr>
            </w:pPr>
            <w:r w:rsidRPr="006E537F">
              <w:rPr>
                <w:b/>
                <w:szCs w:val="22"/>
              </w:rPr>
              <w:t>Payments to participants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0AD9422"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Participant submitting the claim for payment</w:t>
            </w:r>
          </w:p>
          <w:p w14:paraId="1E187F32"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The support category provided</w:t>
            </w:r>
          </w:p>
          <w:p w14:paraId="2CD46667"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Total cost spend on support category</w:t>
            </w:r>
          </w:p>
          <w:p w14:paraId="6B693619"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Period of reimbursement</w:t>
            </w:r>
          </w:p>
        </w:tc>
      </w:tr>
      <w:tr w:rsidR="003631E0" w:rsidRPr="006E537F" w14:paraId="0C55A85F"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hideMark/>
          </w:tcPr>
          <w:p w14:paraId="387DC11D" w14:textId="77777777" w:rsidR="003631E0" w:rsidRPr="000D3921" w:rsidRDefault="003631E0" w:rsidP="00896C59">
            <w:pPr>
              <w:spacing w:after="0" w:line="240" w:lineRule="auto"/>
              <w:rPr>
                <w:b/>
                <w:szCs w:val="22"/>
              </w:rPr>
            </w:pPr>
            <w:r w:rsidRPr="000D3921">
              <w:rPr>
                <w:b/>
                <w:szCs w:val="22"/>
              </w:rPr>
              <w:lastRenderedPageBreak/>
              <w:t>NDIS participant plans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664E1A"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Plan approval date</w:t>
            </w:r>
          </w:p>
          <w:p w14:paraId="2ECF09BF"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Length of plan</w:t>
            </w:r>
          </w:p>
          <w:p w14:paraId="57B5B71B"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Participant goals</w:t>
            </w:r>
          </w:p>
          <w:p w14:paraId="713E7507"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All plan budgets included in the plan</w:t>
            </w:r>
          </w:p>
          <w:p w14:paraId="041C6ECE"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Mainstream and informal supports</w:t>
            </w:r>
          </w:p>
          <w:p w14:paraId="51D37F9F"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Level of function</w:t>
            </w:r>
            <w:r w:rsidRPr="006E537F">
              <w:rPr>
                <w:rStyle w:val="FootnoteReference"/>
                <w:rFonts w:cs="Arial"/>
                <w:szCs w:val="22"/>
              </w:rPr>
              <w:footnoteReference w:id="32"/>
            </w:r>
          </w:p>
          <w:p w14:paraId="39D3C5BD"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Reference package and typical support package</w:t>
            </w:r>
          </w:p>
        </w:tc>
      </w:tr>
      <w:tr w:rsidR="003631E0" w:rsidRPr="006E537F" w14:paraId="1E5595EC"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4D290DA4" w14:textId="77777777" w:rsidR="003631E0" w:rsidRPr="000D3921" w:rsidRDefault="003631E0" w:rsidP="00896C59">
            <w:pPr>
              <w:spacing w:after="0" w:line="240" w:lineRule="auto"/>
              <w:rPr>
                <w:b/>
                <w:szCs w:val="22"/>
              </w:rPr>
            </w:pPr>
            <w:r w:rsidRPr="000D3921">
              <w:rPr>
                <w:b/>
                <w:szCs w:val="22"/>
              </w:rPr>
              <w:t>In-kind supports data</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AFD3135"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Unit record in-kind support details from State/Territory programs including details on support type, level and duration of coverage.</w:t>
            </w:r>
          </w:p>
        </w:tc>
      </w:tr>
      <w:tr w:rsidR="003631E0" w:rsidRPr="006E537F" w14:paraId="632EBC97"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hideMark/>
          </w:tcPr>
          <w:p w14:paraId="54654624" w14:textId="77777777" w:rsidR="003631E0" w:rsidRPr="000D3921" w:rsidRDefault="003631E0" w:rsidP="00896C59">
            <w:pPr>
              <w:spacing w:after="0" w:line="240" w:lineRule="auto"/>
              <w:rPr>
                <w:b/>
                <w:szCs w:val="22"/>
              </w:rPr>
            </w:pPr>
            <w:r w:rsidRPr="000D3921">
              <w:rPr>
                <w:b/>
                <w:szCs w:val="22"/>
              </w:rPr>
              <w:t>Data provided by the State/Territory and Commonwealth governments</w:t>
            </w:r>
          </w:p>
        </w:tc>
        <w:tc>
          <w:tcPr>
            <w:tcW w:w="5825" w:type="dxa"/>
            <w:tcBorders>
              <w:top w:val="single" w:sz="4" w:space="0" w:color="auto"/>
              <w:left w:val="single" w:sz="4" w:space="0" w:color="auto"/>
              <w:bottom w:val="single" w:sz="4" w:space="0" w:color="auto"/>
              <w:right w:val="single" w:sz="4" w:space="0" w:color="auto"/>
            </w:tcBorders>
            <w:shd w:val="clear" w:color="auto" w:fill="auto"/>
            <w:hideMark/>
          </w:tcPr>
          <w:p w14:paraId="4C40B0E3" w14:textId="52FDE1BB"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 xml:space="preserve">List of clients receiving support from service providers in the previous disability system, including age and contact details. This data is loaded into the Client Relationship Management (CRM) </w:t>
            </w:r>
            <w:r w:rsidR="005601A8">
              <w:rPr>
                <w:rFonts w:cs="Arial"/>
                <w:szCs w:val="22"/>
              </w:rPr>
              <w:t xml:space="preserve">system </w:t>
            </w:r>
            <w:r w:rsidRPr="006E537F">
              <w:rPr>
                <w:rFonts w:cs="Arial"/>
                <w:szCs w:val="22"/>
              </w:rPr>
              <w:t>for the National Access Team to contact potential participants.</w:t>
            </w:r>
          </w:p>
          <w:p w14:paraId="68CEDE30"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Projected Scheme costs and numbers from the State, Territory and Commonwealth bilateral agreements.</w:t>
            </w:r>
          </w:p>
        </w:tc>
      </w:tr>
      <w:tr w:rsidR="003631E0" w:rsidRPr="006E537F" w14:paraId="4005A362"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hideMark/>
          </w:tcPr>
          <w:p w14:paraId="1305CEF1" w14:textId="77777777" w:rsidR="003631E0" w:rsidRPr="000D3921" w:rsidRDefault="003631E0" w:rsidP="00896C59">
            <w:pPr>
              <w:spacing w:after="0" w:line="240" w:lineRule="auto"/>
              <w:rPr>
                <w:b/>
                <w:szCs w:val="22"/>
              </w:rPr>
            </w:pPr>
            <w:r w:rsidRPr="000D3921">
              <w:rPr>
                <w:b/>
                <w:szCs w:val="22"/>
              </w:rPr>
              <w:t>Australian Bureau of Statistics (ABS) population projections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0E09E1C" w14:textId="77777777" w:rsidR="003631E0" w:rsidRDefault="003631E0" w:rsidP="000A0D48">
            <w:pPr>
              <w:pStyle w:val="ListParagraph"/>
              <w:numPr>
                <w:ilvl w:val="0"/>
                <w:numId w:val="7"/>
              </w:numPr>
              <w:spacing w:after="0" w:line="240" w:lineRule="auto"/>
              <w:ind w:left="317"/>
              <w:rPr>
                <w:rFonts w:cs="Arial"/>
                <w:szCs w:val="22"/>
              </w:rPr>
            </w:pPr>
            <w:r w:rsidRPr="006E537F">
              <w:rPr>
                <w:rFonts w:cs="Arial"/>
                <w:szCs w:val="22"/>
              </w:rPr>
              <w:t>3222.0 Population Projections, Australia, 2017 (base) to 2101 (Series B). This was published in November 2018.</w:t>
            </w:r>
          </w:p>
          <w:p w14:paraId="241E789B" w14:textId="77777777" w:rsidR="003631E0" w:rsidRPr="006E537F" w:rsidRDefault="003631E0" w:rsidP="000A0D48">
            <w:pPr>
              <w:pStyle w:val="ListParagraph"/>
              <w:numPr>
                <w:ilvl w:val="0"/>
                <w:numId w:val="7"/>
              </w:numPr>
              <w:spacing w:after="0" w:line="240" w:lineRule="auto"/>
              <w:ind w:left="317"/>
              <w:rPr>
                <w:rFonts w:cs="Arial"/>
                <w:szCs w:val="22"/>
              </w:rPr>
            </w:pPr>
            <w:r>
              <w:rPr>
                <w:rFonts w:cs="Arial"/>
                <w:szCs w:val="22"/>
              </w:rPr>
              <w:t>3235.0 Regional Population by Age and Sex, Australia. This was published in August 2020.</w:t>
            </w:r>
          </w:p>
        </w:tc>
      </w:tr>
      <w:tr w:rsidR="003631E0" w:rsidRPr="006E537F" w14:paraId="2E38A09F"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3359AE9C" w14:textId="77777777" w:rsidR="003631E0" w:rsidRPr="000D3921" w:rsidRDefault="003631E0" w:rsidP="00896C59">
            <w:pPr>
              <w:spacing w:after="0" w:line="240" w:lineRule="auto"/>
              <w:rPr>
                <w:b/>
                <w:szCs w:val="22"/>
              </w:rPr>
            </w:pPr>
            <w:r w:rsidRPr="000D3921">
              <w:rPr>
                <w:b/>
                <w:szCs w:val="22"/>
              </w:rPr>
              <w:t>Data on outcomes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28C5F81" w14:textId="77777777" w:rsidR="003631E0" w:rsidRPr="006E537F" w:rsidRDefault="003631E0" w:rsidP="000A0D48">
            <w:pPr>
              <w:pStyle w:val="ListParagraph"/>
              <w:numPr>
                <w:ilvl w:val="0"/>
                <w:numId w:val="7"/>
              </w:numPr>
              <w:spacing w:after="0" w:line="240" w:lineRule="auto"/>
              <w:ind w:left="313"/>
              <w:rPr>
                <w:rFonts w:cs="Arial"/>
                <w:szCs w:val="22"/>
              </w:rPr>
            </w:pPr>
            <w:r w:rsidRPr="006E537F">
              <w:rPr>
                <w:rFonts w:cs="Arial"/>
                <w:szCs w:val="22"/>
              </w:rPr>
              <w:t>For participants entering the Scheme from 1 July 2016, data on outcomes has been collected from 98.7% of all participants, with the intention to collect information from all participants.</w:t>
            </w:r>
          </w:p>
        </w:tc>
      </w:tr>
      <w:tr w:rsidR="003631E0" w:rsidRPr="006E537F" w14:paraId="7F81E5E2"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4D76B58C" w14:textId="77777777" w:rsidR="003631E0" w:rsidRPr="000D3921" w:rsidRDefault="003631E0" w:rsidP="00896C59">
            <w:pPr>
              <w:spacing w:after="0" w:line="240" w:lineRule="auto"/>
              <w:rPr>
                <w:b/>
                <w:szCs w:val="22"/>
              </w:rPr>
            </w:pPr>
            <w:r w:rsidRPr="000D3921">
              <w:rPr>
                <w:b/>
                <w:szCs w:val="22"/>
              </w:rPr>
              <w:t>Financial information</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E1FA821"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Data from the SAP</w:t>
            </w:r>
            <w:r w:rsidRPr="006E537F">
              <w:rPr>
                <w:rStyle w:val="FootnoteReference"/>
                <w:rFonts w:cs="Arial"/>
                <w:szCs w:val="22"/>
              </w:rPr>
              <w:footnoteReference w:id="33"/>
            </w:r>
            <w:r w:rsidRPr="006E537F">
              <w:rPr>
                <w:rFonts w:cs="Arial"/>
                <w:szCs w:val="22"/>
              </w:rPr>
              <w:t xml:space="preserve"> CRM system were reconciled with financial information in SAP.</w:t>
            </w:r>
          </w:p>
        </w:tc>
      </w:tr>
      <w:tr w:rsidR="003631E0" w:rsidRPr="006E537F" w14:paraId="63CA5F7A"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355CFE85" w14:textId="77777777" w:rsidR="003631E0" w:rsidRPr="000D3921" w:rsidRDefault="003631E0" w:rsidP="00896C59">
            <w:pPr>
              <w:spacing w:after="0" w:line="240" w:lineRule="auto"/>
              <w:rPr>
                <w:b/>
                <w:szCs w:val="22"/>
              </w:rPr>
            </w:pPr>
            <w:r w:rsidRPr="000D3921">
              <w:rPr>
                <w:b/>
                <w:szCs w:val="22"/>
              </w:rPr>
              <w:t>ABS Survey of Disability, Ageing and Carers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B9D120D"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Prevalence of disability in Australia, including demographic and socio</w:t>
            </w:r>
            <w:r w:rsidRPr="006E537F">
              <w:rPr>
                <w:rFonts w:cs="Arial"/>
                <w:szCs w:val="22"/>
              </w:rPr>
              <w:noBreakHyphen/>
              <w:t>economic profile of people with disabilities.</w:t>
            </w:r>
          </w:p>
        </w:tc>
      </w:tr>
      <w:tr w:rsidR="003631E0" w:rsidRPr="006E537F" w14:paraId="40658E6E" w14:textId="77777777" w:rsidTr="00896C59">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65BDB498" w14:textId="77777777" w:rsidR="003631E0" w:rsidRPr="000D3921" w:rsidRDefault="003631E0" w:rsidP="00896C59">
            <w:pPr>
              <w:spacing w:after="0" w:line="240" w:lineRule="auto"/>
              <w:rPr>
                <w:b/>
                <w:szCs w:val="22"/>
              </w:rPr>
            </w:pPr>
            <w:r w:rsidRPr="000D3921">
              <w:rPr>
                <w:b/>
                <w:szCs w:val="22"/>
              </w:rPr>
              <w:t>Economic information</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9C60CED"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Government economic forecasts for GDP</w:t>
            </w:r>
          </w:p>
          <w:p w14:paraId="7DEAB48A"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Inflation indicators</w:t>
            </w:r>
          </w:p>
          <w:p w14:paraId="301D072C"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Australian Life Tables – published in October 2019</w:t>
            </w:r>
          </w:p>
          <w:p w14:paraId="64A8F255" w14:textId="77777777" w:rsidR="003631E0" w:rsidRPr="006E537F" w:rsidRDefault="003631E0" w:rsidP="000A0D48">
            <w:pPr>
              <w:pStyle w:val="ListParagraph"/>
              <w:numPr>
                <w:ilvl w:val="0"/>
                <w:numId w:val="7"/>
              </w:numPr>
              <w:spacing w:after="0" w:line="240" w:lineRule="auto"/>
              <w:ind w:left="317"/>
              <w:rPr>
                <w:rFonts w:cs="Arial"/>
                <w:szCs w:val="22"/>
              </w:rPr>
            </w:pPr>
            <w:r w:rsidRPr="006E537F">
              <w:rPr>
                <w:rFonts w:cs="Arial"/>
                <w:szCs w:val="22"/>
              </w:rPr>
              <w:t>Population forecasts – estimated for the 2021 Intergenerational Report</w:t>
            </w:r>
          </w:p>
        </w:tc>
      </w:tr>
    </w:tbl>
    <w:p w14:paraId="5AE790C3" w14:textId="77777777" w:rsidR="003631E0" w:rsidRPr="003631E0" w:rsidRDefault="003631E0" w:rsidP="003631E0">
      <w:pPr>
        <w:pStyle w:val="FSRnormal"/>
      </w:pPr>
    </w:p>
    <w:p w14:paraId="52D00604" w14:textId="749F77B0" w:rsidR="00650643" w:rsidRPr="00C578EB" w:rsidRDefault="00650643" w:rsidP="00467187">
      <w:pPr>
        <w:pStyle w:val="Heading2"/>
      </w:pPr>
      <w:bookmarkStart w:id="35" w:name="_Ref74937424"/>
      <w:bookmarkStart w:id="36" w:name="_Toc83220839"/>
      <w:bookmarkStart w:id="37" w:name="_Toc85031250"/>
      <w:bookmarkStart w:id="38" w:name="_Ref16772177"/>
      <w:r w:rsidRPr="00C578EB">
        <w:lastRenderedPageBreak/>
        <w:t>Modelling approach</w:t>
      </w:r>
      <w:bookmarkEnd w:id="35"/>
      <w:bookmarkEnd w:id="36"/>
      <w:bookmarkEnd w:id="37"/>
    </w:p>
    <w:p w14:paraId="2077288E" w14:textId="23444F77" w:rsidR="00467187" w:rsidRPr="00C578EB" w:rsidRDefault="00467187" w:rsidP="00467187">
      <w:pPr>
        <w:pStyle w:val="FSRnormal"/>
      </w:pPr>
      <w:r w:rsidRPr="00C578EB">
        <w:t>An experience</w:t>
      </w:r>
      <w:r w:rsidRPr="00C578EB">
        <w:noBreakHyphen/>
        <w:t xml:space="preserve">based projection model has been used to project Scheme participant numbers and </w:t>
      </w:r>
      <w:r w:rsidR="00D31577">
        <w:t>average payments</w:t>
      </w:r>
      <w:r w:rsidRPr="00C578EB">
        <w:t xml:space="preserve">. The modelling approach splits participants into </w:t>
      </w:r>
      <w:r w:rsidR="00CD3984">
        <w:t>cohort</w:t>
      </w:r>
      <w:r w:rsidRPr="00C578EB">
        <w:t xml:space="preserve">s based on characteristics which reflect expected differences in average </w:t>
      </w:r>
      <w:r w:rsidR="00D31577">
        <w:t>payment</w:t>
      </w:r>
      <w:r w:rsidRPr="00C578EB">
        <w:t xml:space="preserve">, new entrant rates and/or exit rates between different groups of participants. The characteristics allowed for are age, primary disability type, level of function, gender, whether a participant is in SIL arrangements, and the duration that a participant has been in the Scheme. Separate </w:t>
      </w:r>
      <w:r w:rsidR="00D31577">
        <w:t>average payment</w:t>
      </w:r>
      <w:r w:rsidRPr="00C578EB">
        <w:t xml:space="preserve">, new entrant and exit assumptions have been developed for each of these </w:t>
      </w:r>
      <w:r w:rsidR="00B44978" w:rsidRPr="00C578EB">
        <w:t>c</w:t>
      </w:r>
      <w:r w:rsidR="00B44978">
        <w:t>ohorts</w:t>
      </w:r>
      <w:r w:rsidRPr="00C578EB">
        <w:t xml:space="preserve">. </w:t>
      </w:r>
      <w:r w:rsidRPr="002C0354">
        <w:t xml:space="preserve">These assumptions are described in more detail </w:t>
      </w:r>
      <w:r w:rsidR="00AF366D">
        <w:t xml:space="preserve">through </w:t>
      </w:r>
      <w:r w:rsidRPr="002C0354">
        <w:t>this report.</w:t>
      </w:r>
    </w:p>
    <w:p w14:paraId="3EF45947" w14:textId="77777777" w:rsidR="00467187" w:rsidRPr="00C578EB" w:rsidRDefault="00467187" w:rsidP="00467187">
      <w:pPr>
        <w:pStyle w:val="FSRnormal"/>
      </w:pPr>
      <w:r w:rsidRPr="00C578EB">
        <w:t>The assumptions in the projection model are at a national level. This best reflects the nationally consistent approach of the Scheme and enables the experience-based projection model to utilise the greatest volume of available data to inform assumptions.</w:t>
      </w:r>
    </w:p>
    <w:p w14:paraId="3F11D987" w14:textId="0B3A920D" w:rsidR="00467187" w:rsidRPr="00B57259" w:rsidRDefault="00467187" w:rsidP="00467187">
      <w:pPr>
        <w:pStyle w:val="FSRnormal"/>
      </w:pPr>
      <w:r>
        <w:fldChar w:fldCharType="begin"/>
      </w:r>
      <w:r>
        <w:instrText xml:space="preserve"> REF _Ref522208186 \h </w:instrText>
      </w:r>
      <w:r>
        <w:fldChar w:fldCharType="separate"/>
      </w:r>
      <w:r w:rsidR="00E50032" w:rsidRPr="00467187">
        <w:t xml:space="preserve">Figure </w:t>
      </w:r>
      <w:r w:rsidR="00E50032">
        <w:rPr>
          <w:noProof/>
        </w:rPr>
        <w:t>12</w:t>
      </w:r>
      <w:r>
        <w:fldChar w:fldCharType="end"/>
      </w:r>
      <w:r>
        <w:t xml:space="preserve"> </w:t>
      </w:r>
      <w:r w:rsidRPr="00F30EBF">
        <w:t>summarises the modelling approach in gra</w:t>
      </w:r>
      <w:r w:rsidRPr="00B57259">
        <w:t>phical format, with the main components of the modelling approach noted below.</w:t>
      </w:r>
    </w:p>
    <w:p w14:paraId="09EBC1C2" w14:textId="382BE13E" w:rsidR="00F60243" w:rsidRPr="00467187" w:rsidRDefault="00F60243" w:rsidP="00467187">
      <w:pPr>
        <w:pStyle w:val="FSRHeading4"/>
      </w:pPr>
      <w:r w:rsidRPr="00467187">
        <w:t>Participant numbers</w:t>
      </w:r>
    </w:p>
    <w:p w14:paraId="197FDA00" w14:textId="77777777" w:rsidR="005C50AC" w:rsidRPr="00775B5E" w:rsidRDefault="005C50AC" w:rsidP="005C50AC">
      <w:pPr>
        <w:pStyle w:val="FSRlist"/>
      </w:pPr>
      <w:r w:rsidRPr="00775B5E">
        <w:t>Aggregate participant numbers for ages 0 to 64 are estimated using actuarial techniques</w:t>
      </w:r>
      <w:r w:rsidRPr="00775B5E">
        <w:rPr>
          <w:rStyle w:val="FootnoteReference"/>
        </w:rPr>
        <w:footnoteReference w:id="34"/>
      </w:r>
      <w:r w:rsidRPr="00775B5E">
        <w:t xml:space="preserve"> up until the assumed Steady Intake Date</w:t>
      </w:r>
      <w:r w:rsidRPr="00775B5E">
        <w:rPr>
          <w:rStyle w:val="FootnoteReference"/>
        </w:rPr>
        <w:footnoteReference w:id="35"/>
      </w:r>
      <w:r w:rsidRPr="00775B5E">
        <w:t xml:space="preserve"> of 30 June 2024. </w:t>
      </w:r>
    </w:p>
    <w:p w14:paraId="58DAEF24" w14:textId="7A8F5D06" w:rsidR="005C50AC" w:rsidRPr="00775B5E" w:rsidRDefault="005C50AC" w:rsidP="005C50AC">
      <w:pPr>
        <w:pStyle w:val="FSRlist"/>
      </w:pPr>
      <w:r w:rsidRPr="00775B5E">
        <w:t xml:space="preserve">The number and profile of participants expected to enter the Scheme in each projection year is based on the </w:t>
      </w:r>
      <w:r w:rsidR="00A2569E">
        <w:t>historic</w:t>
      </w:r>
      <w:r w:rsidRPr="00775B5E">
        <w:t xml:space="preserve"> profile of participants, by:</w:t>
      </w:r>
    </w:p>
    <w:p w14:paraId="62151A4F" w14:textId="4146965C" w:rsidR="005C50AC" w:rsidRPr="00775B5E" w:rsidRDefault="00EF2594" w:rsidP="000A0D48">
      <w:pPr>
        <w:pStyle w:val="FSRlist"/>
        <w:numPr>
          <w:ilvl w:val="1"/>
          <w:numId w:val="8"/>
        </w:numPr>
      </w:pPr>
      <w:r>
        <w:t>True n</w:t>
      </w:r>
      <w:r w:rsidR="005C50AC" w:rsidRPr="00775B5E">
        <w:t>ew incidence of disability; and</w:t>
      </w:r>
    </w:p>
    <w:p w14:paraId="5E9F278F" w14:textId="77777777" w:rsidR="005C50AC" w:rsidRPr="00775B5E" w:rsidRDefault="005C50AC" w:rsidP="000A0D48">
      <w:pPr>
        <w:pStyle w:val="FSRlist"/>
        <w:numPr>
          <w:ilvl w:val="1"/>
          <w:numId w:val="8"/>
        </w:numPr>
      </w:pPr>
      <w:r w:rsidRPr="00775B5E">
        <w:t>Previously unmet need for disability supports.</w:t>
      </w:r>
      <w:r w:rsidRPr="00775B5E">
        <w:rPr>
          <w:rStyle w:val="FootnoteReference"/>
        </w:rPr>
        <w:footnoteReference w:id="36"/>
      </w:r>
    </w:p>
    <w:p w14:paraId="1ABD7124" w14:textId="1BE17C8B" w:rsidR="005C50AC" w:rsidRPr="00775B5E" w:rsidRDefault="005C50AC" w:rsidP="005C50AC">
      <w:pPr>
        <w:pStyle w:val="FSRlist"/>
      </w:pPr>
      <w:r w:rsidRPr="00775B5E">
        <w:t xml:space="preserve">Annual population projections are calculated by exact age and </w:t>
      </w:r>
      <w:r w:rsidR="00CD3984">
        <w:t>cohort</w:t>
      </w:r>
      <w:r w:rsidRPr="00775B5E">
        <w:t xml:space="preserve"> by adding participant intake to the starting population, subtracting mortality and non</w:t>
      </w:r>
      <w:r w:rsidRPr="00775B5E">
        <w:noBreakHyphen/>
        <w:t xml:space="preserve">mortality exits, and ageing the remaining participants by one year. </w:t>
      </w:r>
    </w:p>
    <w:p w14:paraId="70AA43E6" w14:textId="262AFD1F" w:rsidR="005C50AC" w:rsidRPr="00775B5E" w:rsidRDefault="005C50AC" w:rsidP="005C50AC">
      <w:pPr>
        <w:pStyle w:val="FSRlist"/>
      </w:pPr>
      <w:r w:rsidRPr="00775B5E">
        <w:t xml:space="preserve">Each </w:t>
      </w:r>
      <w:r w:rsidR="00CD3984">
        <w:t>cohort</w:t>
      </w:r>
      <w:r w:rsidRPr="00775B5E">
        <w:t xml:space="preserve"> is differentiated by age band (summarised into nine groups), primary disability and level of function (57 groups), gender (two groups) and whether a participant is in SIL (two groups). This leads to 2,052 unique </w:t>
      </w:r>
      <w:r w:rsidR="00CD3984">
        <w:t>cohort</w:t>
      </w:r>
      <w:r w:rsidRPr="00775B5E">
        <w:t>s.</w:t>
      </w:r>
    </w:p>
    <w:p w14:paraId="4EFBB5E1" w14:textId="5554C019" w:rsidR="005C50AC" w:rsidRPr="00775B5E" w:rsidRDefault="005C50AC" w:rsidP="005C50AC">
      <w:pPr>
        <w:pStyle w:val="FSRlist"/>
      </w:pPr>
      <w:r w:rsidRPr="00775B5E">
        <w:t xml:space="preserve">The profile of participants at 30 June each year has also been determined by </w:t>
      </w:r>
      <w:r w:rsidR="00CD3984">
        <w:t>cohort</w:t>
      </w:r>
      <w:r w:rsidRPr="00775B5E">
        <w:t>.</w:t>
      </w:r>
    </w:p>
    <w:p w14:paraId="5D8792AD" w14:textId="18AD6E41" w:rsidR="003257F0" w:rsidRPr="00C578EB" w:rsidRDefault="00F1290A" w:rsidP="00F1290A">
      <w:pPr>
        <w:pStyle w:val="FSRlist"/>
      </w:pPr>
      <w:r w:rsidRPr="00C578EB">
        <w:t xml:space="preserve">There is also a transition model to explicitly allow for participants who enter the Scheme with developmental delay, but are later determined to have autism or an intellectual disability. Some participants with a developmental delay will transition to </w:t>
      </w:r>
      <w:r w:rsidRPr="00C578EB">
        <w:lastRenderedPageBreak/>
        <w:t>another disability once a diagnosis has been made. This transfer typically happens between the ages of 5 to 8, although this can also occur outside of these ages</w:t>
      </w:r>
      <w:r w:rsidR="000412BB" w:rsidRPr="00C578EB">
        <w:t xml:space="preserve">. </w:t>
      </w:r>
    </w:p>
    <w:p w14:paraId="60CB03CD" w14:textId="64EA2A07" w:rsidR="005C50AC" w:rsidRPr="00775B5E" w:rsidRDefault="005C50AC" w:rsidP="005C50AC">
      <w:pPr>
        <w:pStyle w:val="FSRlist"/>
      </w:pPr>
      <w:r w:rsidRPr="00775B5E">
        <w:t xml:space="preserve">The number of participants in SIL arrangements is modelled based on an assumed proportion of each </w:t>
      </w:r>
      <w:r w:rsidR="00CD3984">
        <w:t>cohort</w:t>
      </w:r>
      <w:r>
        <w:t xml:space="preserve">, with the increase in the total number of SIL participants being based on recently observed </w:t>
      </w:r>
      <w:r w:rsidRPr="00775B5E">
        <w:t>experience. SIL participants are modelled specifically as</w:t>
      </w:r>
      <w:r w:rsidR="008208CC">
        <w:t>,</w:t>
      </w:r>
      <w:r w:rsidRPr="00775B5E">
        <w:t xml:space="preserve"> </w:t>
      </w:r>
      <w:r w:rsidR="008208CC">
        <w:t>despite</w:t>
      </w:r>
      <w:r w:rsidRPr="00775B5E">
        <w:t xml:space="preserve"> only com</w:t>
      </w:r>
      <w:r w:rsidR="008208CC">
        <w:t>prising</w:t>
      </w:r>
      <w:r w:rsidRPr="00775B5E">
        <w:t xml:space="preserve"> 5.4% of all participants, they contribute significantly to Scheme costs (34% over 2020-21).</w:t>
      </w:r>
    </w:p>
    <w:p w14:paraId="78F64C3E" w14:textId="4499BCB6" w:rsidR="00F60243" w:rsidRPr="00C578EB" w:rsidRDefault="00F60243" w:rsidP="00F60243">
      <w:pPr>
        <w:pStyle w:val="FSRHeading4"/>
      </w:pPr>
      <w:r w:rsidRPr="00C578EB">
        <w:t>Participant costs</w:t>
      </w:r>
    </w:p>
    <w:p w14:paraId="5902948D" w14:textId="4C81EBA4" w:rsidR="00372462" w:rsidRPr="002C0354" w:rsidRDefault="00372462" w:rsidP="00372462">
      <w:pPr>
        <w:pStyle w:val="FSRlist"/>
      </w:pPr>
      <w:r w:rsidRPr="00C578EB">
        <w:t xml:space="preserve">Participant costs are estimated by </w:t>
      </w:r>
      <w:r w:rsidR="00CD3984">
        <w:t>cohort</w:t>
      </w:r>
      <w:r w:rsidRPr="00C578EB">
        <w:t xml:space="preserve"> using annualised payment levels </w:t>
      </w:r>
      <w:r w:rsidRPr="002C0354">
        <w:t>for the three months to 31 May 2021 for “mature participants”, i.e. participants who were active at both 28 February 2021 and 31 May 2021, and had their first plan approved on or prior to 29 February 2020.</w:t>
      </w:r>
      <w:r w:rsidR="005449F8">
        <w:t xml:space="preserve"> </w:t>
      </w:r>
      <w:r w:rsidR="00AA4213">
        <w:t>Allowance is made for monthly seasonality typically observed and payments in June 2021 were checked to ensure that they did not vary substantially from those assumed.</w:t>
      </w:r>
      <w:r w:rsidRPr="002C0354">
        <w:rPr>
          <w:rStyle w:val="FootnoteReference"/>
        </w:rPr>
        <w:footnoteReference w:id="37"/>
      </w:r>
      <w:r w:rsidRPr="002C0354">
        <w:t xml:space="preserve"> </w:t>
      </w:r>
    </w:p>
    <w:p w14:paraId="35A519B3" w14:textId="19C21006" w:rsidR="00372462" w:rsidRPr="002C0354" w:rsidRDefault="00031A84" w:rsidP="00372462">
      <w:pPr>
        <w:pStyle w:val="FSRlist"/>
      </w:pPr>
      <w:r>
        <w:t>E</w:t>
      </w:r>
      <w:r w:rsidR="00372462" w:rsidRPr="002C0354">
        <w:t xml:space="preserve">xplicit allowance is made for </w:t>
      </w:r>
      <w:r>
        <w:t xml:space="preserve">variance in </w:t>
      </w:r>
      <w:r w:rsidR="00180C52">
        <w:t>average payment per</w:t>
      </w:r>
      <w:r w:rsidR="00372462" w:rsidRPr="002C0354">
        <w:t xml:space="preserve"> participant for future new entrants</w:t>
      </w:r>
      <w:r>
        <w:t xml:space="preserve">, relative to the broader </w:t>
      </w:r>
      <w:r w:rsidR="008208CC">
        <w:t xml:space="preserve">Scheme </w:t>
      </w:r>
      <w:r>
        <w:t>population</w:t>
      </w:r>
      <w:r w:rsidR="00372462" w:rsidRPr="002C0354">
        <w:t>.</w:t>
      </w:r>
    </w:p>
    <w:p w14:paraId="426A3634" w14:textId="03828709" w:rsidR="00237D73" w:rsidRPr="00C578EB" w:rsidRDefault="00237D73" w:rsidP="00237D73">
      <w:pPr>
        <w:pStyle w:val="FSRlist"/>
      </w:pPr>
      <w:r w:rsidRPr="002C0354">
        <w:t xml:space="preserve">Costs are projected on a cash flow basis, </w:t>
      </w:r>
      <w:r w:rsidRPr="002C0354">
        <w:rPr>
          <w:rFonts w:cs="Arial"/>
          <w:szCs w:val="22"/>
        </w:rPr>
        <w:t>representing the estimated rate of outflows from the Scheme (noting in-kind supports are expected to be used evenly throughout</w:t>
      </w:r>
      <w:r w:rsidRPr="00C578EB">
        <w:rPr>
          <w:rFonts w:cs="Arial"/>
          <w:szCs w:val="22"/>
        </w:rPr>
        <w:t xml:space="preserve"> a participant’s plan). Projected </w:t>
      </w:r>
      <w:r w:rsidR="00FE6084">
        <w:rPr>
          <w:rFonts w:cs="Arial"/>
          <w:szCs w:val="22"/>
        </w:rPr>
        <w:t xml:space="preserve">costs </w:t>
      </w:r>
      <w:r w:rsidRPr="00C578EB">
        <w:rPr>
          <w:rFonts w:cs="Arial"/>
          <w:szCs w:val="22"/>
        </w:rPr>
        <w:t>are split between 15 different support categories</w:t>
      </w:r>
      <w:r w:rsidR="00DF2E38" w:rsidRPr="00C578EB">
        <w:rPr>
          <w:rFonts w:cs="Arial"/>
          <w:szCs w:val="22"/>
        </w:rPr>
        <w:t>.</w:t>
      </w:r>
      <w:r w:rsidRPr="00C578EB">
        <w:rPr>
          <w:rStyle w:val="FootnoteReference"/>
          <w:rFonts w:cs="Arial"/>
          <w:szCs w:val="22"/>
        </w:rPr>
        <w:footnoteReference w:id="38"/>
      </w:r>
    </w:p>
    <w:p w14:paraId="08C7E5D6" w14:textId="65FC888F" w:rsidR="00650643" w:rsidRPr="00C578EB" w:rsidRDefault="00237D73" w:rsidP="00237D73">
      <w:pPr>
        <w:pStyle w:val="FSRlist"/>
      </w:pPr>
      <w:r w:rsidRPr="00C578EB">
        <w:t>Inflation of costs is added in future years from both normal inflationary sources and sources of superimposed inflation.</w:t>
      </w:r>
    </w:p>
    <w:p w14:paraId="65B59822" w14:textId="77777777" w:rsidR="00372462" w:rsidRPr="00C578EB" w:rsidRDefault="00372462" w:rsidP="00372462">
      <w:pPr>
        <w:pStyle w:val="FSRlist"/>
      </w:pPr>
      <w:r>
        <w:t>Accrual factors are derived for each of the 15 different support categories to convert the participant costs from</w:t>
      </w:r>
      <w:r w:rsidRPr="00C578EB">
        <w:t xml:space="preserve"> a cash basis to an accrual basis.</w:t>
      </w:r>
    </w:p>
    <w:p w14:paraId="22057385" w14:textId="37A747CE" w:rsidR="00372462" w:rsidRDefault="00372462" w:rsidP="00372462">
      <w:pPr>
        <w:pStyle w:val="FSRHeading4"/>
      </w:pPr>
      <w:r>
        <w:t>Total Scheme costs</w:t>
      </w:r>
    </w:p>
    <w:p w14:paraId="5DF5AF7B" w14:textId="77777777" w:rsidR="00372462" w:rsidRDefault="00372462" w:rsidP="00372462">
      <w:pPr>
        <w:pStyle w:val="FSRlist"/>
      </w:pPr>
      <w:r w:rsidRPr="0092439D">
        <w:t>Operating expenses are added to total participant costs to calculate total Scheme costs.</w:t>
      </w:r>
    </w:p>
    <w:p w14:paraId="419A1FC4" w14:textId="19B8620B" w:rsidR="00372462" w:rsidRDefault="00372462" w:rsidP="0077053A">
      <w:pPr>
        <w:pStyle w:val="FSRlist"/>
        <w:spacing w:line="276" w:lineRule="auto"/>
      </w:pPr>
      <w:r w:rsidRPr="0092439D">
        <w:t>Comparisons are made to relevant benchmarks and alternative, plausible scenarios are presented to reflect uncertainty within the projections.</w:t>
      </w:r>
    </w:p>
    <w:p w14:paraId="16100A81" w14:textId="77777777" w:rsidR="00372462" w:rsidRPr="00C578EB" w:rsidRDefault="00372462" w:rsidP="00650643">
      <w:pPr>
        <w:spacing w:line="276" w:lineRule="auto"/>
        <w:sectPr w:rsidR="00372462" w:rsidRPr="00C578EB" w:rsidSect="00562550">
          <w:headerReference w:type="even" r:id="rId20"/>
          <w:headerReference w:type="default" r:id="rId21"/>
          <w:footerReference w:type="default" r:id="rId22"/>
          <w:headerReference w:type="first" r:id="rId23"/>
          <w:pgSz w:w="11906" w:h="16838" w:code="9"/>
          <w:pgMar w:top="1956" w:right="1440" w:bottom="851" w:left="1440" w:header="851" w:footer="851" w:gutter="0"/>
          <w:cols w:space="720"/>
          <w:docGrid w:linePitch="299"/>
        </w:sectPr>
      </w:pPr>
    </w:p>
    <w:p w14:paraId="0981A000" w14:textId="4AF91510" w:rsidR="00467187" w:rsidRDefault="00650643" w:rsidP="00467187">
      <w:pPr>
        <w:pStyle w:val="Figures"/>
      </w:pPr>
      <w:bookmarkStart w:id="39" w:name="_Ref522208186"/>
      <w:bookmarkStart w:id="40" w:name="_Toc16847605"/>
      <w:r w:rsidRPr="00467187">
        <w:lastRenderedPageBreak/>
        <w:t xml:space="preserve">Figure </w:t>
      </w:r>
      <w:fldSimple w:instr=" SEQ Figure \* ARABIC ">
        <w:r w:rsidR="00E50032">
          <w:rPr>
            <w:noProof/>
          </w:rPr>
          <w:t>12</w:t>
        </w:r>
      </w:fldSimple>
      <w:bookmarkEnd w:id="39"/>
      <w:r w:rsidRPr="00467187">
        <w:t xml:space="preserve"> Schematic of modelling approach</w:t>
      </w:r>
      <w:bookmarkEnd w:id="40"/>
      <w:r w:rsidR="002A5B15" w:rsidRPr="00467187">
        <w:t xml:space="preserve"> </w:t>
      </w:r>
    </w:p>
    <w:p w14:paraId="1D1317CB" w14:textId="7E61D051" w:rsidR="00650643" w:rsidRPr="00467187" w:rsidRDefault="00467187" w:rsidP="00467187">
      <w:pPr>
        <w:pStyle w:val="FSRnormal"/>
        <w:sectPr w:rsidR="00650643" w:rsidRPr="00467187" w:rsidSect="00650643">
          <w:headerReference w:type="even" r:id="rId24"/>
          <w:headerReference w:type="default" r:id="rId25"/>
          <w:footerReference w:type="even" r:id="rId26"/>
          <w:footerReference w:type="default" r:id="rId27"/>
          <w:headerReference w:type="first" r:id="rId28"/>
          <w:footerReference w:type="first" r:id="rId29"/>
          <w:pgSz w:w="16838" w:h="11906" w:orient="landscape"/>
          <w:pgMar w:top="1440" w:right="1440" w:bottom="1440" w:left="1440" w:header="708" w:footer="708" w:gutter="0"/>
          <w:cols w:space="708"/>
          <w:docGrid w:linePitch="360"/>
        </w:sectPr>
      </w:pPr>
      <w:r w:rsidRPr="00467187">
        <w:rPr>
          <w:noProof/>
          <w:lang w:eastAsia="en-AU"/>
        </w:rPr>
        <w:drawing>
          <wp:inline distT="0" distB="0" distL="0" distR="0" wp14:anchorId="39B8EF53" wp14:editId="655A4C4D">
            <wp:extent cx="8863330" cy="4883150"/>
            <wp:effectExtent l="0" t="0" r="0" b="0"/>
            <wp:docPr id="20" name="Picture 20" descr="Diagram describing the model approach. Participant numbers at the end of each year is equal to the starting participant population plus new entrants minus exits. Base average participant cost assumptions has been calibrated using recent payment experience, with inflation applied in subsequent years to calculate future cost assumptions. Total Scheme spend on participant costs is equal to number of participants multiplied by average costs per participant. Factors that affect the uncertainty of Scheme experience and the projection include: agency policy initiatives, SIL numbers and cost, unanticipated sources of superimposed inflation, non-mortality exits, impact of COVID-19, interactions with mainstream interfaces, erosion of informal supports and increase in util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describing the model approach. Participant numbers at the end of each year is equal to the starting participant population plus new entrants minus exits. Base average participant cost assumptions has been calibrated using recent payment experience, with inflation applied in subsequent years to calculate future cost assumptions. Total Scheme spend on participant costs is equal to number of participants multiplied by average costs per participant. Factors that affect the uncertainty of Scheme experience and the projection include: agency policy initiatives, SIL numbers and cost, unanticipated sources of superimposed inflation, non-mortality exits, impact of COVID-19, interactions with mainstream interfaces, erosion of informal supports and increase in utilisa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63330" cy="4883150"/>
                    </a:xfrm>
                    <a:prstGeom prst="rect">
                      <a:avLst/>
                    </a:prstGeom>
                    <a:noFill/>
                    <a:ln>
                      <a:noFill/>
                    </a:ln>
                  </pic:spPr>
                </pic:pic>
              </a:graphicData>
            </a:graphic>
          </wp:inline>
        </w:drawing>
      </w:r>
    </w:p>
    <w:p w14:paraId="5EC497B6" w14:textId="0F1B6E77" w:rsidR="00B65500" w:rsidRPr="00C578EB" w:rsidRDefault="00B65500" w:rsidP="008100AC">
      <w:pPr>
        <w:pStyle w:val="Heading2"/>
      </w:pPr>
      <w:bookmarkStart w:id="41" w:name="_Toc83220840"/>
      <w:bookmarkStart w:id="42" w:name="_Toc85031251"/>
      <w:r w:rsidRPr="008100AC">
        <w:lastRenderedPageBreak/>
        <w:t>Scheme</w:t>
      </w:r>
      <w:r w:rsidRPr="00C578EB">
        <w:t xml:space="preserve"> experience</w:t>
      </w:r>
      <w:bookmarkEnd w:id="41"/>
      <w:bookmarkEnd w:id="42"/>
    </w:p>
    <w:p w14:paraId="5950E54E" w14:textId="6C6D7915" w:rsidR="00D40AB0" w:rsidRDefault="003D47F8" w:rsidP="00031A84">
      <w:pPr>
        <w:pStyle w:val="FSRnormal"/>
        <w:rPr>
          <w:rFonts w:eastAsiaTheme="minorHAnsi"/>
          <w:b/>
          <w:color w:val="6A2875"/>
          <w:sz w:val="36"/>
          <w:szCs w:val="44"/>
        </w:rPr>
      </w:pPr>
      <w:r w:rsidRPr="00C578EB">
        <w:t xml:space="preserve">This section includes trends in Scheme experience </w:t>
      </w:r>
      <w:r w:rsidR="00D97AA2">
        <w:t>to 30 June 2021</w:t>
      </w:r>
      <w:r w:rsidRPr="00C578EB">
        <w:t xml:space="preserve">. </w:t>
      </w:r>
      <w:r w:rsidR="005623B8">
        <w:t>Comparisons of actual experience are made to projections from the previous review, and w</w:t>
      </w:r>
      <w:r w:rsidRPr="00C578EB">
        <w:t>here relevant the 2020-21 PBS estimates.</w:t>
      </w:r>
      <w:r w:rsidR="005623B8">
        <w:t xml:space="preserve"> </w:t>
      </w:r>
    </w:p>
    <w:p w14:paraId="51D8F98D" w14:textId="2D5CA2C9" w:rsidR="003A46EC" w:rsidRPr="008100AC" w:rsidRDefault="003A46EC" w:rsidP="008100AC">
      <w:pPr>
        <w:pStyle w:val="Heading3"/>
      </w:pPr>
      <w:bookmarkStart w:id="43" w:name="_Toc83220841"/>
      <w:bookmarkStart w:id="44" w:name="_Toc85031252"/>
      <w:r w:rsidRPr="008100AC">
        <w:t>Participant numbers</w:t>
      </w:r>
      <w:bookmarkEnd w:id="43"/>
      <w:bookmarkEnd w:id="44"/>
    </w:p>
    <w:p w14:paraId="3DC7E5A0" w14:textId="290D8727" w:rsidR="005D1D06" w:rsidRPr="008100AC" w:rsidRDefault="005D1D06" w:rsidP="00031A84">
      <w:pPr>
        <w:pStyle w:val="FSRnormal"/>
      </w:pPr>
      <w:bookmarkStart w:id="45" w:name="_Toc48405484"/>
      <w:bookmarkStart w:id="46" w:name="_Toc48405485"/>
      <w:bookmarkStart w:id="47" w:name="_Toc48405486"/>
      <w:bookmarkStart w:id="48" w:name="_Toc48405489"/>
      <w:bookmarkStart w:id="49" w:name="_Toc48405490"/>
      <w:bookmarkStart w:id="50" w:name="_Toc48405491"/>
      <w:bookmarkStart w:id="51" w:name="_Toc48405494"/>
      <w:bookmarkStart w:id="52" w:name="_Toc48405496"/>
      <w:bookmarkStart w:id="53" w:name="_Toc48286413"/>
      <w:bookmarkStart w:id="54" w:name="_Toc48287928"/>
      <w:bookmarkStart w:id="55" w:name="_Toc48288084"/>
      <w:bookmarkStart w:id="56" w:name="_Toc48288819"/>
      <w:bookmarkStart w:id="57" w:name="_Toc48405497"/>
      <w:bookmarkStart w:id="58" w:name="_Toc48293376"/>
      <w:bookmarkStart w:id="59" w:name="_Toc48300263"/>
      <w:bookmarkStart w:id="60" w:name="_Toc48304453"/>
      <w:bookmarkStart w:id="61" w:name="_Toc48312966"/>
      <w:bookmarkStart w:id="62" w:name="_Toc48313133"/>
      <w:bookmarkStart w:id="63" w:name="_Toc48319679"/>
      <w:bookmarkStart w:id="64" w:name="_Toc7758143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8100AC">
        <w:t xml:space="preserve">There were 466,619 active participants in the Scheme as at 30 June 2021. This is an increase of 8% in the Scheme population since 31 December 2020 (from 432,649 active participants), </w:t>
      </w:r>
      <w:r w:rsidR="005449F8">
        <w:t xml:space="preserve">and 19% since </w:t>
      </w:r>
      <w:r w:rsidR="00376AAB">
        <w:t xml:space="preserve">30 June 2020. This </w:t>
      </w:r>
      <w:r w:rsidRPr="008100AC">
        <w:t xml:space="preserve">reflects the net effect of intake and exit of participants from the Scheme over the past </w:t>
      </w:r>
      <w:r w:rsidR="00440413">
        <w:t xml:space="preserve">12 </w:t>
      </w:r>
      <w:r w:rsidRPr="008100AC">
        <w:t xml:space="preserve">months. This can be seen in </w:t>
      </w:r>
      <w:r w:rsidRPr="008100AC">
        <w:fldChar w:fldCharType="begin"/>
      </w:r>
      <w:r w:rsidRPr="008100AC">
        <w:instrText xml:space="preserve"> REF _Ref74328256 \h  \* MERGEFORMAT </w:instrText>
      </w:r>
      <w:r w:rsidRPr="008100AC">
        <w:fldChar w:fldCharType="separate"/>
      </w:r>
      <w:r w:rsidR="00E50032" w:rsidRPr="008100AC">
        <w:t xml:space="preserve">Figure </w:t>
      </w:r>
      <w:r w:rsidR="00E50032">
        <w:t>13</w:t>
      </w:r>
      <w:r w:rsidRPr="008100AC">
        <w:fldChar w:fldCharType="end"/>
      </w:r>
      <w:r w:rsidRPr="008100AC">
        <w:t xml:space="preserve"> below.</w:t>
      </w:r>
    </w:p>
    <w:p w14:paraId="38C0F082" w14:textId="57D2779E" w:rsidR="005D1D06" w:rsidRPr="008100AC" w:rsidRDefault="005D1D06" w:rsidP="00031A84">
      <w:pPr>
        <w:pStyle w:val="Figures"/>
        <w:keepNext w:val="0"/>
      </w:pPr>
      <w:bookmarkStart w:id="65" w:name="_Ref74328256"/>
      <w:r w:rsidRPr="008100AC">
        <w:t xml:space="preserve">Figure </w:t>
      </w:r>
      <w:fldSimple w:instr=" SEQ Figure \* ARABIC ">
        <w:r w:rsidR="00E50032">
          <w:rPr>
            <w:noProof/>
          </w:rPr>
          <w:t>13</w:t>
        </w:r>
      </w:fldSimple>
      <w:bookmarkEnd w:id="65"/>
      <w:r w:rsidRPr="008100AC">
        <w:t xml:space="preserve"> Active participants in the Scheme by quarter over the past 3 years</w:t>
      </w:r>
    </w:p>
    <w:p w14:paraId="5CD78CB5" w14:textId="77777777" w:rsidR="005D1D06" w:rsidRPr="008100AC" w:rsidRDefault="005D1D06" w:rsidP="00031A84">
      <w:pPr>
        <w:pStyle w:val="FSRnormal"/>
      </w:pPr>
      <w:r w:rsidRPr="008100AC">
        <w:rPr>
          <w:noProof/>
          <w:lang w:eastAsia="en-AU"/>
        </w:rPr>
        <w:drawing>
          <wp:inline distT="0" distB="0" distL="0" distR="0" wp14:anchorId="7C1DE0CE" wp14:editId="0B8CA5E2">
            <wp:extent cx="5731510" cy="2977000"/>
            <wp:effectExtent l="0" t="0" r="2540" b="0"/>
            <wp:docPr id="231" name="Picture 231" descr="Line graph showing active participants in the scheme by quarter. Participants increased by 113,682 or 66.0% in the 12 months ending 30 June 2019, 105,984 or 37.1% in the 12 months ending 30 June 2020, and 74,620 or 19.0% in the 12 months ending 30 Jun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Line graph showing active participants in the scheme by quarter. Participants increased by 113,682 or 66.0% in the 12 months ending 30 June 2019, 105,984 or 37.1% in the 12 months ending 30 June 2020, and 74,620 or 19.0% in the 12 months ending 30 June 20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977000"/>
                    </a:xfrm>
                    <a:prstGeom prst="rect">
                      <a:avLst/>
                    </a:prstGeom>
                    <a:noFill/>
                    <a:ln>
                      <a:noFill/>
                    </a:ln>
                  </pic:spPr>
                </pic:pic>
              </a:graphicData>
            </a:graphic>
          </wp:inline>
        </w:drawing>
      </w:r>
    </w:p>
    <w:p w14:paraId="543DE1A8" w14:textId="639E131D" w:rsidR="005D1D06" w:rsidRPr="00A54A50" w:rsidRDefault="00805E11" w:rsidP="00031A84">
      <w:pPr>
        <w:pStyle w:val="FSRHeading5"/>
        <w:rPr>
          <w:color w:val="C45911" w:themeColor="accent2" w:themeShade="BF"/>
        </w:rPr>
      </w:pPr>
      <w:r w:rsidRPr="00A54A50">
        <w:rPr>
          <w:color w:val="C45911" w:themeColor="accent2" w:themeShade="BF"/>
        </w:rPr>
        <w:t>Experience since previous review has been relatively stable</w:t>
      </w:r>
      <w:r w:rsidR="005D1D06" w:rsidRPr="00A54A50">
        <w:rPr>
          <w:rStyle w:val="FootnoteReference"/>
          <w:color w:val="C45911" w:themeColor="accent2" w:themeShade="BF"/>
        </w:rPr>
        <w:footnoteReference w:id="39"/>
      </w:r>
    </w:p>
    <w:p w14:paraId="6506C511" w14:textId="5CCC9D0F" w:rsidR="005D1D06" w:rsidRPr="00172AD5" w:rsidRDefault="00E062F2" w:rsidP="00031A84">
      <w:pPr>
        <w:pStyle w:val="FSRnormal"/>
      </w:pPr>
      <w:r>
        <w:t xml:space="preserve">The </w:t>
      </w:r>
      <w:r w:rsidR="00475322">
        <w:t>Scheme</w:t>
      </w:r>
      <w:r>
        <w:t xml:space="preserve"> population of </w:t>
      </w:r>
      <w:r w:rsidR="005D1D06" w:rsidRPr="00172AD5">
        <w:t>466,619 active participants as at 30 June 2021</w:t>
      </w:r>
      <w:r>
        <w:t xml:space="preserve"> was </w:t>
      </w:r>
      <w:r w:rsidR="005D1D06" w:rsidRPr="00172AD5">
        <w:t xml:space="preserve">0.4% </w:t>
      </w:r>
      <w:r w:rsidR="005D1D06">
        <w:t xml:space="preserve">(or 2,073) </w:t>
      </w:r>
      <w:r w:rsidR="005D1D06" w:rsidRPr="00172AD5">
        <w:t>lower than th</w:t>
      </w:r>
      <w:r>
        <w:t xml:space="preserve">at </w:t>
      </w:r>
      <w:r w:rsidR="005D1D06" w:rsidRPr="00172AD5">
        <w:t xml:space="preserve">expected </w:t>
      </w:r>
      <w:r>
        <w:t>from the previous review</w:t>
      </w:r>
      <w:r w:rsidR="005D1D06" w:rsidRPr="00172AD5">
        <w:t>.</w:t>
      </w:r>
      <w:r w:rsidR="005D1D06" w:rsidRPr="00172AD5">
        <w:rPr>
          <w:vertAlign w:val="superscript"/>
        </w:rPr>
        <w:t xml:space="preserve"> </w:t>
      </w:r>
      <w:r>
        <w:t xml:space="preserve">It </w:t>
      </w:r>
      <w:r w:rsidR="005D1D06" w:rsidRPr="00172AD5">
        <w:t xml:space="preserve">assumed 36,043 additional participants </w:t>
      </w:r>
      <w:r>
        <w:t>would enter</w:t>
      </w:r>
      <w:r w:rsidR="005D1D06" w:rsidRPr="00172AD5">
        <w:t xml:space="preserve"> the Scheme in the six months to 30 June 2021. Actual experience was broadly consistent with this, with </w:t>
      </w:r>
      <w:r>
        <w:t xml:space="preserve">an actual result of </w:t>
      </w:r>
      <w:r w:rsidR="005D1D06" w:rsidRPr="00172AD5">
        <w:t xml:space="preserve">33,970 additional participants in the six months to 30 June 2021 (6% lower </w:t>
      </w:r>
      <w:r w:rsidR="005D1D06">
        <w:t xml:space="preserve">net </w:t>
      </w:r>
      <w:r w:rsidR="005D1D06" w:rsidRPr="00172AD5">
        <w:t>intake than expected).</w:t>
      </w:r>
    </w:p>
    <w:p w14:paraId="4FC3119D" w14:textId="7BD261D9" w:rsidR="005D1D06" w:rsidRPr="008100AC" w:rsidRDefault="00E062F2" w:rsidP="00031A84">
      <w:pPr>
        <w:pStyle w:val="FSRnormal"/>
      </w:pPr>
      <w:r w:rsidRPr="008100AC">
        <w:t>The</w:t>
      </w:r>
      <w:r w:rsidR="005D1D06" w:rsidRPr="008100AC">
        <w:t xml:space="preserve"> comparison </w:t>
      </w:r>
      <w:r w:rsidRPr="008100AC">
        <w:t xml:space="preserve">of actual experience to that expected from the previous review </w:t>
      </w:r>
      <w:r w:rsidR="005D1D06" w:rsidRPr="008100AC">
        <w:t xml:space="preserve">is shown in </w:t>
      </w:r>
      <w:r w:rsidR="005D1D06" w:rsidRPr="00A54A50">
        <w:rPr>
          <w:u w:val="single"/>
        </w:rPr>
        <w:fldChar w:fldCharType="begin"/>
      </w:r>
      <w:r w:rsidR="005D1D06" w:rsidRPr="00A54A50">
        <w:rPr>
          <w:u w:val="single"/>
        </w:rPr>
        <w:instrText xml:space="preserve"> REF _Ref74329496 \h  \* MERGEFORMAT </w:instrText>
      </w:r>
      <w:r w:rsidR="005D1D06" w:rsidRPr="00A54A50">
        <w:rPr>
          <w:u w:val="single"/>
        </w:rPr>
      </w:r>
      <w:r w:rsidR="005D1D06" w:rsidRPr="00A54A50">
        <w:rPr>
          <w:u w:val="single"/>
        </w:rPr>
        <w:fldChar w:fldCharType="separate"/>
      </w:r>
      <w:r w:rsidR="00E50032" w:rsidRPr="00E50032">
        <w:rPr>
          <w:u w:val="single"/>
        </w:rPr>
        <w:t>Figure 14</w:t>
      </w:r>
      <w:r w:rsidR="005D1D06" w:rsidRPr="00A54A50">
        <w:rPr>
          <w:u w:val="single"/>
        </w:rPr>
        <w:fldChar w:fldCharType="end"/>
      </w:r>
      <w:r w:rsidR="005D1D06" w:rsidRPr="008100AC">
        <w:t xml:space="preserve">, </w:t>
      </w:r>
      <w:r w:rsidR="005D1D06" w:rsidRPr="00A54A50">
        <w:rPr>
          <w:u w:val="single"/>
        </w:rPr>
        <w:fldChar w:fldCharType="begin"/>
      </w:r>
      <w:r w:rsidR="005D1D06" w:rsidRPr="00A54A50">
        <w:rPr>
          <w:u w:val="single"/>
        </w:rPr>
        <w:instrText xml:space="preserve"> REF _Ref75865277 \h  \* MERGEFORMAT </w:instrText>
      </w:r>
      <w:r w:rsidR="005D1D06" w:rsidRPr="00A54A50">
        <w:rPr>
          <w:u w:val="single"/>
        </w:rPr>
      </w:r>
      <w:r w:rsidR="005D1D06" w:rsidRPr="00A54A50">
        <w:rPr>
          <w:u w:val="single"/>
        </w:rPr>
        <w:fldChar w:fldCharType="separate"/>
      </w:r>
      <w:r w:rsidR="00E50032" w:rsidRPr="00E50032">
        <w:rPr>
          <w:u w:val="single"/>
        </w:rPr>
        <w:t xml:space="preserve">Figure </w:t>
      </w:r>
      <w:r w:rsidR="00E50032" w:rsidRPr="00E50032">
        <w:rPr>
          <w:noProof/>
          <w:u w:val="single"/>
        </w:rPr>
        <w:t>15</w:t>
      </w:r>
      <w:r w:rsidR="005D1D06" w:rsidRPr="00A54A50">
        <w:rPr>
          <w:u w:val="single"/>
        </w:rPr>
        <w:fldChar w:fldCharType="end"/>
      </w:r>
      <w:r w:rsidR="005D1D06" w:rsidRPr="008100AC">
        <w:t xml:space="preserve">, </w:t>
      </w:r>
      <w:r w:rsidR="005D1D06" w:rsidRPr="00A54A50">
        <w:rPr>
          <w:u w:val="single"/>
        </w:rPr>
        <w:fldChar w:fldCharType="begin"/>
      </w:r>
      <w:r w:rsidR="005D1D06" w:rsidRPr="00A54A50">
        <w:rPr>
          <w:u w:val="single"/>
        </w:rPr>
        <w:instrText xml:space="preserve"> REF _Ref75865283 \h  \* MERGEFORMAT </w:instrText>
      </w:r>
      <w:r w:rsidR="005D1D06" w:rsidRPr="00A54A50">
        <w:rPr>
          <w:u w:val="single"/>
        </w:rPr>
      </w:r>
      <w:r w:rsidR="005D1D06" w:rsidRPr="00A54A50">
        <w:rPr>
          <w:u w:val="single"/>
        </w:rPr>
        <w:fldChar w:fldCharType="separate"/>
      </w:r>
      <w:proofErr w:type="gramStart"/>
      <w:r w:rsidR="00E50032" w:rsidRPr="00E50032">
        <w:rPr>
          <w:u w:val="single"/>
        </w:rPr>
        <w:t>Figure</w:t>
      </w:r>
      <w:proofErr w:type="gramEnd"/>
      <w:r w:rsidR="00E50032" w:rsidRPr="00E50032">
        <w:rPr>
          <w:u w:val="single"/>
        </w:rPr>
        <w:t xml:space="preserve"> 16</w:t>
      </w:r>
      <w:r w:rsidR="005D1D06" w:rsidRPr="00A54A50">
        <w:rPr>
          <w:u w:val="single"/>
        </w:rPr>
        <w:fldChar w:fldCharType="end"/>
      </w:r>
      <w:r w:rsidR="005D1D06" w:rsidRPr="008100AC">
        <w:t xml:space="preserve"> by key participant characteristics (SIL status, age band, disability type and level of function</w:t>
      </w:r>
      <w:r w:rsidRPr="008100AC">
        <w:t xml:space="preserve"> respectively</w:t>
      </w:r>
      <w:r w:rsidR="005D1D06" w:rsidRPr="008100AC">
        <w:t>).</w:t>
      </w:r>
    </w:p>
    <w:p w14:paraId="09879838" w14:textId="0644E4B2" w:rsidR="005D1D06" w:rsidRDefault="008100AC" w:rsidP="00031A84">
      <w:pPr>
        <w:pStyle w:val="FSRnormal"/>
      </w:pPr>
      <w:r w:rsidRPr="00A54A50">
        <w:rPr>
          <w:u w:val="single"/>
        </w:rPr>
        <w:lastRenderedPageBreak/>
        <w:fldChar w:fldCharType="begin"/>
      </w:r>
      <w:r w:rsidRPr="00A54A50">
        <w:rPr>
          <w:u w:val="single"/>
        </w:rPr>
        <w:instrText xml:space="preserve"> REF _Ref74329496 \h  \* MERGEFORMAT </w:instrText>
      </w:r>
      <w:r w:rsidRPr="00A54A50">
        <w:rPr>
          <w:u w:val="single"/>
        </w:rPr>
      </w:r>
      <w:r w:rsidRPr="00A54A50">
        <w:rPr>
          <w:u w:val="single"/>
        </w:rPr>
        <w:fldChar w:fldCharType="separate"/>
      </w:r>
      <w:r w:rsidR="00E50032" w:rsidRPr="00E50032">
        <w:rPr>
          <w:u w:val="single"/>
        </w:rPr>
        <w:t>Figure 14</w:t>
      </w:r>
      <w:r w:rsidRPr="00A54A50">
        <w:rPr>
          <w:u w:val="single"/>
        </w:rPr>
        <w:fldChar w:fldCharType="end"/>
      </w:r>
      <w:r>
        <w:t xml:space="preserve"> </w:t>
      </w:r>
      <w:r w:rsidR="005D1D06">
        <w:t>illustrates that t</w:t>
      </w:r>
      <w:r w:rsidR="005D1D06" w:rsidRPr="00172AD5">
        <w:t xml:space="preserve">here were </w:t>
      </w:r>
      <w:r w:rsidR="00E062F2">
        <w:t xml:space="preserve">fewer </w:t>
      </w:r>
      <w:r w:rsidR="005D1D06" w:rsidRPr="00172AD5">
        <w:t>(</w:t>
      </w:r>
      <w:r w:rsidR="005D1D06">
        <w:t>3%</w:t>
      </w:r>
      <w:r w:rsidR="005D1D06" w:rsidRPr="00172AD5">
        <w:t>) than expected participants in SIL as at 30 June 2021.</w:t>
      </w:r>
      <w:r w:rsidR="005D1D06">
        <w:t xml:space="preserve"> </w:t>
      </w:r>
    </w:p>
    <w:p w14:paraId="31E74A33" w14:textId="4997ADE1" w:rsidR="005D1D06" w:rsidRDefault="0014072D" w:rsidP="00031A84">
      <w:pPr>
        <w:pStyle w:val="FSRnormal"/>
      </w:pPr>
      <w:r w:rsidRPr="00A54A50">
        <w:rPr>
          <w:u w:val="single"/>
        </w:rPr>
        <w:fldChar w:fldCharType="begin"/>
      </w:r>
      <w:r w:rsidRPr="00A54A50">
        <w:rPr>
          <w:u w:val="single"/>
        </w:rPr>
        <w:instrText xml:space="preserve"> REF _Ref75865277 \h  \* MERGEFORMAT </w:instrText>
      </w:r>
      <w:r w:rsidRPr="00A54A50">
        <w:rPr>
          <w:u w:val="single"/>
        </w:rPr>
      </w:r>
      <w:r w:rsidRPr="00A54A50">
        <w:rPr>
          <w:u w:val="single"/>
        </w:rPr>
        <w:fldChar w:fldCharType="separate"/>
      </w:r>
      <w:r w:rsidR="00E50032" w:rsidRPr="00E50032">
        <w:rPr>
          <w:u w:val="single"/>
        </w:rPr>
        <w:t xml:space="preserve">Figure </w:t>
      </w:r>
      <w:r w:rsidR="00E50032" w:rsidRPr="00E50032">
        <w:rPr>
          <w:noProof/>
          <w:u w:val="single"/>
        </w:rPr>
        <w:t>15</w:t>
      </w:r>
      <w:r w:rsidRPr="00A54A50">
        <w:rPr>
          <w:u w:val="single"/>
        </w:rPr>
        <w:fldChar w:fldCharType="end"/>
      </w:r>
      <w:r>
        <w:t xml:space="preserve"> </w:t>
      </w:r>
      <w:r w:rsidRPr="00172AD5">
        <w:t>illustrates that actual participant numbers across most age groups were in</w:t>
      </w:r>
      <w:r>
        <w:t xml:space="preserve"> </w:t>
      </w:r>
      <w:r w:rsidRPr="00172AD5">
        <w:t xml:space="preserve">line with expected projections. The biggest differences </w:t>
      </w:r>
      <w:r>
        <w:t xml:space="preserve">were in the cohort of </w:t>
      </w:r>
      <w:r w:rsidRPr="00172AD5">
        <w:t>children aged 0 to 6</w:t>
      </w:r>
      <w:r>
        <w:t xml:space="preserve">, where there were </w:t>
      </w:r>
      <w:r w:rsidRPr="00172AD5">
        <w:t>2,050 fewer participants (2.8% lower than expected), followed by 7 to 14 years olds where there were 1,106 more participants (0.9% higher than expected). Intake of children aged 0 to 6 continues to remain significantly higher than the original Productivity Commission (PC) assumptions.</w:t>
      </w:r>
      <w:r w:rsidR="005D1D06" w:rsidRPr="00172AD5">
        <w:t xml:space="preserve"> </w:t>
      </w:r>
    </w:p>
    <w:p w14:paraId="111666AA" w14:textId="4B6EFB17" w:rsidR="005D1D06" w:rsidRPr="00172AD5" w:rsidRDefault="008100AC" w:rsidP="008100AC">
      <w:pPr>
        <w:pStyle w:val="FSRnormal"/>
      </w:pPr>
      <w:r w:rsidRPr="00A54A50">
        <w:rPr>
          <w:u w:val="single"/>
        </w:rPr>
        <w:fldChar w:fldCharType="begin"/>
      </w:r>
      <w:r w:rsidRPr="00A54A50">
        <w:rPr>
          <w:u w:val="single"/>
        </w:rPr>
        <w:instrText xml:space="preserve"> REF _Ref75865283 \h  \* MERGEFORMAT </w:instrText>
      </w:r>
      <w:r w:rsidRPr="00A54A50">
        <w:rPr>
          <w:u w:val="single"/>
        </w:rPr>
      </w:r>
      <w:r w:rsidRPr="00A54A50">
        <w:rPr>
          <w:u w:val="single"/>
        </w:rPr>
        <w:fldChar w:fldCharType="separate"/>
      </w:r>
      <w:r w:rsidR="00E50032" w:rsidRPr="00E50032">
        <w:rPr>
          <w:u w:val="single"/>
        </w:rPr>
        <w:t>Figure 16</w:t>
      </w:r>
      <w:r w:rsidRPr="00A54A50">
        <w:rPr>
          <w:u w:val="single"/>
        </w:rPr>
        <w:fldChar w:fldCharType="end"/>
      </w:r>
      <w:r>
        <w:t xml:space="preserve"> </w:t>
      </w:r>
      <w:r w:rsidR="005D1D06">
        <w:t xml:space="preserve">illustrate that </w:t>
      </w:r>
      <w:r w:rsidR="005D1D06" w:rsidRPr="00172AD5">
        <w:t xml:space="preserve">actual participants across most disability groups were in line with expected projections. The most notable deviations arose from autism and developmental delay disability groups. There were 5,021 (3.4%) </w:t>
      </w:r>
      <w:r w:rsidR="001D645C">
        <w:t xml:space="preserve">more </w:t>
      </w:r>
      <w:r w:rsidR="005D1D06" w:rsidRPr="00172AD5">
        <w:t xml:space="preserve">participants with autism </w:t>
      </w:r>
      <w:r w:rsidR="001D645C">
        <w:t xml:space="preserve">than expected </w:t>
      </w:r>
      <w:r w:rsidR="005D1D06" w:rsidRPr="00172AD5">
        <w:t xml:space="preserve">who entered the </w:t>
      </w:r>
      <w:r w:rsidR="00475322">
        <w:t>Scheme</w:t>
      </w:r>
      <w:r w:rsidR="005D1D06" w:rsidRPr="00172AD5">
        <w:t>. This was offset by 6,031</w:t>
      </w:r>
      <w:r w:rsidR="001D645C">
        <w:t xml:space="preserve"> </w:t>
      </w:r>
      <w:r w:rsidR="005D1D06" w:rsidRPr="00172AD5">
        <w:t xml:space="preserve">(11.3%) </w:t>
      </w:r>
      <w:r w:rsidR="001D645C">
        <w:t xml:space="preserve">fewer </w:t>
      </w:r>
      <w:r w:rsidR="005D1D06" w:rsidRPr="00172AD5">
        <w:t xml:space="preserve">than expected participants </w:t>
      </w:r>
      <w:r w:rsidR="001D645C">
        <w:t xml:space="preserve">with </w:t>
      </w:r>
      <w:r w:rsidR="005D1D06" w:rsidRPr="00172AD5">
        <w:t>development</w:t>
      </w:r>
      <w:r w:rsidR="001D645C">
        <w:t>al</w:t>
      </w:r>
      <w:r w:rsidR="005D1D06" w:rsidRPr="00172AD5">
        <w:t xml:space="preserve"> delay. </w:t>
      </w:r>
    </w:p>
    <w:p w14:paraId="236D3CF5" w14:textId="01AA1CD0" w:rsidR="005D1D06" w:rsidRPr="00172AD5" w:rsidRDefault="005D1D06" w:rsidP="008100AC">
      <w:pPr>
        <w:pStyle w:val="FSRnormal"/>
      </w:pPr>
      <w:r w:rsidRPr="00172AD5">
        <w:t xml:space="preserve">Since the introduction of the disability-specific participant pathway for people with psychosocial disability, the proportion of participants with psychosocial disability has been increasing. However, it should be noted that the number of participants with a psychosocial disability </w:t>
      </w:r>
      <w:r w:rsidR="001D645C">
        <w:t xml:space="preserve">remains </w:t>
      </w:r>
      <w:r w:rsidRPr="00172AD5">
        <w:t>lower than the estimate in the 2011 Productivity Commission report.</w:t>
      </w:r>
    </w:p>
    <w:p w14:paraId="0FFF3E1B" w14:textId="51231011" w:rsidR="001C0BAE" w:rsidRPr="008100AC" w:rsidRDefault="001C0BAE" w:rsidP="001C0BAE">
      <w:pPr>
        <w:pStyle w:val="Figures"/>
      </w:pPr>
      <w:bookmarkStart w:id="66" w:name="_Ref74329496"/>
      <w:r w:rsidRPr="008100AC">
        <w:t xml:space="preserve">Figure </w:t>
      </w:r>
      <w:fldSimple w:instr=" SEQ Figure \* ARABIC ">
        <w:r w:rsidR="00E50032">
          <w:rPr>
            <w:noProof/>
          </w:rPr>
          <w:t>14</w:t>
        </w:r>
      </w:fldSimple>
      <w:bookmarkEnd w:id="66"/>
      <w:r w:rsidRPr="008100AC">
        <w:t xml:space="preserve"> Profile of Scheme participants as at 30 June 2021 – actual versus expected by </w:t>
      </w:r>
      <w:r w:rsidR="001A5ECE">
        <w:t>SIL type</w:t>
      </w:r>
    </w:p>
    <w:p w14:paraId="4DFE4D87" w14:textId="178DD8A2" w:rsidR="001C0BAE" w:rsidRPr="008100AC" w:rsidRDefault="00984D79" w:rsidP="001C0BAE">
      <w:pPr>
        <w:pStyle w:val="FSRnormal"/>
      </w:pPr>
      <w:r w:rsidRPr="00984D79">
        <w:rPr>
          <w:noProof/>
          <w:lang w:eastAsia="en-AU"/>
        </w:rPr>
        <w:drawing>
          <wp:inline distT="0" distB="0" distL="0" distR="0" wp14:anchorId="39C2F3AD" wp14:editId="581A87C9">
            <wp:extent cx="5029200" cy="3181350"/>
            <wp:effectExtent l="0" t="0" r="0" b="0"/>
            <wp:docPr id="36" name="Picture 36" descr="Bar graph showing Profile of Scheme participants as at 30 June 2021 – actual versus expected by SIL group. The Actual SIL came in at 25,320 whereas the expected SIL was 26,116. For the Non-SIL the actual was 441,299 and the expected was 44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Bar graph showing Profile of Scheme participants as at 30 June 2021 – actual versus expected by SIL group. The Actual SIL came in at 25,320 whereas the expected SIL was 26,116. For the Non-SIL the actual was 441,299 and the expected was 442,57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9200" cy="3181350"/>
                    </a:xfrm>
                    <a:prstGeom prst="rect">
                      <a:avLst/>
                    </a:prstGeom>
                    <a:noFill/>
                    <a:ln>
                      <a:noFill/>
                    </a:ln>
                  </pic:spPr>
                </pic:pic>
              </a:graphicData>
            </a:graphic>
          </wp:inline>
        </w:drawing>
      </w:r>
    </w:p>
    <w:p w14:paraId="2FF104F8" w14:textId="2279AB8D" w:rsidR="001C0BAE" w:rsidRPr="008100AC" w:rsidRDefault="001C0BAE" w:rsidP="001C0BAE">
      <w:pPr>
        <w:pStyle w:val="Figures"/>
      </w:pPr>
      <w:bookmarkStart w:id="67" w:name="_Ref75865277"/>
      <w:r w:rsidRPr="008100AC">
        <w:lastRenderedPageBreak/>
        <w:t xml:space="preserve">Figure </w:t>
      </w:r>
      <w:fldSimple w:instr=" SEQ Figure \* ARABIC ">
        <w:r w:rsidR="00E50032">
          <w:rPr>
            <w:noProof/>
          </w:rPr>
          <w:t>15</w:t>
        </w:r>
      </w:fldSimple>
      <w:bookmarkEnd w:id="67"/>
      <w:r w:rsidRPr="008100AC">
        <w:t xml:space="preserve"> Profile of Scheme participants as at 30 June 2021 – actual versus expected by age band</w:t>
      </w:r>
    </w:p>
    <w:p w14:paraId="4C58582A" w14:textId="15D82E6F" w:rsidR="001C0BAE" w:rsidRPr="008100AC" w:rsidRDefault="00BC5D5D" w:rsidP="001C0BAE">
      <w:pPr>
        <w:pStyle w:val="FSRnormal"/>
      </w:pPr>
      <w:r w:rsidRPr="00BC5D5D">
        <w:rPr>
          <w:noProof/>
          <w:lang w:eastAsia="en-AU"/>
        </w:rPr>
        <w:drawing>
          <wp:inline distT="0" distB="0" distL="0" distR="0" wp14:anchorId="217A06B5" wp14:editId="6389E9FF">
            <wp:extent cx="4954636" cy="3679545"/>
            <wp:effectExtent l="0" t="0" r="0" b="0"/>
            <wp:docPr id="479" name="Picture 479" descr="Bar chart showing profile of Scheme participants as at 30 June 2021 – actual versus expected by age band. The actual for the age group of 0 to 6 was lower than expected. The Actual for the age group 7 to 14 was higher than expected. For the age group 15-24 the actual was higher than expected, the actual was lower than expected for the age group 25 to 64 and slightly lower than expected for the age group of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Bar chart showing profile of Scheme participants as at 30 June 2021 – actual versus expected by age band. The actual for the age group of 0 to 6 was lower than expected. The Actual for the age group 7 to 14 was higher than expected. For the age group 15-24 the actual was higher than expected, the actual was lower than expected for the age group 25 to 64 and slightly lower than expected for the age group of 65+"/>
                    <pic:cNvPicPr/>
                  </pic:nvPicPr>
                  <pic:blipFill>
                    <a:blip r:embed="rId33"/>
                    <a:stretch>
                      <a:fillRect/>
                    </a:stretch>
                  </pic:blipFill>
                  <pic:spPr>
                    <a:xfrm>
                      <a:off x="0" y="0"/>
                      <a:ext cx="4962946" cy="3685717"/>
                    </a:xfrm>
                    <a:prstGeom prst="rect">
                      <a:avLst/>
                    </a:prstGeom>
                  </pic:spPr>
                </pic:pic>
              </a:graphicData>
            </a:graphic>
          </wp:inline>
        </w:drawing>
      </w:r>
    </w:p>
    <w:p w14:paraId="743B1454" w14:textId="77777777" w:rsidR="001C0BAE" w:rsidRPr="00172AD5" w:rsidRDefault="001C0BAE" w:rsidP="001C0BAE">
      <w:pPr>
        <w:pStyle w:val="FSRnormal"/>
      </w:pPr>
    </w:p>
    <w:p w14:paraId="1987C8E3" w14:textId="77777777" w:rsidR="001C0BAE" w:rsidRPr="00172AD5" w:rsidRDefault="001C0BAE" w:rsidP="001C0BAE">
      <w:pPr>
        <w:pStyle w:val="FSRnormal"/>
      </w:pPr>
    </w:p>
    <w:p w14:paraId="09327560" w14:textId="09C686A5" w:rsidR="001C0BAE" w:rsidRPr="008100AC" w:rsidRDefault="001C0BAE" w:rsidP="001C0BAE">
      <w:pPr>
        <w:pStyle w:val="Figures"/>
      </w:pPr>
      <w:bookmarkStart w:id="68" w:name="_Ref75865283"/>
      <w:r w:rsidRPr="008100AC">
        <w:lastRenderedPageBreak/>
        <w:t xml:space="preserve">Figure </w:t>
      </w:r>
      <w:fldSimple w:instr=" SEQ Figure \* ARABIC ">
        <w:r w:rsidR="00E50032">
          <w:rPr>
            <w:noProof/>
          </w:rPr>
          <w:t>16</w:t>
        </w:r>
      </w:fldSimple>
      <w:bookmarkEnd w:id="68"/>
      <w:r w:rsidRPr="008100AC">
        <w:t xml:space="preserve"> Profile of Scheme participants as at 30 June 2021 – actual versus expected by disability group</w:t>
      </w:r>
    </w:p>
    <w:p w14:paraId="6FCD8D3C" w14:textId="007B4D29" w:rsidR="001C0BAE" w:rsidRPr="008100AC" w:rsidRDefault="00BC5D5D" w:rsidP="001C0BAE">
      <w:pPr>
        <w:pStyle w:val="FSRnormal"/>
      </w:pPr>
      <w:r w:rsidRPr="00BC5D5D">
        <w:rPr>
          <w:noProof/>
          <w:lang w:eastAsia="en-AU"/>
        </w:rPr>
        <w:drawing>
          <wp:inline distT="0" distB="0" distL="0" distR="0" wp14:anchorId="154BDE43" wp14:editId="1823D972">
            <wp:extent cx="5289178" cy="4308653"/>
            <wp:effectExtent l="0" t="0" r="6985" b="0"/>
            <wp:docPr id="237" name="Picture 237" descr="Bar chart showing actual and expected participant numbers by disability category at 30 June 2021. The actual numbers were higher for Autism, Psychosocial disability, where the expected numbers were higher for developmental delay, intellectual disability, sensory disabilities and other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Bar chart showing actual and expected participant numbers by disability category at 30 June 2021. The actual numbers were higher for Autism, Psychosocial disability, where the expected numbers were higher for developmental delay, intellectual disability, sensory disabilities and other disabilities"/>
                    <pic:cNvPicPr/>
                  </pic:nvPicPr>
                  <pic:blipFill>
                    <a:blip r:embed="rId34"/>
                    <a:stretch>
                      <a:fillRect/>
                    </a:stretch>
                  </pic:blipFill>
                  <pic:spPr>
                    <a:xfrm>
                      <a:off x="0" y="0"/>
                      <a:ext cx="5290803" cy="4309977"/>
                    </a:xfrm>
                    <a:prstGeom prst="rect">
                      <a:avLst/>
                    </a:prstGeom>
                  </pic:spPr>
                </pic:pic>
              </a:graphicData>
            </a:graphic>
          </wp:inline>
        </w:drawing>
      </w:r>
    </w:p>
    <w:p w14:paraId="71CFBFB9" w14:textId="6E2AF5A7" w:rsidR="005D1D06" w:rsidRPr="00B259E5" w:rsidRDefault="00805E11" w:rsidP="00805E11">
      <w:pPr>
        <w:pStyle w:val="FSRHeading5"/>
        <w:rPr>
          <w:color w:val="C45911" w:themeColor="accent2" w:themeShade="BF"/>
        </w:rPr>
      </w:pPr>
      <w:r w:rsidRPr="00B259E5">
        <w:rPr>
          <w:color w:val="C45911" w:themeColor="accent2" w:themeShade="BF"/>
        </w:rPr>
        <w:t xml:space="preserve">The distribution of </w:t>
      </w:r>
      <w:r w:rsidR="008D0FEC" w:rsidRPr="00B259E5">
        <w:rPr>
          <w:color w:val="C45911" w:themeColor="accent2" w:themeShade="BF"/>
        </w:rPr>
        <w:t xml:space="preserve">the reported </w:t>
      </w:r>
      <w:r w:rsidRPr="00B259E5">
        <w:rPr>
          <w:color w:val="C45911" w:themeColor="accent2" w:themeShade="BF"/>
        </w:rPr>
        <w:t>l</w:t>
      </w:r>
      <w:r w:rsidR="005D1D06" w:rsidRPr="00B259E5">
        <w:rPr>
          <w:color w:val="C45911" w:themeColor="accent2" w:themeShade="BF"/>
        </w:rPr>
        <w:t>evel of function</w:t>
      </w:r>
      <w:r w:rsidRPr="00B259E5">
        <w:rPr>
          <w:color w:val="C45911" w:themeColor="accent2" w:themeShade="BF"/>
        </w:rPr>
        <w:t xml:space="preserve"> continues to shift</w:t>
      </w:r>
    </w:p>
    <w:p w14:paraId="49FB22C7" w14:textId="1D84AB2A" w:rsidR="005D1D06" w:rsidRPr="00172AD5" w:rsidRDefault="005D1D06" w:rsidP="008100AC">
      <w:pPr>
        <w:pStyle w:val="FSRnormal"/>
      </w:pPr>
      <w:r>
        <w:t xml:space="preserve">A persistent shift in the </w:t>
      </w:r>
      <w:r w:rsidR="008D0FEC">
        <w:t xml:space="preserve">reported </w:t>
      </w:r>
      <w:r>
        <w:t xml:space="preserve">distribution of function is observed within the participant population. </w:t>
      </w:r>
      <w:r w:rsidRPr="00172AD5">
        <w:t xml:space="preserve">This can be seen in </w:t>
      </w:r>
      <w:r w:rsidRPr="00172AD5">
        <w:fldChar w:fldCharType="begin"/>
      </w:r>
      <w:r w:rsidRPr="00172AD5">
        <w:instrText xml:space="preserve"> REF _Ref75862110 \h  \* MERGEFORMAT </w:instrText>
      </w:r>
      <w:r w:rsidRPr="00172AD5">
        <w:fldChar w:fldCharType="separate"/>
      </w:r>
      <w:r w:rsidR="00E50032" w:rsidRPr="00172AD5">
        <w:t xml:space="preserve">Figure </w:t>
      </w:r>
      <w:r w:rsidR="00E50032">
        <w:rPr>
          <w:noProof/>
        </w:rPr>
        <w:t>17</w:t>
      </w:r>
      <w:r w:rsidRPr="00172AD5">
        <w:fldChar w:fldCharType="end"/>
      </w:r>
      <w:r w:rsidRPr="00172AD5">
        <w:t xml:space="preserve"> which </w:t>
      </w:r>
      <w:r w:rsidR="001D645C">
        <w:t xml:space="preserve">shows the </w:t>
      </w:r>
      <w:r w:rsidR="008D0FEC">
        <w:t xml:space="preserve">reported </w:t>
      </w:r>
      <w:r w:rsidR="001D645C">
        <w:t xml:space="preserve">functional distribution </w:t>
      </w:r>
      <w:r w:rsidRPr="00172AD5">
        <w:t>for participants who entered the Scheme prior to 30 June 2017</w:t>
      </w:r>
      <w:r w:rsidR="001D645C">
        <w:t xml:space="preserve">. It indicates that </w:t>
      </w:r>
      <w:r w:rsidRPr="00172AD5">
        <w:t>over time the proportion with a high level of function has decreased, and the proportion</w:t>
      </w:r>
      <w:r w:rsidR="001D645C">
        <w:t>s</w:t>
      </w:r>
      <w:r w:rsidRPr="00172AD5">
        <w:t xml:space="preserve"> with medium and low </w:t>
      </w:r>
      <w:r w:rsidR="001D645C">
        <w:t xml:space="preserve">levels of </w:t>
      </w:r>
      <w:r w:rsidR="008D0FEC">
        <w:t xml:space="preserve">reported </w:t>
      </w:r>
      <w:r w:rsidR="001D645C">
        <w:t>function have</w:t>
      </w:r>
      <w:r w:rsidRPr="00172AD5">
        <w:t xml:space="preserve"> increased. </w:t>
      </w:r>
      <w:r w:rsidR="001D645C">
        <w:t xml:space="preserve">Given the relative lack of </w:t>
      </w:r>
      <w:r w:rsidR="00E97F9F">
        <w:t xml:space="preserve">ability to control the </w:t>
      </w:r>
      <w:r w:rsidR="00515D6E">
        <w:t xml:space="preserve">consistency </w:t>
      </w:r>
      <w:r w:rsidR="00E97F9F">
        <w:t xml:space="preserve">of functional assessments, </w:t>
      </w:r>
      <w:r w:rsidR="001D645C">
        <w:t>it is likely that t</w:t>
      </w:r>
      <w:r w:rsidRPr="00172AD5">
        <w:t xml:space="preserve">his trend reflects inconsistent </w:t>
      </w:r>
      <w:r w:rsidR="001D645C">
        <w:t xml:space="preserve">assessments over time. It has been associated with </w:t>
      </w:r>
      <w:r w:rsidRPr="00172AD5">
        <w:t xml:space="preserve">increasing costs (as </w:t>
      </w:r>
      <w:r w:rsidR="001D645C">
        <w:t xml:space="preserve">participants with lower </w:t>
      </w:r>
      <w:r w:rsidRPr="00172AD5">
        <w:t xml:space="preserve">function </w:t>
      </w:r>
      <w:r w:rsidR="001D645C">
        <w:t xml:space="preserve">on average have higher support packages and hence </w:t>
      </w:r>
      <w:r w:rsidR="00D31577">
        <w:t>average payments</w:t>
      </w:r>
      <w:r w:rsidRPr="00172AD5">
        <w:t xml:space="preserve">). This trend </w:t>
      </w:r>
      <w:r w:rsidR="001D645C">
        <w:t xml:space="preserve">has also been observed </w:t>
      </w:r>
      <w:r w:rsidRPr="00172AD5">
        <w:t>for participants who entered in later years (post 2017).</w:t>
      </w:r>
      <w:r w:rsidR="00440413">
        <w:rPr>
          <w:rStyle w:val="FootnoteReference"/>
        </w:rPr>
        <w:footnoteReference w:id="40"/>
      </w:r>
    </w:p>
    <w:p w14:paraId="42720ED3" w14:textId="34F84013" w:rsidR="005D1D06" w:rsidRPr="00172AD5" w:rsidRDefault="005D1D06" w:rsidP="005D1D06">
      <w:pPr>
        <w:pStyle w:val="Figures"/>
      </w:pPr>
      <w:bookmarkStart w:id="69" w:name="_Ref75862110"/>
      <w:r w:rsidRPr="00172AD5">
        <w:lastRenderedPageBreak/>
        <w:t xml:space="preserve">Figure </w:t>
      </w:r>
      <w:fldSimple w:instr=" SEQ Figure \* ARABIC ">
        <w:r w:rsidR="00E50032">
          <w:rPr>
            <w:noProof/>
          </w:rPr>
          <w:t>17</w:t>
        </w:r>
      </w:fldSimple>
      <w:bookmarkEnd w:id="69"/>
      <w:r w:rsidRPr="00172AD5">
        <w:t xml:space="preserve"> Change in </w:t>
      </w:r>
      <w:r w:rsidR="0099226F">
        <w:t xml:space="preserve">reported </w:t>
      </w:r>
      <w:r w:rsidRPr="00172AD5">
        <w:t>functional distribution from 30 June 2017 to 30 June 2021</w:t>
      </w:r>
      <w:r w:rsidRPr="00172AD5">
        <w:rPr>
          <w:rStyle w:val="FootnoteReference"/>
        </w:rPr>
        <w:footnoteReference w:id="41"/>
      </w:r>
    </w:p>
    <w:p w14:paraId="2CAF8906" w14:textId="77777777" w:rsidR="005D1D06" w:rsidRPr="00172AD5" w:rsidRDefault="005D1D06" w:rsidP="008100AC">
      <w:pPr>
        <w:pStyle w:val="FSRnormal"/>
      </w:pPr>
      <w:r w:rsidRPr="009A0233">
        <w:rPr>
          <w:noProof/>
          <w:lang w:eastAsia="en-AU"/>
        </w:rPr>
        <w:drawing>
          <wp:inline distT="0" distB="0" distL="0" distR="0" wp14:anchorId="75070FBE" wp14:editId="062AC1D4">
            <wp:extent cx="4675505" cy="2727325"/>
            <wp:effectExtent l="0" t="0" r="0" b="0"/>
            <wp:docPr id="247" name="Picture 247" descr="Bar and line graph showing trend of change in functional distribution as described above. Percentage of high level of function has decreased while rates of medium and low function have both incr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Bar and line graph showing trend of change in functional distribution as described above. Percentage of high level of function has decreased while rates of medium and low function have both increas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75505" cy="2727325"/>
                    </a:xfrm>
                    <a:prstGeom prst="rect">
                      <a:avLst/>
                    </a:prstGeom>
                    <a:noFill/>
                    <a:ln>
                      <a:noFill/>
                    </a:ln>
                  </pic:spPr>
                </pic:pic>
              </a:graphicData>
            </a:graphic>
          </wp:inline>
        </w:drawing>
      </w:r>
    </w:p>
    <w:p w14:paraId="652872E2" w14:textId="5FA69F6E" w:rsidR="005D1D06" w:rsidRPr="00B259E5" w:rsidRDefault="00805E11" w:rsidP="008100AC">
      <w:pPr>
        <w:pStyle w:val="FSRHeading5"/>
        <w:rPr>
          <w:color w:val="C45911" w:themeColor="accent2" w:themeShade="BF"/>
        </w:rPr>
      </w:pPr>
      <w:r w:rsidRPr="00B259E5">
        <w:rPr>
          <w:color w:val="C45911" w:themeColor="accent2" w:themeShade="BF"/>
        </w:rPr>
        <w:t>Growth in participants in s</w:t>
      </w:r>
      <w:r w:rsidR="005D1D06" w:rsidRPr="00B259E5">
        <w:rPr>
          <w:color w:val="C45911" w:themeColor="accent2" w:themeShade="BF"/>
        </w:rPr>
        <w:t>upported independent living</w:t>
      </w:r>
      <w:r w:rsidRPr="00B259E5">
        <w:rPr>
          <w:color w:val="C45911" w:themeColor="accent2" w:themeShade="BF"/>
        </w:rPr>
        <w:t xml:space="preserve"> has slowed</w:t>
      </w:r>
    </w:p>
    <w:p w14:paraId="5BCC41C9" w14:textId="77777777" w:rsidR="005D1D06" w:rsidRDefault="005D1D06" w:rsidP="008100AC">
      <w:pPr>
        <w:pStyle w:val="FSRnormal"/>
      </w:pPr>
      <w:bookmarkStart w:id="70" w:name="_Toc76023443"/>
      <w:bookmarkStart w:id="71" w:name="_Toc76029452"/>
      <w:bookmarkStart w:id="72" w:name="_Toc76033012"/>
      <w:bookmarkStart w:id="73" w:name="_Toc76037174"/>
      <w:bookmarkStart w:id="74" w:name="_Toc76040526"/>
      <w:bookmarkStart w:id="75" w:name="_Toc76040557"/>
      <w:bookmarkStart w:id="76" w:name="_Toc76045190"/>
      <w:bookmarkStart w:id="77" w:name="_Toc76045380"/>
      <w:bookmarkStart w:id="78" w:name="_Toc76051627"/>
      <w:bookmarkStart w:id="79" w:name="_Toc76023444"/>
      <w:bookmarkStart w:id="80" w:name="_Toc76029453"/>
      <w:bookmarkStart w:id="81" w:name="_Toc76033013"/>
      <w:bookmarkStart w:id="82" w:name="_Toc76037175"/>
      <w:bookmarkStart w:id="83" w:name="_Toc76040527"/>
      <w:bookmarkStart w:id="84" w:name="_Toc76040558"/>
      <w:bookmarkStart w:id="85" w:name="_Toc76045191"/>
      <w:bookmarkStart w:id="86" w:name="_Toc76045381"/>
      <w:bookmarkStart w:id="87" w:name="_Toc76051628"/>
      <w:bookmarkStart w:id="88" w:name="_Toc76023445"/>
      <w:bookmarkStart w:id="89" w:name="_Toc76029454"/>
      <w:bookmarkStart w:id="90" w:name="_Toc76033014"/>
      <w:bookmarkStart w:id="91" w:name="_Toc76037176"/>
      <w:bookmarkStart w:id="92" w:name="_Toc76040528"/>
      <w:bookmarkStart w:id="93" w:name="_Toc76040559"/>
      <w:bookmarkStart w:id="94" w:name="_Toc76045192"/>
      <w:bookmarkStart w:id="95" w:name="_Toc76045382"/>
      <w:bookmarkStart w:id="96" w:name="_Toc7605162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172AD5">
        <w:t>Overall, approximately 5.4% of Scheme participants currently have SIL arrangements, an increase of 1,201 participants over the last 12 months. The increasing number of participants in SIL is mainly due to existing participants moving into SIL and, to a lesser extent, new entrants with SIL arrangements in place transferring from existing programs into the Scheme.</w:t>
      </w:r>
    </w:p>
    <w:p w14:paraId="5B02537B" w14:textId="4ACF7913" w:rsidR="005D1D06" w:rsidRDefault="005D1D06" w:rsidP="008100AC">
      <w:pPr>
        <w:pStyle w:val="FSRnormal"/>
      </w:pPr>
      <w:r w:rsidRPr="00172AD5">
        <w:t>However, the proportion of Scheme participants with SIL arrangements continue</w:t>
      </w:r>
      <w:r w:rsidR="00095695">
        <w:t>s</w:t>
      </w:r>
      <w:r w:rsidRPr="00172AD5">
        <w:t xml:space="preserve"> to decrease over time </w:t>
      </w:r>
      <w:r w:rsidR="000E6147">
        <w:t>(</w:t>
      </w:r>
      <w:r>
        <w:fldChar w:fldCharType="begin"/>
      </w:r>
      <w:r>
        <w:instrText xml:space="preserve"> REF _Ref79951227 \h </w:instrText>
      </w:r>
      <w:r w:rsidR="008100AC">
        <w:instrText xml:space="preserve"> \* MERGEFORMAT </w:instrText>
      </w:r>
      <w:r>
        <w:fldChar w:fldCharType="separate"/>
      </w:r>
      <w:r w:rsidR="00E50032" w:rsidRPr="00172AD5">
        <w:t xml:space="preserve">Figure </w:t>
      </w:r>
      <w:r w:rsidR="00E50032">
        <w:rPr>
          <w:noProof/>
        </w:rPr>
        <w:t>18</w:t>
      </w:r>
      <w:r>
        <w:fldChar w:fldCharType="end"/>
      </w:r>
      <w:r w:rsidR="000E6147">
        <w:t>)</w:t>
      </w:r>
      <w:r>
        <w:t xml:space="preserve">, </w:t>
      </w:r>
      <w:r w:rsidRPr="00172AD5">
        <w:t>as</w:t>
      </w:r>
      <w:r w:rsidR="00FE41C8">
        <w:t xml:space="preserve"> the growth in SIL participant numbers is lower than the growth </w:t>
      </w:r>
      <w:r w:rsidR="00E47665">
        <w:t xml:space="preserve">in </w:t>
      </w:r>
      <w:r w:rsidR="00FE41C8">
        <w:t>total participant numbers</w:t>
      </w:r>
      <w:r w:rsidRPr="00172AD5">
        <w:t xml:space="preserve">. This can be </w:t>
      </w:r>
      <w:r>
        <w:t xml:space="preserve">also be </w:t>
      </w:r>
      <w:r w:rsidRPr="00172AD5">
        <w:t xml:space="preserve">seen </w:t>
      </w:r>
      <w:r>
        <w:t xml:space="preserve">below </w:t>
      </w:r>
      <w:r w:rsidRPr="00172AD5">
        <w:t xml:space="preserve">in </w:t>
      </w:r>
      <w:r>
        <w:fldChar w:fldCharType="begin"/>
      </w:r>
      <w:r>
        <w:instrText xml:space="preserve"> REF _Ref79951248 \h </w:instrText>
      </w:r>
      <w:r w:rsidR="008100AC">
        <w:instrText xml:space="preserve"> \* MERGEFORMAT </w:instrText>
      </w:r>
      <w:r>
        <w:fldChar w:fldCharType="separate"/>
      </w:r>
      <w:r w:rsidR="00E50032" w:rsidRPr="00172AD5">
        <w:t xml:space="preserve">Figure </w:t>
      </w:r>
      <w:r w:rsidR="00E50032">
        <w:rPr>
          <w:noProof/>
        </w:rPr>
        <w:t>19</w:t>
      </w:r>
      <w:r>
        <w:fldChar w:fldCharType="end"/>
      </w:r>
      <w:r>
        <w:t xml:space="preserve"> which shows the split of new participants </w:t>
      </w:r>
      <w:r w:rsidR="0036120B">
        <w:t xml:space="preserve">between those new to disability supports, and those who transitioned from State/Territory and Commonwealth </w:t>
      </w:r>
      <w:r w:rsidR="0036120B" w:rsidRPr="00172AD5">
        <w:t>programs</w:t>
      </w:r>
      <w:r w:rsidR="0036120B">
        <w:t>.</w:t>
      </w:r>
      <w:r w:rsidR="0036120B" w:rsidRPr="00172AD5">
        <w:t xml:space="preserve"> </w:t>
      </w:r>
      <w:r w:rsidRPr="00172AD5">
        <w:t xml:space="preserve">This gradual change in mix </w:t>
      </w:r>
      <w:r w:rsidR="0036120B">
        <w:t xml:space="preserve">reduces </w:t>
      </w:r>
      <w:r w:rsidRPr="00172AD5">
        <w:t xml:space="preserve">the </w:t>
      </w:r>
      <w:r w:rsidR="0036120B">
        <w:t xml:space="preserve">overall (Scheme level) </w:t>
      </w:r>
      <w:r w:rsidRPr="00172AD5">
        <w:t xml:space="preserve">average </w:t>
      </w:r>
      <w:r w:rsidR="00180C52">
        <w:t>payment per</w:t>
      </w:r>
      <w:r w:rsidRPr="00172AD5">
        <w:t xml:space="preserve"> participant</w:t>
      </w:r>
      <w:r w:rsidR="00440413">
        <w:t xml:space="preserve"> as the new participants have a lower cost, on average, than existing participants</w:t>
      </w:r>
      <w:r w:rsidRPr="00172AD5">
        <w:t>.</w:t>
      </w:r>
    </w:p>
    <w:p w14:paraId="03498747" w14:textId="195743DA" w:rsidR="005D1D06" w:rsidRPr="00172AD5" w:rsidRDefault="005D1D06" w:rsidP="005D1D06">
      <w:pPr>
        <w:pStyle w:val="Figures"/>
      </w:pPr>
      <w:bookmarkStart w:id="97" w:name="_Ref79951227"/>
      <w:r w:rsidRPr="00172AD5">
        <w:lastRenderedPageBreak/>
        <w:t xml:space="preserve">Figure </w:t>
      </w:r>
      <w:fldSimple w:instr=" SEQ Figure \* ARABIC ">
        <w:r w:rsidR="00E50032">
          <w:rPr>
            <w:noProof/>
          </w:rPr>
          <w:t>18</w:t>
        </w:r>
      </w:fldSimple>
      <w:bookmarkEnd w:id="97"/>
      <w:r w:rsidRPr="00172AD5">
        <w:t xml:space="preserve"> Active participants in the Scheme by quarter over the past 3 years, split by </w:t>
      </w:r>
      <w:r w:rsidR="001A5ECE">
        <w:t>SIL type</w:t>
      </w:r>
    </w:p>
    <w:p w14:paraId="01FE2A6E" w14:textId="250508EE" w:rsidR="005D1D06" w:rsidRPr="00172AD5" w:rsidRDefault="005D1D06" w:rsidP="008100AC">
      <w:pPr>
        <w:pStyle w:val="FSRnormal"/>
      </w:pPr>
      <w:r w:rsidRPr="00B603A1">
        <w:rPr>
          <w:noProof/>
          <w:lang w:eastAsia="en-AU"/>
        </w:rPr>
        <w:drawing>
          <wp:inline distT="0" distB="0" distL="0" distR="0" wp14:anchorId="67F9FE93" wp14:editId="526EEA01">
            <wp:extent cx="5731510" cy="2834492"/>
            <wp:effectExtent l="0" t="0" r="2540" b="4445"/>
            <wp:docPr id="248" name="Picture 248" descr="Bar and line graph showing active participants by SIL and Non-SIL over time.  Non-SIL participants made up 92.7% of the total participants at the end of June 2018, 92.9% of the total participants at the end of September 2018, 92.6% of the total participants at the end of December 2018, for 2019 this gradually increased to 93.4% of total participants,  94.3% of total participants at the end of December 2020 and at 94.6% of total participants at the end of June 2021. Active participant numbers have steadily increased each quarter from June 2018 at 172,333 to 466,619 at  30 Jun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Bar and line graph showing active participants by SIL and Non-SIL over time.  Non-SIL participants made up 92.7% of the total participants at the end of June 2018, 92.9% of the total participants at the end of September 2018, 92.6% of the total participants at the end of December 2018, for 2019 this gradually increased to 93.4% of total participants,  94.3% of total participants at the end of December 2020 and at 94.6% of total participants at the end of June 2021. Active participant numbers have steadily increased each quarter from June 2018 at 172,333 to 466,619 at  30 June 20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2834492"/>
                    </a:xfrm>
                    <a:prstGeom prst="rect">
                      <a:avLst/>
                    </a:prstGeom>
                    <a:noFill/>
                    <a:ln>
                      <a:noFill/>
                    </a:ln>
                  </pic:spPr>
                </pic:pic>
              </a:graphicData>
            </a:graphic>
          </wp:inline>
        </w:drawing>
      </w:r>
    </w:p>
    <w:p w14:paraId="0EAE8080" w14:textId="0D560D42" w:rsidR="005D1D06" w:rsidRPr="00172AD5" w:rsidRDefault="005D1D06" w:rsidP="005D1D06">
      <w:pPr>
        <w:pStyle w:val="Figures"/>
      </w:pPr>
      <w:bookmarkStart w:id="98" w:name="_Ref79951248"/>
      <w:bookmarkStart w:id="99" w:name="_Ref79424429"/>
      <w:r w:rsidRPr="00172AD5">
        <w:t xml:space="preserve">Figure </w:t>
      </w:r>
      <w:fldSimple w:instr=" SEQ Figure \* ARABIC ">
        <w:r w:rsidR="00E50032">
          <w:rPr>
            <w:noProof/>
          </w:rPr>
          <w:t>19</w:t>
        </w:r>
      </w:fldSimple>
      <w:bookmarkEnd w:id="98"/>
      <w:r w:rsidRPr="00172AD5">
        <w:t xml:space="preserve"> SIL participants intake in the Scheme by quarter over the past 3 years, split by access entry group</w:t>
      </w:r>
      <w:r w:rsidRPr="00172AD5">
        <w:rPr>
          <w:rStyle w:val="FootnoteReference"/>
        </w:rPr>
        <w:footnoteReference w:id="42"/>
      </w:r>
      <w:bookmarkEnd w:id="99"/>
    </w:p>
    <w:p w14:paraId="57846D5E" w14:textId="77777777" w:rsidR="005D1D06" w:rsidRPr="00172AD5" w:rsidRDefault="005D1D06" w:rsidP="008100AC">
      <w:pPr>
        <w:pStyle w:val="FSRnormal"/>
      </w:pPr>
      <w:r w:rsidRPr="00B603A1">
        <w:rPr>
          <w:noProof/>
          <w:lang w:eastAsia="en-AU"/>
        </w:rPr>
        <w:drawing>
          <wp:inline distT="0" distB="0" distL="0" distR="0" wp14:anchorId="5DD03AD6" wp14:editId="03F7D7ED">
            <wp:extent cx="5731510" cy="2899965"/>
            <wp:effectExtent l="0" t="0" r="2540" b="0"/>
            <wp:docPr id="249" name="Picture 249" descr="Bar graph showing SIL participants intake in the Scheme by quarter over the past 3 years, split by access entry group, the entry groups are New to disability support, State and Commonwealth and Combined, The numbers for new to Disability support has increased from 74 in September 2018 to 291 in June 2020 with a slight dip in the numbers occurring in March 2019 and September 2019, State and Commonwealth numbers are quite varied and at September 2018 were at 1,362, for December 2018, these were at 2,855, March 2019 2,449, June 2019 1,723, September 2019 602, December 2019 623, March 2020 565, June 2020 1,277. The combined numbers are also varied, coming in at 282 for September 2020, 351 at December 2020, 285 in March 2021 and 283 in Ju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Bar graph showing SIL participants intake in the Scheme by quarter over the past 3 years, split by access entry group, the entry groups are New to disability support, State and Commonwealth and Combined, The numbers for new to Disability support has increased from 74 in September 2018 to 291 in June 2020 with a slight dip in the numbers occurring in March 2019 and September 2019, State and Commonwealth numbers are quite varied and at September 2018 were at 1,362, for December 2018, these were at 2,855, March 2019 2,449, June 2019 1,723, September 2019 602, December 2019 623, March 2020 565, June 2020 1,277. The combined numbers are also varied, coming in at 282 for September 2020, 351 at December 2020, 285 in March 2021 and 283 in Jun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899965"/>
                    </a:xfrm>
                    <a:prstGeom prst="rect">
                      <a:avLst/>
                    </a:prstGeom>
                    <a:noFill/>
                    <a:ln>
                      <a:noFill/>
                    </a:ln>
                  </pic:spPr>
                </pic:pic>
              </a:graphicData>
            </a:graphic>
          </wp:inline>
        </w:drawing>
      </w:r>
    </w:p>
    <w:p w14:paraId="0E6488D7" w14:textId="77777777" w:rsidR="005D1D06" w:rsidRPr="00172AD5" w:rsidRDefault="005D1D06" w:rsidP="005D1D06"/>
    <w:p w14:paraId="41E263D7" w14:textId="224D99F7" w:rsidR="005D1D06" w:rsidRDefault="005D1D06" w:rsidP="007372C8">
      <w:pPr>
        <w:pStyle w:val="FSRnormal"/>
      </w:pPr>
      <w:r w:rsidRPr="007A2306">
        <w:rPr>
          <w:u w:val="single"/>
        </w:rPr>
        <w:fldChar w:fldCharType="begin"/>
      </w:r>
      <w:r w:rsidRPr="007A2306">
        <w:rPr>
          <w:u w:val="single"/>
        </w:rPr>
        <w:instrText xml:space="preserve"> REF _Ref74931860 \h  \* MERGEFORMAT </w:instrText>
      </w:r>
      <w:r w:rsidRPr="007A2306">
        <w:rPr>
          <w:u w:val="single"/>
        </w:rPr>
      </w:r>
      <w:r w:rsidRPr="007A2306">
        <w:rPr>
          <w:u w:val="single"/>
        </w:rPr>
        <w:fldChar w:fldCharType="separate"/>
      </w:r>
      <w:r w:rsidR="00E50032" w:rsidRPr="00E50032">
        <w:rPr>
          <w:u w:val="single"/>
        </w:rPr>
        <w:t xml:space="preserve">Figure </w:t>
      </w:r>
      <w:r w:rsidR="00E50032" w:rsidRPr="00E50032">
        <w:rPr>
          <w:noProof/>
          <w:u w:val="single"/>
        </w:rPr>
        <w:t>20</w:t>
      </w:r>
      <w:r w:rsidRPr="007A2306">
        <w:rPr>
          <w:u w:val="single"/>
        </w:rPr>
        <w:fldChar w:fldCharType="end"/>
      </w:r>
      <w:r w:rsidRPr="00172AD5">
        <w:t xml:space="preserve">, </w:t>
      </w:r>
      <w:r w:rsidRPr="007A2306">
        <w:rPr>
          <w:u w:val="single"/>
        </w:rPr>
        <w:fldChar w:fldCharType="begin"/>
      </w:r>
      <w:r w:rsidRPr="007A2306">
        <w:rPr>
          <w:u w:val="single"/>
        </w:rPr>
        <w:instrText xml:space="preserve"> REF _Ref75865725 \h  \* MERGEFORMAT </w:instrText>
      </w:r>
      <w:r w:rsidRPr="007A2306">
        <w:rPr>
          <w:u w:val="single"/>
        </w:rPr>
      </w:r>
      <w:r w:rsidRPr="007A2306">
        <w:rPr>
          <w:u w:val="single"/>
        </w:rPr>
        <w:fldChar w:fldCharType="separate"/>
      </w:r>
      <w:r w:rsidR="00E50032" w:rsidRPr="00E50032">
        <w:rPr>
          <w:u w:val="single"/>
        </w:rPr>
        <w:t xml:space="preserve">Figure </w:t>
      </w:r>
      <w:r w:rsidR="00E50032" w:rsidRPr="00E50032">
        <w:rPr>
          <w:noProof/>
          <w:u w:val="single"/>
        </w:rPr>
        <w:t>21</w:t>
      </w:r>
      <w:r w:rsidRPr="007A2306">
        <w:rPr>
          <w:u w:val="single"/>
        </w:rPr>
        <w:fldChar w:fldCharType="end"/>
      </w:r>
      <w:r w:rsidR="006A3718">
        <w:t xml:space="preserve"> and</w:t>
      </w:r>
      <w:r w:rsidRPr="00172AD5">
        <w:t xml:space="preserve"> </w:t>
      </w:r>
      <w:r w:rsidRPr="007A2306">
        <w:rPr>
          <w:u w:val="single"/>
        </w:rPr>
        <w:fldChar w:fldCharType="begin"/>
      </w:r>
      <w:r w:rsidRPr="007A2306">
        <w:rPr>
          <w:u w:val="single"/>
        </w:rPr>
        <w:instrText xml:space="preserve"> REF _Ref75865733 \h  \* MERGEFORMAT </w:instrText>
      </w:r>
      <w:r w:rsidRPr="007A2306">
        <w:rPr>
          <w:u w:val="single"/>
        </w:rPr>
      </w:r>
      <w:r w:rsidRPr="007A2306">
        <w:rPr>
          <w:u w:val="single"/>
        </w:rPr>
        <w:fldChar w:fldCharType="separate"/>
      </w:r>
      <w:r w:rsidR="00E50032" w:rsidRPr="00E50032">
        <w:rPr>
          <w:u w:val="single"/>
        </w:rPr>
        <w:t xml:space="preserve">Figure </w:t>
      </w:r>
      <w:r w:rsidR="00E50032" w:rsidRPr="00E50032">
        <w:rPr>
          <w:noProof/>
          <w:u w:val="single"/>
        </w:rPr>
        <w:t>22</w:t>
      </w:r>
      <w:r w:rsidRPr="007A2306">
        <w:rPr>
          <w:u w:val="single"/>
        </w:rPr>
        <w:fldChar w:fldCharType="end"/>
      </w:r>
      <w:r w:rsidRPr="00172AD5">
        <w:t xml:space="preserve"> </w:t>
      </w:r>
      <w:r w:rsidR="00180C52">
        <w:t>below compare</w:t>
      </w:r>
      <w:r w:rsidRPr="00172AD5">
        <w:t xml:space="preserve"> the actual number and proportion of participants with SIL arrangements as at 30 June 2021 against expectations from the </w:t>
      </w:r>
      <w:r w:rsidR="0036120B">
        <w:t xml:space="preserve">previous review </w:t>
      </w:r>
      <w:r w:rsidRPr="00172AD5">
        <w:t>by vari</w:t>
      </w:r>
      <w:r w:rsidR="0036120B">
        <w:t>ous participant characteristics:</w:t>
      </w:r>
    </w:p>
    <w:p w14:paraId="6717F022" w14:textId="7C5FD677" w:rsidR="005D1D06" w:rsidRPr="007372C8" w:rsidRDefault="005D1D06" w:rsidP="007372C8">
      <w:pPr>
        <w:pStyle w:val="FSRlist"/>
      </w:pPr>
      <w:r w:rsidRPr="00172AD5">
        <w:lastRenderedPageBreak/>
        <w:t xml:space="preserve">The number of participants in SIL arrangements is slightly lower than expected </w:t>
      </w:r>
      <w:r w:rsidR="000E6147">
        <w:t>(</w:t>
      </w:r>
      <w:r w:rsidRPr="007A2306">
        <w:rPr>
          <w:u w:val="single"/>
        </w:rPr>
        <w:fldChar w:fldCharType="begin"/>
      </w:r>
      <w:r w:rsidRPr="007A2306">
        <w:rPr>
          <w:u w:val="single"/>
        </w:rPr>
        <w:instrText xml:space="preserve"> REF _Ref74931860 \h  \* MERGEFORMAT </w:instrText>
      </w:r>
      <w:r w:rsidRPr="007A2306">
        <w:rPr>
          <w:u w:val="single"/>
        </w:rPr>
      </w:r>
      <w:r w:rsidRPr="007A2306">
        <w:rPr>
          <w:u w:val="single"/>
        </w:rPr>
        <w:fldChar w:fldCharType="separate"/>
      </w:r>
      <w:r w:rsidR="00E50032" w:rsidRPr="00E50032">
        <w:rPr>
          <w:u w:val="single"/>
        </w:rPr>
        <w:t xml:space="preserve">Figure </w:t>
      </w:r>
      <w:r w:rsidR="00E50032" w:rsidRPr="00E50032">
        <w:rPr>
          <w:noProof/>
          <w:u w:val="single"/>
        </w:rPr>
        <w:t>20</w:t>
      </w:r>
      <w:r w:rsidRPr="007A2306">
        <w:rPr>
          <w:u w:val="single"/>
        </w:rPr>
        <w:fldChar w:fldCharType="end"/>
      </w:r>
      <w:r w:rsidR="000E6147">
        <w:t>)</w:t>
      </w:r>
      <w:r w:rsidRPr="007372C8">
        <w:t>.</w:t>
      </w:r>
    </w:p>
    <w:p w14:paraId="1C644183" w14:textId="16AFB0E0" w:rsidR="005D1D06" w:rsidRPr="007372C8" w:rsidRDefault="005D1D06" w:rsidP="007372C8">
      <w:pPr>
        <w:pStyle w:val="FSRlist"/>
      </w:pPr>
      <w:r w:rsidRPr="007372C8">
        <w:t xml:space="preserve">The number of participants in SIL arrangements has been </w:t>
      </w:r>
      <w:r w:rsidR="00FA564B" w:rsidRPr="007372C8">
        <w:t xml:space="preserve">lower </w:t>
      </w:r>
      <w:r w:rsidRPr="007372C8">
        <w:t xml:space="preserve">than expected across the majority of disability types, with the exception of participants with other disability and </w:t>
      </w:r>
      <w:r w:rsidR="00916C9D" w:rsidRPr="007372C8">
        <w:t>stroke</w:t>
      </w:r>
      <w:r w:rsidR="00916C9D">
        <w:t xml:space="preserve"> (</w:t>
      </w:r>
      <w:r w:rsidRPr="007A2306">
        <w:rPr>
          <w:u w:val="single"/>
        </w:rPr>
        <w:fldChar w:fldCharType="begin"/>
      </w:r>
      <w:r w:rsidRPr="007A2306">
        <w:rPr>
          <w:u w:val="single"/>
        </w:rPr>
        <w:instrText xml:space="preserve"> REF _Ref75865733 \h  \* MERGEFORMAT </w:instrText>
      </w:r>
      <w:r w:rsidRPr="007A2306">
        <w:rPr>
          <w:u w:val="single"/>
        </w:rPr>
      </w:r>
      <w:r w:rsidRPr="007A2306">
        <w:rPr>
          <w:u w:val="single"/>
        </w:rPr>
        <w:fldChar w:fldCharType="separate"/>
      </w:r>
      <w:r w:rsidR="00E50032" w:rsidRPr="00E50032">
        <w:rPr>
          <w:u w:val="single"/>
        </w:rPr>
        <w:t xml:space="preserve">Figure </w:t>
      </w:r>
      <w:r w:rsidR="00E50032" w:rsidRPr="00E50032">
        <w:rPr>
          <w:noProof/>
          <w:u w:val="single"/>
        </w:rPr>
        <w:t>22</w:t>
      </w:r>
      <w:r w:rsidRPr="007A2306">
        <w:rPr>
          <w:u w:val="single"/>
        </w:rPr>
        <w:fldChar w:fldCharType="end"/>
      </w:r>
      <w:r w:rsidR="000E6147">
        <w:t>)</w:t>
      </w:r>
      <w:r w:rsidRPr="007372C8">
        <w:t>. The number of SIL participants with an intellectual disability continues to account for the majority of the participants in SIL arrangements.</w:t>
      </w:r>
      <w:r w:rsidRPr="007372C8">
        <w:rPr>
          <w:vertAlign w:val="superscript"/>
        </w:rPr>
        <w:footnoteReference w:id="43"/>
      </w:r>
      <w:r w:rsidRPr="007372C8">
        <w:t xml:space="preserve"> </w:t>
      </w:r>
    </w:p>
    <w:p w14:paraId="143978A6" w14:textId="4297D9B1" w:rsidR="005D1D06" w:rsidRPr="007372C8" w:rsidRDefault="005D1D06" w:rsidP="007372C8">
      <w:pPr>
        <w:pStyle w:val="FSRlist"/>
      </w:pPr>
      <w:r w:rsidRPr="007372C8">
        <w:t>The majority of SIL participants are aged 25 and above, similar to expectations, with about 12% of all participants over th</w:t>
      </w:r>
      <w:r w:rsidR="00180C52">
        <w:t>e age of 25 in SIL arrangements</w:t>
      </w:r>
      <w:r w:rsidRPr="007372C8">
        <w:t xml:space="preserve"> (</w:t>
      </w:r>
      <w:r w:rsidRPr="007A2306">
        <w:rPr>
          <w:u w:val="single"/>
        </w:rPr>
        <w:fldChar w:fldCharType="begin"/>
      </w:r>
      <w:r w:rsidRPr="007A2306">
        <w:rPr>
          <w:u w:val="single"/>
        </w:rPr>
        <w:instrText xml:space="preserve"> REF _Ref75865725 \h  \* MERGEFORMAT </w:instrText>
      </w:r>
      <w:r w:rsidRPr="007A2306">
        <w:rPr>
          <w:u w:val="single"/>
        </w:rPr>
      </w:r>
      <w:r w:rsidRPr="007A2306">
        <w:rPr>
          <w:u w:val="single"/>
        </w:rPr>
        <w:fldChar w:fldCharType="separate"/>
      </w:r>
      <w:r w:rsidR="00E50032" w:rsidRPr="00E50032">
        <w:rPr>
          <w:u w:val="single"/>
        </w:rPr>
        <w:t xml:space="preserve">Figure </w:t>
      </w:r>
      <w:r w:rsidR="00E50032" w:rsidRPr="00E50032">
        <w:rPr>
          <w:noProof/>
          <w:u w:val="single"/>
        </w:rPr>
        <w:t>21</w:t>
      </w:r>
      <w:r w:rsidRPr="007A2306">
        <w:rPr>
          <w:u w:val="single"/>
        </w:rPr>
        <w:fldChar w:fldCharType="end"/>
      </w:r>
      <w:r w:rsidRPr="007372C8">
        <w:t>).</w:t>
      </w:r>
    </w:p>
    <w:p w14:paraId="7BD6234F" w14:textId="77777777" w:rsidR="005D1D06" w:rsidRPr="00172AD5" w:rsidRDefault="005D1D06" w:rsidP="005D1D06"/>
    <w:p w14:paraId="611597F1" w14:textId="7B99B192" w:rsidR="005D1D06" w:rsidRDefault="005D1D06" w:rsidP="005D1D06">
      <w:pPr>
        <w:pStyle w:val="Figures"/>
      </w:pPr>
      <w:bookmarkStart w:id="100" w:name="_Ref74931860"/>
      <w:bookmarkStart w:id="101" w:name="_Ref14209268"/>
      <w:r w:rsidRPr="00172AD5">
        <w:lastRenderedPageBreak/>
        <w:t xml:space="preserve">Figure </w:t>
      </w:r>
      <w:fldSimple w:instr=" SEQ Figure \* ARABIC ">
        <w:r w:rsidR="00E50032">
          <w:rPr>
            <w:noProof/>
          </w:rPr>
          <w:t>20</w:t>
        </w:r>
      </w:fldSimple>
      <w:bookmarkEnd w:id="100"/>
      <w:r w:rsidRPr="00172AD5">
        <w:t xml:space="preserve"> Profile of participants in SIL as at 30 June 2021 – actual versus expected by </w:t>
      </w:r>
      <w:r w:rsidR="001A5ECE">
        <w:t>SIL type</w:t>
      </w:r>
      <w:r w:rsidRPr="00172AD5">
        <w:t xml:space="preserve"> </w:t>
      </w:r>
    </w:p>
    <w:p w14:paraId="1D00A658" w14:textId="515BA431" w:rsidR="00534772" w:rsidRPr="007372C8" w:rsidRDefault="00F90118" w:rsidP="005D1D06">
      <w:pPr>
        <w:pStyle w:val="Figures"/>
        <w:rPr>
          <w:rStyle w:val="FSRnormalChar"/>
        </w:rPr>
      </w:pPr>
      <w:r w:rsidRPr="00F90118">
        <w:rPr>
          <w:rStyle w:val="FSRnormalChar"/>
          <w:noProof/>
          <w:lang w:val="en-AU" w:eastAsia="en-AU"/>
        </w:rPr>
        <w:drawing>
          <wp:inline distT="0" distB="0" distL="0" distR="0" wp14:anchorId="43B6D91F" wp14:editId="71624065">
            <wp:extent cx="4337914" cy="3220920"/>
            <wp:effectExtent l="0" t="0" r="5715" b="0"/>
            <wp:docPr id="1" name="Picture 1" descr="Bar chart showing Profile of participants in SIL as at 30 June 2021 – actual versus expected by SIL group. The expected number of participants was slightly higher than the actu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r chart showing Profile of participants in SIL as at 30 June 2021 – actual versus expected by SIL group. The expected number of participants was slightly higher than the actual. "/>
                    <pic:cNvPicPr/>
                  </pic:nvPicPr>
                  <pic:blipFill>
                    <a:blip r:embed="rId38"/>
                    <a:stretch>
                      <a:fillRect/>
                    </a:stretch>
                  </pic:blipFill>
                  <pic:spPr>
                    <a:xfrm>
                      <a:off x="0" y="0"/>
                      <a:ext cx="4358246" cy="3236017"/>
                    </a:xfrm>
                    <a:prstGeom prst="rect">
                      <a:avLst/>
                    </a:prstGeom>
                  </pic:spPr>
                </pic:pic>
              </a:graphicData>
            </a:graphic>
          </wp:inline>
        </w:drawing>
      </w:r>
    </w:p>
    <w:p w14:paraId="1472D757" w14:textId="41F3012A" w:rsidR="005D1D06" w:rsidRPr="00172AD5" w:rsidRDefault="005D1D06" w:rsidP="005D1D06">
      <w:pPr>
        <w:pStyle w:val="Figures"/>
      </w:pPr>
      <w:bookmarkStart w:id="102" w:name="_Ref75865725"/>
      <w:r w:rsidRPr="00172AD5">
        <w:t xml:space="preserve">Figure </w:t>
      </w:r>
      <w:fldSimple w:instr=" SEQ Figure \* ARABIC ">
        <w:r w:rsidR="00E50032">
          <w:rPr>
            <w:noProof/>
          </w:rPr>
          <w:t>21</w:t>
        </w:r>
      </w:fldSimple>
      <w:bookmarkEnd w:id="102"/>
      <w:r w:rsidRPr="00172AD5">
        <w:t xml:space="preserve"> Profile of participants in SIL as at 30 June 2021 – actual versus expected by age band</w:t>
      </w:r>
    </w:p>
    <w:p w14:paraId="14BBCF78" w14:textId="768B76AD" w:rsidR="005D1D06" w:rsidRPr="007372C8" w:rsidRDefault="00F90118" w:rsidP="007372C8">
      <w:pPr>
        <w:pStyle w:val="FSRnormal"/>
      </w:pPr>
      <w:r w:rsidRPr="00F90118">
        <w:rPr>
          <w:noProof/>
          <w:lang w:eastAsia="en-AU"/>
        </w:rPr>
        <w:drawing>
          <wp:inline distT="0" distB="0" distL="0" distR="0" wp14:anchorId="5F54D098" wp14:editId="2788059E">
            <wp:extent cx="4915814" cy="3218208"/>
            <wp:effectExtent l="0" t="0" r="0" b="1270"/>
            <wp:docPr id="252" name="Picture 252" descr="Bar chart showing Profile of participants in SIL as at 30 June 2021 – actual versus expected by age band. For the age group of 0 to 14 the actual was slightly lower than expected, this is true across the age groups 15 to 24, 25 to 64 and 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Bar chart showing Profile of participants in SIL as at 30 June 2021 – actual versus expected by age band. For the age group of 0 to 14 the actual was slightly lower than expected, this is true across the age groups 15 to 24, 25 to 64 and 65+&#10;"/>
                    <pic:cNvPicPr/>
                  </pic:nvPicPr>
                  <pic:blipFill>
                    <a:blip r:embed="rId39"/>
                    <a:stretch>
                      <a:fillRect/>
                    </a:stretch>
                  </pic:blipFill>
                  <pic:spPr>
                    <a:xfrm>
                      <a:off x="0" y="0"/>
                      <a:ext cx="4919065" cy="3220336"/>
                    </a:xfrm>
                    <a:prstGeom prst="rect">
                      <a:avLst/>
                    </a:prstGeom>
                  </pic:spPr>
                </pic:pic>
              </a:graphicData>
            </a:graphic>
          </wp:inline>
        </w:drawing>
      </w:r>
    </w:p>
    <w:p w14:paraId="0412DE2D" w14:textId="5B82D124" w:rsidR="005D1D06" w:rsidRPr="00172AD5" w:rsidRDefault="005D1D06" w:rsidP="005D1D06">
      <w:pPr>
        <w:pStyle w:val="Figures"/>
      </w:pPr>
      <w:bookmarkStart w:id="103" w:name="_Ref75865733"/>
      <w:r w:rsidRPr="00172AD5">
        <w:lastRenderedPageBreak/>
        <w:t xml:space="preserve">Figure </w:t>
      </w:r>
      <w:fldSimple w:instr=" SEQ Figure \* ARABIC ">
        <w:r w:rsidR="00E50032">
          <w:rPr>
            <w:noProof/>
          </w:rPr>
          <w:t>22</w:t>
        </w:r>
      </w:fldSimple>
      <w:bookmarkEnd w:id="103"/>
      <w:r w:rsidRPr="00172AD5">
        <w:t xml:space="preserve"> Profile of participants in SIL as at 30 June 2021 – actual versus expected by disability group</w:t>
      </w:r>
    </w:p>
    <w:p w14:paraId="62E224EF" w14:textId="076918EF" w:rsidR="005D1D06" w:rsidRPr="007372C8" w:rsidRDefault="00F90118" w:rsidP="007372C8">
      <w:pPr>
        <w:pStyle w:val="FSRnormal"/>
      </w:pPr>
      <w:r w:rsidRPr="00F90118">
        <w:rPr>
          <w:noProof/>
          <w:lang w:eastAsia="en-AU"/>
        </w:rPr>
        <w:drawing>
          <wp:inline distT="0" distB="0" distL="0" distR="0" wp14:anchorId="65EE4930" wp14:editId="17787BBC">
            <wp:extent cx="4655574" cy="4001414"/>
            <wp:effectExtent l="0" t="0" r="0" b="0"/>
            <wp:docPr id="255" name="Picture 255" descr="Bar chart showing Profile of participants in SIL as at 30 June 2021 – actual versus expected by disability group. Across all the disability groups of Autism, Intellectual disabilities, Psychosocial disabilities, sensory or other disabilities the expected was slightly higher than the actual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Bar chart showing Profile of participants in SIL as at 30 June 2021 – actual versus expected by disability group. Across all the disability groups of Autism, Intellectual disabilities, Psychosocial disabilities, sensory or other disabilities the expected was slightly higher than the actual numbers"/>
                    <pic:cNvPicPr/>
                  </pic:nvPicPr>
                  <pic:blipFill>
                    <a:blip r:embed="rId40"/>
                    <a:stretch>
                      <a:fillRect/>
                    </a:stretch>
                  </pic:blipFill>
                  <pic:spPr>
                    <a:xfrm>
                      <a:off x="0" y="0"/>
                      <a:ext cx="4663306" cy="4008059"/>
                    </a:xfrm>
                    <a:prstGeom prst="rect">
                      <a:avLst/>
                    </a:prstGeom>
                  </pic:spPr>
                </pic:pic>
              </a:graphicData>
            </a:graphic>
          </wp:inline>
        </w:drawing>
      </w:r>
    </w:p>
    <w:bookmarkEnd w:id="101"/>
    <w:p w14:paraId="0652E08A" w14:textId="2AF72DAA" w:rsidR="005D1D06" w:rsidRPr="00A1585C" w:rsidRDefault="00180C52" w:rsidP="00805E11">
      <w:pPr>
        <w:pStyle w:val="FSRHeading5"/>
        <w:rPr>
          <w:color w:val="C45911" w:themeColor="accent2" w:themeShade="BF"/>
        </w:rPr>
      </w:pPr>
      <w:r w:rsidRPr="00A1585C">
        <w:rPr>
          <w:color w:val="C45911" w:themeColor="accent2" w:themeShade="BF"/>
        </w:rPr>
        <w:t>Prevalence r</w:t>
      </w:r>
      <w:r w:rsidR="00805E11" w:rsidRPr="00A1585C">
        <w:rPr>
          <w:color w:val="C45911" w:themeColor="accent2" w:themeShade="BF"/>
        </w:rPr>
        <w:t>ates continue to increase</w:t>
      </w:r>
      <w:r w:rsidR="00805E11" w:rsidRPr="00A1585C">
        <w:rPr>
          <w:rStyle w:val="FootnoteReference"/>
          <w:color w:val="C45911" w:themeColor="accent2" w:themeShade="BF"/>
        </w:rPr>
        <w:footnoteReference w:id="44"/>
      </w:r>
      <w:r w:rsidR="005D1D06" w:rsidRPr="00A1585C">
        <w:rPr>
          <w:color w:val="C45911" w:themeColor="accent2" w:themeShade="BF"/>
        </w:rPr>
        <w:t xml:space="preserve"> </w:t>
      </w:r>
    </w:p>
    <w:p w14:paraId="347CB3F9" w14:textId="213293CC" w:rsidR="005D1D06" w:rsidRPr="00172AD5" w:rsidRDefault="005D1D06" w:rsidP="005D1D06">
      <w:pPr>
        <w:pStyle w:val="FSRnormal"/>
      </w:pPr>
      <w:r w:rsidRPr="00172AD5">
        <w:t xml:space="preserve">Participant intake was expected to decline in the 2020-21 financial year as transition from the State/Territory arrangements concluded. </w:t>
      </w:r>
      <w:r w:rsidR="00C964F0">
        <w:t xml:space="preserve">Some decline was observed </w:t>
      </w:r>
      <w:r w:rsidRPr="00172AD5">
        <w:t xml:space="preserve">in the experience in the six months to 30 June 2021, where intakes were fewer than expected in the </w:t>
      </w:r>
      <w:r w:rsidR="00105BEA">
        <w:t>previous review</w:t>
      </w:r>
      <w:r w:rsidRPr="00172AD5">
        <w:t xml:space="preserve"> and the 2020-21 PBS estimates.</w:t>
      </w:r>
    </w:p>
    <w:p w14:paraId="053529D2" w14:textId="2922F72C" w:rsidR="00805E11" w:rsidRPr="00172AD5" w:rsidRDefault="005D1D06" w:rsidP="00180C52">
      <w:pPr>
        <w:pStyle w:val="FSRnormal"/>
        <w:keepNext/>
        <w:keepLines/>
      </w:pPr>
      <w:r w:rsidRPr="00172AD5">
        <w:t>However, the prevalence rates of mature regions</w:t>
      </w:r>
      <w:r w:rsidRPr="00172AD5">
        <w:rPr>
          <w:vertAlign w:val="superscript"/>
        </w:rPr>
        <w:footnoteReference w:id="45"/>
      </w:r>
      <w:r w:rsidRPr="00172AD5">
        <w:t xml:space="preserve"> continue to exceed benchmark levels assumed in the original </w:t>
      </w:r>
      <w:r w:rsidR="00475322">
        <w:t>Scheme</w:t>
      </w:r>
      <w:r w:rsidRPr="00172AD5">
        <w:t xml:space="preserve"> design. </w:t>
      </w:r>
      <w:r w:rsidR="007372C8" w:rsidRPr="00A1585C">
        <w:rPr>
          <w:u w:val="single"/>
        </w:rPr>
        <w:fldChar w:fldCharType="begin"/>
      </w:r>
      <w:r w:rsidR="007372C8" w:rsidRPr="00A1585C">
        <w:rPr>
          <w:u w:val="single"/>
        </w:rPr>
        <w:instrText xml:space="preserve"> REF _Ref80345804 \h </w:instrText>
      </w:r>
      <w:r w:rsidR="007372C8" w:rsidRPr="00A1585C">
        <w:rPr>
          <w:u w:val="single"/>
        </w:rPr>
      </w:r>
      <w:r w:rsidR="007372C8" w:rsidRPr="00A1585C">
        <w:rPr>
          <w:u w:val="single"/>
        </w:rPr>
        <w:fldChar w:fldCharType="separate"/>
      </w:r>
      <w:r w:rsidR="00E50032" w:rsidRPr="00172AD5">
        <w:t xml:space="preserve">Figure </w:t>
      </w:r>
      <w:r w:rsidR="00E50032">
        <w:rPr>
          <w:noProof/>
        </w:rPr>
        <w:t>23</w:t>
      </w:r>
      <w:r w:rsidR="007372C8" w:rsidRPr="00A1585C">
        <w:rPr>
          <w:u w:val="single"/>
        </w:rPr>
        <w:fldChar w:fldCharType="end"/>
      </w:r>
      <w:r w:rsidR="007372C8">
        <w:t xml:space="preserve"> </w:t>
      </w:r>
      <w:r w:rsidRPr="00172AD5">
        <w:t xml:space="preserve">displays the rate of participant intake by phase-in quarter. </w:t>
      </w:r>
      <w:r w:rsidR="00805E11" w:rsidRPr="00172AD5">
        <w:t>The development curves show the proportio</w:t>
      </w:r>
      <w:r w:rsidR="00180C52">
        <w:t xml:space="preserve">n of active participants aged from 0 </w:t>
      </w:r>
      <w:r w:rsidR="00805E11" w:rsidRPr="00172AD5">
        <w:t>to 64 (compared to the general population) in the Scheme at specific development points in time. Increases over development time reflect participants entering the Scheme while reductions reflect participants exiting the Scheme and/or turning age 65.</w:t>
      </w:r>
    </w:p>
    <w:p w14:paraId="6391FFE7" w14:textId="560D1198" w:rsidR="00805E11" w:rsidRPr="00172AD5" w:rsidRDefault="00805E11" w:rsidP="00805E11">
      <w:pPr>
        <w:pStyle w:val="FSRnormal"/>
      </w:pPr>
      <w:r w:rsidRPr="00172AD5">
        <w:t xml:space="preserve">It </w:t>
      </w:r>
      <w:r w:rsidR="00440413">
        <w:t>was</w:t>
      </w:r>
      <w:r w:rsidRPr="00172AD5">
        <w:t xml:space="preserve"> expected that these prevalence curves would “flatten out” over time. However, the Scheme population in these regions continues to increase above general population growth, and prevalence rates for ages 0 to 64 have thus continued to rise in the more mature sites. As an example, the unbroken dark purple line represents the prevalence rate of all regions that phased into the Scheme in the September 2013 quarter </w:t>
      </w:r>
      <w:r>
        <w:t>(</w:t>
      </w:r>
      <w:r w:rsidRPr="00172AD5">
        <w:t>e.g. Barwon and Newcastle</w:t>
      </w:r>
      <w:r>
        <w:t>)</w:t>
      </w:r>
      <w:r w:rsidRPr="00172AD5">
        <w:t>.</w:t>
      </w:r>
      <w:r w:rsidR="00180C52">
        <w:t xml:space="preserve"> It </w:t>
      </w:r>
      <w:r w:rsidR="00180C52">
        <w:lastRenderedPageBreak/>
        <w:t>is evident that even after 2</w:t>
      </w:r>
      <w:r w:rsidR="00984D79">
        <w:t>9</w:t>
      </w:r>
      <w:r w:rsidRPr="00172AD5">
        <w:t xml:space="preserve"> quarters (</w:t>
      </w:r>
      <w:r w:rsidR="00984D79">
        <w:t xml:space="preserve">more than </w:t>
      </w:r>
      <w:r w:rsidRPr="00172AD5">
        <w:t>seven years), there is still an upward trend in the number of participants entering the Scheme and this trend is yet to taper</w:t>
      </w:r>
      <w:r w:rsidR="00984D79">
        <w:t xml:space="preserve"> </w:t>
      </w:r>
      <w:r w:rsidRPr="00172AD5">
        <w:t>off</w:t>
      </w:r>
      <w:r w:rsidR="00984D79">
        <w:t xml:space="preserve"> (which would indicate</w:t>
      </w:r>
      <w:r w:rsidRPr="00172AD5">
        <w:t xml:space="preserve"> </w:t>
      </w:r>
      <w:r w:rsidR="00984D79">
        <w:t xml:space="preserve">growth </w:t>
      </w:r>
      <w:r w:rsidRPr="00172AD5">
        <w:t>in line with population growth.</w:t>
      </w:r>
    </w:p>
    <w:p w14:paraId="400D7442" w14:textId="11AC8356" w:rsidR="005D1D06" w:rsidRPr="00172AD5" w:rsidRDefault="005D1D06" w:rsidP="005D1D06">
      <w:pPr>
        <w:pStyle w:val="Figures"/>
      </w:pPr>
      <w:bookmarkStart w:id="104" w:name="_Ref80345804"/>
      <w:r w:rsidRPr="00172AD5">
        <w:t xml:space="preserve">Figure </w:t>
      </w:r>
      <w:fldSimple w:instr=" SEQ Figure \* ARABIC ">
        <w:r w:rsidR="00E50032">
          <w:rPr>
            <w:noProof/>
          </w:rPr>
          <w:t>23</w:t>
        </w:r>
      </w:fldSimple>
      <w:bookmarkEnd w:id="104"/>
      <w:r w:rsidRPr="00172AD5">
        <w:t xml:space="preserve"> Participants as a proportion of Australian population since phase-in date – aged 0 to 64</w:t>
      </w:r>
      <w:r w:rsidRPr="00172AD5">
        <w:rPr>
          <w:rStyle w:val="FootnoteReference"/>
        </w:rPr>
        <w:footnoteReference w:id="46"/>
      </w:r>
    </w:p>
    <w:p w14:paraId="173B05E7" w14:textId="1F3B877B" w:rsidR="005D1D06" w:rsidRPr="00172AD5" w:rsidRDefault="005D1D06" w:rsidP="005D1D06">
      <w:pPr>
        <w:pStyle w:val="FSRnormal"/>
      </w:pPr>
      <w:r w:rsidRPr="00172AD5">
        <w:rPr>
          <w:noProof/>
          <w:lang w:eastAsia="en-AU"/>
        </w:rPr>
        <w:drawing>
          <wp:inline distT="0" distB="0" distL="0" distR="0" wp14:anchorId="0A19795B" wp14:editId="607CC01C">
            <wp:extent cx="5731510" cy="2914891"/>
            <wp:effectExtent l="0" t="0" r="2540" b="0"/>
            <wp:docPr id="259" name="Picture 259" descr="Complex line graph showing participants as a proportion of the Australian population by regions grouped by phase-in date as described in th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Complex line graph showing participants as a proportion of the Australian population by regions grouped by phase-in date as described in the conten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2914891"/>
                    </a:xfrm>
                    <a:prstGeom prst="rect">
                      <a:avLst/>
                    </a:prstGeom>
                    <a:noFill/>
                    <a:ln>
                      <a:noFill/>
                    </a:ln>
                  </pic:spPr>
                </pic:pic>
              </a:graphicData>
            </a:graphic>
          </wp:inline>
        </w:drawing>
      </w:r>
    </w:p>
    <w:p w14:paraId="150CC855" w14:textId="7C7B866C" w:rsidR="005D1D06" w:rsidRPr="004A3E9D" w:rsidRDefault="00805E11" w:rsidP="005D1D06">
      <w:pPr>
        <w:pStyle w:val="FSRHeading5"/>
        <w:rPr>
          <w:color w:val="C45911" w:themeColor="accent2" w:themeShade="BF"/>
        </w:rPr>
      </w:pPr>
      <w:r w:rsidRPr="004A3E9D">
        <w:rPr>
          <w:color w:val="C45911" w:themeColor="accent2" w:themeShade="BF"/>
        </w:rPr>
        <w:t>Non-mortality e</w:t>
      </w:r>
      <w:r w:rsidR="005D1D06" w:rsidRPr="004A3E9D">
        <w:rPr>
          <w:color w:val="C45911" w:themeColor="accent2" w:themeShade="BF"/>
        </w:rPr>
        <w:t xml:space="preserve">xit rates </w:t>
      </w:r>
      <w:r w:rsidRPr="004A3E9D">
        <w:rPr>
          <w:color w:val="C45911" w:themeColor="accent2" w:themeShade="BF"/>
        </w:rPr>
        <w:t xml:space="preserve">remain well below </w:t>
      </w:r>
      <w:r w:rsidR="005D1D06" w:rsidRPr="004A3E9D">
        <w:rPr>
          <w:color w:val="C45911" w:themeColor="accent2" w:themeShade="BF"/>
        </w:rPr>
        <w:t xml:space="preserve">expected </w:t>
      </w:r>
    </w:p>
    <w:p w14:paraId="266E1F53" w14:textId="5589B90E" w:rsidR="005D1D06" w:rsidRPr="00172AD5" w:rsidRDefault="005D1D06" w:rsidP="005D1D06">
      <w:pPr>
        <w:pStyle w:val="FSRnormal"/>
      </w:pPr>
      <w:r w:rsidRPr="00172AD5">
        <w:t xml:space="preserve">Within the context of financial sustainability, it is important to understand the emerging exit experience of participants. Participants may exit the Scheme for various reasons and are </w:t>
      </w:r>
      <w:r w:rsidR="00984D79">
        <w:t xml:space="preserve">analysed in two </w:t>
      </w:r>
      <w:r w:rsidRPr="00172AD5">
        <w:t>categories for projection purposes</w:t>
      </w:r>
      <w:r w:rsidR="00984D79">
        <w:t>:</w:t>
      </w:r>
      <w:r w:rsidRPr="00172AD5">
        <w:t xml:space="preserve"> </w:t>
      </w:r>
    </w:p>
    <w:p w14:paraId="69B480B3" w14:textId="3560BA7C" w:rsidR="005D1D06" w:rsidRPr="00172AD5" w:rsidRDefault="005D1D06" w:rsidP="007372C8">
      <w:pPr>
        <w:pStyle w:val="FSRlist"/>
      </w:pPr>
      <w:r w:rsidRPr="00172AD5">
        <w:rPr>
          <w:b/>
        </w:rPr>
        <w:t>Mortality exits:</w:t>
      </w:r>
      <w:r w:rsidRPr="00172AD5">
        <w:t xml:space="preserve"> participants who have died.</w:t>
      </w:r>
    </w:p>
    <w:p w14:paraId="4CBA5327" w14:textId="1894301A" w:rsidR="005D1D06" w:rsidRPr="00172AD5" w:rsidRDefault="005D1D06" w:rsidP="007372C8">
      <w:pPr>
        <w:pStyle w:val="FSRlist"/>
      </w:pPr>
      <w:r w:rsidRPr="00172AD5">
        <w:rPr>
          <w:b/>
        </w:rPr>
        <w:t>Non-mortality exits:</w:t>
      </w:r>
      <w:r w:rsidRPr="00172AD5">
        <w:t xml:space="preserve"> participants who no longer meet the </w:t>
      </w:r>
      <w:r w:rsidR="00475322">
        <w:t>Scheme</w:t>
      </w:r>
      <w:r w:rsidR="00805E11">
        <w:t xml:space="preserve">’s </w:t>
      </w:r>
      <w:r w:rsidRPr="00172AD5">
        <w:t>eligibility criteria, have chosen to leave the Scheme of their own accord, or have chosen to move into residential aged care if over the age of 65.</w:t>
      </w:r>
    </w:p>
    <w:p w14:paraId="47637E11" w14:textId="7738895C" w:rsidR="000A1624" w:rsidRDefault="007372C8" w:rsidP="000A1624">
      <w:pPr>
        <w:pStyle w:val="FSRnormal"/>
      </w:pPr>
      <w:r>
        <w:fldChar w:fldCharType="begin"/>
      </w:r>
      <w:r>
        <w:instrText xml:space="preserve"> REF _Ref80345873 \h </w:instrText>
      </w:r>
      <w:r>
        <w:fldChar w:fldCharType="separate"/>
      </w:r>
      <w:r w:rsidR="00E50032" w:rsidRPr="00172AD5">
        <w:t xml:space="preserve">Figure </w:t>
      </w:r>
      <w:r w:rsidR="00E50032">
        <w:rPr>
          <w:noProof/>
        </w:rPr>
        <w:t>24</w:t>
      </w:r>
      <w:r>
        <w:fldChar w:fldCharType="end"/>
      </w:r>
      <w:r>
        <w:t xml:space="preserve"> </w:t>
      </w:r>
      <w:r w:rsidR="005D1D06" w:rsidRPr="00172AD5">
        <w:t>shows the exit experience in the 2018, 2019, 2020 and first half of 2021 calendar year, compare</w:t>
      </w:r>
      <w:r w:rsidR="00CF2128">
        <w:t>d</w:t>
      </w:r>
      <w:r w:rsidR="005D1D06" w:rsidRPr="00172AD5">
        <w:t xml:space="preserve"> to</w:t>
      </w:r>
      <w:r w:rsidR="00CF2128">
        <w:t xml:space="preserve"> long term</w:t>
      </w:r>
      <w:r w:rsidR="005D1D06" w:rsidRPr="00172AD5">
        <w:t xml:space="preserve"> expectations from the </w:t>
      </w:r>
      <w:r w:rsidR="008337F6">
        <w:t>previous review</w:t>
      </w:r>
      <w:r w:rsidR="000A1624" w:rsidRPr="00172AD5">
        <w:t xml:space="preserve">. </w:t>
      </w:r>
    </w:p>
    <w:p w14:paraId="75510B4E" w14:textId="2261B189" w:rsidR="005D1D06" w:rsidRPr="00172AD5" w:rsidRDefault="005D1D06" w:rsidP="007372C8">
      <w:pPr>
        <w:pStyle w:val="FSRnormal"/>
      </w:pPr>
      <w:r w:rsidRPr="00172AD5">
        <w:t xml:space="preserve">The non-mortality exit </w:t>
      </w:r>
      <w:r w:rsidR="000541D8" w:rsidRPr="00172AD5">
        <w:t>experience</w:t>
      </w:r>
      <w:r w:rsidR="000541D8">
        <w:t xml:space="preserve"> has been </w:t>
      </w:r>
      <w:r w:rsidR="009517E5">
        <w:t xml:space="preserve">showing an increasing trend </w:t>
      </w:r>
      <w:r>
        <w:t>from 0.41% in CY2019 to 0.79% in the six months to 30 June 2021</w:t>
      </w:r>
      <w:r w:rsidRPr="00172AD5">
        <w:t xml:space="preserve"> (CY2020)</w:t>
      </w:r>
      <w:r w:rsidR="00E825A2">
        <w:t xml:space="preserve"> </w:t>
      </w:r>
      <w:r w:rsidR="00FE41C8">
        <w:t xml:space="preserve">but </w:t>
      </w:r>
      <w:r w:rsidR="00E825A2">
        <w:t>remains well below long term assumptions (1.40%)</w:t>
      </w:r>
      <w:r>
        <w:t>.</w:t>
      </w:r>
    </w:p>
    <w:p w14:paraId="7FB0F396" w14:textId="7D36D4C4" w:rsidR="005D1D06" w:rsidRPr="00172AD5" w:rsidRDefault="005D1D06" w:rsidP="007372C8">
      <w:pPr>
        <w:pStyle w:val="FSRnormal"/>
      </w:pPr>
      <w:r w:rsidRPr="00172AD5">
        <w:lastRenderedPageBreak/>
        <w:t xml:space="preserve">Mortality exit rates have </w:t>
      </w:r>
      <w:r w:rsidR="009517E5">
        <w:t xml:space="preserve">remained </w:t>
      </w:r>
      <w:r w:rsidRPr="00172AD5">
        <w:t>broadly in line with recent experience – at 0.99% in CY2020 and 0.91% in the six months to 30 June 2021 compared to 0.97% in the previous c</w:t>
      </w:r>
      <w:r w:rsidR="007372C8">
        <w:t>alendar year (CY2019).</w:t>
      </w:r>
    </w:p>
    <w:p w14:paraId="427DC2BE" w14:textId="29F6099A" w:rsidR="005D1D06" w:rsidRPr="00172AD5" w:rsidRDefault="005D1D06" w:rsidP="005D1D06">
      <w:pPr>
        <w:pStyle w:val="Figures"/>
      </w:pPr>
      <w:bookmarkStart w:id="105" w:name="_Ref80345873"/>
      <w:r w:rsidRPr="00172AD5">
        <w:t xml:space="preserve">Figure </w:t>
      </w:r>
      <w:fldSimple w:instr=" SEQ Figure \* ARABIC ">
        <w:r w:rsidR="00E50032">
          <w:rPr>
            <w:noProof/>
          </w:rPr>
          <w:t>24</w:t>
        </w:r>
      </w:fldSimple>
      <w:bookmarkEnd w:id="105"/>
      <w:r w:rsidRPr="00172AD5">
        <w:t xml:space="preserve"> Actual versus expected – mortality and non-mortality exit rate</w:t>
      </w:r>
    </w:p>
    <w:bookmarkEnd w:id="64"/>
    <w:p w14:paraId="55DDBC87" w14:textId="0990B2DD" w:rsidR="005D1D06" w:rsidRPr="005D1D06" w:rsidRDefault="00393DE9" w:rsidP="00D37C22">
      <w:pPr>
        <w:pStyle w:val="FSRnormal"/>
      </w:pPr>
      <w:r>
        <w:rPr>
          <w:noProof/>
          <w:lang w:eastAsia="en-AU"/>
        </w:rPr>
        <w:drawing>
          <wp:inline distT="0" distB="0" distL="0" distR="0" wp14:anchorId="0F2A80C9" wp14:editId="6C9B50D8">
            <wp:extent cx="5164667" cy="3256539"/>
            <wp:effectExtent l="0" t="0" r="4445" b="0"/>
            <wp:docPr id="487" name="Picture 487" descr="Stacked bar chart showing actual and expected mortality and non-mortality exits. Calendar year 2018 had an actual total exit rate of 1.89% (0.89% mortality, 1.00% non-mortality). Calendar year 2019 had an actual total exit rate of 1.38% (0.97% mortality, 0.41% non-mortality). Calendar year 2020 had an actual total exit rate of 1.54% (0.99% mortality, 0.55% non-mortality). For the period of time from Jan 2021 to 30 June 2021 the figures were a total exit rate of 1.70% (0.91% mortality, 0.79% non-mortality. The expected for the calendar year of 2020 with exposure as at June 30 2021 is 2.31% total exits (0.91% mortality, 1.40% non-mort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descr="Stacked bar chart showing actual and expected mortality and non-mortality exits. Calendar year 2018 had an actual total exit rate of 1.89% (0.89% mortality, 1.00% non-mortality). Calendar year 2019 had an actual total exit rate of 1.38% (0.97% mortality, 0.41% non-mortality). Calendar year 2020 had an actual total exit rate of 1.54% (0.99% mortality, 0.55% non-mortality). For the period of time from Jan 2021 to 30 June 2021 the figures were a total exit rate of 1.70% (0.91% mortality, 0.79% non-mortality. The expected for the calendar year of 2020 with exposure as at June 30 2021 is 2.31% total exits (0.91% mortality, 1.40% non-mortality)"/>
                    <pic:cNvPicPr/>
                  </pic:nvPicPr>
                  <pic:blipFill>
                    <a:blip r:embed="rId42">
                      <a:extLst>
                        <a:ext uri="{28A0092B-C50C-407E-A947-70E740481C1C}">
                          <a14:useLocalDpi xmlns:a14="http://schemas.microsoft.com/office/drawing/2010/main" val="0"/>
                        </a:ext>
                      </a:extLst>
                    </a:blip>
                    <a:stretch>
                      <a:fillRect/>
                    </a:stretch>
                  </pic:blipFill>
                  <pic:spPr>
                    <a:xfrm>
                      <a:off x="0" y="0"/>
                      <a:ext cx="5192182" cy="3273888"/>
                    </a:xfrm>
                    <a:prstGeom prst="rect">
                      <a:avLst/>
                    </a:prstGeom>
                  </pic:spPr>
                </pic:pic>
              </a:graphicData>
            </a:graphic>
          </wp:inline>
        </w:drawing>
      </w:r>
    </w:p>
    <w:p w14:paraId="2101D195" w14:textId="51EACB6E" w:rsidR="00A521EC" w:rsidRDefault="00180C52" w:rsidP="007A577A">
      <w:pPr>
        <w:pStyle w:val="Heading3"/>
      </w:pPr>
      <w:bookmarkStart w:id="106" w:name="_Toc83220842"/>
      <w:bookmarkStart w:id="107" w:name="_Toc85031253"/>
      <w:r>
        <w:t xml:space="preserve">Average payment </w:t>
      </w:r>
      <w:r w:rsidR="00A50C0E">
        <w:t>per participant</w:t>
      </w:r>
      <w:bookmarkEnd w:id="106"/>
      <w:bookmarkEnd w:id="107"/>
    </w:p>
    <w:p w14:paraId="20D88D83" w14:textId="3413BC7E" w:rsidR="0047255C" w:rsidRPr="00393DE9" w:rsidRDefault="0047255C" w:rsidP="0047255C">
      <w:pPr>
        <w:pStyle w:val="FSRHeading5"/>
        <w:rPr>
          <w:color w:val="C45911" w:themeColor="accent2" w:themeShade="BF"/>
        </w:rPr>
      </w:pPr>
      <w:r w:rsidRPr="00393DE9">
        <w:rPr>
          <w:color w:val="C45911" w:themeColor="accent2" w:themeShade="BF"/>
        </w:rPr>
        <w:t xml:space="preserve">Average payments have continued to track above projections </w:t>
      </w:r>
    </w:p>
    <w:p w14:paraId="6E7BFFAD" w14:textId="3CB6D38B" w:rsidR="0047255C" w:rsidRPr="000E6D8A" w:rsidRDefault="009517E5" w:rsidP="009517E5">
      <w:pPr>
        <w:pStyle w:val="FSRnormal"/>
      </w:pPr>
      <w:r w:rsidRPr="001E494D">
        <w:t>On a cash basis</w:t>
      </w:r>
      <w:r>
        <w:rPr>
          <w:rStyle w:val="FootnoteReference"/>
        </w:rPr>
        <w:footnoteReference w:id="47"/>
      </w:r>
      <w:r w:rsidRPr="001E494D">
        <w:t xml:space="preserve">, there were $12.5 billion in </w:t>
      </w:r>
      <w:r w:rsidR="00FE6084">
        <w:t>payment</w:t>
      </w:r>
      <w:r w:rsidRPr="001E494D">
        <w:t>s made in respect of participant costs in the 6 months to 30 June 2021.</w:t>
      </w:r>
      <w:r>
        <w:t xml:space="preserve"> Over this period</w:t>
      </w:r>
      <w:r w:rsidR="0047255C" w:rsidRPr="000E6D8A">
        <w:t xml:space="preserve">, total </w:t>
      </w:r>
      <w:r w:rsidR="0047255C" w:rsidRPr="00805C85">
        <w:t xml:space="preserve">payments were 5% higher than </w:t>
      </w:r>
      <w:r w:rsidRPr="00805C85">
        <w:t>projected in the previous review</w:t>
      </w:r>
      <w:r w:rsidR="00180C52" w:rsidRPr="00805C85">
        <w:t xml:space="preserve"> (that is, $12.5 billion compared with </w:t>
      </w:r>
      <w:r w:rsidR="00180C52" w:rsidRPr="000D0CA3">
        <w:t>$</w:t>
      </w:r>
      <w:r w:rsidR="00805C85" w:rsidRPr="00805C85">
        <w:t>11.9 billion</w:t>
      </w:r>
      <w:r w:rsidR="00180C52" w:rsidRPr="00805C85">
        <w:t>)</w:t>
      </w:r>
      <w:r w:rsidR="0047255C" w:rsidRPr="00805C85">
        <w:t xml:space="preserve">. </w:t>
      </w:r>
      <w:r w:rsidR="00F948D8" w:rsidRPr="00805C85">
        <w:t>T</w:t>
      </w:r>
      <w:r w:rsidR="0047255C" w:rsidRPr="00805C85">
        <w:t xml:space="preserve">he variance in total payments compared with </w:t>
      </w:r>
      <w:r w:rsidR="00FE41C8">
        <w:t xml:space="preserve">that </w:t>
      </w:r>
      <w:r w:rsidR="0047255C" w:rsidRPr="00805C85">
        <w:t xml:space="preserve">expected </w:t>
      </w:r>
      <w:r w:rsidR="00F948D8" w:rsidRPr="00805C85">
        <w:t xml:space="preserve">was </w:t>
      </w:r>
      <w:r w:rsidR="00445855">
        <w:t xml:space="preserve">predominantly </w:t>
      </w:r>
      <w:r w:rsidR="00FE41C8">
        <w:t xml:space="preserve">caused by </w:t>
      </w:r>
      <w:r w:rsidR="0047255C" w:rsidRPr="00805C85">
        <w:t>increases in</w:t>
      </w:r>
      <w:r w:rsidR="0047255C" w:rsidRPr="000E6D8A">
        <w:t xml:space="preserve"> average payment</w:t>
      </w:r>
      <w:r w:rsidR="00F948D8">
        <w:t>s</w:t>
      </w:r>
      <w:r w:rsidR="0047255C" w:rsidRPr="000E6D8A">
        <w:t xml:space="preserve"> </w:t>
      </w:r>
      <w:r w:rsidR="00F948D8">
        <w:t>per participant</w:t>
      </w:r>
      <w:r w:rsidR="0047255C" w:rsidRPr="000E6D8A">
        <w:t>, particularly for non-SIL participants (</w:t>
      </w:r>
      <w:r w:rsidR="00F948D8">
        <w:t xml:space="preserve">which were </w:t>
      </w:r>
      <w:r w:rsidR="00E377EE">
        <w:t>6</w:t>
      </w:r>
      <w:r w:rsidR="0047255C" w:rsidRPr="000E6D8A">
        <w:t>% higher than expected).</w:t>
      </w:r>
      <w:r w:rsidR="00402B65">
        <w:t xml:space="preserve"> Participant numbers were relatively close to expected since the previous review. </w:t>
      </w:r>
    </w:p>
    <w:p w14:paraId="260C718E" w14:textId="3A0EFF2C" w:rsidR="0047255C" w:rsidRPr="000E6D8A" w:rsidRDefault="0047255C" w:rsidP="0047255C">
      <w:pPr>
        <w:spacing w:before="240"/>
      </w:pPr>
      <w:r w:rsidRPr="000E6D8A">
        <w:t>Experience has demonstrated that average annualised payments have continued to increase year on year. The annual increase in average payment is 11.8%</w:t>
      </w:r>
      <w:r w:rsidR="00E825A2">
        <w:t>p.a.</w:t>
      </w:r>
      <w:r w:rsidRPr="000E6D8A">
        <w:t xml:space="preserve"> over the last four years</w:t>
      </w:r>
      <w:r w:rsidR="00F948D8">
        <w:t xml:space="preserve"> (</w:t>
      </w:r>
      <w:r w:rsidR="00F948D8">
        <w:fldChar w:fldCharType="begin"/>
      </w:r>
      <w:r w:rsidR="00F948D8">
        <w:instrText xml:space="preserve"> REF _Ref80335987 \h </w:instrText>
      </w:r>
      <w:r w:rsidR="00F948D8">
        <w:fldChar w:fldCharType="separate"/>
      </w:r>
      <w:r w:rsidR="00E50032" w:rsidRPr="000E6D8A">
        <w:t xml:space="preserve">Figure </w:t>
      </w:r>
      <w:r w:rsidR="00E50032">
        <w:rPr>
          <w:noProof/>
        </w:rPr>
        <w:t>25</w:t>
      </w:r>
      <w:r w:rsidR="00F948D8">
        <w:fldChar w:fldCharType="end"/>
      </w:r>
      <w:r w:rsidR="00F948D8">
        <w:t>)</w:t>
      </w:r>
      <w:r w:rsidRPr="000E6D8A">
        <w:t xml:space="preserve">. </w:t>
      </w:r>
    </w:p>
    <w:p w14:paraId="486C3D37" w14:textId="487C2AA3" w:rsidR="00587E18" w:rsidRPr="000E6D8A" w:rsidRDefault="00587E18" w:rsidP="00587E18">
      <w:pPr>
        <w:pStyle w:val="Figures"/>
      </w:pPr>
      <w:bookmarkStart w:id="108" w:name="_Ref80335987"/>
      <w:r w:rsidRPr="000E6D8A">
        <w:lastRenderedPageBreak/>
        <w:t xml:space="preserve">Figure </w:t>
      </w:r>
      <w:fldSimple w:instr=" SEQ Figure \* ARABIC ">
        <w:r w:rsidR="00E50032">
          <w:rPr>
            <w:noProof/>
          </w:rPr>
          <w:t>25</w:t>
        </w:r>
      </w:fldSimple>
      <w:bookmarkEnd w:id="108"/>
      <w:r w:rsidRPr="000E6D8A">
        <w:t xml:space="preserve"> Average annualised payments over time</w:t>
      </w:r>
      <w:r w:rsidRPr="000E6D8A">
        <w:rPr>
          <w:vertAlign w:val="superscript"/>
        </w:rPr>
        <w:footnoteReference w:id="48"/>
      </w:r>
    </w:p>
    <w:p w14:paraId="7B755100" w14:textId="07A3B7B9" w:rsidR="00587E18" w:rsidRDefault="00587E18" w:rsidP="00587E18">
      <w:pPr>
        <w:pStyle w:val="FSRnormal"/>
      </w:pPr>
      <w:r w:rsidRPr="000E6D8A">
        <w:t xml:space="preserve">  </w:t>
      </w:r>
      <w:r w:rsidR="00DD2397">
        <w:rPr>
          <w:noProof/>
          <w:lang w:eastAsia="en-AU"/>
        </w:rPr>
        <w:drawing>
          <wp:inline distT="0" distB="0" distL="0" distR="0" wp14:anchorId="2ECBF1BA" wp14:editId="6105306B">
            <wp:extent cx="4224867" cy="3351728"/>
            <wp:effectExtent l="0" t="0" r="4445" b="1270"/>
            <wp:docPr id="488" name="Picture 488" descr="Bar and line chart showing that the average annualised payments have continued to increase year on year. The annual increase in average payment is 11.8%p.a. over the last four years between June 30 2018 and June 30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descr="Bar and line chart showing that the average annualised payments have continued to increase year on year. The annual increase in average payment is 11.8%p.a. over the last four years between June 30 2018 and June 30 2021"/>
                    <pic:cNvPicPr/>
                  </pic:nvPicPr>
                  <pic:blipFill>
                    <a:blip r:embed="rId43">
                      <a:extLst>
                        <a:ext uri="{28A0092B-C50C-407E-A947-70E740481C1C}">
                          <a14:useLocalDpi xmlns:a14="http://schemas.microsoft.com/office/drawing/2010/main" val="0"/>
                        </a:ext>
                      </a:extLst>
                    </a:blip>
                    <a:stretch>
                      <a:fillRect/>
                    </a:stretch>
                  </pic:blipFill>
                  <pic:spPr>
                    <a:xfrm>
                      <a:off x="0" y="0"/>
                      <a:ext cx="4236179" cy="3360703"/>
                    </a:xfrm>
                    <a:prstGeom prst="rect">
                      <a:avLst/>
                    </a:prstGeom>
                  </pic:spPr>
                </pic:pic>
              </a:graphicData>
            </a:graphic>
          </wp:inline>
        </w:drawing>
      </w:r>
    </w:p>
    <w:p w14:paraId="5C0147DD" w14:textId="5C55017F" w:rsidR="00587E18" w:rsidRPr="000E6D8A" w:rsidRDefault="00587E18" w:rsidP="00587E18">
      <w:pPr>
        <w:pStyle w:val="FSRnormal"/>
      </w:pPr>
      <w:r w:rsidRPr="000E6D8A">
        <w:t xml:space="preserve">Over the past four years, the mix of participants in the Scheme has changed. That is, as the Scheme has rolled out across the country, the proportion of participants by different characteristics has changed. </w:t>
      </w:r>
      <w:r w:rsidR="00F948D8">
        <w:t>In particular</w:t>
      </w:r>
      <w:r w:rsidRPr="000E6D8A">
        <w:t xml:space="preserve">, the proportion of children in the Scheme is higher in 2020-21 compared with 2017-18, and the proportion of SIL participants in the Scheme is lower in 2020-21 compared with 2017-18. </w:t>
      </w:r>
    </w:p>
    <w:p w14:paraId="183BC389" w14:textId="2D4A5A32" w:rsidR="00A651B6" w:rsidRPr="000E6D8A" w:rsidRDefault="00A651B6" w:rsidP="00587E18">
      <w:pPr>
        <w:pStyle w:val="FSRnormal"/>
      </w:pPr>
      <w:r w:rsidRPr="00C578EB">
        <w:t xml:space="preserve">Analysing the change in average payment over time by whether or not participants are in SIL indicates that the </w:t>
      </w:r>
      <w:r>
        <w:t xml:space="preserve">average annual </w:t>
      </w:r>
      <w:r w:rsidRPr="00C578EB">
        <w:t>increase in</w:t>
      </w:r>
      <w:r>
        <w:t xml:space="preserve"> average payment has been consistently high</w:t>
      </w:r>
      <w:r w:rsidRPr="00C578EB">
        <w:t xml:space="preserve"> </w:t>
      </w:r>
      <w:r>
        <w:t>across both participant groups</w:t>
      </w:r>
      <w:r w:rsidRPr="00C578EB">
        <w:t xml:space="preserve">. </w:t>
      </w:r>
      <w:r w:rsidRPr="000E6D8A">
        <w:t>Specifically, the average annual payment has increased for SIL participants by 12</w:t>
      </w:r>
      <w:r w:rsidR="00405A88">
        <w:t>.0</w:t>
      </w:r>
      <w:r w:rsidRPr="000E6D8A">
        <w:t>%, and the average annual payment has increased for non-SIL participants by 17</w:t>
      </w:r>
      <w:r w:rsidR="00405A88">
        <w:t>.1</w:t>
      </w:r>
      <w:r w:rsidRPr="000E6D8A">
        <w:t>%</w:t>
      </w:r>
      <w:r w:rsidRPr="00C578EB">
        <w:t xml:space="preserve"> (</w:t>
      </w:r>
      <w:r w:rsidRPr="00DD2397">
        <w:rPr>
          <w:u w:val="single"/>
        </w:rPr>
        <w:fldChar w:fldCharType="begin"/>
      </w:r>
      <w:r w:rsidRPr="00DD2397">
        <w:rPr>
          <w:u w:val="single"/>
        </w:rPr>
        <w:instrText xml:space="preserve"> REF _Ref80185173 \h  \* MERGEFORMAT </w:instrText>
      </w:r>
      <w:r w:rsidRPr="00DD2397">
        <w:rPr>
          <w:u w:val="single"/>
        </w:rPr>
      </w:r>
      <w:r w:rsidRPr="00DD2397">
        <w:rPr>
          <w:u w:val="single"/>
        </w:rPr>
        <w:fldChar w:fldCharType="separate"/>
      </w:r>
      <w:r w:rsidR="00E50032" w:rsidRPr="00E50032">
        <w:rPr>
          <w:rFonts w:eastAsiaTheme="minorHAnsi"/>
          <w:bCs/>
          <w:szCs w:val="18"/>
          <w:u w:val="single"/>
          <w:lang w:eastAsia="en-US"/>
        </w:rPr>
        <w:t xml:space="preserve">Figure </w:t>
      </w:r>
      <w:r w:rsidR="00E50032" w:rsidRPr="00E50032">
        <w:rPr>
          <w:rFonts w:eastAsiaTheme="minorHAnsi"/>
          <w:bCs/>
          <w:noProof/>
          <w:szCs w:val="18"/>
          <w:u w:val="single"/>
          <w:lang w:eastAsia="en-US"/>
        </w:rPr>
        <w:t>26</w:t>
      </w:r>
      <w:r w:rsidRPr="00DD2397">
        <w:rPr>
          <w:u w:val="single"/>
        </w:rPr>
        <w:fldChar w:fldCharType="end"/>
      </w:r>
      <w:r>
        <w:t>)</w:t>
      </w:r>
      <w:r w:rsidRPr="00C578EB">
        <w:t>.</w:t>
      </w:r>
      <w:r>
        <w:t xml:space="preserve"> </w:t>
      </w:r>
      <w:r w:rsidR="00445855">
        <w:t xml:space="preserve">Each of these </w:t>
      </w:r>
      <w:r>
        <w:t>average</w:t>
      </w:r>
      <w:r w:rsidR="00445855">
        <w:t xml:space="preserve"> increases </w:t>
      </w:r>
      <w:r>
        <w:t xml:space="preserve">are </w:t>
      </w:r>
      <w:r w:rsidR="00445855">
        <w:t xml:space="preserve">similar to or </w:t>
      </w:r>
      <w:r>
        <w:t xml:space="preserve">higher than the overall average (of 11.8%), as the proportion of participants in SIL has decreased over the period. The average inflation over the past three years (removing the effect of </w:t>
      </w:r>
      <w:r w:rsidR="00445855">
        <w:t xml:space="preserve">the </w:t>
      </w:r>
      <w:r>
        <w:t>change in mix) was 14.9% p.a.</w:t>
      </w:r>
    </w:p>
    <w:p w14:paraId="2885BFFB" w14:textId="454DEFC7" w:rsidR="00587E18" w:rsidRPr="000E6D8A" w:rsidRDefault="00587E18" w:rsidP="00587E18">
      <w:pPr>
        <w:pStyle w:val="Figures"/>
        <w:rPr>
          <w:rFonts w:cs="Arial"/>
        </w:rPr>
      </w:pPr>
      <w:bookmarkStart w:id="109" w:name="_Ref80185173"/>
      <w:r w:rsidRPr="000E6D8A">
        <w:lastRenderedPageBreak/>
        <w:t xml:space="preserve">Figure </w:t>
      </w:r>
      <w:fldSimple w:instr=" SEQ Figure \* ARABIC ">
        <w:r w:rsidR="00E50032">
          <w:rPr>
            <w:noProof/>
          </w:rPr>
          <w:t>26</w:t>
        </w:r>
      </w:fldSimple>
      <w:bookmarkEnd w:id="109"/>
      <w:r w:rsidRPr="000E6D8A">
        <w:t xml:space="preserve"> Average annualised payments over time by </w:t>
      </w:r>
      <w:r w:rsidR="001A5ECE">
        <w:t>SIL type</w:t>
      </w:r>
      <w:r w:rsidRPr="000E6D8A">
        <w:t xml:space="preserve"> and in total</w:t>
      </w:r>
      <w:r w:rsidRPr="000E6D8A">
        <w:rPr>
          <w:vertAlign w:val="superscript"/>
        </w:rPr>
        <w:footnoteReference w:id="49"/>
      </w:r>
    </w:p>
    <w:p w14:paraId="2E22C9D8" w14:textId="0D26130C" w:rsidR="00587E18" w:rsidRPr="00587E18" w:rsidRDefault="003156B0" w:rsidP="00587E18">
      <w:pPr>
        <w:pStyle w:val="FSRnormal"/>
        <w:rPr>
          <w:rFonts w:eastAsiaTheme="minorHAnsi"/>
        </w:rPr>
      </w:pPr>
      <w:r>
        <w:rPr>
          <w:rFonts w:eastAsiaTheme="minorHAnsi"/>
          <w:noProof/>
          <w:lang w:eastAsia="en-AU"/>
        </w:rPr>
        <w:drawing>
          <wp:inline distT="0" distB="0" distL="0" distR="0" wp14:anchorId="08B57021" wp14:editId="339B6161">
            <wp:extent cx="5700584" cy="2438400"/>
            <wp:effectExtent l="0" t="0" r="1905" b="0"/>
            <wp:docPr id="9" name="Picture 9" descr="Bar and line chart showing that the average annualised payment has increased for SIL participants by 12.0% over the period of 30 June 2018 to 30 June 2021, and the average annualised payment has increased for non-SIL participants by 17.1% over the sa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r and line chart showing that the average annualised payment has increased for SIL participants by 12.0% over the period of 30 June 2018 to 30 June 2021, and the average annualised payment has increased for non-SIL participants by 17.1% over the same period"/>
                    <pic:cNvPicPr/>
                  </pic:nvPicPr>
                  <pic:blipFill>
                    <a:blip r:embed="rId44">
                      <a:extLst>
                        <a:ext uri="{28A0092B-C50C-407E-A947-70E740481C1C}">
                          <a14:useLocalDpi xmlns:a14="http://schemas.microsoft.com/office/drawing/2010/main" val="0"/>
                        </a:ext>
                      </a:extLst>
                    </a:blip>
                    <a:stretch>
                      <a:fillRect/>
                    </a:stretch>
                  </pic:blipFill>
                  <pic:spPr>
                    <a:xfrm>
                      <a:off x="0" y="0"/>
                      <a:ext cx="5720256" cy="2446814"/>
                    </a:xfrm>
                    <a:prstGeom prst="rect">
                      <a:avLst/>
                    </a:prstGeom>
                  </pic:spPr>
                </pic:pic>
              </a:graphicData>
            </a:graphic>
          </wp:inline>
        </w:drawing>
      </w:r>
    </w:p>
    <w:p w14:paraId="3DC26381" w14:textId="3E3F12C3" w:rsidR="00587E18" w:rsidRPr="000E6D8A" w:rsidRDefault="00587E18" w:rsidP="00587E18">
      <w:pPr>
        <w:pStyle w:val="FSRnormal"/>
      </w:pPr>
      <w:r w:rsidRPr="003156B0">
        <w:rPr>
          <w:u w:val="single"/>
        </w:rPr>
        <w:fldChar w:fldCharType="begin"/>
      </w:r>
      <w:r w:rsidRPr="003156B0">
        <w:rPr>
          <w:u w:val="single"/>
        </w:rPr>
        <w:instrText xml:space="preserve"> REF _Ref80185260 \h  \* MERGEFORMAT </w:instrText>
      </w:r>
      <w:r w:rsidRPr="003156B0">
        <w:rPr>
          <w:u w:val="single"/>
        </w:rPr>
      </w:r>
      <w:r w:rsidRPr="003156B0">
        <w:rPr>
          <w:u w:val="single"/>
        </w:rPr>
        <w:fldChar w:fldCharType="separate"/>
      </w:r>
      <w:r w:rsidR="00E50032" w:rsidRPr="00E50032">
        <w:rPr>
          <w:rFonts w:eastAsiaTheme="minorHAnsi"/>
          <w:bCs/>
          <w:u w:val="single"/>
        </w:rPr>
        <w:t xml:space="preserve">Figure </w:t>
      </w:r>
      <w:r w:rsidR="00E50032" w:rsidRPr="00E50032">
        <w:rPr>
          <w:rFonts w:eastAsiaTheme="minorHAnsi"/>
          <w:bCs/>
          <w:noProof/>
          <w:u w:val="single"/>
        </w:rPr>
        <w:t>27</w:t>
      </w:r>
      <w:r w:rsidRPr="003156B0">
        <w:rPr>
          <w:u w:val="single"/>
        </w:rPr>
        <w:fldChar w:fldCharType="end"/>
      </w:r>
      <w:r>
        <w:t xml:space="preserve"> </w:t>
      </w:r>
      <w:r w:rsidRPr="000E6D8A">
        <w:t>analyses the change in average payment over time by age band for participants not in SIL. The average increase for 0 to 14 year olds is 1</w:t>
      </w:r>
      <w:r w:rsidR="00046B31">
        <w:t>3</w:t>
      </w:r>
      <w:r w:rsidRPr="000E6D8A">
        <w:t>%, the average increase for 15 to 24 year olds is 12%, the average increase for 25 to 64 year olds is 2</w:t>
      </w:r>
      <w:r w:rsidR="00046B31">
        <w:t>1</w:t>
      </w:r>
      <w:r w:rsidRPr="000E6D8A">
        <w:t>%, and the average increase for participants aged over 65 is 22%. For participants not in SIL, average payments have increased at a faster rate for adults (those aged over 25) and reflects a material increase in the hours of attendant care support these participants are receiving over time.</w:t>
      </w:r>
    </w:p>
    <w:p w14:paraId="623C4725" w14:textId="243AD933" w:rsidR="00587E18" w:rsidRPr="000E6D8A" w:rsidRDefault="00587E18" w:rsidP="00587E18">
      <w:pPr>
        <w:pStyle w:val="Figures"/>
        <w:rPr>
          <w:rFonts w:cs="Arial"/>
        </w:rPr>
      </w:pPr>
      <w:bookmarkStart w:id="110" w:name="_Ref80185260"/>
      <w:r w:rsidRPr="000E6D8A">
        <w:t xml:space="preserve">Figure </w:t>
      </w:r>
      <w:fldSimple w:instr=" SEQ Figure \* ARABIC ">
        <w:r w:rsidR="00E50032">
          <w:rPr>
            <w:noProof/>
          </w:rPr>
          <w:t>27</w:t>
        </w:r>
      </w:fldSimple>
      <w:bookmarkEnd w:id="110"/>
      <w:r w:rsidRPr="000E6D8A">
        <w:t xml:space="preserve"> Average annualised payments over time for non-SIL participants by age band</w:t>
      </w:r>
      <w:r w:rsidRPr="000E6D8A">
        <w:rPr>
          <w:vertAlign w:val="superscript"/>
        </w:rPr>
        <w:footnoteReference w:id="50"/>
      </w:r>
    </w:p>
    <w:p w14:paraId="3D8253F2" w14:textId="1FF4A4CA" w:rsidR="00587E18" w:rsidRDefault="00255E35" w:rsidP="00587E18">
      <w:pPr>
        <w:pStyle w:val="FSRnormal"/>
      </w:pPr>
      <w:r>
        <w:rPr>
          <w:noProof/>
          <w:lang w:eastAsia="en-AU"/>
        </w:rPr>
        <w:drawing>
          <wp:inline distT="0" distB="0" distL="0" distR="0" wp14:anchorId="07629255" wp14:editId="6B947C27">
            <wp:extent cx="4800600" cy="2790497"/>
            <wp:effectExtent l="0" t="0" r="0" b="3810"/>
            <wp:docPr id="490" name="Picture 490" descr="Bar and line graphs showing average annualised payments per participant over time for non-SIL participants by age band. There was a 13% increase per annum for 0 to 14 years, 12% increase per annum for 15-24 years, 21% increase per annum for 25 to 64 years, and 22% increase per annum for those age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Bar and line graphs showing average annualised payments per participant over time for non-SIL participants by age band. There was a 13% increase per annum for 0 to 14 years, 12% increase per annum for 15-24 years, 21% increase per annum for 25 to 64 years, and 22% increase per annum for those aged 65+."/>
                    <pic:cNvPicPr/>
                  </pic:nvPicPr>
                  <pic:blipFill>
                    <a:blip r:embed="rId45">
                      <a:extLst>
                        <a:ext uri="{28A0092B-C50C-407E-A947-70E740481C1C}">
                          <a14:useLocalDpi xmlns:a14="http://schemas.microsoft.com/office/drawing/2010/main" val="0"/>
                        </a:ext>
                      </a:extLst>
                    </a:blip>
                    <a:stretch>
                      <a:fillRect/>
                    </a:stretch>
                  </pic:blipFill>
                  <pic:spPr>
                    <a:xfrm>
                      <a:off x="0" y="0"/>
                      <a:ext cx="4839608" cy="2813171"/>
                    </a:xfrm>
                    <a:prstGeom prst="rect">
                      <a:avLst/>
                    </a:prstGeom>
                  </pic:spPr>
                </pic:pic>
              </a:graphicData>
            </a:graphic>
          </wp:inline>
        </w:drawing>
      </w:r>
    </w:p>
    <w:p w14:paraId="23499520" w14:textId="04823B0F" w:rsidR="009517E5" w:rsidRPr="00255E35" w:rsidRDefault="009517E5" w:rsidP="009517E5">
      <w:pPr>
        <w:pStyle w:val="FSRHeading5"/>
        <w:rPr>
          <w:color w:val="C45911" w:themeColor="accent2" w:themeShade="BF"/>
        </w:rPr>
      </w:pPr>
      <w:r w:rsidRPr="00255E35">
        <w:rPr>
          <w:color w:val="C45911" w:themeColor="accent2" w:themeShade="BF"/>
        </w:rPr>
        <w:lastRenderedPageBreak/>
        <w:t xml:space="preserve">The distribution of </w:t>
      </w:r>
      <w:r w:rsidR="00475322" w:rsidRPr="00255E35">
        <w:rPr>
          <w:color w:val="C45911" w:themeColor="accent2" w:themeShade="BF"/>
        </w:rPr>
        <w:t>Scheme</w:t>
      </w:r>
      <w:r w:rsidRPr="00255E35">
        <w:rPr>
          <w:color w:val="C45911" w:themeColor="accent2" w:themeShade="BF"/>
        </w:rPr>
        <w:t xml:space="preserve"> cost is highly skewed</w:t>
      </w:r>
    </w:p>
    <w:p w14:paraId="58EAB3BB" w14:textId="2C1FCF7F" w:rsidR="009517E5" w:rsidRPr="0047255C" w:rsidRDefault="009517E5" w:rsidP="009517E5">
      <w:pPr>
        <w:pStyle w:val="FSRnormal"/>
      </w:pPr>
      <w:r w:rsidRPr="000E6D8A">
        <w:t xml:space="preserve">The Scheme supports participants with a diverse range of needs. Of the payments over the 12 months to 30 June 2021 to </w:t>
      </w:r>
      <w:r w:rsidR="00B151A5">
        <w:t xml:space="preserve">mature </w:t>
      </w:r>
      <w:r w:rsidRPr="000E6D8A">
        <w:t>participants</w:t>
      </w:r>
      <w:r w:rsidR="00B151A5">
        <w:rPr>
          <w:rStyle w:val="FootnoteReference"/>
        </w:rPr>
        <w:footnoteReference w:id="51"/>
      </w:r>
      <w:r w:rsidRPr="000E6D8A">
        <w:t xml:space="preserve">, 50% </w:t>
      </w:r>
      <w:r w:rsidR="00B151A5">
        <w:t xml:space="preserve">related to </w:t>
      </w:r>
      <w:r w:rsidRPr="000E6D8A">
        <w:t>the top 10%</w:t>
      </w:r>
      <w:r w:rsidR="00B151A5">
        <w:rPr>
          <w:rStyle w:val="FootnoteReference"/>
        </w:rPr>
        <w:footnoteReference w:id="52"/>
      </w:r>
      <w:r w:rsidRPr="000E6D8A">
        <w:t xml:space="preserve"> of participants when ranked by cost over the period. Conversely, the bottom 40%</w:t>
      </w:r>
      <w:r w:rsidR="00B151A5">
        <w:rPr>
          <w:rStyle w:val="FootnoteReference"/>
        </w:rPr>
        <w:footnoteReference w:id="53"/>
      </w:r>
      <w:r w:rsidRPr="000E6D8A">
        <w:t xml:space="preserve"> of participants represent 5% of payments made</w:t>
      </w:r>
      <w:r w:rsidR="00E825A2">
        <w:t xml:space="preserve"> (</w:t>
      </w:r>
      <w:r w:rsidRPr="008931B0">
        <w:rPr>
          <w:u w:val="single"/>
        </w:rPr>
        <w:fldChar w:fldCharType="begin"/>
      </w:r>
      <w:r w:rsidRPr="008931B0">
        <w:rPr>
          <w:u w:val="single"/>
        </w:rPr>
        <w:instrText xml:space="preserve"> REF _Ref80184896 \h </w:instrText>
      </w:r>
      <w:r w:rsidRPr="008931B0">
        <w:rPr>
          <w:u w:val="single"/>
        </w:rPr>
      </w:r>
      <w:r w:rsidRPr="008931B0">
        <w:rPr>
          <w:u w:val="single"/>
        </w:rPr>
        <w:fldChar w:fldCharType="separate"/>
      </w:r>
      <w:r w:rsidR="00E50032" w:rsidRPr="0047255C">
        <w:t xml:space="preserve">Figure </w:t>
      </w:r>
      <w:r w:rsidR="00E50032">
        <w:rPr>
          <w:noProof/>
        </w:rPr>
        <w:t>28</w:t>
      </w:r>
      <w:r w:rsidRPr="008931B0">
        <w:rPr>
          <w:u w:val="single"/>
        </w:rPr>
        <w:fldChar w:fldCharType="end"/>
      </w:r>
      <w:r w:rsidR="00E825A2">
        <w:t>)</w:t>
      </w:r>
      <w:r w:rsidRPr="000E6D8A">
        <w:t>.</w:t>
      </w:r>
    </w:p>
    <w:p w14:paraId="3EFDF53C" w14:textId="4576F2F2" w:rsidR="009517E5" w:rsidRPr="0047255C" w:rsidRDefault="009517E5" w:rsidP="009517E5">
      <w:pPr>
        <w:pStyle w:val="Figures"/>
      </w:pPr>
      <w:bookmarkStart w:id="111" w:name="_Ref80184896"/>
      <w:r w:rsidRPr="0047255C">
        <w:t xml:space="preserve">Figure </w:t>
      </w:r>
      <w:fldSimple w:instr=" SEQ Figure \* ARABIC ">
        <w:r w:rsidR="00E50032">
          <w:rPr>
            <w:noProof/>
          </w:rPr>
          <w:t>28</w:t>
        </w:r>
      </w:fldSimple>
      <w:bookmarkEnd w:id="111"/>
      <w:r w:rsidRPr="0047255C">
        <w:t xml:space="preserve"> Average </w:t>
      </w:r>
      <w:r w:rsidR="00BB0CB7">
        <w:t xml:space="preserve">payment </w:t>
      </w:r>
      <w:r w:rsidRPr="0047255C">
        <w:t xml:space="preserve">and cumulative percentage of </w:t>
      </w:r>
      <w:r w:rsidR="00BB0CB7">
        <w:t xml:space="preserve">Scheme </w:t>
      </w:r>
      <w:r w:rsidRPr="0047255C">
        <w:t>cost by ventile (5% band)</w:t>
      </w:r>
    </w:p>
    <w:p w14:paraId="2FB5D2A5" w14:textId="6B773B3E" w:rsidR="009517E5" w:rsidRPr="000E6D8A" w:rsidRDefault="001679C9" w:rsidP="009517E5">
      <w:pPr>
        <w:pStyle w:val="FSRnormal"/>
        <w:rPr>
          <w:rFonts w:cs="Arial"/>
        </w:rPr>
      </w:pPr>
      <w:r>
        <w:rPr>
          <w:rFonts w:cs="Arial"/>
          <w:noProof/>
          <w:lang w:eastAsia="en-AU"/>
        </w:rPr>
        <w:drawing>
          <wp:inline distT="0" distB="0" distL="0" distR="0" wp14:anchorId="5828B06F" wp14:editId="2C05765B">
            <wp:extent cx="5587591" cy="2777066"/>
            <wp:effectExtent l="0" t="0" r="635" b="4445"/>
            <wp:docPr id="491" name="Picture 491" descr="A Bar chart showing the average payment and cumulative percentage of Scheme cost by ventile (5% band). This chart shows that of the payments over the 12 months to 30 June 2021 to mature participants, 50% related to the top 10% of participants when ranked by cost over the period. Conversely, the bottom 40% of participants represent 5% of payments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descr="A Bar chart showing the average payment and cumulative percentage of Scheme cost by ventile (5% band). This chart shows that of the payments over the 12 months to 30 June 2021 to mature participants, 50% related to the top 10% of participants when ranked by cost over the period. Conversely, the bottom 40% of participants represent 5% of payments made"/>
                    <pic:cNvPicPr/>
                  </pic:nvPicPr>
                  <pic:blipFill>
                    <a:blip r:embed="rId46">
                      <a:extLst>
                        <a:ext uri="{28A0092B-C50C-407E-A947-70E740481C1C}">
                          <a14:useLocalDpi xmlns:a14="http://schemas.microsoft.com/office/drawing/2010/main" val="0"/>
                        </a:ext>
                      </a:extLst>
                    </a:blip>
                    <a:stretch>
                      <a:fillRect/>
                    </a:stretch>
                  </pic:blipFill>
                  <pic:spPr>
                    <a:xfrm>
                      <a:off x="0" y="0"/>
                      <a:ext cx="5617999" cy="2792179"/>
                    </a:xfrm>
                    <a:prstGeom prst="rect">
                      <a:avLst/>
                    </a:prstGeom>
                  </pic:spPr>
                </pic:pic>
              </a:graphicData>
            </a:graphic>
          </wp:inline>
        </w:drawing>
      </w:r>
    </w:p>
    <w:p w14:paraId="6D5EC13B" w14:textId="79A8CD67" w:rsidR="009517E5" w:rsidRPr="0047255C" w:rsidRDefault="00180C52" w:rsidP="009517E5">
      <w:pPr>
        <w:pStyle w:val="FSRnormal"/>
      </w:pPr>
      <w:r w:rsidRPr="0047255C">
        <w:t xml:space="preserve">This distribution does not vary greatly even when </w:t>
      </w:r>
      <w:r>
        <w:t xml:space="preserve">removing the impact of SIL </w:t>
      </w:r>
      <w:r w:rsidRPr="0047255C">
        <w:t>participants</w:t>
      </w:r>
      <w:r>
        <w:t xml:space="preserve"> (who have far higher payments on average)</w:t>
      </w:r>
      <w:r w:rsidRPr="0047255C">
        <w:t xml:space="preserve">. </w:t>
      </w:r>
      <w:r>
        <w:t xml:space="preserve">45% of payments are made in respect of </w:t>
      </w:r>
      <w:r w:rsidRPr="0047255C">
        <w:t xml:space="preserve">the </w:t>
      </w:r>
      <w:r>
        <w:t>top 10% of non-SIL participants, whilst only 7% are made in respect of the bottom 40% of non-SIL participants (</w:t>
      </w:r>
      <w:r w:rsidRPr="001679C9">
        <w:rPr>
          <w:u w:val="single"/>
        </w:rPr>
        <w:fldChar w:fldCharType="begin"/>
      </w:r>
      <w:r w:rsidRPr="001679C9">
        <w:rPr>
          <w:u w:val="single"/>
        </w:rPr>
        <w:instrText xml:space="preserve"> REF _Ref80184921 \h </w:instrText>
      </w:r>
      <w:r w:rsidRPr="001679C9">
        <w:rPr>
          <w:u w:val="single"/>
        </w:rPr>
      </w:r>
      <w:r w:rsidRPr="001679C9">
        <w:rPr>
          <w:u w:val="single"/>
        </w:rPr>
        <w:fldChar w:fldCharType="separate"/>
      </w:r>
      <w:r w:rsidR="00E50032" w:rsidRPr="000E6D8A">
        <w:t xml:space="preserve">Figure </w:t>
      </w:r>
      <w:r w:rsidR="00E50032">
        <w:rPr>
          <w:noProof/>
        </w:rPr>
        <w:t>29</w:t>
      </w:r>
      <w:r w:rsidRPr="001679C9">
        <w:rPr>
          <w:u w:val="single"/>
        </w:rPr>
        <w:fldChar w:fldCharType="end"/>
      </w:r>
      <w:r>
        <w:t>).</w:t>
      </w:r>
      <w:r w:rsidR="00B151A5">
        <w:t xml:space="preserve"> </w:t>
      </w:r>
    </w:p>
    <w:p w14:paraId="6727E499" w14:textId="3508E105" w:rsidR="009517E5" w:rsidRDefault="009517E5" w:rsidP="009517E5">
      <w:pPr>
        <w:pStyle w:val="Figures"/>
      </w:pPr>
      <w:bookmarkStart w:id="112" w:name="_Ref80184921"/>
      <w:r w:rsidRPr="000E6D8A">
        <w:lastRenderedPageBreak/>
        <w:t xml:space="preserve">Figure </w:t>
      </w:r>
      <w:fldSimple w:instr=" SEQ Figure \* ARABIC ">
        <w:r w:rsidR="00E50032">
          <w:rPr>
            <w:noProof/>
          </w:rPr>
          <w:t>29</w:t>
        </w:r>
      </w:fldSimple>
      <w:bookmarkEnd w:id="112"/>
      <w:r w:rsidRPr="000E6D8A">
        <w:t xml:space="preserve"> Average </w:t>
      </w:r>
      <w:r w:rsidR="00BB0CB7">
        <w:t xml:space="preserve">payment </w:t>
      </w:r>
      <w:r w:rsidRPr="000E6D8A">
        <w:t xml:space="preserve">and cumulative percentage of </w:t>
      </w:r>
      <w:r w:rsidR="00BB0CB7">
        <w:t xml:space="preserve">Scheme </w:t>
      </w:r>
      <w:r w:rsidRPr="000E6D8A">
        <w:t>cost by ventile (5% band) – non-SIL only</w:t>
      </w:r>
    </w:p>
    <w:p w14:paraId="0079BEA4" w14:textId="77777777" w:rsidR="009517E5" w:rsidRPr="000E6D8A" w:rsidRDefault="009517E5" w:rsidP="009517E5">
      <w:pPr>
        <w:pStyle w:val="FSRnormal"/>
        <w:rPr>
          <w:rFonts w:eastAsiaTheme="minorHAnsi" w:cs="Arial"/>
          <w:b/>
          <w:bCs/>
          <w:szCs w:val="18"/>
          <w:lang w:eastAsia="en-US"/>
        </w:rPr>
      </w:pPr>
      <w:r w:rsidRPr="0047255C">
        <w:rPr>
          <w:noProof/>
          <w:lang w:eastAsia="en-AU"/>
        </w:rPr>
        <w:drawing>
          <wp:inline distT="0" distB="0" distL="0" distR="0" wp14:anchorId="61A7D982" wp14:editId="746A1E84">
            <wp:extent cx="5731510" cy="2966720"/>
            <wp:effectExtent l="0" t="0" r="2540" b="5080"/>
            <wp:docPr id="276" name="Picture 276" descr="A bar chart showing the average payment and cumulative percentage of Scheme cost by ventile (5% band) for non-SIL participants only. The graph shows that 45% of payments are made in respect of the top 10% of non-SIL participants, whilst only 7% are made to the bottom 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descr="A bar chart showing the average payment and cumulative percentage of Scheme cost by ventile (5% band) for non-SIL participants only. The graph shows that 45% of payments are made in respect of the top 10% of non-SIL participants, whilst only 7% are made to the bottom 40%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2966720"/>
                    </a:xfrm>
                    <a:prstGeom prst="rect">
                      <a:avLst/>
                    </a:prstGeom>
                    <a:noFill/>
                    <a:ln>
                      <a:noFill/>
                    </a:ln>
                  </pic:spPr>
                </pic:pic>
              </a:graphicData>
            </a:graphic>
          </wp:inline>
        </w:drawing>
      </w:r>
    </w:p>
    <w:p w14:paraId="0BFAE655" w14:textId="1BCCBBE3" w:rsidR="009517E5" w:rsidRDefault="009517E5" w:rsidP="00B151A5">
      <w:pPr>
        <w:pStyle w:val="FSRnormal"/>
      </w:pPr>
      <w:r w:rsidRPr="000E6D8A">
        <w:t xml:space="preserve">These observations are common in long-tail insurance </w:t>
      </w:r>
      <w:r w:rsidR="00475322">
        <w:t>scheme</w:t>
      </w:r>
      <w:r w:rsidRPr="000E6D8A">
        <w:t xml:space="preserve">s, and understanding these trends assist with monitoring </w:t>
      </w:r>
      <w:r w:rsidR="00475322">
        <w:t>Scheme</w:t>
      </w:r>
      <w:r w:rsidRPr="000E6D8A">
        <w:t xml:space="preserve"> sustainability.</w:t>
      </w:r>
    </w:p>
    <w:p w14:paraId="4B719E9A" w14:textId="7A478D6E" w:rsidR="003C4335" w:rsidRPr="001679C9" w:rsidRDefault="00AC07D0" w:rsidP="003C4335">
      <w:pPr>
        <w:pStyle w:val="FSRHeading5"/>
        <w:rPr>
          <w:color w:val="C45911" w:themeColor="accent2" w:themeShade="BF"/>
          <w:lang w:val="en-US"/>
        </w:rPr>
      </w:pPr>
      <w:r w:rsidRPr="001679C9">
        <w:rPr>
          <w:color w:val="C45911" w:themeColor="accent2" w:themeShade="BF"/>
          <w:lang w:val="en-US"/>
        </w:rPr>
        <w:t>The a</w:t>
      </w:r>
      <w:r w:rsidR="003C4335" w:rsidRPr="001679C9">
        <w:rPr>
          <w:color w:val="C45911" w:themeColor="accent2" w:themeShade="BF"/>
          <w:lang w:val="en-US"/>
        </w:rPr>
        <w:t xml:space="preserve">verage </w:t>
      </w:r>
      <w:r w:rsidRPr="001679C9">
        <w:rPr>
          <w:color w:val="C45911" w:themeColor="accent2" w:themeShade="BF"/>
          <w:lang w:val="en-US"/>
        </w:rPr>
        <w:t xml:space="preserve">payment per participant </w:t>
      </w:r>
      <w:r w:rsidR="003C4335" w:rsidRPr="001679C9">
        <w:rPr>
          <w:color w:val="C45911" w:themeColor="accent2" w:themeShade="BF"/>
          <w:lang w:val="en-US"/>
        </w:rPr>
        <w:t xml:space="preserve">is lower for new entrants (on a </w:t>
      </w:r>
      <w:r w:rsidR="00BB0CB7" w:rsidRPr="001679C9">
        <w:rPr>
          <w:color w:val="C45911" w:themeColor="accent2" w:themeShade="BF"/>
          <w:lang w:val="en-US"/>
        </w:rPr>
        <w:t>mix</w:t>
      </w:r>
      <w:r w:rsidR="0074347B" w:rsidRPr="001679C9">
        <w:rPr>
          <w:color w:val="C45911" w:themeColor="accent2" w:themeShade="BF"/>
          <w:lang w:val="en-US"/>
        </w:rPr>
        <w:t>-</w:t>
      </w:r>
      <w:r w:rsidR="003C4335" w:rsidRPr="001679C9">
        <w:rPr>
          <w:color w:val="C45911" w:themeColor="accent2" w:themeShade="BF"/>
          <w:lang w:val="en-US"/>
        </w:rPr>
        <w:t>adjusted basis)</w:t>
      </w:r>
    </w:p>
    <w:p w14:paraId="458CF3B1" w14:textId="6532B382" w:rsidR="0074347B" w:rsidRDefault="0074347B" w:rsidP="0074347B">
      <w:pPr>
        <w:pStyle w:val="FSRnormal"/>
        <w:rPr>
          <w:lang w:val="en-US"/>
        </w:rPr>
      </w:pPr>
      <w:r>
        <w:rPr>
          <w:lang w:val="en-US"/>
        </w:rPr>
        <w:t xml:space="preserve">Since the previous review, </w:t>
      </w:r>
      <w:r w:rsidRPr="004936F5">
        <w:rPr>
          <w:lang w:val="en-US"/>
        </w:rPr>
        <w:t xml:space="preserve">a </w:t>
      </w:r>
      <w:r>
        <w:rPr>
          <w:lang w:val="en-US"/>
        </w:rPr>
        <w:t xml:space="preserve">further </w:t>
      </w:r>
      <w:r w:rsidRPr="004936F5">
        <w:rPr>
          <w:lang w:val="en-US"/>
        </w:rPr>
        <w:t>anal</w:t>
      </w:r>
      <w:r>
        <w:rPr>
          <w:lang w:val="en-US"/>
        </w:rPr>
        <w:t xml:space="preserve">ysis of 200 recent new entrants was undertaken to understand the drivers of the higher than expected number of new entrants. This </w:t>
      </w:r>
      <w:r w:rsidRPr="004936F5">
        <w:rPr>
          <w:lang w:val="en-US"/>
        </w:rPr>
        <w:t>review indicate</w:t>
      </w:r>
      <w:r>
        <w:rPr>
          <w:lang w:val="en-US"/>
        </w:rPr>
        <w:t>d</w:t>
      </w:r>
      <w:r w:rsidRPr="004936F5">
        <w:rPr>
          <w:lang w:val="en-US"/>
        </w:rPr>
        <w:t xml:space="preserve"> that </w:t>
      </w:r>
      <w:r>
        <w:rPr>
          <w:lang w:val="en-US"/>
        </w:rPr>
        <w:t xml:space="preserve">insufficient evidence was gathered regarding the level of function determined for 45% of the participants in the sample. This finding indicates broad uncertainty regarding </w:t>
      </w:r>
      <w:r w:rsidR="00095695">
        <w:rPr>
          <w:lang w:val="en-US"/>
        </w:rPr>
        <w:t xml:space="preserve">the functional capacity of </w:t>
      </w:r>
      <w:r>
        <w:rPr>
          <w:lang w:val="en-US"/>
        </w:rPr>
        <w:t xml:space="preserve">new entrants, and more specifically to the use of the level of function as a determinant of the average payment of new entrants. (The average payment for future new entrants </w:t>
      </w:r>
      <w:r w:rsidR="00FE41C8">
        <w:rPr>
          <w:lang w:val="en-US"/>
        </w:rPr>
        <w:t xml:space="preserve">assumed in these projections </w:t>
      </w:r>
      <w:r>
        <w:rPr>
          <w:lang w:val="en-US"/>
        </w:rPr>
        <w:t>is based on the participant’s level of function along with their age, primary disability and SIL status).</w:t>
      </w:r>
      <w:r w:rsidRPr="004936F5" w:rsidDel="005C11E0">
        <w:rPr>
          <w:lang w:val="en-US"/>
        </w:rPr>
        <w:t xml:space="preserve"> </w:t>
      </w:r>
      <w:r w:rsidRPr="004936F5">
        <w:rPr>
          <w:lang w:val="en-US"/>
        </w:rPr>
        <w:t xml:space="preserve"> </w:t>
      </w:r>
    </w:p>
    <w:p w14:paraId="4B6DB23B" w14:textId="23E050C7" w:rsidR="0074347B" w:rsidRPr="003C4335" w:rsidRDefault="0074347B" w:rsidP="0074347B">
      <w:pPr>
        <w:pStyle w:val="FSRnormal"/>
        <w:rPr>
          <w:lang w:val="en-US"/>
        </w:rPr>
      </w:pPr>
      <w:r>
        <w:rPr>
          <w:lang w:val="en-US"/>
        </w:rPr>
        <w:t xml:space="preserve">Analysis was therefore undertaken to identify any difference in average payment between new entrants that entered the </w:t>
      </w:r>
      <w:r w:rsidR="00783DE5">
        <w:rPr>
          <w:lang w:val="en-US"/>
        </w:rPr>
        <w:t>Scheme</w:t>
      </w:r>
      <w:r>
        <w:rPr>
          <w:lang w:val="en-US"/>
        </w:rPr>
        <w:t xml:space="preserve"> in more recent years and the overall average payment for participants w</w:t>
      </w:r>
      <w:r w:rsidRPr="003C4335">
        <w:rPr>
          <w:lang w:val="en-US"/>
        </w:rPr>
        <w:t xml:space="preserve">ho form the basis of the </w:t>
      </w:r>
      <w:r>
        <w:rPr>
          <w:lang w:val="en-US"/>
        </w:rPr>
        <w:t xml:space="preserve">payment </w:t>
      </w:r>
      <w:r w:rsidRPr="003C4335">
        <w:rPr>
          <w:lang w:val="en-US"/>
        </w:rPr>
        <w:t xml:space="preserve">per participant assumptions.  </w:t>
      </w:r>
    </w:p>
    <w:p w14:paraId="705EA556" w14:textId="141F8D27" w:rsidR="00587E18" w:rsidRDefault="0074347B" w:rsidP="0074347B">
      <w:pPr>
        <w:pStyle w:val="FSRnormal"/>
        <w:rPr>
          <w:lang w:val="en-US"/>
        </w:rPr>
      </w:pPr>
      <w:r w:rsidRPr="003C4335">
        <w:rPr>
          <w:lang w:val="en-US"/>
        </w:rPr>
        <w:t xml:space="preserve">The analysis indicated that the average </w:t>
      </w:r>
      <w:r>
        <w:rPr>
          <w:lang w:val="en-US"/>
        </w:rPr>
        <w:t xml:space="preserve">payment </w:t>
      </w:r>
      <w:r w:rsidRPr="003C4335">
        <w:rPr>
          <w:lang w:val="en-US"/>
        </w:rPr>
        <w:t xml:space="preserve">for recent non-SIL new entrants is approximately 17% lower than the average </w:t>
      </w:r>
      <w:r>
        <w:rPr>
          <w:lang w:val="en-US"/>
        </w:rPr>
        <w:t xml:space="preserve">payment </w:t>
      </w:r>
      <w:r w:rsidRPr="003C4335">
        <w:rPr>
          <w:lang w:val="en-US"/>
        </w:rPr>
        <w:t xml:space="preserve">for all participants, on a </w:t>
      </w:r>
      <w:r>
        <w:rPr>
          <w:lang w:val="en-US"/>
        </w:rPr>
        <w:t>mix</w:t>
      </w:r>
      <w:r w:rsidRPr="003C4335">
        <w:rPr>
          <w:lang w:val="en-US"/>
        </w:rPr>
        <w:t>-adjusted basis</w:t>
      </w:r>
      <w:r w:rsidRPr="003C4335">
        <w:rPr>
          <w:rStyle w:val="FootnoteReference"/>
        </w:rPr>
        <w:footnoteReference w:id="54"/>
      </w:r>
      <w:r w:rsidRPr="003C4335">
        <w:rPr>
          <w:lang w:val="en-US"/>
        </w:rPr>
        <w:t xml:space="preserve"> (</w:t>
      </w:r>
      <w:r w:rsidRPr="001679C9">
        <w:rPr>
          <w:b/>
          <w:u w:val="single"/>
          <w:lang w:val="en-US"/>
        </w:rPr>
        <w:fldChar w:fldCharType="begin"/>
      </w:r>
      <w:r w:rsidRPr="001679C9">
        <w:rPr>
          <w:b/>
          <w:u w:val="single"/>
          <w:lang w:val="en-US"/>
        </w:rPr>
        <w:instrText xml:space="preserve"> REF _Ref80336826 \h  \* MERGEFORMAT </w:instrText>
      </w:r>
      <w:r w:rsidRPr="001679C9">
        <w:rPr>
          <w:b/>
          <w:u w:val="single"/>
          <w:lang w:val="en-US"/>
        </w:rPr>
      </w:r>
      <w:r w:rsidRPr="001679C9">
        <w:rPr>
          <w:b/>
          <w:u w:val="single"/>
          <w:lang w:val="en-US"/>
        </w:rPr>
        <w:fldChar w:fldCharType="separate"/>
      </w:r>
      <w:r w:rsidR="00E50032" w:rsidRPr="00E50032">
        <w:rPr>
          <w:rStyle w:val="FiguresChar"/>
          <w:b w:val="0"/>
          <w:u w:val="single"/>
        </w:rPr>
        <w:t xml:space="preserve">Figure </w:t>
      </w:r>
      <w:r w:rsidR="00E50032" w:rsidRPr="00E50032">
        <w:rPr>
          <w:rStyle w:val="FiguresChar"/>
          <w:b w:val="0"/>
          <w:noProof/>
          <w:u w:val="single"/>
        </w:rPr>
        <w:t>30</w:t>
      </w:r>
      <w:r w:rsidRPr="001679C9">
        <w:rPr>
          <w:b/>
          <w:u w:val="single"/>
          <w:lang w:val="en-US"/>
        </w:rPr>
        <w:fldChar w:fldCharType="end"/>
      </w:r>
      <w:r w:rsidRPr="003C4335">
        <w:rPr>
          <w:lang w:val="en-US"/>
        </w:rPr>
        <w:t>)</w:t>
      </w:r>
      <w:r>
        <w:rPr>
          <w:lang w:val="en-US"/>
        </w:rPr>
        <w:t xml:space="preserve">. Given that age and primary disability are </w:t>
      </w:r>
      <w:r w:rsidRPr="0063703C">
        <w:rPr>
          <w:lang w:val="en-US"/>
        </w:rPr>
        <w:t>relatively</w:t>
      </w:r>
      <w:r>
        <w:rPr>
          <w:lang w:val="en-US"/>
        </w:rPr>
        <w:t xml:space="preserve"> objective, it is </w:t>
      </w:r>
      <w:r>
        <w:rPr>
          <w:lang w:val="en-US"/>
        </w:rPr>
        <w:lastRenderedPageBreak/>
        <w:t xml:space="preserve">reasonable to infer that this variance results from the </w:t>
      </w:r>
      <w:r w:rsidR="00602B20">
        <w:rPr>
          <w:lang w:val="en-US"/>
        </w:rPr>
        <w:t xml:space="preserve">average payment for </w:t>
      </w:r>
      <w:r>
        <w:rPr>
          <w:lang w:val="en-US"/>
        </w:rPr>
        <w:t xml:space="preserve">new entrants with a given level of function varying from that of the population more broadly. </w:t>
      </w:r>
    </w:p>
    <w:p w14:paraId="149E5480" w14:textId="0838C9F9" w:rsidR="00587E18" w:rsidRDefault="00587E18" w:rsidP="00587E18">
      <w:pPr>
        <w:pStyle w:val="FSRnormal"/>
        <w:rPr>
          <w:rFonts w:eastAsiaTheme="minorHAnsi"/>
          <w:b/>
          <w:bCs/>
        </w:rPr>
      </w:pPr>
      <w:bookmarkStart w:id="113" w:name="_Ref80336826"/>
      <w:r w:rsidRPr="00587E18">
        <w:rPr>
          <w:rStyle w:val="FiguresChar"/>
        </w:rPr>
        <w:t xml:space="preserve">Figure </w:t>
      </w:r>
      <w:r w:rsidRPr="00587E18">
        <w:rPr>
          <w:rStyle w:val="FiguresChar"/>
        </w:rPr>
        <w:fldChar w:fldCharType="begin"/>
      </w:r>
      <w:r w:rsidRPr="00587E18">
        <w:rPr>
          <w:rStyle w:val="FiguresChar"/>
        </w:rPr>
        <w:instrText xml:space="preserve"> SEQ Figure \* ARABIC </w:instrText>
      </w:r>
      <w:r w:rsidRPr="00587E18">
        <w:rPr>
          <w:rStyle w:val="FiguresChar"/>
        </w:rPr>
        <w:fldChar w:fldCharType="separate"/>
      </w:r>
      <w:r w:rsidR="00E50032">
        <w:rPr>
          <w:rStyle w:val="FiguresChar"/>
          <w:noProof/>
        </w:rPr>
        <w:t>30</w:t>
      </w:r>
      <w:r w:rsidRPr="00587E18">
        <w:rPr>
          <w:rStyle w:val="FiguresChar"/>
        </w:rPr>
        <w:fldChar w:fldCharType="end"/>
      </w:r>
      <w:bookmarkEnd w:id="113"/>
      <w:r w:rsidRPr="00587E18">
        <w:rPr>
          <w:rStyle w:val="FiguresChar"/>
        </w:rPr>
        <w:t xml:space="preserve"> </w:t>
      </w:r>
      <w:r w:rsidR="0074347B">
        <w:rPr>
          <w:rStyle w:val="FiguresChar"/>
        </w:rPr>
        <w:t>Mix</w:t>
      </w:r>
      <w:r>
        <w:rPr>
          <w:rStyle w:val="FiguresChar"/>
        </w:rPr>
        <w:t xml:space="preserve">-adjusted Non-SIL average </w:t>
      </w:r>
      <w:r w:rsidR="00AC07D0">
        <w:rPr>
          <w:rStyle w:val="FiguresChar"/>
        </w:rPr>
        <w:t>payment</w:t>
      </w:r>
    </w:p>
    <w:p w14:paraId="61A90F11" w14:textId="6C8B1C44" w:rsidR="00587E18" w:rsidRDefault="00FC327F" w:rsidP="005F152A">
      <w:pPr>
        <w:pStyle w:val="FSRnormal"/>
      </w:pPr>
      <w:r>
        <w:rPr>
          <w:noProof/>
          <w:lang w:eastAsia="en-AU"/>
        </w:rPr>
        <w:drawing>
          <wp:inline distT="0" distB="0" distL="0" distR="0" wp14:anchorId="2FC85CFB" wp14:editId="34A3E1D3">
            <wp:extent cx="5266267" cy="2972893"/>
            <wp:effectExtent l="0" t="0" r="4445" b="0"/>
            <wp:docPr id="493" name="Picture 493" descr="A bar and line chart showing that the average payment for recent non-SIL new entrants is approximately 17% lower than the average payment for all participants, on a mix-adjusted ba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descr="A bar and line chart showing that the average payment for recent non-SIL new entrants is approximately 17% lower than the average payment for all participants, on a mix-adjusted basis"/>
                    <pic:cNvPicPr/>
                  </pic:nvPicPr>
                  <pic:blipFill>
                    <a:blip r:embed="rId48">
                      <a:extLst>
                        <a:ext uri="{28A0092B-C50C-407E-A947-70E740481C1C}">
                          <a14:useLocalDpi xmlns:a14="http://schemas.microsoft.com/office/drawing/2010/main" val="0"/>
                        </a:ext>
                      </a:extLst>
                    </a:blip>
                    <a:stretch>
                      <a:fillRect/>
                    </a:stretch>
                  </pic:blipFill>
                  <pic:spPr>
                    <a:xfrm>
                      <a:off x="0" y="0"/>
                      <a:ext cx="5280310" cy="2980820"/>
                    </a:xfrm>
                    <a:prstGeom prst="rect">
                      <a:avLst/>
                    </a:prstGeom>
                  </pic:spPr>
                </pic:pic>
              </a:graphicData>
            </a:graphic>
          </wp:inline>
        </w:drawing>
      </w:r>
    </w:p>
    <w:p w14:paraId="32978046" w14:textId="77777777" w:rsidR="00400A89" w:rsidRPr="00A742A6" w:rsidRDefault="00400A89" w:rsidP="00400A89">
      <w:pPr>
        <w:pStyle w:val="FSRnormal"/>
        <w:rPr>
          <w:b/>
        </w:rPr>
      </w:pPr>
    </w:p>
    <w:p w14:paraId="039B4259" w14:textId="77777777" w:rsidR="00850909" w:rsidRDefault="00850909">
      <w:pPr>
        <w:spacing w:after="160" w:line="259" w:lineRule="auto"/>
        <w:rPr>
          <w:rFonts w:eastAsiaTheme="minorHAnsi"/>
          <w:b/>
          <w:color w:val="6A2875"/>
          <w:sz w:val="36"/>
          <w:szCs w:val="44"/>
        </w:rPr>
      </w:pPr>
      <w:r>
        <w:br w:type="page"/>
      </w:r>
    </w:p>
    <w:p w14:paraId="7BF56E2F" w14:textId="72F0312B" w:rsidR="00400A89" w:rsidRPr="00610B81" w:rsidRDefault="00400A89" w:rsidP="00610B81">
      <w:pPr>
        <w:pStyle w:val="Heading3"/>
      </w:pPr>
      <w:bookmarkStart w:id="114" w:name="_Toc85031254"/>
      <w:r w:rsidRPr="00610B81">
        <w:lastRenderedPageBreak/>
        <w:t>Total payments</w:t>
      </w:r>
      <w:bookmarkEnd w:id="114"/>
    </w:p>
    <w:bookmarkStart w:id="115" w:name="_Ref74332783"/>
    <w:p w14:paraId="45D4428A" w14:textId="201224DE" w:rsidR="00C82672" w:rsidRPr="001E57B7" w:rsidRDefault="00C82672" w:rsidP="00C82672">
      <w:pPr>
        <w:spacing w:before="240"/>
      </w:pPr>
      <w:r w:rsidRPr="00FC327F">
        <w:rPr>
          <w:u w:val="single"/>
        </w:rPr>
        <w:fldChar w:fldCharType="begin"/>
      </w:r>
      <w:r w:rsidRPr="00FC327F">
        <w:rPr>
          <w:u w:val="single"/>
        </w:rPr>
        <w:instrText xml:space="preserve"> REF _Ref80267097 \h </w:instrText>
      </w:r>
      <w:r w:rsidR="00FC327F">
        <w:rPr>
          <w:u w:val="single"/>
        </w:rPr>
        <w:instrText xml:space="preserve"> \* MERGEFORMAT </w:instrText>
      </w:r>
      <w:r w:rsidRPr="00FC327F">
        <w:rPr>
          <w:u w:val="single"/>
        </w:rPr>
      </w:r>
      <w:r w:rsidRPr="00FC327F">
        <w:rPr>
          <w:u w:val="single"/>
        </w:rPr>
        <w:fldChar w:fldCharType="separate"/>
      </w:r>
      <w:r w:rsidR="00E50032" w:rsidRPr="00E50032">
        <w:rPr>
          <w:u w:val="single"/>
        </w:rPr>
        <w:t xml:space="preserve">Figure </w:t>
      </w:r>
      <w:r w:rsidR="00E50032" w:rsidRPr="00E50032">
        <w:rPr>
          <w:noProof/>
          <w:u w:val="single"/>
        </w:rPr>
        <w:t>31</w:t>
      </w:r>
      <w:r w:rsidRPr="00FC327F">
        <w:rPr>
          <w:u w:val="single"/>
        </w:rPr>
        <w:fldChar w:fldCharType="end"/>
      </w:r>
      <w:r>
        <w:t xml:space="preserve"> </w:t>
      </w:r>
      <w:r w:rsidRPr="001E57B7">
        <w:t xml:space="preserve">below illustrates Scheme spend on participant supports by quarter on a cash basis. The rapid growth in Scheme spend reflects the higher than expected number of </w:t>
      </w:r>
      <w:r w:rsidR="00AC6ACF">
        <w:t xml:space="preserve">active </w:t>
      </w:r>
      <w:r w:rsidRPr="001E57B7">
        <w:t>participants and higher than expected average payments per participant described in the sections above.</w:t>
      </w:r>
    </w:p>
    <w:p w14:paraId="03AA0101" w14:textId="54BC7946" w:rsidR="00090F13" w:rsidRPr="00C82672" w:rsidRDefault="00090F13" w:rsidP="00C82672">
      <w:pPr>
        <w:pStyle w:val="Figures"/>
      </w:pPr>
      <w:bookmarkStart w:id="116" w:name="_Ref80267097"/>
      <w:r w:rsidRPr="00C82672">
        <w:t xml:space="preserve">Figure </w:t>
      </w:r>
      <w:fldSimple w:instr=" SEQ Figure \* ARABIC ">
        <w:r w:rsidR="00E50032">
          <w:rPr>
            <w:noProof/>
          </w:rPr>
          <w:t>31</w:t>
        </w:r>
      </w:fldSimple>
      <w:bookmarkEnd w:id="115"/>
      <w:bookmarkEnd w:id="116"/>
      <w:r w:rsidRPr="00C82672">
        <w:t xml:space="preserve"> Scheme spend </w:t>
      </w:r>
      <w:r w:rsidR="00AC6ACF">
        <w:t xml:space="preserve">(cash basis) </w:t>
      </w:r>
      <w:r w:rsidRPr="00C82672">
        <w:t>on participant supports by quarter over the past 3 years</w:t>
      </w:r>
      <w:r w:rsidR="00C5663A" w:rsidRPr="00C82672">
        <w:t xml:space="preserve"> ($)</w:t>
      </w:r>
    </w:p>
    <w:p w14:paraId="142FCD50" w14:textId="4D364807" w:rsidR="006F104A" w:rsidRPr="00C578EB" w:rsidRDefault="00C82672" w:rsidP="00C82672">
      <w:pPr>
        <w:pStyle w:val="FSRnormal"/>
      </w:pPr>
      <w:r w:rsidRPr="001E57B7">
        <w:rPr>
          <w:noProof/>
          <w:lang w:eastAsia="en-AU"/>
        </w:rPr>
        <w:drawing>
          <wp:inline distT="0" distB="0" distL="0" distR="0" wp14:anchorId="36760577" wp14:editId="22820A8F">
            <wp:extent cx="5731200" cy="3369626"/>
            <wp:effectExtent l="0" t="0" r="3175" b="2540"/>
            <wp:docPr id="394" name="Picture 394" descr="Bar chart showing scheme spend (cash basis) on participant supports by quarter over the past 3 years ($) incremental payments over 3 years. 9,711 million was spent between September 2018 and June 2019, 17,227 million between September 2019 to June 2020 and 23,319 million between September 2020 and June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descr="Bar chart showing scheme spend (cash basis) on participant supports by quarter over the past 3 years ($) incremental payments over 3 years. 9,711 million was spent between September 2018 and June 2019, 17,227 million between September 2019 to June 2020 and 23,319 million between September 2020 and June 2021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200" cy="3369626"/>
                    </a:xfrm>
                    <a:prstGeom prst="rect">
                      <a:avLst/>
                    </a:prstGeom>
                    <a:noFill/>
                    <a:ln>
                      <a:noFill/>
                    </a:ln>
                  </pic:spPr>
                </pic:pic>
              </a:graphicData>
            </a:graphic>
          </wp:inline>
        </w:drawing>
      </w:r>
    </w:p>
    <w:p w14:paraId="1C662A46" w14:textId="2070F8E4" w:rsidR="00996C9B" w:rsidRPr="00EB2A6A" w:rsidRDefault="00996C9B" w:rsidP="00C82672">
      <w:pPr>
        <w:pStyle w:val="FSRHeading5"/>
        <w:rPr>
          <w:color w:val="C45911" w:themeColor="accent2" w:themeShade="BF"/>
        </w:rPr>
      </w:pPr>
      <w:r w:rsidRPr="00EB2A6A">
        <w:rPr>
          <w:color w:val="C45911" w:themeColor="accent2" w:themeShade="BF"/>
        </w:rPr>
        <w:t>Overall payments have</w:t>
      </w:r>
      <w:r w:rsidR="00C82672" w:rsidRPr="00EB2A6A">
        <w:rPr>
          <w:color w:val="C45911" w:themeColor="accent2" w:themeShade="BF"/>
        </w:rPr>
        <w:t xml:space="preserve"> </w:t>
      </w:r>
      <w:r w:rsidR="00D342AC" w:rsidRPr="00EB2A6A">
        <w:rPr>
          <w:color w:val="C45911" w:themeColor="accent2" w:themeShade="BF"/>
        </w:rPr>
        <w:t xml:space="preserve">been </w:t>
      </w:r>
      <w:r w:rsidRPr="00EB2A6A">
        <w:rPr>
          <w:color w:val="C45911" w:themeColor="accent2" w:themeShade="BF"/>
        </w:rPr>
        <w:t xml:space="preserve">higher than expected </w:t>
      </w:r>
    </w:p>
    <w:p w14:paraId="4FA9928F" w14:textId="46090D83" w:rsidR="00C82672" w:rsidRPr="001E57B7" w:rsidRDefault="00C82672" w:rsidP="00C82672">
      <w:pPr>
        <w:pStyle w:val="FSRnormal"/>
      </w:pPr>
      <w:bookmarkStart w:id="117" w:name="_Ref74333771"/>
      <w:r w:rsidRPr="001E57B7">
        <w:t>Comparing actual experience to expectations (</w:t>
      </w:r>
      <w:r w:rsidR="00D342AC">
        <w:t>based on the previous review</w:t>
      </w:r>
      <w:r w:rsidRPr="001E57B7">
        <w:t>) by various participant characteristics highlight</w:t>
      </w:r>
      <w:r w:rsidR="00D342AC">
        <w:t>s</w:t>
      </w:r>
      <w:r w:rsidRPr="001E57B7">
        <w:t xml:space="preserve"> emerging trends and key cost p</w:t>
      </w:r>
      <w:r w:rsidR="00896C59">
        <w:t xml:space="preserve">ressures on the Scheme. </w:t>
      </w:r>
      <w:r w:rsidR="00896C59" w:rsidRPr="00EB2A6A">
        <w:rPr>
          <w:u w:val="single"/>
        </w:rPr>
        <w:fldChar w:fldCharType="begin"/>
      </w:r>
      <w:r w:rsidR="00896C59" w:rsidRPr="00EB2A6A">
        <w:rPr>
          <w:u w:val="single"/>
        </w:rPr>
        <w:instrText xml:space="preserve"> REF _Ref80268340 \h </w:instrText>
      </w:r>
      <w:r w:rsidR="00EB2A6A">
        <w:rPr>
          <w:u w:val="single"/>
        </w:rPr>
        <w:instrText xml:space="preserve"> \* MERGEFORMAT </w:instrText>
      </w:r>
      <w:r w:rsidR="00896C59" w:rsidRPr="00EB2A6A">
        <w:rPr>
          <w:u w:val="single"/>
        </w:rPr>
      </w:r>
      <w:r w:rsidR="00896C59" w:rsidRPr="00EB2A6A">
        <w:rPr>
          <w:u w:val="single"/>
        </w:rPr>
        <w:fldChar w:fldCharType="separate"/>
      </w:r>
      <w:r w:rsidR="00E50032" w:rsidRPr="00E50032">
        <w:rPr>
          <w:u w:val="single"/>
        </w:rPr>
        <w:t xml:space="preserve">Figure </w:t>
      </w:r>
      <w:r w:rsidR="00E50032" w:rsidRPr="00E50032">
        <w:rPr>
          <w:noProof/>
          <w:u w:val="single"/>
        </w:rPr>
        <w:t>32</w:t>
      </w:r>
      <w:r w:rsidR="00896C59" w:rsidRPr="00EB2A6A">
        <w:rPr>
          <w:u w:val="single"/>
        </w:rPr>
        <w:fldChar w:fldCharType="end"/>
      </w:r>
      <w:r w:rsidRPr="001E57B7">
        <w:t xml:space="preserve">, </w:t>
      </w:r>
      <w:r w:rsidR="00896C59" w:rsidRPr="00EB2A6A">
        <w:rPr>
          <w:u w:val="single"/>
        </w:rPr>
        <w:fldChar w:fldCharType="begin"/>
      </w:r>
      <w:r w:rsidR="00896C59" w:rsidRPr="00EB2A6A">
        <w:rPr>
          <w:u w:val="single"/>
        </w:rPr>
        <w:instrText xml:space="preserve"> REF _Ref80268351 \h </w:instrText>
      </w:r>
      <w:r w:rsidR="00EB2A6A">
        <w:rPr>
          <w:u w:val="single"/>
        </w:rPr>
        <w:instrText xml:space="preserve"> \* MERGEFORMAT </w:instrText>
      </w:r>
      <w:r w:rsidR="00896C59" w:rsidRPr="00EB2A6A">
        <w:rPr>
          <w:u w:val="single"/>
        </w:rPr>
      </w:r>
      <w:r w:rsidR="00896C59" w:rsidRPr="00EB2A6A">
        <w:rPr>
          <w:u w:val="single"/>
        </w:rPr>
        <w:fldChar w:fldCharType="separate"/>
      </w:r>
      <w:r w:rsidR="00E50032" w:rsidRPr="00E50032">
        <w:rPr>
          <w:u w:val="single"/>
        </w:rPr>
        <w:t xml:space="preserve">Figure </w:t>
      </w:r>
      <w:r w:rsidR="00E50032" w:rsidRPr="00E50032">
        <w:rPr>
          <w:noProof/>
          <w:u w:val="single"/>
        </w:rPr>
        <w:t>33</w:t>
      </w:r>
      <w:r w:rsidR="00896C59" w:rsidRPr="00EB2A6A">
        <w:rPr>
          <w:u w:val="single"/>
        </w:rPr>
        <w:fldChar w:fldCharType="end"/>
      </w:r>
      <w:r w:rsidR="0026366A">
        <w:t xml:space="preserve"> and</w:t>
      </w:r>
      <w:r w:rsidRPr="001E57B7">
        <w:t xml:space="preserve"> </w:t>
      </w:r>
      <w:r w:rsidR="00896C59" w:rsidRPr="00EB2A6A">
        <w:rPr>
          <w:u w:val="single"/>
        </w:rPr>
        <w:fldChar w:fldCharType="begin"/>
      </w:r>
      <w:r w:rsidR="00896C59" w:rsidRPr="00EB2A6A">
        <w:rPr>
          <w:u w:val="single"/>
        </w:rPr>
        <w:instrText xml:space="preserve"> REF _Ref80268358 \h </w:instrText>
      </w:r>
      <w:r w:rsidR="00EB2A6A">
        <w:rPr>
          <w:u w:val="single"/>
        </w:rPr>
        <w:instrText xml:space="preserve"> \* MERGEFORMAT </w:instrText>
      </w:r>
      <w:r w:rsidR="00896C59" w:rsidRPr="00EB2A6A">
        <w:rPr>
          <w:u w:val="single"/>
        </w:rPr>
      </w:r>
      <w:r w:rsidR="00896C59" w:rsidRPr="00EB2A6A">
        <w:rPr>
          <w:u w:val="single"/>
        </w:rPr>
        <w:fldChar w:fldCharType="separate"/>
      </w:r>
      <w:r w:rsidR="00E50032" w:rsidRPr="00E50032">
        <w:rPr>
          <w:u w:val="single"/>
        </w:rPr>
        <w:t xml:space="preserve">Figure </w:t>
      </w:r>
      <w:r w:rsidR="00E50032" w:rsidRPr="00E50032">
        <w:rPr>
          <w:noProof/>
          <w:u w:val="single"/>
        </w:rPr>
        <w:t>34</w:t>
      </w:r>
      <w:r w:rsidR="00896C59" w:rsidRPr="00EB2A6A">
        <w:rPr>
          <w:u w:val="single"/>
        </w:rPr>
        <w:fldChar w:fldCharType="end"/>
      </w:r>
      <w:r w:rsidR="00896C59">
        <w:t xml:space="preserve"> </w:t>
      </w:r>
      <w:r w:rsidRPr="001E57B7">
        <w:t xml:space="preserve">show total payment levels </w:t>
      </w:r>
      <w:r w:rsidR="00AC6ACF">
        <w:t xml:space="preserve">on a cash basis </w:t>
      </w:r>
      <w:r w:rsidRPr="001E57B7">
        <w:t>by SIL status, age band</w:t>
      </w:r>
      <w:r w:rsidR="0026366A">
        <w:t xml:space="preserve"> and</w:t>
      </w:r>
      <w:r w:rsidRPr="001E57B7">
        <w:t xml:space="preserve"> disability group. Note that the payment experience is impacted by emerging participant mix, as well as trends at the support category level. </w:t>
      </w:r>
    </w:p>
    <w:p w14:paraId="37685B61" w14:textId="71340815" w:rsidR="00C82672" w:rsidRPr="001E57B7" w:rsidRDefault="00C82672" w:rsidP="00C82672">
      <w:pPr>
        <w:pStyle w:val="FSRnormal"/>
      </w:pPr>
      <w:r w:rsidRPr="001E57B7">
        <w:t xml:space="preserve">Compared to expectations from the </w:t>
      </w:r>
      <w:r w:rsidR="00D342AC">
        <w:t>previous review</w:t>
      </w:r>
      <w:r w:rsidRPr="001E57B7">
        <w:t>, this shows:</w:t>
      </w:r>
    </w:p>
    <w:p w14:paraId="39867380" w14:textId="4FD0804D" w:rsidR="00C82672" w:rsidRPr="00C82672" w:rsidRDefault="00C82672" w:rsidP="00C82672">
      <w:pPr>
        <w:pStyle w:val="FSRlist"/>
      </w:pPr>
      <w:r w:rsidRPr="00C82672">
        <w:t>Higher than expected payment experience for non-SIL participants (</w:t>
      </w:r>
      <w:r w:rsidR="00896C59" w:rsidRPr="00EB2A6A">
        <w:rPr>
          <w:u w:val="single"/>
        </w:rPr>
        <w:fldChar w:fldCharType="begin"/>
      </w:r>
      <w:r w:rsidR="00896C59" w:rsidRPr="00EB2A6A">
        <w:rPr>
          <w:u w:val="single"/>
        </w:rPr>
        <w:instrText xml:space="preserve"> REF _Ref80268340 \h </w:instrText>
      </w:r>
      <w:r w:rsidR="00EB2A6A">
        <w:rPr>
          <w:u w:val="single"/>
        </w:rPr>
        <w:instrText xml:space="preserve"> \* MERGEFORMAT </w:instrText>
      </w:r>
      <w:r w:rsidR="00896C59" w:rsidRPr="00EB2A6A">
        <w:rPr>
          <w:u w:val="single"/>
        </w:rPr>
      </w:r>
      <w:r w:rsidR="00896C59" w:rsidRPr="00EB2A6A">
        <w:rPr>
          <w:u w:val="single"/>
        </w:rPr>
        <w:fldChar w:fldCharType="separate"/>
      </w:r>
      <w:r w:rsidR="00E50032" w:rsidRPr="00E50032">
        <w:rPr>
          <w:u w:val="single"/>
        </w:rPr>
        <w:t xml:space="preserve">Figure </w:t>
      </w:r>
      <w:r w:rsidR="00E50032" w:rsidRPr="00E50032">
        <w:rPr>
          <w:noProof/>
          <w:u w:val="single"/>
        </w:rPr>
        <w:t>32</w:t>
      </w:r>
      <w:r w:rsidR="00896C59" w:rsidRPr="00EB2A6A">
        <w:rPr>
          <w:u w:val="single"/>
        </w:rPr>
        <w:fldChar w:fldCharType="end"/>
      </w:r>
      <w:r w:rsidRPr="00C82672">
        <w:t>).</w:t>
      </w:r>
    </w:p>
    <w:p w14:paraId="7609D87A" w14:textId="060BD04E" w:rsidR="00C82672" w:rsidRPr="00C82672" w:rsidRDefault="00195E4B" w:rsidP="00C82672">
      <w:pPr>
        <w:pStyle w:val="FSRlist"/>
      </w:pPr>
      <w:r>
        <w:t xml:space="preserve">Higher than expected </w:t>
      </w:r>
      <w:r w:rsidR="00C82672" w:rsidRPr="00C82672">
        <w:t xml:space="preserve">payment experience for participants across all ages </w:t>
      </w:r>
      <w:r>
        <w:t xml:space="preserve">groups </w:t>
      </w:r>
      <w:r w:rsidR="00C82672" w:rsidRPr="00C82672">
        <w:t>except 0 to 14 (</w:t>
      </w:r>
      <w:r w:rsidR="00896C59" w:rsidRPr="00EB2A6A">
        <w:rPr>
          <w:u w:val="single"/>
        </w:rPr>
        <w:fldChar w:fldCharType="begin"/>
      </w:r>
      <w:r w:rsidR="00896C59" w:rsidRPr="00EB2A6A">
        <w:rPr>
          <w:u w:val="single"/>
        </w:rPr>
        <w:instrText xml:space="preserve"> REF _Ref80268351 \h </w:instrText>
      </w:r>
      <w:r w:rsidR="00EB2A6A">
        <w:rPr>
          <w:u w:val="single"/>
        </w:rPr>
        <w:instrText xml:space="preserve"> \* MERGEFORMAT </w:instrText>
      </w:r>
      <w:r w:rsidR="00896C59" w:rsidRPr="00EB2A6A">
        <w:rPr>
          <w:u w:val="single"/>
        </w:rPr>
      </w:r>
      <w:r w:rsidR="00896C59" w:rsidRPr="00EB2A6A">
        <w:rPr>
          <w:u w:val="single"/>
        </w:rPr>
        <w:fldChar w:fldCharType="separate"/>
      </w:r>
      <w:r w:rsidR="00E50032" w:rsidRPr="00E50032">
        <w:rPr>
          <w:u w:val="single"/>
        </w:rPr>
        <w:t xml:space="preserve">Figure </w:t>
      </w:r>
      <w:r w:rsidR="00E50032" w:rsidRPr="00E50032">
        <w:rPr>
          <w:noProof/>
          <w:u w:val="single"/>
        </w:rPr>
        <w:t>33</w:t>
      </w:r>
      <w:r w:rsidR="00896C59" w:rsidRPr="00EB2A6A">
        <w:rPr>
          <w:u w:val="single"/>
        </w:rPr>
        <w:fldChar w:fldCharType="end"/>
      </w:r>
      <w:r w:rsidR="00C82672" w:rsidRPr="00C82672">
        <w:t>).</w:t>
      </w:r>
    </w:p>
    <w:p w14:paraId="72C2BE7F" w14:textId="7BD249EB" w:rsidR="00C82672" w:rsidRPr="00C82672" w:rsidRDefault="00195E4B" w:rsidP="00195E4B">
      <w:pPr>
        <w:pStyle w:val="FSRlist"/>
      </w:pPr>
      <w:r>
        <w:t xml:space="preserve">Higher than expected </w:t>
      </w:r>
      <w:r w:rsidR="00C82672" w:rsidRPr="00C82672">
        <w:t xml:space="preserve">payment experience for psychosocial and other disabilities, </w:t>
      </w:r>
      <w:r>
        <w:t>somewhat offset by</w:t>
      </w:r>
      <w:r w:rsidR="00C82672" w:rsidRPr="00C82672">
        <w:t xml:space="preserve"> lower than expected payment experience for intellectual disabilities and sensory disabilities (</w:t>
      </w:r>
      <w:r w:rsidR="00896C59" w:rsidRPr="00EB2A6A">
        <w:rPr>
          <w:u w:val="single"/>
        </w:rPr>
        <w:fldChar w:fldCharType="begin"/>
      </w:r>
      <w:r w:rsidR="00896C59" w:rsidRPr="00EB2A6A">
        <w:rPr>
          <w:u w:val="single"/>
        </w:rPr>
        <w:instrText xml:space="preserve"> REF _Ref80268358 \h </w:instrText>
      </w:r>
      <w:r w:rsidR="00EB2A6A">
        <w:rPr>
          <w:u w:val="single"/>
        </w:rPr>
        <w:instrText xml:space="preserve"> \* MERGEFORMAT </w:instrText>
      </w:r>
      <w:r w:rsidR="00896C59" w:rsidRPr="00EB2A6A">
        <w:rPr>
          <w:u w:val="single"/>
        </w:rPr>
      </w:r>
      <w:r w:rsidR="00896C59" w:rsidRPr="00EB2A6A">
        <w:rPr>
          <w:u w:val="single"/>
        </w:rPr>
        <w:fldChar w:fldCharType="separate"/>
      </w:r>
      <w:r w:rsidR="00E50032" w:rsidRPr="00E50032">
        <w:rPr>
          <w:u w:val="single"/>
        </w:rPr>
        <w:t xml:space="preserve">Figure </w:t>
      </w:r>
      <w:r w:rsidR="00E50032" w:rsidRPr="00E50032">
        <w:rPr>
          <w:noProof/>
          <w:u w:val="single"/>
        </w:rPr>
        <w:t>34</w:t>
      </w:r>
      <w:r w:rsidR="00896C59" w:rsidRPr="00EB2A6A">
        <w:rPr>
          <w:u w:val="single"/>
        </w:rPr>
        <w:fldChar w:fldCharType="end"/>
      </w:r>
      <w:r w:rsidR="00C82672" w:rsidRPr="00C82672">
        <w:t xml:space="preserve">). </w:t>
      </w:r>
    </w:p>
    <w:p w14:paraId="341309D8" w14:textId="08DF5866" w:rsidR="00C82672" w:rsidRPr="00C82672" w:rsidRDefault="00C82672" w:rsidP="00077A4C">
      <w:pPr>
        <w:pStyle w:val="FSRlist"/>
        <w:numPr>
          <w:ilvl w:val="0"/>
          <w:numId w:val="0"/>
        </w:numPr>
        <w:ind w:left="720"/>
      </w:pPr>
    </w:p>
    <w:p w14:paraId="50E542E5" w14:textId="5BBCC026" w:rsidR="00C82672" w:rsidRPr="001E57B7" w:rsidRDefault="00D7741A" w:rsidP="00896C59">
      <w:pPr>
        <w:pStyle w:val="Figures"/>
      </w:pPr>
      <w:bookmarkStart w:id="118" w:name="_Ref80268340"/>
      <w:bookmarkEnd w:id="117"/>
      <w:r>
        <w:lastRenderedPageBreak/>
        <w:t xml:space="preserve">Figure </w:t>
      </w:r>
      <w:fldSimple w:instr=" SEQ Figure \* ARABIC ">
        <w:r w:rsidR="00E50032">
          <w:rPr>
            <w:noProof/>
          </w:rPr>
          <w:t>32</w:t>
        </w:r>
      </w:fldSimple>
      <w:bookmarkEnd w:id="118"/>
      <w:r>
        <w:t xml:space="preserve"> </w:t>
      </w:r>
      <w:r w:rsidRPr="001E57B7">
        <w:t>Total payments ($m) in the six months to 30 June 2021 by participant profile – actual vs expected by SIL status</w:t>
      </w:r>
    </w:p>
    <w:p w14:paraId="711B7BA2" w14:textId="431137A7" w:rsidR="00996C9B" w:rsidRDefault="00E377EE" w:rsidP="00C82672">
      <w:pPr>
        <w:pStyle w:val="FSRnormal"/>
      </w:pPr>
      <w:r w:rsidRPr="00B33CBD">
        <w:rPr>
          <w:noProof/>
          <w:lang w:eastAsia="en-AU"/>
        </w:rPr>
        <w:drawing>
          <wp:inline distT="0" distB="0" distL="0" distR="0" wp14:anchorId="4E8E9379" wp14:editId="49547370">
            <wp:extent cx="4773600" cy="3109690"/>
            <wp:effectExtent l="0" t="0" r="0" b="0"/>
            <wp:docPr id="453" name="Picture 453" descr="Bar chart showing a Higher than expected payment experience for non-SIL participants and slightly lower than expected payment experience for SIL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453" descr="Bar chart showing a Higher than expected payment experience for non-SIL participants and slightly lower than expected payment experience for SIL participant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73600" cy="3109690"/>
                    </a:xfrm>
                    <a:prstGeom prst="rect">
                      <a:avLst/>
                    </a:prstGeom>
                    <a:noFill/>
                    <a:ln>
                      <a:noFill/>
                    </a:ln>
                  </pic:spPr>
                </pic:pic>
              </a:graphicData>
            </a:graphic>
          </wp:inline>
        </w:drawing>
      </w:r>
    </w:p>
    <w:p w14:paraId="0573BC47" w14:textId="77777777" w:rsidR="00C82672" w:rsidRDefault="00C82672" w:rsidP="00C82672">
      <w:pPr>
        <w:pStyle w:val="FSRnormal"/>
      </w:pPr>
    </w:p>
    <w:p w14:paraId="01320607" w14:textId="1F29E7B1" w:rsidR="00C82672" w:rsidRPr="00C82672" w:rsidRDefault="00896C59" w:rsidP="00896C59">
      <w:pPr>
        <w:pStyle w:val="Figures"/>
      </w:pPr>
      <w:bookmarkStart w:id="119" w:name="_Ref80268351"/>
      <w:r>
        <w:t xml:space="preserve">Figure </w:t>
      </w:r>
      <w:fldSimple w:instr=" SEQ Figure \* ARABIC ">
        <w:r w:rsidR="00E50032">
          <w:rPr>
            <w:noProof/>
          </w:rPr>
          <w:t>33</w:t>
        </w:r>
      </w:fldSimple>
      <w:bookmarkEnd w:id="119"/>
      <w:r>
        <w:t xml:space="preserve"> </w:t>
      </w:r>
      <w:r w:rsidR="00C82672" w:rsidRPr="00C82672">
        <w:t>Total payments ($m) in the six months to 30 June 2021 by participant profile – actual vs expected by age band</w:t>
      </w:r>
    </w:p>
    <w:p w14:paraId="3EE18C7B" w14:textId="0690CD93" w:rsidR="00C82672" w:rsidRDefault="00E377EE" w:rsidP="00C82672">
      <w:pPr>
        <w:pStyle w:val="FSRnormal"/>
      </w:pPr>
      <w:r w:rsidRPr="00B33CBD">
        <w:rPr>
          <w:noProof/>
          <w:lang w:eastAsia="en-AU"/>
        </w:rPr>
        <w:drawing>
          <wp:inline distT="0" distB="0" distL="0" distR="0" wp14:anchorId="16025454" wp14:editId="5D02189A">
            <wp:extent cx="4773600" cy="3109690"/>
            <wp:effectExtent l="0" t="0" r="0" b="0"/>
            <wp:docPr id="454" name="Picture 454" descr="Bar chart showing a higher than expected payment experience for participants across all ages groups except 0 to 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Bar chart showing a higher than expected payment experience for participants across all ages groups except 0 to 14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73600" cy="3109690"/>
                    </a:xfrm>
                    <a:prstGeom prst="rect">
                      <a:avLst/>
                    </a:prstGeom>
                    <a:noFill/>
                    <a:ln>
                      <a:noFill/>
                    </a:ln>
                  </pic:spPr>
                </pic:pic>
              </a:graphicData>
            </a:graphic>
          </wp:inline>
        </w:drawing>
      </w:r>
    </w:p>
    <w:p w14:paraId="6741D6B4" w14:textId="327DA4F6" w:rsidR="00C82672" w:rsidRPr="00C82672" w:rsidRDefault="00896C59" w:rsidP="00896C59">
      <w:pPr>
        <w:pStyle w:val="Figures"/>
      </w:pPr>
      <w:bookmarkStart w:id="120" w:name="_Ref80268358"/>
      <w:r>
        <w:lastRenderedPageBreak/>
        <w:t xml:space="preserve">Figure </w:t>
      </w:r>
      <w:fldSimple w:instr=" SEQ Figure \* ARABIC ">
        <w:r w:rsidR="00E50032">
          <w:rPr>
            <w:noProof/>
          </w:rPr>
          <w:t>34</w:t>
        </w:r>
      </w:fldSimple>
      <w:bookmarkEnd w:id="120"/>
      <w:r>
        <w:t xml:space="preserve"> </w:t>
      </w:r>
      <w:r w:rsidR="00C82672" w:rsidRPr="00C82672">
        <w:t xml:space="preserve">Total payments ($m) in the six months to 30 June 2021 by participant profile – actual vs expected by disability group </w:t>
      </w:r>
    </w:p>
    <w:p w14:paraId="6B92A2A6" w14:textId="7C2B33F3" w:rsidR="00C82672" w:rsidRDefault="00E377EE" w:rsidP="00C82672">
      <w:pPr>
        <w:pStyle w:val="FSRnormal"/>
      </w:pPr>
      <w:r w:rsidRPr="00B33CBD">
        <w:rPr>
          <w:noProof/>
          <w:lang w:eastAsia="en-AU"/>
        </w:rPr>
        <w:drawing>
          <wp:inline distT="0" distB="0" distL="0" distR="0" wp14:anchorId="2F7BC9CD" wp14:editId="19C13413">
            <wp:extent cx="4773600" cy="3234276"/>
            <wp:effectExtent l="0" t="0" r="0" b="4445"/>
            <wp:docPr id="455" name="Picture 455" descr="Bar chart showing a higher than expected payment experience for Psychosocial disabilities, Autism and other disabilities, partially offset by lower than expected payment experience for intellectual disabilities and sensory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descr="Bar chart showing a higher than expected payment experience for Psychosocial disabilities, Autism and other disabilities, partially offset by lower than expected payment experience for intellectual disabilities and sensory disabiliti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73600" cy="3234276"/>
                    </a:xfrm>
                    <a:prstGeom prst="rect">
                      <a:avLst/>
                    </a:prstGeom>
                    <a:noFill/>
                    <a:ln>
                      <a:noFill/>
                    </a:ln>
                  </pic:spPr>
                </pic:pic>
              </a:graphicData>
            </a:graphic>
          </wp:inline>
        </w:drawing>
      </w:r>
    </w:p>
    <w:p w14:paraId="2F53842E" w14:textId="77777777" w:rsidR="00FF2591" w:rsidRPr="00C82672" w:rsidRDefault="00FF2591" w:rsidP="00C82672">
      <w:pPr>
        <w:pStyle w:val="FSRnormal"/>
      </w:pPr>
      <w:bookmarkStart w:id="121" w:name="_Ref74834314"/>
    </w:p>
    <w:p w14:paraId="3D726847" w14:textId="77777777" w:rsidR="00850909" w:rsidRDefault="00850909">
      <w:pPr>
        <w:spacing w:after="160" w:line="259" w:lineRule="auto"/>
        <w:rPr>
          <w:rFonts w:eastAsiaTheme="minorHAnsi"/>
          <w:b/>
          <w:color w:val="6A2875"/>
          <w:sz w:val="36"/>
          <w:szCs w:val="44"/>
        </w:rPr>
      </w:pPr>
      <w:bookmarkStart w:id="122" w:name="_Toc83220844"/>
      <w:r>
        <w:br w:type="page"/>
      </w:r>
    </w:p>
    <w:p w14:paraId="48DF3111" w14:textId="33E39907" w:rsidR="00A521EC" w:rsidRDefault="00A521EC" w:rsidP="00195E4B">
      <w:pPr>
        <w:pStyle w:val="Heading3"/>
        <w:keepNext/>
        <w:keepLines/>
      </w:pPr>
      <w:bookmarkStart w:id="123" w:name="_Toc85031255"/>
      <w:r>
        <w:lastRenderedPageBreak/>
        <w:t xml:space="preserve">Actual vs Expected from </w:t>
      </w:r>
      <w:r w:rsidR="00C82672">
        <w:t>2020-</w:t>
      </w:r>
      <w:r>
        <w:t>21 PBS Estimate</w:t>
      </w:r>
      <w:bookmarkEnd w:id="122"/>
      <w:bookmarkEnd w:id="123"/>
    </w:p>
    <w:p w14:paraId="54730A16" w14:textId="0F06F0A7" w:rsidR="00C82672" w:rsidRDefault="00896C59" w:rsidP="00C82672">
      <w:pPr>
        <w:pStyle w:val="FSRnormal"/>
      </w:pPr>
      <w:r w:rsidRPr="00896C59">
        <w:fldChar w:fldCharType="begin"/>
      </w:r>
      <w:r w:rsidRPr="00896C59">
        <w:instrText xml:space="preserve"> REF _Ref80268488 \h </w:instrText>
      </w:r>
      <w:r>
        <w:instrText xml:space="preserve"> \* MERGEFORMAT </w:instrText>
      </w:r>
      <w:r w:rsidRPr="00896C59">
        <w:fldChar w:fldCharType="separate"/>
      </w:r>
      <w:r w:rsidR="00E50032" w:rsidRPr="0029669B">
        <w:t xml:space="preserve">Figure </w:t>
      </w:r>
      <w:r w:rsidR="00E50032">
        <w:rPr>
          <w:noProof/>
        </w:rPr>
        <w:t>35</w:t>
      </w:r>
      <w:r w:rsidRPr="00896C59">
        <w:fldChar w:fldCharType="end"/>
      </w:r>
      <w:r>
        <w:t xml:space="preserve"> </w:t>
      </w:r>
      <w:r w:rsidR="00C82672" w:rsidRPr="001E57B7">
        <w:t xml:space="preserve">shows that total cumulative payments (on an </w:t>
      </w:r>
      <w:r w:rsidR="00C82672" w:rsidRPr="0029669B">
        <w:t xml:space="preserve">accrual basis) have tracked above the </w:t>
      </w:r>
      <w:r w:rsidR="00195E4B">
        <w:t xml:space="preserve">2020-21 </w:t>
      </w:r>
      <w:r w:rsidR="00C82672" w:rsidRPr="0029669B">
        <w:t>PBS estimates since the start of the 2020-21 financial year. By June 2021, actual experience exceeded the projected amount by 7</w:t>
      </w:r>
      <w:r w:rsidR="0029669B" w:rsidRPr="0029669B">
        <w:t>.5</w:t>
      </w:r>
      <w:r w:rsidR="00C82672" w:rsidRPr="0029669B">
        <w:t>%, an equivalent of $1,</w:t>
      </w:r>
      <w:r w:rsidR="0029669B" w:rsidRPr="0029669B">
        <w:t>628</w:t>
      </w:r>
      <w:r w:rsidR="00C82672" w:rsidRPr="0029669B">
        <w:t>m.</w:t>
      </w:r>
      <w:r w:rsidR="00C82672" w:rsidRPr="001E57B7">
        <w:t xml:space="preserve"> </w:t>
      </w:r>
    </w:p>
    <w:p w14:paraId="7752ED79" w14:textId="2CBCD699" w:rsidR="00C82672" w:rsidRPr="0029669B" w:rsidRDefault="00896C59" w:rsidP="00896C59">
      <w:pPr>
        <w:pStyle w:val="Figures"/>
      </w:pPr>
      <w:bookmarkStart w:id="124" w:name="_Ref80268488"/>
      <w:r w:rsidRPr="0029669B">
        <w:t xml:space="preserve">Figure </w:t>
      </w:r>
      <w:fldSimple w:instr=" SEQ Figure \* ARABIC ">
        <w:r w:rsidR="00E50032">
          <w:rPr>
            <w:noProof/>
          </w:rPr>
          <w:t>35</w:t>
        </w:r>
      </w:fldSimple>
      <w:bookmarkEnd w:id="124"/>
      <w:r w:rsidRPr="0029669B">
        <w:t xml:space="preserve"> </w:t>
      </w:r>
      <w:r w:rsidR="00C82672" w:rsidRPr="0029669B">
        <w:t>Total Payments (accrual basis) in the 2020-21 financial year – actual vs expected</w:t>
      </w:r>
      <w:r w:rsidR="00C82672" w:rsidRPr="0029669B">
        <w:rPr>
          <w:vertAlign w:val="superscript"/>
        </w:rPr>
        <w:footnoteReference w:id="55"/>
      </w:r>
    </w:p>
    <w:p w14:paraId="436D3EAE" w14:textId="14AB2BA9" w:rsidR="00C82672" w:rsidRDefault="00DD4C5F" w:rsidP="00C82672">
      <w:pPr>
        <w:pStyle w:val="FSRnormal"/>
      </w:pPr>
      <w:r>
        <w:rPr>
          <w:noProof/>
          <w:lang w:eastAsia="en-AU"/>
        </w:rPr>
        <w:drawing>
          <wp:inline distT="0" distB="0" distL="0" distR="0" wp14:anchorId="05B6A43A" wp14:editId="4AC6F087">
            <wp:extent cx="5511800" cy="3122448"/>
            <wp:effectExtent l="0" t="0" r="0" b="1905"/>
            <wp:docPr id="498" name="Picture 498" descr="Complex line chart showing that the total cumulative payments (on an accrual basis) have tracked above the 2020-21 PBS estimates since the start of the 2020-21 financial year. By June 2021, actual experience exceeded the projected amount by 7.5%, an equivalent of $1,628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descr="Complex line chart showing that the total cumulative payments (on an accrual basis) have tracked above the 2020-21 PBS estimates since the start of the 2020-21 financial year. By June 2021, actual experience exceeded the projected amount by 7.5%, an equivalent of $1,628m"/>
                    <pic:cNvPicPr/>
                  </pic:nvPicPr>
                  <pic:blipFill>
                    <a:blip r:embed="rId53">
                      <a:extLst>
                        <a:ext uri="{28A0092B-C50C-407E-A947-70E740481C1C}">
                          <a14:useLocalDpi xmlns:a14="http://schemas.microsoft.com/office/drawing/2010/main" val="0"/>
                        </a:ext>
                      </a:extLst>
                    </a:blip>
                    <a:stretch>
                      <a:fillRect/>
                    </a:stretch>
                  </pic:blipFill>
                  <pic:spPr>
                    <a:xfrm>
                      <a:off x="0" y="0"/>
                      <a:ext cx="5556935" cy="3148017"/>
                    </a:xfrm>
                    <a:prstGeom prst="rect">
                      <a:avLst/>
                    </a:prstGeom>
                  </pic:spPr>
                </pic:pic>
              </a:graphicData>
            </a:graphic>
          </wp:inline>
        </w:drawing>
      </w:r>
    </w:p>
    <w:p w14:paraId="11CA7BBC" w14:textId="4AE0E9D9" w:rsidR="00C82672" w:rsidRDefault="00445855" w:rsidP="00C82672">
      <w:pPr>
        <w:pStyle w:val="FSRnormal"/>
      </w:pPr>
      <w:r>
        <w:t>C</w:t>
      </w:r>
      <w:r w:rsidR="00C82672" w:rsidRPr="001E57B7">
        <w:t xml:space="preserve">umulative participant numbers have also tracked above the PBS estimates since the start of the 2020-21 financial year. The Scheme provided supports to an additional 23,387 participants, or 5.3%, compared to the projection. </w:t>
      </w:r>
    </w:p>
    <w:p w14:paraId="07B17A2F" w14:textId="1D0C67B5" w:rsidR="00C82672" w:rsidRPr="00C82672" w:rsidRDefault="00896C59" w:rsidP="00896C59">
      <w:pPr>
        <w:pStyle w:val="Figures"/>
      </w:pPr>
      <w:r>
        <w:lastRenderedPageBreak/>
        <w:t xml:space="preserve">Figure </w:t>
      </w:r>
      <w:fldSimple w:instr=" SEQ Figure \* ARABIC ">
        <w:r w:rsidR="00E50032">
          <w:rPr>
            <w:noProof/>
          </w:rPr>
          <w:t>36</w:t>
        </w:r>
      </w:fldSimple>
      <w:r>
        <w:t xml:space="preserve"> </w:t>
      </w:r>
      <w:r w:rsidR="00C82672" w:rsidRPr="00C82672">
        <w:t>Total active participants in the 2020-21 financial year – actual vs expected</w:t>
      </w:r>
    </w:p>
    <w:p w14:paraId="340EA668" w14:textId="31BE2C18" w:rsidR="00C82672" w:rsidRDefault="00764C0E" w:rsidP="00C82672">
      <w:pPr>
        <w:pStyle w:val="FSRnormal"/>
      </w:pPr>
      <w:r>
        <w:rPr>
          <w:noProof/>
          <w:lang w:eastAsia="en-AU"/>
        </w:rPr>
        <w:drawing>
          <wp:inline distT="0" distB="0" distL="0" distR="0" wp14:anchorId="67AE59E0" wp14:editId="26BAD951">
            <wp:extent cx="5317067" cy="3062755"/>
            <wp:effectExtent l="0" t="0" r="4445" b="0"/>
            <wp:docPr id="499" name="Picture 499" descr="Complex line chart showing the Total active participants in the 2020-21 financial year – actual vs expected.&#10;The cumulative participant numbers have also tracked above the PBS estimates since the start of the 2020-21 financial year. The Scheme provided supports to an additional 23,387 participants, or 5.3%, compared to the pro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descr="Complex line chart showing the Total active participants in the 2020-21 financial year – actual vs expected.&#10;The cumulative participant numbers have also tracked above the PBS estimates since the start of the 2020-21 financial year. The Scheme provided supports to an additional 23,387 participants, or 5.3%, compared to the projection"/>
                    <pic:cNvPicPr/>
                  </pic:nvPicPr>
                  <pic:blipFill>
                    <a:blip r:embed="rId54">
                      <a:extLst>
                        <a:ext uri="{28A0092B-C50C-407E-A947-70E740481C1C}">
                          <a14:useLocalDpi xmlns:a14="http://schemas.microsoft.com/office/drawing/2010/main" val="0"/>
                        </a:ext>
                      </a:extLst>
                    </a:blip>
                    <a:stretch>
                      <a:fillRect/>
                    </a:stretch>
                  </pic:blipFill>
                  <pic:spPr>
                    <a:xfrm>
                      <a:off x="0" y="0"/>
                      <a:ext cx="5334991" cy="3073080"/>
                    </a:xfrm>
                    <a:prstGeom prst="rect">
                      <a:avLst/>
                    </a:prstGeom>
                  </pic:spPr>
                </pic:pic>
              </a:graphicData>
            </a:graphic>
          </wp:inline>
        </w:drawing>
      </w:r>
    </w:p>
    <w:p w14:paraId="73198AC7" w14:textId="3177F5A9" w:rsidR="00310D83" w:rsidRPr="00310D83" w:rsidRDefault="00A2569E" w:rsidP="00EA0F0E">
      <w:pPr>
        <w:pStyle w:val="Heading3"/>
      </w:pPr>
      <w:bookmarkStart w:id="125" w:name="_Toc83220845"/>
      <w:bookmarkStart w:id="126" w:name="_Toc85031256"/>
      <w:r>
        <w:t>Historic</w:t>
      </w:r>
      <w:r w:rsidR="00310D83">
        <w:t xml:space="preserve"> </w:t>
      </w:r>
      <w:r w:rsidR="00602B20">
        <w:t>u</w:t>
      </w:r>
      <w:r w:rsidR="00310D83" w:rsidRPr="00EA0F0E">
        <w:t>tilisation</w:t>
      </w:r>
      <w:bookmarkEnd w:id="125"/>
      <w:bookmarkEnd w:id="126"/>
    </w:p>
    <w:p w14:paraId="7A5A4057" w14:textId="77777777" w:rsidR="00310D83" w:rsidRPr="007739B0" w:rsidRDefault="00310D83" w:rsidP="00310D83">
      <w:pPr>
        <w:pStyle w:val="FSRnormal"/>
      </w:pPr>
      <w:r w:rsidRPr="007739B0">
        <w:t>Plan budgets represent the dollar amount of support that has been made available to participants in their plan. Historically, there is a reasonably significant gap between plan budgets and supports which are actually utilised. The proportion of plan budgets which are used is referred to as the ‘utilisation rate’.</w:t>
      </w:r>
    </w:p>
    <w:p w14:paraId="736332CD" w14:textId="05AC60B8" w:rsidR="00310D83" w:rsidRPr="00310D83" w:rsidRDefault="00310D83" w:rsidP="00310D83">
      <w:pPr>
        <w:pStyle w:val="FSRnormal"/>
      </w:pPr>
      <w:r w:rsidRPr="007739B0">
        <w:t xml:space="preserve">After being relatively flat for several years, utilisation has increased over the past several months, which can be seen when considering plan budgets by support year. Over the three year period to 30 June 2020, utilisation rates were essentially flat, between 70% and 71% of plan budgets, however in the past year the utilisation rate has increased </w:t>
      </w:r>
      <w:r w:rsidRPr="00310D83">
        <w:t>to 74%.</w:t>
      </w:r>
    </w:p>
    <w:p w14:paraId="3FA0E393" w14:textId="5CB50693" w:rsidR="00310D83" w:rsidRPr="00310D83" w:rsidRDefault="00310D83" w:rsidP="00310D83">
      <w:pPr>
        <w:pStyle w:val="FSRnormal"/>
      </w:pPr>
      <w:r w:rsidRPr="00764C0E">
        <w:rPr>
          <w:u w:val="single"/>
        </w:rPr>
        <w:fldChar w:fldCharType="begin"/>
      </w:r>
      <w:r w:rsidRPr="00764C0E">
        <w:rPr>
          <w:u w:val="single"/>
        </w:rPr>
        <w:instrText xml:space="preserve"> REF _Ref80092910 \h </w:instrText>
      </w:r>
      <w:r w:rsidR="00764C0E">
        <w:rPr>
          <w:u w:val="single"/>
        </w:rPr>
        <w:instrText xml:space="preserve"> \* MERGEFORMAT </w:instrText>
      </w:r>
      <w:r w:rsidRPr="00764C0E">
        <w:rPr>
          <w:u w:val="single"/>
        </w:rPr>
      </w:r>
      <w:r w:rsidRPr="00764C0E">
        <w:rPr>
          <w:u w:val="single"/>
        </w:rPr>
        <w:fldChar w:fldCharType="separate"/>
      </w:r>
      <w:r w:rsidR="00E50032" w:rsidRPr="00E50032">
        <w:rPr>
          <w:u w:val="single"/>
        </w:rPr>
        <w:t xml:space="preserve">Table </w:t>
      </w:r>
      <w:r w:rsidR="00E50032" w:rsidRPr="00E50032">
        <w:rPr>
          <w:noProof/>
          <w:u w:val="single"/>
        </w:rPr>
        <w:t>14</w:t>
      </w:r>
      <w:r w:rsidRPr="00764C0E">
        <w:rPr>
          <w:u w:val="single"/>
        </w:rPr>
        <w:fldChar w:fldCharType="end"/>
      </w:r>
      <w:r>
        <w:t xml:space="preserve"> </w:t>
      </w:r>
      <w:r w:rsidRPr="00310D83">
        <w:t>provides an overview of utilisation rates</w:t>
      </w:r>
      <w:r w:rsidR="00EA0F0E">
        <w:rPr>
          <w:rStyle w:val="FootnoteReference"/>
        </w:rPr>
        <w:footnoteReference w:id="56"/>
      </w:r>
      <w:r w:rsidR="00EA0F0E">
        <w:t xml:space="preserve"> </w:t>
      </w:r>
      <w:r w:rsidRPr="00310D83">
        <w:t>by support year as at 30 June 2021.</w:t>
      </w:r>
    </w:p>
    <w:p w14:paraId="1A47570C" w14:textId="2F9AADED" w:rsidR="00310D83" w:rsidRPr="00C21473" w:rsidRDefault="00310D83" w:rsidP="00C21473">
      <w:pPr>
        <w:pStyle w:val="Tables"/>
      </w:pPr>
      <w:bookmarkStart w:id="127" w:name="_Ref80092910"/>
      <w:r w:rsidRPr="00C21473">
        <w:t xml:space="preserve">Table </w:t>
      </w:r>
      <w:fldSimple w:instr=" SEQ Table \* ARABIC ">
        <w:r w:rsidR="00E50032">
          <w:rPr>
            <w:noProof/>
          </w:rPr>
          <w:t>14</w:t>
        </w:r>
      </w:fldSimple>
      <w:bookmarkEnd w:id="127"/>
      <w:r w:rsidRPr="00C21473">
        <w:t xml:space="preserve"> Estimated utilisation rate by support year as at 30 June 2021 </w:t>
      </w:r>
    </w:p>
    <w:tbl>
      <w:tblPr>
        <w:tblStyle w:val="TableGrid"/>
        <w:tblW w:w="9214" w:type="dxa"/>
        <w:tblInd w:w="-5" w:type="dxa"/>
        <w:tblLayout w:type="fixed"/>
        <w:tblLook w:val="04A0" w:firstRow="1" w:lastRow="0" w:firstColumn="1" w:lastColumn="0" w:noHBand="0" w:noVBand="1"/>
      </w:tblPr>
      <w:tblGrid>
        <w:gridCol w:w="2977"/>
        <w:gridCol w:w="1701"/>
        <w:gridCol w:w="992"/>
        <w:gridCol w:w="851"/>
        <w:gridCol w:w="992"/>
        <w:gridCol w:w="851"/>
        <w:gridCol w:w="850"/>
      </w:tblGrid>
      <w:tr w:rsidR="000829DC" w14:paraId="45A286C0" w14:textId="77777777" w:rsidTr="00312E88">
        <w:trPr>
          <w:tblHeader/>
        </w:trPr>
        <w:tc>
          <w:tcPr>
            <w:tcW w:w="2977" w:type="dxa"/>
            <w:shd w:val="clear" w:color="auto" w:fill="6B2E76"/>
          </w:tcPr>
          <w:p w14:paraId="653CF9A0" w14:textId="77777777" w:rsidR="000829DC" w:rsidRPr="00531AF3" w:rsidRDefault="000829DC" w:rsidP="00312E88">
            <w:pPr>
              <w:pStyle w:val="Tables"/>
              <w:rPr>
                <w:rFonts w:cs="Arial"/>
                <w:color w:val="FFFFFF" w:themeColor="background1"/>
                <w:sz w:val="15"/>
                <w:szCs w:val="15"/>
              </w:rPr>
            </w:pPr>
            <w:r w:rsidRPr="00531AF3">
              <w:rPr>
                <w:rFonts w:cs="Arial"/>
                <w:color w:val="FFFFFF" w:themeColor="background1"/>
                <w:sz w:val="15"/>
                <w:szCs w:val="15"/>
              </w:rPr>
              <w:t>Utilisation component</w:t>
            </w:r>
          </w:p>
        </w:tc>
        <w:tc>
          <w:tcPr>
            <w:tcW w:w="1701" w:type="dxa"/>
            <w:shd w:val="clear" w:color="auto" w:fill="6B2E76"/>
            <w:vAlign w:val="center"/>
          </w:tcPr>
          <w:p w14:paraId="6F415E3E" w14:textId="77777777" w:rsidR="000829DC" w:rsidRPr="00531AF3" w:rsidRDefault="000829DC" w:rsidP="00312E88">
            <w:pPr>
              <w:pStyle w:val="Tables"/>
              <w:rPr>
                <w:rFonts w:cs="Arial"/>
                <w:color w:val="FFFFFF" w:themeColor="background1"/>
                <w:sz w:val="15"/>
                <w:szCs w:val="15"/>
              </w:rPr>
            </w:pPr>
            <w:r w:rsidRPr="00531AF3">
              <w:rPr>
                <w:rFonts w:cs="Arial"/>
                <w:color w:val="FFFFFF" w:themeColor="background1"/>
                <w:sz w:val="15"/>
                <w:szCs w:val="15"/>
              </w:rPr>
              <w:t>2016-17 and prior</w:t>
            </w:r>
          </w:p>
        </w:tc>
        <w:tc>
          <w:tcPr>
            <w:tcW w:w="992" w:type="dxa"/>
            <w:shd w:val="clear" w:color="auto" w:fill="6B2E76"/>
          </w:tcPr>
          <w:p w14:paraId="39C958AD" w14:textId="77777777" w:rsidR="000829DC" w:rsidRPr="00531AF3" w:rsidRDefault="000829DC" w:rsidP="00312E88">
            <w:pPr>
              <w:pStyle w:val="Tables"/>
              <w:jc w:val="center"/>
              <w:rPr>
                <w:rFonts w:cs="Arial"/>
                <w:color w:val="FFFFFF" w:themeColor="background1"/>
                <w:sz w:val="15"/>
                <w:szCs w:val="15"/>
              </w:rPr>
            </w:pPr>
            <w:r w:rsidRPr="00531AF3">
              <w:rPr>
                <w:rFonts w:cs="Arial"/>
                <w:color w:val="FFFFFF" w:themeColor="background1"/>
                <w:sz w:val="15"/>
                <w:szCs w:val="15"/>
              </w:rPr>
              <w:t>2017-18</w:t>
            </w:r>
          </w:p>
        </w:tc>
        <w:tc>
          <w:tcPr>
            <w:tcW w:w="851" w:type="dxa"/>
            <w:shd w:val="clear" w:color="auto" w:fill="6B2E76"/>
          </w:tcPr>
          <w:p w14:paraId="7C5BAAE7" w14:textId="77777777" w:rsidR="000829DC" w:rsidRPr="00531AF3" w:rsidRDefault="000829DC" w:rsidP="00312E88">
            <w:pPr>
              <w:pStyle w:val="Tables"/>
              <w:jc w:val="center"/>
              <w:rPr>
                <w:rFonts w:cs="Arial"/>
                <w:color w:val="FFFFFF" w:themeColor="background1"/>
                <w:sz w:val="15"/>
                <w:szCs w:val="15"/>
              </w:rPr>
            </w:pPr>
            <w:r w:rsidRPr="00531AF3">
              <w:rPr>
                <w:rFonts w:cs="Arial"/>
                <w:color w:val="FFFFFF" w:themeColor="background1"/>
                <w:sz w:val="15"/>
                <w:szCs w:val="15"/>
              </w:rPr>
              <w:t>2018-19</w:t>
            </w:r>
          </w:p>
        </w:tc>
        <w:tc>
          <w:tcPr>
            <w:tcW w:w="992" w:type="dxa"/>
            <w:shd w:val="clear" w:color="auto" w:fill="6B2E76"/>
          </w:tcPr>
          <w:p w14:paraId="63B859C0" w14:textId="77777777" w:rsidR="000829DC" w:rsidRPr="00531AF3" w:rsidRDefault="000829DC" w:rsidP="00312E88">
            <w:pPr>
              <w:pStyle w:val="Tables"/>
              <w:jc w:val="center"/>
              <w:rPr>
                <w:rFonts w:cs="Arial"/>
                <w:color w:val="FFFFFF" w:themeColor="background1"/>
                <w:sz w:val="15"/>
                <w:szCs w:val="15"/>
              </w:rPr>
            </w:pPr>
            <w:r w:rsidRPr="00531AF3">
              <w:rPr>
                <w:rFonts w:cs="Arial"/>
                <w:color w:val="FFFFFF" w:themeColor="background1"/>
                <w:sz w:val="15"/>
                <w:szCs w:val="15"/>
              </w:rPr>
              <w:t>2019-20</w:t>
            </w:r>
          </w:p>
        </w:tc>
        <w:tc>
          <w:tcPr>
            <w:tcW w:w="851" w:type="dxa"/>
            <w:shd w:val="clear" w:color="auto" w:fill="6B2E76"/>
          </w:tcPr>
          <w:p w14:paraId="32580214" w14:textId="77777777" w:rsidR="000829DC" w:rsidRPr="00531AF3" w:rsidRDefault="000829DC" w:rsidP="00312E88">
            <w:pPr>
              <w:pStyle w:val="Tables"/>
              <w:jc w:val="center"/>
              <w:rPr>
                <w:rFonts w:cs="Arial"/>
                <w:color w:val="FFFFFF" w:themeColor="background1"/>
                <w:sz w:val="15"/>
                <w:szCs w:val="15"/>
              </w:rPr>
            </w:pPr>
            <w:r w:rsidRPr="00531AF3">
              <w:rPr>
                <w:rFonts w:cs="Arial"/>
                <w:color w:val="FFFFFF" w:themeColor="background1"/>
                <w:sz w:val="15"/>
                <w:szCs w:val="15"/>
              </w:rPr>
              <w:t>2020-21</w:t>
            </w:r>
          </w:p>
        </w:tc>
        <w:tc>
          <w:tcPr>
            <w:tcW w:w="850" w:type="dxa"/>
            <w:shd w:val="clear" w:color="auto" w:fill="6B2E76"/>
          </w:tcPr>
          <w:p w14:paraId="75547F3F" w14:textId="77777777" w:rsidR="000829DC" w:rsidRPr="00531AF3" w:rsidRDefault="000829DC" w:rsidP="00312E88">
            <w:pPr>
              <w:pStyle w:val="Tables"/>
              <w:jc w:val="center"/>
              <w:rPr>
                <w:rFonts w:cs="Arial"/>
                <w:color w:val="FFFFFF" w:themeColor="background1"/>
                <w:sz w:val="15"/>
                <w:szCs w:val="15"/>
              </w:rPr>
            </w:pPr>
            <w:r w:rsidRPr="00531AF3">
              <w:rPr>
                <w:rFonts w:cs="Arial"/>
                <w:color w:val="FFFFFF" w:themeColor="background1"/>
                <w:sz w:val="15"/>
                <w:szCs w:val="15"/>
              </w:rPr>
              <w:t>Total</w:t>
            </w:r>
          </w:p>
        </w:tc>
      </w:tr>
      <w:tr w:rsidR="000829DC" w14:paraId="0E04A06C" w14:textId="77777777" w:rsidTr="00312E88">
        <w:trPr>
          <w:trHeight w:hRule="exact" w:val="284"/>
        </w:trPr>
        <w:tc>
          <w:tcPr>
            <w:tcW w:w="2977" w:type="dxa"/>
          </w:tcPr>
          <w:p w14:paraId="07185F20" w14:textId="77777777" w:rsidR="000829DC" w:rsidRPr="00531AF3" w:rsidRDefault="000829DC" w:rsidP="00312E88">
            <w:pPr>
              <w:pStyle w:val="Tables"/>
              <w:rPr>
                <w:rFonts w:cs="Arial"/>
                <w:sz w:val="16"/>
                <w:szCs w:val="16"/>
              </w:rPr>
            </w:pPr>
            <w:r w:rsidRPr="00531AF3">
              <w:rPr>
                <w:rFonts w:cs="Arial"/>
                <w:sz w:val="16"/>
                <w:szCs w:val="16"/>
              </w:rPr>
              <w:t>Plan budgets ($m)</w:t>
            </w:r>
          </w:p>
        </w:tc>
        <w:tc>
          <w:tcPr>
            <w:tcW w:w="1701" w:type="dxa"/>
          </w:tcPr>
          <w:p w14:paraId="4D060D44" w14:textId="77777777" w:rsidR="000829DC" w:rsidRPr="00531AF3" w:rsidRDefault="000829DC" w:rsidP="00312E88">
            <w:pPr>
              <w:pStyle w:val="Tables"/>
              <w:rPr>
                <w:rFonts w:cs="Arial"/>
                <w:sz w:val="16"/>
                <w:szCs w:val="16"/>
              </w:rPr>
            </w:pPr>
            <w:r w:rsidRPr="00531AF3">
              <w:rPr>
                <w:rFonts w:cs="Arial"/>
                <w:sz w:val="16"/>
                <w:szCs w:val="16"/>
              </w:rPr>
              <w:t>4,816</w:t>
            </w:r>
          </w:p>
        </w:tc>
        <w:tc>
          <w:tcPr>
            <w:tcW w:w="992" w:type="dxa"/>
          </w:tcPr>
          <w:p w14:paraId="7C37BDD8" w14:textId="77777777" w:rsidR="000829DC" w:rsidRPr="00531AF3" w:rsidRDefault="000829DC" w:rsidP="00312E88">
            <w:pPr>
              <w:pStyle w:val="Tables"/>
              <w:rPr>
                <w:rFonts w:cs="Arial"/>
                <w:sz w:val="16"/>
                <w:szCs w:val="16"/>
              </w:rPr>
            </w:pPr>
            <w:r w:rsidRPr="00531AF3">
              <w:rPr>
                <w:rFonts w:cs="Arial"/>
                <w:sz w:val="16"/>
                <w:szCs w:val="16"/>
              </w:rPr>
              <w:t>7,775</w:t>
            </w:r>
          </w:p>
        </w:tc>
        <w:tc>
          <w:tcPr>
            <w:tcW w:w="851" w:type="dxa"/>
          </w:tcPr>
          <w:p w14:paraId="017B0700" w14:textId="77777777" w:rsidR="000829DC" w:rsidRPr="00531AF3" w:rsidRDefault="000829DC" w:rsidP="00312E88">
            <w:pPr>
              <w:pStyle w:val="Tables"/>
              <w:rPr>
                <w:rFonts w:cs="Arial"/>
                <w:sz w:val="16"/>
                <w:szCs w:val="16"/>
              </w:rPr>
            </w:pPr>
            <w:r w:rsidRPr="00531AF3">
              <w:rPr>
                <w:rFonts w:cs="Arial"/>
                <w:sz w:val="16"/>
                <w:szCs w:val="16"/>
              </w:rPr>
              <w:t>14,582</w:t>
            </w:r>
          </w:p>
        </w:tc>
        <w:tc>
          <w:tcPr>
            <w:tcW w:w="992" w:type="dxa"/>
          </w:tcPr>
          <w:p w14:paraId="67C84478" w14:textId="77777777" w:rsidR="000829DC" w:rsidRPr="00531AF3" w:rsidRDefault="000829DC" w:rsidP="00312E88">
            <w:pPr>
              <w:pStyle w:val="Tables"/>
              <w:rPr>
                <w:rFonts w:cs="Arial"/>
                <w:sz w:val="16"/>
                <w:szCs w:val="16"/>
              </w:rPr>
            </w:pPr>
            <w:r w:rsidRPr="00531AF3">
              <w:rPr>
                <w:rFonts w:cs="Arial"/>
                <w:sz w:val="16"/>
                <w:szCs w:val="16"/>
              </w:rPr>
              <w:t>24,648</w:t>
            </w:r>
          </w:p>
        </w:tc>
        <w:tc>
          <w:tcPr>
            <w:tcW w:w="851" w:type="dxa"/>
          </w:tcPr>
          <w:p w14:paraId="08F795A7" w14:textId="77777777" w:rsidR="000829DC" w:rsidRPr="00531AF3" w:rsidRDefault="000829DC" w:rsidP="00312E88">
            <w:pPr>
              <w:pStyle w:val="Tables"/>
              <w:rPr>
                <w:rFonts w:cs="Arial"/>
                <w:sz w:val="16"/>
                <w:szCs w:val="16"/>
              </w:rPr>
            </w:pPr>
            <w:r w:rsidRPr="00531AF3">
              <w:rPr>
                <w:rFonts w:cs="Arial"/>
                <w:sz w:val="16"/>
                <w:szCs w:val="16"/>
              </w:rPr>
              <w:t>32,096</w:t>
            </w:r>
          </w:p>
        </w:tc>
        <w:tc>
          <w:tcPr>
            <w:tcW w:w="850" w:type="dxa"/>
          </w:tcPr>
          <w:p w14:paraId="1D34CF62" w14:textId="77777777" w:rsidR="000829DC" w:rsidRPr="00531AF3" w:rsidRDefault="000829DC" w:rsidP="00312E88">
            <w:pPr>
              <w:pStyle w:val="Tables"/>
              <w:rPr>
                <w:rFonts w:cs="Arial"/>
                <w:sz w:val="16"/>
                <w:szCs w:val="16"/>
              </w:rPr>
            </w:pPr>
            <w:r w:rsidRPr="00531AF3">
              <w:rPr>
                <w:rFonts w:cs="Arial"/>
                <w:sz w:val="16"/>
                <w:szCs w:val="16"/>
              </w:rPr>
              <w:t>83,918</w:t>
            </w:r>
          </w:p>
        </w:tc>
      </w:tr>
      <w:tr w:rsidR="000829DC" w14:paraId="5895E71A" w14:textId="77777777" w:rsidTr="00312E88">
        <w:trPr>
          <w:trHeight w:hRule="exact" w:val="284"/>
        </w:trPr>
        <w:tc>
          <w:tcPr>
            <w:tcW w:w="2977" w:type="dxa"/>
          </w:tcPr>
          <w:p w14:paraId="628AFD17"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Payments to date ($m)</w:t>
            </w:r>
          </w:p>
        </w:tc>
        <w:tc>
          <w:tcPr>
            <w:tcW w:w="1701" w:type="dxa"/>
          </w:tcPr>
          <w:p w14:paraId="091C3B7E"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3,348</w:t>
            </w:r>
          </w:p>
        </w:tc>
        <w:tc>
          <w:tcPr>
            <w:tcW w:w="992" w:type="dxa"/>
          </w:tcPr>
          <w:p w14:paraId="1B2305FA"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5,436</w:t>
            </w:r>
          </w:p>
        </w:tc>
        <w:tc>
          <w:tcPr>
            <w:tcW w:w="851" w:type="dxa"/>
          </w:tcPr>
          <w:p w14:paraId="29A8F9F3"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10,368</w:t>
            </w:r>
          </w:p>
        </w:tc>
        <w:tc>
          <w:tcPr>
            <w:tcW w:w="992" w:type="dxa"/>
          </w:tcPr>
          <w:p w14:paraId="5289A69C"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17,287</w:t>
            </w:r>
          </w:p>
        </w:tc>
        <w:tc>
          <w:tcPr>
            <w:tcW w:w="851" w:type="dxa"/>
          </w:tcPr>
          <w:p w14:paraId="05C98585"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22,139</w:t>
            </w:r>
          </w:p>
        </w:tc>
        <w:tc>
          <w:tcPr>
            <w:tcW w:w="850" w:type="dxa"/>
          </w:tcPr>
          <w:p w14:paraId="1F13E070"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58,578</w:t>
            </w:r>
          </w:p>
        </w:tc>
      </w:tr>
      <w:tr w:rsidR="000829DC" w14:paraId="1AD748C1" w14:textId="77777777" w:rsidTr="00312E88">
        <w:trPr>
          <w:trHeight w:hRule="exact" w:val="284"/>
        </w:trPr>
        <w:tc>
          <w:tcPr>
            <w:tcW w:w="2977" w:type="dxa"/>
            <w:shd w:val="clear" w:color="auto" w:fill="FFFFFF" w:themeFill="background1"/>
          </w:tcPr>
          <w:p w14:paraId="09CFB60D"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Estimated future payments ($m)</w:t>
            </w:r>
          </w:p>
        </w:tc>
        <w:tc>
          <w:tcPr>
            <w:tcW w:w="1701" w:type="dxa"/>
            <w:shd w:val="clear" w:color="auto" w:fill="FFFFFF" w:themeFill="background1"/>
          </w:tcPr>
          <w:p w14:paraId="0087CFE4"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0</w:t>
            </w:r>
          </w:p>
        </w:tc>
        <w:tc>
          <w:tcPr>
            <w:tcW w:w="992" w:type="dxa"/>
            <w:shd w:val="clear" w:color="auto" w:fill="FFFFFF" w:themeFill="background1"/>
          </w:tcPr>
          <w:p w14:paraId="753F1605"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2</w:t>
            </w:r>
          </w:p>
        </w:tc>
        <w:tc>
          <w:tcPr>
            <w:tcW w:w="851" w:type="dxa"/>
            <w:shd w:val="clear" w:color="auto" w:fill="FFFFFF" w:themeFill="background1"/>
          </w:tcPr>
          <w:p w14:paraId="103CC6DD"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13</w:t>
            </w:r>
          </w:p>
        </w:tc>
        <w:tc>
          <w:tcPr>
            <w:tcW w:w="992" w:type="dxa"/>
            <w:shd w:val="clear" w:color="auto" w:fill="FFFFFF" w:themeFill="background1"/>
          </w:tcPr>
          <w:p w14:paraId="06A5D3D8"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66</w:t>
            </w:r>
          </w:p>
        </w:tc>
        <w:tc>
          <w:tcPr>
            <w:tcW w:w="851" w:type="dxa"/>
            <w:shd w:val="clear" w:color="auto" w:fill="FFFFFF" w:themeFill="background1"/>
          </w:tcPr>
          <w:p w14:paraId="22BCCADB"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1,679</w:t>
            </w:r>
          </w:p>
        </w:tc>
        <w:tc>
          <w:tcPr>
            <w:tcW w:w="850" w:type="dxa"/>
            <w:shd w:val="clear" w:color="auto" w:fill="FFFFFF" w:themeFill="background1"/>
          </w:tcPr>
          <w:p w14:paraId="3FBEEEAD" w14:textId="77777777" w:rsidR="000829DC" w:rsidRPr="00531AF3" w:rsidRDefault="000829DC" w:rsidP="00312E88">
            <w:pPr>
              <w:pStyle w:val="Tables"/>
              <w:rPr>
                <w:rFonts w:cs="Arial"/>
                <w:b w:val="0"/>
                <w:bCs w:val="0"/>
                <w:sz w:val="16"/>
                <w:szCs w:val="16"/>
              </w:rPr>
            </w:pPr>
            <w:r w:rsidRPr="00531AF3">
              <w:rPr>
                <w:rFonts w:cs="Arial"/>
                <w:b w:val="0"/>
                <w:bCs w:val="0"/>
                <w:sz w:val="16"/>
                <w:szCs w:val="16"/>
              </w:rPr>
              <w:t>1,760</w:t>
            </w:r>
          </w:p>
        </w:tc>
      </w:tr>
      <w:tr w:rsidR="000829DC" w14:paraId="2638F490" w14:textId="77777777" w:rsidTr="00312E88">
        <w:trPr>
          <w:trHeight w:hRule="exact" w:val="284"/>
        </w:trPr>
        <w:tc>
          <w:tcPr>
            <w:tcW w:w="2977" w:type="dxa"/>
            <w:shd w:val="clear" w:color="auto" w:fill="FFFFFF" w:themeFill="background1"/>
          </w:tcPr>
          <w:p w14:paraId="500EC8CA" w14:textId="77777777" w:rsidR="000829DC" w:rsidRPr="00531AF3" w:rsidRDefault="000829DC" w:rsidP="00312E88">
            <w:pPr>
              <w:rPr>
                <w:rFonts w:cs="Arial"/>
                <w:b/>
                <w:bCs/>
                <w:sz w:val="16"/>
                <w:szCs w:val="16"/>
              </w:rPr>
            </w:pPr>
            <w:r w:rsidRPr="00531AF3">
              <w:rPr>
                <w:rFonts w:cs="Arial"/>
                <w:b/>
                <w:bCs/>
                <w:sz w:val="16"/>
                <w:szCs w:val="16"/>
              </w:rPr>
              <w:t>Projected ultimate payments ($m)</w:t>
            </w:r>
          </w:p>
        </w:tc>
        <w:tc>
          <w:tcPr>
            <w:tcW w:w="1701" w:type="dxa"/>
            <w:shd w:val="clear" w:color="auto" w:fill="FFFFFF" w:themeFill="background1"/>
          </w:tcPr>
          <w:p w14:paraId="6239BB75" w14:textId="77777777" w:rsidR="000829DC" w:rsidRPr="00531AF3" w:rsidRDefault="000829DC" w:rsidP="00312E88">
            <w:pPr>
              <w:pStyle w:val="Tables"/>
              <w:rPr>
                <w:rFonts w:cs="Arial"/>
                <w:sz w:val="16"/>
                <w:szCs w:val="16"/>
              </w:rPr>
            </w:pPr>
            <w:r w:rsidRPr="00531AF3">
              <w:rPr>
                <w:rFonts w:cs="Arial"/>
                <w:sz w:val="16"/>
                <w:szCs w:val="16"/>
              </w:rPr>
              <w:t>3,348</w:t>
            </w:r>
          </w:p>
        </w:tc>
        <w:tc>
          <w:tcPr>
            <w:tcW w:w="992" w:type="dxa"/>
            <w:shd w:val="clear" w:color="auto" w:fill="FFFFFF" w:themeFill="background1"/>
          </w:tcPr>
          <w:p w14:paraId="5BD95BAF" w14:textId="77777777" w:rsidR="000829DC" w:rsidRPr="00531AF3" w:rsidRDefault="000829DC" w:rsidP="00312E88">
            <w:pPr>
              <w:pStyle w:val="Tables"/>
              <w:rPr>
                <w:rFonts w:cs="Arial"/>
                <w:sz w:val="16"/>
                <w:szCs w:val="16"/>
              </w:rPr>
            </w:pPr>
            <w:r w:rsidRPr="00531AF3">
              <w:rPr>
                <w:rFonts w:cs="Arial"/>
                <w:sz w:val="16"/>
                <w:szCs w:val="16"/>
              </w:rPr>
              <w:t>5,438</w:t>
            </w:r>
          </w:p>
        </w:tc>
        <w:tc>
          <w:tcPr>
            <w:tcW w:w="851" w:type="dxa"/>
            <w:shd w:val="clear" w:color="auto" w:fill="FFFFFF" w:themeFill="background1"/>
          </w:tcPr>
          <w:p w14:paraId="3C9F1CCB" w14:textId="77777777" w:rsidR="000829DC" w:rsidRPr="00531AF3" w:rsidRDefault="000829DC" w:rsidP="00312E88">
            <w:pPr>
              <w:pStyle w:val="Tables"/>
              <w:rPr>
                <w:rFonts w:cs="Arial"/>
                <w:sz w:val="16"/>
                <w:szCs w:val="16"/>
              </w:rPr>
            </w:pPr>
            <w:r w:rsidRPr="00531AF3">
              <w:rPr>
                <w:rFonts w:cs="Arial"/>
                <w:sz w:val="16"/>
                <w:szCs w:val="16"/>
              </w:rPr>
              <w:t>10,381</w:t>
            </w:r>
          </w:p>
        </w:tc>
        <w:tc>
          <w:tcPr>
            <w:tcW w:w="992" w:type="dxa"/>
            <w:shd w:val="clear" w:color="auto" w:fill="FFFFFF" w:themeFill="background1"/>
          </w:tcPr>
          <w:p w14:paraId="3F2077E1" w14:textId="77777777" w:rsidR="000829DC" w:rsidRPr="00531AF3" w:rsidRDefault="000829DC" w:rsidP="00312E88">
            <w:pPr>
              <w:pStyle w:val="Tables"/>
              <w:rPr>
                <w:rFonts w:cs="Arial"/>
                <w:sz w:val="16"/>
                <w:szCs w:val="16"/>
              </w:rPr>
            </w:pPr>
            <w:r w:rsidRPr="00531AF3">
              <w:rPr>
                <w:rFonts w:cs="Arial"/>
                <w:sz w:val="16"/>
                <w:szCs w:val="16"/>
              </w:rPr>
              <w:t>17,352</w:t>
            </w:r>
          </w:p>
        </w:tc>
        <w:tc>
          <w:tcPr>
            <w:tcW w:w="851" w:type="dxa"/>
            <w:shd w:val="clear" w:color="auto" w:fill="FFFFFF" w:themeFill="background1"/>
          </w:tcPr>
          <w:p w14:paraId="5BA3CE4D" w14:textId="77777777" w:rsidR="000829DC" w:rsidRPr="00531AF3" w:rsidRDefault="000829DC" w:rsidP="00312E88">
            <w:pPr>
              <w:pStyle w:val="Tables"/>
              <w:rPr>
                <w:rFonts w:cs="Arial"/>
                <w:sz w:val="16"/>
                <w:szCs w:val="16"/>
              </w:rPr>
            </w:pPr>
            <w:r w:rsidRPr="00531AF3">
              <w:rPr>
                <w:rFonts w:cs="Arial"/>
                <w:sz w:val="16"/>
                <w:szCs w:val="16"/>
              </w:rPr>
              <w:t>23,819</w:t>
            </w:r>
          </w:p>
        </w:tc>
        <w:tc>
          <w:tcPr>
            <w:tcW w:w="850" w:type="dxa"/>
            <w:shd w:val="clear" w:color="auto" w:fill="FFFFFF" w:themeFill="background1"/>
          </w:tcPr>
          <w:p w14:paraId="362E3877" w14:textId="77777777" w:rsidR="000829DC" w:rsidRPr="00531AF3" w:rsidRDefault="000829DC" w:rsidP="00312E88">
            <w:pPr>
              <w:pStyle w:val="Tables"/>
              <w:rPr>
                <w:rFonts w:cs="Arial"/>
                <w:sz w:val="16"/>
                <w:szCs w:val="16"/>
              </w:rPr>
            </w:pPr>
            <w:r w:rsidRPr="00531AF3">
              <w:rPr>
                <w:rFonts w:cs="Arial"/>
                <w:sz w:val="16"/>
                <w:szCs w:val="16"/>
              </w:rPr>
              <w:t>60,337</w:t>
            </w:r>
          </w:p>
        </w:tc>
      </w:tr>
      <w:tr w:rsidR="000829DC" w14:paraId="36929E63" w14:textId="77777777" w:rsidTr="00312E88">
        <w:trPr>
          <w:trHeight w:hRule="exact" w:val="284"/>
        </w:trPr>
        <w:tc>
          <w:tcPr>
            <w:tcW w:w="2977" w:type="dxa"/>
            <w:shd w:val="clear" w:color="auto" w:fill="FFFFFF" w:themeFill="background1"/>
          </w:tcPr>
          <w:p w14:paraId="720B0F27" w14:textId="77777777" w:rsidR="000829DC" w:rsidRPr="00531AF3" w:rsidRDefault="000829DC" w:rsidP="00312E88">
            <w:pPr>
              <w:pStyle w:val="Tables"/>
              <w:rPr>
                <w:rFonts w:cs="Arial"/>
                <w:sz w:val="16"/>
                <w:szCs w:val="16"/>
              </w:rPr>
            </w:pPr>
            <w:r w:rsidRPr="00531AF3">
              <w:rPr>
                <w:rFonts w:cs="Arial"/>
                <w:sz w:val="16"/>
                <w:szCs w:val="16"/>
              </w:rPr>
              <w:t>Utilisation to date (%)</w:t>
            </w:r>
          </w:p>
        </w:tc>
        <w:tc>
          <w:tcPr>
            <w:tcW w:w="1701" w:type="dxa"/>
            <w:shd w:val="clear" w:color="auto" w:fill="FFFFFF" w:themeFill="background1"/>
          </w:tcPr>
          <w:p w14:paraId="2D513904" w14:textId="77777777" w:rsidR="000829DC" w:rsidRPr="00531AF3" w:rsidRDefault="000829DC" w:rsidP="00312E88">
            <w:pPr>
              <w:pStyle w:val="Tables"/>
              <w:rPr>
                <w:rFonts w:cs="Arial"/>
                <w:sz w:val="16"/>
                <w:szCs w:val="16"/>
              </w:rPr>
            </w:pPr>
            <w:r w:rsidRPr="00531AF3">
              <w:rPr>
                <w:rFonts w:cs="Arial"/>
                <w:sz w:val="16"/>
                <w:szCs w:val="16"/>
              </w:rPr>
              <w:t>69.5%</w:t>
            </w:r>
          </w:p>
        </w:tc>
        <w:tc>
          <w:tcPr>
            <w:tcW w:w="992" w:type="dxa"/>
            <w:shd w:val="clear" w:color="auto" w:fill="FFFFFF" w:themeFill="background1"/>
          </w:tcPr>
          <w:p w14:paraId="20050D05" w14:textId="77777777" w:rsidR="000829DC" w:rsidRPr="00531AF3" w:rsidRDefault="000829DC" w:rsidP="00312E88">
            <w:pPr>
              <w:pStyle w:val="Tables"/>
              <w:rPr>
                <w:rFonts w:cs="Arial"/>
                <w:sz w:val="16"/>
                <w:szCs w:val="16"/>
              </w:rPr>
            </w:pPr>
            <w:r w:rsidRPr="00531AF3">
              <w:rPr>
                <w:rFonts w:cs="Arial"/>
                <w:sz w:val="16"/>
                <w:szCs w:val="16"/>
              </w:rPr>
              <w:t>69.9%</w:t>
            </w:r>
          </w:p>
        </w:tc>
        <w:tc>
          <w:tcPr>
            <w:tcW w:w="851" w:type="dxa"/>
            <w:shd w:val="clear" w:color="auto" w:fill="FFFFFF" w:themeFill="background1"/>
          </w:tcPr>
          <w:p w14:paraId="7CD145FD" w14:textId="77777777" w:rsidR="000829DC" w:rsidRPr="00531AF3" w:rsidRDefault="000829DC" w:rsidP="00312E88">
            <w:pPr>
              <w:pStyle w:val="Tables"/>
              <w:rPr>
                <w:rFonts w:cs="Arial"/>
                <w:sz w:val="16"/>
                <w:szCs w:val="16"/>
              </w:rPr>
            </w:pPr>
            <w:r w:rsidRPr="00531AF3">
              <w:rPr>
                <w:rFonts w:cs="Arial"/>
                <w:sz w:val="16"/>
                <w:szCs w:val="16"/>
              </w:rPr>
              <w:t>71.1%</w:t>
            </w:r>
          </w:p>
        </w:tc>
        <w:tc>
          <w:tcPr>
            <w:tcW w:w="992" w:type="dxa"/>
            <w:shd w:val="clear" w:color="auto" w:fill="FFFFFF" w:themeFill="background1"/>
          </w:tcPr>
          <w:p w14:paraId="0376FE90" w14:textId="77777777" w:rsidR="000829DC" w:rsidRPr="00531AF3" w:rsidRDefault="000829DC" w:rsidP="00312E88">
            <w:pPr>
              <w:pStyle w:val="Tables"/>
              <w:rPr>
                <w:rFonts w:cs="Arial"/>
                <w:sz w:val="16"/>
                <w:szCs w:val="16"/>
              </w:rPr>
            </w:pPr>
            <w:r w:rsidRPr="00531AF3">
              <w:rPr>
                <w:rFonts w:cs="Arial"/>
                <w:sz w:val="16"/>
                <w:szCs w:val="16"/>
              </w:rPr>
              <w:t>70.1%</w:t>
            </w:r>
          </w:p>
        </w:tc>
        <w:tc>
          <w:tcPr>
            <w:tcW w:w="851" w:type="dxa"/>
            <w:shd w:val="clear" w:color="auto" w:fill="FFFFFF" w:themeFill="background1"/>
          </w:tcPr>
          <w:p w14:paraId="07109356" w14:textId="77777777" w:rsidR="000829DC" w:rsidRPr="00531AF3" w:rsidRDefault="000829DC" w:rsidP="00312E88">
            <w:pPr>
              <w:pStyle w:val="Tables"/>
              <w:rPr>
                <w:rFonts w:cs="Arial"/>
                <w:sz w:val="16"/>
                <w:szCs w:val="16"/>
              </w:rPr>
            </w:pPr>
            <w:r w:rsidRPr="00531AF3">
              <w:rPr>
                <w:rFonts w:cs="Arial"/>
                <w:sz w:val="16"/>
                <w:szCs w:val="16"/>
              </w:rPr>
              <w:t>69.0%</w:t>
            </w:r>
          </w:p>
        </w:tc>
        <w:tc>
          <w:tcPr>
            <w:tcW w:w="850" w:type="dxa"/>
            <w:shd w:val="clear" w:color="auto" w:fill="FFFFFF" w:themeFill="background1"/>
          </w:tcPr>
          <w:p w14:paraId="21F1067D" w14:textId="77777777" w:rsidR="000829DC" w:rsidRPr="00531AF3" w:rsidRDefault="000829DC" w:rsidP="00312E88">
            <w:pPr>
              <w:pStyle w:val="Tables"/>
              <w:rPr>
                <w:rFonts w:cs="Arial"/>
                <w:sz w:val="16"/>
                <w:szCs w:val="16"/>
              </w:rPr>
            </w:pPr>
            <w:r w:rsidRPr="00531AF3">
              <w:rPr>
                <w:rFonts w:cs="Arial"/>
                <w:sz w:val="16"/>
                <w:szCs w:val="16"/>
              </w:rPr>
              <w:t>69.8%</w:t>
            </w:r>
          </w:p>
        </w:tc>
      </w:tr>
      <w:tr w:rsidR="000829DC" w14:paraId="63CECB03" w14:textId="77777777" w:rsidTr="00312E88">
        <w:trPr>
          <w:trHeight w:hRule="exact" w:val="284"/>
        </w:trPr>
        <w:tc>
          <w:tcPr>
            <w:tcW w:w="2977" w:type="dxa"/>
            <w:shd w:val="clear" w:color="auto" w:fill="FFFFFF" w:themeFill="background1"/>
          </w:tcPr>
          <w:p w14:paraId="31D2FF8D" w14:textId="77777777" w:rsidR="000829DC" w:rsidRPr="00531AF3" w:rsidRDefault="000829DC" w:rsidP="00312E88">
            <w:pPr>
              <w:pStyle w:val="Tables"/>
              <w:rPr>
                <w:rFonts w:cs="Arial"/>
                <w:sz w:val="16"/>
                <w:szCs w:val="16"/>
              </w:rPr>
            </w:pPr>
            <w:r w:rsidRPr="00531AF3">
              <w:rPr>
                <w:rFonts w:cs="Arial"/>
                <w:sz w:val="16"/>
                <w:szCs w:val="16"/>
              </w:rPr>
              <w:t>Projected ultimate utilisation (%)</w:t>
            </w:r>
          </w:p>
        </w:tc>
        <w:tc>
          <w:tcPr>
            <w:tcW w:w="1701" w:type="dxa"/>
            <w:shd w:val="clear" w:color="auto" w:fill="FFFFFF" w:themeFill="background1"/>
          </w:tcPr>
          <w:p w14:paraId="06A297EC" w14:textId="77777777" w:rsidR="000829DC" w:rsidRPr="00531AF3" w:rsidRDefault="000829DC" w:rsidP="00312E88">
            <w:pPr>
              <w:pStyle w:val="Tables"/>
              <w:rPr>
                <w:rFonts w:cs="Arial"/>
                <w:sz w:val="16"/>
                <w:szCs w:val="16"/>
              </w:rPr>
            </w:pPr>
            <w:r w:rsidRPr="00531AF3">
              <w:rPr>
                <w:rFonts w:cs="Arial"/>
                <w:sz w:val="16"/>
                <w:szCs w:val="16"/>
              </w:rPr>
              <w:t>69.5%</w:t>
            </w:r>
          </w:p>
        </w:tc>
        <w:tc>
          <w:tcPr>
            <w:tcW w:w="992" w:type="dxa"/>
            <w:shd w:val="clear" w:color="auto" w:fill="FFFFFF" w:themeFill="background1"/>
          </w:tcPr>
          <w:p w14:paraId="26AAE817" w14:textId="77777777" w:rsidR="000829DC" w:rsidRPr="00531AF3" w:rsidRDefault="000829DC" w:rsidP="00312E88">
            <w:pPr>
              <w:pStyle w:val="Tables"/>
              <w:rPr>
                <w:rFonts w:cs="Arial"/>
                <w:sz w:val="16"/>
                <w:szCs w:val="16"/>
              </w:rPr>
            </w:pPr>
            <w:r w:rsidRPr="00531AF3">
              <w:rPr>
                <w:rFonts w:cs="Arial"/>
                <w:sz w:val="16"/>
                <w:szCs w:val="16"/>
              </w:rPr>
              <w:t>69.9%</w:t>
            </w:r>
          </w:p>
        </w:tc>
        <w:tc>
          <w:tcPr>
            <w:tcW w:w="851" w:type="dxa"/>
            <w:shd w:val="clear" w:color="auto" w:fill="FFFFFF" w:themeFill="background1"/>
          </w:tcPr>
          <w:p w14:paraId="05968C68" w14:textId="77777777" w:rsidR="000829DC" w:rsidRPr="00531AF3" w:rsidRDefault="000829DC" w:rsidP="00312E88">
            <w:pPr>
              <w:pStyle w:val="Tables"/>
              <w:rPr>
                <w:rFonts w:cs="Arial"/>
                <w:sz w:val="16"/>
                <w:szCs w:val="16"/>
              </w:rPr>
            </w:pPr>
            <w:r w:rsidRPr="00531AF3">
              <w:rPr>
                <w:rFonts w:cs="Arial"/>
                <w:sz w:val="16"/>
                <w:szCs w:val="16"/>
              </w:rPr>
              <w:t>71.2%</w:t>
            </w:r>
          </w:p>
        </w:tc>
        <w:tc>
          <w:tcPr>
            <w:tcW w:w="992" w:type="dxa"/>
            <w:shd w:val="clear" w:color="auto" w:fill="FFFFFF" w:themeFill="background1"/>
          </w:tcPr>
          <w:p w14:paraId="7B952148" w14:textId="77777777" w:rsidR="000829DC" w:rsidRPr="00531AF3" w:rsidRDefault="000829DC" w:rsidP="00312E88">
            <w:pPr>
              <w:pStyle w:val="Tables"/>
              <w:rPr>
                <w:rFonts w:cs="Arial"/>
                <w:sz w:val="16"/>
                <w:szCs w:val="16"/>
              </w:rPr>
            </w:pPr>
            <w:r w:rsidRPr="00531AF3">
              <w:rPr>
                <w:rFonts w:cs="Arial"/>
                <w:sz w:val="16"/>
                <w:szCs w:val="16"/>
              </w:rPr>
              <w:t>70.4%</w:t>
            </w:r>
          </w:p>
        </w:tc>
        <w:tc>
          <w:tcPr>
            <w:tcW w:w="851" w:type="dxa"/>
            <w:shd w:val="clear" w:color="auto" w:fill="FFFFFF" w:themeFill="background1"/>
          </w:tcPr>
          <w:p w14:paraId="232ACD81" w14:textId="77777777" w:rsidR="000829DC" w:rsidRPr="00531AF3" w:rsidRDefault="000829DC" w:rsidP="00312E88">
            <w:pPr>
              <w:pStyle w:val="Tables"/>
              <w:rPr>
                <w:rFonts w:cs="Arial"/>
                <w:sz w:val="16"/>
                <w:szCs w:val="16"/>
              </w:rPr>
            </w:pPr>
            <w:r w:rsidRPr="00531AF3">
              <w:rPr>
                <w:rFonts w:cs="Arial"/>
                <w:sz w:val="16"/>
                <w:szCs w:val="16"/>
              </w:rPr>
              <w:t>74.2%</w:t>
            </w:r>
          </w:p>
        </w:tc>
        <w:tc>
          <w:tcPr>
            <w:tcW w:w="850" w:type="dxa"/>
            <w:shd w:val="clear" w:color="auto" w:fill="FFFFFF" w:themeFill="background1"/>
          </w:tcPr>
          <w:p w14:paraId="3C1A9B91" w14:textId="77777777" w:rsidR="000829DC" w:rsidRPr="00531AF3" w:rsidRDefault="000829DC" w:rsidP="00312E88">
            <w:pPr>
              <w:pStyle w:val="Tables"/>
              <w:rPr>
                <w:rFonts w:cs="Arial"/>
                <w:sz w:val="16"/>
                <w:szCs w:val="16"/>
              </w:rPr>
            </w:pPr>
            <w:r w:rsidRPr="00531AF3">
              <w:rPr>
                <w:rFonts w:cs="Arial"/>
                <w:sz w:val="16"/>
                <w:szCs w:val="16"/>
              </w:rPr>
              <w:t>71.9%</w:t>
            </w:r>
          </w:p>
        </w:tc>
      </w:tr>
    </w:tbl>
    <w:p w14:paraId="3DE31644" w14:textId="218ACF3C" w:rsidR="00310D83" w:rsidRPr="00C21473" w:rsidRDefault="00310D83" w:rsidP="00C21473">
      <w:pPr>
        <w:pStyle w:val="FSRnormal"/>
      </w:pPr>
      <w:r w:rsidRPr="00C21473">
        <w:t xml:space="preserve"> </w:t>
      </w:r>
    </w:p>
    <w:p w14:paraId="4BD9FD4D" w14:textId="7EAAA893" w:rsidR="00310D83" w:rsidRDefault="00310D83" w:rsidP="00C21473">
      <w:pPr>
        <w:pStyle w:val="FSRnormal"/>
      </w:pPr>
      <w:r w:rsidRPr="00C21473">
        <w:lastRenderedPageBreak/>
        <w:t xml:space="preserve">A consistent result is observed when separating the experience between participants in SIL and those not in SIL. </w:t>
      </w:r>
      <w:r w:rsidR="00195E4B">
        <w:t>W</w:t>
      </w:r>
      <w:r w:rsidRPr="00C21473">
        <w:t>hilst the utilisation rate is consistently higher for participant</w:t>
      </w:r>
      <w:r w:rsidR="00095695">
        <w:t>s</w:t>
      </w:r>
      <w:r w:rsidRPr="00C21473">
        <w:t xml:space="preserve"> in SIL arrangements, the utilisation for both SIL and non-SIL participants has increased si</w:t>
      </w:r>
      <w:r w:rsidR="00C21473" w:rsidRPr="00C21473">
        <w:t xml:space="preserve">gnificantly since </w:t>
      </w:r>
      <w:r w:rsidR="00602B20" w:rsidRPr="00C21473">
        <w:t>January 2021</w:t>
      </w:r>
      <w:r w:rsidR="00602B20">
        <w:t xml:space="preserve"> (</w:t>
      </w:r>
      <w:r w:rsidR="00602B20" w:rsidRPr="00682F15">
        <w:rPr>
          <w:u w:val="single"/>
        </w:rPr>
        <w:fldChar w:fldCharType="begin"/>
      </w:r>
      <w:r w:rsidR="00602B20" w:rsidRPr="00682F15">
        <w:rPr>
          <w:u w:val="single"/>
        </w:rPr>
        <w:instrText xml:space="preserve"> REF _Ref80093331 \h </w:instrText>
      </w:r>
      <w:r w:rsidR="00682F15">
        <w:rPr>
          <w:u w:val="single"/>
        </w:rPr>
        <w:instrText xml:space="preserve"> \* MERGEFORMAT </w:instrText>
      </w:r>
      <w:r w:rsidR="00602B20" w:rsidRPr="00682F15">
        <w:rPr>
          <w:u w:val="single"/>
        </w:rPr>
      </w:r>
      <w:r w:rsidR="00602B20" w:rsidRPr="00682F15">
        <w:rPr>
          <w:u w:val="single"/>
        </w:rPr>
        <w:fldChar w:fldCharType="separate"/>
      </w:r>
      <w:r w:rsidR="00E50032" w:rsidRPr="00E50032">
        <w:rPr>
          <w:u w:val="single"/>
        </w:rPr>
        <w:t xml:space="preserve">Figure </w:t>
      </w:r>
      <w:r w:rsidR="00E50032" w:rsidRPr="00E50032">
        <w:rPr>
          <w:noProof/>
          <w:u w:val="single"/>
        </w:rPr>
        <w:t>37</w:t>
      </w:r>
      <w:r w:rsidR="00602B20" w:rsidRPr="00682F15">
        <w:rPr>
          <w:u w:val="single"/>
        </w:rPr>
        <w:fldChar w:fldCharType="end"/>
      </w:r>
      <w:r w:rsidR="00602B20">
        <w:t>)</w:t>
      </w:r>
      <w:r w:rsidR="00602B20" w:rsidRPr="00C21473">
        <w:t>.</w:t>
      </w:r>
    </w:p>
    <w:p w14:paraId="06AF80B5" w14:textId="5E8E029D" w:rsidR="0044290F" w:rsidRPr="00C21473" w:rsidRDefault="0044290F" w:rsidP="00C21473">
      <w:pPr>
        <w:pStyle w:val="FSRnormal"/>
      </w:pPr>
      <w:r>
        <w:t>The increases are observed across almost all support categories, especially Core support</w:t>
      </w:r>
      <w:r w:rsidR="00AC6ACF">
        <w:t>s</w:t>
      </w:r>
      <w:r>
        <w:t xml:space="preserve"> such as Non-SIL Daily </w:t>
      </w:r>
      <w:r w:rsidR="00AC6ACF">
        <w:t>A</w:t>
      </w:r>
      <w:r>
        <w:t>ctivities, which ha</w:t>
      </w:r>
      <w:r w:rsidR="000E0962">
        <w:t>d</w:t>
      </w:r>
      <w:r>
        <w:t xml:space="preserve"> the biggest increase since January 2021. This is followed by increase in other Core supports (Social</w:t>
      </w:r>
      <w:r w:rsidR="00BC1282">
        <w:t xml:space="preserve"> and Community</w:t>
      </w:r>
      <w:r w:rsidR="000E0962">
        <w:t xml:space="preserve"> and </w:t>
      </w:r>
      <w:r>
        <w:t xml:space="preserve">Consumables) and Capacity Building </w:t>
      </w:r>
      <w:r w:rsidR="00AC6ACF">
        <w:t>Daily A</w:t>
      </w:r>
      <w:r>
        <w:t xml:space="preserve">ctivities. </w:t>
      </w:r>
    </w:p>
    <w:p w14:paraId="72BEE53F" w14:textId="537325FC" w:rsidR="00C21473" w:rsidRPr="00C21473" w:rsidRDefault="00C21473" w:rsidP="00C21473">
      <w:pPr>
        <w:pStyle w:val="Figures"/>
      </w:pPr>
      <w:bookmarkStart w:id="128" w:name="_Ref80093331"/>
      <w:r w:rsidRPr="00C21473">
        <w:t xml:space="preserve">Figure </w:t>
      </w:r>
      <w:fldSimple w:instr=" SEQ Figure \* ARABIC ">
        <w:r w:rsidR="00E50032">
          <w:rPr>
            <w:noProof/>
          </w:rPr>
          <w:t>37</w:t>
        </w:r>
      </w:fldSimple>
      <w:bookmarkEnd w:id="128"/>
      <w:r w:rsidRPr="00C21473">
        <w:t xml:space="preserve"> Three month rolling utilisation rates by </w:t>
      </w:r>
      <w:r w:rsidR="001A5ECE">
        <w:t>SIL type</w:t>
      </w:r>
      <w:r w:rsidRPr="00C21473">
        <w:t xml:space="preserve"> from July 2019 to June 2021</w:t>
      </w:r>
    </w:p>
    <w:p w14:paraId="206D8E89" w14:textId="2B8B6D35" w:rsidR="00C21473" w:rsidRPr="007739B0" w:rsidRDefault="00682F15" w:rsidP="00C21473">
      <w:pPr>
        <w:pStyle w:val="FSRnormal"/>
      </w:pPr>
      <w:r>
        <w:rPr>
          <w:noProof/>
          <w:lang w:eastAsia="en-AU"/>
        </w:rPr>
        <w:drawing>
          <wp:inline distT="0" distB="0" distL="0" distR="0" wp14:anchorId="1EE9526A" wp14:editId="780B5CE9">
            <wp:extent cx="5384800" cy="2225936"/>
            <wp:effectExtent l="0" t="0" r="0" b="0"/>
            <wp:docPr id="500" name="Picture 500" descr="Line chart showing three month rolling utilisation rates by SIL group from July 2019 to June 2021. The utilisation for both SIL and non-SIL participants has increased significantly since January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Line chart showing three month rolling utilisation rates by SIL group from July 2019 to June 2021. The utilisation for both SIL and non-SIL participants has increased significantly since January 2021"/>
                    <pic:cNvPicPr/>
                  </pic:nvPicPr>
                  <pic:blipFill>
                    <a:blip r:embed="rId55">
                      <a:extLst>
                        <a:ext uri="{28A0092B-C50C-407E-A947-70E740481C1C}">
                          <a14:useLocalDpi xmlns:a14="http://schemas.microsoft.com/office/drawing/2010/main" val="0"/>
                        </a:ext>
                      </a:extLst>
                    </a:blip>
                    <a:stretch>
                      <a:fillRect/>
                    </a:stretch>
                  </pic:blipFill>
                  <pic:spPr>
                    <a:xfrm>
                      <a:off x="0" y="0"/>
                      <a:ext cx="5412756" cy="2237492"/>
                    </a:xfrm>
                    <a:prstGeom prst="rect">
                      <a:avLst/>
                    </a:prstGeom>
                  </pic:spPr>
                </pic:pic>
              </a:graphicData>
            </a:graphic>
          </wp:inline>
        </w:drawing>
      </w:r>
    </w:p>
    <w:p w14:paraId="3CCBAC0B" w14:textId="1A8EF7D2" w:rsidR="0044290F" w:rsidRDefault="00D7741A" w:rsidP="00361CA7">
      <w:pPr>
        <w:pStyle w:val="FSRnormal"/>
      </w:pPr>
      <w:r w:rsidRPr="00C21473">
        <w:t xml:space="preserve">Also noteworthy is that utilisation has consistently been observed to increase, the longer participants have been in the </w:t>
      </w:r>
      <w:r w:rsidR="00783DE5">
        <w:t>Scheme</w:t>
      </w:r>
      <w:r w:rsidRPr="00C21473">
        <w:t xml:space="preserve">. This is shown in </w:t>
      </w:r>
      <w:r w:rsidRPr="00C90C46">
        <w:rPr>
          <w:u w:val="single"/>
        </w:rPr>
        <w:fldChar w:fldCharType="begin"/>
      </w:r>
      <w:r w:rsidRPr="00C90C46">
        <w:rPr>
          <w:u w:val="single"/>
        </w:rPr>
        <w:instrText xml:space="preserve"> REF _Ref80093593 \h  \* MERGEFORMAT </w:instrText>
      </w:r>
      <w:r w:rsidRPr="00C90C46">
        <w:rPr>
          <w:u w:val="single"/>
        </w:rPr>
      </w:r>
      <w:r w:rsidRPr="00C90C46">
        <w:rPr>
          <w:u w:val="single"/>
        </w:rPr>
        <w:fldChar w:fldCharType="separate"/>
      </w:r>
      <w:r w:rsidR="00E50032" w:rsidRPr="00E50032">
        <w:rPr>
          <w:u w:val="single"/>
        </w:rPr>
        <w:t>Figure 38</w:t>
      </w:r>
      <w:r w:rsidRPr="00C90C46">
        <w:rPr>
          <w:u w:val="single"/>
        </w:rPr>
        <w:fldChar w:fldCharType="end"/>
      </w:r>
      <w:r w:rsidRPr="00C21473">
        <w:t xml:space="preserve"> which shows the breakdown of utilisation rates by plan number. Utilisation of plan budgets for participants on their first plan is 53%, compared to 78% for participants on their fifth plan. </w:t>
      </w:r>
      <w:r w:rsidR="00843242">
        <w:t>This increase in plan utilisation, with increased duration in the Scheme</w:t>
      </w:r>
      <w:r w:rsidR="00095695">
        <w:t>,</w:t>
      </w:r>
      <w:r w:rsidR="00843242">
        <w:t xml:space="preserve"> is implicitly reflected in the allowance for superimposed inflation. </w:t>
      </w:r>
    </w:p>
    <w:p w14:paraId="4BCC1C1E" w14:textId="3846BF6D" w:rsidR="0044290F" w:rsidRPr="00C21473" w:rsidRDefault="00BC1282" w:rsidP="00361CA7">
      <w:pPr>
        <w:pStyle w:val="FSRnormal"/>
      </w:pPr>
      <w:r>
        <w:t xml:space="preserve">Of the increases </w:t>
      </w:r>
      <w:r w:rsidR="0044290F">
        <w:t xml:space="preserve">in utilisation rate observed since January 2021, the maturing of the participant mix </w:t>
      </w:r>
      <w:r>
        <w:t xml:space="preserve">has contributed between </w:t>
      </w:r>
      <w:r w:rsidR="0044290F">
        <w:t xml:space="preserve">20% </w:t>
      </w:r>
      <w:r w:rsidR="00B16255">
        <w:t>and</w:t>
      </w:r>
      <w:r w:rsidR="0044290F">
        <w:t xml:space="preserve"> 30%</w:t>
      </w:r>
      <w:r>
        <w:t xml:space="preserve">, with the remainder of the increase coming from an overall increase in utilisation within </w:t>
      </w:r>
      <w:r w:rsidR="00B16255">
        <w:t>each cohort</w:t>
      </w:r>
      <w:r w:rsidR="0044290F">
        <w:t xml:space="preserve">. </w:t>
      </w:r>
    </w:p>
    <w:p w14:paraId="30D624EC" w14:textId="5B0071A6" w:rsidR="00D7741A" w:rsidRPr="00C21473" w:rsidRDefault="0044290F" w:rsidP="0044290F">
      <w:pPr>
        <w:pStyle w:val="FSRnormal"/>
      </w:pPr>
      <w:r w:rsidDel="0044290F">
        <w:rPr>
          <w:rStyle w:val="CommentReference"/>
        </w:rPr>
        <w:t xml:space="preserve"> </w:t>
      </w:r>
    </w:p>
    <w:p w14:paraId="2601DFEF" w14:textId="21400A41" w:rsidR="00C21473" w:rsidRPr="00C21473" w:rsidRDefault="00C21473" w:rsidP="0044290F">
      <w:pPr>
        <w:pStyle w:val="FSRnormal"/>
      </w:pPr>
      <w:r w:rsidRPr="00C21473">
        <w:t xml:space="preserve"> </w:t>
      </w:r>
    </w:p>
    <w:p w14:paraId="4C2CDE63" w14:textId="5DA48D74" w:rsidR="00C21473" w:rsidRPr="007739B0" w:rsidRDefault="00C21473" w:rsidP="0044290F">
      <w:pPr>
        <w:pStyle w:val="Figures"/>
      </w:pPr>
      <w:bookmarkStart w:id="129" w:name="_Ref80093593"/>
      <w:r w:rsidRPr="007739B0">
        <w:lastRenderedPageBreak/>
        <w:t xml:space="preserve">Figure </w:t>
      </w:r>
      <w:fldSimple w:instr=" SEQ Figure \* ARABIC ">
        <w:r w:rsidR="00E50032">
          <w:rPr>
            <w:noProof/>
          </w:rPr>
          <w:t>38</w:t>
        </w:r>
      </w:fldSimple>
      <w:bookmarkEnd w:id="129"/>
      <w:r w:rsidRPr="007739B0">
        <w:t xml:space="preserve"> Utilisation of plan budgets by plan number from 1 October 2020 to 31 March 20</w:t>
      </w:r>
      <w:r>
        <w:t>21 based on data to 30 June 2021</w:t>
      </w:r>
      <w:r>
        <w:rPr>
          <w:rStyle w:val="FootnoteReference"/>
        </w:rPr>
        <w:footnoteReference w:id="57"/>
      </w:r>
    </w:p>
    <w:p w14:paraId="705C4B16" w14:textId="77777777" w:rsidR="00C21473" w:rsidRPr="007739B0" w:rsidRDefault="00C21473" w:rsidP="0044290F">
      <w:pPr>
        <w:pStyle w:val="FSRnormal"/>
      </w:pPr>
      <w:r w:rsidRPr="007739B0">
        <w:t xml:space="preserve"> </w:t>
      </w:r>
      <w:r w:rsidRPr="00C21473">
        <w:rPr>
          <w:noProof/>
          <w:lang w:eastAsia="en-AU"/>
        </w:rPr>
        <w:drawing>
          <wp:inline distT="0" distB="0" distL="0" distR="0" wp14:anchorId="1FB98401" wp14:editId="4F6FD87B">
            <wp:extent cx="5731510" cy="3537570"/>
            <wp:effectExtent l="0" t="0" r="2540" b="0"/>
            <wp:docPr id="293" name="Picture 293" descr="Bar chart showing utilisation of plan budgets by plan number from 1 October 2020 to 31 March 2021 based on data to 30 June 2021. The calculation of utilisation by plan number excludes participants with in-kind supports as it is not possible to accurate separate in-kind payments and plan budgets between plans. Only utilisation of plan budgets between 1 October 2020 and 31 March 2021 is shown. For all plans, this stands at 68% and gradually works its way from 1 at 53% to 5+ at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Bar chart showing utilisation of plan budgets by plan number from 1 October 2020 to 31 March 2021 based on data to 30 June 2021. The calculation of utilisation by plan number excludes participants with in-kind supports as it is not possible to accurate separate in-kind payments and plan budgets between plans. Only utilisation of plan budgets between 1 October 2020 and 31 March 2021 is shown. For all plans, this stands at 68% and gradually works its way from 1 at 53% to 5+ at 7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3537570"/>
                    </a:xfrm>
                    <a:prstGeom prst="rect">
                      <a:avLst/>
                    </a:prstGeom>
                    <a:noFill/>
                    <a:ln>
                      <a:noFill/>
                    </a:ln>
                  </pic:spPr>
                </pic:pic>
              </a:graphicData>
            </a:graphic>
          </wp:inline>
        </w:drawing>
      </w:r>
    </w:p>
    <w:p w14:paraId="6AEBC349" w14:textId="77777777" w:rsidR="00A521EC" w:rsidRDefault="00A521EC" w:rsidP="0044290F">
      <w:pPr>
        <w:spacing w:after="160" w:line="259" w:lineRule="auto"/>
      </w:pPr>
    </w:p>
    <w:p w14:paraId="20CE790B" w14:textId="71084134" w:rsidR="00A521EC" w:rsidRPr="00A521EC" w:rsidRDefault="00A521EC" w:rsidP="0044290F">
      <w:pPr>
        <w:spacing w:after="160" w:line="259" w:lineRule="auto"/>
      </w:pPr>
      <w:r>
        <w:br w:type="page"/>
      </w:r>
      <w:bookmarkEnd w:id="121"/>
    </w:p>
    <w:p w14:paraId="48BA16BE" w14:textId="5979D8E7" w:rsidR="006F104A" w:rsidRPr="00C578EB" w:rsidRDefault="006F104A" w:rsidP="0044290F">
      <w:pPr>
        <w:pStyle w:val="Heading2"/>
      </w:pPr>
      <w:bookmarkStart w:id="130" w:name="_Toc74845954"/>
      <w:bookmarkStart w:id="131" w:name="_Toc74849898"/>
      <w:bookmarkStart w:id="132" w:name="_Toc74852199"/>
      <w:bookmarkStart w:id="133" w:name="_Toc74853352"/>
      <w:bookmarkStart w:id="134" w:name="_Toc74924950"/>
      <w:bookmarkStart w:id="135" w:name="_Toc74932411"/>
      <w:bookmarkStart w:id="136" w:name="_Toc75034637"/>
      <w:bookmarkStart w:id="137" w:name="_Toc75035694"/>
      <w:bookmarkStart w:id="138" w:name="_Toc75036683"/>
      <w:bookmarkStart w:id="139" w:name="_Toc74845955"/>
      <w:bookmarkStart w:id="140" w:name="_Toc74849899"/>
      <w:bookmarkStart w:id="141" w:name="_Toc74852200"/>
      <w:bookmarkStart w:id="142" w:name="_Toc74853353"/>
      <w:bookmarkStart w:id="143" w:name="_Toc74924951"/>
      <w:bookmarkStart w:id="144" w:name="_Toc74932412"/>
      <w:bookmarkStart w:id="145" w:name="_Toc75034638"/>
      <w:bookmarkStart w:id="146" w:name="_Toc75035695"/>
      <w:bookmarkStart w:id="147" w:name="_Toc75036684"/>
      <w:bookmarkStart w:id="148" w:name="_Toc74845956"/>
      <w:bookmarkStart w:id="149" w:name="_Toc74849900"/>
      <w:bookmarkStart w:id="150" w:name="_Toc74852201"/>
      <w:bookmarkStart w:id="151" w:name="_Toc74853354"/>
      <w:bookmarkStart w:id="152" w:name="_Toc74924952"/>
      <w:bookmarkStart w:id="153" w:name="_Toc74932413"/>
      <w:bookmarkStart w:id="154" w:name="_Toc75034639"/>
      <w:bookmarkStart w:id="155" w:name="_Toc75035696"/>
      <w:bookmarkStart w:id="156" w:name="_Toc75036685"/>
      <w:bookmarkStart w:id="157" w:name="_Toc74845957"/>
      <w:bookmarkStart w:id="158" w:name="_Toc74849901"/>
      <w:bookmarkStart w:id="159" w:name="_Toc74852202"/>
      <w:bookmarkStart w:id="160" w:name="_Toc74853355"/>
      <w:bookmarkStart w:id="161" w:name="_Toc74924953"/>
      <w:bookmarkStart w:id="162" w:name="_Toc74932414"/>
      <w:bookmarkStart w:id="163" w:name="_Toc75034640"/>
      <w:bookmarkStart w:id="164" w:name="_Toc75035697"/>
      <w:bookmarkStart w:id="165" w:name="_Toc75036686"/>
      <w:bookmarkStart w:id="166" w:name="_Toc83220846"/>
      <w:bookmarkStart w:id="167" w:name="_Toc8503125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A521EC">
        <w:lastRenderedPageBreak/>
        <w:t>Projections</w:t>
      </w:r>
      <w:bookmarkEnd w:id="166"/>
      <w:bookmarkEnd w:id="167"/>
    </w:p>
    <w:p w14:paraId="1472E0C6" w14:textId="239BFCD6" w:rsidR="002E33E5" w:rsidRDefault="006B7355" w:rsidP="0044290F">
      <w:pPr>
        <w:pStyle w:val="FSRnormal"/>
      </w:pPr>
      <w:r w:rsidRPr="00C578EB">
        <w:t xml:space="preserve">This section </w:t>
      </w:r>
      <w:r w:rsidR="00FA7B83" w:rsidRPr="00C578EB">
        <w:t xml:space="preserve">includes </w:t>
      </w:r>
      <w:r w:rsidRPr="00C578EB">
        <w:t xml:space="preserve">the projection of </w:t>
      </w:r>
      <w:r w:rsidR="00475322">
        <w:t>Scheme</w:t>
      </w:r>
      <w:r w:rsidRPr="00C578EB">
        <w:t xml:space="preserve"> costs </w:t>
      </w:r>
      <w:r w:rsidR="00940A7A" w:rsidRPr="00C578EB">
        <w:t>from 2021-22 to 2029-30, using data as at 3</w:t>
      </w:r>
      <w:r w:rsidR="00195E4B">
        <w:t>0 June 2021</w:t>
      </w:r>
      <w:r w:rsidR="00940A7A" w:rsidRPr="00C578EB">
        <w:t xml:space="preserve">. </w:t>
      </w:r>
      <w:r w:rsidRPr="00C578EB">
        <w:t xml:space="preserve">The methodology for the projection is included in </w:t>
      </w:r>
      <w:r w:rsidR="001D5A60">
        <w:t>s</w:t>
      </w:r>
      <w:r w:rsidRPr="00C578EB">
        <w:t>ection 3</w:t>
      </w:r>
      <w:r w:rsidR="00FA7B83" w:rsidRPr="00C578EB">
        <w:t xml:space="preserve">. As outlined in </w:t>
      </w:r>
      <w:r w:rsidR="001D5A60">
        <w:t>s</w:t>
      </w:r>
      <w:r w:rsidR="00FA7B83" w:rsidRPr="00C578EB">
        <w:t xml:space="preserve">ection 4 of this report, actual </w:t>
      </w:r>
      <w:r w:rsidR="00AC6ACF">
        <w:t xml:space="preserve">payment </w:t>
      </w:r>
      <w:r w:rsidR="00FA7B83" w:rsidRPr="00C578EB">
        <w:t xml:space="preserve">experience </w:t>
      </w:r>
      <w:r w:rsidR="00195E4B">
        <w:t xml:space="preserve">over the past six months </w:t>
      </w:r>
      <w:r w:rsidR="00FA7B83" w:rsidRPr="00C578EB">
        <w:t>exceed</w:t>
      </w:r>
      <w:r w:rsidR="00940A7A" w:rsidRPr="00C578EB">
        <w:t>ed</w:t>
      </w:r>
      <w:r w:rsidR="00FA7B83" w:rsidRPr="00C578EB">
        <w:t xml:space="preserve"> </w:t>
      </w:r>
      <w:r w:rsidR="00195E4B">
        <w:t xml:space="preserve">projections undertaken at the previous review. It also exceeded </w:t>
      </w:r>
      <w:r w:rsidR="00130D4D" w:rsidRPr="00C578EB">
        <w:t>the 2020-21 PBS estimates</w:t>
      </w:r>
      <w:r w:rsidR="00940A7A" w:rsidRPr="00C578EB">
        <w:t xml:space="preserve"> </w:t>
      </w:r>
      <w:r w:rsidR="00195E4B">
        <w:t>over the past twelve months</w:t>
      </w:r>
      <w:r w:rsidR="00AC6ACF">
        <w:t xml:space="preserve">, </w:t>
      </w:r>
      <w:r w:rsidR="00FA7B83" w:rsidRPr="00C578EB">
        <w:t xml:space="preserve">driven by </w:t>
      </w:r>
      <w:r w:rsidR="00445855">
        <w:t xml:space="preserve">higher participant numbers and </w:t>
      </w:r>
      <w:r w:rsidR="00FA7B83" w:rsidRPr="00C578EB">
        <w:t xml:space="preserve">higher average payments per participant. </w:t>
      </w:r>
      <w:r w:rsidR="0078245B" w:rsidRPr="00C578EB">
        <w:t>The projections take into account this experience, and also adopt a forward</w:t>
      </w:r>
      <w:r w:rsidR="0061461D" w:rsidRPr="00C578EB">
        <w:t>-</w:t>
      </w:r>
      <w:r w:rsidR="0078245B" w:rsidRPr="00C578EB">
        <w:t xml:space="preserve">looking view </w:t>
      </w:r>
      <w:r w:rsidR="00AC6ACF">
        <w:t>regarding</w:t>
      </w:r>
      <w:r w:rsidR="0078245B" w:rsidRPr="00C578EB">
        <w:t xml:space="preserve"> future </w:t>
      </w:r>
      <w:r w:rsidR="00475322">
        <w:t>Scheme</w:t>
      </w:r>
      <w:r w:rsidR="0078245B" w:rsidRPr="00C578EB">
        <w:t xml:space="preserve"> inflation</w:t>
      </w:r>
      <w:r w:rsidR="00445855">
        <w:t xml:space="preserve"> (i.e. future assumed inflation is lower than inflation recently observed)</w:t>
      </w:r>
      <w:r w:rsidR="0078245B" w:rsidRPr="00C578EB">
        <w:t xml:space="preserve">. </w:t>
      </w:r>
    </w:p>
    <w:p w14:paraId="3216D001" w14:textId="1B5BE6D7" w:rsidR="00A521EC" w:rsidRDefault="00A521EC" w:rsidP="00CD34AC">
      <w:pPr>
        <w:pStyle w:val="Heading3"/>
      </w:pPr>
      <w:bookmarkStart w:id="168" w:name="_Toc83220847"/>
      <w:bookmarkStart w:id="169" w:name="_Toc85031258"/>
      <w:r w:rsidRPr="00C578EB">
        <w:t>Total participant cost projections</w:t>
      </w:r>
      <w:bookmarkEnd w:id="168"/>
      <w:bookmarkEnd w:id="169"/>
    </w:p>
    <w:p w14:paraId="54699919" w14:textId="541610DA" w:rsidR="00CD34AC" w:rsidRDefault="00CD34AC" w:rsidP="00CD34AC">
      <w:pPr>
        <w:pStyle w:val="FSRnormal"/>
      </w:pPr>
      <w:r w:rsidRPr="00CD34AC">
        <w:t xml:space="preserve">Combining participant number projections with average </w:t>
      </w:r>
      <w:r w:rsidR="00BB0CB7">
        <w:t xml:space="preserve">payment </w:t>
      </w:r>
      <w:r w:rsidRPr="00CD34AC">
        <w:t xml:space="preserve">assumptions result in total participant cost projections for each financial year on a cash basis. An allowance for support provided </w:t>
      </w:r>
      <w:r w:rsidR="00FD144F">
        <w:t xml:space="preserve">as at </w:t>
      </w:r>
      <w:r w:rsidRPr="00CD34AC">
        <w:t>by 30 June 2021 but not yet paid takes the projected costs from a cash basis to an accrual basis.</w:t>
      </w:r>
    </w:p>
    <w:p w14:paraId="0CF47867" w14:textId="438D212F" w:rsidR="00CD34AC" w:rsidRDefault="00CD34AC" w:rsidP="00CD34AC">
      <w:pPr>
        <w:pStyle w:val="FSRHeading4"/>
      </w:pPr>
      <w:r>
        <w:t>Participant number projections</w:t>
      </w:r>
    </w:p>
    <w:p w14:paraId="376535B5" w14:textId="516EEC7A" w:rsidR="00CD34AC" w:rsidRPr="00FD144F" w:rsidRDefault="00FD144F" w:rsidP="00CD34AC">
      <w:pPr>
        <w:pStyle w:val="FSRnormal"/>
      </w:pPr>
      <w:r w:rsidRPr="00361B2B">
        <w:rPr>
          <w:u w:val="single"/>
        </w:rPr>
        <w:fldChar w:fldCharType="begin"/>
      </w:r>
      <w:r w:rsidRPr="00361B2B">
        <w:rPr>
          <w:u w:val="single"/>
        </w:rPr>
        <w:instrText xml:space="preserve"> REF _Ref80274006 \h </w:instrText>
      </w:r>
      <w:r w:rsidR="00361B2B">
        <w:rPr>
          <w:u w:val="single"/>
        </w:rPr>
        <w:instrText xml:space="preserve"> \* MERGEFORMAT </w:instrText>
      </w:r>
      <w:r w:rsidRPr="00361B2B">
        <w:rPr>
          <w:u w:val="single"/>
        </w:rPr>
      </w:r>
      <w:r w:rsidRPr="00361B2B">
        <w:rPr>
          <w:u w:val="single"/>
        </w:rPr>
        <w:fldChar w:fldCharType="separate"/>
      </w:r>
      <w:r w:rsidR="00E50032" w:rsidRPr="00E50032">
        <w:rPr>
          <w:u w:val="single"/>
        </w:rPr>
        <w:t xml:space="preserve">Table </w:t>
      </w:r>
      <w:r w:rsidR="00E50032" w:rsidRPr="00E50032">
        <w:rPr>
          <w:noProof/>
          <w:u w:val="single"/>
        </w:rPr>
        <w:t>15</w:t>
      </w:r>
      <w:r w:rsidRPr="00361B2B">
        <w:rPr>
          <w:u w:val="single"/>
        </w:rPr>
        <w:fldChar w:fldCharType="end"/>
      </w:r>
      <w:r w:rsidR="00CD34AC" w:rsidRPr="00FD144F">
        <w:t xml:space="preserve"> shows that the Scheme is projected to have a Steady Intake Date</w:t>
      </w:r>
      <w:r w:rsidR="00602B20">
        <w:rPr>
          <w:rStyle w:val="FootnoteReference"/>
        </w:rPr>
        <w:footnoteReference w:id="58"/>
      </w:r>
      <w:r w:rsidR="00CD34AC" w:rsidRPr="00FD144F">
        <w:t xml:space="preserve"> population at 30 June 2024 of over 630,000 participants, of whom 598,000 are expected to be aged 0 to 64. This is equivalent to a prevalence rate of 2.77% of the Australian general population aged 0 to 64. </w:t>
      </w:r>
    </w:p>
    <w:p w14:paraId="03918ECB" w14:textId="29FB4312" w:rsidR="00CD34AC" w:rsidRPr="00CD34AC" w:rsidRDefault="00CD34AC" w:rsidP="00CD34AC">
      <w:pPr>
        <w:pStyle w:val="Tables"/>
      </w:pPr>
      <w:bookmarkStart w:id="170" w:name="_Ref80274006"/>
      <w:bookmarkStart w:id="171" w:name="_Ref80337890"/>
      <w:r w:rsidRPr="00FD144F">
        <w:t xml:space="preserve">Table </w:t>
      </w:r>
      <w:fldSimple w:instr=" SEQ Table \* ARABIC ">
        <w:r w:rsidR="00E50032">
          <w:rPr>
            <w:noProof/>
          </w:rPr>
          <w:t>15</w:t>
        </w:r>
      </w:fldSimple>
      <w:bookmarkEnd w:id="170"/>
      <w:r w:rsidRPr="00FD144F">
        <w:t xml:space="preserve"> Baseline pr</w:t>
      </w:r>
      <w:r w:rsidRPr="00CD34AC">
        <w:t>ojection of participant numbers</w:t>
      </w:r>
      <w:bookmarkEnd w:id="171"/>
    </w:p>
    <w:tbl>
      <w:tblPr>
        <w:tblStyle w:val="TableGrid"/>
        <w:tblW w:w="9214" w:type="dxa"/>
        <w:tblInd w:w="-5" w:type="dxa"/>
        <w:tblLayout w:type="fixed"/>
        <w:tblLook w:val="04A0" w:firstRow="1" w:lastRow="0" w:firstColumn="1" w:lastColumn="0" w:noHBand="0" w:noVBand="1"/>
      </w:tblPr>
      <w:tblGrid>
        <w:gridCol w:w="3544"/>
        <w:gridCol w:w="1134"/>
        <w:gridCol w:w="992"/>
        <w:gridCol w:w="851"/>
        <w:gridCol w:w="992"/>
        <w:gridCol w:w="851"/>
        <w:gridCol w:w="850"/>
      </w:tblGrid>
      <w:tr w:rsidR="00DF7052" w14:paraId="11C7A63B" w14:textId="77777777" w:rsidTr="00312E88">
        <w:trPr>
          <w:tblHeader/>
        </w:trPr>
        <w:tc>
          <w:tcPr>
            <w:tcW w:w="3544" w:type="dxa"/>
            <w:shd w:val="clear" w:color="auto" w:fill="6B2E76"/>
            <w:vAlign w:val="bottom"/>
          </w:tcPr>
          <w:p w14:paraId="0080729F" w14:textId="77777777" w:rsidR="00DF7052" w:rsidRPr="00531AF3" w:rsidRDefault="00DF7052" w:rsidP="00312E88">
            <w:pPr>
              <w:pStyle w:val="Tables"/>
              <w:rPr>
                <w:rFonts w:cs="Arial"/>
                <w:color w:val="FFFFFF" w:themeColor="background1"/>
                <w:sz w:val="15"/>
                <w:szCs w:val="15"/>
              </w:rPr>
            </w:pPr>
            <w:r w:rsidRPr="00531AF3">
              <w:rPr>
                <w:rFonts w:cs="Arial"/>
                <w:color w:val="FFFFFF" w:themeColor="background1"/>
                <w:sz w:val="15"/>
                <w:szCs w:val="15"/>
              </w:rPr>
              <w:t>Number of participants as at June 30</w:t>
            </w:r>
          </w:p>
        </w:tc>
        <w:tc>
          <w:tcPr>
            <w:tcW w:w="1134" w:type="dxa"/>
            <w:shd w:val="clear" w:color="auto" w:fill="6B2E76"/>
            <w:vAlign w:val="bottom"/>
          </w:tcPr>
          <w:p w14:paraId="5AB9F4E8" w14:textId="77777777" w:rsidR="00DF7052" w:rsidRPr="00531AF3" w:rsidRDefault="00DF7052" w:rsidP="00312E88">
            <w:pPr>
              <w:pStyle w:val="Tables"/>
              <w:rPr>
                <w:rFonts w:cs="Arial"/>
                <w:color w:val="FFFFFF" w:themeColor="background1"/>
                <w:sz w:val="15"/>
                <w:szCs w:val="15"/>
              </w:rPr>
            </w:pPr>
            <w:r w:rsidRPr="00531AF3">
              <w:rPr>
                <w:rFonts w:cs="Arial"/>
                <w:color w:val="FFFFFF" w:themeColor="background1"/>
                <w:sz w:val="15"/>
                <w:szCs w:val="15"/>
              </w:rPr>
              <w:t>2021</w:t>
            </w:r>
          </w:p>
        </w:tc>
        <w:tc>
          <w:tcPr>
            <w:tcW w:w="992" w:type="dxa"/>
            <w:shd w:val="clear" w:color="auto" w:fill="6B2E76"/>
            <w:vAlign w:val="bottom"/>
          </w:tcPr>
          <w:p w14:paraId="2AF55C7F" w14:textId="77777777" w:rsidR="00DF7052" w:rsidRPr="00531AF3" w:rsidRDefault="00DF7052" w:rsidP="00312E88">
            <w:pPr>
              <w:pStyle w:val="Tables"/>
              <w:rPr>
                <w:rFonts w:cs="Arial"/>
                <w:color w:val="FFFFFF" w:themeColor="background1"/>
                <w:sz w:val="15"/>
                <w:szCs w:val="15"/>
              </w:rPr>
            </w:pPr>
            <w:r w:rsidRPr="00531AF3">
              <w:rPr>
                <w:rFonts w:cs="Arial"/>
                <w:color w:val="FFFFFF" w:themeColor="background1"/>
                <w:sz w:val="15"/>
                <w:szCs w:val="15"/>
              </w:rPr>
              <w:t>2022</w:t>
            </w:r>
          </w:p>
        </w:tc>
        <w:tc>
          <w:tcPr>
            <w:tcW w:w="851" w:type="dxa"/>
            <w:shd w:val="clear" w:color="auto" w:fill="6B2E76"/>
            <w:vAlign w:val="bottom"/>
          </w:tcPr>
          <w:p w14:paraId="21EA4EE1" w14:textId="77777777" w:rsidR="00DF7052" w:rsidRPr="00531AF3" w:rsidRDefault="00DF7052" w:rsidP="00312E88">
            <w:pPr>
              <w:pStyle w:val="Tables"/>
              <w:rPr>
                <w:rFonts w:cs="Arial"/>
                <w:color w:val="FFFFFF" w:themeColor="background1"/>
                <w:sz w:val="15"/>
                <w:szCs w:val="15"/>
              </w:rPr>
            </w:pPr>
            <w:r w:rsidRPr="00531AF3">
              <w:rPr>
                <w:rFonts w:cs="Arial"/>
                <w:color w:val="FFFFFF" w:themeColor="background1"/>
                <w:sz w:val="15"/>
                <w:szCs w:val="15"/>
              </w:rPr>
              <w:t>2023</w:t>
            </w:r>
          </w:p>
        </w:tc>
        <w:tc>
          <w:tcPr>
            <w:tcW w:w="992" w:type="dxa"/>
            <w:shd w:val="clear" w:color="auto" w:fill="6B2E76"/>
            <w:vAlign w:val="bottom"/>
          </w:tcPr>
          <w:p w14:paraId="34E0BFF1" w14:textId="77777777" w:rsidR="00DF7052" w:rsidRPr="00531AF3" w:rsidRDefault="00DF7052" w:rsidP="00312E88">
            <w:pPr>
              <w:pStyle w:val="Tables"/>
              <w:rPr>
                <w:rFonts w:cs="Arial"/>
                <w:color w:val="FFFFFF" w:themeColor="background1"/>
                <w:sz w:val="15"/>
                <w:szCs w:val="15"/>
              </w:rPr>
            </w:pPr>
            <w:r w:rsidRPr="00531AF3">
              <w:rPr>
                <w:rFonts w:cs="Arial"/>
                <w:color w:val="FFFFFF" w:themeColor="background1"/>
                <w:sz w:val="15"/>
                <w:szCs w:val="15"/>
              </w:rPr>
              <w:t>2024</w:t>
            </w:r>
          </w:p>
        </w:tc>
        <w:tc>
          <w:tcPr>
            <w:tcW w:w="851" w:type="dxa"/>
            <w:shd w:val="clear" w:color="auto" w:fill="6B2E76"/>
            <w:vAlign w:val="bottom"/>
          </w:tcPr>
          <w:p w14:paraId="2D304EDA" w14:textId="77777777" w:rsidR="00DF7052" w:rsidRPr="00531AF3" w:rsidRDefault="00DF7052" w:rsidP="00312E88">
            <w:pPr>
              <w:pStyle w:val="Tables"/>
              <w:rPr>
                <w:rFonts w:cs="Arial"/>
                <w:color w:val="FFFFFF" w:themeColor="background1"/>
                <w:sz w:val="15"/>
                <w:szCs w:val="15"/>
              </w:rPr>
            </w:pPr>
            <w:r w:rsidRPr="00531AF3">
              <w:rPr>
                <w:rFonts w:cs="Arial"/>
                <w:color w:val="FFFFFF" w:themeColor="background1"/>
                <w:sz w:val="15"/>
                <w:szCs w:val="15"/>
              </w:rPr>
              <w:t>2025</w:t>
            </w:r>
          </w:p>
        </w:tc>
        <w:tc>
          <w:tcPr>
            <w:tcW w:w="850" w:type="dxa"/>
            <w:shd w:val="clear" w:color="auto" w:fill="6B2E76"/>
            <w:vAlign w:val="bottom"/>
          </w:tcPr>
          <w:p w14:paraId="314DD3EB" w14:textId="77777777" w:rsidR="00DF7052" w:rsidRPr="00531AF3" w:rsidRDefault="00DF7052" w:rsidP="00312E88">
            <w:pPr>
              <w:pStyle w:val="Tables"/>
              <w:rPr>
                <w:rFonts w:cs="Arial"/>
                <w:color w:val="FFFFFF" w:themeColor="background1"/>
                <w:sz w:val="15"/>
                <w:szCs w:val="15"/>
              </w:rPr>
            </w:pPr>
            <w:r w:rsidRPr="00531AF3">
              <w:rPr>
                <w:rFonts w:cs="Arial"/>
                <w:color w:val="FFFFFF" w:themeColor="background1"/>
                <w:sz w:val="15"/>
                <w:szCs w:val="15"/>
              </w:rPr>
              <w:t>2030</w:t>
            </w:r>
          </w:p>
        </w:tc>
      </w:tr>
      <w:tr w:rsidR="00DF7052" w14:paraId="5AEAC783" w14:textId="77777777" w:rsidTr="00312E88">
        <w:trPr>
          <w:trHeight w:hRule="exact" w:val="284"/>
        </w:trPr>
        <w:tc>
          <w:tcPr>
            <w:tcW w:w="9214" w:type="dxa"/>
            <w:gridSpan w:val="7"/>
          </w:tcPr>
          <w:p w14:paraId="3340E054" w14:textId="77777777" w:rsidR="00DF7052" w:rsidRPr="00531AF3" w:rsidRDefault="00DF7052" w:rsidP="00312E88">
            <w:pPr>
              <w:pStyle w:val="Tables"/>
              <w:rPr>
                <w:rFonts w:cs="Arial"/>
                <w:sz w:val="16"/>
                <w:szCs w:val="16"/>
              </w:rPr>
            </w:pPr>
            <w:r>
              <w:rPr>
                <w:rFonts w:cs="Arial"/>
                <w:sz w:val="16"/>
                <w:szCs w:val="16"/>
              </w:rPr>
              <w:t>2020-21 AFSR</w:t>
            </w:r>
          </w:p>
        </w:tc>
      </w:tr>
      <w:tr w:rsidR="00DF7052" w14:paraId="445CC3C9" w14:textId="77777777" w:rsidTr="00312E88">
        <w:trPr>
          <w:trHeight w:hRule="exact" w:val="284"/>
        </w:trPr>
        <w:tc>
          <w:tcPr>
            <w:tcW w:w="3544" w:type="dxa"/>
          </w:tcPr>
          <w:p w14:paraId="7BF4D3FD"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0-64 years</w:t>
            </w:r>
          </w:p>
        </w:tc>
        <w:tc>
          <w:tcPr>
            <w:tcW w:w="1134" w:type="dxa"/>
          </w:tcPr>
          <w:p w14:paraId="7A758439"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450,038</w:t>
            </w:r>
          </w:p>
        </w:tc>
        <w:tc>
          <w:tcPr>
            <w:tcW w:w="992" w:type="dxa"/>
          </w:tcPr>
          <w:p w14:paraId="095E6D88"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508,974</w:t>
            </w:r>
          </w:p>
        </w:tc>
        <w:tc>
          <w:tcPr>
            <w:tcW w:w="851" w:type="dxa"/>
          </w:tcPr>
          <w:p w14:paraId="069CA066"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559,846</w:t>
            </w:r>
          </w:p>
        </w:tc>
        <w:tc>
          <w:tcPr>
            <w:tcW w:w="992" w:type="dxa"/>
          </w:tcPr>
          <w:p w14:paraId="41C2200D"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598,491</w:t>
            </w:r>
          </w:p>
        </w:tc>
        <w:tc>
          <w:tcPr>
            <w:tcW w:w="851" w:type="dxa"/>
          </w:tcPr>
          <w:p w14:paraId="4F547900"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633,596</w:t>
            </w:r>
          </w:p>
        </w:tc>
        <w:tc>
          <w:tcPr>
            <w:tcW w:w="850" w:type="dxa"/>
          </w:tcPr>
          <w:p w14:paraId="76B2CC83"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798,341</w:t>
            </w:r>
          </w:p>
        </w:tc>
      </w:tr>
      <w:tr w:rsidR="00DF7052" w14:paraId="7C7BD601" w14:textId="77777777" w:rsidTr="00312E88">
        <w:trPr>
          <w:trHeight w:hRule="exact" w:val="284"/>
        </w:trPr>
        <w:tc>
          <w:tcPr>
            <w:tcW w:w="3544" w:type="dxa"/>
            <w:shd w:val="clear" w:color="auto" w:fill="FFFFFF" w:themeFill="background1"/>
          </w:tcPr>
          <w:p w14:paraId="35CFDC26"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65+ years</w:t>
            </w:r>
          </w:p>
        </w:tc>
        <w:tc>
          <w:tcPr>
            <w:tcW w:w="1134" w:type="dxa"/>
            <w:shd w:val="clear" w:color="auto" w:fill="FFFFFF" w:themeFill="background1"/>
          </w:tcPr>
          <w:p w14:paraId="023D6763"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16,581</w:t>
            </w:r>
          </w:p>
        </w:tc>
        <w:tc>
          <w:tcPr>
            <w:tcW w:w="992" w:type="dxa"/>
            <w:shd w:val="clear" w:color="auto" w:fill="FFFFFF" w:themeFill="background1"/>
          </w:tcPr>
          <w:p w14:paraId="08B402AE"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21,483</w:t>
            </w:r>
          </w:p>
        </w:tc>
        <w:tc>
          <w:tcPr>
            <w:tcW w:w="851" w:type="dxa"/>
            <w:shd w:val="clear" w:color="auto" w:fill="FFFFFF" w:themeFill="background1"/>
          </w:tcPr>
          <w:p w14:paraId="7CD78C26"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26,587</w:t>
            </w:r>
          </w:p>
        </w:tc>
        <w:tc>
          <w:tcPr>
            <w:tcW w:w="992" w:type="dxa"/>
            <w:shd w:val="clear" w:color="auto" w:fill="FFFFFF" w:themeFill="background1"/>
          </w:tcPr>
          <w:p w14:paraId="742894D0"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31,835</w:t>
            </w:r>
          </w:p>
        </w:tc>
        <w:tc>
          <w:tcPr>
            <w:tcW w:w="851" w:type="dxa"/>
            <w:shd w:val="clear" w:color="auto" w:fill="FFFFFF" w:themeFill="background1"/>
          </w:tcPr>
          <w:p w14:paraId="53E1ECC4"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36,804</w:t>
            </w:r>
          </w:p>
        </w:tc>
        <w:tc>
          <w:tcPr>
            <w:tcW w:w="850" w:type="dxa"/>
            <w:shd w:val="clear" w:color="auto" w:fill="FFFFFF" w:themeFill="background1"/>
          </w:tcPr>
          <w:p w14:paraId="1D450920"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60,987</w:t>
            </w:r>
          </w:p>
        </w:tc>
      </w:tr>
      <w:tr w:rsidR="00DF7052" w14:paraId="3233328F" w14:textId="77777777" w:rsidTr="00312E88">
        <w:trPr>
          <w:trHeight w:hRule="exact" w:val="284"/>
        </w:trPr>
        <w:tc>
          <w:tcPr>
            <w:tcW w:w="3544" w:type="dxa"/>
            <w:shd w:val="clear" w:color="auto" w:fill="FFFFFF" w:themeFill="background1"/>
          </w:tcPr>
          <w:p w14:paraId="35CDEC36" w14:textId="77777777" w:rsidR="00DF7052" w:rsidRPr="00531AF3" w:rsidRDefault="00DF7052" w:rsidP="00312E88">
            <w:pPr>
              <w:rPr>
                <w:rFonts w:cs="Arial"/>
                <w:b/>
                <w:bCs/>
                <w:sz w:val="16"/>
                <w:szCs w:val="16"/>
              </w:rPr>
            </w:pPr>
            <w:r w:rsidRPr="00531AF3">
              <w:rPr>
                <w:rFonts w:cs="Arial"/>
                <w:b/>
                <w:bCs/>
                <w:sz w:val="16"/>
                <w:szCs w:val="16"/>
              </w:rPr>
              <w:t>Total</w:t>
            </w:r>
          </w:p>
        </w:tc>
        <w:tc>
          <w:tcPr>
            <w:tcW w:w="1134" w:type="dxa"/>
            <w:shd w:val="clear" w:color="auto" w:fill="FFFFFF" w:themeFill="background1"/>
          </w:tcPr>
          <w:p w14:paraId="37EB933B" w14:textId="77777777" w:rsidR="00DF7052" w:rsidRPr="00531AF3" w:rsidRDefault="00DF7052" w:rsidP="00312E88">
            <w:pPr>
              <w:pStyle w:val="Tables"/>
              <w:rPr>
                <w:rFonts w:cs="Arial"/>
                <w:sz w:val="16"/>
                <w:szCs w:val="16"/>
              </w:rPr>
            </w:pPr>
            <w:r w:rsidRPr="00531AF3">
              <w:rPr>
                <w:rFonts w:cs="Arial"/>
                <w:sz w:val="16"/>
                <w:szCs w:val="16"/>
              </w:rPr>
              <w:t>466,619</w:t>
            </w:r>
          </w:p>
        </w:tc>
        <w:tc>
          <w:tcPr>
            <w:tcW w:w="992" w:type="dxa"/>
            <w:shd w:val="clear" w:color="auto" w:fill="FFFFFF" w:themeFill="background1"/>
          </w:tcPr>
          <w:p w14:paraId="637C2070" w14:textId="77777777" w:rsidR="00DF7052" w:rsidRPr="00531AF3" w:rsidRDefault="00DF7052" w:rsidP="00312E88">
            <w:pPr>
              <w:pStyle w:val="Tables"/>
              <w:rPr>
                <w:rFonts w:cs="Arial"/>
                <w:sz w:val="16"/>
                <w:szCs w:val="16"/>
              </w:rPr>
            </w:pPr>
            <w:r w:rsidRPr="00531AF3">
              <w:rPr>
                <w:rFonts w:cs="Arial"/>
                <w:sz w:val="16"/>
                <w:szCs w:val="16"/>
              </w:rPr>
              <w:t>530,457</w:t>
            </w:r>
          </w:p>
        </w:tc>
        <w:tc>
          <w:tcPr>
            <w:tcW w:w="851" w:type="dxa"/>
            <w:shd w:val="clear" w:color="auto" w:fill="FFFFFF" w:themeFill="background1"/>
          </w:tcPr>
          <w:p w14:paraId="2BF55902" w14:textId="77777777" w:rsidR="00DF7052" w:rsidRPr="00531AF3" w:rsidRDefault="00DF7052" w:rsidP="00312E88">
            <w:pPr>
              <w:pStyle w:val="Tables"/>
              <w:rPr>
                <w:rFonts w:cs="Arial"/>
                <w:sz w:val="16"/>
                <w:szCs w:val="16"/>
              </w:rPr>
            </w:pPr>
            <w:r w:rsidRPr="00531AF3">
              <w:rPr>
                <w:rFonts w:cs="Arial"/>
                <w:sz w:val="16"/>
                <w:szCs w:val="16"/>
              </w:rPr>
              <w:t>586,433</w:t>
            </w:r>
          </w:p>
        </w:tc>
        <w:tc>
          <w:tcPr>
            <w:tcW w:w="992" w:type="dxa"/>
            <w:shd w:val="clear" w:color="auto" w:fill="FFFFFF" w:themeFill="background1"/>
          </w:tcPr>
          <w:p w14:paraId="7E645FEA" w14:textId="77777777" w:rsidR="00DF7052" w:rsidRPr="00531AF3" w:rsidRDefault="00DF7052" w:rsidP="00312E88">
            <w:pPr>
              <w:pStyle w:val="Tables"/>
              <w:rPr>
                <w:rFonts w:cs="Arial"/>
                <w:sz w:val="16"/>
                <w:szCs w:val="16"/>
              </w:rPr>
            </w:pPr>
            <w:r w:rsidRPr="00531AF3">
              <w:rPr>
                <w:rFonts w:cs="Arial"/>
                <w:sz w:val="16"/>
                <w:szCs w:val="16"/>
              </w:rPr>
              <w:t>630,327</w:t>
            </w:r>
          </w:p>
        </w:tc>
        <w:tc>
          <w:tcPr>
            <w:tcW w:w="851" w:type="dxa"/>
            <w:shd w:val="clear" w:color="auto" w:fill="FFFFFF" w:themeFill="background1"/>
          </w:tcPr>
          <w:p w14:paraId="6BC08B11" w14:textId="77777777" w:rsidR="00DF7052" w:rsidRPr="00531AF3" w:rsidRDefault="00DF7052" w:rsidP="00312E88">
            <w:pPr>
              <w:pStyle w:val="Tables"/>
              <w:rPr>
                <w:rFonts w:cs="Arial"/>
                <w:sz w:val="16"/>
                <w:szCs w:val="16"/>
              </w:rPr>
            </w:pPr>
            <w:r w:rsidRPr="00531AF3">
              <w:rPr>
                <w:rFonts w:cs="Arial"/>
                <w:sz w:val="16"/>
                <w:szCs w:val="16"/>
              </w:rPr>
              <w:t>670,400</w:t>
            </w:r>
          </w:p>
        </w:tc>
        <w:tc>
          <w:tcPr>
            <w:tcW w:w="850" w:type="dxa"/>
            <w:shd w:val="clear" w:color="auto" w:fill="FFFFFF" w:themeFill="background1"/>
          </w:tcPr>
          <w:p w14:paraId="54A3FD24" w14:textId="77777777" w:rsidR="00DF7052" w:rsidRPr="00531AF3" w:rsidRDefault="00DF7052" w:rsidP="00312E88">
            <w:pPr>
              <w:pStyle w:val="Tables"/>
              <w:rPr>
                <w:rFonts w:cs="Arial"/>
                <w:sz w:val="16"/>
                <w:szCs w:val="16"/>
              </w:rPr>
            </w:pPr>
            <w:r w:rsidRPr="00531AF3">
              <w:rPr>
                <w:rFonts w:cs="Arial"/>
                <w:sz w:val="16"/>
                <w:szCs w:val="16"/>
              </w:rPr>
              <w:t>859,328</w:t>
            </w:r>
          </w:p>
        </w:tc>
      </w:tr>
      <w:tr w:rsidR="00DF7052" w14:paraId="4B85E17D" w14:textId="77777777" w:rsidTr="00312E88">
        <w:trPr>
          <w:trHeight w:hRule="exact" w:val="284"/>
        </w:trPr>
        <w:tc>
          <w:tcPr>
            <w:tcW w:w="3544" w:type="dxa"/>
            <w:shd w:val="clear" w:color="auto" w:fill="FFFFFF" w:themeFill="background1"/>
          </w:tcPr>
          <w:p w14:paraId="712761AD"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Prevalence (0-64)</w:t>
            </w:r>
          </w:p>
        </w:tc>
        <w:tc>
          <w:tcPr>
            <w:tcW w:w="1134" w:type="dxa"/>
            <w:shd w:val="clear" w:color="auto" w:fill="FFFFFF" w:themeFill="background1"/>
          </w:tcPr>
          <w:p w14:paraId="0EDB1FDD"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2.10%</w:t>
            </w:r>
          </w:p>
        </w:tc>
        <w:tc>
          <w:tcPr>
            <w:tcW w:w="992" w:type="dxa"/>
            <w:shd w:val="clear" w:color="auto" w:fill="FFFFFF" w:themeFill="background1"/>
          </w:tcPr>
          <w:p w14:paraId="07621810"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2.39%</w:t>
            </w:r>
          </w:p>
        </w:tc>
        <w:tc>
          <w:tcPr>
            <w:tcW w:w="851" w:type="dxa"/>
            <w:shd w:val="clear" w:color="auto" w:fill="FFFFFF" w:themeFill="background1"/>
          </w:tcPr>
          <w:p w14:paraId="5941C8D2"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2.61%</w:t>
            </w:r>
          </w:p>
        </w:tc>
        <w:tc>
          <w:tcPr>
            <w:tcW w:w="992" w:type="dxa"/>
            <w:shd w:val="clear" w:color="auto" w:fill="FFFFFF" w:themeFill="background1"/>
          </w:tcPr>
          <w:p w14:paraId="4BC2042B"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2.77%</w:t>
            </w:r>
          </w:p>
        </w:tc>
        <w:tc>
          <w:tcPr>
            <w:tcW w:w="851" w:type="dxa"/>
            <w:shd w:val="clear" w:color="auto" w:fill="FFFFFF" w:themeFill="background1"/>
          </w:tcPr>
          <w:p w14:paraId="6D26C454"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2.90%</w:t>
            </w:r>
          </w:p>
        </w:tc>
        <w:tc>
          <w:tcPr>
            <w:tcW w:w="850" w:type="dxa"/>
            <w:shd w:val="clear" w:color="auto" w:fill="FFFFFF" w:themeFill="background1"/>
          </w:tcPr>
          <w:p w14:paraId="0346BB23" w14:textId="77777777" w:rsidR="00DF7052" w:rsidRPr="00531AF3" w:rsidRDefault="00DF7052" w:rsidP="00312E88">
            <w:pPr>
              <w:pStyle w:val="Tables"/>
              <w:rPr>
                <w:rFonts w:cs="Arial"/>
                <w:b w:val="0"/>
                <w:bCs w:val="0"/>
                <w:sz w:val="16"/>
                <w:szCs w:val="16"/>
              </w:rPr>
            </w:pPr>
            <w:r w:rsidRPr="00531AF3">
              <w:rPr>
                <w:rFonts w:cs="Arial"/>
                <w:b w:val="0"/>
                <w:bCs w:val="0"/>
                <w:sz w:val="16"/>
                <w:szCs w:val="16"/>
              </w:rPr>
              <w:t>3.49%</w:t>
            </w:r>
          </w:p>
        </w:tc>
      </w:tr>
    </w:tbl>
    <w:p w14:paraId="1D30D3A6" w14:textId="5F5DE927" w:rsidR="00CD34AC" w:rsidRPr="00FD144F" w:rsidRDefault="00CD34AC" w:rsidP="00CD34AC">
      <w:pPr>
        <w:pStyle w:val="FSRnormal"/>
      </w:pPr>
      <w:r w:rsidRPr="00DF7052">
        <w:rPr>
          <w:u w:val="single"/>
        </w:rPr>
        <w:fldChar w:fldCharType="begin"/>
      </w:r>
      <w:r w:rsidRPr="00DF7052">
        <w:rPr>
          <w:u w:val="single"/>
        </w:rPr>
        <w:instrText xml:space="preserve"> REF _Ref80274050 \h  \* MERGEFORMAT </w:instrText>
      </w:r>
      <w:r w:rsidRPr="00DF7052">
        <w:rPr>
          <w:u w:val="single"/>
        </w:rPr>
      </w:r>
      <w:r w:rsidRPr="00DF7052">
        <w:rPr>
          <w:u w:val="single"/>
        </w:rPr>
        <w:fldChar w:fldCharType="separate"/>
      </w:r>
      <w:r w:rsidR="00E50032" w:rsidRPr="00E50032">
        <w:rPr>
          <w:u w:val="single"/>
        </w:rPr>
        <w:t>Table 16</w:t>
      </w:r>
      <w:r w:rsidRPr="00DF7052">
        <w:rPr>
          <w:u w:val="single"/>
        </w:rPr>
        <w:fldChar w:fldCharType="end"/>
      </w:r>
      <w:r w:rsidRPr="00FD144F">
        <w:t xml:space="preserve"> </w:t>
      </w:r>
      <w:r w:rsidR="00FD144F">
        <w:t xml:space="preserve">and </w:t>
      </w:r>
      <w:r w:rsidR="000E0962" w:rsidRPr="00DF7052">
        <w:rPr>
          <w:u w:val="single"/>
        </w:rPr>
        <w:fldChar w:fldCharType="begin"/>
      </w:r>
      <w:r w:rsidR="000E0962" w:rsidRPr="00DF7052">
        <w:rPr>
          <w:u w:val="single"/>
        </w:rPr>
        <w:instrText xml:space="preserve"> REF _Ref80734568 \h </w:instrText>
      </w:r>
      <w:r w:rsidR="00DF7052">
        <w:rPr>
          <w:u w:val="single"/>
        </w:rPr>
        <w:instrText xml:space="preserve"> \* MERGEFORMAT </w:instrText>
      </w:r>
      <w:r w:rsidR="000E0962" w:rsidRPr="00DF7052">
        <w:rPr>
          <w:u w:val="single"/>
        </w:rPr>
      </w:r>
      <w:r w:rsidR="000E0962" w:rsidRPr="00DF7052">
        <w:rPr>
          <w:u w:val="single"/>
        </w:rPr>
        <w:fldChar w:fldCharType="separate"/>
      </w:r>
      <w:r w:rsidR="00E50032" w:rsidRPr="00E50032">
        <w:rPr>
          <w:u w:val="single"/>
        </w:rPr>
        <w:t xml:space="preserve">Table </w:t>
      </w:r>
      <w:r w:rsidR="00E50032" w:rsidRPr="00E50032">
        <w:rPr>
          <w:noProof/>
          <w:u w:val="single"/>
        </w:rPr>
        <w:t>17</w:t>
      </w:r>
      <w:r w:rsidR="000E0962" w:rsidRPr="00DF7052">
        <w:rPr>
          <w:u w:val="single"/>
        </w:rPr>
        <w:fldChar w:fldCharType="end"/>
      </w:r>
      <w:r w:rsidR="00FD144F">
        <w:t xml:space="preserve"> </w:t>
      </w:r>
      <w:r w:rsidRPr="00FD144F">
        <w:t xml:space="preserve">show the split </w:t>
      </w:r>
      <w:r w:rsidR="00711D65">
        <w:t xml:space="preserve">in the projection </w:t>
      </w:r>
      <w:r w:rsidRPr="00FD144F">
        <w:t xml:space="preserve">between existing participants and </w:t>
      </w:r>
      <w:r w:rsidR="00711D65">
        <w:t xml:space="preserve">future </w:t>
      </w:r>
      <w:r w:rsidRPr="00FD144F">
        <w:t>participants</w:t>
      </w:r>
      <w:r w:rsidR="00711D65">
        <w:t xml:space="preserve"> (i.e. new entrants</w:t>
      </w:r>
      <w:r w:rsidR="000E0962">
        <w:t xml:space="preserve"> post 30 June 2021</w:t>
      </w:r>
      <w:r w:rsidR="00711D65">
        <w:t>)</w:t>
      </w:r>
      <w:r w:rsidRPr="00FD144F">
        <w:t xml:space="preserve">. 43.5% of projected participants in 2029-30 are </w:t>
      </w:r>
      <w:r w:rsidR="00711D65">
        <w:t xml:space="preserve">estimated to be </w:t>
      </w:r>
      <w:r w:rsidRPr="00FD144F">
        <w:t xml:space="preserve">current </w:t>
      </w:r>
      <w:r w:rsidR="00475322">
        <w:t>Scheme</w:t>
      </w:r>
      <w:r w:rsidRPr="00FD144F">
        <w:t xml:space="preserve"> participants, with 56.5% being new entrants to the </w:t>
      </w:r>
      <w:r w:rsidR="00475322">
        <w:t>Scheme</w:t>
      </w:r>
      <w:r w:rsidRPr="00FD144F">
        <w:t xml:space="preserve">. </w:t>
      </w:r>
    </w:p>
    <w:p w14:paraId="75344412" w14:textId="3752303F" w:rsidR="00CD34AC" w:rsidRPr="00CD34AC" w:rsidRDefault="00CD34AC" w:rsidP="00CD34AC">
      <w:pPr>
        <w:pStyle w:val="Tables"/>
      </w:pPr>
      <w:bookmarkStart w:id="172" w:name="_Ref80274050"/>
      <w:r w:rsidRPr="00FD144F">
        <w:t xml:space="preserve">Table </w:t>
      </w:r>
      <w:fldSimple w:instr=" SEQ Table \* ARABIC ">
        <w:r w:rsidR="00E50032">
          <w:rPr>
            <w:noProof/>
          </w:rPr>
          <w:t>16</w:t>
        </w:r>
      </w:fldSimple>
      <w:bookmarkEnd w:id="172"/>
      <w:r w:rsidRPr="00FD144F">
        <w:t xml:space="preserve"> </w:t>
      </w:r>
      <w:r w:rsidR="00FD144F">
        <w:t xml:space="preserve">Spilt of </w:t>
      </w:r>
      <w:r w:rsidRPr="00CD34AC">
        <w:t xml:space="preserve">participant numbers between existing and </w:t>
      </w:r>
      <w:r w:rsidR="00711D65">
        <w:t xml:space="preserve">future </w:t>
      </w:r>
      <w:r w:rsidRPr="00CD34AC">
        <w:t>participants</w:t>
      </w:r>
    </w:p>
    <w:tbl>
      <w:tblPr>
        <w:tblStyle w:val="TableGrid"/>
        <w:tblW w:w="9214" w:type="dxa"/>
        <w:tblInd w:w="-5" w:type="dxa"/>
        <w:tblLayout w:type="fixed"/>
        <w:tblLook w:val="04A0" w:firstRow="1" w:lastRow="0" w:firstColumn="1" w:lastColumn="0" w:noHBand="0" w:noVBand="1"/>
      </w:tblPr>
      <w:tblGrid>
        <w:gridCol w:w="3544"/>
        <w:gridCol w:w="1134"/>
        <w:gridCol w:w="992"/>
        <w:gridCol w:w="851"/>
        <w:gridCol w:w="992"/>
        <w:gridCol w:w="851"/>
        <w:gridCol w:w="850"/>
      </w:tblGrid>
      <w:tr w:rsidR="00D95F8A" w14:paraId="1901098B" w14:textId="77777777" w:rsidTr="00312E88">
        <w:trPr>
          <w:tblHeader/>
        </w:trPr>
        <w:tc>
          <w:tcPr>
            <w:tcW w:w="3544" w:type="dxa"/>
            <w:shd w:val="clear" w:color="auto" w:fill="6B2E76"/>
          </w:tcPr>
          <w:p w14:paraId="02BBB0C8" w14:textId="77777777" w:rsidR="00D95F8A" w:rsidRPr="00531AF3" w:rsidRDefault="00D95F8A" w:rsidP="00312E88">
            <w:pPr>
              <w:pStyle w:val="Tables"/>
              <w:rPr>
                <w:rFonts w:cs="Arial"/>
                <w:color w:val="FFFFFF" w:themeColor="background1"/>
                <w:sz w:val="15"/>
                <w:szCs w:val="15"/>
              </w:rPr>
            </w:pPr>
            <w:r w:rsidRPr="00531AF3">
              <w:rPr>
                <w:rFonts w:cs="Arial"/>
                <w:color w:val="FFFFFF" w:themeColor="background1"/>
                <w:sz w:val="15"/>
                <w:szCs w:val="15"/>
              </w:rPr>
              <w:t>Number of participants as at June 30</w:t>
            </w:r>
          </w:p>
        </w:tc>
        <w:tc>
          <w:tcPr>
            <w:tcW w:w="1134" w:type="dxa"/>
            <w:shd w:val="clear" w:color="auto" w:fill="6B2E76"/>
            <w:vAlign w:val="center"/>
          </w:tcPr>
          <w:p w14:paraId="75799E3A" w14:textId="77777777" w:rsidR="00D95F8A" w:rsidRPr="00531AF3" w:rsidRDefault="00D95F8A" w:rsidP="00312E88">
            <w:pPr>
              <w:pStyle w:val="Tables"/>
              <w:jc w:val="center"/>
              <w:rPr>
                <w:rFonts w:cs="Arial"/>
                <w:color w:val="FFFFFF" w:themeColor="background1"/>
                <w:sz w:val="15"/>
                <w:szCs w:val="15"/>
              </w:rPr>
            </w:pPr>
            <w:r w:rsidRPr="00531AF3">
              <w:rPr>
                <w:rFonts w:cs="Arial"/>
                <w:color w:val="FFFFFF" w:themeColor="background1"/>
                <w:sz w:val="15"/>
                <w:szCs w:val="15"/>
              </w:rPr>
              <w:t>2021</w:t>
            </w:r>
          </w:p>
        </w:tc>
        <w:tc>
          <w:tcPr>
            <w:tcW w:w="992" w:type="dxa"/>
            <w:shd w:val="clear" w:color="auto" w:fill="6B2E76"/>
            <w:vAlign w:val="center"/>
          </w:tcPr>
          <w:p w14:paraId="55B81267" w14:textId="77777777" w:rsidR="00D95F8A" w:rsidRPr="00531AF3" w:rsidRDefault="00D95F8A" w:rsidP="00312E88">
            <w:pPr>
              <w:pStyle w:val="Tables"/>
              <w:jc w:val="center"/>
              <w:rPr>
                <w:rFonts w:cs="Arial"/>
                <w:color w:val="FFFFFF" w:themeColor="background1"/>
                <w:sz w:val="15"/>
                <w:szCs w:val="15"/>
              </w:rPr>
            </w:pPr>
            <w:r w:rsidRPr="00531AF3">
              <w:rPr>
                <w:rFonts w:cs="Arial"/>
                <w:color w:val="FFFFFF" w:themeColor="background1"/>
                <w:sz w:val="15"/>
                <w:szCs w:val="15"/>
              </w:rPr>
              <w:t>2022</w:t>
            </w:r>
          </w:p>
        </w:tc>
        <w:tc>
          <w:tcPr>
            <w:tcW w:w="851" w:type="dxa"/>
            <w:shd w:val="clear" w:color="auto" w:fill="6B2E76"/>
            <w:vAlign w:val="center"/>
          </w:tcPr>
          <w:p w14:paraId="11A6E997" w14:textId="77777777" w:rsidR="00D95F8A" w:rsidRPr="00531AF3" w:rsidRDefault="00D95F8A" w:rsidP="00312E88">
            <w:pPr>
              <w:pStyle w:val="Tables"/>
              <w:jc w:val="center"/>
              <w:rPr>
                <w:rFonts w:cs="Arial"/>
                <w:color w:val="FFFFFF" w:themeColor="background1"/>
                <w:sz w:val="15"/>
                <w:szCs w:val="15"/>
              </w:rPr>
            </w:pPr>
            <w:r w:rsidRPr="00531AF3">
              <w:rPr>
                <w:rFonts w:cs="Arial"/>
                <w:color w:val="FFFFFF" w:themeColor="background1"/>
                <w:sz w:val="15"/>
                <w:szCs w:val="15"/>
              </w:rPr>
              <w:t>2023</w:t>
            </w:r>
          </w:p>
        </w:tc>
        <w:tc>
          <w:tcPr>
            <w:tcW w:w="992" w:type="dxa"/>
            <w:shd w:val="clear" w:color="auto" w:fill="6B2E76"/>
            <w:vAlign w:val="center"/>
          </w:tcPr>
          <w:p w14:paraId="4B5BF61C" w14:textId="77777777" w:rsidR="00D95F8A" w:rsidRPr="00531AF3" w:rsidRDefault="00D95F8A" w:rsidP="00312E88">
            <w:pPr>
              <w:pStyle w:val="Tables"/>
              <w:jc w:val="center"/>
              <w:rPr>
                <w:rFonts w:cs="Arial"/>
                <w:color w:val="FFFFFF" w:themeColor="background1"/>
                <w:sz w:val="15"/>
                <w:szCs w:val="15"/>
              </w:rPr>
            </w:pPr>
            <w:r w:rsidRPr="00531AF3">
              <w:rPr>
                <w:rFonts w:cs="Arial"/>
                <w:color w:val="FFFFFF" w:themeColor="background1"/>
                <w:sz w:val="15"/>
                <w:szCs w:val="15"/>
              </w:rPr>
              <w:t>2024</w:t>
            </w:r>
          </w:p>
        </w:tc>
        <w:tc>
          <w:tcPr>
            <w:tcW w:w="851" w:type="dxa"/>
            <w:shd w:val="clear" w:color="auto" w:fill="6B2E76"/>
            <w:vAlign w:val="center"/>
          </w:tcPr>
          <w:p w14:paraId="21FD691D" w14:textId="77777777" w:rsidR="00D95F8A" w:rsidRPr="00531AF3" w:rsidRDefault="00D95F8A" w:rsidP="00312E88">
            <w:pPr>
              <w:pStyle w:val="Tables"/>
              <w:jc w:val="center"/>
              <w:rPr>
                <w:rFonts w:cs="Arial"/>
                <w:color w:val="FFFFFF" w:themeColor="background1"/>
                <w:sz w:val="15"/>
                <w:szCs w:val="15"/>
              </w:rPr>
            </w:pPr>
            <w:r w:rsidRPr="00531AF3">
              <w:rPr>
                <w:rFonts w:cs="Arial"/>
                <w:color w:val="FFFFFF" w:themeColor="background1"/>
                <w:sz w:val="15"/>
                <w:szCs w:val="15"/>
              </w:rPr>
              <w:t>2025</w:t>
            </w:r>
          </w:p>
        </w:tc>
        <w:tc>
          <w:tcPr>
            <w:tcW w:w="850" w:type="dxa"/>
            <w:shd w:val="clear" w:color="auto" w:fill="6B2E76"/>
            <w:vAlign w:val="center"/>
          </w:tcPr>
          <w:p w14:paraId="11B64851" w14:textId="77777777" w:rsidR="00D95F8A" w:rsidRPr="00531AF3" w:rsidRDefault="00D95F8A" w:rsidP="00312E88">
            <w:pPr>
              <w:pStyle w:val="Tables"/>
              <w:jc w:val="center"/>
              <w:rPr>
                <w:rFonts w:cs="Arial"/>
                <w:color w:val="FFFFFF" w:themeColor="background1"/>
                <w:sz w:val="15"/>
                <w:szCs w:val="15"/>
              </w:rPr>
            </w:pPr>
            <w:r w:rsidRPr="00531AF3">
              <w:rPr>
                <w:rFonts w:cs="Arial"/>
                <w:color w:val="FFFFFF" w:themeColor="background1"/>
                <w:sz w:val="15"/>
                <w:szCs w:val="15"/>
              </w:rPr>
              <w:t>2030</w:t>
            </w:r>
          </w:p>
        </w:tc>
      </w:tr>
      <w:tr w:rsidR="00D95F8A" w14:paraId="199472FF" w14:textId="77777777" w:rsidTr="00312E88">
        <w:trPr>
          <w:trHeight w:hRule="exact" w:val="284"/>
        </w:trPr>
        <w:tc>
          <w:tcPr>
            <w:tcW w:w="3544" w:type="dxa"/>
          </w:tcPr>
          <w:p w14:paraId="57D7E339" w14:textId="069792F5" w:rsidR="00D95F8A" w:rsidRPr="00531AF3" w:rsidRDefault="00311C55" w:rsidP="00312E88">
            <w:pPr>
              <w:pStyle w:val="Tables"/>
              <w:rPr>
                <w:rFonts w:cs="Arial"/>
                <w:b w:val="0"/>
                <w:bCs w:val="0"/>
                <w:sz w:val="16"/>
                <w:szCs w:val="16"/>
              </w:rPr>
            </w:pPr>
            <w:r>
              <w:rPr>
                <w:rFonts w:cs="Arial"/>
                <w:b w:val="0"/>
                <w:bCs w:val="0"/>
                <w:sz w:val="16"/>
                <w:szCs w:val="16"/>
              </w:rPr>
              <w:t>Existing Scheme p</w:t>
            </w:r>
            <w:r w:rsidR="00D95F8A" w:rsidRPr="00531AF3">
              <w:rPr>
                <w:rFonts w:cs="Arial"/>
                <w:b w:val="0"/>
                <w:bCs w:val="0"/>
                <w:sz w:val="16"/>
                <w:szCs w:val="16"/>
              </w:rPr>
              <w:t>articipant</w:t>
            </w:r>
            <w:r w:rsidR="00312E88">
              <w:rPr>
                <w:rFonts w:cs="Arial"/>
                <w:b w:val="0"/>
                <w:bCs w:val="0"/>
                <w:sz w:val="16"/>
                <w:szCs w:val="16"/>
              </w:rPr>
              <w:t>s</w:t>
            </w:r>
          </w:p>
        </w:tc>
        <w:tc>
          <w:tcPr>
            <w:tcW w:w="1134" w:type="dxa"/>
          </w:tcPr>
          <w:p w14:paraId="1034F7B9"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466,619</w:t>
            </w:r>
          </w:p>
        </w:tc>
        <w:tc>
          <w:tcPr>
            <w:tcW w:w="992" w:type="dxa"/>
          </w:tcPr>
          <w:p w14:paraId="5B102AE7"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457,715</w:t>
            </w:r>
          </w:p>
        </w:tc>
        <w:tc>
          <w:tcPr>
            <w:tcW w:w="851" w:type="dxa"/>
          </w:tcPr>
          <w:p w14:paraId="164AD0B0"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445,815</w:t>
            </w:r>
          </w:p>
        </w:tc>
        <w:tc>
          <w:tcPr>
            <w:tcW w:w="992" w:type="dxa"/>
          </w:tcPr>
          <w:p w14:paraId="4F34B193"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432,888</w:t>
            </w:r>
          </w:p>
        </w:tc>
        <w:tc>
          <w:tcPr>
            <w:tcW w:w="851" w:type="dxa"/>
          </w:tcPr>
          <w:p w14:paraId="338D32BD"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420,023</w:t>
            </w:r>
          </w:p>
        </w:tc>
        <w:tc>
          <w:tcPr>
            <w:tcW w:w="850" w:type="dxa"/>
          </w:tcPr>
          <w:p w14:paraId="4AE04A6F"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373,426</w:t>
            </w:r>
          </w:p>
        </w:tc>
      </w:tr>
      <w:tr w:rsidR="00D95F8A" w14:paraId="43AF3B8B" w14:textId="77777777" w:rsidTr="00312E88">
        <w:trPr>
          <w:trHeight w:hRule="exact" w:val="284"/>
        </w:trPr>
        <w:tc>
          <w:tcPr>
            <w:tcW w:w="3544" w:type="dxa"/>
            <w:shd w:val="clear" w:color="auto" w:fill="FFFFFF" w:themeFill="background1"/>
          </w:tcPr>
          <w:p w14:paraId="6F0C5EF9"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Future participant intake</w:t>
            </w:r>
          </w:p>
        </w:tc>
        <w:tc>
          <w:tcPr>
            <w:tcW w:w="1134" w:type="dxa"/>
            <w:shd w:val="clear" w:color="auto" w:fill="FFFFFF" w:themeFill="background1"/>
          </w:tcPr>
          <w:p w14:paraId="48A47B74"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0</w:t>
            </w:r>
          </w:p>
        </w:tc>
        <w:tc>
          <w:tcPr>
            <w:tcW w:w="992" w:type="dxa"/>
            <w:shd w:val="clear" w:color="auto" w:fill="FFFFFF" w:themeFill="background1"/>
          </w:tcPr>
          <w:p w14:paraId="6920FADD"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72,741</w:t>
            </w:r>
          </w:p>
        </w:tc>
        <w:tc>
          <w:tcPr>
            <w:tcW w:w="851" w:type="dxa"/>
            <w:shd w:val="clear" w:color="auto" w:fill="FFFFFF" w:themeFill="background1"/>
          </w:tcPr>
          <w:p w14:paraId="3144D571"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140,618</w:t>
            </w:r>
          </w:p>
        </w:tc>
        <w:tc>
          <w:tcPr>
            <w:tcW w:w="992" w:type="dxa"/>
            <w:shd w:val="clear" w:color="auto" w:fill="FFFFFF" w:themeFill="background1"/>
          </w:tcPr>
          <w:p w14:paraId="38BD0BC5"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197,439</w:t>
            </w:r>
          </w:p>
        </w:tc>
        <w:tc>
          <w:tcPr>
            <w:tcW w:w="851" w:type="dxa"/>
            <w:shd w:val="clear" w:color="auto" w:fill="FFFFFF" w:themeFill="background1"/>
          </w:tcPr>
          <w:p w14:paraId="4779557D"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250,377</w:t>
            </w:r>
          </w:p>
        </w:tc>
        <w:tc>
          <w:tcPr>
            <w:tcW w:w="850" w:type="dxa"/>
            <w:shd w:val="clear" w:color="auto" w:fill="FFFFFF" w:themeFill="background1"/>
          </w:tcPr>
          <w:p w14:paraId="14D17CD9" w14:textId="77777777" w:rsidR="00D95F8A" w:rsidRPr="00531AF3" w:rsidRDefault="00D95F8A" w:rsidP="00312E88">
            <w:pPr>
              <w:pStyle w:val="Tables"/>
              <w:rPr>
                <w:rFonts w:cs="Arial"/>
                <w:b w:val="0"/>
                <w:bCs w:val="0"/>
                <w:sz w:val="16"/>
                <w:szCs w:val="16"/>
              </w:rPr>
            </w:pPr>
            <w:r w:rsidRPr="00531AF3">
              <w:rPr>
                <w:rFonts w:cs="Arial"/>
                <w:b w:val="0"/>
                <w:bCs w:val="0"/>
                <w:sz w:val="16"/>
                <w:szCs w:val="16"/>
              </w:rPr>
              <w:t>485,902</w:t>
            </w:r>
          </w:p>
        </w:tc>
      </w:tr>
      <w:tr w:rsidR="00D95F8A" w14:paraId="721706E9" w14:textId="77777777" w:rsidTr="00312E88">
        <w:trPr>
          <w:trHeight w:hRule="exact" w:val="284"/>
        </w:trPr>
        <w:tc>
          <w:tcPr>
            <w:tcW w:w="3544" w:type="dxa"/>
            <w:shd w:val="clear" w:color="auto" w:fill="FFFFFF" w:themeFill="background1"/>
          </w:tcPr>
          <w:p w14:paraId="348C0B81" w14:textId="77777777" w:rsidR="00D95F8A" w:rsidRPr="00531AF3" w:rsidRDefault="00D95F8A" w:rsidP="00312E88">
            <w:pPr>
              <w:rPr>
                <w:rFonts w:cs="Arial"/>
                <w:b/>
                <w:bCs/>
                <w:sz w:val="16"/>
                <w:szCs w:val="16"/>
              </w:rPr>
            </w:pPr>
            <w:r w:rsidRPr="00531AF3">
              <w:rPr>
                <w:rFonts w:cs="Arial"/>
                <w:b/>
                <w:bCs/>
                <w:sz w:val="16"/>
                <w:szCs w:val="16"/>
              </w:rPr>
              <w:t>Total Number of Participants</w:t>
            </w:r>
          </w:p>
        </w:tc>
        <w:tc>
          <w:tcPr>
            <w:tcW w:w="1134" w:type="dxa"/>
            <w:shd w:val="clear" w:color="auto" w:fill="FFFFFF" w:themeFill="background1"/>
          </w:tcPr>
          <w:p w14:paraId="7BA21CB1" w14:textId="77777777" w:rsidR="00D95F8A" w:rsidRPr="00531AF3" w:rsidRDefault="00D95F8A" w:rsidP="00312E88">
            <w:pPr>
              <w:pStyle w:val="Tables"/>
              <w:rPr>
                <w:rFonts w:cs="Arial"/>
                <w:sz w:val="16"/>
                <w:szCs w:val="16"/>
              </w:rPr>
            </w:pPr>
            <w:r w:rsidRPr="00531AF3">
              <w:rPr>
                <w:rFonts w:cs="Arial"/>
                <w:sz w:val="16"/>
                <w:szCs w:val="16"/>
              </w:rPr>
              <w:t>466,619</w:t>
            </w:r>
          </w:p>
        </w:tc>
        <w:tc>
          <w:tcPr>
            <w:tcW w:w="992" w:type="dxa"/>
            <w:shd w:val="clear" w:color="auto" w:fill="FFFFFF" w:themeFill="background1"/>
          </w:tcPr>
          <w:p w14:paraId="1533A16C" w14:textId="77777777" w:rsidR="00D95F8A" w:rsidRPr="00531AF3" w:rsidRDefault="00D95F8A" w:rsidP="00312E88">
            <w:pPr>
              <w:pStyle w:val="Tables"/>
              <w:rPr>
                <w:rFonts w:cs="Arial"/>
                <w:sz w:val="16"/>
                <w:szCs w:val="16"/>
              </w:rPr>
            </w:pPr>
            <w:r w:rsidRPr="00531AF3">
              <w:rPr>
                <w:rFonts w:cs="Arial"/>
                <w:sz w:val="16"/>
                <w:szCs w:val="16"/>
              </w:rPr>
              <w:t>530,457</w:t>
            </w:r>
          </w:p>
        </w:tc>
        <w:tc>
          <w:tcPr>
            <w:tcW w:w="851" w:type="dxa"/>
            <w:shd w:val="clear" w:color="auto" w:fill="FFFFFF" w:themeFill="background1"/>
          </w:tcPr>
          <w:p w14:paraId="78C46E18" w14:textId="77777777" w:rsidR="00D95F8A" w:rsidRPr="00531AF3" w:rsidRDefault="00D95F8A" w:rsidP="00312E88">
            <w:pPr>
              <w:pStyle w:val="Tables"/>
              <w:rPr>
                <w:rFonts w:cs="Arial"/>
                <w:sz w:val="16"/>
                <w:szCs w:val="16"/>
              </w:rPr>
            </w:pPr>
            <w:r w:rsidRPr="00531AF3">
              <w:rPr>
                <w:rFonts w:cs="Arial"/>
                <w:sz w:val="16"/>
                <w:szCs w:val="16"/>
              </w:rPr>
              <w:t>586,433</w:t>
            </w:r>
          </w:p>
        </w:tc>
        <w:tc>
          <w:tcPr>
            <w:tcW w:w="992" w:type="dxa"/>
            <w:shd w:val="clear" w:color="auto" w:fill="FFFFFF" w:themeFill="background1"/>
          </w:tcPr>
          <w:p w14:paraId="22C081F6" w14:textId="77777777" w:rsidR="00D95F8A" w:rsidRPr="00531AF3" w:rsidRDefault="00D95F8A" w:rsidP="00312E88">
            <w:pPr>
              <w:pStyle w:val="Tables"/>
              <w:rPr>
                <w:rFonts w:cs="Arial"/>
                <w:sz w:val="16"/>
                <w:szCs w:val="16"/>
              </w:rPr>
            </w:pPr>
            <w:r w:rsidRPr="00531AF3">
              <w:rPr>
                <w:rFonts w:cs="Arial"/>
                <w:sz w:val="16"/>
                <w:szCs w:val="16"/>
              </w:rPr>
              <w:t>630,327</w:t>
            </w:r>
          </w:p>
        </w:tc>
        <w:tc>
          <w:tcPr>
            <w:tcW w:w="851" w:type="dxa"/>
            <w:shd w:val="clear" w:color="auto" w:fill="FFFFFF" w:themeFill="background1"/>
          </w:tcPr>
          <w:p w14:paraId="4E467BEE" w14:textId="77777777" w:rsidR="00D95F8A" w:rsidRPr="00531AF3" w:rsidRDefault="00D95F8A" w:rsidP="00312E88">
            <w:pPr>
              <w:pStyle w:val="Tables"/>
              <w:rPr>
                <w:rFonts w:cs="Arial"/>
                <w:sz w:val="16"/>
                <w:szCs w:val="16"/>
              </w:rPr>
            </w:pPr>
            <w:r w:rsidRPr="00531AF3">
              <w:rPr>
                <w:rFonts w:cs="Arial"/>
                <w:sz w:val="16"/>
                <w:szCs w:val="16"/>
              </w:rPr>
              <w:t>670,400</w:t>
            </w:r>
          </w:p>
        </w:tc>
        <w:tc>
          <w:tcPr>
            <w:tcW w:w="850" w:type="dxa"/>
            <w:shd w:val="clear" w:color="auto" w:fill="FFFFFF" w:themeFill="background1"/>
          </w:tcPr>
          <w:p w14:paraId="010D30D5" w14:textId="77777777" w:rsidR="00D95F8A" w:rsidRPr="00531AF3" w:rsidRDefault="00D95F8A" w:rsidP="00312E88">
            <w:pPr>
              <w:pStyle w:val="Tables"/>
              <w:rPr>
                <w:rFonts w:cs="Arial"/>
                <w:sz w:val="16"/>
                <w:szCs w:val="16"/>
              </w:rPr>
            </w:pPr>
            <w:r w:rsidRPr="00531AF3">
              <w:rPr>
                <w:rFonts w:cs="Arial"/>
                <w:sz w:val="16"/>
                <w:szCs w:val="16"/>
              </w:rPr>
              <w:t>859,328</w:t>
            </w:r>
          </w:p>
        </w:tc>
      </w:tr>
    </w:tbl>
    <w:p w14:paraId="71244C4A" w14:textId="6DEEF1B5" w:rsidR="00CD34AC" w:rsidRDefault="00CD34AC" w:rsidP="00CD34AC">
      <w:pPr>
        <w:pStyle w:val="FSRnormal"/>
      </w:pPr>
    </w:p>
    <w:p w14:paraId="4C175BB8" w14:textId="1E935885" w:rsidR="00FD144F" w:rsidRPr="00CD34AC" w:rsidRDefault="00FD144F" w:rsidP="00FD144F">
      <w:pPr>
        <w:pStyle w:val="Tables"/>
      </w:pPr>
      <w:bookmarkStart w:id="173" w:name="_Ref80734568"/>
      <w:r w:rsidRPr="00FD144F">
        <w:t xml:space="preserve">Table </w:t>
      </w:r>
      <w:fldSimple w:instr=" SEQ Table \* ARABIC ">
        <w:r w:rsidR="00E50032">
          <w:rPr>
            <w:noProof/>
          </w:rPr>
          <w:t>17</w:t>
        </w:r>
      </w:fldSimple>
      <w:bookmarkEnd w:id="173"/>
      <w:r w:rsidRPr="00FD144F">
        <w:t xml:space="preserve"> </w:t>
      </w:r>
      <w:r>
        <w:t xml:space="preserve">Proportional </w:t>
      </w:r>
      <w:r w:rsidR="00095695">
        <w:t xml:space="preserve">split </w:t>
      </w:r>
      <w:r>
        <w:t xml:space="preserve">of </w:t>
      </w:r>
      <w:r w:rsidRPr="00CD34AC">
        <w:t>participant</w:t>
      </w:r>
      <w:r>
        <w:t>s</w:t>
      </w:r>
      <w:r w:rsidRPr="00CD34AC">
        <w:t xml:space="preserve"> between existing and </w:t>
      </w:r>
      <w:r w:rsidR="00711D65">
        <w:t xml:space="preserve">future </w:t>
      </w:r>
      <w:r w:rsidRPr="00CD34AC">
        <w:t>participants</w:t>
      </w:r>
    </w:p>
    <w:tbl>
      <w:tblPr>
        <w:tblStyle w:val="TableGrid"/>
        <w:tblW w:w="9214" w:type="dxa"/>
        <w:tblInd w:w="-5" w:type="dxa"/>
        <w:tblLayout w:type="fixed"/>
        <w:tblLook w:val="04A0" w:firstRow="1" w:lastRow="0" w:firstColumn="1" w:lastColumn="0" w:noHBand="0" w:noVBand="1"/>
      </w:tblPr>
      <w:tblGrid>
        <w:gridCol w:w="3544"/>
        <w:gridCol w:w="1134"/>
        <w:gridCol w:w="992"/>
        <w:gridCol w:w="851"/>
        <w:gridCol w:w="992"/>
        <w:gridCol w:w="851"/>
        <w:gridCol w:w="850"/>
      </w:tblGrid>
      <w:tr w:rsidR="00373269" w14:paraId="07BA883B" w14:textId="77777777" w:rsidTr="00312E88">
        <w:trPr>
          <w:tblHeader/>
        </w:trPr>
        <w:tc>
          <w:tcPr>
            <w:tcW w:w="3544" w:type="dxa"/>
            <w:shd w:val="clear" w:color="auto" w:fill="6B2E76"/>
          </w:tcPr>
          <w:p w14:paraId="19FE503E" w14:textId="77777777" w:rsidR="00373269" w:rsidRPr="00531AF3" w:rsidRDefault="00373269" w:rsidP="00312E88">
            <w:pPr>
              <w:pStyle w:val="Tables"/>
              <w:rPr>
                <w:rFonts w:cs="Arial"/>
                <w:color w:val="FFFFFF" w:themeColor="background1"/>
                <w:sz w:val="15"/>
                <w:szCs w:val="15"/>
              </w:rPr>
            </w:pPr>
            <w:r w:rsidRPr="00531AF3">
              <w:rPr>
                <w:rFonts w:cs="Arial"/>
                <w:color w:val="FFFFFF" w:themeColor="background1"/>
                <w:sz w:val="15"/>
                <w:szCs w:val="15"/>
              </w:rPr>
              <w:t>Number of participants % as at 30 June</w:t>
            </w:r>
          </w:p>
        </w:tc>
        <w:tc>
          <w:tcPr>
            <w:tcW w:w="1134" w:type="dxa"/>
            <w:shd w:val="clear" w:color="auto" w:fill="6B2E76"/>
            <w:vAlign w:val="center"/>
          </w:tcPr>
          <w:p w14:paraId="4C591E7C" w14:textId="77777777" w:rsidR="00373269" w:rsidRPr="00531AF3" w:rsidRDefault="00373269" w:rsidP="00312E88">
            <w:pPr>
              <w:pStyle w:val="Tables"/>
              <w:jc w:val="center"/>
              <w:rPr>
                <w:rFonts w:cs="Arial"/>
                <w:color w:val="FFFFFF" w:themeColor="background1"/>
                <w:sz w:val="15"/>
                <w:szCs w:val="15"/>
              </w:rPr>
            </w:pPr>
            <w:r w:rsidRPr="00531AF3">
              <w:rPr>
                <w:rFonts w:cs="Arial"/>
                <w:color w:val="FFFFFF" w:themeColor="background1"/>
                <w:sz w:val="15"/>
                <w:szCs w:val="15"/>
              </w:rPr>
              <w:t>2021</w:t>
            </w:r>
          </w:p>
        </w:tc>
        <w:tc>
          <w:tcPr>
            <w:tcW w:w="992" w:type="dxa"/>
            <w:shd w:val="clear" w:color="auto" w:fill="6B2E76"/>
            <w:vAlign w:val="center"/>
          </w:tcPr>
          <w:p w14:paraId="11F34B39" w14:textId="77777777" w:rsidR="00373269" w:rsidRPr="00531AF3" w:rsidRDefault="00373269" w:rsidP="00312E88">
            <w:pPr>
              <w:pStyle w:val="Tables"/>
              <w:jc w:val="center"/>
              <w:rPr>
                <w:rFonts w:cs="Arial"/>
                <w:color w:val="FFFFFF" w:themeColor="background1"/>
                <w:sz w:val="15"/>
                <w:szCs w:val="15"/>
              </w:rPr>
            </w:pPr>
            <w:r w:rsidRPr="00531AF3">
              <w:rPr>
                <w:rFonts w:cs="Arial"/>
                <w:color w:val="FFFFFF" w:themeColor="background1"/>
                <w:sz w:val="15"/>
                <w:szCs w:val="15"/>
              </w:rPr>
              <w:t>2022</w:t>
            </w:r>
          </w:p>
        </w:tc>
        <w:tc>
          <w:tcPr>
            <w:tcW w:w="851" w:type="dxa"/>
            <w:shd w:val="clear" w:color="auto" w:fill="6B2E76"/>
            <w:vAlign w:val="center"/>
          </w:tcPr>
          <w:p w14:paraId="3D998AD2" w14:textId="77777777" w:rsidR="00373269" w:rsidRPr="00531AF3" w:rsidRDefault="00373269" w:rsidP="00312E88">
            <w:pPr>
              <w:pStyle w:val="Tables"/>
              <w:jc w:val="center"/>
              <w:rPr>
                <w:rFonts w:cs="Arial"/>
                <w:color w:val="FFFFFF" w:themeColor="background1"/>
                <w:sz w:val="15"/>
                <w:szCs w:val="15"/>
              </w:rPr>
            </w:pPr>
            <w:r w:rsidRPr="00531AF3">
              <w:rPr>
                <w:rFonts w:cs="Arial"/>
                <w:color w:val="FFFFFF" w:themeColor="background1"/>
                <w:sz w:val="15"/>
                <w:szCs w:val="15"/>
              </w:rPr>
              <w:t>2023</w:t>
            </w:r>
          </w:p>
        </w:tc>
        <w:tc>
          <w:tcPr>
            <w:tcW w:w="992" w:type="dxa"/>
            <w:shd w:val="clear" w:color="auto" w:fill="6B2E76"/>
            <w:vAlign w:val="center"/>
          </w:tcPr>
          <w:p w14:paraId="466F6E35" w14:textId="77777777" w:rsidR="00373269" w:rsidRPr="00531AF3" w:rsidRDefault="00373269" w:rsidP="00312E88">
            <w:pPr>
              <w:pStyle w:val="Tables"/>
              <w:jc w:val="center"/>
              <w:rPr>
                <w:rFonts w:cs="Arial"/>
                <w:color w:val="FFFFFF" w:themeColor="background1"/>
                <w:sz w:val="15"/>
                <w:szCs w:val="15"/>
              </w:rPr>
            </w:pPr>
            <w:r w:rsidRPr="00531AF3">
              <w:rPr>
                <w:rFonts w:cs="Arial"/>
                <w:color w:val="FFFFFF" w:themeColor="background1"/>
                <w:sz w:val="15"/>
                <w:szCs w:val="15"/>
              </w:rPr>
              <w:t>2024</w:t>
            </w:r>
          </w:p>
        </w:tc>
        <w:tc>
          <w:tcPr>
            <w:tcW w:w="851" w:type="dxa"/>
            <w:shd w:val="clear" w:color="auto" w:fill="6B2E76"/>
            <w:vAlign w:val="center"/>
          </w:tcPr>
          <w:p w14:paraId="3BE3D1E1" w14:textId="77777777" w:rsidR="00373269" w:rsidRPr="00531AF3" w:rsidRDefault="00373269" w:rsidP="00312E88">
            <w:pPr>
              <w:pStyle w:val="Tables"/>
              <w:jc w:val="center"/>
              <w:rPr>
                <w:rFonts w:cs="Arial"/>
                <w:color w:val="FFFFFF" w:themeColor="background1"/>
                <w:sz w:val="15"/>
                <w:szCs w:val="15"/>
              </w:rPr>
            </w:pPr>
            <w:r w:rsidRPr="00531AF3">
              <w:rPr>
                <w:rFonts w:cs="Arial"/>
                <w:color w:val="FFFFFF" w:themeColor="background1"/>
                <w:sz w:val="15"/>
                <w:szCs w:val="15"/>
              </w:rPr>
              <w:t>2025</w:t>
            </w:r>
          </w:p>
        </w:tc>
        <w:tc>
          <w:tcPr>
            <w:tcW w:w="850" w:type="dxa"/>
            <w:shd w:val="clear" w:color="auto" w:fill="6B2E76"/>
            <w:vAlign w:val="center"/>
          </w:tcPr>
          <w:p w14:paraId="2DF76A6C" w14:textId="77777777" w:rsidR="00373269" w:rsidRPr="00531AF3" w:rsidRDefault="00373269" w:rsidP="00312E88">
            <w:pPr>
              <w:pStyle w:val="Tables"/>
              <w:jc w:val="center"/>
              <w:rPr>
                <w:rFonts w:cs="Arial"/>
                <w:color w:val="FFFFFF" w:themeColor="background1"/>
                <w:sz w:val="15"/>
                <w:szCs w:val="15"/>
              </w:rPr>
            </w:pPr>
            <w:r w:rsidRPr="00531AF3">
              <w:rPr>
                <w:rFonts w:cs="Arial"/>
                <w:color w:val="FFFFFF" w:themeColor="background1"/>
                <w:sz w:val="15"/>
                <w:szCs w:val="15"/>
              </w:rPr>
              <w:t>2030</w:t>
            </w:r>
          </w:p>
        </w:tc>
      </w:tr>
      <w:tr w:rsidR="00373269" w14:paraId="3885270F" w14:textId="77777777" w:rsidTr="00312E88">
        <w:trPr>
          <w:trHeight w:hRule="exact" w:val="284"/>
        </w:trPr>
        <w:tc>
          <w:tcPr>
            <w:tcW w:w="3544" w:type="dxa"/>
          </w:tcPr>
          <w:p w14:paraId="1A08EE7E" w14:textId="10C146C6" w:rsidR="00373269" w:rsidRPr="00531AF3" w:rsidRDefault="00311C55" w:rsidP="00312E88">
            <w:pPr>
              <w:pStyle w:val="Tables"/>
              <w:rPr>
                <w:rFonts w:cs="Arial"/>
                <w:b w:val="0"/>
                <w:bCs w:val="0"/>
                <w:sz w:val="16"/>
                <w:szCs w:val="16"/>
              </w:rPr>
            </w:pPr>
            <w:r>
              <w:rPr>
                <w:rFonts w:cs="Arial"/>
                <w:b w:val="0"/>
                <w:bCs w:val="0"/>
                <w:sz w:val="16"/>
                <w:szCs w:val="16"/>
              </w:rPr>
              <w:t>Existing Scheme p</w:t>
            </w:r>
            <w:r w:rsidR="00373269" w:rsidRPr="00531AF3">
              <w:rPr>
                <w:rFonts w:cs="Arial"/>
                <w:b w:val="0"/>
                <w:bCs w:val="0"/>
                <w:sz w:val="16"/>
                <w:szCs w:val="16"/>
              </w:rPr>
              <w:t>articipant</w:t>
            </w:r>
            <w:r>
              <w:rPr>
                <w:rFonts w:cs="Arial"/>
                <w:b w:val="0"/>
                <w:bCs w:val="0"/>
                <w:sz w:val="16"/>
                <w:szCs w:val="16"/>
              </w:rPr>
              <w:t>s</w:t>
            </w:r>
          </w:p>
        </w:tc>
        <w:tc>
          <w:tcPr>
            <w:tcW w:w="1134" w:type="dxa"/>
          </w:tcPr>
          <w:p w14:paraId="63B20DF2"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100.0%</w:t>
            </w:r>
          </w:p>
        </w:tc>
        <w:tc>
          <w:tcPr>
            <w:tcW w:w="992" w:type="dxa"/>
          </w:tcPr>
          <w:p w14:paraId="40CDE344"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86.3%</w:t>
            </w:r>
          </w:p>
        </w:tc>
        <w:tc>
          <w:tcPr>
            <w:tcW w:w="851" w:type="dxa"/>
          </w:tcPr>
          <w:p w14:paraId="35948630"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76.0%</w:t>
            </w:r>
          </w:p>
        </w:tc>
        <w:tc>
          <w:tcPr>
            <w:tcW w:w="992" w:type="dxa"/>
          </w:tcPr>
          <w:p w14:paraId="1DECBB27"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68.7%</w:t>
            </w:r>
          </w:p>
        </w:tc>
        <w:tc>
          <w:tcPr>
            <w:tcW w:w="851" w:type="dxa"/>
          </w:tcPr>
          <w:p w14:paraId="1DD4873C"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62.7%</w:t>
            </w:r>
          </w:p>
        </w:tc>
        <w:tc>
          <w:tcPr>
            <w:tcW w:w="850" w:type="dxa"/>
          </w:tcPr>
          <w:p w14:paraId="7D54C7E2"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43.5%</w:t>
            </w:r>
          </w:p>
        </w:tc>
      </w:tr>
      <w:tr w:rsidR="00373269" w14:paraId="198F24D7" w14:textId="77777777" w:rsidTr="00312E88">
        <w:trPr>
          <w:trHeight w:hRule="exact" w:val="284"/>
        </w:trPr>
        <w:tc>
          <w:tcPr>
            <w:tcW w:w="3544" w:type="dxa"/>
            <w:shd w:val="clear" w:color="auto" w:fill="FFFFFF" w:themeFill="background1"/>
          </w:tcPr>
          <w:p w14:paraId="67382AF6"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Future participant intake</w:t>
            </w:r>
          </w:p>
        </w:tc>
        <w:tc>
          <w:tcPr>
            <w:tcW w:w="1134" w:type="dxa"/>
            <w:shd w:val="clear" w:color="auto" w:fill="FFFFFF" w:themeFill="background1"/>
          </w:tcPr>
          <w:p w14:paraId="70D50844"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0.0%</w:t>
            </w:r>
          </w:p>
        </w:tc>
        <w:tc>
          <w:tcPr>
            <w:tcW w:w="992" w:type="dxa"/>
            <w:shd w:val="clear" w:color="auto" w:fill="FFFFFF" w:themeFill="background1"/>
          </w:tcPr>
          <w:p w14:paraId="37AAFDEF"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13.7%</w:t>
            </w:r>
          </w:p>
        </w:tc>
        <w:tc>
          <w:tcPr>
            <w:tcW w:w="851" w:type="dxa"/>
            <w:shd w:val="clear" w:color="auto" w:fill="FFFFFF" w:themeFill="background1"/>
          </w:tcPr>
          <w:p w14:paraId="35DC7C96"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24.0%</w:t>
            </w:r>
          </w:p>
        </w:tc>
        <w:tc>
          <w:tcPr>
            <w:tcW w:w="992" w:type="dxa"/>
            <w:shd w:val="clear" w:color="auto" w:fill="FFFFFF" w:themeFill="background1"/>
          </w:tcPr>
          <w:p w14:paraId="66A45A43"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31.3%</w:t>
            </w:r>
          </w:p>
        </w:tc>
        <w:tc>
          <w:tcPr>
            <w:tcW w:w="851" w:type="dxa"/>
            <w:shd w:val="clear" w:color="auto" w:fill="FFFFFF" w:themeFill="background1"/>
          </w:tcPr>
          <w:p w14:paraId="4A279907"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37.3%</w:t>
            </w:r>
          </w:p>
        </w:tc>
        <w:tc>
          <w:tcPr>
            <w:tcW w:w="850" w:type="dxa"/>
            <w:shd w:val="clear" w:color="auto" w:fill="FFFFFF" w:themeFill="background1"/>
          </w:tcPr>
          <w:p w14:paraId="6C266F77" w14:textId="77777777" w:rsidR="00373269" w:rsidRPr="00531AF3" w:rsidRDefault="00373269" w:rsidP="00312E88">
            <w:pPr>
              <w:pStyle w:val="Tables"/>
              <w:rPr>
                <w:rFonts w:cs="Arial"/>
                <w:b w:val="0"/>
                <w:bCs w:val="0"/>
                <w:sz w:val="16"/>
                <w:szCs w:val="16"/>
              </w:rPr>
            </w:pPr>
            <w:r w:rsidRPr="00531AF3">
              <w:rPr>
                <w:rFonts w:cs="Arial"/>
                <w:b w:val="0"/>
                <w:bCs w:val="0"/>
                <w:sz w:val="16"/>
                <w:szCs w:val="16"/>
              </w:rPr>
              <w:t>56.5%</w:t>
            </w:r>
          </w:p>
        </w:tc>
      </w:tr>
      <w:tr w:rsidR="00373269" w14:paraId="046C70DD" w14:textId="77777777" w:rsidTr="00312E88">
        <w:trPr>
          <w:trHeight w:hRule="exact" w:val="284"/>
        </w:trPr>
        <w:tc>
          <w:tcPr>
            <w:tcW w:w="3544" w:type="dxa"/>
            <w:shd w:val="clear" w:color="auto" w:fill="FFFFFF" w:themeFill="background1"/>
          </w:tcPr>
          <w:p w14:paraId="23850248" w14:textId="77777777" w:rsidR="00373269" w:rsidRPr="00531AF3" w:rsidRDefault="00373269" w:rsidP="00312E88">
            <w:pPr>
              <w:rPr>
                <w:rFonts w:cs="Arial"/>
                <w:b/>
                <w:bCs/>
                <w:sz w:val="16"/>
                <w:szCs w:val="16"/>
              </w:rPr>
            </w:pPr>
            <w:r w:rsidRPr="00531AF3">
              <w:rPr>
                <w:rFonts w:cs="Arial"/>
                <w:b/>
                <w:bCs/>
                <w:sz w:val="16"/>
                <w:szCs w:val="16"/>
              </w:rPr>
              <w:t>Total Number of Participants</w:t>
            </w:r>
          </w:p>
        </w:tc>
        <w:tc>
          <w:tcPr>
            <w:tcW w:w="1134" w:type="dxa"/>
            <w:shd w:val="clear" w:color="auto" w:fill="FFFFFF" w:themeFill="background1"/>
          </w:tcPr>
          <w:p w14:paraId="40B54425" w14:textId="77777777" w:rsidR="00373269" w:rsidRPr="00531AF3" w:rsidRDefault="00373269" w:rsidP="00312E88">
            <w:pPr>
              <w:pStyle w:val="Tables"/>
              <w:rPr>
                <w:rFonts w:cs="Arial"/>
                <w:sz w:val="16"/>
                <w:szCs w:val="16"/>
              </w:rPr>
            </w:pPr>
            <w:r w:rsidRPr="00531AF3">
              <w:rPr>
                <w:rFonts w:cs="Arial"/>
                <w:sz w:val="16"/>
                <w:szCs w:val="16"/>
              </w:rPr>
              <w:t>100.0%</w:t>
            </w:r>
          </w:p>
        </w:tc>
        <w:tc>
          <w:tcPr>
            <w:tcW w:w="992" w:type="dxa"/>
            <w:shd w:val="clear" w:color="auto" w:fill="FFFFFF" w:themeFill="background1"/>
          </w:tcPr>
          <w:p w14:paraId="05041DEE" w14:textId="77777777" w:rsidR="00373269" w:rsidRPr="00531AF3" w:rsidRDefault="00373269" w:rsidP="00312E88">
            <w:pPr>
              <w:pStyle w:val="Tables"/>
              <w:rPr>
                <w:rFonts w:cs="Arial"/>
                <w:sz w:val="16"/>
                <w:szCs w:val="16"/>
              </w:rPr>
            </w:pPr>
            <w:r w:rsidRPr="00531AF3">
              <w:rPr>
                <w:rFonts w:cs="Arial"/>
                <w:sz w:val="16"/>
                <w:szCs w:val="16"/>
              </w:rPr>
              <w:t>100.0%</w:t>
            </w:r>
          </w:p>
        </w:tc>
        <w:tc>
          <w:tcPr>
            <w:tcW w:w="851" w:type="dxa"/>
            <w:shd w:val="clear" w:color="auto" w:fill="FFFFFF" w:themeFill="background1"/>
          </w:tcPr>
          <w:p w14:paraId="09FCE8D0" w14:textId="77777777" w:rsidR="00373269" w:rsidRPr="00531AF3" w:rsidRDefault="00373269" w:rsidP="00312E88">
            <w:pPr>
              <w:pStyle w:val="Tables"/>
              <w:rPr>
                <w:rFonts w:cs="Arial"/>
                <w:sz w:val="16"/>
                <w:szCs w:val="16"/>
              </w:rPr>
            </w:pPr>
            <w:r w:rsidRPr="00531AF3">
              <w:rPr>
                <w:rFonts w:cs="Arial"/>
                <w:sz w:val="16"/>
                <w:szCs w:val="16"/>
              </w:rPr>
              <w:t>100.0%</w:t>
            </w:r>
          </w:p>
        </w:tc>
        <w:tc>
          <w:tcPr>
            <w:tcW w:w="992" w:type="dxa"/>
            <w:shd w:val="clear" w:color="auto" w:fill="FFFFFF" w:themeFill="background1"/>
          </w:tcPr>
          <w:p w14:paraId="467C33A0" w14:textId="77777777" w:rsidR="00373269" w:rsidRPr="00531AF3" w:rsidRDefault="00373269" w:rsidP="00312E88">
            <w:pPr>
              <w:pStyle w:val="Tables"/>
              <w:rPr>
                <w:rFonts w:cs="Arial"/>
                <w:sz w:val="16"/>
                <w:szCs w:val="16"/>
              </w:rPr>
            </w:pPr>
            <w:r w:rsidRPr="00531AF3">
              <w:rPr>
                <w:rFonts w:cs="Arial"/>
                <w:sz w:val="16"/>
                <w:szCs w:val="16"/>
              </w:rPr>
              <w:t>100.0%</w:t>
            </w:r>
          </w:p>
        </w:tc>
        <w:tc>
          <w:tcPr>
            <w:tcW w:w="851" w:type="dxa"/>
            <w:shd w:val="clear" w:color="auto" w:fill="FFFFFF" w:themeFill="background1"/>
          </w:tcPr>
          <w:p w14:paraId="25D56694" w14:textId="77777777" w:rsidR="00373269" w:rsidRPr="00531AF3" w:rsidRDefault="00373269" w:rsidP="00312E88">
            <w:pPr>
              <w:pStyle w:val="Tables"/>
              <w:rPr>
                <w:rFonts w:cs="Arial"/>
                <w:sz w:val="16"/>
                <w:szCs w:val="16"/>
              </w:rPr>
            </w:pPr>
            <w:r w:rsidRPr="00531AF3">
              <w:rPr>
                <w:rFonts w:cs="Arial"/>
                <w:sz w:val="16"/>
                <w:szCs w:val="16"/>
              </w:rPr>
              <w:t>100.0%</w:t>
            </w:r>
          </w:p>
        </w:tc>
        <w:tc>
          <w:tcPr>
            <w:tcW w:w="850" w:type="dxa"/>
            <w:shd w:val="clear" w:color="auto" w:fill="FFFFFF" w:themeFill="background1"/>
          </w:tcPr>
          <w:p w14:paraId="06CD135C" w14:textId="77777777" w:rsidR="00373269" w:rsidRPr="00531AF3" w:rsidRDefault="00373269" w:rsidP="00312E88">
            <w:pPr>
              <w:pStyle w:val="Tables"/>
              <w:rPr>
                <w:rFonts w:cs="Arial"/>
                <w:sz w:val="16"/>
                <w:szCs w:val="16"/>
              </w:rPr>
            </w:pPr>
            <w:r w:rsidRPr="00531AF3">
              <w:rPr>
                <w:rFonts w:cs="Arial"/>
                <w:sz w:val="16"/>
                <w:szCs w:val="16"/>
              </w:rPr>
              <w:t>100.0%</w:t>
            </w:r>
          </w:p>
        </w:tc>
      </w:tr>
    </w:tbl>
    <w:p w14:paraId="467B35AF" w14:textId="6CE8D748" w:rsidR="00CD34AC" w:rsidRDefault="00CD34AC" w:rsidP="00CD34AC">
      <w:pPr>
        <w:pStyle w:val="FSRHeading4"/>
      </w:pPr>
      <w:r>
        <w:t>Participant costs projection</w:t>
      </w:r>
    </w:p>
    <w:p w14:paraId="044328FE" w14:textId="234E6781" w:rsidR="00CD34AC" w:rsidRPr="000630E7" w:rsidRDefault="00CD34AC" w:rsidP="00CD34AC">
      <w:pPr>
        <w:pStyle w:val="FSRnormal"/>
      </w:pPr>
      <w:r>
        <w:t xml:space="preserve">Projected </w:t>
      </w:r>
      <w:r w:rsidRPr="000630E7">
        <w:t>participant costs on an accrual basis are $29.2 billion in 2021-22, increasing to $59.3 billion in 2029-30. This is equivalent to 1.37% of GDP in 2021-22 and 1.95% of GDP in 2029-30</w:t>
      </w:r>
      <w:r w:rsidR="00AC6ACF">
        <w:t xml:space="preserve"> (</w:t>
      </w:r>
      <w:r w:rsidR="00AC6ACF" w:rsidRPr="00373269">
        <w:rPr>
          <w:u w:val="single"/>
        </w:rPr>
        <w:fldChar w:fldCharType="begin"/>
      </w:r>
      <w:r w:rsidR="00AC6ACF" w:rsidRPr="00373269">
        <w:rPr>
          <w:u w:val="single"/>
        </w:rPr>
        <w:instrText xml:space="preserve"> REF _Ref80783106 \h </w:instrText>
      </w:r>
      <w:r w:rsidR="00373269">
        <w:rPr>
          <w:u w:val="single"/>
        </w:rPr>
        <w:instrText xml:space="preserve"> \* MERGEFORMAT </w:instrText>
      </w:r>
      <w:r w:rsidR="00AC6ACF" w:rsidRPr="00373269">
        <w:rPr>
          <w:u w:val="single"/>
        </w:rPr>
      </w:r>
      <w:r w:rsidR="00AC6ACF" w:rsidRPr="00373269">
        <w:rPr>
          <w:u w:val="single"/>
        </w:rPr>
        <w:fldChar w:fldCharType="separate"/>
      </w:r>
      <w:r w:rsidR="00E50032" w:rsidRPr="00E50032">
        <w:rPr>
          <w:u w:val="single"/>
        </w:rPr>
        <w:t xml:space="preserve">Table </w:t>
      </w:r>
      <w:r w:rsidR="00E50032" w:rsidRPr="00E50032">
        <w:rPr>
          <w:noProof/>
          <w:u w:val="single"/>
        </w:rPr>
        <w:t>18</w:t>
      </w:r>
      <w:r w:rsidR="00AC6ACF" w:rsidRPr="00373269">
        <w:rPr>
          <w:u w:val="single"/>
        </w:rPr>
        <w:fldChar w:fldCharType="end"/>
      </w:r>
      <w:r w:rsidR="00AC6ACF">
        <w:t>)</w:t>
      </w:r>
      <w:r w:rsidRPr="000630E7">
        <w:t>.</w:t>
      </w:r>
    </w:p>
    <w:p w14:paraId="05A12B19" w14:textId="27EFEA04" w:rsidR="00CD34AC" w:rsidRPr="00EA3AA2" w:rsidRDefault="00CD34AC" w:rsidP="00CD34AC">
      <w:pPr>
        <w:pStyle w:val="Tables"/>
        <w:rPr>
          <w:iCs/>
        </w:rPr>
      </w:pPr>
      <w:bookmarkStart w:id="174" w:name="_Ref80783106"/>
      <w:r w:rsidRPr="000630E7">
        <w:t xml:space="preserve">Table </w:t>
      </w:r>
      <w:fldSimple w:instr=" SEQ Table \* ARABIC ">
        <w:r w:rsidR="00E50032">
          <w:rPr>
            <w:noProof/>
          </w:rPr>
          <w:t>18</w:t>
        </w:r>
      </w:fldSimple>
      <w:bookmarkEnd w:id="174"/>
      <w:r w:rsidRPr="000630E7">
        <w:t xml:space="preserve"> Baseline projection of participant costs (and comparison to GDP)</w:t>
      </w:r>
      <w:r w:rsidRPr="00EA3AA2">
        <w:t xml:space="preserve"> </w:t>
      </w:r>
    </w:p>
    <w:tbl>
      <w:tblPr>
        <w:tblStyle w:val="TableGrid"/>
        <w:tblW w:w="8364" w:type="dxa"/>
        <w:tblInd w:w="-5" w:type="dxa"/>
        <w:tblLayout w:type="fixed"/>
        <w:tblLook w:val="04A0" w:firstRow="1" w:lastRow="0" w:firstColumn="1" w:lastColumn="0" w:noHBand="0" w:noVBand="1"/>
      </w:tblPr>
      <w:tblGrid>
        <w:gridCol w:w="3544"/>
        <w:gridCol w:w="1134"/>
        <w:gridCol w:w="992"/>
        <w:gridCol w:w="851"/>
        <w:gridCol w:w="992"/>
        <w:gridCol w:w="851"/>
      </w:tblGrid>
      <w:tr w:rsidR="008C1877" w14:paraId="12411E4C" w14:textId="77777777" w:rsidTr="00312E88">
        <w:trPr>
          <w:tblHeader/>
        </w:trPr>
        <w:tc>
          <w:tcPr>
            <w:tcW w:w="3544" w:type="dxa"/>
            <w:shd w:val="clear" w:color="auto" w:fill="6B2E76"/>
          </w:tcPr>
          <w:p w14:paraId="0C9520CB" w14:textId="77777777" w:rsidR="008C1877" w:rsidRPr="00531AF3" w:rsidRDefault="008C1877" w:rsidP="00312E88">
            <w:pPr>
              <w:pStyle w:val="Tables"/>
              <w:rPr>
                <w:rFonts w:cs="Arial"/>
                <w:color w:val="FFFFFF" w:themeColor="background1"/>
                <w:sz w:val="15"/>
                <w:szCs w:val="15"/>
              </w:rPr>
            </w:pPr>
            <w:r w:rsidRPr="00531AF3">
              <w:rPr>
                <w:rFonts w:cs="Arial"/>
                <w:color w:val="FFFFFF" w:themeColor="background1"/>
                <w:sz w:val="15"/>
                <w:szCs w:val="15"/>
              </w:rPr>
              <w:t>Participant Costs ($m)</w:t>
            </w:r>
          </w:p>
        </w:tc>
        <w:tc>
          <w:tcPr>
            <w:tcW w:w="1134" w:type="dxa"/>
            <w:shd w:val="clear" w:color="auto" w:fill="6B2E76"/>
            <w:vAlign w:val="center"/>
          </w:tcPr>
          <w:p w14:paraId="5017C79D" w14:textId="77777777" w:rsidR="008C1877" w:rsidRPr="00531AF3" w:rsidRDefault="008C1877" w:rsidP="00312E88">
            <w:pPr>
              <w:pStyle w:val="Tables"/>
              <w:jc w:val="center"/>
              <w:rPr>
                <w:rFonts w:cs="Arial"/>
                <w:color w:val="FFFFFF" w:themeColor="background1"/>
                <w:sz w:val="15"/>
                <w:szCs w:val="15"/>
              </w:rPr>
            </w:pPr>
            <w:r w:rsidRPr="00531AF3">
              <w:rPr>
                <w:rFonts w:cs="Arial"/>
                <w:color w:val="FFFFFF" w:themeColor="background1"/>
                <w:sz w:val="15"/>
                <w:szCs w:val="15"/>
              </w:rPr>
              <w:t>2021-22</w:t>
            </w:r>
          </w:p>
        </w:tc>
        <w:tc>
          <w:tcPr>
            <w:tcW w:w="992" w:type="dxa"/>
            <w:shd w:val="clear" w:color="auto" w:fill="6B2E76"/>
            <w:vAlign w:val="center"/>
          </w:tcPr>
          <w:p w14:paraId="3B51B0E5" w14:textId="77777777" w:rsidR="008C1877" w:rsidRPr="00531AF3" w:rsidRDefault="008C1877" w:rsidP="00312E88">
            <w:pPr>
              <w:pStyle w:val="Tables"/>
              <w:jc w:val="center"/>
              <w:rPr>
                <w:rFonts w:cs="Arial"/>
                <w:color w:val="FFFFFF" w:themeColor="background1"/>
                <w:sz w:val="15"/>
                <w:szCs w:val="15"/>
              </w:rPr>
            </w:pPr>
            <w:r w:rsidRPr="00531AF3">
              <w:rPr>
                <w:rFonts w:cs="Arial"/>
                <w:color w:val="FFFFFF" w:themeColor="background1"/>
                <w:sz w:val="15"/>
                <w:szCs w:val="15"/>
              </w:rPr>
              <w:t>2022-23</w:t>
            </w:r>
          </w:p>
        </w:tc>
        <w:tc>
          <w:tcPr>
            <w:tcW w:w="851" w:type="dxa"/>
            <w:shd w:val="clear" w:color="auto" w:fill="6B2E76"/>
            <w:vAlign w:val="center"/>
          </w:tcPr>
          <w:p w14:paraId="47FC1962" w14:textId="77777777" w:rsidR="008C1877" w:rsidRPr="00531AF3" w:rsidRDefault="008C1877" w:rsidP="00312E88">
            <w:pPr>
              <w:pStyle w:val="Tables"/>
              <w:jc w:val="center"/>
              <w:rPr>
                <w:rFonts w:cs="Arial"/>
                <w:color w:val="FFFFFF" w:themeColor="background1"/>
                <w:sz w:val="15"/>
                <w:szCs w:val="15"/>
              </w:rPr>
            </w:pPr>
            <w:r w:rsidRPr="00531AF3">
              <w:rPr>
                <w:rFonts w:cs="Arial"/>
                <w:color w:val="FFFFFF" w:themeColor="background1"/>
                <w:sz w:val="15"/>
                <w:szCs w:val="15"/>
              </w:rPr>
              <w:t>2023-24</w:t>
            </w:r>
          </w:p>
        </w:tc>
        <w:tc>
          <w:tcPr>
            <w:tcW w:w="992" w:type="dxa"/>
            <w:shd w:val="clear" w:color="auto" w:fill="6B2E76"/>
            <w:vAlign w:val="center"/>
          </w:tcPr>
          <w:p w14:paraId="2D66966D" w14:textId="77777777" w:rsidR="008C1877" w:rsidRPr="00531AF3" w:rsidRDefault="008C1877" w:rsidP="00312E88">
            <w:pPr>
              <w:pStyle w:val="Tables"/>
              <w:jc w:val="center"/>
              <w:rPr>
                <w:rFonts w:cs="Arial"/>
                <w:color w:val="FFFFFF" w:themeColor="background1"/>
                <w:sz w:val="15"/>
                <w:szCs w:val="15"/>
              </w:rPr>
            </w:pPr>
            <w:r w:rsidRPr="00531AF3">
              <w:rPr>
                <w:rFonts w:cs="Arial"/>
                <w:color w:val="FFFFFF" w:themeColor="background1"/>
                <w:sz w:val="15"/>
                <w:szCs w:val="15"/>
              </w:rPr>
              <w:t>2024-25</w:t>
            </w:r>
          </w:p>
        </w:tc>
        <w:tc>
          <w:tcPr>
            <w:tcW w:w="851" w:type="dxa"/>
            <w:shd w:val="clear" w:color="auto" w:fill="6B2E76"/>
            <w:vAlign w:val="center"/>
          </w:tcPr>
          <w:p w14:paraId="53A5948F" w14:textId="77777777" w:rsidR="008C1877" w:rsidRPr="00531AF3" w:rsidRDefault="008C1877" w:rsidP="00312E88">
            <w:pPr>
              <w:pStyle w:val="Tables"/>
              <w:jc w:val="center"/>
              <w:rPr>
                <w:rFonts w:cs="Arial"/>
                <w:color w:val="FFFFFF" w:themeColor="background1"/>
                <w:sz w:val="15"/>
                <w:szCs w:val="15"/>
              </w:rPr>
            </w:pPr>
            <w:r w:rsidRPr="00531AF3">
              <w:rPr>
                <w:rFonts w:cs="Arial"/>
                <w:color w:val="FFFFFF" w:themeColor="background1"/>
                <w:sz w:val="15"/>
                <w:szCs w:val="15"/>
              </w:rPr>
              <w:t>2029-30</w:t>
            </w:r>
          </w:p>
        </w:tc>
      </w:tr>
      <w:tr w:rsidR="008C1877" w14:paraId="60C7A8A1" w14:textId="77777777" w:rsidTr="00312E88">
        <w:trPr>
          <w:trHeight w:hRule="exact" w:val="284"/>
        </w:trPr>
        <w:tc>
          <w:tcPr>
            <w:tcW w:w="3544" w:type="dxa"/>
            <w:shd w:val="clear" w:color="auto" w:fill="EDEDED"/>
          </w:tcPr>
          <w:p w14:paraId="6734161C" w14:textId="77777777" w:rsidR="008C1877" w:rsidRPr="00531AF3" w:rsidRDefault="008C1877" w:rsidP="00312E88">
            <w:pPr>
              <w:pStyle w:val="Tables"/>
              <w:rPr>
                <w:rFonts w:cs="Arial"/>
                <w:sz w:val="16"/>
                <w:szCs w:val="16"/>
              </w:rPr>
            </w:pPr>
            <w:r w:rsidRPr="00531AF3">
              <w:rPr>
                <w:rFonts w:cs="Arial"/>
                <w:sz w:val="16"/>
                <w:szCs w:val="16"/>
              </w:rPr>
              <w:t>Participant Costs (cash basis)</w:t>
            </w:r>
          </w:p>
        </w:tc>
        <w:tc>
          <w:tcPr>
            <w:tcW w:w="4820" w:type="dxa"/>
            <w:gridSpan w:val="5"/>
            <w:shd w:val="clear" w:color="auto" w:fill="EDEDED"/>
          </w:tcPr>
          <w:p w14:paraId="54411B78" w14:textId="77777777" w:rsidR="008C1877" w:rsidRPr="00531AF3" w:rsidRDefault="008C1877" w:rsidP="00312E88">
            <w:pPr>
              <w:pStyle w:val="Tables"/>
              <w:rPr>
                <w:rFonts w:cs="Arial"/>
                <w:b w:val="0"/>
                <w:bCs w:val="0"/>
                <w:sz w:val="16"/>
                <w:szCs w:val="16"/>
              </w:rPr>
            </w:pPr>
          </w:p>
        </w:tc>
      </w:tr>
      <w:tr w:rsidR="008C1877" w14:paraId="4FFCBF34" w14:textId="77777777" w:rsidTr="00312E88">
        <w:trPr>
          <w:trHeight w:hRule="exact" w:val="284"/>
        </w:trPr>
        <w:tc>
          <w:tcPr>
            <w:tcW w:w="3544" w:type="dxa"/>
            <w:shd w:val="clear" w:color="auto" w:fill="FFFFFF" w:themeFill="background1"/>
          </w:tcPr>
          <w:p w14:paraId="669D00C0"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Participant Costs (0-64)</w:t>
            </w:r>
          </w:p>
        </w:tc>
        <w:tc>
          <w:tcPr>
            <w:tcW w:w="1134" w:type="dxa"/>
            <w:shd w:val="clear" w:color="auto" w:fill="FFFFFF" w:themeFill="background1"/>
          </w:tcPr>
          <w:p w14:paraId="3032C4E8"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26,994</w:t>
            </w:r>
          </w:p>
        </w:tc>
        <w:tc>
          <w:tcPr>
            <w:tcW w:w="992" w:type="dxa"/>
            <w:shd w:val="clear" w:color="auto" w:fill="FFFFFF" w:themeFill="background1"/>
          </w:tcPr>
          <w:p w14:paraId="26B8B520"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30,965</w:t>
            </w:r>
          </w:p>
        </w:tc>
        <w:tc>
          <w:tcPr>
            <w:tcW w:w="851" w:type="dxa"/>
            <w:shd w:val="clear" w:color="auto" w:fill="FFFFFF" w:themeFill="background1"/>
          </w:tcPr>
          <w:p w14:paraId="170952FC"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34,345</w:t>
            </w:r>
          </w:p>
        </w:tc>
        <w:tc>
          <w:tcPr>
            <w:tcW w:w="992" w:type="dxa"/>
            <w:shd w:val="clear" w:color="auto" w:fill="FFFFFF" w:themeFill="background1"/>
          </w:tcPr>
          <w:p w14:paraId="5BC15687"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37,067</w:t>
            </w:r>
          </w:p>
        </w:tc>
        <w:tc>
          <w:tcPr>
            <w:tcW w:w="851" w:type="dxa"/>
            <w:shd w:val="clear" w:color="auto" w:fill="FFFFFF" w:themeFill="background1"/>
          </w:tcPr>
          <w:p w14:paraId="23214FBD"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51,471</w:t>
            </w:r>
          </w:p>
        </w:tc>
      </w:tr>
      <w:tr w:rsidR="008C1877" w14:paraId="568F3140" w14:textId="77777777" w:rsidTr="00312E88">
        <w:trPr>
          <w:trHeight w:hRule="exact" w:val="284"/>
        </w:trPr>
        <w:tc>
          <w:tcPr>
            <w:tcW w:w="3544" w:type="dxa"/>
            <w:shd w:val="clear" w:color="auto" w:fill="FFFFFF" w:themeFill="background1"/>
          </w:tcPr>
          <w:p w14:paraId="2E401AEA"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Participant Costs (65+)</w:t>
            </w:r>
          </w:p>
        </w:tc>
        <w:tc>
          <w:tcPr>
            <w:tcW w:w="1134" w:type="dxa"/>
            <w:shd w:val="clear" w:color="auto" w:fill="FFFFFF" w:themeFill="background1"/>
          </w:tcPr>
          <w:p w14:paraId="6C55417F"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1,837</w:t>
            </w:r>
          </w:p>
        </w:tc>
        <w:tc>
          <w:tcPr>
            <w:tcW w:w="992" w:type="dxa"/>
            <w:shd w:val="clear" w:color="auto" w:fill="FFFFFF" w:themeFill="background1"/>
          </w:tcPr>
          <w:p w14:paraId="1DBE91B6"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2,464</w:t>
            </w:r>
          </w:p>
        </w:tc>
        <w:tc>
          <w:tcPr>
            <w:tcW w:w="851" w:type="dxa"/>
            <w:shd w:val="clear" w:color="auto" w:fill="FFFFFF" w:themeFill="background1"/>
          </w:tcPr>
          <w:p w14:paraId="32E8AE3D"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3,114</w:t>
            </w:r>
          </w:p>
        </w:tc>
        <w:tc>
          <w:tcPr>
            <w:tcW w:w="992" w:type="dxa"/>
            <w:shd w:val="clear" w:color="auto" w:fill="FFFFFF" w:themeFill="background1"/>
          </w:tcPr>
          <w:p w14:paraId="237119B4"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3,748</w:t>
            </w:r>
          </w:p>
        </w:tc>
        <w:tc>
          <w:tcPr>
            <w:tcW w:w="851" w:type="dxa"/>
            <w:shd w:val="clear" w:color="auto" w:fill="FFFFFF" w:themeFill="background1"/>
          </w:tcPr>
          <w:p w14:paraId="44F3C311"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7,012</w:t>
            </w:r>
          </w:p>
        </w:tc>
      </w:tr>
      <w:tr w:rsidR="008C1877" w14:paraId="44E75DCF" w14:textId="77777777" w:rsidTr="00312E88">
        <w:trPr>
          <w:trHeight w:hRule="exact" w:val="284"/>
        </w:trPr>
        <w:tc>
          <w:tcPr>
            <w:tcW w:w="3544" w:type="dxa"/>
            <w:shd w:val="clear" w:color="auto" w:fill="FFFFFF" w:themeFill="background1"/>
          </w:tcPr>
          <w:p w14:paraId="4E61486E" w14:textId="77777777" w:rsidR="008C1877" w:rsidRPr="00531AF3" w:rsidRDefault="008C1877" w:rsidP="00312E88">
            <w:pPr>
              <w:rPr>
                <w:rFonts w:cs="Arial"/>
                <w:b/>
                <w:bCs/>
                <w:sz w:val="16"/>
                <w:szCs w:val="16"/>
              </w:rPr>
            </w:pPr>
            <w:r w:rsidRPr="00531AF3">
              <w:rPr>
                <w:rFonts w:cs="Arial"/>
                <w:b/>
                <w:bCs/>
                <w:sz w:val="16"/>
                <w:szCs w:val="16"/>
              </w:rPr>
              <w:t>Total Participant Costs (cash basis)</w:t>
            </w:r>
          </w:p>
        </w:tc>
        <w:tc>
          <w:tcPr>
            <w:tcW w:w="1134" w:type="dxa"/>
            <w:shd w:val="clear" w:color="auto" w:fill="FFFFFF" w:themeFill="background1"/>
          </w:tcPr>
          <w:p w14:paraId="0524782F" w14:textId="77777777" w:rsidR="008C1877" w:rsidRPr="00531AF3" w:rsidRDefault="008C1877" w:rsidP="00312E88">
            <w:pPr>
              <w:pStyle w:val="Tables"/>
              <w:rPr>
                <w:rFonts w:cs="Arial"/>
                <w:sz w:val="16"/>
                <w:szCs w:val="16"/>
              </w:rPr>
            </w:pPr>
            <w:r w:rsidRPr="00531AF3">
              <w:rPr>
                <w:rFonts w:cs="Arial"/>
                <w:sz w:val="16"/>
                <w:szCs w:val="16"/>
              </w:rPr>
              <w:t>28,831</w:t>
            </w:r>
          </w:p>
        </w:tc>
        <w:tc>
          <w:tcPr>
            <w:tcW w:w="992" w:type="dxa"/>
            <w:shd w:val="clear" w:color="auto" w:fill="FFFFFF" w:themeFill="background1"/>
          </w:tcPr>
          <w:p w14:paraId="63235CD8" w14:textId="77777777" w:rsidR="008C1877" w:rsidRPr="00531AF3" w:rsidRDefault="008C1877" w:rsidP="00312E88">
            <w:pPr>
              <w:pStyle w:val="Tables"/>
              <w:rPr>
                <w:rFonts w:cs="Arial"/>
                <w:sz w:val="16"/>
                <w:szCs w:val="16"/>
              </w:rPr>
            </w:pPr>
            <w:r w:rsidRPr="00531AF3">
              <w:rPr>
                <w:rFonts w:cs="Arial"/>
                <w:sz w:val="16"/>
                <w:szCs w:val="16"/>
              </w:rPr>
              <w:t>33,429</w:t>
            </w:r>
          </w:p>
        </w:tc>
        <w:tc>
          <w:tcPr>
            <w:tcW w:w="851" w:type="dxa"/>
            <w:shd w:val="clear" w:color="auto" w:fill="FFFFFF" w:themeFill="background1"/>
          </w:tcPr>
          <w:p w14:paraId="5EADA608" w14:textId="77777777" w:rsidR="008C1877" w:rsidRPr="00531AF3" w:rsidRDefault="008C1877" w:rsidP="00312E88">
            <w:pPr>
              <w:pStyle w:val="Tables"/>
              <w:rPr>
                <w:rFonts w:cs="Arial"/>
                <w:sz w:val="16"/>
                <w:szCs w:val="16"/>
              </w:rPr>
            </w:pPr>
            <w:r w:rsidRPr="00531AF3">
              <w:rPr>
                <w:rFonts w:cs="Arial"/>
                <w:sz w:val="16"/>
                <w:szCs w:val="16"/>
              </w:rPr>
              <w:t>37,459</w:t>
            </w:r>
          </w:p>
        </w:tc>
        <w:tc>
          <w:tcPr>
            <w:tcW w:w="992" w:type="dxa"/>
            <w:shd w:val="clear" w:color="auto" w:fill="FFFFFF" w:themeFill="background1"/>
          </w:tcPr>
          <w:p w14:paraId="46C75965" w14:textId="77777777" w:rsidR="008C1877" w:rsidRPr="00531AF3" w:rsidRDefault="008C1877" w:rsidP="00312E88">
            <w:pPr>
              <w:pStyle w:val="Tables"/>
              <w:rPr>
                <w:rFonts w:cs="Arial"/>
                <w:sz w:val="16"/>
                <w:szCs w:val="16"/>
              </w:rPr>
            </w:pPr>
            <w:r w:rsidRPr="00531AF3">
              <w:rPr>
                <w:rFonts w:cs="Arial"/>
                <w:sz w:val="16"/>
                <w:szCs w:val="16"/>
              </w:rPr>
              <w:t>40,814</w:t>
            </w:r>
          </w:p>
        </w:tc>
        <w:tc>
          <w:tcPr>
            <w:tcW w:w="851" w:type="dxa"/>
            <w:shd w:val="clear" w:color="auto" w:fill="FFFFFF" w:themeFill="background1"/>
          </w:tcPr>
          <w:p w14:paraId="68BD6562" w14:textId="77777777" w:rsidR="008C1877" w:rsidRPr="00531AF3" w:rsidRDefault="008C1877" w:rsidP="00312E88">
            <w:pPr>
              <w:pStyle w:val="Tables"/>
              <w:rPr>
                <w:rFonts w:cs="Arial"/>
                <w:sz w:val="16"/>
                <w:szCs w:val="16"/>
              </w:rPr>
            </w:pPr>
            <w:r w:rsidRPr="00531AF3">
              <w:rPr>
                <w:rFonts w:cs="Arial"/>
                <w:sz w:val="16"/>
                <w:szCs w:val="16"/>
              </w:rPr>
              <w:t>58,483</w:t>
            </w:r>
          </w:p>
        </w:tc>
      </w:tr>
      <w:tr w:rsidR="008C1877" w14:paraId="60308796" w14:textId="77777777" w:rsidTr="00312E88">
        <w:trPr>
          <w:trHeight w:hRule="exact" w:val="284"/>
        </w:trPr>
        <w:tc>
          <w:tcPr>
            <w:tcW w:w="3544" w:type="dxa"/>
            <w:shd w:val="clear" w:color="auto" w:fill="EDEDED"/>
          </w:tcPr>
          <w:p w14:paraId="7B0695AD" w14:textId="77777777" w:rsidR="008C1877" w:rsidRPr="00531AF3" w:rsidRDefault="008C1877" w:rsidP="00312E88">
            <w:pPr>
              <w:rPr>
                <w:rFonts w:cs="Arial"/>
                <w:b/>
                <w:bCs/>
                <w:sz w:val="16"/>
                <w:szCs w:val="16"/>
              </w:rPr>
            </w:pPr>
            <w:r w:rsidRPr="00531AF3">
              <w:rPr>
                <w:rFonts w:cs="Arial"/>
                <w:b/>
                <w:bCs/>
                <w:sz w:val="16"/>
                <w:szCs w:val="16"/>
              </w:rPr>
              <w:t>Participant Costs (accrual basis)</w:t>
            </w:r>
          </w:p>
        </w:tc>
        <w:tc>
          <w:tcPr>
            <w:tcW w:w="4820" w:type="dxa"/>
            <w:gridSpan w:val="5"/>
            <w:shd w:val="clear" w:color="auto" w:fill="EDEDED"/>
          </w:tcPr>
          <w:p w14:paraId="46A918FD" w14:textId="77777777" w:rsidR="008C1877" w:rsidRPr="00531AF3" w:rsidRDefault="008C1877" w:rsidP="00312E88">
            <w:pPr>
              <w:pStyle w:val="Tables"/>
              <w:rPr>
                <w:rFonts w:cs="Arial"/>
                <w:sz w:val="16"/>
                <w:szCs w:val="16"/>
              </w:rPr>
            </w:pPr>
          </w:p>
        </w:tc>
      </w:tr>
      <w:tr w:rsidR="008C1877" w14:paraId="27C74E02" w14:textId="77777777" w:rsidTr="00312E88">
        <w:trPr>
          <w:trHeight w:hRule="exact" w:val="284"/>
        </w:trPr>
        <w:tc>
          <w:tcPr>
            <w:tcW w:w="3544" w:type="dxa"/>
            <w:shd w:val="clear" w:color="auto" w:fill="FFFFFF" w:themeFill="background1"/>
          </w:tcPr>
          <w:p w14:paraId="40CE71FD" w14:textId="77777777" w:rsidR="008C1877" w:rsidRPr="00531AF3" w:rsidRDefault="008C1877" w:rsidP="00312E88">
            <w:pPr>
              <w:rPr>
                <w:rFonts w:cs="Arial"/>
                <w:sz w:val="16"/>
                <w:szCs w:val="16"/>
              </w:rPr>
            </w:pPr>
            <w:r w:rsidRPr="00531AF3">
              <w:rPr>
                <w:rFonts w:cs="Arial"/>
                <w:sz w:val="16"/>
                <w:szCs w:val="16"/>
              </w:rPr>
              <w:t>Participant Costs (0-64)</w:t>
            </w:r>
          </w:p>
        </w:tc>
        <w:tc>
          <w:tcPr>
            <w:tcW w:w="1134" w:type="dxa"/>
            <w:shd w:val="clear" w:color="auto" w:fill="FFFFFF" w:themeFill="background1"/>
          </w:tcPr>
          <w:p w14:paraId="4AF7D159"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27,359</w:t>
            </w:r>
          </w:p>
        </w:tc>
        <w:tc>
          <w:tcPr>
            <w:tcW w:w="992" w:type="dxa"/>
            <w:shd w:val="clear" w:color="auto" w:fill="FFFFFF" w:themeFill="background1"/>
          </w:tcPr>
          <w:p w14:paraId="20272664"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31,386</w:t>
            </w:r>
          </w:p>
        </w:tc>
        <w:tc>
          <w:tcPr>
            <w:tcW w:w="851" w:type="dxa"/>
            <w:shd w:val="clear" w:color="auto" w:fill="FFFFFF" w:themeFill="background1"/>
          </w:tcPr>
          <w:p w14:paraId="18F882C0"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34,812</w:t>
            </w:r>
          </w:p>
        </w:tc>
        <w:tc>
          <w:tcPr>
            <w:tcW w:w="992" w:type="dxa"/>
            <w:shd w:val="clear" w:color="auto" w:fill="FFFFFF" w:themeFill="background1"/>
          </w:tcPr>
          <w:p w14:paraId="10BCD0FA"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37,569</w:t>
            </w:r>
          </w:p>
        </w:tc>
        <w:tc>
          <w:tcPr>
            <w:tcW w:w="851" w:type="dxa"/>
            <w:shd w:val="clear" w:color="auto" w:fill="FFFFFF" w:themeFill="background1"/>
          </w:tcPr>
          <w:p w14:paraId="36A9B667"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52,169</w:t>
            </w:r>
          </w:p>
        </w:tc>
      </w:tr>
      <w:tr w:rsidR="008C1877" w14:paraId="0CD2B0F1" w14:textId="77777777" w:rsidTr="00312E88">
        <w:trPr>
          <w:trHeight w:hRule="exact" w:val="284"/>
        </w:trPr>
        <w:tc>
          <w:tcPr>
            <w:tcW w:w="3544" w:type="dxa"/>
            <w:shd w:val="clear" w:color="auto" w:fill="FFFFFF" w:themeFill="background1"/>
          </w:tcPr>
          <w:p w14:paraId="24086C3C" w14:textId="77777777" w:rsidR="008C1877" w:rsidRPr="00531AF3" w:rsidRDefault="008C1877" w:rsidP="00312E88">
            <w:pPr>
              <w:rPr>
                <w:rFonts w:cs="Arial"/>
                <w:sz w:val="16"/>
                <w:szCs w:val="16"/>
              </w:rPr>
            </w:pPr>
            <w:r w:rsidRPr="00531AF3">
              <w:rPr>
                <w:rFonts w:cs="Arial"/>
                <w:sz w:val="16"/>
                <w:szCs w:val="16"/>
              </w:rPr>
              <w:t>Participant Costs (65+)</w:t>
            </w:r>
          </w:p>
        </w:tc>
        <w:tc>
          <w:tcPr>
            <w:tcW w:w="1134" w:type="dxa"/>
            <w:shd w:val="clear" w:color="auto" w:fill="FFFFFF" w:themeFill="background1"/>
          </w:tcPr>
          <w:p w14:paraId="722CF48A"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1,864</w:t>
            </w:r>
          </w:p>
        </w:tc>
        <w:tc>
          <w:tcPr>
            <w:tcW w:w="992" w:type="dxa"/>
            <w:shd w:val="clear" w:color="auto" w:fill="FFFFFF" w:themeFill="background1"/>
          </w:tcPr>
          <w:p w14:paraId="41AE3B8F"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2,501</w:t>
            </w:r>
          </w:p>
        </w:tc>
        <w:tc>
          <w:tcPr>
            <w:tcW w:w="851" w:type="dxa"/>
            <w:shd w:val="clear" w:color="auto" w:fill="FFFFFF" w:themeFill="background1"/>
          </w:tcPr>
          <w:p w14:paraId="542FA64E"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3,161</w:t>
            </w:r>
          </w:p>
        </w:tc>
        <w:tc>
          <w:tcPr>
            <w:tcW w:w="992" w:type="dxa"/>
            <w:shd w:val="clear" w:color="auto" w:fill="FFFFFF" w:themeFill="background1"/>
          </w:tcPr>
          <w:p w14:paraId="430BD182"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3,803</w:t>
            </w:r>
          </w:p>
        </w:tc>
        <w:tc>
          <w:tcPr>
            <w:tcW w:w="851" w:type="dxa"/>
            <w:shd w:val="clear" w:color="auto" w:fill="FFFFFF" w:themeFill="background1"/>
          </w:tcPr>
          <w:p w14:paraId="37713388" w14:textId="77777777" w:rsidR="008C1877" w:rsidRPr="00531AF3" w:rsidRDefault="008C1877" w:rsidP="00312E88">
            <w:pPr>
              <w:pStyle w:val="Tables"/>
              <w:rPr>
                <w:rFonts w:cs="Arial"/>
                <w:b w:val="0"/>
                <w:bCs w:val="0"/>
                <w:sz w:val="16"/>
                <w:szCs w:val="16"/>
              </w:rPr>
            </w:pPr>
            <w:r w:rsidRPr="00531AF3">
              <w:rPr>
                <w:rFonts w:cs="Arial"/>
                <w:b w:val="0"/>
                <w:bCs w:val="0"/>
                <w:sz w:val="16"/>
                <w:szCs w:val="16"/>
              </w:rPr>
              <w:t>7,115</w:t>
            </w:r>
          </w:p>
        </w:tc>
      </w:tr>
      <w:tr w:rsidR="008C1877" w14:paraId="6C868456" w14:textId="77777777" w:rsidTr="00312E88">
        <w:trPr>
          <w:trHeight w:hRule="exact" w:val="284"/>
        </w:trPr>
        <w:tc>
          <w:tcPr>
            <w:tcW w:w="3544" w:type="dxa"/>
            <w:shd w:val="clear" w:color="auto" w:fill="FFFFFF" w:themeFill="background1"/>
          </w:tcPr>
          <w:p w14:paraId="09DABA70" w14:textId="77777777" w:rsidR="008C1877" w:rsidRPr="00531AF3" w:rsidRDefault="008C1877" w:rsidP="00312E88">
            <w:pPr>
              <w:rPr>
                <w:rFonts w:cs="Arial"/>
                <w:b/>
                <w:bCs/>
                <w:sz w:val="16"/>
                <w:szCs w:val="16"/>
              </w:rPr>
            </w:pPr>
            <w:r w:rsidRPr="00531AF3">
              <w:rPr>
                <w:rFonts w:cs="Arial"/>
                <w:b/>
                <w:bCs/>
                <w:sz w:val="16"/>
                <w:szCs w:val="16"/>
              </w:rPr>
              <w:t>Total Participant Costs (accrual basis)</w:t>
            </w:r>
          </w:p>
        </w:tc>
        <w:tc>
          <w:tcPr>
            <w:tcW w:w="1134" w:type="dxa"/>
            <w:shd w:val="clear" w:color="auto" w:fill="FFFFFF" w:themeFill="background1"/>
          </w:tcPr>
          <w:p w14:paraId="272F0699" w14:textId="77777777" w:rsidR="008C1877" w:rsidRPr="00531AF3" w:rsidRDefault="008C1877" w:rsidP="00312E88">
            <w:pPr>
              <w:pStyle w:val="Tables"/>
              <w:rPr>
                <w:rFonts w:cs="Arial"/>
                <w:sz w:val="16"/>
                <w:szCs w:val="16"/>
              </w:rPr>
            </w:pPr>
            <w:r w:rsidRPr="00531AF3">
              <w:rPr>
                <w:rFonts w:cs="Arial"/>
                <w:sz w:val="16"/>
                <w:szCs w:val="16"/>
              </w:rPr>
              <w:t>29,223</w:t>
            </w:r>
          </w:p>
        </w:tc>
        <w:tc>
          <w:tcPr>
            <w:tcW w:w="992" w:type="dxa"/>
            <w:shd w:val="clear" w:color="auto" w:fill="FFFFFF" w:themeFill="background1"/>
          </w:tcPr>
          <w:p w14:paraId="521CDFFE" w14:textId="77777777" w:rsidR="008C1877" w:rsidRPr="00531AF3" w:rsidRDefault="008C1877" w:rsidP="00312E88">
            <w:pPr>
              <w:pStyle w:val="Tables"/>
              <w:rPr>
                <w:rFonts w:cs="Arial"/>
                <w:sz w:val="16"/>
                <w:szCs w:val="16"/>
              </w:rPr>
            </w:pPr>
            <w:r w:rsidRPr="00531AF3">
              <w:rPr>
                <w:rFonts w:cs="Arial"/>
                <w:sz w:val="16"/>
                <w:szCs w:val="16"/>
              </w:rPr>
              <w:t>33,886</w:t>
            </w:r>
          </w:p>
        </w:tc>
        <w:tc>
          <w:tcPr>
            <w:tcW w:w="851" w:type="dxa"/>
            <w:shd w:val="clear" w:color="auto" w:fill="FFFFFF" w:themeFill="background1"/>
          </w:tcPr>
          <w:p w14:paraId="38C9E6E5" w14:textId="77777777" w:rsidR="008C1877" w:rsidRPr="00531AF3" w:rsidRDefault="008C1877" w:rsidP="00312E88">
            <w:pPr>
              <w:pStyle w:val="Tables"/>
              <w:rPr>
                <w:rFonts w:cs="Arial"/>
                <w:sz w:val="16"/>
                <w:szCs w:val="16"/>
              </w:rPr>
            </w:pPr>
            <w:r w:rsidRPr="00531AF3">
              <w:rPr>
                <w:rFonts w:cs="Arial"/>
                <w:sz w:val="16"/>
                <w:szCs w:val="16"/>
              </w:rPr>
              <w:t>37,973</w:t>
            </w:r>
          </w:p>
        </w:tc>
        <w:tc>
          <w:tcPr>
            <w:tcW w:w="992" w:type="dxa"/>
            <w:shd w:val="clear" w:color="auto" w:fill="FFFFFF" w:themeFill="background1"/>
          </w:tcPr>
          <w:p w14:paraId="34ABADF1" w14:textId="77777777" w:rsidR="008C1877" w:rsidRPr="00531AF3" w:rsidRDefault="008C1877" w:rsidP="00312E88">
            <w:pPr>
              <w:pStyle w:val="Tables"/>
              <w:rPr>
                <w:rFonts w:cs="Arial"/>
                <w:sz w:val="16"/>
                <w:szCs w:val="16"/>
              </w:rPr>
            </w:pPr>
            <w:r w:rsidRPr="00531AF3">
              <w:rPr>
                <w:rFonts w:cs="Arial"/>
                <w:sz w:val="16"/>
                <w:szCs w:val="16"/>
              </w:rPr>
              <w:t>41,373</w:t>
            </w:r>
          </w:p>
        </w:tc>
        <w:tc>
          <w:tcPr>
            <w:tcW w:w="851" w:type="dxa"/>
            <w:shd w:val="clear" w:color="auto" w:fill="FFFFFF" w:themeFill="background1"/>
          </w:tcPr>
          <w:p w14:paraId="393CCCB8" w14:textId="77777777" w:rsidR="008C1877" w:rsidRPr="00531AF3" w:rsidRDefault="008C1877" w:rsidP="00312E88">
            <w:pPr>
              <w:pStyle w:val="Tables"/>
              <w:rPr>
                <w:rFonts w:cs="Arial"/>
                <w:sz w:val="16"/>
                <w:szCs w:val="16"/>
              </w:rPr>
            </w:pPr>
            <w:r w:rsidRPr="00531AF3">
              <w:rPr>
                <w:rFonts w:cs="Arial"/>
                <w:sz w:val="16"/>
                <w:szCs w:val="16"/>
              </w:rPr>
              <w:t>59,284</w:t>
            </w:r>
          </w:p>
        </w:tc>
      </w:tr>
    </w:tbl>
    <w:p w14:paraId="12FF0A85" w14:textId="4C73ABDD" w:rsidR="00CD34AC" w:rsidRDefault="00CD34AC" w:rsidP="00CD34AC">
      <w:pPr>
        <w:pStyle w:val="FSRnormal"/>
      </w:pPr>
    </w:p>
    <w:tbl>
      <w:tblPr>
        <w:tblStyle w:val="TableGrid"/>
        <w:tblW w:w="8364" w:type="dxa"/>
        <w:tblInd w:w="-5" w:type="dxa"/>
        <w:tblLayout w:type="fixed"/>
        <w:tblLook w:val="04A0" w:firstRow="1" w:lastRow="0" w:firstColumn="1" w:lastColumn="0" w:noHBand="0" w:noVBand="1"/>
      </w:tblPr>
      <w:tblGrid>
        <w:gridCol w:w="3544"/>
        <w:gridCol w:w="1134"/>
        <w:gridCol w:w="992"/>
        <w:gridCol w:w="851"/>
        <w:gridCol w:w="992"/>
        <w:gridCol w:w="851"/>
      </w:tblGrid>
      <w:tr w:rsidR="00D92BD2" w14:paraId="66CED608" w14:textId="77777777" w:rsidTr="00312E88">
        <w:trPr>
          <w:tblHeader/>
        </w:trPr>
        <w:tc>
          <w:tcPr>
            <w:tcW w:w="3544" w:type="dxa"/>
            <w:shd w:val="clear" w:color="auto" w:fill="6B2E76"/>
          </w:tcPr>
          <w:p w14:paraId="41CFCF9D" w14:textId="77777777" w:rsidR="00D92BD2" w:rsidRPr="00531AF3" w:rsidRDefault="00D92BD2" w:rsidP="00312E88">
            <w:pPr>
              <w:pStyle w:val="Tables"/>
              <w:rPr>
                <w:rFonts w:cs="Arial"/>
                <w:color w:val="FFFFFF" w:themeColor="background1"/>
                <w:sz w:val="15"/>
                <w:szCs w:val="15"/>
              </w:rPr>
            </w:pPr>
            <w:r w:rsidRPr="00531AF3">
              <w:rPr>
                <w:rFonts w:cs="Arial"/>
                <w:color w:val="FFFFFF" w:themeColor="background1"/>
                <w:sz w:val="15"/>
                <w:szCs w:val="15"/>
              </w:rPr>
              <w:t>Participant Costs as % of GDP (accrual basis):</w:t>
            </w:r>
          </w:p>
        </w:tc>
        <w:tc>
          <w:tcPr>
            <w:tcW w:w="1134" w:type="dxa"/>
            <w:shd w:val="clear" w:color="auto" w:fill="6B2E76"/>
            <w:vAlign w:val="center"/>
          </w:tcPr>
          <w:p w14:paraId="5C5C8689" w14:textId="77777777" w:rsidR="00D92BD2" w:rsidRPr="00531AF3" w:rsidRDefault="00D92BD2" w:rsidP="00312E88">
            <w:pPr>
              <w:pStyle w:val="Tables"/>
              <w:jc w:val="center"/>
              <w:rPr>
                <w:rFonts w:cs="Arial"/>
                <w:color w:val="FFFFFF" w:themeColor="background1"/>
                <w:sz w:val="15"/>
                <w:szCs w:val="15"/>
              </w:rPr>
            </w:pPr>
            <w:r w:rsidRPr="00531AF3">
              <w:rPr>
                <w:rFonts w:cs="Arial"/>
                <w:color w:val="FFFFFF" w:themeColor="background1"/>
                <w:sz w:val="15"/>
                <w:szCs w:val="15"/>
              </w:rPr>
              <w:t>2021-22</w:t>
            </w:r>
          </w:p>
        </w:tc>
        <w:tc>
          <w:tcPr>
            <w:tcW w:w="992" w:type="dxa"/>
            <w:shd w:val="clear" w:color="auto" w:fill="6B2E76"/>
            <w:vAlign w:val="center"/>
          </w:tcPr>
          <w:p w14:paraId="64A22111" w14:textId="77777777" w:rsidR="00D92BD2" w:rsidRPr="00531AF3" w:rsidRDefault="00D92BD2" w:rsidP="00312E88">
            <w:pPr>
              <w:pStyle w:val="Tables"/>
              <w:jc w:val="center"/>
              <w:rPr>
                <w:rFonts w:cs="Arial"/>
                <w:color w:val="FFFFFF" w:themeColor="background1"/>
                <w:sz w:val="15"/>
                <w:szCs w:val="15"/>
              </w:rPr>
            </w:pPr>
            <w:r w:rsidRPr="00531AF3">
              <w:rPr>
                <w:rFonts w:cs="Arial"/>
                <w:color w:val="FFFFFF" w:themeColor="background1"/>
                <w:sz w:val="15"/>
                <w:szCs w:val="15"/>
              </w:rPr>
              <w:t>2022-23</w:t>
            </w:r>
          </w:p>
        </w:tc>
        <w:tc>
          <w:tcPr>
            <w:tcW w:w="851" w:type="dxa"/>
            <w:shd w:val="clear" w:color="auto" w:fill="6B2E76"/>
            <w:vAlign w:val="center"/>
          </w:tcPr>
          <w:p w14:paraId="3ADB6736" w14:textId="77777777" w:rsidR="00D92BD2" w:rsidRPr="00531AF3" w:rsidRDefault="00D92BD2" w:rsidP="00312E88">
            <w:pPr>
              <w:pStyle w:val="Tables"/>
              <w:jc w:val="center"/>
              <w:rPr>
                <w:rFonts w:cs="Arial"/>
                <w:color w:val="FFFFFF" w:themeColor="background1"/>
                <w:sz w:val="15"/>
                <w:szCs w:val="15"/>
              </w:rPr>
            </w:pPr>
            <w:r w:rsidRPr="00531AF3">
              <w:rPr>
                <w:rFonts w:cs="Arial"/>
                <w:color w:val="FFFFFF" w:themeColor="background1"/>
                <w:sz w:val="15"/>
                <w:szCs w:val="15"/>
              </w:rPr>
              <w:t>2023-24</w:t>
            </w:r>
          </w:p>
        </w:tc>
        <w:tc>
          <w:tcPr>
            <w:tcW w:w="992" w:type="dxa"/>
            <w:shd w:val="clear" w:color="auto" w:fill="6B2E76"/>
            <w:vAlign w:val="center"/>
          </w:tcPr>
          <w:p w14:paraId="0E135AE3" w14:textId="77777777" w:rsidR="00D92BD2" w:rsidRPr="00531AF3" w:rsidRDefault="00D92BD2" w:rsidP="00312E88">
            <w:pPr>
              <w:pStyle w:val="Tables"/>
              <w:jc w:val="center"/>
              <w:rPr>
                <w:rFonts w:cs="Arial"/>
                <w:color w:val="FFFFFF" w:themeColor="background1"/>
                <w:sz w:val="15"/>
                <w:szCs w:val="15"/>
              </w:rPr>
            </w:pPr>
            <w:r w:rsidRPr="00531AF3">
              <w:rPr>
                <w:rFonts w:cs="Arial"/>
                <w:color w:val="FFFFFF" w:themeColor="background1"/>
                <w:sz w:val="15"/>
                <w:szCs w:val="15"/>
              </w:rPr>
              <w:t>2024-25</w:t>
            </w:r>
          </w:p>
        </w:tc>
        <w:tc>
          <w:tcPr>
            <w:tcW w:w="851" w:type="dxa"/>
            <w:shd w:val="clear" w:color="auto" w:fill="6B2E76"/>
            <w:vAlign w:val="center"/>
          </w:tcPr>
          <w:p w14:paraId="179268E5" w14:textId="77777777" w:rsidR="00D92BD2" w:rsidRPr="00531AF3" w:rsidRDefault="00D92BD2" w:rsidP="00312E88">
            <w:pPr>
              <w:pStyle w:val="Tables"/>
              <w:jc w:val="center"/>
              <w:rPr>
                <w:rFonts w:cs="Arial"/>
                <w:color w:val="FFFFFF" w:themeColor="background1"/>
                <w:sz w:val="15"/>
                <w:szCs w:val="15"/>
              </w:rPr>
            </w:pPr>
            <w:r w:rsidRPr="00531AF3">
              <w:rPr>
                <w:rFonts w:cs="Arial"/>
                <w:color w:val="FFFFFF" w:themeColor="background1"/>
                <w:sz w:val="15"/>
                <w:szCs w:val="15"/>
              </w:rPr>
              <w:t>2029-30</w:t>
            </w:r>
          </w:p>
        </w:tc>
      </w:tr>
      <w:tr w:rsidR="00D92BD2" w14:paraId="793A0BB0" w14:textId="77777777" w:rsidTr="00312E88">
        <w:trPr>
          <w:trHeight w:hRule="exact" w:val="284"/>
        </w:trPr>
        <w:tc>
          <w:tcPr>
            <w:tcW w:w="3544" w:type="dxa"/>
            <w:shd w:val="clear" w:color="auto" w:fill="FFFFFF" w:themeFill="background1"/>
          </w:tcPr>
          <w:p w14:paraId="27F5DDA1"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Total Participant Costs (all)</w:t>
            </w:r>
          </w:p>
        </w:tc>
        <w:tc>
          <w:tcPr>
            <w:tcW w:w="1134" w:type="dxa"/>
            <w:shd w:val="clear" w:color="auto" w:fill="FFFFFF" w:themeFill="background1"/>
          </w:tcPr>
          <w:p w14:paraId="1E443279"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1.37%</w:t>
            </w:r>
          </w:p>
        </w:tc>
        <w:tc>
          <w:tcPr>
            <w:tcW w:w="992" w:type="dxa"/>
            <w:shd w:val="clear" w:color="auto" w:fill="FFFFFF" w:themeFill="background1"/>
          </w:tcPr>
          <w:p w14:paraId="3950FC49"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1.56%</w:t>
            </w:r>
          </w:p>
        </w:tc>
        <w:tc>
          <w:tcPr>
            <w:tcW w:w="851" w:type="dxa"/>
            <w:shd w:val="clear" w:color="auto" w:fill="FFFFFF" w:themeFill="background1"/>
          </w:tcPr>
          <w:p w14:paraId="72EB5C6D"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1.67%</w:t>
            </w:r>
          </w:p>
        </w:tc>
        <w:tc>
          <w:tcPr>
            <w:tcW w:w="992" w:type="dxa"/>
            <w:shd w:val="clear" w:color="auto" w:fill="FFFFFF" w:themeFill="background1"/>
          </w:tcPr>
          <w:p w14:paraId="4A45AE9E"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1.74%</w:t>
            </w:r>
          </w:p>
        </w:tc>
        <w:tc>
          <w:tcPr>
            <w:tcW w:w="851" w:type="dxa"/>
            <w:shd w:val="clear" w:color="auto" w:fill="FFFFFF" w:themeFill="background1"/>
          </w:tcPr>
          <w:p w14:paraId="6E48C853"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1.95%</w:t>
            </w:r>
          </w:p>
        </w:tc>
      </w:tr>
      <w:tr w:rsidR="00D92BD2" w14:paraId="2AEEDD15" w14:textId="77777777" w:rsidTr="00312E88">
        <w:trPr>
          <w:trHeight w:hRule="exact" w:val="284"/>
        </w:trPr>
        <w:tc>
          <w:tcPr>
            <w:tcW w:w="3544" w:type="dxa"/>
            <w:shd w:val="clear" w:color="auto" w:fill="FFFFFF" w:themeFill="background1"/>
          </w:tcPr>
          <w:p w14:paraId="42DF62BD"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Total Participant Costs (0-64 years)</w:t>
            </w:r>
          </w:p>
        </w:tc>
        <w:tc>
          <w:tcPr>
            <w:tcW w:w="1134" w:type="dxa"/>
            <w:shd w:val="clear" w:color="auto" w:fill="FFFFFF" w:themeFill="background1"/>
          </w:tcPr>
          <w:p w14:paraId="0EDBB39F"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1.28%</w:t>
            </w:r>
          </w:p>
        </w:tc>
        <w:tc>
          <w:tcPr>
            <w:tcW w:w="992" w:type="dxa"/>
            <w:shd w:val="clear" w:color="auto" w:fill="FFFFFF" w:themeFill="background1"/>
          </w:tcPr>
          <w:p w14:paraId="1D868EC4"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1.44%</w:t>
            </w:r>
          </w:p>
        </w:tc>
        <w:tc>
          <w:tcPr>
            <w:tcW w:w="851" w:type="dxa"/>
            <w:shd w:val="clear" w:color="auto" w:fill="FFFFFF" w:themeFill="background1"/>
          </w:tcPr>
          <w:p w14:paraId="4E1FAAED"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1.53%</w:t>
            </w:r>
          </w:p>
        </w:tc>
        <w:tc>
          <w:tcPr>
            <w:tcW w:w="992" w:type="dxa"/>
            <w:shd w:val="clear" w:color="auto" w:fill="FFFFFF" w:themeFill="background1"/>
          </w:tcPr>
          <w:p w14:paraId="2FED2901"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1.58%</w:t>
            </w:r>
          </w:p>
        </w:tc>
        <w:tc>
          <w:tcPr>
            <w:tcW w:w="851" w:type="dxa"/>
            <w:shd w:val="clear" w:color="auto" w:fill="FFFFFF" w:themeFill="background1"/>
          </w:tcPr>
          <w:p w14:paraId="384ADC36" w14:textId="77777777" w:rsidR="00D92BD2" w:rsidRPr="00531AF3" w:rsidRDefault="00D92BD2" w:rsidP="00312E88">
            <w:pPr>
              <w:pStyle w:val="Tables"/>
              <w:rPr>
                <w:rFonts w:cs="Arial"/>
                <w:b w:val="0"/>
                <w:bCs w:val="0"/>
                <w:sz w:val="16"/>
                <w:szCs w:val="16"/>
              </w:rPr>
            </w:pPr>
            <w:r w:rsidRPr="00531AF3">
              <w:rPr>
                <w:rFonts w:cs="Arial"/>
                <w:b w:val="0"/>
                <w:bCs w:val="0"/>
                <w:sz w:val="16"/>
                <w:szCs w:val="16"/>
              </w:rPr>
              <w:t>1.72%</w:t>
            </w:r>
          </w:p>
        </w:tc>
      </w:tr>
    </w:tbl>
    <w:p w14:paraId="5D4338C7" w14:textId="21793415" w:rsidR="00CD34AC" w:rsidRDefault="00CD34AC" w:rsidP="00CD34AC">
      <w:pPr>
        <w:pStyle w:val="FSRnormal"/>
      </w:pPr>
    </w:p>
    <w:p w14:paraId="76E6076D" w14:textId="74FB342E" w:rsidR="00CD34AC" w:rsidRPr="00F50AF2" w:rsidRDefault="00F50AF2" w:rsidP="00F50AF2">
      <w:pPr>
        <w:pStyle w:val="FSRnormal"/>
      </w:pPr>
      <w:r w:rsidRPr="00D92BD2">
        <w:rPr>
          <w:u w:val="single"/>
        </w:rPr>
        <w:fldChar w:fldCharType="begin"/>
      </w:r>
      <w:r w:rsidRPr="00D92BD2">
        <w:rPr>
          <w:u w:val="single"/>
        </w:rPr>
        <w:instrText xml:space="preserve"> REF _Ref80274232 \h  \* MERGEFORMAT </w:instrText>
      </w:r>
      <w:r w:rsidRPr="00D92BD2">
        <w:rPr>
          <w:u w:val="single"/>
        </w:rPr>
      </w:r>
      <w:r w:rsidRPr="00D92BD2">
        <w:rPr>
          <w:u w:val="single"/>
        </w:rPr>
        <w:fldChar w:fldCharType="separate"/>
      </w:r>
      <w:r w:rsidR="00E50032" w:rsidRPr="00E50032">
        <w:rPr>
          <w:u w:val="single"/>
        </w:rPr>
        <w:t>Table 19</w:t>
      </w:r>
      <w:r w:rsidRPr="00D92BD2">
        <w:rPr>
          <w:u w:val="single"/>
        </w:rPr>
        <w:fldChar w:fldCharType="end"/>
      </w:r>
      <w:r w:rsidRPr="00F50AF2">
        <w:t xml:space="preserve"> </w:t>
      </w:r>
      <w:r w:rsidR="00CD34AC" w:rsidRPr="00F50AF2">
        <w:t>shows the participant cost projections on an accrual basis</w:t>
      </w:r>
      <w:r w:rsidR="000630E7">
        <w:t>, split</w:t>
      </w:r>
      <w:r w:rsidR="00CD34AC" w:rsidRPr="00F50AF2">
        <w:t xml:space="preserve"> between existing Scheme participants and future participant intake</w:t>
      </w:r>
      <w:r w:rsidR="007D6333">
        <w:t xml:space="preserve"> (post 30 June 2021)</w:t>
      </w:r>
      <w:r w:rsidR="00CD34AC" w:rsidRPr="00F50AF2">
        <w:t xml:space="preserve">. In 2029-30, 63.3% of projected cost relates to current Scheme participants, with 36.7% relating to new entrants. </w:t>
      </w:r>
    </w:p>
    <w:p w14:paraId="56B43DBD" w14:textId="60E9007B" w:rsidR="00F50AF2" w:rsidRPr="0037390B" w:rsidRDefault="00F50AF2" w:rsidP="00F50AF2">
      <w:pPr>
        <w:pStyle w:val="Tables"/>
      </w:pPr>
      <w:bookmarkStart w:id="175" w:name="_Ref80274232"/>
      <w:r w:rsidRPr="00EA3AA2">
        <w:t xml:space="preserve">Table </w:t>
      </w:r>
      <w:fldSimple w:instr=" SEQ Table \* ARABIC ">
        <w:r w:rsidR="00E50032">
          <w:rPr>
            <w:noProof/>
          </w:rPr>
          <w:t>19</w:t>
        </w:r>
      </w:fldSimple>
      <w:bookmarkEnd w:id="175"/>
      <w:r w:rsidRPr="00EA3AA2">
        <w:t xml:space="preserve"> </w:t>
      </w:r>
      <w:r>
        <w:t>Breakdown</w:t>
      </w:r>
      <w:r w:rsidRPr="00EA3AA2">
        <w:t xml:space="preserve"> of </w:t>
      </w:r>
      <w:r>
        <w:t>participant costs</w:t>
      </w:r>
      <w:r w:rsidRPr="00EA3AA2">
        <w:t xml:space="preserve"> </w:t>
      </w:r>
      <w:r>
        <w:t>between existing and new participants</w:t>
      </w:r>
    </w:p>
    <w:tbl>
      <w:tblPr>
        <w:tblStyle w:val="TableGrid"/>
        <w:tblW w:w="8364" w:type="dxa"/>
        <w:tblInd w:w="-5" w:type="dxa"/>
        <w:tblLayout w:type="fixed"/>
        <w:tblLook w:val="04A0" w:firstRow="1" w:lastRow="0" w:firstColumn="1" w:lastColumn="0" w:noHBand="0" w:noVBand="1"/>
      </w:tblPr>
      <w:tblGrid>
        <w:gridCol w:w="3544"/>
        <w:gridCol w:w="1134"/>
        <w:gridCol w:w="992"/>
        <w:gridCol w:w="851"/>
        <w:gridCol w:w="992"/>
        <w:gridCol w:w="851"/>
      </w:tblGrid>
      <w:tr w:rsidR="00A9421D" w14:paraId="61A35983" w14:textId="77777777" w:rsidTr="00312E88">
        <w:trPr>
          <w:tblHeader/>
        </w:trPr>
        <w:tc>
          <w:tcPr>
            <w:tcW w:w="3544" w:type="dxa"/>
            <w:shd w:val="clear" w:color="auto" w:fill="6B2E76"/>
          </w:tcPr>
          <w:p w14:paraId="0C8BBFC1" w14:textId="77777777" w:rsidR="00A9421D" w:rsidRPr="00531AF3" w:rsidRDefault="00A9421D" w:rsidP="00312E88">
            <w:pPr>
              <w:pStyle w:val="Tables"/>
              <w:rPr>
                <w:rFonts w:cs="Arial"/>
                <w:color w:val="FFFFFF" w:themeColor="background1"/>
                <w:sz w:val="15"/>
                <w:szCs w:val="15"/>
              </w:rPr>
            </w:pPr>
            <w:r w:rsidRPr="00531AF3">
              <w:rPr>
                <w:rFonts w:cs="Arial"/>
                <w:color w:val="FFFFFF" w:themeColor="background1"/>
                <w:sz w:val="15"/>
                <w:szCs w:val="15"/>
              </w:rPr>
              <w:t>Participant Costs ($m) - accrual basis</w:t>
            </w:r>
          </w:p>
        </w:tc>
        <w:tc>
          <w:tcPr>
            <w:tcW w:w="1134" w:type="dxa"/>
            <w:shd w:val="clear" w:color="auto" w:fill="6B2E76"/>
            <w:vAlign w:val="center"/>
          </w:tcPr>
          <w:p w14:paraId="6847F7B9" w14:textId="77777777" w:rsidR="00A9421D" w:rsidRPr="00531AF3" w:rsidRDefault="00A9421D" w:rsidP="00312E88">
            <w:pPr>
              <w:pStyle w:val="Tables"/>
              <w:jc w:val="center"/>
              <w:rPr>
                <w:rFonts w:cs="Arial"/>
                <w:color w:val="FFFFFF" w:themeColor="background1"/>
                <w:sz w:val="15"/>
                <w:szCs w:val="15"/>
              </w:rPr>
            </w:pPr>
            <w:r w:rsidRPr="00531AF3">
              <w:rPr>
                <w:rFonts w:cs="Arial"/>
                <w:color w:val="FFFFFF" w:themeColor="background1"/>
                <w:sz w:val="15"/>
                <w:szCs w:val="15"/>
              </w:rPr>
              <w:t>2021-22</w:t>
            </w:r>
          </w:p>
        </w:tc>
        <w:tc>
          <w:tcPr>
            <w:tcW w:w="992" w:type="dxa"/>
            <w:shd w:val="clear" w:color="auto" w:fill="6B2E76"/>
            <w:vAlign w:val="center"/>
          </w:tcPr>
          <w:p w14:paraId="2BF75F48" w14:textId="77777777" w:rsidR="00A9421D" w:rsidRPr="00531AF3" w:rsidRDefault="00A9421D" w:rsidP="00312E88">
            <w:pPr>
              <w:pStyle w:val="Tables"/>
              <w:jc w:val="center"/>
              <w:rPr>
                <w:rFonts w:cs="Arial"/>
                <w:color w:val="FFFFFF" w:themeColor="background1"/>
                <w:sz w:val="15"/>
                <w:szCs w:val="15"/>
              </w:rPr>
            </w:pPr>
            <w:r w:rsidRPr="00531AF3">
              <w:rPr>
                <w:rFonts w:cs="Arial"/>
                <w:color w:val="FFFFFF" w:themeColor="background1"/>
                <w:sz w:val="15"/>
                <w:szCs w:val="15"/>
              </w:rPr>
              <w:t>2022-23</w:t>
            </w:r>
          </w:p>
        </w:tc>
        <w:tc>
          <w:tcPr>
            <w:tcW w:w="851" w:type="dxa"/>
            <w:shd w:val="clear" w:color="auto" w:fill="6B2E76"/>
            <w:vAlign w:val="center"/>
          </w:tcPr>
          <w:p w14:paraId="4C0F1649" w14:textId="77777777" w:rsidR="00A9421D" w:rsidRPr="00531AF3" w:rsidRDefault="00A9421D" w:rsidP="00312E88">
            <w:pPr>
              <w:pStyle w:val="Tables"/>
              <w:jc w:val="center"/>
              <w:rPr>
                <w:rFonts w:cs="Arial"/>
                <w:color w:val="FFFFFF" w:themeColor="background1"/>
                <w:sz w:val="15"/>
                <w:szCs w:val="15"/>
              </w:rPr>
            </w:pPr>
            <w:r w:rsidRPr="00531AF3">
              <w:rPr>
                <w:rFonts w:cs="Arial"/>
                <w:color w:val="FFFFFF" w:themeColor="background1"/>
                <w:sz w:val="15"/>
                <w:szCs w:val="15"/>
              </w:rPr>
              <w:t>2023-24</w:t>
            </w:r>
          </w:p>
        </w:tc>
        <w:tc>
          <w:tcPr>
            <w:tcW w:w="992" w:type="dxa"/>
            <w:shd w:val="clear" w:color="auto" w:fill="6B2E76"/>
            <w:vAlign w:val="center"/>
          </w:tcPr>
          <w:p w14:paraId="79D6D325" w14:textId="77777777" w:rsidR="00A9421D" w:rsidRPr="00531AF3" w:rsidRDefault="00A9421D" w:rsidP="00312E88">
            <w:pPr>
              <w:pStyle w:val="Tables"/>
              <w:jc w:val="center"/>
              <w:rPr>
                <w:rFonts w:cs="Arial"/>
                <w:color w:val="FFFFFF" w:themeColor="background1"/>
                <w:sz w:val="15"/>
                <w:szCs w:val="15"/>
              </w:rPr>
            </w:pPr>
            <w:r w:rsidRPr="00531AF3">
              <w:rPr>
                <w:rFonts w:cs="Arial"/>
                <w:color w:val="FFFFFF" w:themeColor="background1"/>
                <w:sz w:val="15"/>
                <w:szCs w:val="15"/>
              </w:rPr>
              <w:t>2024-25</w:t>
            </w:r>
          </w:p>
        </w:tc>
        <w:tc>
          <w:tcPr>
            <w:tcW w:w="851" w:type="dxa"/>
            <w:shd w:val="clear" w:color="auto" w:fill="6B2E76"/>
            <w:vAlign w:val="center"/>
          </w:tcPr>
          <w:p w14:paraId="416F3079" w14:textId="77777777" w:rsidR="00A9421D" w:rsidRPr="00531AF3" w:rsidRDefault="00A9421D" w:rsidP="00312E88">
            <w:pPr>
              <w:pStyle w:val="Tables"/>
              <w:jc w:val="center"/>
              <w:rPr>
                <w:rFonts w:cs="Arial"/>
                <w:color w:val="FFFFFF" w:themeColor="background1"/>
                <w:sz w:val="15"/>
                <w:szCs w:val="15"/>
              </w:rPr>
            </w:pPr>
            <w:r w:rsidRPr="00531AF3">
              <w:rPr>
                <w:rFonts w:cs="Arial"/>
                <w:color w:val="FFFFFF" w:themeColor="background1"/>
                <w:sz w:val="15"/>
                <w:szCs w:val="15"/>
              </w:rPr>
              <w:t>2029-30</w:t>
            </w:r>
          </w:p>
        </w:tc>
      </w:tr>
      <w:tr w:rsidR="00A9421D" w14:paraId="51AB27E7" w14:textId="77777777" w:rsidTr="00312E88">
        <w:trPr>
          <w:trHeight w:hRule="exact" w:val="284"/>
        </w:trPr>
        <w:tc>
          <w:tcPr>
            <w:tcW w:w="3544" w:type="dxa"/>
            <w:shd w:val="clear" w:color="auto" w:fill="FFFFFF" w:themeFill="background1"/>
          </w:tcPr>
          <w:p w14:paraId="52ADE256" w14:textId="2E2DE883" w:rsidR="00A9421D" w:rsidRPr="00531AF3" w:rsidRDefault="00A9421D" w:rsidP="00311C55">
            <w:pPr>
              <w:pStyle w:val="Tables"/>
              <w:rPr>
                <w:rFonts w:cs="Arial"/>
                <w:b w:val="0"/>
                <w:bCs w:val="0"/>
                <w:sz w:val="16"/>
                <w:szCs w:val="16"/>
              </w:rPr>
            </w:pPr>
            <w:r w:rsidRPr="00531AF3">
              <w:rPr>
                <w:rFonts w:cs="Arial"/>
                <w:b w:val="0"/>
                <w:bCs w:val="0"/>
                <w:sz w:val="16"/>
                <w:szCs w:val="16"/>
              </w:rPr>
              <w:t xml:space="preserve">Existing Scheme </w:t>
            </w:r>
            <w:r w:rsidR="00311C55">
              <w:rPr>
                <w:rFonts w:cs="Arial"/>
                <w:b w:val="0"/>
                <w:bCs w:val="0"/>
                <w:sz w:val="16"/>
                <w:szCs w:val="16"/>
              </w:rPr>
              <w:t>p</w:t>
            </w:r>
            <w:r w:rsidRPr="00531AF3">
              <w:rPr>
                <w:rFonts w:cs="Arial"/>
                <w:b w:val="0"/>
                <w:bCs w:val="0"/>
                <w:sz w:val="16"/>
                <w:szCs w:val="16"/>
              </w:rPr>
              <w:t>articipants</w:t>
            </w:r>
          </w:p>
        </w:tc>
        <w:tc>
          <w:tcPr>
            <w:tcW w:w="1134" w:type="dxa"/>
            <w:shd w:val="clear" w:color="auto" w:fill="FFFFFF" w:themeFill="background1"/>
          </w:tcPr>
          <w:p w14:paraId="73D0DEB9" w14:textId="77777777" w:rsidR="00A9421D" w:rsidRPr="00531AF3" w:rsidRDefault="00A9421D" w:rsidP="00312E88">
            <w:pPr>
              <w:pStyle w:val="Tables"/>
              <w:rPr>
                <w:rFonts w:cs="Arial"/>
                <w:b w:val="0"/>
                <w:bCs w:val="0"/>
                <w:sz w:val="16"/>
                <w:szCs w:val="16"/>
              </w:rPr>
            </w:pPr>
            <w:r w:rsidRPr="00531AF3">
              <w:rPr>
                <w:rFonts w:cs="Arial"/>
                <w:b w:val="0"/>
                <w:bCs w:val="0"/>
                <w:sz w:val="16"/>
                <w:szCs w:val="16"/>
              </w:rPr>
              <w:t>27,917</w:t>
            </w:r>
          </w:p>
        </w:tc>
        <w:tc>
          <w:tcPr>
            <w:tcW w:w="992" w:type="dxa"/>
            <w:shd w:val="clear" w:color="auto" w:fill="FFFFFF" w:themeFill="background1"/>
          </w:tcPr>
          <w:p w14:paraId="2EFD451C" w14:textId="77777777" w:rsidR="00A9421D" w:rsidRPr="00531AF3" w:rsidRDefault="00A9421D" w:rsidP="00312E88">
            <w:pPr>
              <w:pStyle w:val="Tables"/>
              <w:rPr>
                <w:rFonts w:cs="Arial"/>
                <w:b w:val="0"/>
                <w:bCs w:val="0"/>
                <w:sz w:val="16"/>
                <w:szCs w:val="16"/>
              </w:rPr>
            </w:pPr>
            <w:r w:rsidRPr="00531AF3">
              <w:rPr>
                <w:rFonts w:cs="Arial"/>
                <w:b w:val="0"/>
                <w:bCs w:val="0"/>
                <w:sz w:val="16"/>
                <w:szCs w:val="16"/>
              </w:rPr>
              <w:t>30,227</w:t>
            </w:r>
          </w:p>
        </w:tc>
        <w:tc>
          <w:tcPr>
            <w:tcW w:w="851" w:type="dxa"/>
            <w:shd w:val="clear" w:color="auto" w:fill="FFFFFF" w:themeFill="background1"/>
          </w:tcPr>
          <w:p w14:paraId="45511E36" w14:textId="77777777" w:rsidR="00A9421D" w:rsidRPr="00531AF3" w:rsidRDefault="00A9421D" w:rsidP="00312E88">
            <w:pPr>
              <w:pStyle w:val="Tables"/>
              <w:rPr>
                <w:rFonts w:cs="Arial"/>
                <w:b w:val="0"/>
                <w:bCs w:val="0"/>
                <w:sz w:val="16"/>
                <w:szCs w:val="16"/>
              </w:rPr>
            </w:pPr>
            <w:r w:rsidRPr="00531AF3">
              <w:rPr>
                <w:rFonts w:cs="Arial"/>
                <w:b w:val="0"/>
                <w:bCs w:val="0"/>
                <w:sz w:val="16"/>
                <w:szCs w:val="16"/>
              </w:rPr>
              <w:t>31,735</w:t>
            </w:r>
          </w:p>
        </w:tc>
        <w:tc>
          <w:tcPr>
            <w:tcW w:w="992" w:type="dxa"/>
            <w:shd w:val="clear" w:color="auto" w:fill="FFFFFF" w:themeFill="background1"/>
          </w:tcPr>
          <w:p w14:paraId="5400CBB1" w14:textId="77777777" w:rsidR="00A9421D" w:rsidRPr="00531AF3" w:rsidRDefault="00A9421D" w:rsidP="00312E88">
            <w:pPr>
              <w:pStyle w:val="Tables"/>
              <w:rPr>
                <w:rFonts w:cs="Arial"/>
                <w:b w:val="0"/>
                <w:bCs w:val="0"/>
                <w:sz w:val="16"/>
                <w:szCs w:val="16"/>
              </w:rPr>
            </w:pPr>
            <w:r w:rsidRPr="00531AF3">
              <w:rPr>
                <w:rFonts w:cs="Arial"/>
                <w:b w:val="0"/>
                <w:bCs w:val="0"/>
                <w:sz w:val="16"/>
                <w:szCs w:val="16"/>
              </w:rPr>
              <w:t>32,722</w:t>
            </w:r>
          </w:p>
        </w:tc>
        <w:tc>
          <w:tcPr>
            <w:tcW w:w="851" w:type="dxa"/>
            <w:shd w:val="clear" w:color="auto" w:fill="FFFFFF" w:themeFill="background1"/>
          </w:tcPr>
          <w:p w14:paraId="3D93297B" w14:textId="77777777" w:rsidR="00A9421D" w:rsidRPr="00531AF3" w:rsidRDefault="00A9421D" w:rsidP="00312E88">
            <w:pPr>
              <w:pStyle w:val="Tables"/>
              <w:rPr>
                <w:rFonts w:cs="Arial"/>
                <w:b w:val="0"/>
                <w:bCs w:val="0"/>
                <w:sz w:val="16"/>
                <w:szCs w:val="16"/>
              </w:rPr>
            </w:pPr>
            <w:r w:rsidRPr="00531AF3">
              <w:rPr>
                <w:rFonts w:cs="Arial"/>
                <w:b w:val="0"/>
                <w:bCs w:val="0"/>
                <w:sz w:val="16"/>
                <w:szCs w:val="16"/>
              </w:rPr>
              <w:t>37,546</w:t>
            </w:r>
          </w:p>
        </w:tc>
      </w:tr>
      <w:tr w:rsidR="00A9421D" w14:paraId="1D97817D" w14:textId="77777777" w:rsidTr="00312E88">
        <w:trPr>
          <w:trHeight w:hRule="exact" w:val="284"/>
        </w:trPr>
        <w:tc>
          <w:tcPr>
            <w:tcW w:w="3544" w:type="dxa"/>
            <w:shd w:val="clear" w:color="auto" w:fill="FFFFFF" w:themeFill="background1"/>
          </w:tcPr>
          <w:p w14:paraId="2E26A90D" w14:textId="7A2030A2" w:rsidR="00A9421D" w:rsidRPr="00531AF3" w:rsidRDefault="00311C55" w:rsidP="00312E88">
            <w:pPr>
              <w:pStyle w:val="Tables"/>
              <w:rPr>
                <w:rFonts w:cs="Arial"/>
                <w:b w:val="0"/>
                <w:bCs w:val="0"/>
                <w:sz w:val="16"/>
                <w:szCs w:val="16"/>
              </w:rPr>
            </w:pPr>
            <w:r>
              <w:rPr>
                <w:rFonts w:cs="Arial"/>
                <w:b w:val="0"/>
                <w:bCs w:val="0"/>
                <w:sz w:val="16"/>
                <w:szCs w:val="16"/>
              </w:rPr>
              <w:t>Future p</w:t>
            </w:r>
            <w:r w:rsidR="00A9421D" w:rsidRPr="00531AF3">
              <w:rPr>
                <w:rFonts w:cs="Arial"/>
                <w:b w:val="0"/>
                <w:bCs w:val="0"/>
                <w:sz w:val="16"/>
                <w:szCs w:val="16"/>
              </w:rPr>
              <w:t>articipant Intake</w:t>
            </w:r>
          </w:p>
        </w:tc>
        <w:tc>
          <w:tcPr>
            <w:tcW w:w="1134" w:type="dxa"/>
            <w:shd w:val="clear" w:color="auto" w:fill="FFFFFF" w:themeFill="background1"/>
          </w:tcPr>
          <w:p w14:paraId="1C30334A" w14:textId="77777777" w:rsidR="00A9421D" w:rsidRPr="00531AF3" w:rsidRDefault="00A9421D" w:rsidP="00312E88">
            <w:pPr>
              <w:pStyle w:val="Tables"/>
              <w:rPr>
                <w:rFonts w:cs="Arial"/>
                <w:b w:val="0"/>
                <w:bCs w:val="0"/>
                <w:sz w:val="16"/>
                <w:szCs w:val="16"/>
              </w:rPr>
            </w:pPr>
            <w:r w:rsidRPr="00531AF3">
              <w:rPr>
                <w:rFonts w:cs="Arial"/>
                <w:b w:val="0"/>
                <w:bCs w:val="0"/>
                <w:sz w:val="16"/>
                <w:szCs w:val="16"/>
              </w:rPr>
              <w:t>1,306</w:t>
            </w:r>
          </w:p>
        </w:tc>
        <w:tc>
          <w:tcPr>
            <w:tcW w:w="992" w:type="dxa"/>
            <w:shd w:val="clear" w:color="auto" w:fill="FFFFFF" w:themeFill="background1"/>
          </w:tcPr>
          <w:p w14:paraId="002C5004" w14:textId="77777777" w:rsidR="00A9421D" w:rsidRPr="00531AF3" w:rsidRDefault="00A9421D" w:rsidP="00312E88">
            <w:pPr>
              <w:pStyle w:val="Tables"/>
              <w:rPr>
                <w:rFonts w:cs="Arial"/>
                <w:b w:val="0"/>
                <w:bCs w:val="0"/>
                <w:sz w:val="16"/>
                <w:szCs w:val="16"/>
              </w:rPr>
            </w:pPr>
            <w:r w:rsidRPr="00531AF3">
              <w:rPr>
                <w:rFonts w:cs="Arial"/>
                <w:b w:val="0"/>
                <w:bCs w:val="0"/>
                <w:sz w:val="16"/>
                <w:szCs w:val="16"/>
              </w:rPr>
              <w:t>3,659</w:t>
            </w:r>
          </w:p>
        </w:tc>
        <w:tc>
          <w:tcPr>
            <w:tcW w:w="851" w:type="dxa"/>
            <w:shd w:val="clear" w:color="auto" w:fill="FFFFFF" w:themeFill="background1"/>
          </w:tcPr>
          <w:p w14:paraId="3F064A6C" w14:textId="77777777" w:rsidR="00A9421D" w:rsidRPr="00531AF3" w:rsidRDefault="00A9421D" w:rsidP="00312E88">
            <w:pPr>
              <w:pStyle w:val="Tables"/>
              <w:rPr>
                <w:rFonts w:cs="Arial"/>
                <w:b w:val="0"/>
                <w:bCs w:val="0"/>
                <w:sz w:val="16"/>
                <w:szCs w:val="16"/>
              </w:rPr>
            </w:pPr>
            <w:r w:rsidRPr="00531AF3">
              <w:rPr>
                <w:rFonts w:cs="Arial"/>
                <w:b w:val="0"/>
                <w:bCs w:val="0"/>
                <w:sz w:val="16"/>
                <w:szCs w:val="16"/>
              </w:rPr>
              <w:t>6,238</w:t>
            </w:r>
          </w:p>
        </w:tc>
        <w:tc>
          <w:tcPr>
            <w:tcW w:w="992" w:type="dxa"/>
            <w:shd w:val="clear" w:color="auto" w:fill="FFFFFF" w:themeFill="background1"/>
          </w:tcPr>
          <w:p w14:paraId="6F61E813" w14:textId="77777777" w:rsidR="00A9421D" w:rsidRPr="00531AF3" w:rsidRDefault="00A9421D" w:rsidP="00312E88">
            <w:pPr>
              <w:pStyle w:val="Tables"/>
              <w:rPr>
                <w:rFonts w:cs="Arial"/>
                <w:b w:val="0"/>
                <w:bCs w:val="0"/>
                <w:sz w:val="16"/>
                <w:szCs w:val="16"/>
              </w:rPr>
            </w:pPr>
            <w:r w:rsidRPr="00531AF3">
              <w:rPr>
                <w:rFonts w:cs="Arial"/>
                <w:b w:val="0"/>
                <w:bCs w:val="0"/>
                <w:sz w:val="16"/>
                <w:szCs w:val="16"/>
              </w:rPr>
              <w:t>8,650</w:t>
            </w:r>
          </w:p>
        </w:tc>
        <w:tc>
          <w:tcPr>
            <w:tcW w:w="851" w:type="dxa"/>
            <w:shd w:val="clear" w:color="auto" w:fill="FFFFFF" w:themeFill="background1"/>
          </w:tcPr>
          <w:p w14:paraId="1A111D23" w14:textId="77777777" w:rsidR="00A9421D" w:rsidRPr="00531AF3" w:rsidRDefault="00A9421D" w:rsidP="00312E88">
            <w:pPr>
              <w:pStyle w:val="Tables"/>
              <w:rPr>
                <w:rFonts w:cs="Arial"/>
                <w:b w:val="0"/>
                <w:bCs w:val="0"/>
                <w:sz w:val="16"/>
                <w:szCs w:val="16"/>
              </w:rPr>
            </w:pPr>
            <w:r w:rsidRPr="00531AF3">
              <w:rPr>
                <w:rFonts w:cs="Arial"/>
                <w:b w:val="0"/>
                <w:bCs w:val="0"/>
                <w:sz w:val="16"/>
                <w:szCs w:val="16"/>
              </w:rPr>
              <w:t>21,738</w:t>
            </w:r>
          </w:p>
        </w:tc>
      </w:tr>
      <w:tr w:rsidR="00A9421D" w14:paraId="190BE4C9" w14:textId="77777777" w:rsidTr="00312E88">
        <w:trPr>
          <w:trHeight w:hRule="exact" w:val="284"/>
        </w:trPr>
        <w:tc>
          <w:tcPr>
            <w:tcW w:w="3544" w:type="dxa"/>
            <w:shd w:val="clear" w:color="auto" w:fill="FFFFFF" w:themeFill="background1"/>
          </w:tcPr>
          <w:p w14:paraId="584F4D9C" w14:textId="77777777" w:rsidR="00A9421D" w:rsidRPr="00531AF3" w:rsidRDefault="00A9421D" w:rsidP="00312E88">
            <w:pPr>
              <w:pStyle w:val="Tables"/>
              <w:rPr>
                <w:rFonts w:cs="Arial"/>
                <w:sz w:val="16"/>
                <w:szCs w:val="16"/>
              </w:rPr>
            </w:pPr>
            <w:r w:rsidRPr="00531AF3">
              <w:rPr>
                <w:rFonts w:cs="Arial"/>
                <w:sz w:val="16"/>
                <w:szCs w:val="16"/>
              </w:rPr>
              <w:t>Total Participant Costs</w:t>
            </w:r>
          </w:p>
        </w:tc>
        <w:tc>
          <w:tcPr>
            <w:tcW w:w="1134" w:type="dxa"/>
            <w:shd w:val="clear" w:color="auto" w:fill="FFFFFF" w:themeFill="background1"/>
          </w:tcPr>
          <w:p w14:paraId="75613229" w14:textId="77777777" w:rsidR="00A9421D" w:rsidRPr="00531AF3" w:rsidRDefault="00A9421D" w:rsidP="00312E88">
            <w:pPr>
              <w:pStyle w:val="Tables"/>
              <w:rPr>
                <w:rFonts w:cs="Arial"/>
                <w:sz w:val="16"/>
                <w:szCs w:val="16"/>
              </w:rPr>
            </w:pPr>
            <w:r w:rsidRPr="00531AF3">
              <w:rPr>
                <w:rFonts w:cs="Arial"/>
                <w:sz w:val="16"/>
                <w:szCs w:val="16"/>
              </w:rPr>
              <w:t>29,223</w:t>
            </w:r>
          </w:p>
        </w:tc>
        <w:tc>
          <w:tcPr>
            <w:tcW w:w="992" w:type="dxa"/>
            <w:shd w:val="clear" w:color="auto" w:fill="FFFFFF" w:themeFill="background1"/>
          </w:tcPr>
          <w:p w14:paraId="2CCE3C97" w14:textId="77777777" w:rsidR="00A9421D" w:rsidRPr="00531AF3" w:rsidRDefault="00A9421D" w:rsidP="00312E88">
            <w:pPr>
              <w:pStyle w:val="Tables"/>
              <w:rPr>
                <w:rFonts w:cs="Arial"/>
                <w:sz w:val="16"/>
                <w:szCs w:val="16"/>
              </w:rPr>
            </w:pPr>
            <w:r w:rsidRPr="00531AF3">
              <w:rPr>
                <w:rFonts w:cs="Arial"/>
                <w:sz w:val="16"/>
                <w:szCs w:val="16"/>
              </w:rPr>
              <w:t>33,886</w:t>
            </w:r>
          </w:p>
        </w:tc>
        <w:tc>
          <w:tcPr>
            <w:tcW w:w="851" w:type="dxa"/>
            <w:shd w:val="clear" w:color="auto" w:fill="FFFFFF" w:themeFill="background1"/>
          </w:tcPr>
          <w:p w14:paraId="7EF743B2" w14:textId="77777777" w:rsidR="00A9421D" w:rsidRPr="00531AF3" w:rsidRDefault="00A9421D" w:rsidP="00312E88">
            <w:pPr>
              <w:pStyle w:val="Tables"/>
              <w:rPr>
                <w:rFonts w:cs="Arial"/>
                <w:sz w:val="16"/>
                <w:szCs w:val="16"/>
              </w:rPr>
            </w:pPr>
            <w:r w:rsidRPr="00531AF3">
              <w:rPr>
                <w:rFonts w:cs="Arial"/>
                <w:sz w:val="16"/>
                <w:szCs w:val="16"/>
              </w:rPr>
              <w:t>37,973</w:t>
            </w:r>
          </w:p>
        </w:tc>
        <w:tc>
          <w:tcPr>
            <w:tcW w:w="992" w:type="dxa"/>
            <w:shd w:val="clear" w:color="auto" w:fill="FFFFFF" w:themeFill="background1"/>
          </w:tcPr>
          <w:p w14:paraId="6EECF182" w14:textId="77777777" w:rsidR="00A9421D" w:rsidRPr="00531AF3" w:rsidRDefault="00A9421D" w:rsidP="00312E88">
            <w:pPr>
              <w:pStyle w:val="Tables"/>
              <w:rPr>
                <w:rFonts w:cs="Arial"/>
                <w:sz w:val="16"/>
                <w:szCs w:val="16"/>
              </w:rPr>
            </w:pPr>
            <w:r w:rsidRPr="00531AF3">
              <w:rPr>
                <w:rFonts w:cs="Arial"/>
                <w:sz w:val="16"/>
                <w:szCs w:val="16"/>
              </w:rPr>
              <w:t>41,373</w:t>
            </w:r>
          </w:p>
        </w:tc>
        <w:tc>
          <w:tcPr>
            <w:tcW w:w="851" w:type="dxa"/>
            <w:shd w:val="clear" w:color="auto" w:fill="FFFFFF" w:themeFill="background1"/>
          </w:tcPr>
          <w:p w14:paraId="12F9ED28" w14:textId="77777777" w:rsidR="00A9421D" w:rsidRPr="00531AF3" w:rsidRDefault="00A9421D" w:rsidP="00312E88">
            <w:pPr>
              <w:pStyle w:val="Tables"/>
              <w:rPr>
                <w:rFonts w:cs="Arial"/>
                <w:sz w:val="16"/>
                <w:szCs w:val="16"/>
              </w:rPr>
            </w:pPr>
            <w:r w:rsidRPr="00531AF3">
              <w:rPr>
                <w:rFonts w:cs="Arial"/>
                <w:sz w:val="16"/>
                <w:szCs w:val="16"/>
              </w:rPr>
              <w:t>59,284</w:t>
            </w:r>
          </w:p>
        </w:tc>
      </w:tr>
    </w:tbl>
    <w:p w14:paraId="5BB152A7" w14:textId="55CF4B62" w:rsidR="00F50AF2" w:rsidRPr="00F50AF2" w:rsidRDefault="00F50AF2" w:rsidP="00F50AF2">
      <w:pPr>
        <w:pStyle w:val="FSRnormal"/>
      </w:pPr>
    </w:p>
    <w:tbl>
      <w:tblPr>
        <w:tblStyle w:val="TableGrid"/>
        <w:tblW w:w="8364" w:type="dxa"/>
        <w:tblInd w:w="-5" w:type="dxa"/>
        <w:tblLayout w:type="fixed"/>
        <w:tblLook w:val="04A0" w:firstRow="1" w:lastRow="0" w:firstColumn="1" w:lastColumn="0" w:noHBand="0" w:noVBand="1"/>
      </w:tblPr>
      <w:tblGrid>
        <w:gridCol w:w="3544"/>
        <w:gridCol w:w="1134"/>
        <w:gridCol w:w="992"/>
        <w:gridCol w:w="851"/>
        <w:gridCol w:w="992"/>
        <w:gridCol w:w="851"/>
      </w:tblGrid>
      <w:tr w:rsidR="00696076" w14:paraId="380343D6" w14:textId="77777777" w:rsidTr="00312E88">
        <w:trPr>
          <w:tblHeader/>
        </w:trPr>
        <w:tc>
          <w:tcPr>
            <w:tcW w:w="3544" w:type="dxa"/>
            <w:shd w:val="clear" w:color="auto" w:fill="6B2E76"/>
          </w:tcPr>
          <w:p w14:paraId="40D47986" w14:textId="77777777" w:rsidR="00696076" w:rsidRPr="00E12F82" w:rsidRDefault="00696076" w:rsidP="00312E88">
            <w:pPr>
              <w:pStyle w:val="Tables"/>
              <w:rPr>
                <w:rFonts w:cs="Arial"/>
                <w:color w:val="FFFFFF" w:themeColor="background1"/>
                <w:sz w:val="15"/>
                <w:szCs w:val="15"/>
              </w:rPr>
            </w:pPr>
            <w:r w:rsidRPr="00E12F82">
              <w:rPr>
                <w:rFonts w:cs="Arial"/>
                <w:color w:val="FFFFFF" w:themeColor="background1"/>
                <w:sz w:val="15"/>
                <w:szCs w:val="15"/>
              </w:rPr>
              <w:lastRenderedPageBreak/>
              <w:t>Participant Costs (%) - accrual basis</w:t>
            </w:r>
          </w:p>
        </w:tc>
        <w:tc>
          <w:tcPr>
            <w:tcW w:w="1134" w:type="dxa"/>
            <w:shd w:val="clear" w:color="auto" w:fill="6B2E76"/>
            <w:vAlign w:val="center"/>
          </w:tcPr>
          <w:p w14:paraId="3246CFBD" w14:textId="77777777" w:rsidR="00696076" w:rsidRPr="00E12F82" w:rsidRDefault="00696076" w:rsidP="00312E88">
            <w:pPr>
              <w:pStyle w:val="Tables"/>
              <w:jc w:val="center"/>
              <w:rPr>
                <w:rFonts w:cs="Arial"/>
                <w:color w:val="FFFFFF" w:themeColor="background1"/>
                <w:sz w:val="15"/>
                <w:szCs w:val="15"/>
              </w:rPr>
            </w:pPr>
            <w:r w:rsidRPr="00E12F82">
              <w:rPr>
                <w:rFonts w:cs="Arial"/>
                <w:color w:val="FFFFFF" w:themeColor="background1"/>
                <w:sz w:val="15"/>
                <w:szCs w:val="15"/>
              </w:rPr>
              <w:t>2021-22</w:t>
            </w:r>
          </w:p>
        </w:tc>
        <w:tc>
          <w:tcPr>
            <w:tcW w:w="992" w:type="dxa"/>
            <w:shd w:val="clear" w:color="auto" w:fill="6B2E76"/>
            <w:vAlign w:val="center"/>
          </w:tcPr>
          <w:p w14:paraId="619C5921" w14:textId="77777777" w:rsidR="00696076" w:rsidRPr="00E12F82" w:rsidRDefault="00696076" w:rsidP="00312E88">
            <w:pPr>
              <w:pStyle w:val="Tables"/>
              <w:jc w:val="center"/>
              <w:rPr>
                <w:rFonts w:cs="Arial"/>
                <w:color w:val="FFFFFF" w:themeColor="background1"/>
                <w:sz w:val="15"/>
                <w:szCs w:val="15"/>
              </w:rPr>
            </w:pPr>
            <w:r w:rsidRPr="00E12F82">
              <w:rPr>
                <w:rFonts w:cs="Arial"/>
                <w:color w:val="FFFFFF" w:themeColor="background1"/>
                <w:sz w:val="15"/>
                <w:szCs w:val="15"/>
              </w:rPr>
              <w:t>2022-23</w:t>
            </w:r>
          </w:p>
        </w:tc>
        <w:tc>
          <w:tcPr>
            <w:tcW w:w="851" w:type="dxa"/>
            <w:shd w:val="clear" w:color="auto" w:fill="6B2E76"/>
            <w:vAlign w:val="center"/>
          </w:tcPr>
          <w:p w14:paraId="46142E2A" w14:textId="77777777" w:rsidR="00696076" w:rsidRPr="00E12F82" w:rsidRDefault="00696076" w:rsidP="00312E88">
            <w:pPr>
              <w:pStyle w:val="Tables"/>
              <w:jc w:val="center"/>
              <w:rPr>
                <w:rFonts w:cs="Arial"/>
                <w:color w:val="FFFFFF" w:themeColor="background1"/>
                <w:sz w:val="15"/>
                <w:szCs w:val="15"/>
              </w:rPr>
            </w:pPr>
            <w:r w:rsidRPr="00E12F82">
              <w:rPr>
                <w:rFonts w:cs="Arial"/>
                <w:color w:val="FFFFFF" w:themeColor="background1"/>
                <w:sz w:val="15"/>
                <w:szCs w:val="15"/>
              </w:rPr>
              <w:t>2023-24</w:t>
            </w:r>
          </w:p>
        </w:tc>
        <w:tc>
          <w:tcPr>
            <w:tcW w:w="992" w:type="dxa"/>
            <w:shd w:val="clear" w:color="auto" w:fill="6B2E76"/>
            <w:vAlign w:val="center"/>
          </w:tcPr>
          <w:p w14:paraId="0F3BDFAC" w14:textId="77777777" w:rsidR="00696076" w:rsidRPr="00E12F82" w:rsidRDefault="00696076" w:rsidP="00312E88">
            <w:pPr>
              <w:pStyle w:val="Tables"/>
              <w:jc w:val="center"/>
              <w:rPr>
                <w:rFonts w:cs="Arial"/>
                <w:color w:val="FFFFFF" w:themeColor="background1"/>
                <w:sz w:val="15"/>
                <w:szCs w:val="15"/>
              </w:rPr>
            </w:pPr>
            <w:r w:rsidRPr="00E12F82">
              <w:rPr>
                <w:rFonts w:cs="Arial"/>
                <w:color w:val="FFFFFF" w:themeColor="background1"/>
                <w:sz w:val="15"/>
                <w:szCs w:val="15"/>
              </w:rPr>
              <w:t>2024-25</w:t>
            </w:r>
          </w:p>
        </w:tc>
        <w:tc>
          <w:tcPr>
            <w:tcW w:w="851" w:type="dxa"/>
            <w:shd w:val="clear" w:color="auto" w:fill="6B2E76"/>
            <w:vAlign w:val="center"/>
          </w:tcPr>
          <w:p w14:paraId="070077DE" w14:textId="77777777" w:rsidR="00696076" w:rsidRPr="00E12F82" w:rsidRDefault="00696076" w:rsidP="00312E88">
            <w:pPr>
              <w:pStyle w:val="Tables"/>
              <w:jc w:val="center"/>
              <w:rPr>
                <w:rFonts w:cs="Arial"/>
                <w:color w:val="FFFFFF" w:themeColor="background1"/>
                <w:sz w:val="15"/>
                <w:szCs w:val="15"/>
              </w:rPr>
            </w:pPr>
            <w:r w:rsidRPr="00E12F82">
              <w:rPr>
                <w:rFonts w:cs="Arial"/>
                <w:color w:val="FFFFFF" w:themeColor="background1"/>
                <w:sz w:val="15"/>
                <w:szCs w:val="15"/>
              </w:rPr>
              <w:t>2029-30</w:t>
            </w:r>
          </w:p>
        </w:tc>
      </w:tr>
      <w:tr w:rsidR="00696076" w14:paraId="57FD940C" w14:textId="77777777" w:rsidTr="00312E88">
        <w:trPr>
          <w:trHeight w:hRule="exact" w:val="284"/>
        </w:trPr>
        <w:tc>
          <w:tcPr>
            <w:tcW w:w="3544" w:type="dxa"/>
            <w:shd w:val="clear" w:color="auto" w:fill="FFFFFF" w:themeFill="background1"/>
          </w:tcPr>
          <w:p w14:paraId="704E2774" w14:textId="71DE3F11" w:rsidR="00696076" w:rsidRPr="00E12F82" w:rsidRDefault="00311C55" w:rsidP="00312E88">
            <w:pPr>
              <w:pStyle w:val="Tables"/>
              <w:rPr>
                <w:rFonts w:cs="Arial"/>
                <w:b w:val="0"/>
                <w:bCs w:val="0"/>
                <w:sz w:val="16"/>
                <w:szCs w:val="16"/>
              </w:rPr>
            </w:pPr>
            <w:r>
              <w:rPr>
                <w:rFonts w:cs="Arial"/>
                <w:b w:val="0"/>
                <w:bCs w:val="0"/>
                <w:sz w:val="16"/>
                <w:szCs w:val="16"/>
              </w:rPr>
              <w:t>Existing Scheme p</w:t>
            </w:r>
            <w:r w:rsidR="00696076" w:rsidRPr="00E12F82">
              <w:rPr>
                <w:rFonts w:cs="Arial"/>
                <w:b w:val="0"/>
                <w:bCs w:val="0"/>
                <w:sz w:val="16"/>
                <w:szCs w:val="16"/>
              </w:rPr>
              <w:t>articipants</w:t>
            </w:r>
          </w:p>
        </w:tc>
        <w:tc>
          <w:tcPr>
            <w:tcW w:w="1134" w:type="dxa"/>
            <w:shd w:val="clear" w:color="auto" w:fill="FFFFFF" w:themeFill="background1"/>
          </w:tcPr>
          <w:p w14:paraId="014C8E9F" w14:textId="77777777" w:rsidR="00696076" w:rsidRPr="00E12F82" w:rsidRDefault="00696076" w:rsidP="00312E88">
            <w:pPr>
              <w:pStyle w:val="Tables"/>
              <w:rPr>
                <w:rFonts w:cs="Arial"/>
                <w:b w:val="0"/>
                <w:bCs w:val="0"/>
                <w:sz w:val="16"/>
                <w:szCs w:val="16"/>
              </w:rPr>
            </w:pPr>
            <w:r w:rsidRPr="00E12F82">
              <w:rPr>
                <w:rFonts w:cs="Arial"/>
                <w:b w:val="0"/>
                <w:bCs w:val="0"/>
                <w:sz w:val="16"/>
                <w:szCs w:val="16"/>
              </w:rPr>
              <w:t>95.5%</w:t>
            </w:r>
          </w:p>
        </w:tc>
        <w:tc>
          <w:tcPr>
            <w:tcW w:w="992" w:type="dxa"/>
            <w:shd w:val="clear" w:color="auto" w:fill="FFFFFF" w:themeFill="background1"/>
          </w:tcPr>
          <w:p w14:paraId="71081870" w14:textId="77777777" w:rsidR="00696076" w:rsidRPr="00E12F82" w:rsidRDefault="00696076" w:rsidP="00312E88">
            <w:pPr>
              <w:pStyle w:val="Tables"/>
              <w:rPr>
                <w:rFonts w:cs="Arial"/>
                <w:b w:val="0"/>
                <w:bCs w:val="0"/>
                <w:sz w:val="16"/>
                <w:szCs w:val="16"/>
              </w:rPr>
            </w:pPr>
            <w:r w:rsidRPr="00E12F82">
              <w:rPr>
                <w:rFonts w:cs="Arial"/>
                <w:b w:val="0"/>
                <w:bCs w:val="0"/>
                <w:sz w:val="16"/>
                <w:szCs w:val="16"/>
              </w:rPr>
              <w:t>89.2%</w:t>
            </w:r>
          </w:p>
        </w:tc>
        <w:tc>
          <w:tcPr>
            <w:tcW w:w="851" w:type="dxa"/>
            <w:shd w:val="clear" w:color="auto" w:fill="FFFFFF" w:themeFill="background1"/>
          </w:tcPr>
          <w:p w14:paraId="5E9E871C" w14:textId="77777777" w:rsidR="00696076" w:rsidRPr="00E12F82" w:rsidRDefault="00696076" w:rsidP="00312E88">
            <w:pPr>
              <w:pStyle w:val="Tables"/>
              <w:rPr>
                <w:rFonts w:cs="Arial"/>
                <w:b w:val="0"/>
                <w:bCs w:val="0"/>
                <w:sz w:val="16"/>
                <w:szCs w:val="16"/>
              </w:rPr>
            </w:pPr>
            <w:r w:rsidRPr="00E12F82">
              <w:rPr>
                <w:rFonts w:cs="Arial"/>
                <w:b w:val="0"/>
                <w:bCs w:val="0"/>
                <w:sz w:val="16"/>
                <w:szCs w:val="16"/>
              </w:rPr>
              <w:t>83.6%</w:t>
            </w:r>
          </w:p>
        </w:tc>
        <w:tc>
          <w:tcPr>
            <w:tcW w:w="992" w:type="dxa"/>
            <w:shd w:val="clear" w:color="auto" w:fill="FFFFFF" w:themeFill="background1"/>
          </w:tcPr>
          <w:p w14:paraId="02B21D4F" w14:textId="77777777" w:rsidR="00696076" w:rsidRPr="00E12F82" w:rsidRDefault="00696076" w:rsidP="00312E88">
            <w:pPr>
              <w:pStyle w:val="Tables"/>
              <w:rPr>
                <w:rFonts w:cs="Arial"/>
                <w:b w:val="0"/>
                <w:bCs w:val="0"/>
                <w:sz w:val="16"/>
                <w:szCs w:val="16"/>
              </w:rPr>
            </w:pPr>
            <w:r w:rsidRPr="00E12F82">
              <w:rPr>
                <w:rFonts w:cs="Arial"/>
                <w:b w:val="0"/>
                <w:bCs w:val="0"/>
                <w:sz w:val="16"/>
                <w:szCs w:val="16"/>
              </w:rPr>
              <w:t>79.1%</w:t>
            </w:r>
          </w:p>
        </w:tc>
        <w:tc>
          <w:tcPr>
            <w:tcW w:w="851" w:type="dxa"/>
            <w:shd w:val="clear" w:color="auto" w:fill="FFFFFF" w:themeFill="background1"/>
          </w:tcPr>
          <w:p w14:paraId="061B14E7" w14:textId="77777777" w:rsidR="00696076" w:rsidRPr="00E12F82" w:rsidRDefault="00696076" w:rsidP="00312E88">
            <w:pPr>
              <w:pStyle w:val="Tables"/>
              <w:rPr>
                <w:rFonts w:cs="Arial"/>
                <w:b w:val="0"/>
                <w:bCs w:val="0"/>
                <w:sz w:val="16"/>
                <w:szCs w:val="16"/>
              </w:rPr>
            </w:pPr>
            <w:r w:rsidRPr="00E12F82">
              <w:rPr>
                <w:rFonts w:cs="Arial"/>
                <w:b w:val="0"/>
                <w:bCs w:val="0"/>
                <w:sz w:val="16"/>
                <w:szCs w:val="16"/>
              </w:rPr>
              <w:t>63.3%</w:t>
            </w:r>
          </w:p>
        </w:tc>
      </w:tr>
      <w:tr w:rsidR="00696076" w14:paraId="3A96EF63" w14:textId="77777777" w:rsidTr="00312E88">
        <w:trPr>
          <w:trHeight w:hRule="exact" w:val="284"/>
        </w:trPr>
        <w:tc>
          <w:tcPr>
            <w:tcW w:w="3544" w:type="dxa"/>
            <w:shd w:val="clear" w:color="auto" w:fill="FFFFFF" w:themeFill="background1"/>
          </w:tcPr>
          <w:p w14:paraId="36256EB0" w14:textId="47C2D8E9" w:rsidR="00696076" w:rsidRPr="00E12F82" w:rsidRDefault="00311C55" w:rsidP="00312E88">
            <w:pPr>
              <w:pStyle w:val="Tables"/>
              <w:rPr>
                <w:rFonts w:cs="Arial"/>
                <w:b w:val="0"/>
                <w:bCs w:val="0"/>
                <w:sz w:val="16"/>
                <w:szCs w:val="16"/>
              </w:rPr>
            </w:pPr>
            <w:r>
              <w:rPr>
                <w:rFonts w:cs="Arial"/>
                <w:b w:val="0"/>
                <w:bCs w:val="0"/>
                <w:sz w:val="16"/>
                <w:szCs w:val="16"/>
              </w:rPr>
              <w:t>Future participant i</w:t>
            </w:r>
            <w:r w:rsidR="00696076" w:rsidRPr="00E12F82">
              <w:rPr>
                <w:rFonts w:cs="Arial"/>
                <w:b w:val="0"/>
                <w:bCs w:val="0"/>
                <w:sz w:val="16"/>
                <w:szCs w:val="16"/>
              </w:rPr>
              <w:t>ntake</w:t>
            </w:r>
          </w:p>
        </w:tc>
        <w:tc>
          <w:tcPr>
            <w:tcW w:w="1134" w:type="dxa"/>
            <w:shd w:val="clear" w:color="auto" w:fill="FFFFFF" w:themeFill="background1"/>
          </w:tcPr>
          <w:p w14:paraId="5514146D" w14:textId="77777777" w:rsidR="00696076" w:rsidRPr="00E12F82" w:rsidRDefault="00696076" w:rsidP="00312E88">
            <w:pPr>
              <w:pStyle w:val="Tables"/>
              <w:rPr>
                <w:rFonts w:cs="Arial"/>
                <w:b w:val="0"/>
                <w:bCs w:val="0"/>
                <w:sz w:val="16"/>
                <w:szCs w:val="16"/>
              </w:rPr>
            </w:pPr>
            <w:r w:rsidRPr="00E12F82">
              <w:rPr>
                <w:rFonts w:cs="Arial"/>
                <w:b w:val="0"/>
                <w:bCs w:val="0"/>
                <w:sz w:val="16"/>
                <w:szCs w:val="16"/>
              </w:rPr>
              <w:t>4.5%</w:t>
            </w:r>
          </w:p>
        </w:tc>
        <w:tc>
          <w:tcPr>
            <w:tcW w:w="992" w:type="dxa"/>
            <w:shd w:val="clear" w:color="auto" w:fill="FFFFFF" w:themeFill="background1"/>
          </w:tcPr>
          <w:p w14:paraId="7E60862A" w14:textId="77777777" w:rsidR="00696076" w:rsidRPr="00E12F82" w:rsidRDefault="00696076" w:rsidP="00312E88">
            <w:pPr>
              <w:pStyle w:val="Tables"/>
              <w:rPr>
                <w:rFonts w:cs="Arial"/>
                <w:b w:val="0"/>
                <w:bCs w:val="0"/>
                <w:sz w:val="16"/>
                <w:szCs w:val="16"/>
              </w:rPr>
            </w:pPr>
            <w:r w:rsidRPr="00E12F82">
              <w:rPr>
                <w:rFonts w:cs="Arial"/>
                <w:b w:val="0"/>
                <w:bCs w:val="0"/>
                <w:sz w:val="16"/>
                <w:szCs w:val="16"/>
              </w:rPr>
              <w:t>10.8%</w:t>
            </w:r>
          </w:p>
        </w:tc>
        <w:tc>
          <w:tcPr>
            <w:tcW w:w="851" w:type="dxa"/>
            <w:shd w:val="clear" w:color="auto" w:fill="FFFFFF" w:themeFill="background1"/>
          </w:tcPr>
          <w:p w14:paraId="58080107" w14:textId="77777777" w:rsidR="00696076" w:rsidRPr="00E12F82" w:rsidRDefault="00696076" w:rsidP="00312E88">
            <w:pPr>
              <w:pStyle w:val="Tables"/>
              <w:rPr>
                <w:rFonts w:cs="Arial"/>
                <w:b w:val="0"/>
                <w:bCs w:val="0"/>
                <w:sz w:val="16"/>
                <w:szCs w:val="16"/>
              </w:rPr>
            </w:pPr>
            <w:r w:rsidRPr="00E12F82">
              <w:rPr>
                <w:rFonts w:cs="Arial"/>
                <w:b w:val="0"/>
                <w:bCs w:val="0"/>
                <w:sz w:val="16"/>
                <w:szCs w:val="16"/>
              </w:rPr>
              <w:t>16.4%</w:t>
            </w:r>
          </w:p>
        </w:tc>
        <w:tc>
          <w:tcPr>
            <w:tcW w:w="992" w:type="dxa"/>
            <w:shd w:val="clear" w:color="auto" w:fill="FFFFFF" w:themeFill="background1"/>
          </w:tcPr>
          <w:p w14:paraId="461C487A" w14:textId="77777777" w:rsidR="00696076" w:rsidRPr="00E12F82" w:rsidRDefault="00696076" w:rsidP="00312E88">
            <w:pPr>
              <w:pStyle w:val="Tables"/>
              <w:rPr>
                <w:rFonts w:cs="Arial"/>
                <w:b w:val="0"/>
                <w:bCs w:val="0"/>
                <w:sz w:val="16"/>
                <w:szCs w:val="16"/>
              </w:rPr>
            </w:pPr>
            <w:r w:rsidRPr="00E12F82">
              <w:rPr>
                <w:rFonts w:cs="Arial"/>
                <w:b w:val="0"/>
                <w:bCs w:val="0"/>
                <w:sz w:val="16"/>
                <w:szCs w:val="16"/>
              </w:rPr>
              <w:t>20.9%</w:t>
            </w:r>
          </w:p>
        </w:tc>
        <w:tc>
          <w:tcPr>
            <w:tcW w:w="851" w:type="dxa"/>
            <w:shd w:val="clear" w:color="auto" w:fill="FFFFFF" w:themeFill="background1"/>
          </w:tcPr>
          <w:p w14:paraId="46154F7B" w14:textId="77777777" w:rsidR="00696076" w:rsidRPr="00E12F82" w:rsidRDefault="00696076" w:rsidP="00312E88">
            <w:pPr>
              <w:pStyle w:val="Tables"/>
              <w:rPr>
                <w:rFonts w:cs="Arial"/>
                <w:b w:val="0"/>
                <w:bCs w:val="0"/>
                <w:sz w:val="16"/>
                <w:szCs w:val="16"/>
              </w:rPr>
            </w:pPr>
            <w:r w:rsidRPr="00E12F82">
              <w:rPr>
                <w:rFonts w:cs="Arial"/>
                <w:b w:val="0"/>
                <w:bCs w:val="0"/>
                <w:sz w:val="16"/>
                <w:szCs w:val="16"/>
              </w:rPr>
              <w:t>36.7%</w:t>
            </w:r>
          </w:p>
        </w:tc>
      </w:tr>
      <w:tr w:rsidR="00696076" w14:paraId="674C25BE" w14:textId="77777777" w:rsidTr="00312E88">
        <w:trPr>
          <w:trHeight w:hRule="exact" w:val="284"/>
        </w:trPr>
        <w:tc>
          <w:tcPr>
            <w:tcW w:w="3544" w:type="dxa"/>
            <w:shd w:val="clear" w:color="auto" w:fill="FFFFFF" w:themeFill="background1"/>
          </w:tcPr>
          <w:p w14:paraId="4B6A6A4D" w14:textId="77777777" w:rsidR="00696076" w:rsidRPr="00E12F82" w:rsidRDefault="00696076" w:rsidP="00312E88">
            <w:pPr>
              <w:pStyle w:val="Tables"/>
              <w:rPr>
                <w:rFonts w:cs="Arial"/>
                <w:sz w:val="16"/>
                <w:szCs w:val="16"/>
              </w:rPr>
            </w:pPr>
            <w:r w:rsidRPr="00E12F82">
              <w:rPr>
                <w:rFonts w:cs="Arial"/>
                <w:sz w:val="16"/>
                <w:szCs w:val="16"/>
              </w:rPr>
              <w:t>Total Participant Costs</w:t>
            </w:r>
          </w:p>
        </w:tc>
        <w:tc>
          <w:tcPr>
            <w:tcW w:w="1134" w:type="dxa"/>
            <w:shd w:val="clear" w:color="auto" w:fill="FFFFFF" w:themeFill="background1"/>
          </w:tcPr>
          <w:p w14:paraId="4C7CF4CC" w14:textId="77777777" w:rsidR="00696076" w:rsidRPr="00E12F82" w:rsidRDefault="00696076" w:rsidP="00312E88">
            <w:pPr>
              <w:pStyle w:val="Tables"/>
              <w:rPr>
                <w:rFonts w:cs="Arial"/>
                <w:sz w:val="16"/>
                <w:szCs w:val="16"/>
              </w:rPr>
            </w:pPr>
            <w:r w:rsidRPr="00E12F82">
              <w:rPr>
                <w:rFonts w:cs="Arial"/>
                <w:sz w:val="16"/>
                <w:szCs w:val="16"/>
              </w:rPr>
              <w:t>100%</w:t>
            </w:r>
          </w:p>
        </w:tc>
        <w:tc>
          <w:tcPr>
            <w:tcW w:w="992" w:type="dxa"/>
            <w:shd w:val="clear" w:color="auto" w:fill="FFFFFF" w:themeFill="background1"/>
          </w:tcPr>
          <w:p w14:paraId="70C8145E" w14:textId="77777777" w:rsidR="00696076" w:rsidRPr="00E12F82" w:rsidRDefault="00696076" w:rsidP="00312E88">
            <w:pPr>
              <w:pStyle w:val="Tables"/>
              <w:rPr>
                <w:rFonts w:cs="Arial"/>
                <w:sz w:val="16"/>
                <w:szCs w:val="16"/>
              </w:rPr>
            </w:pPr>
            <w:r w:rsidRPr="00E12F82">
              <w:rPr>
                <w:rFonts w:cs="Arial"/>
                <w:sz w:val="16"/>
                <w:szCs w:val="16"/>
              </w:rPr>
              <w:t>100%</w:t>
            </w:r>
          </w:p>
        </w:tc>
        <w:tc>
          <w:tcPr>
            <w:tcW w:w="851" w:type="dxa"/>
            <w:shd w:val="clear" w:color="auto" w:fill="FFFFFF" w:themeFill="background1"/>
          </w:tcPr>
          <w:p w14:paraId="46C24752" w14:textId="77777777" w:rsidR="00696076" w:rsidRPr="00E12F82" w:rsidRDefault="00696076" w:rsidP="00312E88">
            <w:pPr>
              <w:pStyle w:val="Tables"/>
              <w:rPr>
                <w:rFonts w:cs="Arial"/>
                <w:sz w:val="16"/>
                <w:szCs w:val="16"/>
              </w:rPr>
            </w:pPr>
            <w:r w:rsidRPr="00E12F82">
              <w:rPr>
                <w:rFonts w:cs="Arial"/>
                <w:sz w:val="16"/>
                <w:szCs w:val="16"/>
              </w:rPr>
              <w:t>100%</w:t>
            </w:r>
          </w:p>
        </w:tc>
        <w:tc>
          <w:tcPr>
            <w:tcW w:w="992" w:type="dxa"/>
            <w:shd w:val="clear" w:color="auto" w:fill="FFFFFF" w:themeFill="background1"/>
          </w:tcPr>
          <w:p w14:paraId="2636E14B" w14:textId="77777777" w:rsidR="00696076" w:rsidRPr="00E12F82" w:rsidRDefault="00696076" w:rsidP="00312E88">
            <w:pPr>
              <w:pStyle w:val="Tables"/>
              <w:rPr>
                <w:rFonts w:cs="Arial"/>
                <w:sz w:val="16"/>
                <w:szCs w:val="16"/>
              </w:rPr>
            </w:pPr>
            <w:r w:rsidRPr="00E12F82">
              <w:rPr>
                <w:rFonts w:cs="Arial"/>
                <w:sz w:val="16"/>
                <w:szCs w:val="16"/>
              </w:rPr>
              <w:t>100%</w:t>
            </w:r>
          </w:p>
        </w:tc>
        <w:tc>
          <w:tcPr>
            <w:tcW w:w="851" w:type="dxa"/>
            <w:shd w:val="clear" w:color="auto" w:fill="FFFFFF" w:themeFill="background1"/>
          </w:tcPr>
          <w:p w14:paraId="226DBF2F" w14:textId="77777777" w:rsidR="00696076" w:rsidRPr="00E12F82" w:rsidRDefault="00696076" w:rsidP="00312E88">
            <w:pPr>
              <w:pStyle w:val="Tables"/>
              <w:rPr>
                <w:rFonts w:cs="Arial"/>
                <w:sz w:val="16"/>
                <w:szCs w:val="16"/>
              </w:rPr>
            </w:pPr>
            <w:r w:rsidRPr="00E12F82">
              <w:rPr>
                <w:rFonts w:cs="Arial"/>
                <w:sz w:val="16"/>
                <w:szCs w:val="16"/>
              </w:rPr>
              <w:t>100%</w:t>
            </w:r>
          </w:p>
        </w:tc>
      </w:tr>
    </w:tbl>
    <w:p w14:paraId="1E67DD93" w14:textId="485004C9" w:rsidR="00CD34AC" w:rsidRPr="00F50AF2" w:rsidRDefault="00CD34AC" w:rsidP="00CD34AC">
      <w:pPr>
        <w:pStyle w:val="FSRnormal"/>
        <w:rPr>
          <w:highlight w:val="yellow"/>
        </w:rPr>
      </w:pPr>
    </w:p>
    <w:p w14:paraId="54F0C3E6" w14:textId="1C4FB899" w:rsidR="00A521EC" w:rsidRDefault="00A521EC" w:rsidP="00203269">
      <w:pPr>
        <w:pStyle w:val="Heading3"/>
      </w:pPr>
      <w:bookmarkStart w:id="176" w:name="_Toc74849903"/>
      <w:bookmarkStart w:id="177" w:name="_Toc74852204"/>
      <w:bookmarkStart w:id="178" w:name="_Toc74853357"/>
      <w:bookmarkStart w:id="179" w:name="_Toc74924955"/>
      <w:bookmarkStart w:id="180" w:name="_Toc74932416"/>
      <w:bookmarkStart w:id="181" w:name="_Toc75034642"/>
      <w:bookmarkStart w:id="182" w:name="_Toc75035699"/>
      <w:bookmarkStart w:id="183" w:name="_Toc75036688"/>
      <w:bookmarkStart w:id="184" w:name="_Toc83220848"/>
      <w:bookmarkStart w:id="185" w:name="_Toc85031259"/>
      <w:bookmarkEnd w:id="176"/>
      <w:bookmarkEnd w:id="177"/>
      <w:bookmarkEnd w:id="178"/>
      <w:bookmarkEnd w:id="179"/>
      <w:bookmarkEnd w:id="180"/>
      <w:bookmarkEnd w:id="181"/>
      <w:bookmarkEnd w:id="182"/>
      <w:bookmarkEnd w:id="183"/>
      <w:r w:rsidRPr="00203269">
        <w:t>Comparison</w:t>
      </w:r>
      <w:r>
        <w:t xml:space="preserve"> with previous AFSR</w:t>
      </w:r>
      <w:bookmarkEnd w:id="184"/>
      <w:bookmarkEnd w:id="185"/>
    </w:p>
    <w:p w14:paraId="3866C00A" w14:textId="58970406" w:rsidR="0080753C" w:rsidRDefault="00203269" w:rsidP="00203269">
      <w:pPr>
        <w:pStyle w:val="FSRnormal"/>
      </w:pPr>
      <w:r w:rsidRPr="00203269">
        <w:t xml:space="preserve">This section compares the 2020-21 AFSR cost projections with </w:t>
      </w:r>
      <w:r w:rsidR="000630E7">
        <w:t>those from the previous review</w:t>
      </w:r>
      <w:r w:rsidR="0080753C">
        <w:t xml:space="preserve">. The projected participant costs are approximately $3.9 billion </w:t>
      </w:r>
      <w:r w:rsidR="0080753C" w:rsidRPr="00B47157">
        <w:rPr>
          <w:b/>
        </w:rPr>
        <w:t>higher</w:t>
      </w:r>
      <w:r w:rsidR="0080753C">
        <w:t xml:space="preserve"> than the previous review in the four years to June 2025, and about $1.0 billion </w:t>
      </w:r>
      <w:r w:rsidR="0080753C" w:rsidRPr="00B47157">
        <w:rPr>
          <w:b/>
        </w:rPr>
        <w:t>lower</w:t>
      </w:r>
      <w:r w:rsidR="0080753C">
        <w:t xml:space="preserve"> in 2029-</w:t>
      </w:r>
      <w:r w:rsidR="0080753C" w:rsidRPr="00F03681">
        <w:t>30</w:t>
      </w:r>
      <w:r w:rsidR="0080753C">
        <w:t xml:space="preserve"> (</w:t>
      </w:r>
      <w:r w:rsidR="0080753C" w:rsidRPr="00696076">
        <w:rPr>
          <w:u w:val="single"/>
        </w:rPr>
        <w:fldChar w:fldCharType="begin"/>
      </w:r>
      <w:r w:rsidR="0080753C" w:rsidRPr="00696076">
        <w:rPr>
          <w:u w:val="single"/>
        </w:rPr>
        <w:instrText xml:space="preserve"> REF _Ref79489005 \h </w:instrText>
      </w:r>
      <w:r w:rsidR="00696076">
        <w:rPr>
          <w:u w:val="single"/>
        </w:rPr>
        <w:instrText xml:space="preserve"> \* MERGEFORMAT </w:instrText>
      </w:r>
      <w:r w:rsidR="0080753C" w:rsidRPr="00696076">
        <w:rPr>
          <w:u w:val="single"/>
        </w:rPr>
      </w:r>
      <w:r w:rsidR="0080753C" w:rsidRPr="00696076">
        <w:rPr>
          <w:u w:val="single"/>
        </w:rPr>
        <w:fldChar w:fldCharType="separate"/>
      </w:r>
      <w:r w:rsidR="00E50032" w:rsidRPr="00E50032">
        <w:rPr>
          <w:u w:val="single"/>
        </w:rPr>
        <w:t xml:space="preserve">Table </w:t>
      </w:r>
      <w:r w:rsidR="00E50032" w:rsidRPr="00E50032">
        <w:rPr>
          <w:noProof/>
          <w:u w:val="single"/>
        </w:rPr>
        <w:t>20</w:t>
      </w:r>
      <w:r w:rsidR="0080753C" w:rsidRPr="00696076">
        <w:rPr>
          <w:u w:val="single"/>
        </w:rPr>
        <w:fldChar w:fldCharType="end"/>
      </w:r>
      <w:r w:rsidR="0080753C">
        <w:t xml:space="preserve">). </w:t>
      </w:r>
    </w:p>
    <w:p w14:paraId="7E6CBFEB" w14:textId="3FA0019F" w:rsidR="00203269" w:rsidRPr="00203269" w:rsidRDefault="005A3D10" w:rsidP="00203269">
      <w:pPr>
        <w:pStyle w:val="FSRnormal"/>
      </w:pPr>
      <w:r>
        <w:t>Comparisons with the 2021-22 PBS Estimates and the 2017 PC Study report are shown in Section 6.3 and m</w:t>
      </w:r>
      <w:r w:rsidR="00203269" w:rsidRPr="00203269">
        <w:t xml:space="preserve">ore detailed comparisons with </w:t>
      </w:r>
      <w:r w:rsidR="0080753C">
        <w:t xml:space="preserve">the previous review </w:t>
      </w:r>
      <w:r>
        <w:t xml:space="preserve">are shown </w:t>
      </w:r>
      <w:r w:rsidR="00203269">
        <w:t>in Appendix C.</w:t>
      </w:r>
    </w:p>
    <w:p w14:paraId="4446FD65" w14:textId="0AA544AD" w:rsidR="00203269" w:rsidRDefault="00203269" w:rsidP="00203269">
      <w:pPr>
        <w:pStyle w:val="Tables"/>
      </w:pPr>
      <w:bookmarkStart w:id="186" w:name="_Ref79489005"/>
      <w:r w:rsidRPr="00203269">
        <w:t xml:space="preserve">Table </w:t>
      </w:r>
      <w:fldSimple w:instr=" SEQ Table \* ARABIC ">
        <w:r w:rsidR="00E50032">
          <w:rPr>
            <w:noProof/>
          </w:rPr>
          <w:t>20</w:t>
        </w:r>
      </w:fldSimple>
      <w:bookmarkEnd w:id="186"/>
      <w:r w:rsidRPr="00203269">
        <w:t xml:space="preserve"> Comparison of 2020-21 AFSR with 2019-20 AFSR  </w:t>
      </w:r>
    </w:p>
    <w:tbl>
      <w:tblPr>
        <w:tblStyle w:val="TableGrid"/>
        <w:tblW w:w="9215" w:type="dxa"/>
        <w:tblInd w:w="-5" w:type="dxa"/>
        <w:tblLayout w:type="fixed"/>
        <w:tblLook w:val="04A0" w:firstRow="1" w:lastRow="0" w:firstColumn="1" w:lastColumn="0" w:noHBand="0" w:noVBand="1"/>
      </w:tblPr>
      <w:tblGrid>
        <w:gridCol w:w="3544"/>
        <w:gridCol w:w="1134"/>
        <w:gridCol w:w="992"/>
        <w:gridCol w:w="851"/>
        <w:gridCol w:w="992"/>
        <w:gridCol w:w="851"/>
        <w:gridCol w:w="851"/>
      </w:tblGrid>
      <w:tr w:rsidR="007E12D9" w14:paraId="1FE17098" w14:textId="77777777" w:rsidTr="00312E88">
        <w:trPr>
          <w:tblHeader/>
        </w:trPr>
        <w:tc>
          <w:tcPr>
            <w:tcW w:w="3544" w:type="dxa"/>
            <w:shd w:val="clear" w:color="auto" w:fill="6B2E76"/>
          </w:tcPr>
          <w:p w14:paraId="3FEB4349" w14:textId="77777777" w:rsidR="007E12D9" w:rsidRPr="00E12F82" w:rsidRDefault="007E12D9" w:rsidP="00312E88">
            <w:pPr>
              <w:pStyle w:val="Tables"/>
              <w:rPr>
                <w:rFonts w:cs="Arial"/>
                <w:color w:val="FFFFFF" w:themeColor="background1"/>
                <w:sz w:val="15"/>
                <w:szCs w:val="15"/>
              </w:rPr>
            </w:pPr>
            <w:r w:rsidRPr="00E12F82">
              <w:rPr>
                <w:rFonts w:cs="Arial"/>
                <w:color w:val="FFFFFF" w:themeColor="background1"/>
                <w:sz w:val="15"/>
                <w:szCs w:val="15"/>
              </w:rPr>
              <w:t xml:space="preserve">Projected Participant Costs ($m) </w:t>
            </w:r>
          </w:p>
        </w:tc>
        <w:tc>
          <w:tcPr>
            <w:tcW w:w="1134" w:type="dxa"/>
            <w:shd w:val="clear" w:color="auto" w:fill="6B2E76"/>
            <w:vAlign w:val="center"/>
          </w:tcPr>
          <w:p w14:paraId="3F8114EC" w14:textId="77777777" w:rsidR="007E12D9" w:rsidRPr="00E12F82" w:rsidRDefault="007E12D9" w:rsidP="00312E88">
            <w:pPr>
              <w:pStyle w:val="Tables"/>
              <w:jc w:val="center"/>
              <w:rPr>
                <w:rFonts w:cs="Arial"/>
                <w:color w:val="FFFFFF" w:themeColor="background1"/>
                <w:sz w:val="15"/>
                <w:szCs w:val="15"/>
              </w:rPr>
            </w:pPr>
            <w:r w:rsidRPr="00E12F82">
              <w:rPr>
                <w:rFonts w:cs="Arial"/>
                <w:color w:val="FFFFFF" w:themeColor="background1"/>
                <w:sz w:val="15"/>
                <w:szCs w:val="15"/>
              </w:rPr>
              <w:t>2021-22</w:t>
            </w:r>
          </w:p>
        </w:tc>
        <w:tc>
          <w:tcPr>
            <w:tcW w:w="992" w:type="dxa"/>
            <w:shd w:val="clear" w:color="auto" w:fill="6B2E76"/>
            <w:vAlign w:val="center"/>
          </w:tcPr>
          <w:p w14:paraId="560C6D90" w14:textId="77777777" w:rsidR="007E12D9" w:rsidRPr="00E12F82" w:rsidRDefault="007E12D9" w:rsidP="00312E88">
            <w:pPr>
              <w:pStyle w:val="Tables"/>
              <w:jc w:val="center"/>
              <w:rPr>
                <w:rFonts w:cs="Arial"/>
                <w:color w:val="FFFFFF" w:themeColor="background1"/>
                <w:sz w:val="15"/>
                <w:szCs w:val="15"/>
              </w:rPr>
            </w:pPr>
            <w:r w:rsidRPr="00E12F82">
              <w:rPr>
                <w:rFonts w:cs="Arial"/>
                <w:color w:val="FFFFFF" w:themeColor="background1"/>
                <w:sz w:val="15"/>
                <w:szCs w:val="15"/>
              </w:rPr>
              <w:t>2022-23</w:t>
            </w:r>
          </w:p>
        </w:tc>
        <w:tc>
          <w:tcPr>
            <w:tcW w:w="851" w:type="dxa"/>
            <w:shd w:val="clear" w:color="auto" w:fill="6B2E76"/>
            <w:vAlign w:val="center"/>
          </w:tcPr>
          <w:p w14:paraId="35D40042" w14:textId="77777777" w:rsidR="007E12D9" w:rsidRPr="00E12F82" w:rsidRDefault="007E12D9" w:rsidP="00312E88">
            <w:pPr>
              <w:pStyle w:val="Tables"/>
              <w:jc w:val="center"/>
              <w:rPr>
                <w:rFonts w:cs="Arial"/>
                <w:color w:val="FFFFFF" w:themeColor="background1"/>
                <w:sz w:val="15"/>
                <w:szCs w:val="15"/>
              </w:rPr>
            </w:pPr>
            <w:r w:rsidRPr="00E12F82">
              <w:rPr>
                <w:rFonts w:cs="Arial"/>
                <w:color w:val="FFFFFF" w:themeColor="background1"/>
                <w:sz w:val="15"/>
                <w:szCs w:val="15"/>
              </w:rPr>
              <w:t>2023-24</w:t>
            </w:r>
          </w:p>
        </w:tc>
        <w:tc>
          <w:tcPr>
            <w:tcW w:w="992" w:type="dxa"/>
            <w:shd w:val="clear" w:color="auto" w:fill="6B2E76"/>
            <w:vAlign w:val="center"/>
          </w:tcPr>
          <w:p w14:paraId="211AC0BD" w14:textId="77777777" w:rsidR="007E12D9" w:rsidRPr="00E12F82" w:rsidRDefault="007E12D9" w:rsidP="00312E88">
            <w:pPr>
              <w:pStyle w:val="Tables"/>
              <w:jc w:val="center"/>
              <w:rPr>
                <w:rFonts w:cs="Arial"/>
                <w:color w:val="FFFFFF" w:themeColor="background1"/>
                <w:sz w:val="15"/>
                <w:szCs w:val="15"/>
              </w:rPr>
            </w:pPr>
            <w:r w:rsidRPr="00E12F82">
              <w:rPr>
                <w:rFonts w:cs="Arial"/>
                <w:color w:val="FFFFFF" w:themeColor="background1"/>
                <w:sz w:val="15"/>
                <w:szCs w:val="15"/>
              </w:rPr>
              <w:t>2024-25</w:t>
            </w:r>
          </w:p>
        </w:tc>
        <w:tc>
          <w:tcPr>
            <w:tcW w:w="851" w:type="dxa"/>
            <w:shd w:val="clear" w:color="auto" w:fill="6B2E76"/>
            <w:vAlign w:val="center"/>
          </w:tcPr>
          <w:p w14:paraId="1A60E78E" w14:textId="77777777" w:rsidR="007E12D9" w:rsidRPr="00E12F82" w:rsidRDefault="007E12D9" w:rsidP="00312E88">
            <w:pPr>
              <w:pStyle w:val="Tables"/>
              <w:jc w:val="center"/>
              <w:rPr>
                <w:rFonts w:cs="Arial"/>
                <w:color w:val="FFFFFF" w:themeColor="background1"/>
                <w:sz w:val="15"/>
                <w:szCs w:val="15"/>
              </w:rPr>
            </w:pPr>
            <w:r w:rsidRPr="00E12F82">
              <w:rPr>
                <w:rFonts w:cs="Arial"/>
                <w:color w:val="FFFFFF" w:themeColor="background1"/>
                <w:sz w:val="15"/>
                <w:szCs w:val="15"/>
              </w:rPr>
              <w:t>2029-30</w:t>
            </w:r>
          </w:p>
        </w:tc>
        <w:tc>
          <w:tcPr>
            <w:tcW w:w="851" w:type="dxa"/>
            <w:shd w:val="clear" w:color="auto" w:fill="6B2E76"/>
          </w:tcPr>
          <w:p w14:paraId="12A004B6" w14:textId="77777777" w:rsidR="007E12D9" w:rsidRPr="00E12F82" w:rsidRDefault="007E12D9" w:rsidP="00312E88">
            <w:pPr>
              <w:pStyle w:val="Tables"/>
              <w:jc w:val="center"/>
              <w:rPr>
                <w:rFonts w:cs="Arial"/>
                <w:color w:val="FFFFFF" w:themeColor="background1"/>
                <w:sz w:val="15"/>
                <w:szCs w:val="15"/>
              </w:rPr>
            </w:pPr>
            <w:r w:rsidRPr="00E12F82">
              <w:rPr>
                <w:rFonts w:cs="Arial"/>
                <w:color w:val="FFFFFF" w:themeColor="background1"/>
                <w:sz w:val="15"/>
                <w:szCs w:val="15"/>
              </w:rPr>
              <w:t>Total 2021-25</w:t>
            </w:r>
          </w:p>
        </w:tc>
      </w:tr>
      <w:tr w:rsidR="007E12D9" w14:paraId="7FA4D8ED" w14:textId="77777777" w:rsidTr="00312E88">
        <w:trPr>
          <w:trHeight w:hRule="exact" w:val="284"/>
        </w:trPr>
        <w:tc>
          <w:tcPr>
            <w:tcW w:w="3544" w:type="dxa"/>
            <w:shd w:val="clear" w:color="auto" w:fill="FFFFFF" w:themeFill="background1"/>
          </w:tcPr>
          <w:p w14:paraId="26A92CB8"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2020-21 AFSR</w:t>
            </w:r>
          </w:p>
        </w:tc>
        <w:tc>
          <w:tcPr>
            <w:tcW w:w="1134" w:type="dxa"/>
            <w:shd w:val="clear" w:color="auto" w:fill="FFFFFF" w:themeFill="background1"/>
          </w:tcPr>
          <w:p w14:paraId="43255CD8"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29,223</w:t>
            </w:r>
          </w:p>
        </w:tc>
        <w:tc>
          <w:tcPr>
            <w:tcW w:w="992" w:type="dxa"/>
            <w:shd w:val="clear" w:color="auto" w:fill="FFFFFF" w:themeFill="background1"/>
          </w:tcPr>
          <w:p w14:paraId="0B67A7AF"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33,886</w:t>
            </w:r>
          </w:p>
        </w:tc>
        <w:tc>
          <w:tcPr>
            <w:tcW w:w="851" w:type="dxa"/>
            <w:shd w:val="clear" w:color="auto" w:fill="FFFFFF" w:themeFill="background1"/>
          </w:tcPr>
          <w:p w14:paraId="2298968E"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37,973</w:t>
            </w:r>
          </w:p>
        </w:tc>
        <w:tc>
          <w:tcPr>
            <w:tcW w:w="992" w:type="dxa"/>
            <w:shd w:val="clear" w:color="auto" w:fill="FFFFFF" w:themeFill="background1"/>
          </w:tcPr>
          <w:p w14:paraId="52D47EFB"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41,373</w:t>
            </w:r>
          </w:p>
        </w:tc>
        <w:tc>
          <w:tcPr>
            <w:tcW w:w="851" w:type="dxa"/>
            <w:shd w:val="clear" w:color="auto" w:fill="FFFFFF" w:themeFill="background1"/>
          </w:tcPr>
          <w:p w14:paraId="3D184245"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59,284</w:t>
            </w:r>
          </w:p>
        </w:tc>
        <w:tc>
          <w:tcPr>
            <w:tcW w:w="851" w:type="dxa"/>
            <w:shd w:val="clear" w:color="auto" w:fill="FFFFFF" w:themeFill="background1"/>
          </w:tcPr>
          <w:p w14:paraId="66B317CC"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142,455</w:t>
            </w:r>
          </w:p>
        </w:tc>
      </w:tr>
      <w:tr w:rsidR="007E12D9" w14:paraId="69AB1E04" w14:textId="77777777" w:rsidTr="00312E88">
        <w:trPr>
          <w:trHeight w:hRule="exact" w:val="284"/>
        </w:trPr>
        <w:tc>
          <w:tcPr>
            <w:tcW w:w="3544" w:type="dxa"/>
            <w:shd w:val="clear" w:color="auto" w:fill="FFFFFF" w:themeFill="background1"/>
          </w:tcPr>
          <w:p w14:paraId="72230AE9"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Dec20 AFSR</w:t>
            </w:r>
          </w:p>
        </w:tc>
        <w:tc>
          <w:tcPr>
            <w:tcW w:w="1134" w:type="dxa"/>
            <w:shd w:val="clear" w:color="auto" w:fill="FFFFFF" w:themeFill="background1"/>
          </w:tcPr>
          <w:p w14:paraId="45666E93"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28,139</w:t>
            </w:r>
          </w:p>
        </w:tc>
        <w:tc>
          <w:tcPr>
            <w:tcW w:w="992" w:type="dxa"/>
            <w:shd w:val="clear" w:color="auto" w:fill="FFFFFF" w:themeFill="background1"/>
          </w:tcPr>
          <w:p w14:paraId="05ACE6D5"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32,900</w:t>
            </w:r>
          </w:p>
        </w:tc>
        <w:tc>
          <w:tcPr>
            <w:tcW w:w="851" w:type="dxa"/>
            <w:shd w:val="clear" w:color="auto" w:fill="FFFFFF" w:themeFill="background1"/>
          </w:tcPr>
          <w:p w14:paraId="55201C4B"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36,906</w:t>
            </w:r>
          </w:p>
        </w:tc>
        <w:tc>
          <w:tcPr>
            <w:tcW w:w="992" w:type="dxa"/>
            <w:shd w:val="clear" w:color="auto" w:fill="FFFFFF" w:themeFill="background1"/>
          </w:tcPr>
          <w:p w14:paraId="4BEA5BD0"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40,659</w:t>
            </w:r>
          </w:p>
        </w:tc>
        <w:tc>
          <w:tcPr>
            <w:tcW w:w="851" w:type="dxa"/>
            <w:shd w:val="clear" w:color="auto" w:fill="FFFFFF" w:themeFill="background1"/>
          </w:tcPr>
          <w:p w14:paraId="78D109FC"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60,324</w:t>
            </w:r>
          </w:p>
        </w:tc>
        <w:tc>
          <w:tcPr>
            <w:tcW w:w="851" w:type="dxa"/>
            <w:shd w:val="clear" w:color="auto" w:fill="FFFFFF" w:themeFill="background1"/>
          </w:tcPr>
          <w:p w14:paraId="0678F712"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138,603</w:t>
            </w:r>
          </w:p>
        </w:tc>
      </w:tr>
      <w:tr w:rsidR="007E12D9" w14:paraId="71B2673B" w14:textId="77777777" w:rsidTr="00312E88">
        <w:trPr>
          <w:trHeight w:hRule="exact" w:val="284"/>
        </w:trPr>
        <w:tc>
          <w:tcPr>
            <w:tcW w:w="3544" w:type="dxa"/>
            <w:shd w:val="clear" w:color="auto" w:fill="FFFFFF" w:themeFill="background1"/>
          </w:tcPr>
          <w:p w14:paraId="64AB6D4C"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Difference</w:t>
            </w:r>
          </w:p>
        </w:tc>
        <w:tc>
          <w:tcPr>
            <w:tcW w:w="1134" w:type="dxa"/>
            <w:shd w:val="clear" w:color="auto" w:fill="FFFFFF" w:themeFill="background1"/>
          </w:tcPr>
          <w:p w14:paraId="1F8CE164"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1,085</w:t>
            </w:r>
          </w:p>
        </w:tc>
        <w:tc>
          <w:tcPr>
            <w:tcW w:w="992" w:type="dxa"/>
            <w:shd w:val="clear" w:color="auto" w:fill="FFFFFF" w:themeFill="background1"/>
          </w:tcPr>
          <w:p w14:paraId="7AAF7890"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987</w:t>
            </w:r>
          </w:p>
        </w:tc>
        <w:tc>
          <w:tcPr>
            <w:tcW w:w="851" w:type="dxa"/>
            <w:shd w:val="clear" w:color="auto" w:fill="FFFFFF" w:themeFill="background1"/>
          </w:tcPr>
          <w:p w14:paraId="38B13834"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1,066</w:t>
            </w:r>
          </w:p>
        </w:tc>
        <w:tc>
          <w:tcPr>
            <w:tcW w:w="992" w:type="dxa"/>
            <w:shd w:val="clear" w:color="auto" w:fill="FFFFFF" w:themeFill="background1"/>
          </w:tcPr>
          <w:p w14:paraId="01C60187"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714</w:t>
            </w:r>
          </w:p>
        </w:tc>
        <w:tc>
          <w:tcPr>
            <w:tcW w:w="851" w:type="dxa"/>
            <w:shd w:val="clear" w:color="auto" w:fill="FFFFFF" w:themeFill="background1"/>
          </w:tcPr>
          <w:p w14:paraId="24355B55"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-1,040</w:t>
            </w:r>
          </w:p>
        </w:tc>
        <w:tc>
          <w:tcPr>
            <w:tcW w:w="851" w:type="dxa"/>
            <w:shd w:val="clear" w:color="auto" w:fill="FFFFFF" w:themeFill="background1"/>
          </w:tcPr>
          <w:p w14:paraId="2DFD83B4" w14:textId="77777777" w:rsidR="007E12D9" w:rsidRPr="00E12F82" w:rsidRDefault="007E12D9" w:rsidP="00312E88">
            <w:pPr>
              <w:pStyle w:val="Tables"/>
              <w:rPr>
                <w:rFonts w:cs="Arial"/>
                <w:b w:val="0"/>
                <w:bCs w:val="0"/>
                <w:sz w:val="16"/>
                <w:szCs w:val="16"/>
              </w:rPr>
            </w:pPr>
            <w:r w:rsidRPr="00E12F82">
              <w:rPr>
                <w:rFonts w:cs="Arial"/>
                <w:b w:val="0"/>
                <w:bCs w:val="0"/>
                <w:sz w:val="16"/>
                <w:szCs w:val="16"/>
              </w:rPr>
              <w:t>3,852</w:t>
            </w:r>
          </w:p>
        </w:tc>
      </w:tr>
    </w:tbl>
    <w:p w14:paraId="671CB9D2" w14:textId="7593BDF4" w:rsidR="00203269" w:rsidRDefault="00203269" w:rsidP="00203269">
      <w:pPr>
        <w:pStyle w:val="FSRnormal"/>
      </w:pPr>
    </w:p>
    <w:p w14:paraId="55E32B3F" w14:textId="090AC131" w:rsidR="0080753C" w:rsidRPr="00B8229F" w:rsidRDefault="0080753C" w:rsidP="0080753C">
      <w:pPr>
        <w:pStyle w:val="FSRnormal"/>
      </w:pPr>
      <w:r w:rsidRPr="00B8229F">
        <w:t xml:space="preserve">The sources of variance between this projection and the previous review </w:t>
      </w:r>
      <w:r>
        <w:t xml:space="preserve">are </w:t>
      </w:r>
      <w:r w:rsidRPr="00B8229F">
        <w:t xml:space="preserve">shown in </w:t>
      </w:r>
      <w:r w:rsidR="00E97649" w:rsidRPr="007E12D9">
        <w:rPr>
          <w:u w:val="single"/>
        </w:rPr>
        <w:fldChar w:fldCharType="begin"/>
      </w:r>
      <w:r w:rsidR="00E97649" w:rsidRPr="007E12D9">
        <w:rPr>
          <w:u w:val="single"/>
        </w:rPr>
        <w:instrText xml:space="preserve"> REF _Ref80272209 \h </w:instrText>
      </w:r>
      <w:r w:rsidR="007E12D9">
        <w:rPr>
          <w:u w:val="single"/>
        </w:rPr>
        <w:instrText xml:space="preserve"> \* MERGEFORMAT </w:instrText>
      </w:r>
      <w:r w:rsidR="00E97649" w:rsidRPr="007E12D9">
        <w:rPr>
          <w:u w:val="single"/>
        </w:rPr>
      </w:r>
      <w:r w:rsidR="00E97649" w:rsidRPr="007E12D9">
        <w:rPr>
          <w:u w:val="single"/>
        </w:rPr>
        <w:fldChar w:fldCharType="separate"/>
      </w:r>
      <w:r w:rsidR="00E50032" w:rsidRPr="00E50032">
        <w:rPr>
          <w:u w:val="single"/>
        </w:rPr>
        <w:t xml:space="preserve">Table </w:t>
      </w:r>
      <w:r w:rsidR="00E50032" w:rsidRPr="00E50032">
        <w:rPr>
          <w:noProof/>
          <w:u w:val="single"/>
        </w:rPr>
        <w:t>21</w:t>
      </w:r>
      <w:r w:rsidR="00E97649" w:rsidRPr="007E12D9">
        <w:rPr>
          <w:u w:val="single"/>
        </w:rPr>
        <w:fldChar w:fldCharType="end"/>
      </w:r>
      <w:r>
        <w:t>:</w:t>
      </w:r>
    </w:p>
    <w:p w14:paraId="06FEEDED" w14:textId="1AFD8D75" w:rsidR="0080753C" w:rsidRDefault="0080753C" w:rsidP="000A0D48">
      <w:pPr>
        <w:pStyle w:val="FSRnormal"/>
        <w:numPr>
          <w:ilvl w:val="0"/>
          <w:numId w:val="11"/>
        </w:numPr>
      </w:pPr>
      <w:r>
        <w:t xml:space="preserve">Changes to assumptions regarding population numbers (predominantly the number of new participants entering Supported Independent Living) have </w:t>
      </w:r>
      <w:r w:rsidRPr="00292A59">
        <w:rPr>
          <w:b/>
        </w:rPr>
        <w:t>reduced</w:t>
      </w:r>
      <w:r>
        <w:t xml:space="preserve"> the projection by $5.0</w:t>
      </w:r>
      <w:r w:rsidR="007D6333">
        <w:t xml:space="preserve"> billion</w:t>
      </w:r>
      <w:r>
        <w:t xml:space="preserve"> in the four years to June 2025 and $3.2</w:t>
      </w:r>
      <w:r w:rsidR="007D6333">
        <w:t xml:space="preserve"> billion</w:t>
      </w:r>
      <w:r>
        <w:t xml:space="preserve"> in 2029-30</w:t>
      </w:r>
    </w:p>
    <w:p w14:paraId="7CFA4EFF" w14:textId="08BD601B" w:rsidR="0080753C" w:rsidRDefault="0080753C" w:rsidP="000A0D48">
      <w:pPr>
        <w:pStyle w:val="FSRnormal"/>
        <w:numPr>
          <w:ilvl w:val="0"/>
          <w:numId w:val="11"/>
        </w:numPr>
      </w:pPr>
      <w:r>
        <w:t xml:space="preserve">Higher base payment assumptions (i.e. the average payment per participant in the immediate future), resulting from higher recent payment experience have </w:t>
      </w:r>
      <w:r w:rsidRPr="00292A59">
        <w:rPr>
          <w:b/>
        </w:rPr>
        <w:t>increased</w:t>
      </w:r>
      <w:r>
        <w:t xml:space="preserve"> the projection by $3.5</w:t>
      </w:r>
      <w:r w:rsidR="007D6333">
        <w:t xml:space="preserve"> billion</w:t>
      </w:r>
      <w:r>
        <w:t xml:space="preserve"> in the four years to June 2025 and $1.4</w:t>
      </w:r>
      <w:r w:rsidR="007D6333">
        <w:t xml:space="preserve"> billion</w:t>
      </w:r>
      <w:r>
        <w:t xml:space="preserve"> in 2029-30</w:t>
      </w:r>
    </w:p>
    <w:p w14:paraId="59628F71" w14:textId="3B7609E7" w:rsidR="00E97649" w:rsidRDefault="0080753C" w:rsidP="000A0D48">
      <w:pPr>
        <w:pStyle w:val="FSRnormal"/>
        <w:numPr>
          <w:ilvl w:val="0"/>
          <w:numId w:val="11"/>
        </w:numPr>
      </w:pPr>
      <w:r>
        <w:t xml:space="preserve">An increased allowance for future inflation (i.e. </w:t>
      </w:r>
      <w:r w:rsidRPr="00E97649">
        <w:rPr>
          <w:b/>
        </w:rPr>
        <w:t>in addition</w:t>
      </w:r>
      <w:r>
        <w:t xml:space="preserve"> to the higher base payment assumptions) has </w:t>
      </w:r>
      <w:r w:rsidRPr="00292A59">
        <w:rPr>
          <w:b/>
        </w:rPr>
        <w:t>increased</w:t>
      </w:r>
      <w:r>
        <w:t xml:space="preserve"> the projection by $7.1</w:t>
      </w:r>
      <w:r w:rsidR="007D6333">
        <w:t xml:space="preserve"> billion</w:t>
      </w:r>
      <w:r>
        <w:t xml:space="preserve"> in the four years to June 2025 and $2.6</w:t>
      </w:r>
      <w:r w:rsidR="007D6333">
        <w:t xml:space="preserve"> billion</w:t>
      </w:r>
      <w:r>
        <w:t xml:space="preserve"> in 2029-30</w:t>
      </w:r>
    </w:p>
    <w:p w14:paraId="415835FF" w14:textId="7EBF54FD" w:rsidR="0080753C" w:rsidRDefault="0080753C" w:rsidP="000A0D48">
      <w:pPr>
        <w:pStyle w:val="FSRnormal"/>
        <w:numPr>
          <w:ilvl w:val="0"/>
          <w:numId w:val="11"/>
        </w:numPr>
      </w:pPr>
      <w:r>
        <w:t xml:space="preserve">A reduction in the allowance for the </w:t>
      </w:r>
      <w:r w:rsidR="00BB0CB7">
        <w:t xml:space="preserve">average payment for </w:t>
      </w:r>
      <w:r>
        <w:t>new entrants</w:t>
      </w:r>
      <w:r w:rsidRPr="00B8229F">
        <w:t xml:space="preserve">, </w:t>
      </w:r>
      <w:r>
        <w:t xml:space="preserve">has </w:t>
      </w:r>
      <w:r w:rsidRPr="00292A59">
        <w:rPr>
          <w:b/>
        </w:rPr>
        <w:t>reduced</w:t>
      </w:r>
      <w:r>
        <w:t xml:space="preserve"> the projection by $1.8</w:t>
      </w:r>
      <w:r w:rsidR="007D6333">
        <w:t xml:space="preserve"> billion</w:t>
      </w:r>
      <w:r>
        <w:t xml:space="preserve"> in the four years to June 2025 and $1.9</w:t>
      </w:r>
      <w:r w:rsidR="007D6333">
        <w:t xml:space="preserve"> billion</w:t>
      </w:r>
      <w:r>
        <w:t xml:space="preserve"> in 2029-30</w:t>
      </w:r>
      <w:r w:rsidR="004B6909">
        <w:t xml:space="preserve">. </w:t>
      </w:r>
      <w:r w:rsidR="009953D7">
        <w:t>This reduction arises from new entrants, on a mix-adjusted basis, being observed to cost less than existing participants.</w:t>
      </w:r>
      <w:r w:rsidR="004B6909">
        <w:t xml:space="preserve"> </w:t>
      </w:r>
    </w:p>
    <w:p w14:paraId="769E9342" w14:textId="1CBA9D40" w:rsidR="00203269" w:rsidRPr="00203269" w:rsidRDefault="00203269" w:rsidP="00203269">
      <w:pPr>
        <w:pStyle w:val="Tables"/>
      </w:pPr>
      <w:bookmarkStart w:id="187" w:name="_Ref80272209"/>
      <w:r w:rsidRPr="00203269">
        <w:lastRenderedPageBreak/>
        <w:t xml:space="preserve">Table </w:t>
      </w:r>
      <w:fldSimple w:instr=" SEQ Table \* ARABIC ">
        <w:r w:rsidR="00E50032">
          <w:rPr>
            <w:noProof/>
          </w:rPr>
          <w:t>21</w:t>
        </w:r>
      </w:fldSimple>
      <w:bookmarkEnd w:id="187"/>
      <w:r w:rsidRPr="00203269">
        <w:t xml:space="preserve"> Participant cost projection movements </w:t>
      </w:r>
      <w:r w:rsidR="009F0F83">
        <w:t xml:space="preserve">since previous review </w:t>
      </w:r>
      <w:r w:rsidRPr="00203269">
        <w:t xml:space="preserve">due to experience and updated assumptions </w:t>
      </w:r>
    </w:p>
    <w:tbl>
      <w:tblPr>
        <w:tblStyle w:val="TableGrid"/>
        <w:tblW w:w="9215" w:type="dxa"/>
        <w:tblInd w:w="-5" w:type="dxa"/>
        <w:tblLayout w:type="fixed"/>
        <w:tblLook w:val="04A0" w:firstRow="1" w:lastRow="0" w:firstColumn="1" w:lastColumn="0" w:noHBand="0" w:noVBand="1"/>
      </w:tblPr>
      <w:tblGrid>
        <w:gridCol w:w="3686"/>
        <w:gridCol w:w="992"/>
        <w:gridCol w:w="992"/>
        <w:gridCol w:w="851"/>
        <w:gridCol w:w="992"/>
        <w:gridCol w:w="851"/>
        <w:gridCol w:w="851"/>
      </w:tblGrid>
      <w:tr w:rsidR="00E4253A" w14:paraId="68D1B974" w14:textId="77777777" w:rsidTr="00312E88">
        <w:trPr>
          <w:tblHeader/>
        </w:trPr>
        <w:tc>
          <w:tcPr>
            <w:tcW w:w="3686" w:type="dxa"/>
            <w:shd w:val="clear" w:color="auto" w:fill="6B2E76"/>
          </w:tcPr>
          <w:p w14:paraId="3A0223D9" w14:textId="77777777" w:rsidR="00E4253A" w:rsidRPr="00E12F82" w:rsidRDefault="00E4253A" w:rsidP="00312E88">
            <w:pPr>
              <w:pStyle w:val="Tables"/>
              <w:rPr>
                <w:rFonts w:cs="Arial"/>
                <w:color w:val="FFFFFF" w:themeColor="background1"/>
                <w:sz w:val="15"/>
                <w:szCs w:val="15"/>
              </w:rPr>
            </w:pPr>
            <w:r w:rsidRPr="00E12F82">
              <w:rPr>
                <w:rFonts w:cs="Arial"/>
                <w:color w:val="FFFFFF" w:themeColor="background1"/>
                <w:sz w:val="15"/>
                <w:szCs w:val="15"/>
              </w:rPr>
              <w:t>Total Participant Costs – accrual basis ($m)</w:t>
            </w:r>
          </w:p>
        </w:tc>
        <w:tc>
          <w:tcPr>
            <w:tcW w:w="992" w:type="dxa"/>
            <w:shd w:val="clear" w:color="auto" w:fill="6B2E76"/>
            <w:vAlign w:val="center"/>
          </w:tcPr>
          <w:p w14:paraId="7F260BDA" w14:textId="77777777" w:rsidR="00E4253A" w:rsidRPr="00E12F82" w:rsidRDefault="00E4253A" w:rsidP="00312E88">
            <w:pPr>
              <w:pStyle w:val="Tables"/>
              <w:jc w:val="center"/>
              <w:rPr>
                <w:rFonts w:cs="Arial"/>
                <w:color w:val="FFFFFF" w:themeColor="background1"/>
                <w:sz w:val="15"/>
                <w:szCs w:val="15"/>
              </w:rPr>
            </w:pPr>
            <w:r w:rsidRPr="00E12F82">
              <w:rPr>
                <w:rFonts w:cs="Arial"/>
                <w:color w:val="FFFFFF" w:themeColor="background1"/>
                <w:sz w:val="15"/>
                <w:szCs w:val="15"/>
              </w:rPr>
              <w:t>2021-22</w:t>
            </w:r>
          </w:p>
        </w:tc>
        <w:tc>
          <w:tcPr>
            <w:tcW w:w="992" w:type="dxa"/>
            <w:shd w:val="clear" w:color="auto" w:fill="6B2E76"/>
            <w:vAlign w:val="center"/>
          </w:tcPr>
          <w:p w14:paraId="71A1AA18" w14:textId="77777777" w:rsidR="00E4253A" w:rsidRPr="00E12F82" w:rsidRDefault="00E4253A" w:rsidP="00312E88">
            <w:pPr>
              <w:pStyle w:val="Tables"/>
              <w:jc w:val="center"/>
              <w:rPr>
                <w:rFonts w:cs="Arial"/>
                <w:color w:val="FFFFFF" w:themeColor="background1"/>
                <w:sz w:val="15"/>
                <w:szCs w:val="15"/>
              </w:rPr>
            </w:pPr>
            <w:r w:rsidRPr="00E12F82">
              <w:rPr>
                <w:rFonts w:cs="Arial"/>
                <w:color w:val="FFFFFF" w:themeColor="background1"/>
                <w:sz w:val="15"/>
                <w:szCs w:val="15"/>
              </w:rPr>
              <w:t>2022-23</w:t>
            </w:r>
          </w:p>
        </w:tc>
        <w:tc>
          <w:tcPr>
            <w:tcW w:w="851" w:type="dxa"/>
            <w:shd w:val="clear" w:color="auto" w:fill="6B2E76"/>
            <w:vAlign w:val="center"/>
          </w:tcPr>
          <w:p w14:paraId="62075D51" w14:textId="77777777" w:rsidR="00E4253A" w:rsidRPr="00E12F82" w:rsidRDefault="00E4253A" w:rsidP="00312E88">
            <w:pPr>
              <w:pStyle w:val="Tables"/>
              <w:jc w:val="center"/>
              <w:rPr>
                <w:rFonts w:cs="Arial"/>
                <w:color w:val="FFFFFF" w:themeColor="background1"/>
                <w:sz w:val="15"/>
                <w:szCs w:val="15"/>
              </w:rPr>
            </w:pPr>
            <w:r w:rsidRPr="00E12F82">
              <w:rPr>
                <w:rFonts w:cs="Arial"/>
                <w:color w:val="FFFFFF" w:themeColor="background1"/>
                <w:sz w:val="15"/>
                <w:szCs w:val="15"/>
              </w:rPr>
              <w:t>2023-24</w:t>
            </w:r>
          </w:p>
        </w:tc>
        <w:tc>
          <w:tcPr>
            <w:tcW w:w="992" w:type="dxa"/>
            <w:shd w:val="clear" w:color="auto" w:fill="6B2E76"/>
            <w:vAlign w:val="center"/>
          </w:tcPr>
          <w:p w14:paraId="4F93DD58" w14:textId="77777777" w:rsidR="00E4253A" w:rsidRPr="00E12F82" w:rsidRDefault="00E4253A" w:rsidP="00312E88">
            <w:pPr>
              <w:pStyle w:val="Tables"/>
              <w:jc w:val="center"/>
              <w:rPr>
                <w:rFonts w:cs="Arial"/>
                <w:color w:val="FFFFFF" w:themeColor="background1"/>
                <w:sz w:val="15"/>
                <w:szCs w:val="15"/>
              </w:rPr>
            </w:pPr>
            <w:r w:rsidRPr="00E12F82">
              <w:rPr>
                <w:rFonts w:cs="Arial"/>
                <w:color w:val="FFFFFF" w:themeColor="background1"/>
                <w:sz w:val="15"/>
                <w:szCs w:val="15"/>
              </w:rPr>
              <w:t>2024-25</w:t>
            </w:r>
          </w:p>
        </w:tc>
        <w:tc>
          <w:tcPr>
            <w:tcW w:w="851" w:type="dxa"/>
            <w:shd w:val="clear" w:color="auto" w:fill="6B2E76"/>
            <w:vAlign w:val="center"/>
          </w:tcPr>
          <w:p w14:paraId="769F488A" w14:textId="77777777" w:rsidR="00E4253A" w:rsidRPr="00E12F82" w:rsidRDefault="00E4253A" w:rsidP="00312E88">
            <w:pPr>
              <w:pStyle w:val="Tables"/>
              <w:jc w:val="center"/>
              <w:rPr>
                <w:rFonts w:cs="Arial"/>
                <w:color w:val="FFFFFF" w:themeColor="background1"/>
                <w:sz w:val="15"/>
                <w:szCs w:val="15"/>
              </w:rPr>
            </w:pPr>
            <w:r w:rsidRPr="00E12F82">
              <w:rPr>
                <w:rFonts w:cs="Arial"/>
                <w:color w:val="FFFFFF" w:themeColor="background1"/>
                <w:sz w:val="15"/>
                <w:szCs w:val="15"/>
              </w:rPr>
              <w:t>2029-30</w:t>
            </w:r>
          </w:p>
        </w:tc>
        <w:tc>
          <w:tcPr>
            <w:tcW w:w="851" w:type="dxa"/>
            <w:shd w:val="clear" w:color="auto" w:fill="6B2E76"/>
          </w:tcPr>
          <w:p w14:paraId="57AED296" w14:textId="77777777" w:rsidR="00E4253A" w:rsidRPr="00E12F82" w:rsidRDefault="00E4253A" w:rsidP="00312E88">
            <w:pPr>
              <w:pStyle w:val="Tables"/>
              <w:jc w:val="center"/>
              <w:rPr>
                <w:rFonts w:cs="Arial"/>
                <w:color w:val="FFFFFF" w:themeColor="background1"/>
                <w:sz w:val="15"/>
                <w:szCs w:val="15"/>
              </w:rPr>
            </w:pPr>
            <w:r w:rsidRPr="00E12F82">
              <w:rPr>
                <w:rFonts w:cs="Arial"/>
                <w:color w:val="FFFFFF" w:themeColor="background1"/>
                <w:sz w:val="15"/>
                <w:szCs w:val="15"/>
              </w:rPr>
              <w:t>Total 2021-25</w:t>
            </w:r>
          </w:p>
        </w:tc>
      </w:tr>
      <w:tr w:rsidR="00E4253A" w14:paraId="0163E292" w14:textId="77777777" w:rsidTr="00312E88">
        <w:trPr>
          <w:trHeight w:hRule="exact" w:val="284"/>
        </w:trPr>
        <w:tc>
          <w:tcPr>
            <w:tcW w:w="3686" w:type="dxa"/>
            <w:shd w:val="clear" w:color="auto" w:fill="FFFFFF" w:themeFill="background1"/>
          </w:tcPr>
          <w:p w14:paraId="50C485BC"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Updated population numbers and assumptions</w:t>
            </w:r>
          </w:p>
        </w:tc>
        <w:tc>
          <w:tcPr>
            <w:tcW w:w="992" w:type="dxa"/>
            <w:shd w:val="clear" w:color="auto" w:fill="FFFFFF" w:themeFill="background1"/>
          </w:tcPr>
          <w:p w14:paraId="1E4B5B09"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-486</w:t>
            </w:r>
          </w:p>
        </w:tc>
        <w:tc>
          <w:tcPr>
            <w:tcW w:w="992" w:type="dxa"/>
            <w:shd w:val="clear" w:color="auto" w:fill="FFFFFF" w:themeFill="background1"/>
          </w:tcPr>
          <w:p w14:paraId="4BF024A9"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-1,121</w:t>
            </w:r>
          </w:p>
        </w:tc>
        <w:tc>
          <w:tcPr>
            <w:tcW w:w="851" w:type="dxa"/>
            <w:shd w:val="clear" w:color="auto" w:fill="FFFFFF" w:themeFill="background1"/>
          </w:tcPr>
          <w:p w14:paraId="56BB50AB"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-1,513</w:t>
            </w:r>
          </w:p>
        </w:tc>
        <w:tc>
          <w:tcPr>
            <w:tcW w:w="992" w:type="dxa"/>
            <w:shd w:val="clear" w:color="auto" w:fill="FFFFFF" w:themeFill="background1"/>
          </w:tcPr>
          <w:p w14:paraId="6B1291D3"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-1,882</w:t>
            </w:r>
          </w:p>
        </w:tc>
        <w:tc>
          <w:tcPr>
            <w:tcW w:w="851" w:type="dxa"/>
            <w:shd w:val="clear" w:color="auto" w:fill="FFFFFF" w:themeFill="background1"/>
          </w:tcPr>
          <w:p w14:paraId="42714676"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-3,163</w:t>
            </w:r>
          </w:p>
        </w:tc>
        <w:tc>
          <w:tcPr>
            <w:tcW w:w="851" w:type="dxa"/>
            <w:shd w:val="clear" w:color="auto" w:fill="FFFFFF" w:themeFill="background1"/>
          </w:tcPr>
          <w:p w14:paraId="0EA8EB9F"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-5,002</w:t>
            </w:r>
          </w:p>
        </w:tc>
      </w:tr>
      <w:tr w:rsidR="00E4253A" w14:paraId="6A190C06" w14:textId="77777777" w:rsidTr="00312E88">
        <w:trPr>
          <w:trHeight w:hRule="exact" w:val="284"/>
        </w:trPr>
        <w:tc>
          <w:tcPr>
            <w:tcW w:w="3686" w:type="dxa"/>
            <w:shd w:val="clear" w:color="auto" w:fill="FFFFFF" w:themeFill="background1"/>
          </w:tcPr>
          <w:p w14:paraId="6FF7AA2B"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Updated base payment assumptions</w:t>
            </w:r>
          </w:p>
        </w:tc>
        <w:tc>
          <w:tcPr>
            <w:tcW w:w="992" w:type="dxa"/>
            <w:shd w:val="clear" w:color="auto" w:fill="FFFFFF" w:themeFill="background1"/>
          </w:tcPr>
          <w:p w14:paraId="0B481721"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818</w:t>
            </w:r>
          </w:p>
        </w:tc>
        <w:tc>
          <w:tcPr>
            <w:tcW w:w="992" w:type="dxa"/>
            <w:shd w:val="clear" w:color="auto" w:fill="FFFFFF" w:themeFill="background1"/>
          </w:tcPr>
          <w:p w14:paraId="67AC1465"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849</w:t>
            </w:r>
          </w:p>
        </w:tc>
        <w:tc>
          <w:tcPr>
            <w:tcW w:w="851" w:type="dxa"/>
            <w:shd w:val="clear" w:color="auto" w:fill="FFFFFF" w:themeFill="background1"/>
          </w:tcPr>
          <w:p w14:paraId="4F974480"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901</w:t>
            </w:r>
          </w:p>
        </w:tc>
        <w:tc>
          <w:tcPr>
            <w:tcW w:w="992" w:type="dxa"/>
            <w:shd w:val="clear" w:color="auto" w:fill="FFFFFF" w:themeFill="background1"/>
          </w:tcPr>
          <w:p w14:paraId="792BCC38"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967</w:t>
            </w:r>
          </w:p>
        </w:tc>
        <w:tc>
          <w:tcPr>
            <w:tcW w:w="851" w:type="dxa"/>
            <w:shd w:val="clear" w:color="auto" w:fill="FFFFFF" w:themeFill="background1"/>
          </w:tcPr>
          <w:p w14:paraId="20468BDD"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1,404</w:t>
            </w:r>
          </w:p>
        </w:tc>
        <w:tc>
          <w:tcPr>
            <w:tcW w:w="851" w:type="dxa"/>
            <w:shd w:val="clear" w:color="auto" w:fill="FFFFFF" w:themeFill="background1"/>
          </w:tcPr>
          <w:p w14:paraId="4D705927"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3,535</w:t>
            </w:r>
          </w:p>
        </w:tc>
      </w:tr>
      <w:tr w:rsidR="00E4253A" w14:paraId="53B40123" w14:textId="77777777" w:rsidTr="00312E88">
        <w:trPr>
          <w:trHeight w:hRule="exact" w:val="284"/>
        </w:trPr>
        <w:tc>
          <w:tcPr>
            <w:tcW w:w="3686" w:type="dxa"/>
            <w:shd w:val="clear" w:color="auto" w:fill="FFFFFF" w:themeFill="background1"/>
          </w:tcPr>
          <w:p w14:paraId="5DEF40BB"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Updated inflation assumptions</w:t>
            </w:r>
          </w:p>
        </w:tc>
        <w:tc>
          <w:tcPr>
            <w:tcW w:w="992" w:type="dxa"/>
            <w:shd w:val="clear" w:color="auto" w:fill="FFFFFF" w:themeFill="background1"/>
          </w:tcPr>
          <w:p w14:paraId="3E933E1E"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866</w:t>
            </w:r>
          </w:p>
        </w:tc>
        <w:tc>
          <w:tcPr>
            <w:tcW w:w="992" w:type="dxa"/>
            <w:shd w:val="clear" w:color="auto" w:fill="FFFFFF" w:themeFill="background1"/>
          </w:tcPr>
          <w:p w14:paraId="31C2EC3A"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1,613</w:t>
            </w:r>
          </w:p>
        </w:tc>
        <w:tc>
          <w:tcPr>
            <w:tcW w:w="851" w:type="dxa"/>
            <w:shd w:val="clear" w:color="auto" w:fill="FFFFFF" w:themeFill="background1"/>
          </w:tcPr>
          <w:p w14:paraId="1DED330E"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2,262</w:t>
            </w:r>
          </w:p>
        </w:tc>
        <w:tc>
          <w:tcPr>
            <w:tcW w:w="992" w:type="dxa"/>
            <w:shd w:val="clear" w:color="auto" w:fill="FFFFFF" w:themeFill="background1"/>
          </w:tcPr>
          <w:p w14:paraId="2FCC6C97"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2,422</w:t>
            </w:r>
          </w:p>
        </w:tc>
        <w:tc>
          <w:tcPr>
            <w:tcW w:w="851" w:type="dxa"/>
            <w:shd w:val="clear" w:color="auto" w:fill="FFFFFF" w:themeFill="background1"/>
          </w:tcPr>
          <w:p w14:paraId="506EA1CA"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2,646</w:t>
            </w:r>
          </w:p>
        </w:tc>
        <w:tc>
          <w:tcPr>
            <w:tcW w:w="851" w:type="dxa"/>
            <w:shd w:val="clear" w:color="auto" w:fill="FFFFFF" w:themeFill="background1"/>
          </w:tcPr>
          <w:p w14:paraId="3F41A06B"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7,163</w:t>
            </w:r>
          </w:p>
        </w:tc>
      </w:tr>
      <w:tr w:rsidR="00E4253A" w14:paraId="76D2067F" w14:textId="77777777" w:rsidTr="00312E88">
        <w:trPr>
          <w:trHeight w:hRule="exact" w:val="284"/>
        </w:trPr>
        <w:tc>
          <w:tcPr>
            <w:tcW w:w="3686" w:type="dxa"/>
            <w:shd w:val="clear" w:color="auto" w:fill="FFFFFF" w:themeFill="background1"/>
          </w:tcPr>
          <w:p w14:paraId="3B9C7481"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Lower cost of new entrants</w:t>
            </w:r>
          </w:p>
        </w:tc>
        <w:tc>
          <w:tcPr>
            <w:tcW w:w="992" w:type="dxa"/>
            <w:shd w:val="clear" w:color="auto" w:fill="FFFFFF" w:themeFill="background1"/>
          </w:tcPr>
          <w:p w14:paraId="7C2E5C11"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-112</w:t>
            </w:r>
          </w:p>
        </w:tc>
        <w:tc>
          <w:tcPr>
            <w:tcW w:w="992" w:type="dxa"/>
            <w:shd w:val="clear" w:color="auto" w:fill="FFFFFF" w:themeFill="background1"/>
          </w:tcPr>
          <w:p w14:paraId="198EE4E6"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-354</w:t>
            </w:r>
          </w:p>
        </w:tc>
        <w:tc>
          <w:tcPr>
            <w:tcW w:w="851" w:type="dxa"/>
            <w:shd w:val="clear" w:color="auto" w:fill="FFFFFF" w:themeFill="background1"/>
          </w:tcPr>
          <w:p w14:paraId="19F0149D"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-584</w:t>
            </w:r>
          </w:p>
        </w:tc>
        <w:tc>
          <w:tcPr>
            <w:tcW w:w="992" w:type="dxa"/>
            <w:shd w:val="clear" w:color="auto" w:fill="FFFFFF" w:themeFill="background1"/>
          </w:tcPr>
          <w:p w14:paraId="2A538255"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-793</w:t>
            </w:r>
          </w:p>
        </w:tc>
        <w:tc>
          <w:tcPr>
            <w:tcW w:w="851" w:type="dxa"/>
            <w:shd w:val="clear" w:color="auto" w:fill="FFFFFF" w:themeFill="background1"/>
          </w:tcPr>
          <w:p w14:paraId="60BBD2AA"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-1,927</w:t>
            </w:r>
          </w:p>
        </w:tc>
        <w:tc>
          <w:tcPr>
            <w:tcW w:w="851" w:type="dxa"/>
            <w:shd w:val="clear" w:color="auto" w:fill="FFFFFF" w:themeFill="background1"/>
          </w:tcPr>
          <w:p w14:paraId="208DB128"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-1,843</w:t>
            </w:r>
          </w:p>
        </w:tc>
      </w:tr>
      <w:tr w:rsidR="00E4253A" w14:paraId="7FD15BAD" w14:textId="77777777" w:rsidTr="00312E88">
        <w:trPr>
          <w:trHeight w:hRule="exact" w:val="284"/>
        </w:trPr>
        <w:tc>
          <w:tcPr>
            <w:tcW w:w="3686" w:type="dxa"/>
            <w:shd w:val="clear" w:color="auto" w:fill="FFFFFF" w:themeFill="background1"/>
          </w:tcPr>
          <w:p w14:paraId="72503477" w14:textId="77777777" w:rsidR="00E4253A" w:rsidRPr="00E12F82" w:rsidRDefault="00E4253A" w:rsidP="00312E88">
            <w:pPr>
              <w:pStyle w:val="Tables"/>
              <w:rPr>
                <w:rFonts w:cs="Arial"/>
                <w:sz w:val="16"/>
                <w:szCs w:val="16"/>
              </w:rPr>
            </w:pPr>
            <w:r w:rsidRPr="00E12F82">
              <w:rPr>
                <w:rFonts w:cs="Arial"/>
                <w:sz w:val="16"/>
                <w:szCs w:val="16"/>
              </w:rPr>
              <w:t>Total impact of experience and modelling</w:t>
            </w:r>
          </w:p>
        </w:tc>
        <w:tc>
          <w:tcPr>
            <w:tcW w:w="992" w:type="dxa"/>
            <w:shd w:val="clear" w:color="auto" w:fill="FFFFFF" w:themeFill="background1"/>
          </w:tcPr>
          <w:p w14:paraId="09F99CAA" w14:textId="77777777" w:rsidR="00E4253A" w:rsidRPr="00E12F82" w:rsidRDefault="00E4253A" w:rsidP="00312E88">
            <w:pPr>
              <w:pStyle w:val="Tables"/>
              <w:rPr>
                <w:rFonts w:cs="Arial"/>
                <w:sz w:val="16"/>
                <w:szCs w:val="16"/>
              </w:rPr>
            </w:pPr>
            <w:r w:rsidRPr="00E12F82">
              <w:rPr>
                <w:rFonts w:cs="Arial"/>
                <w:sz w:val="16"/>
                <w:szCs w:val="16"/>
              </w:rPr>
              <w:t>1,085</w:t>
            </w:r>
          </w:p>
        </w:tc>
        <w:tc>
          <w:tcPr>
            <w:tcW w:w="992" w:type="dxa"/>
            <w:shd w:val="clear" w:color="auto" w:fill="FFFFFF" w:themeFill="background1"/>
          </w:tcPr>
          <w:p w14:paraId="47FBDABB" w14:textId="77777777" w:rsidR="00E4253A" w:rsidRPr="00E12F82" w:rsidRDefault="00E4253A" w:rsidP="00312E88">
            <w:pPr>
              <w:pStyle w:val="Tables"/>
              <w:rPr>
                <w:rFonts w:cs="Arial"/>
                <w:sz w:val="16"/>
                <w:szCs w:val="16"/>
              </w:rPr>
            </w:pPr>
            <w:r w:rsidRPr="00E12F82">
              <w:rPr>
                <w:rFonts w:cs="Arial"/>
                <w:sz w:val="16"/>
                <w:szCs w:val="16"/>
              </w:rPr>
              <w:t>987</w:t>
            </w:r>
          </w:p>
        </w:tc>
        <w:tc>
          <w:tcPr>
            <w:tcW w:w="851" w:type="dxa"/>
            <w:shd w:val="clear" w:color="auto" w:fill="FFFFFF" w:themeFill="background1"/>
          </w:tcPr>
          <w:p w14:paraId="240321E2" w14:textId="77777777" w:rsidR="00E4253A" w:rsidRPr="00E12F82" w:rsidRDefault="00E4253A" w:rsidP="00312E88">
            <w:pPr>
              <w:pStyle w:val="Tables"/>
              <w:rPr>
                <w:rFonts w:cs="Arial"/>
                <w:sz w:val="16"/>
                <w:szCs w:val="16"/>
              </w:rPr>
            </w:pPr>
            <w:r w:rsidRPr="00E12F82">
              <w:rPr>
                <w:rFonts w:cs="Arial"/>
                <w:sz w:val="16"/>
                <w:szCs w:val="16"/>
              </w:rPr>
              <w:t>1,066</w:t>
            </w:r>
          </w:p>
        </w:tc>
        <w:tc>
          <w:tcPr>
            <w:tcW w:w="992" w:type="dxa"/>
            <w:shd w:val="clear" w:color="auto" w:fill="FFFFFF" w:themeFill="background1"/>
          </w:tcPr>
          <w:p w14:paraId="2737AECC" w14:textId="77777777" w:rsidR="00E4253A" w:rsidRPr="00E12F82" w:rsidRDefault="00E4253A" w:rsidP="00312E88">
            <w:pPr>
              <w:pStyle w:val="Tables"/>
              <w:rPr>
                <w:rFonts w:cs="Arial"/>
                <w:sz w:val="16"/>
                <w:szCs w:val="16"/>
              </w:rPr>
            </w:pPr>
            <w:r w:rsidRPr="00E12F82">
              <w:rPr>
                <w:rFonts w:cs="Arial"/>
                <w:sz w:val="16"/>
                <w:szCs w:val="16"/>
              </w:rPr>
              <w:t>714</w:t>
            </w:r>
          </w:p>
        </w:tc>
        <w:tc>
          <w:tcPr>
            <w:tcW w:w="851" w:type="dxa"/>
            <w:shd w:val="clear" w:color="auto" w:fill="FFFFFF" w:themeFill="background1"/>
          </w:tcPr>
          <w:p w14:paraId="1E399DD4" w14:textId="77777777" w:rsidR="00E4253A" w:rsidRPr="00E12F82" w:rsidRDefault="00E4253A" w:rsidP="00312E88">
            <w:pPr>
              <w:pStyle w:val="Tables"/>
              <w:rPr>
                <w:rFonts w:cs="Arial"/>
                <w:sz w:val="16"/>
                <w:szCs w:val="16"/>
              </w:rPr>
            </w:pPr>
            <w:r w:rsidRPr="00E12F82">
              <w:rPr>
                <w:rFonts w:cs="Arial"/>
                <w:sz w:val="16"/>
                <w:szCs w:val="16"/>
              </w:rPr>
              <w:t>-1,040</w:t>
            </w:r>
          </w:p>
        </w:tc>
        <w:tc>
          <w:tcPr>
            <w:tcW w:w="851" w:type="dxa"/>
            <w:shd w:val="clear" w:color="auto" w:fill="FFFFFF" w:themeFill="background1"/>
          </w:tcPr>
          <w:p w14:paraId="2368A010" w14:textId="77777777" w:rsidR="00E4253A" w:rsidRPr="00E12F82" w:rsidRDefault="00E4253A" w:rsidP="00312E88">
            <w:pPr>
              <w:pStyle w:val="Tables"/>
              <w:rPr>
                <w:rFonts w:cs="Arial"/>
                <w:sz w:val="16"/>
                <w:szCs w:val="16"/>
              </w:rPr>
            </w:pPr>
            <w:r w:rsidRPr="00E12F82">
              <w:rPr>
                <w:rFonts w:cs="Arial"/>
                <w:sz w:val="16"/>
                <w:szCs w:val="16"/>
              </w:rPr>
              <w:t>3,852</w:t>
            </w:r>
          </w:p>
        </w:tc>
      </w:tr>
      <w:tr w:rsidR="00E4253A" w14:paraId="63550152" w14:textId="77777777" w:rsidTr="00312E88">
        <w:trPr>
          <w:trHeight w:hRule="exact" w:val="284"/>
        </w:trPr>
        <w:tc>
          <w:tcPr>
            <w:tcW w:w="3686" w:type="dxa"/>
            <w:shd w:val="clear" w:color="auto" w:fill="FFFFFF" w:themeFill="background1"/>
          </w:tcPr>
          <w:p w14:paraId="1DB70232"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Updated population numbers and assumptions</w:t>
            </w:r>
          </w:p>
        </w:tc>
        <w:tc>
          <w:tcPr>
            <w:tcW w:w="992" w:type="dxa"/>
            <w:shd w:val="clear" w:color="auto" w:fill="FFFFFF" w:themeFill="background1"/>
          </w:tcPr>
          <w:p w14:paraId="10DC05DE"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-1.7%</w:t>
            </w:r>
          </w:p>
        </w:tc>
        <w:tc>
          <w:tcPr>
            <w:tcW w:w="992" w:type="dxa"/>
            <w:shd w:val="clear" w:color="auto" w:fill="FFFFFF" w:themeFill="background1"/>
          </w:tcPr>
          <w:p w14:paraId="63D9D6FC"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-3.4%</w:t>
            </w:r>
          </w:p>
        </w:tc>
        <w:tc>
          <w:tcPr>
            <w:tcW w:w="851" w:type="dxa"/>
            <w:shd w:val="clear" w:color="auto" w:fill="FFFFFF" w:themeFill="background1"/>
          </w:tcPr>
          <w:p w14:paraId="37196A5F"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-4.1%</w:t>
            </w:r>
          </w:p>
        </w:tc>
        <w:tc>
          <w:tcPr>
            <w:tcW w:w="992" w:type="dxa"/>
            <w:shd w:val="clear" w:color="auto" w:fill="FFFFFF" w:themeFill="background1"/>
          </w:tcPr>
          <w:p w14:paraId="65129CC5"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-4.6%</w:t>
            </w:r>
          </w:p>
        </w:tc>
        <w:tc>
          <w:tcPr>
            <w:tcW w:w="851" w:type="dxa"/>
            <w:shd w:val="clear" w:color="auto" w:fill="FFFFFF" w:themeFill="background1"/>
          </w:tcPr>
          <w:p w14:paraId="16151EBD"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-5.2%</w:t>
            </w:r>
          </w:p>
        </w:tc>
        <w:tc>
          <w:tcPr>
            <w:tcW w:w="851" w:type="dxa"/>
            <w:shd w:val="clear" w:color="auto" w:fill="FFFFFF" w:themeFill="background1"/>
          </w:tcPr>
          <w:p w14:paraId="43490516"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-3.6%</w:t>
            </w:r>
          </w:p>
        </w:tc>
      </w:tr>
      <w:tr w:rsidR="00E4253A" w14:paraId="04986415" w14:textId="77777777" w:rsidTr="00312E88">
        <w:trPr>
          <w:trHeight w:hRule="exact" w:val="284"/>
        </w:trPr>
        <w:tc>
          <w:tcPr>
            <w:tcW w:w="3686" w:type="dxa"/>
            <w:shd w:val="clear" w:color="auto" w:fill="FFFFFF" w:themeFill="background1"/>
          </w:tcPr>
          <w:p w14:paraId="4F2088F2"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Updated base payment assumptions</w:t>
            </w:r>
          </w:p>
        </w:tc>
        <w:tc>
          <w:tcPr>
            <w:tcW w:w="992" w:type="dxa"/>
            <w:shd w:val="clear" w:color="auto" w:fill="FFFFFF" w:themeFill="background1"/>
          </w:tcPr>
          <w:p w14:paraId="2E3283CE"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2.9%</w:t>
            </w:r>
          </w:p>
        </w:tc>
        <w:tc>
          <w:tcPr>
            <w:tcW w:w="992" w:type="dxa"/>
            <w:shd w:val="clear" w:color="auto" w:fill="FFFFFF" w:themeFill="background1"/>
          </w:tcPr>
          <w:p w14:paraId="62F75225"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2.6%</w:t>
            </w:r>
          </w:p>
        </w:tc>
        <w:tc>
          <w:tcPr>
            <w:tcW w:w="851" w:type="dxa"/>
            <w:shd w:val="clear" w:color="auto" w:fill="FFFFFF" w:themeFill="background1"/>
          </w:tcPr>
          <w:p w14:paraId="45174D40"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2.4%</w:t>
            </w:r>
          </w:p>
        </w:tc>
        <w:tc>
          <w:tcPr>
            <w:tcW w:w="992" w:type="dxa"/>
            <w:shd w:val="clear" w:color="auto" w:fill="FFFFFF" w:themeFill="background1"/>
          </w:tcPr>
          <w:p w14:paraId="29FB7B19"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2.4%</w:t>
            </w:r>
          </w:p>
        </w:tc>
        <w:tc>
          <w:tcPr>
            <w:tcW w:w="851" w:type="dxa"/>
            <w:shd w:val="clear" w:color="auto" w:fill="FFFFFF" w:themeFill="background1"/>
          </w:tcPr>
          <w:p w14:paraId="2FAE48AC"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2.3%</w:t>
            </w:r>
          </w:p>
        </w:tc>
        <w:tc>
          <w:tcPr>
            <w:tcW w:w="851" w:type="dxa"/>
            <w:shd w:val="clear" w:color="auto" w:fill="FFFFFF" w:themeFill="background1"/>
          </w:tcPr>
          <w:p w14:paraId="4C26B91D"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2.6%</w:t>
            </w:r>
          </w:p>
        </w:tc>
      </w:tr>
      <w:tr w:rsidR="00E4253A" w14:paraId="3E0976F2" w14:textId="77777777" w:rsidTr="00312E88">
        <w:trPr>
          <w:trHeight w:hRule="exact" w:val="284"/>
        </w:trPr>
        <w:tc>
          <w:tcPr>
            <w:tcW w:w="3686" w:type="dxa"/>
            <w:shd w:val="clear" w:color="auto" w:fill="FFFFFF" w:themeFill="background1"/>
          </w:tcPr>
          <w:p w14:paraId="6544253C"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Updated inflation assumptions</w:t>
            </w:r>
          </w:p>
        </w:tc>
        <w:tc>
          <w:tcPr>
            <w:tcW w:w="992" w:type="dxa"/>
            <w:shd w:val="clear" w:color="auto" w:fill="FFFFFF" w:themeFill="background1"/>
          </w:tcPr>
          <w:p w14:paraId="02556410"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3.1%</w:t>
            </w:r>
          </w:p>
        </w:tc>
        <w:tc>
          <w:tcPr>
            <w:tcW w:w="992" w:type="dxa"/>
            <w:shd w:val="clear" w:color="auto" w:fill="FFFFFF" w:themeFill="background1"/>
          </w:tcPr>
          <w:p w14:paraId="20EC778E"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4.9%</w:t>
            </w:r>
          </w:p>
        </w:tc>
        <w:tc>
          <w:tcPr>
            <w:tcW w:w="851" w:type="dxa"/>
            <w:shd w:val="clear" w:color="auto" w:fill="FFFFFF" w:themeFill="background1"/>
          </w:tcPr>
          <w:p w14:paraId="2AB34FD7"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6.1%</w:t>
            </w:r>
          </w:p>
        </w:tc>
        <w:tc>
          <w:tcPr>
            <w:tcW w:w="992" w:type="dxa"/>
            <w:shd w:val="clear" w:color="auto" w:fill="FFFFFF" w:themeFill="background1"/>
          </w:tcPr>
          <w:p w14:paraId="3C0AC000"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6.0%</w:t>
            </w:r>
          </w:p>
        </w:tc>
        <w:tc>
          <w:tcPr>
            <w:tcW w:w="851" w:type="dxa"/>
            <w:shd w:val="clear" w:color="auto" w:fill="FFFFFF" w:themeFill="background1"/>
          </w:tcPr>
          <w:p w14:paraId="03749220"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4.4%</w:t>
            </w:r>
          </w:p>
        </w:tc>
        <w:tc>
          <w:tcPr>
            <w:tcW w:w="851" w:type="dxa"/>
            <w:shd w:val="clear" w:color="auto" w:fill="FFFFFF" w:themeFill="background1"/>
          </w:tcPr>
          <w:p w14:paraId="2A168C19"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5.2%</w:t>
            </w:r>
          </w:p>
        </w:tc>
      </w:tr>
      <w:tr w:rsidR="00E4253A" w14:paraId="7F04182E" w14:textId="77777777" w:rsidTr="00312E88">
        <w:trPr>
          <w:trHeight w:hRule="exact" w:val="284"/>
        </w:trPr>
        <w:tc>
          <w:tcPr>
            <w:tcW w:w="3686" w:type="dxa"/>
            <w:shd w:val="clear" w:color="auto" w:fill="FFFFFF" w:themeFill="background1"/>
          </w:tcPr>
          <w:p w14:paraId="0C24EFEB"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Lower cost of new entrants</w:t>
            </w:r>
          </w:p>
        </w:tc>
        <w:tc>
          <w:tcPr>
            <w:tcW w:w="992" w:type="dxa"/>
            <w:shd w:val="clear" w:color="auto" w:fill="FFFFFF" w:themeFill="background1"/>
          </w:tcPr>
          <w:p w14:paraId="0014C139"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-0.4</w:t>
            </w:r>
          </w:p>
        </w:tc>
        <w:tc>
          <w:tcPr>
            <w:tcW w:w="992" w:type="dxa"/>
            <w:shd w:val="clear" w:color="auto" w:fill="FFFFFF" w:themeFill="background1"/>
          </w:tcPr>
          <w:p w14:paraId="374559AF"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-1.1%</w:t>
            </w:r>
          </w:p>
        </w:tc>
        <w:tc>
          <w:tcPr>
            <w:tcW w:w="851" w:type="dxa"/>
            <w:shd w:val="clear" w:color="auto" w:fill="FFFFFF" w:themeFill="background1"/>
          </w:tcPr>
          <w:p w14:paraId="7A8E6E55"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-1.6%</w:t>
            </w:r>
          </w:p>
        </w:tc>
        <w:tc>
          <w:tcPr>
            <w:tcW w:w="992" w:type="dxa"/>
            <w:shd w:val="clear" w:color="auto" w:fill="FFFFFF" w:themeFill="background1"/>
          </w:tcPr>
          <w:p w14:paraId="452B9F9A"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-1.9%</w:t>
            </w:r>
          </w:p>
        </w:tc>
        <w:tc>
          <w:tcPr>
            <w:tcW w:w="851" w:type="dxa"/>
            <w:shd w:val="clear" w:color="auto" w:fill="FFFFFF" w:themeFill="background1"/>
          </w:tcPr>
          <w:p w14:paraId="3596A000"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-3.2%</w:t>
            </w:r>
          </w:p>
        </w:tc>
        <w:tc>
          <w:tcPr>
            <w:tcW w:w="851" w:type="dxa"/>
            <w:shd w:val="clear" w:color="auto" w:fill="FFFFFF" w:themeFill="background1"/>
          </w:tcPr>
          <w:p w14:paraId="6E84FDA8" w14:textId="77777777" w:rsidR="00E4253A" w:rsidRPr="00E12F82" w:rsidRDefault="00E4253A" w:rsidP="00312E88">
            <w:pPr>
              <w:pStyle w:val="Tables"/>
              <w:rPr>
                <w:rFonts w:cs="Arial"/>
                <w:b w:val="0"/>
                <w:bCs w:val="0"/>
                <w:sz w:val="16"/>
                <w:szCs w:val="16"/>
              </w:rPr>
            </w:pPr>
            <w:r w:rsidRPr="00E12F82">
              <w:rPr>
                <w:rFonts w:cs="Arial"/>
                <w:b w:val="0"/>
                <w:bCs w:val="0"/>
                <w:sz w:val="16"/>
                <w:szCs w:val="16"/>
              </w:rPr>
              <w:t>-1.3%</w:t>
            </w:r>
          </w:p>
        </w:tc>
      </w:tr>
      <w:tr w:rsidR="00E4253A" w14:paraId="00CF23FC" w14:textId="77777777" w:rsidTr="00312E88">
        <w:trPr>
          <w:trHeight w:hRule="exact" w:val="284"/>
        </w:trPr>
        <w:tc>
          <w:tcPr>
            <w:tcW w:w="3686" w:type="dxa"/>
            <w:shd w:val="clear" w:color="auto" w:fill="FFFFFF" w:themeFill="background1"/>
          </w:tcPr>
          <w:p w14:paraId="5B208A2E" w14:textId="77777777" w:rsidR="00E4253A" w:rsidRPr="00E12F82" w:rsidRDefault="00E4253A" w:rsidP="00312E88">
            <w:pPr>
              <w:pStyle w:val="Tables"/>
              <w:rPr>
                <w:rFonts w:cs="Arial"/>
                <w:b w:val="0"/>
                <w:bCs w:val="0"/>
                <w:sz w:val="16"/>
                <w:szCs w:val="16"/>
              </w:rPr>
            </w:pPr>
            <w:r w:rsidRPr="00E12F82">
              <w:rPr>
                <w:rFonts w:cs="Arial"/>
                <w:sz w:val="16"/>
                <w:szCs w:val="16"/>
              </w:rPr>
              <w:t>Total impact of experience and modelling</w:t>
            </w:r>
          </w:p>
        </w:tc>
        <w:tc>
          <w:tcPr>
            <w:tcW w:w="992" w:type="dxa"/>
            <w:shd w:val="clear" w:color="auto" w:fill="FFFFFF" w:themeFill="background1"/>
          </w:tcPr>
          <w:p w14:paraId="0A61EF17" w14:textId="77777777" w:rsidR="00E4253A" w:rsidRPr="00E12F82" w:rsidRDefault="00E4253A" w:rsidP="00312E88">
            <w:pPr>
              <w:pStyle w:val="Tables"/>
              <w:rPr>
                <w:rFonts w:cs="Arial"/>
                <w:sz w:val="16"/>
                <w:szCs w:val="16"/>
              </w:rPr>
            </w:pPr>
            <w:r w:rsidRPr="00E12F82">
              <w:rPr>
                <w:rFonts w:cs="Arial"/>
                <w:sz w:val="16"/>
                <w:szCs w:val="16"/>
              </w:rPr>
              <w:t>3.9%</w:t>
            </w:r>
          </w:p>
        </w:tc>
        <w:tc>
          <w:tcPr>
            <w:tcW w:w="992" w:type="dxa"/>
            <w:shd w:val="clear" w:color="auto" w:fill="FFFFFF" w:themeFill="background1"/>
          </w:tcPr>
          <w:p w14:paraId="6A1DF9CE" w14:textId="77777777" w:rsidR="00E4253A" w:rsidRPr="00E12F82" w:rsidRDefault="00E4253A" w:rsidP="00312E88">
            <w:pPr>
              <w:pStyle w:val="Tables"/>
              <w:rPr>
                <w:rFonts w:cs="Arial"/>
                <w:sz w:val="16"/>
                <w:szCs w:val="16"/>
              </w:rPr>
            </w:pPr>
            <w:r w:rsidRPr="00E12F82">
              <w:rPr>
                <w:rFonts w:cs="Arial"/>
                <w:sz w:val="16"/>
                <w:szCs w:val="16"/>
              </w:rPr>
              <w:t>3.0%</w:t>
            </w:r>
          </w:p>
        </w:tc>
        <w:tc>
          <w:tcPr>
            <w:tcW w:w="851" w:type="dxa"/>
            <w:shd w:val="clear" w:color="auto" w:fill="FFFFFF" w:themeFill="background1"/>
          </w:tcPr>
          <w:p w14:paraId="1B05335F" w14:textId="77777777" w:rsidR="00E4253A" w:rsidRPr="00E12F82" w:rsidRDefault="00E4253A" w:rsidP="00312E88">
            <w:pPr>
              <w:pStyle w:val="Tables"/>
              <w:rPr>
                <w:rFonts w:cs="Arial"/>
                <w:sz w:val="16"/>
                <w:szCs w:val="16"/>
              </w:rPr>
            </w:pPr>
            <w:r w:rsidRPr="00E12F82">
              <w:rPr>
                <w:rFonts w:cs="Arial"/>
                <w:sz w:val="16"/>
                <w:szCs w:val="16"/>
              </w:rPr>
              <w:t>2.9%</w:t>
            </w:r>
          </w:p>
        </w:tc>
        <w:tc>
          <w:tcPr>
            <w:tcW w:w="992" w:type="dxa"/>
            <w:shd w:val="clear" w:color="auto" w:fill="FFFFFF" w:themeFill="background1"/>
          </w:tcPr>
          <w:p w14:paraId="31908DB1" w14:textId="77777777" w:rsidR="00E4253A" w:rsidRPr="00E12F82" w:rsidRDefault="00E4253A" w:rsidP="00312E88">
            <w:pPr>
              <w:pStyle w:val="Tables"/>
              <w:rPr>
                <w:rFonts w:cs="Arial"/>
                <w:sz w:val="16"/>
                <w:szCs w:val="16"/>
              </w:rPr>
            </w:pPr>
            <w:r w:rsidRPr="00E12F82">
              <w:rPr>
                <w:rFonts w:cs="Arial"/>
                <w:sz w:val="16"/>
                <w:szCs w:val="16"/>
              </w:rPr>
              <w:t>1.8%</w:t>
            </w:r>
          </w:p>
        </w:tc>
        <w:tc>
          <w:tcPr>
            <w:tcW w:w="851" w:type="dxa"/>
            <w:shd w:val="clear" w:color="auto" w:fill="FFFFFF" w:themeFill="background1"/>
          </w:tcPr>
          <w:p w14:paraId="11989266" w14:textId="77777777" w:rsidR="00E4253A" w:rsidRPr="00E12F82" w:rsidRDefault="00E4253A" w:rsidP="00312E88">
            <w:pPr>
              <w:pStyle w:val="Tables"/>
              <w:rPr>
                <w:rFonts w:cs="Arial"/>
                <w:sz w:val="16"/>
                <w:szCs w:val="16"/>
              </w:rPr>
            </w:pPr>
            <w:r w:rsidRPr="00E12F82">
              <w:rPr>
                <w:rFonts w:cs="Arial"/>
                <w:sz w:val="16"/>
                <w:szCs w:val="16"/>
              </w:rPr>
              <w:t>-1.7%</w:t>
            </w:r>
          </w:p>
        </w:tc>
        <w:tc>
          <w:tcPr>
            <w:tcW w:w="851" w:type="dxa"/>
            <w:shd w:val="clear" w:color="auto" w:fill="FFFFFF" w:themeFill="background1"/>
          </w:tcPr>
          <w:p w14:paraId="25351764" w14:textId="77777777" w:rsidR="00E4253A" w:rsidRPr="00E12F82" w:rsidRDefault="00E4253A" w:rsidP="00312E88">
            <w:pPr>
              <w:pStyle w:val="Tables"/>
              <w:rPr>
                <w:rFonts w:cs="Arial"/>
                <w:sz w:val="16"/>
                <w:szCs w:val="16"/>
              </w:rPr>
            </w:pPr>
            <w:r w:rsidRPr="00E12F82">
              <w:rPr>
                <w:rFonts w:cs="Arial"/>
                <w:sz w:val="16"/>
                <w:szCs w:val="16"/>
              </w:rPr>
              <w:t>2.8%</w:t>
            </w:r>
          </w:p>
        </w:tc>
      </w:tr>
    </w:tbl>
    <w:p w14:paraId="3C8433F4" w14:textId="0DCAD961" w:rsidR="00203269" w:rsidRPr="00CE2E1F" w:rsidRDefault="00203269" w:rsidP="00203269">
      <w:pPr>
        <w:pStyle w:val="FSRnormal"/>
      </w:pPr>
    </w:p>
    <w:p w14:paraId="3CE4E38F" w14:textId="29AF3FEA" w:rsidR="006F104A" w:rsidRPr="00C578EB" w:rsidRDefault="006F104A" w:rsidP="00CF3E47">
      <w:pPr>
        <w:pStyle w:val="Heading3"/>
      </w:pPr>
      <w:bookmarkStart w:id="188" w:name="_Toc83220849"/>
      <w:bookmarkStart w:id="189" w:name="_Toc85031260"/>
      <w:r w:rsidRPr="00C578EB">
        <w:t>Participant</w:t>
      </w:r>
      <w:r w:rsidR="00C129EB" w:rsidRPr="00C578EB">
        <w:t xml:space="preserve"> </w:t>
      </w:r>
      <w:r w:rsidR="00CF3E47" w:rsidRPr="00C578EB">
        <w:t>projections</w:t>
      </w:r>
      <w:bookmarkEnd w:id="188"/>
      <w:bookmarkEnd w:id="189"/>
    </w:p>
    <w:p w14:paraId="12BF36AA" w14:textId="1DFF8DC4" w:rsidR="00CF3E47" w:rsidRPr="008F2AD8" w:rsidRDefault="00CF3E47" w:rsidP="00CF3E47">
      <w:pPr>
        <w:pStyle w:val="FSRnormal"/>
        <w:rPr>
          <w:bCs/>
          <w:szCs w:val="18"/>
          <w:lang w:eastAsia="en-US"/>
        </w:rPr>
      </w:pPr>
      <w:bookmarkStart w:id="190" w:name="_Ref75966917"/>
      <w:r w:rsidRPr="005D6491">
        <w:t>The current projections indicate a marginal reduction in projected participant numbers, compared to the previous FSR</w:t>
      </w:r>
      <w:r>
        <w:t xml:space="preserve"> </w:t>
      </w:r>
      <w:r w:rsidR="000E6147">
        <w:t>(</w:t>
      </w:r>
      <w:r w:rsidRPr="003768A5">
        <w:fldChar w:fldCharType="begin"/>
      </w:r>
      <w:r w:rsidRPr="003768A5">
        <w:instrText xml:space="preserve"> REF _Ref80283024 \h  \* MERGEFORMAT </w:instrText>
      </w:r>
      <w:r w:rsidRPr="003768A5">
        <w:fldChar w:fldCharType="separate"/>
      </w:r>
      <w:r w:rsidR="00E50032" w:rsidRPr="00CF3E47">
        <w:t xml:space="preserve">Figure </w:t>
      </w:r>
      <w:r w:rsidR="00E50032">
        <w:t>39</w:t>
      </w:r>
      <w:r w:rsidRPr="003768A5">
        <w:fldChar w:fldCharType="end"/>
      </w:r>
      <w:r w:rsidR="000E6147">
        <w:t>)</w:t>
      </w:r>
      <w:r w:rsidRPr="003768A5">
        <w:t>. Whilst the projected participant numbers are slightly lower, the trajector</w:t>
      </w:r>
      <w:r w:rsidR="0018109F">
        <w:t>ies</w:t>
      </w:r>
      <w:r w:rsidRPr="003768A5">
        <w:t xml:space="preserve"> of the two projections are</w:t>
      </w:r>
      <w:r w:rsidRPr="005D6491">
        <w:t xml:space="preserve"> largely unchanged. </w:t>
      </w:r>
    </w:p>
    <w:p w14:paraId="3F1F3087" w14:textId="67BB943F" w:rsidR="00512FF0" w:rsidRPr="00CF3E47" w:rsidRDefault="00512FF0" w:rsidP="00CF3E47">
      <w:pPr>
        <w:pStyle w:val="Figures"/>
      </w:pPr>
      <w:bookmarkStart w:id="191" w:name="_Ref80283024"/>
      <w:r w:rsidRPr="00CF3E47">
        <w:t xml:space="preserve">Figure </w:t>
      </w:r>
      <w:fldSimple w:instr=" SEQ Figure \* ARABIC ">
        <w:r w:rsidR="00E50032">
          <w:rPr>
            <w:noProof/>
          </w:rPr>
          <w:t>39</w:t>
        </w:r>
      </w:fldSimple>
      <w:bookmarkEnd w:id="190"/>
      <w:bookmarkEnd w:id="191"/>
      <w:r w:rsidRPr="00CF3E47">
        <w:t xml:space="preserve"> </w:t>
      </w:r>
      <w:r w:rsidR="00CF3E47" w:rsidRPr="00CF3E47">
        <w:t>Projected participant numbers (all ages)</w:t>
      </w:r>
    </w:p>
    <w:p w14:paraId="2A956E7B" w14:textId="214501C6" w:rsidR="00512FF0" w:rsidRDefault="00E74D4F" w:rsidP="00CF3E47">
      <w:pPr>
        <w:pStyle w:val="FSRnormal"/>
      </w:pPr>
      <w:r>
        <w:rPr>
          <w:noProof/>
          <w:lang w:eastAsia="en-AU"/>
        </w:rPr>
        <w:drawing>
          <wp:inline distT="0" distB="0" distL="0" distR="0" wp14:anchorId="6F61CC70" wp14:editId="15ECD7C8">
            <wp:extent cx="5563164" cy="2607733"/>
            <wp:effectExtent l="0" t="0" r="0" b="0"/>
            <wp:docPr id="502" name="Picture 502" descr="Line graph showing projected participant numbers. Actual numbers as at 30 June 2018 were 164,297, 286,015 as at 30 June 2019, 391,999 as at 30 June 2020 and 466,619 as at June 30 2021. Projections for Dec20 FSR were 643,229 as at 30 June 2024, 682,760 as at 30 June 2025, and 870,761 as at 30 June 2030. Projections for 2020-21 FSR for participants aged between 0 and 64 were 630,327 as at 30 June 2024, 670,400 as at 30 June 2025, and 859,328 as at 30 June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descr="Line graph showing projected participant numbers. Actual numbers as at 30 June 2018 were 164,297, 286,015 as at 30 June 2019, 391,999 as at 30 June 2020 and 466,619 as at June 30 2021. Projections for Dec20 FSR were 643,229 as at 30 June 2024, 682,760 as at 30 June 2025, and 870,761 as at 30 June 2030. Projections for 2020-21 FSR for participants aged between 0 and 64 were 630,327 as at 30 June 2024, 670,400 as at 30 June 2025, and 859,328 as at 30 June 2030."/>
                    <pic:cNvPicPr/>
                  </pic:nvPicPr>
                  <pic:blipFill>
                    <a:blip r:embed="rId57">
                      <a:extLst>
                        <a:ext uri="{28A0092B-C50C-407E-A947-70E740481C1C}">
                          <a14:useLocalDpi xmlns:a14="http://schemas.microsoft.com/office/drawing/2010/main" val="0"/>
                        </a:ext>
                      </a:extLst>
                    </a:blip>
                    <a:stretch>
                      <a:fillRect/>
                    </a:stretch>
                  </pic:blipFill>
                  <pic:spPr>
                    <a:xfrm>
                      <a:off x="0" y="0"/>
                      <a:ext cx="5575512" cy="2613521"/>
                    </a:xfrm>
                    <a:prstGeom prst="rect">
                      <a:avLst/>
                    </a:prstGeom>
                  </pic:spPr>
                </pic:pic>
              </a:graphicData>
            </a:graphic>
          </wp:inline>
        </w:drawing>
      </w:r>
    </w:p>
    <w:p w14:paraId="292A8CB0" w14:textId="27CF3249" w:rsidR="00CF3E47" w:rsidRDefault="00602B20" w:rsidP="00CF3E47">
      <w:pPr>
        <w:pStyle w:val="FSRHeading4"/>
      </w:pPr>
      <w:r>
        <w:t>New i</w:t>
      </w:r>
      <w:r w:rsidR="00CF3E47">
        <w:t>ncidence</w:t>
      </w:r>
    </w:p>
    <w:p w14:paraId="6EC0E418" w14:textId="646E664C" w:rsidR="00F64B9F" w:rsidRPr="00CF3E47" w:rsidRDefault="00F64B9F" w:rsidP="00F64B9F">
      <w:pPr>
        <w:pStyle w:val="FSRnormal"/>
      </w:pPr>
      <w:r w:rsidRPr="00CF3E47">
        <w:t>In setting future assumptions</w:t>
      </w:r>
      <w:r>
        <w:t xml:space="preserve"> relating to new incidence,</w:t>
      </w:r>
      <w:r w:rsidRPr="00CF3E47">
        <w:t xml:space="preserve"> it is necessary to estimate, of the observed experience, the proportional split between  </w:t>
      </w:r>
    </w:p>
    <w:p w14:paraId="78FB699F" w14:textId="7A4C5A45" w:rsidR="00F64B9F" w:rsidRDefault="00F64B9F" w:rsidP="00F64B9F">
      <w:pPr>
        <w:pStyle w:val="FSRlist"/>
      </w:pPr>
      <w:r w:rsidRPr="00B453F1">
        <w:rPr>
          <w:i/>
        </w:rPr>
        <w:t>True new incidence</w:t>
      </w:r>
      <w:r>
        <w:t xml:space="preserve"> – i.e. participants who acquired their disability relatively recently, or who have only recently met the necessary criteria for access to the </w:t>
      </w:r>
      <w:r w:rsidR="00475322">
        <w:t>Scheme</w:t>
      </w:r>
      <w:r>
        <w:t xml:space="preserve">. </w:t>
      </w:r>
      <w:r>
        <w:lastRenderedPageBreak/>
        <w:t xml:space="preserve">These participants </w:t>
      </w:r>
      <w:r w:rsidRPr="00F64B9F">
        <w:rPr>
          <w:b/>
        </w:rPr>
        <w:t>would</w:t>
      </w:r>
      <w:r>
        <w:t xml:space="preserve"> therefore be indicative of likely longer term levels of new incidence. </w:t>
      </w:r>
    </w:p>
    <w:p w14:paraId="600FF12B" w14:textId="7B451382" w:rsidR="00F64B9F" w:rsidRDefault="00F64B9F" w:rsidP="00F64B9F">
      <w:pPr>
        <w:pStyle w:val="FSRlist"/>
      </w:pPr>
      <w:r w:rsidRPr="00B453F1">
        <w:rPr>
          <w:i/>
        </w:rPr>
        <w:t>Previously unmet need</w:t>
      </w:r>
      <w:r>
        <w:t xml:space="preserve"> – i.e. participants who acquired their disability some years prior who only accessed the </w:t>
      </w:r>
      <w:r w:rsidR="00475322">
        <w:t>Scheme</w:t>
      </w:r>
      <w:r>
        <w:t xml:space="preserve"> recently (for various reasons). These participants </w:t>
      </w:r>
      <w:r w:rsidRPr="00F64B9F">
        <w:rPr>
          <w:b/>
        </w:rPr>
        <w:t>would not</w:t>
      </w:r>
      <w:r>
        <w:t xml:space="preserve"> therefore be indicative of likely longer term levels of new incidence.     </w:t>
      </w:r>
    </w:p>
    <w:p w14:paraId="30A5215F" w14:textId="6BE7FFB6" w:rsidR="00F64B9F" w:rsidRDefault="00CF3E47" w:rsidP="00CF3E47">
      <w:pPr>
        <w:pStyle w:val="FSRnormal"/>
      </w:pPr>
      <w:r>
        <w:t xml:space="preserve">At the previous review new incidence assumptions were increased significantly, in response to observed experience being significantly higher than previously assumed. This was observed in particular in geographic areas which phased into the </w:t>
      </w:r>
      <w:r w:rsidR="00475322">
        <w:t>Scheme</w:t>
      </w:r>
      <w:r>
        <w:t xml:space="preserve"> at least t</w:t>
      </w:r>
      <w:r w:rsidR="00DC36CD">
        <w:t xml:space="preserve">hree </w:t>
      </w:r>
      <w:r>
        <w:t xml:space="preserve">years earlier (and which therefore would be expected to be </w:t>
      </w:r>
      <w:r w:rsidRPr="00F64B9F">
        <w:t xml:space="preserve">relatively representative of longer term expected experience). </w:t>
      </w:r>
      <w:r w:rsidR="006A1A18">
        <w:t>T</w:t>
      </w:r>
      <w:r w:rsidR="006A1A18" w:rsidRPr="006A1A18">
        <w:t xml:space="preserve">he range of </w:t>
      </w:r>
      <w:r w:rsidR="006A1A18">
        <w:t>disabilities and conditions of participants entering the Scheme also contributes to the challenge in setting future new incidence assumptions.</w:t>
      </w:r>
      <w:r w:rsidR="006A1A18" w:rsidRPr="006A1A18">
        <w:t xml:space="preserve"> </w:t>
      </w:r>
    </w:p>
    <w:p w14:paraId="39D53DF5" w14:textId="0412A4CE" w:rsidR="00CF3E47" w:rsidRDefault="00CF3E47" w:rsidP="00CF3E47">
      <w:pPr>
        <w:pStyle w:val="FSRnormal"/>
      </w:pPr>
      <w:r w:rsidRPr="00F64B9F">
        <w:t>The adopted assumption</w:t>
      </w:r>
      <w:r w:rsidR="00F64B9F">
        <w:t xml:space="preserve"> at this review</w:t>
      </w:r>
      <w:r w:rsidRPr="00F64B9F">
        <w:t xml:space="preserve">, as well as the </w:t>
      </w:r>
      <w:r w:rsidR="00F64B9F" w:rsidRPr="00274668">
        <w:t>assumption</w:t>
      </w:r>
      <w:r w:rsidR="00F64B9F">
        <w:t xml:space="preserve">s adopted </w:t>
      </w:r>
      <w:r w:rsidR="0018109F">
        <w:t>at the 30 June 2020 revie</w:t>
      </w:r>
      <w:r w:rsidR="004C0986">
        <w:t>w</w:t>
      </w:r>
      <w:r w:rsidR="0018109F">
        <w:t xml:space="preserve"> as well as </w:t>
      </w:r>
      <w:r w:rsidRPr="00F64B9F">
        <w:t xml:space="preserve">observed experience by phasing year is shown in </w:t>
      </w:r>
      <w:r w:rsidRPr="00E74D4F">
        <w:rPr>
          <w:u w:val="single"/>
        </w:rPr>
        <w:fldChar w:fldCharType="begin"/>
      </w:r>
      <w:r w:rsidRPr="00E74D4F">
        <w:rPr>
          <w:u w:val="single"/>
        </w:rPr>
        <w:instrText xml:space="preserve"> REF _Ref80283166 \h  \* MERGEFORMAT </w:instrText>
      </w:r>
      <w:r w:rsidRPr="00E74D4F">
        <w:rPr>
          <w:u w:val="single"/>
        </w:rPr>
      </w:r>
      <w:r w:rsidRPr="00E74D4F">
        <w:rPr>
          <w:u w:val="single"/>
        </w:rPr>
        <w:fldChar w:fldCharType="separate"/>
      </w:r>
      <w:r w:rsidR="00E50032" w:rsidRPr="00E50032">
        <w:rPr>
          <w:u w:val="single"/>
        </w:rPr>
        <w:t xml:space="preserve">Figure </w:t>
      </w:r>
      <w:r w:rsidR="00E50032" w:rsidRPr="00E50032">
        <w:rPr>
          <w:noProof/>
          <w:u w:val="single"/>
        </w:rPr>
        <w:t>40</w:t>
      </w:r>
      <w:r w:rsidRPr="00E74D4F">
        <w:rPr>
          <w:u w:val="single"/>
        </w:rPr>
        <w:fldChar w:fldCharType="end"/>
      </w:r>
      <w:r w:rsidRPr="00F64B9F">
        <w:t>.</w:t>
      </w:r>
      <w:r>
        <w:t xml:space="preserve"> </w:t>
      </w:r>
    </w:p>
    <w:p w14:paraId="5D0500FF" w14:textId="4E3DBE5E" w:rsidR="00CF3E47" w:rsidRPr="00FC5C6C" w:rsidRDefault="00CF3E47" w:rsidP="00CF3E47">
      <w:pPr>
        <w:pStyle w:val="Figures"/>
      </w:pPr>
      <w:bookmarkStart w:id="192" w:name="_Ref80283166"/>
      <w:r w:rsidRPr="005D1AFD">
        <w:t xml:space="preserve">Figure </w:t>
      </w:r>
      <w:r w:rsidRPr="00AB4E2F">
        <w:fldChar w:fldCharType="begin"/>
      </w:r>
      <w:r w:rsidRPr="005D1AFD">
        <w:instrText xml:space="preserve"> SEQ Figure \* ARABIC </w:instrText>
      </w:r>
      <w:r w:rsidRPr="00AB4E2F">
        <w:fldChar w:fldCharType="separate"/>
      </w:r>
      <w:r w:rsidR="00E50032">
        <w:rPr>
          <w:noProof/>
        </w:rPr>
        <w:t>40</w:t>
      </w:r>
      <w:r w:rsidRPr="00AB4E2F">
        <w:rPr>
          <w:noProof/>
        </w:rPr>
        <w:fldChar w:fldCharType="end"/>
      </w:r>
      <w:bookmarkEnd w:id="192"/>
      <w:r w:rsidRPr="00FC5C6C">
        <w:t xml:space="preserve"> </w:t>
      </w:r>
      <w:r w:rsidR="004B6909">
        <w:t>Observed n</w:t>
      </w:r>
      <w:r w:rsidR="004B6909" w:rsidRPr="00FC5C6C">
        <w:t xml:space="preserve">ew </w:t>
      </w:r>
      <w:r w:rsidRPr="00FC5C6C">
        <w:t xml:space="preserve">incidence </w:t>
      </w:r>
      <w:r w:rsidR="004B6909">
        <w:t xml:space="preserve">rate </w:t>
      </w:r>
      <w:r w:rsidRPr="00FC5C6C">
        <w:t>by phasing yea</w:t>
      </w:r>
      <w:r w:rsidRPr="00AB4E2F">
        <w:t>r</w:t>
      </w:r>
      <w:r w:rsidR="004B6909">
        <w:t xml:space="preserve"> and assumptions at 30 June 2020 and 2021</w:t>
      </w:r>
      <w:r w:rsidR="0018109F">
        <w:rPr>
          <w:rStyle w:val="FootnoteReference"/>
        </w:rPr>
        <w:footnoteReference w:id="59"/>
      </w:r>
    </w:p>
    <w:p w14:paraId="24040F94" w14:textId="25710D18" w:rsidR="00CF3E47" w:rsidRDefault="0039217B" w:rsidP="00CF3E47">
      <w:pPr>
        <w:pStyle w:val="FSRnormal"/>
      </w:pPr>
      <w:r w:rsidRPr="0039217B">
        <w:t xml:space="preserve"> </w:t>
      </w:r>
      <w:r w:rsidR="000736D1">
        <w:rPr>
          <w:noProof/>
          <w:lang w:eastAsia="en-AU"/>
        </w:rPr>
        <w:drawing>
          <wp:inline distT="0" distB="0" distL="0" distR="0" wp14:anchorId="7D102B68" wp14:editId="283F08D9">
            <wp:extent cx="5731510" cy="2785110"/>
            <wp:effectExtent l="0" t="0" r="0" b="0"/>
            <wp:docPr id="4" name="Picture 4" descr="Bar chart showing Observed new incidence rate per 100k people by phasing year and assumptions at 30 June 2020 and 2021. The June 2021 projection assumption is at 267 per 100,000 people, and the projection assumption for June 2020 was 177,  The actual for 2013 is 341, for 2016 is 303, for 2017 is 344, for 2018 is 328 and for 2019 is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r chart showing Observed new incidence rate per 100k people by phasing year and assumptions at 30 June 2020 and 2021. The June 2021 projection assumption is at 267 per 100,000 people, and the projection assumption for June 2020 was 177,  The actual for 2013 is 341, for 2016 is 303, for 2017 is 344, for 2018 is 328 and for 2019 is 423."/>
                    <pic:cNvPicPr/>
                  </pic:nvPicPr>
                  <pic:blipFill>
                    <a:blip r:embed="rId58">
                      <a:extLst>
                        <a:ext uri="{28A0092B-C50C-407E-A947-70E740481C1C}">
                          <a14:useLocalDpi xmlns:a14="http://schemas.microsoft.com/office/drawing/2010/main" val="0"/>
                        </a:ext>
                      </a:extLst>
                    </a:blip>
                    <a:stretch>
                      <a:fillRect/>
                    </a:stretch>
                  </pic:blipFill>
                  <pic:spPr>
                    <a:xfrm>
                      <a:off x="0" y="0"/>
                      <a:ext cx="5731510" cy="2785110"/>
                    </a:xfrm>
                    <a:prstGeom prst="rect">
                      <a:avLst/>
                    </a:prstGeom>
                  </pic:spPr>
                </pic:pic>
              </a:graphicData>
            </a:graphic>
          </wp:inline>
        </w:drawing>
      </w:r>
    </w:p>
    <w:p w14:paraId="585BCB27" w14:textId="3BFCCC48" w:rsidR="00F64B9F" w:rsidRPr="00274668" w:rsidRDefault="00F64B9F" w:rsidP="00F64B9F">
      <w:pPr>
        <w:pStyle w:val="FSRnormal"/>
      </w:pPr>
      <w:r w:rsidRPr="00274668">
        <w:t xml:space="preserve">The assumption adopted </w:t>
      </w:r>
      <w:r>
        <w:t xml:space="preserve">at this review </w:t>
      </w:r>
      <w:r w:rsidRPr="00274668">
        <w:t xml:space="preserve">(267 per 100,000 people), </w:t>
      </w:r>
      <w:r>
        <w:t xml:space="preserve">which is unchanged from the previous review, </w:t>
      </w:r>
      <w:r w:rsidRPr="00274668">
        <w:t>is higher than assumption</w:t>
      </w:r>
      <w:r>
        <w:t>s adopted prior to the previous review</w:t>
      </w:r>
      <w:r w:rsidRPr="00274668">
        <w:t xml:space="preserve">, but </w:t>
      </w:r>
      <w:r>
        <w:t xml:space="preserve">lower than </w:t>
      </w:r>
      <w:r w:rsidRPr="00274668">
        <w:t>the rates observed</w:t>
      </w:r>
      <w:r w:rsidR="00EE68A0">
        <w:t xml:space="preserve">. </w:t>
      </w:r>
      <w:r>
        <w:t xml:space="preserve">The adopted assumption is approximately 80% of the observed experience (and approximately 70% for adult participants, where there is greater uncertainty about the long term number of new participants). There therefore remains </w:t>
      </w:r>
      <w:r w:rsidRPr="00274668">
        <w:t>upside risk in this assumption</w:t>
      </w:r>
      <w:r w:rsidR="00393761">
        <w:t xml:space="preserve"> (that is, the risk that participant numbers will be higher</w:t>
      </w:r>
      <w:r w:rsidRPr="00274668">
        <w:t>.</w:t>
      </w:r>
    </w:p>
    <w:p w14:paraId="76CA6A01" w14:textId="09824DB1" w:rsidR="00393761" w:rsidRPr="00CF3E47" w:rsidRDefault="00393761" w:rsidP="00393761">
      <w:pPr>
        <w:pStyle w:val="FSRnormal"/>
      </w:pPr>
      <w:r w:rsidRPr="00CF3E47">
        <w:lastRenderedPageBreak/>
        <w:t xml:space="preserve">To assist in refining </w:t>
      </w:r>
      <w:r>
        <w:t xml:space="preserve">this </w:t>
      </w:r>
      <w:r w:rsidRPr="00CF3E47">
        <w:t xml:space="preserve">assumption, a sample of recent new entrants from these </w:t>
      </w:r>
      <w:r>
        <w:t xml:space="preserve">earlier </w:t>
      </w:r>
      <w:r w:rsidRPr="00CF3E47">
        <w:t>geographic areas was analysed. This analysis is summaris</w:t>
      </w:r>
      <w:r>
        <w:t xml:space="preserve">ed below in </w:t>
      </w:r>
      <w:r w:rsidRPr="000736D1">
        <w:rPr>
          <w:u w:val="single"/>
        </w:rPr>
        <w:fldChar w:fldCharType="begin"/>
      </w:r>
      <w:r w:rsidRPr="000736D1">
        <w:rPr>
          <w:u w:val="single"/>
        </w:rPr>
        <w:instrText xml:space="preserve"> REF _Ref80283295 \h </w:instrText>
      </w:r>
      <w:r w:rsidR="000736D1">
        <w:rPr>
          <w:u w:val="single"/>
        </w:rPr>
        <w:instrText xml:space="preserve"> \* MERGEFORMAT </w:instrText>
      </w:r>
      <w:r w:rsidRPr="000736D1">
        <w:rPr>
          <w:u w:val="single"/>
        </w:rPr>
      </w:r>
      <w:r w:rsidRPr="000736D1">
        <w:rPr>
          <w:u w:val="single"/>
        </w:rPr>
        <w:fldChar w:fldCharType="separate"/>
      </w:r>
      <w:r w:rsidR="00E50032" w:rsidRPr="00E50032">
        <w:rPr>
          <w:u w:val="single"/>
        </w:rPr>
        <w:t xml:space="preserve">Table </w:t>
      </w:r>
      <w:r w:rsidR="00E50032" w:rsidRPr="00E50032">
        <w:rPr>
          <w:noProof/>
          <w:u w:val="single"/>
        </w:rPr>
        <w:t>22</w:t>
      </w:r>
      <w:r w:rsidRPr="000736D1">
        <w:rPr>
          <w:u w:val="single"/>
        </w:rPr>
        <w:fldChar w:fldCharType="end"/>
      </w:r>
      <w:r w:rsidRPr="00CF3E47">
        <w:t>. Key findings are discussed below:</w:t>
      </w:r>
    </w:p>
    <w:p w14:paraId="0E213022" w14:textId="7CBFFA55" w:rsidR="00F64B9F" w:rsidRDefault="00CF3E47" w:rsidP="00F64B9F">
      <w:pPr>
        <w:pStyle w:val="FSRlist"/>
      </w:pPr>
      <w:r>
        <w:t xml:space="preserve">61% of the sample are regarded as likely to be true new incidence. This figure comprises participants who acquired their disability in the past three years (29%) as well as participants with a disability acquired more than three years previously but where there was a recent event, or change in circumstances giving rise to their gaining access to the </w:t>
      </w:r>
      <w:r w:rsidR="00475322">
        <w:t>Scheme</w:t>
      </w:r>
      <w:r>
        <w:t xml:space="preserve"> (32%).</w:t>
      </w:r>
      <w:r w:rsidR="00F64B9F">
        <w:t xml:space="preserve"> </w:t>
      </w:r>
    </w:p>
    <w:p w14:paraId="21895AD5" w14:textId="68DEA644" w:rsidR="00CF3E47" w:rsidRDefault="00CF3E47" w:rsidP="00CF3E47">
      <w:pPr>
        <w:pStyle w:val="FSRlist"/>
      </w:pPr>
      <w:r>
        <w:t xml:space="preserve">For 39% of the sample it is less clear whether they represent true new incidence or previously unmet need. Many of these participants have interacted with the justice and/or mental health systems for years, and it is plausible to expect that it has taken some time for participants such as these to access the </w:t>
      </w:r>
      <w:r w:rsidR="00475322">
        <w:t>Scheme</w:t>
      </w:r>
      <w:r>
        <w:t xml:space="preserve"> and that the number of such participants will eventually drop</w:t>
      </w:r>
    </w:p>
    <w:p w14:paraId="5A29F2D3" w14:textId="2DDBFCC9" w:rsidR="00A50A13" w:rsidRDefault="00CF3E47" w:rsidP="00A914AC">
      <w:pPr>
        <w:pStyle w:val="Tables"/>
      </w:pPr>
      <w:bookmarkStart w:id="193" w:name="_Ref80283295"/>
      <w:bookmarkStart w:id="194" w:name="_Ref80283286"/>
      <w:r w:rsidRPr="00C578EB">
        <w:t xml:space="preserve">Table </w:t>
      </w:r>
      <w:r w:rsidRPr="00597704">
        <w:fldChar w:fldCharType="begin"/>
      </w:r>
      <w:r w:rsidRPr="00C578EB">
        <w:instrText xml:space="preserve"> SEQ Table \* ARABIC </w:instrText>
      </w:r>
      <w:r w:rsidRPr="00597704">
        <w:fldChar w:fldCharType="separate"/>
      </w:r>
      <w:r w:rsidR="00E50032">
        <w:rPr>
          <w:noProof/>
        </w:rPr>
        <w:t>22</w:t>
      </w:r>
      <w:r w:rsidRPr="00597704">
        <w:fldChar w:fldCharType="end"/>
      </w:r>
      <w:bookmarkEnd w:id="193"/>
      <w:r w:rsidRPr="00C578EB">
        <w:t xml:space="preserve"> </w:t>
      </w:r>
      <w:r>
        <w:t>Analysis of sample of recent new entrants</w:t>
      </w:r>
      <w:r>
        <w:rPr>
          <w:rStyle w:val="FootnoteReference"/>
        </w:rPr>
        <w:footnoteReference w:id="60"/>
      </w:r>
      <w:bookmarkEnd w:id="194"/>
      <w:r>
        <w:t xml:space="preserve"> </w:t>
      </w:r>
    </w:p>
    <w:tbl>
      <w:tblPr>
        <w:tblW w:w="9072" w:type="dxa"/>
        <w:tblLook w:val="04A0" w:firstRow="1" w:lastRow="0" w:firstColumn="1" w:lastColumn="0" w:noHBand="0" w:noVBand="1"/>
      </w:tblPr>
      <w:tblGrid>
        <w:gridCol w:w="617"/>
        <w:gridCol w:w="1084"/>
        <w:gridCol w:w="4400"/>
        <w:gridCol w:w="7"/>
        <w:gridCol w:w="838"/>
        <w:gridCol w:w="897"/>
        <w:gridCol w:w="1229"/>
      </w:tblGrid>
      <w:tr w:rsidR="00A50A13" w14:paraId="65EBB9CE" w14:textId="77777777" w:rsidTr="00312E88">
        <w:trPr>
          <w:trHeight w:hRule="exact" w:val="284"/>
          <w:tblHeader/>
        </w:trPr>
        <w:tc>
          <w:tcPr>
            <w:tcW w:w="6946" w:type="dxa"/>
            <w:gridSpan w:val="5"/>
            <w:tcBorders>
              <w:top w:val="nil"/>
              <w:left w:val="nil"/>
              <w:bottom w:val="nil"/>
              <w:right w:val="nil"/>
            </w:tcBorders>
            <w:shd w:val="clear" w:color="000000" w:fill="6B2976"/>
            <w:noWrap/>
            <w:vAlign w:val="bottom"/>
            <w:hideMark/>
          </w:tcPr>
          <w:p w14:paraId="16555C46" w14:textId="77777777" w:rsidR="00A50A13" w:rsidRPr="00105114" w:rsidRDefault="00A50A13" w:rsidP="00312E88">
            <w:pPr>
              <w:rPr>
                <w:rFonts w:cs="Arial"/>
                <w:b/>
                <w:bCs/>
                <w:color w:val="FFFFFF"/>
                <w:sz w:val="18"/>
                <w:szCs w:val="18"/>
              </w:rPr>
            </w:pPr>
            <w:r w:rsidRPr="00105114">
              <w:rPr>
                <w:rFonts w:cs="Arial"/>
                <w:b/>
                <w:bCs/>
                <w:color w:val="FFFFFF"/>
                <w:sz w:val="18"/>
                <w:szCs w:val="18"/>
              </w:rPr>
              <w:t> </w:t>
            </w:r>
          </w:p>
          <w:p w14:paraId="63C1B82D" w14:textId="77777777" w:rsidR="00A50A13" w:rsidRPr="00105114" w:rsidRDefault="00A50A13" w:rsidP="00312E88">
            <w:pPr>
              <w:rPr>
                <w:rFonts w:cs="Arial"/>
                <w:b/>
                <w:bCs/>
                <w:color w:val="FFFFFF"/>
                <w:sz w:val="18"/>
                <w:szCs w:val="18"/>
              </w:rPr>
            </w:pPr>
            <w:r w:rsidRPr="00105114">
              <w:rPr>
                <w:rFonts w:cs="Arial"/>
                <w:b/>
                <w:bCs/>
                <w:color w:val="FFFFFF"/>
                <w:sz w:val="18"/>
                <w:szCs w:val="18"/>
              </w:rPr>
              <w:t> </w:t>
            </w:r>
          </w:p>
          <w:p w14:paraId="19C392E2" w14:textId="77777777" w:rsidR="00A50A13" w:rsidRPr="00105114" w:rsidRDefault="00A50A13" w:rsidP="00312E88">
            <w:pPr>
              <w:rPr>
                <w:rFonts w:cs="Arial"/>
                <w:b/>
                <w:bCs/>
                <w:color w:val="FFFFFF"/>
                <w:sz w:val="18"/>
                <w:szCs w:val="18"/>
              </w:rPr>
            </w:pPr>
            <w:r w:rsidRPr="00105114">
              <w:rPr>
                <w:rFonts w:cs="Arial"/>
                <w:b/>
                <w:bCs/>
                <w:color w:val="FFFFFF"/>
                <w:sz w:val="18"/>
                <w:szCs w:val="18"/>
              </w:rPr>
              <w:t> </w:t>
            </w:r>
          </w:p>
          <w:p w14:paraId="7EE6973A" w14:textId="77777777" w:rsidR="00A50A13" w:rsidRPr="00105114" w:rsidRDefault="00A50A13" w:rsidP="00312E88">
            <w:pPr>
              <w:rPr>
                <w:rFonts w:cs="Arial"/>
                <w:b/>
                <w:bCs/>
                <w:color w:val="FFFFFF"/>
                <w:sz w:val="18"/>
                <w:szCs w:val="18"/>
              </w:rPr>
            </w:pPr>
            <w:r w:rsidRPr="00105114">
              <w:rPr>
                <w:rFonts w:cs="Arial"/>
                <w:b/>
                <w:bCs/>
                <w:color w:val="FFFFFF"/>
                <w:sz w:val="18"/>
                <w:szCs w:val="18"/>
              </w:rPr>
              <w:t> </w:t>
            </w:r>
          </w:p>
        </w:tc>
        <w:tc>
          <w:tcPr>
            <w:tcW w:w="897" w:type="dxa"/>
            <w:tcBorders>
              <w:top w:val="nil"/>
              <w:left w:val="nil"/>
              <w:bottom w:val="nil"/>
              <w:right w:val="nil"/>
            </w:tcBorders>
            <w:shd w:val="clear" w:color="000000" w:fill="6B2976"/>
            <w:noWrap/>
            <w:vAlign w:val="bottom"/>
            <w:hideMark/>
          </w:tcPr>
          <w:p w14:paraId="6F4495F0" w14:textId="77777777" w:rsidR="00A50A13" w:rsidRPr="00105114" w:rsidRDefault="00A50A13" w:rsidP="00312E88">
            <w:pPr>
              <w:rPr>
                <w:rFonts w:cs="Arial"/>
                <w:b/>
                <w:bCs/>
                <w:color w:val="FFFFFF"/>
                <w:sz w:val="18"/>
                <w:szCs w:val="18"/>
              </w:rPr>
            </w:pPr>
            <w:r w:rsidRPr="00105114">
              <w:rPr>
                <w:rFonts w:cs="Arial"/>
                <w:b/>
                <w:bCs/>
                <w:color w:val="FFFFFF"/>
                <w:sz w:val="18"/>
                <w:szCs w:val="18"/>
              </w:rPr>
              <w:t>Number</w:t>
            </w:r>
          </w:p>
        </w:tc>
        <w:tc>
          <w:tcPr>
            <w:tcW w:w="1229" w:type="dxa"/>
            <w:tcBorders>
              <w:top w:val="nil"/>
              <w:left w:val="nil"/>
              <w:bottom w:val="nil"/>
              <w:right w:val="nil"/>
            </w:tcBorders>
            <w:shd w:val="clear" w:color="000000" w:fill="6B2976"/>
            <w:noWrap/>
            <w:vAlign w:val="bottom"/>
            <w:hideMark/>
          </w:tcPr>
          <w:p w14:paraId="3538FA6B" w14:textId="77777777" w:rsidR="00A50A13" w:rsidRPr="00105114" w:rsidRDefault="00A50A13" w:rsidP="00312E88">
            <w:pPr>
              <w:rPr>
                <w:rFonts w:cs="Arial"/>
                <w:b/>
                <w:bCs/>
                <w:color w:val="FFFFFF"/>
                <w:sz w:val="18"/>
                <w:szCs w:val="18"/>
              </w:rPr>
            </w:pPr>
            <w:r w:rsidRPr="00105114">
              <w:rPr>
                <w:rFonts w:cs="Arial"/>
                <w:b/>
                <w:bCs/>
                <w:color w:val="FFFFFF"/>
                <w:sz w:val="18"/>
                <w:szCs w:val="18"/>
              </w:rPr>
              <w:t>Percentage</w:t>
            </w:r>
          </w:p>
        </w:tc>
      </w:tr>
      <w:tr w:rsidR="00A50A13" w14:paraId="1625AF23" w14:textId="77777777" w:rsidTr="00312E88">
        <w:trPr>
          <w:trHeight w:hRule="exact" w:val="284"/>
        </w:trPr>
        <w:tc>
          <w:tcPr>
            <w:tcW w:w="9072" w:type="dxa"/>
            <w:gridSpan w:val="7"/>
            <w:tcBorders>
              <w:top w:val="nil"/>
              <w:left w:val="nil"/>
              <w:bottom w:val="single" w:sz="4" w:space="0" w:color="auto"/>
              <w:right w:val="nil"/>
            </w:tcBorders>
            <w:shd w:val="clear" w:color="auto" w:fill="auto"/>
            <w:noWrap/>
            <w:vAlign w:val="bottom"/>
            <w:hideMark/>
          </w:tcPr>
          <w:p w14:paraId="1F43F2FF" w14:textId="77777777" w:rsidR="00A50A13" w:rsidRPr="00105114" w:rsidRDefault="00A50A13" w:rsidP="00312E88">
            <w:pPr>
              <w:rPr>
                <w:rFonts w:cs="Arial"/>
                <w:b/>
                <w:bCs/>
                <w:color w:val="000000"/>
                <w:sz w:val="18"/>
                <w:szCs w:val="18"/>
              </w:rPr>
            </w:pPr>
            <w:r w:rsidRPr="00105114">
              <w:rPr>
                <w:rFonts w:cs="Arial"/>
                <w:b/>
                <w:bCs/>
                <w:color w:val="000000"/>
                <w:sz w:val="18"/>
                <w:szCs w:val="18"/>
              </w:rPr>
              <w:t>Likely to be true new incidence</w:t>
            </w:r>
          </w:p>
          <w:p w14:paraId="0CCDEE57" w14:textId="77777777" w:rsidR="00A50A13" w:rsidRPr="00105114" w:rsidRDefault="00A50A13" w:rsidP="00312E88">
            <w:pPr>
              <w:rPr>
                <w:rFonts w:cs="Arial"/>
                <w:color w:val="000000"/>
                <w:sz w:val="18"/>
                <w:szCs w:val="18"/>
              </w:rPr>
            </w:pPr>
            <w:r w:rsidRPr="00105114">
              <w:rPr>
                <w:rFonts w:cs="Arial"/>
                <w:color w:val="000000"/>
                <w:sz w:val="18"/>
                <w:szCs w:val="18"/>
              </w:rPr>
              <w:t> </w:t>
            </w:r>
          </w:p>
          <w:p w14:paraId="533D40F1" w14:textId="77777777" w:rsidR="00A50A13" w:rsidRPr="00105114" w:rsidRDefault="00A50A13" w:rsidP="00312E88">
            <w:pPr>
              <w:rPr>
                <w:rFonts w:cs="Arial"/>
                <w:color w:val="000000"/>
                <w:sz w:val="18"/>
                <w:szCs w:val="18"/>
              </w:rPr>
            </w:pPr>
            <w:r w:rsidRPr="00105114">
              <w:rPr>
                <w:rFonts w:cs="Arial"/>
                <w:color w:val="000000"/>
                <w:sz w:val="18"/>
                <w:szCs w:val="18"/>
              </w:rPr>
              <w:t> </w:t>
            </w:r>
          </w:p>
          <w:p w14:paraId="6FF1465F" w14:textId="77777777" w:rsidR="00A50A13" w:rsidRPr="00105114" w:rsidRDefault="00A50A13" w:rsidP="00312E88">
            <w:pPr>
              <w:rPr>
                <w:rFonts w:cs="Arial"/>
                <w:color w:val="000000"/>
                <w:sz w:val="18"/>
                <w:szCs w:val="18"/>
              </w:rPr>
            </w:pPr>
            <w:r w:rsidRPr="00105114">
              <w:rPr>
                <w:rFonts w:cs="Arial"/>
                <w:color w:val="000000"/>
                <w:sz w:val="18"/>
                <w:szCs w:val="18"/>
              </w:rPr>
              <w:t> </w:t>
            </w:r>
          </w:p>
        </w:tc>
      </w:tr>
      <w:tr w:rsidR="00A50A13" w14:paraId="63DD330A" w14:textId="77777777" w:rsidTr="00312E88">
        <w:trPr>
          <w:trHeight w:hRule="exact" w:val="284"/>
        </w:trPr>
        <w:tc>
          <w:tcPr>
            <w:tcW w:w="617" w:type="dxa"/>
            <w:tcBorders>
              <w:top w:val="nil"/>
              <w:left w:val="nil"/>
              <w:bottom w:val="single" w:sz="4" w:space="0" w:color="auto"/>
              <w:right w:val="nil"/>
            </w:tcBorders>
            <w:shd w:val="clear" w:color="auto" w:fill="auto"/>
            <w:noWrap/>
            <w:vAlign w:val="bottom"/>
            <w:hideMark/>
          </w:tcPr>
          <w:p w14:paraId="3EBC98AC"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5491" w:type="dxa"/>
            <w:gridSpan w:val="3"/>
            <w:tcBorders>
              <w:top w:val="single" w:sz="4" w:space="0" w:color="auto"/>
              <w:left w:val="nil"/>
              <w:bottom w:val="single" w:sz="4" w:space="0" w:color="auto"/>
              <w:right w:val="nil"/>
            </w:tcBorders>
            <w:shd w:val="clear" w:color="auto" w:fill="auto"/>
            <w:noWrap/>
            <w:vAlign w:val="bottom"/>
            <w:hideMark/>
          </w:tcPr>
          <w:p w14:paraId="6439D8D9" w14:textId="77777777" w:rsidR="00A50A13" w:rsidRPr="00105114" w:rsidRDefault="00A50A13" w:rsidP="00312E88">
            <w:pPr>
              <w:rPr>
                <w:rFonts w:cs="Arial"/>
                <w:b/>
                <w:bCs/>
                <w:color w:val="000000"/>
                <w:sz w:val="18"/>
                <w:szCs w:val="18"/>
              </w:rPr>
            </w:pPr>
            <w:r w:rsidRPr="00105114">
              <w:rPr>
                <w:rFonts w:cs="Arial"/>
                <w:b/>
                <w:bCs/>
                <w:color w:val="000000"/>
                <w:sz w:val="18"/>
                <w:szCs w:val="18"/>
              </w:rPr>
              <w:t>Disability Acquired within past 36 months</w:t>
            </w:r>
          </w:p>
        </w:tc>
        <w:tc>
          <w:tcPr>
            <w:tcW w:w="838" w:type="dxa"/>
            <w:tcBorders>
              <w:top w:val="nil"/>
              <w:left w:val="nil"/>
              <w:bottom w:val="single" w:sz="4" w:space="0" w:color="auto"/>
              <w:right w:val="nil"/>
            </w:tcBorders>
            <w:shd w:val="clear" w:color="auto" w:fill="auto"/>
            <w:noWrap/>
            <w:vAlign w:val="bottom"/>
            <w:hideMark/>
          </w:tcPr>
          <w:p w14:paraId="1A40D8EC" w14:textId="77777777" w:rsidR="00A50A13" w:rsidRPr="00105114" w:rsidRDefault="00A50A13" w:rsidP="00312E88">
            <w:pPr>
              <w:jc w:val="right"/>
              <w:rPr>
                <w:rFonts w:cs="Arial"/>
                <w:b/>
                <w:bCs/>
                <w:color w:val="000000"/>
                <w:sz w:val="18"/>
                <w:szCs w:val="18"/>
              </w:rPr>
            </w:pPr>
            <w:r w:rsidRPr="00105114">
              <w:rPr>
                <w:rFonts w:cs="Arial"/>
                <w:b/>
                <w:bCs/>
                <w:color w:val="000000"/>
                <w:sz w:val="18"/>
                <w:szCs w:val="18"/>
              </w:rPr>
              <w:t>58</w:t>
            </w:r>
          </w:p>
        </w:tc>
        <w:tc>
          <w:tcPr>
            <w:tcW w:w="897" w:type="dxa"/>
            <w:tcBorders>
              <w:top w:val="nil"/>
              <w:left w:val="nil"/>
              <w:bottom w:val="single" w:sz="4" w:space="0" w:color="auto"/>
              <w:right w:val="nil"/>
            </w:tcBorders>
            <w:shd w:val="clear" w:color="auto" w:fill="auto"/>
            <w:noWrap/>
            <w:vAlign w:val="bottom"/>
            <w:hideMark/>
          </w:tcPr>
          <w:p w14:paraId="44CE9247"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1229" w:type="dxa"/>
            <w:tcBorders>
              <w:top w:val="nil"/>
              <w:left w:val="nil"/>
              <w:bottom w:val="single" w:sz="4" w:space="0" w:color="auto"/>
              <w:right w:val="nil"/>
            </w:tcBorders>
            <w:shd w:val="clear" w:color="auto" w:fill="auto"/>
            <w:noWrap/>
            <w:vAlign w:val="bottom"/>
            <w:hideMark/>
          </w:tcPr>
          <w:p w14:paraId="43CE7EA4" w14:textId="77777777" w:rsidR="00A50A13" w:rsidRPr="00105114" w:rsidRDefault="00A50A13" w:rsidP="00312E88">
            <w:pPr>
              <w:jc w:val="right"/>
              <w:rPr>
                <w:rFonts w:cs="Arial"/>
                <w:color w:val="000000"/>
                <w:sz w:val="18"/>
                <w:szCs w:val="18"/>
              </w:rPr>
            </w:pPr>
            <w:r w:rsidRPr="00105114">
              <w:rPr>
                <w:rFonts w:cs="Arial"/>
                <w:color w:val="000000"/>
                <w:sz w:val="18"/>
                <w:szCs w:val="18"/>
              </w:rPr>
              <w:t>29%</w:t>
            </w:r>
          </w:p>
        </w:tc>
      </w:tr>
      <w:tr w:rsidR="00A50A13" w14:paraId="3968FCAA" w14:textId="77777777" w:rsidTr="00312E88">
        <w:trPr>
          <w:trHeight w:hRule="exact" w:val="284"/>
        </w:trPr>
        <w:tc>
          <w:tcPr>
            <w:tcW w:w="617" w:type="dxa"/>
            <w:tcBorders>
              <w:top w:val="nil"/>
              <w:left w:val="nil"/>
              <w:bottom w:val="nil"/>
              <w:right w:val="nil"/>
            </w:tcBorders>
            <w:shd w:val="clear" w:color="auto" w:fill="auto"/>
            <w:noWrap/>
            <w:vAlign w:val="bottom"/>
            <w:hideMark/>
          </w:tcPr>
          <w:p w14:paraId="37FC0231"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5491" w:type="dxa"/>
            <w:gridSpan w:val="3"/>
            <w:tcBorders>
              <w:top w:val="single" w:sz="4" w:space="0" w:color="auto"/>
              <w:left w:val="nil"/>
              <w:bottom w:val="nil"/>
              <w:right w:val="nil"/>
            </w:tcBorders>
            <w:shd w:val="clear" w:color="auto" w:fill="auto"/>
            <w:noWrap/>
            <w:vAlign w:val="bottom"/>
            <w:hideMark/>
          </w:tcPr>
          <w:p w14:paraId="59ECD96E" w14:textId="77777777" w:rsidR="00A50A13" w:rsidRPr="00105114" w:rsidRDefault="00A50A13" w:rsidP="00312E88">
            <w:pPr>
              <w:rPr>
                <w:rFonts w:cs="Arial"/>
                <w:b/>
                <w:bCs/>
                <w:color w:val="000000"/>
                <w:sz w:val="18"/>
                <w:szCs w:val="18"/>
              </w:rPr>
            </w:pPr>
            <w:r w:rsidRPr="00105114">
              <w:rPr>
                <w:rFonts w:cs="Arial"/>
                <w:b/>
                <w:bCs/>
                <w:color w:val="000000"/>
                <w:sz w:val="18"/>
                <w:szCs w:val="18"/>
              </w:rPr>
              <w:t>Disability Acquired prior to past 36 months</w:t>
            </w:r>
          </w:p>
        </w:tc>
        <w:tc>
          <w:tcPr>
            <w:tcW w:w="838" w:type="dxa"/>
            <w:tcBorders>
              <w:top w:val="nil"/>
              <w:left w:val="nil"/>
              <w:bottom w:val="nil"/>
              <w:right w:val="nil"/>
            </w:tcBorders>
            <w:shd w:val="clear" w:color="auto" w:fill="auto"/>
            <w:noWrap/>
            <w:vAlign w:val="bottom"/>
            <w:hideMark/>
          </w:tcPr>
          <w:p w14:paraId="6E5E43AC"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897" w:type="dxa"/>
            <w:tcBorders>
              <w:top w:val="nil"/>
              <w:left w:val="nil"/>
              <w:bottom w:val="nil"/>
              <w:right w:val="nil"/>
            </w:tcBorders>
            <w:shd w:val="clear" w:color="auto" w:fill="auto"/>
            <w:noWrap/>
            <w:vAlign w:val="bottom"/>
            <w:hideMark/>
          </w:tcPr>
          <w:p w14:paraId="31572136"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1229" w:type="dxa"/>
            <w:tcBorders>
              <w:top w:val="nil"/>
              <w:left w:val="nil"/>
              <w:bottom w:val="nil"/>
              <w:right w:val="nil"/>
            </w:tcBorders>
            <w:shd w:val="clear" w:color="auto" w:fill="auto"/>
            <w:noWrap/>
            <w:vAlign w:val="bottom"/>
            <w:hideMark/>
          </w:tcPr>
          <w:p w14:paraId="76A1D4AE" w14:textId="77777777" w:rsidR="00A50A13" w:rsidRPr="00105114" w:rsidRDefault="00A50A13" w:rsidP="00312E88">
            <w:pPr>
              <w:rPr>
                <w:rFonts w:cs="Arial"/>
                <w:color w:val="000000"/>
                <w:sz w:val="18"/>
                <w:szCs w:val="18"/>
              </w:rPr>
            </w:pPr>
            <w:r w:rsidRPr="00105114">
              <w:rPr>
                <w:rFonts w:cs="Arial"/>
                <w:color w:val="000000"/>
                <w:sz w:val="18"/>
                <w:szCs w:val="18"/>
              </w:rPr>
              <w:t> </w:t>
            </w:r>
          </w:p>
        </w:tc>
      </w:tr>
      <w:tr w:rsidR="00A50A13" w14:paraId="761629DC" w14:textId="77777777" w:rsidTr="00312E88">
        <w:trPr>
          <w:trHeight w:hRule="exact" w:val="284"/>
        </w:trPr>
        <w:tc>
          <w:tcPr>
            <w:tcW w:w="617" w:type="dxa"/>
            <w:tcBorders>
              <w:top w:val="nil"/>
              <w:left w:val="nil"/>
              <w:bottom w:val="nil"/>
              <w:right w:val="nil"/>
            </w:tcBorders>
            <w:shd w:val="clear" w:color="auto" w:fill="auto"/>
            <w:noWrap/>
            <w:vAlign w:val="bottom"/>
            <w:hideMark/>
          </w:tcPr>
          <w:p w14:paraId="0BB1DD81" w14:textId="77777777" w:rsidR="00A50A13" w:rsidRPr="00105114" w:rsidRDefault="00A50A13" w:rsidP="00312E88">
            <w:pPr>
              <w:rPr>
                <w:rFonts w:cs="Arial"/>
                <w:color w:val="000000"/>
                <w:sz w:val="18"/>
                <w:szCs w:val="18"/>
              </w:rPr>
            </w:pPr>
          </w:p>
        </w:tc>
        <w:tc>
          <w:tcPr>
            <w:tcW w:w="1084" w:type="dxa"/>
            <w:tcBorders>
              <w:top w:val="nil"/>
              <w:left w:val="nil"/>
              <w:bottom w:val="nil"/>
              <w:right w:val="nil"/>
            </w:tcBorders>
            <w:shd w:val="clear" w:color="auto" w:fill="auto"/>
            <w:noWrap/>
            <w:vAlign w:val="bottom"/>
            <w:hideMark/>
          </w:tcPr>
          <w:p w14:paraId="418B45E0" w14:textId="77777777" w:rsidR="00A50A13" w:rsidRPr="00105114" w:rsidRDefault="00A50A13" w:rsidP="00312E88">
            <w:pPr>
              <w:rPr>
                <w:rFonts w:cs="Arial"/>
                <w:sz w:val="18"/>
                <w:szCs w:val="18"/>
              </w:rPr>
            </w:pPr>
          </w:p>
        </w:tc>
        <w:tc>
          <w:tcPr>
            <w:tcW w:w="4407" w:type="dxa"/>
            <w:gridSpan w:val="2"/>
            <w:tcBorders>
              <w:top w:val="nil"/>
              <w:left w:val="nil"/>
              <w:bottom w:val="nil"/>
              <w:right w:val="nil"/>
            </w:tcBorders>
            <w:shd w:val="clear" w:color="auto" w:fill="auto"/>
            <w:noWrap/>
            <w:vAlign w:val="bottom"/>
            <w:hideMark/>
          </w:tcPr>
          <w:p w14:paraId="17047C11" w14:textId="77777777" w:rsidR="00A50A13" w:rsidRPr="00105114" w:rsidRDefault="00A50A13" w:rsidP="00312E88">
            <w:pPr>
              <w:rPr>
                <w:rFonts w:cs="Arial"/>
                <w:color w:val="000000"/>
                <w:sz w:val="18"/>
                <w:szCs w:val="18"/>
              </w:rPr>
            </w:pPr>
            <w:r w:rsidRPr="00105114">
              <w:rPr>
                <w:rFonts w:cs="Arial"/>
                <w:color w:val="000000"/>
                <w:sz w:val="18"/>
                <w:szCs w:val="18"/>
              </w:rPr>
              <w:t>Recent loss of Informal supports</w:t>
            </w:r>
          </w:p>
        </w:tc>
        <w:tc>
          <w:tcPr>
            <w:tcW w:w="838" w:type="dxa"/>
            <w:tcBorders>
              <w:top w:val="nil"/>
              <w:left w:val="nil"/>
              <w:bottom w:val="nil"/>
              <w:right w:val="nil"/>
            </w:tcBorders>
            <w:shd w:val="clear" w:color="auto" w:fill="auto"/>
            <w:noWrap/>
            <w:vAlign w:val="bottom"/>
            <w:hideMark/>
          </w:tcPr>
          <w:p w14:paraId="22185BEA" w14:textId="77777777" w:rsidR="00A50A13" w:rsidRPr="00105114" w:rsidRDefault="00A50A13" w:rsidP="00312E88">
            <w:pPr>
              <w:jc w:val="right"/>
              <w:rPr>
                <w:rFonts w:cs="Arial"/>
                <w:color w:val="000000"/>
                <w:sz w:val="18"/>
                <w:szCs w:val="18"/>
              </w:rPr>
            </w:pPr>
            <w:r w:rsidRPr="00105114">
              <w:rPr>
                <w:rFonts w:cs="Arial"/>
                <w:color w:val="000000"/>
                <w:sz w:val="18"/>
                <w:szCs w:val="18"/>
              </w:rPr>
              <w:t>13</w:t>
            </w:r>
          </w:p>
        </w:tc>
        <w:tc>
          <w:tcPr>
            <w:tcW w:w="897" w:type="dxa"/>
            <w:tcBorders>
              <w:top w:val="nil"/>
              <w:left w:val="nil"/>
              <w:bottom w:val="nil"/>
              <w:right w:val="nil"/>
            </w:tcBorders>
            <w:shd w:val="clear" w:color="auto" w:fill="auto"/>
            <w:noWrap/>
            <w:vAlign w:val="bottom"/>
            <w:hideMark/>
          </w:tcPr>
          <w:p w14:paraId="1B8ADB47" w14:textId="77777777" w:rsidR="00A50A13" w:rsidRPr="00105114" w:rsidRDefault="00A50A13" w:rsidP="00312E88">
            <w:pPr>
              <w:jc w:val="right"/>
              <w:rPr>
                <w:rFonts w:cs="Arial"/>
                <w:color w:val="000000"/>
                <w:sz w:val="18"/>
                <w:szCs w:val="18"/>
              </w:rPr>
            </w:pPr>
          </w:p>
        </w:tc>
        <w:tc>
          <w:tcPr>
            <w:tcW w:w="1229" w:type="dxa"/>
            <w:tcBorders>
              <w:top w:val="nil"/>
              <w:left w:val="nil"/>
              <w:bottom w:val="nil"/>
              <w:right w:val="nil"/>
            </w:tcBorders>
            <w:shd w:val="clear" w:color="auto" w:fill="auto"/>
            <w:noWrap/>
            <w:vAlign w:val="bottom"/>
            <w:hideMark/>
          </w:tcPr>
          <w:p w14:paraId="390B0045" w14:textId="77777777" w:rsidR="00A50A13" w:rsidRPr="00105114" w:rsidRDefault="00A50A13" w:rsidP="00312E88">
            <w:pPr>
              <w:rPr>
                <w:rFonts w:cs="Arial"/>
                <w:sz w:val="18"/>
                <w:szCs w:val="18"/>
              </w:rPr>
            </w:pPr>
          </w:p>
        </w:tc>
      </w:tr>
      <w:tr w:rsidR="00A50A13" w14:paraId="63F753F6" w14:textId="77777777" w:rsidTr="00312E88">
        <w:trPr>
          <w:trHeight w:hRule="exact" w:val="284"/>
        </w:trPr>
        <w:tc>
          <w:tcPr>
            <w:tcW w:w="617" w:type="dxa"/>
            <w:tcBorders>
              <w:top w:val="nil"/>
              <w:left w:val="nil"/>
              <w:bottom w:val="nil"/>
              <w:right w:val="nil"/>
            </w:tcBorders>
            <w:shd w:val="clear" w:color="auto" w:fill="auto"/>
            <w:noWrap/>
            <w:vAlign w:val="bottom"/>
            <w:hideMark/>
          </w:tcPr>
          <w:p w14:paraId="4B50D21C" w14:textId="77777777" w:rsidR="00A50A13" w:rsidRPr="00105114" w:rsidRDefault="00A50A13" w:rsidP="00312E88">
            <w:pPr>
              <w:rPr>
                <w:rFonts w:cs="Arial"/>
                <w:sz w:val="18"/>
                <w:szCs w:val="18"/>
              </w:rPr>
            </w:pPr>
          </w:p>
        </w:tc>
        <w:tc>
          <w:tcPr>
            <w:tcW w:w="1084" w:type="dxa"/>
            <w:tcBorders>
              <w:top w:val="nil"/>
              <w:left w:val="nil"/>
              <w:bottom w:val="nil"/>
              <w:right w:val="nil"/>
            </w:tcBorders>
            <w:shd w:val="clear" w:color="auto" w:fill="auto"/>
            <w:noWrap/>
            <w:vAlign w:val="bottom"/>
            <w:hideMark/>
          </w:tcPr>
          <w:p w14:paraId="7699594E" w14:textId="77777777" w:rsidR="00A50A13" w:rsidRPr="00105114" w:rsidRDefault="00A50A13" w:rsidP="00312E88">
            <w:pPr>
              <w:rPr>
                <w:rFonts w:cs="Arial"/>
                <w:sz w:val="18"/>
                <w:szCs w:val="18"/>
              </w:rPr>
            </w:pPr>
          </w:p>
        </w:tc>
        <w:tc>
          <w:tcPr>
            <w:tcW w:w="4407" w:type="dxa"/>
            <w:gridSpan w:val="2"/>
            <w:tcBorders>
              <w:top w:val="nil"/>
              <w:left w:val="nil"/>
              <w:bottom w:val="nil"/>
              <w:right w:val="nil"/>
            </w:tcBorders>
            <w:shd w:val="clear" w:color="auto" w:fill="auto"/>
            <w:noWrap/>
            <w:vAlign w:val="bottom"/>
            <w:hideMark/>
          </w:tcPr>
          <w:p w14:paraId="7403FD12" w14:textId="77777777" w:rsidR="00A50A13" w:rsidRPr="00105114" w:rsidRDefault="00A50A13" w:rsidP="00312E88">
            <w:pPr>
              <w:rPr>
                <w:rFonts w:cs="Arial"/>
                <w:color w:val="000000"/>
                <w:sz w:val="18"/>
                <w:szCs w:val="18"/>
              </w:rPr>
            </w:pPr>
            <w:r w:rsidRPr="00105114">
              <w:rPr>
                <w:rFonts w:cs="Arial"/>
                <w:color w:val="000000"/>
                <w:sz w:val="18"/>
                <w:szCs w:val="18"/>
              </w:rPr>
              <w:t>Previous application denied</w:t>
            </w:r>
          </w:p>
        </w:tc>
        <w:tc>
          <w:tcPr>
            <w:tcW w:w="838" w:type="dxa"/>
            <w:tcBorders>
              <w:top w:val="nil"/>
              <w:left w:val="nil"/>
              <w:bottom w:val="nil"/>
              <w:right w:val="nil"/>
            </w:tcBorders>
            <w:shd w:val="clear" w:color="auto" w:fill="auto"/>
            <w:noWrap/>
            <w:vAlign w:val="bottom"/>
            <w:hideMark/>
          </w:tcPr>
          <w:p w14:paraId="58107F91" w14:textId="77777777" w:rsidR="00A50A13" w:rsidRPr="00105114" w:rsidRDefault="00A50A13" w:rsidP="00312E88">
            <w:pPr>
              <w:jc w:val="right"/>
              <w:rPr>
                <w:rFonts w:cs="Arial"/>
                <w:color w:val="000000"/>
                <w:sz w:val="18"/>
                <w:szCs w:val="18"/>
              </w:rPr>
            </w:pPr>
            <w:r w:rsidRPr="00105114">
              <w:rPr>
                <w:rFonts w:cs="Arial"/>
                <w:color w:val="000000"/>
                <w:sz w:val="18"/>
                <w:szCs w:val="18"/>
              </w:rPr>
              <w:t>25</w:t>
            </w:r>
          </w:p>
        </w:tc>
        <w:tc>
          <w:tcPr>
            <w:tcW w:w="897" w:type="dxa"/>
            <w:tcBorders>
              <w:top w:val="nil"/>
              <w:left w:val="nil"/>
              <w:bottom w:val="nil"/>
              <w:right w:val="nil"/>
            </w:tcBorders>
            <w:shd w:val="clear" w:color="auto" w:fill="auto"/>
            <w:noWrap/>
            <w:vAlign w:val="bottom"/>
            <w:hideMark/>
          </w:tcPr>
          <w:p w14:paraId="0BFACA66" w14:textId="77777777" w:rsidR="00A50A13" w:rsidRPr="00105114" w:rsidRDefault="00A50A13" w:rsidP="00312E88">
            <w:pPr>
              <w:jc w:val="right"/>
              <w:rPr>
                <w:rFonts w:cs="Arial"/>
                <w:color w:val="000000"/>
                <w:sz w:val="18"/>
                <w:szCs w:val="18"/>
              </w:rPr>
            </w:pPr>
          </w:p>
        </w:tc>
        <w:tc>
          <w:tcPr>
            <w:tcW w:w="1229" w:type="dxa"/>
            <w:tcBorders>
              <w:top w:val="nil"/>
              <w:left w:val="nil"/>
              <w:bottom w:val="nil"/>
              <w:right w:val="nil"/>
            </w:tcBorders>
            <w:shd w:val="clear" w:color="auto" w:fill="auto"/>
            <w:noWrap/>
            <w:vAlign w:val="bottom"/>
            <w:hideMark/>
          </w:tcPr>
          <w:p w14:paraId="2F337409" w14:textId="77777777" w:rsidR="00A50A13" w:rsidRPr="00105114" w:rsidRDefault="00A50A13" w:rsidP="00312E88">
            <w:pPr>
              <w:rPr>
                <w:rFonts w:cs="Arial"/>
                <w:sz w:val="18"/>
                <w:szCs w:val="18"/>
              </w:rPr>
            </w:pPr>
          </w:p>
        </w:tc>
      </w:tr>
      <w:tr w:rsidR="00A50A13" w14:paraId="1A899803" w14:textId="77777777" w:rsidTr="00312E88">
        <w:trPr>
          <w:trHeight w:hRule="exact" w:val="284"/>
        </w:trPr>
        <w:tc>
          <w:tcPr>
            <w:tcW w:w="617" w:type="dxa"/>
            <w:tcBorders>
              <w:top w:val="nil"/>
              <w:left w:val="nil"/>
              <w:bottom w:val="nil"/>
              <w:right w:val="nil"/>
            </w:tcBorders>
            <w:shd w:val="clear" w:color="auto" w:fill="auto"/>
            <w:noWrap/>
            <w:vAlign w:val="bottom"/>
            <w:hideMark/>
          </w:tcPr>
          <w:p w14:paraId="225CE447" w14:textId="77777777" w:rsidR="00A50A13" w:rsidRPr="00105114" w:rsidRDefault="00A50A13" w:rsidP="00312E88">
            <w:pPr>
              <w:rPr>
                <w:rFonts w:cs="Arial"/>
                <w:sz w:val="18"/>
                <w:szCs w:val="18"/>
              </w:rPr>
            </w:pPr>
          </w:p>
        </w:tc>
        <w:tc>
          <w:tcPr>
            <w:tcW w:w="1084" w:type="dxa"/>
            <w:tcBorders>
              <w:top w:val="nil"/>
              <w:left w:val="nil"/>
              <w:bottom w:val="nil"/>
              <w:right w:val="nil"/>
            </w:tcBorders>
            <w:shd w:val="clear" w:color="auto" w:fill="auto"/>
            <w:noWrap/>
            <w:vAlign w:val="bottom"/>
            <w:hideMark/>
          </w:tcPr>
          <w:p w14:paraId="60AE3E73" w14:textId="77777777" w:rsidR="00A50A13" w:rsidRPr="00105114" w:rsidRDefault="00A50A13" w:rsidP="00312E88">
            <w:pPr>
              <w:rPr>
                <w:rFonts w:cs="Arial"/>
                <w:sz w:val="18"/>
                <w:szCs w:val="18"/>
              </w:rPr>
            </w:pPr>
          </w:p>
        </w:tc>
        <w:tc>
          <w:tcPr>
            <w:tcW w:w="4407" w:type="dxa"/>
            <w:gridSpan w:val="2"/>
            <w:tcBorders>
              <w:top w:val="nil"/>
              <w:left w:val="nil"/>
              <w:bottom w:val="nil"/>
              <w:right w:val="nil"/>
            </w:tcBorders>
            <w:shd w:val="clear" w:color="auto" w:fill="auto"/>
            <w:noWrap/>
            <w:vAlign w:val="bottom"/>
            <w:hideMark/>
          </w:tcPr>
          <w:p w14:paraId="179EA6A2" w14:textId="77777777" w:rsidR="00A50A13" w:rsidRPr="00105114" w:rsidRDefault="00A50A13" w:rsidP="00312E88">
            <w:pPr>
              <w:rPr>
                <w:rFonts w:cs="Arial"/>
                <w:color w:val="000000"/>
                <w:sz w:val="18"/>
                <w:szCs w:val="18"/>
              </w:rPr>
            </w:pPr>
            <w:r w:rsidRPr="00105114">
              <w:rPr>
                <w:rFonts w:cs="Arial"/>
                <w:color w:val="000000"/>
                <w:sz w:val="18"/>
                <w:szCs w:val="18"/>
              </w:rPr>
              <w:t>Substantial functional impairment now reached</w:t>
            </w:r>
          </w:p>
        </w:tc>
        <w:tc>
          <w:tcPr>
            <w:tcW w:w="838" w:type="dxa"/>
            <w:tcBorders>
              <w:top w:val="nil"/>
              <w:left w:val="nil"/>
              <w:bottom w:val="nil"/>
              <w:right w:val="nil"/>
            </w:tcBorders>
            <w:shd w:val="clear" w:color="auto" w:fill="auto"/>
            <w:noWrap/>
            <w:vAlign w:val="bottom"/>
            <w:hideMark/>
          </w:tcPr>
          <w:p w14:paraId="3C6B5B0F" w14:textId="77777777" w:rsidR="00A50A13" w:rsidRPr="00105114" w:rsidRDefault="00A50A13" w:rsidP="00312E88">
            <w:pPr>
              <w:jc w:val="right"/>
              <w:rPr>
                <w:rFonts w:cs="Arial"/>
                <w:color w:val="000000"/>
                <w:sz w:val="18"/>
                <w:szCs w:val="18"/>
              </w:rPr>
            </w:pPr>
            <w:r w:rsidRPr="00105114">
              <w:rPr>
                <w:rFonts w:cs="Arial"/>
                <w:color w:val="000000"/>
                <w:sz w:val="18"/>
                <w:szCs w:val="18"/>
              </w:rPr>
              <w:t>13</w:t>
            </w:r>
          </w:p>
        </w:tc>
        <w:tc>
          <w:tcPr>
            <w:tcW w:w="897" w:type="dxa"/>
            <w:tcBorders>
              <w:top w:val="nil"/>
              <w:left w:val="nil"/>
              <w:bottom w:val="nil"/>
              <w:right w:val="nil"/>
            </w:tcBorders>
            <w:shd w:val="clear" w:color="auto" w:fill="auto"/>
            <w:noWrap/>
            <w:vAlign w:val="bottom"/>
            <w:hideMark/>
          </w:tcPr>
          <w:p w14:paraId="7D912FDA" w14:textId="77777777" w:rsidR="00A50A13" w:rsidRPr="00105114" w:rsidRDefault="00A50A13" w:rsidP="00312E88">
            <w:pPr>
              <w:jc w:val="right"/>
              <w:rPr>
                <w:rFonts w:cs="Arial"/>
                <w:color w:val="000000"/>
                <w:sz w:val="18"/>
                <w:szCs w:val="18"/>
              </w:rPr>
            </w:pPr>
          </w:p>
        </w:tc>
        <w:tc>
          <w:tcPr>
            <w:tcW w:w="1229" w:type="dxa"/>
            <w:tcBorders>
              <w:top w:val="nil"/>
              <w:left w:val="nil"/>
              <w:bottom w:val="nil"/>
              <w:right w:val="nil"/>
            </w:tcBorders>
            <w:shd w:val="clear" w:color="auto" w:fill="auto"/>
            <w:noWrap/>
            <w:vAlign w:val="bottom"/>
            <w:hideMark/>
          </w:tcPr>
          <w:p w14:paraId="45E5C37E" w14:textId="77777777" w:rsidR="00A50A13" w:rsidRPr="00105114" w:rsidRDefault="00A50A13" w:rsidP="00312E88">
            <w:pPr>
              <w:rPr>
                <w:rFonts w:cs="Arial"/>
                <w:sz w:val="18"/>
                <w:szCs w:val="18"/>
              </w:rPr>
            </w:pPr>
          </w:p>
        </w:tc>
      </w:tr>
      <w:tr w:rsidR="00A50A13" w14:paraId="79A6B3A3" w14:textId="77777777" w:rsidTr="00312E88">
        <w:trPr>
          <w:trHeight w:hRule="exact" w:val="284"/>
        </w:trPr>
        <w:tc>
          <w:tcPr>
            <w:tcW w:w="617" w:type="dxa"/>
            <w:tcBorders>
              <w:top w:val="nil"/>
              <w:left w:val="nil"/>
              <w:bottom w:val="nil"/>
              <w:right w:val="nil"/>
            </w:tcBorders>
            <w:shd w:val="clear" w:color="auto" w:fill="auto"/>
            <w:noWrap/>
            <w:vAlign w:val="bottom"/>
            <w:hideMark/>
          </w:tcPr>
          <w:p w14:paraId="2B995966" w14:textId="77777777" w:rsidR="00A50A13" w:rsidRPr="00105114" w:rsidRDefault="00A50A13" w:rsidP="00312E88">
            <w:pPr>
              <w:rPr>
                <w:rFonts w:cs="Arial"/>
                <w:sz w:val="18"/>
                <w:szCs w:val="18"/>
              </w:rPr>
            </w:pPr>
          </w:p>
        </w:tc>
        <w:tc>
          <w:tcPr>
            <w:tcW w:w="1084" w:type="dxa"/>
            <w:tcBorders>
              <w:top w:val="nil"/>
              <w:left w:val="nil"/>
              <w:bottom w:val="nil"/>
              <w:right w:val="nil"/>
            </w:tcBorders>
            <w:shd w:val="clear" w:color="auto" w:fill="auto"/>
            <w:noWrap/>
            <w:vAlign w:val="bottom"/>
            <w:hideMark/>
          </w:tcPr>
          <w:p w14:paraId="35075B46" w14:textId="77777777" w:rsidR="00A50A13" w:rsidRPr="00105114" w:rsidRDefault="00A50A13" w:rsidP="00312E88">
            <w:pPr>
              <w:rPr>
                <w:rFonts w:cs="Arial"/>
                <w:sz w:val="18"/>
                <w:szCs w:val="18"/>
              </w:rPr>
            </w:pPr>
          </w:p>
        </w:tc>
        <w:tc>
          <w:tcPr>
            <w:tcW w:w="4407" w:type="dxa"/>
            <w:gridSpan w:val="2"/>
            <w:tcBorders>
              <w:top w:val="nil"/>
              <w:left w:val="nil"/>
              <w:bottom w:val="nil"/>
              <w:right w:val="nil"/>
            </w:tcBorders>
            <w:shd w:val="clear" w:color="auto" w:fill="auto"/>
            <w:noWrap/>
            <w:vAlign w:val="bottom"/>
            <w:hideMark/>
          </w:tcPr>
          <w:p w14:paraId="76454F43" w14:textId="77777777" w:rsidR="00A50A13" w:rsidRPr="00105114" w:rsidRDefault="00A50A13" w:rsidP="00312E88">
            <w:pPr>
              <w:rPr>
                <w:rFonts w:cs="Arial"/>
                <w:color w:val="000000"/>
                <w:sz w:val="18"/>
                <w:szCs w:val="18"/>
              </w:rPr>
            </w:pPr>
            <w:r w:rsidRPr="00105114">
              <w:rPr>
                <w:rFonts w:cs="Arial"/>
                <w:color w:val="000000"/>
                <w:sz w:val="18"/>
                <w:szCs w:val="18"/>
              </w:rPr>
              <w:t>Recent life-stage event (employment, education)</w:t>
            </w:r>
          </w:p>
        </w:tc>
        <w:tc>
          <w:tcPr>
            <w:tcW w:w="838" w:type="dxa"/>
            <w:tcBorders>
              <w:top w:val="nil"/>
              <w:left w:val="nil"/>
              <w:bottom w:val="nil"/>
              <w:right w:val="nil"/>
            </w:tcBorders>
            <w:shd w:val="clear" w:color="auto" w:fill="auto"/>
            <w:noWrap/>
            <w:vAlign w:val="bottom"/>
            <w:hideMark/>
          </w:tcPr>
          <w:p w14:paraId="5BFEBE71" w14:textId="77777777" w:rsidR="00A50A13" w:rsidRPr="00105114" w:rsidRDefault="00A50A13" w:rsidP="00312E88">
            <w:pPr>
              <w:jc w:val="right"/>
              <w:rPr>
                <w:rFonts w:cs="Arial"/>
                <w:color w:val="000000"/>
                <w:sz w:val="18"/>
                <w:szCs w:val="18"/>
              </w:rPr>
            </w:pPr>
            <w:r w:rsidRPr="00105114">
              <w:rPr>
                <w:rFonts w:cs="Arial"/>
                <w:color w:val="000000"/>
                <w:sz w:val="18"/>
                <w:szCs w:val="18"/>
              </w:rPr>
              <w:t>14</w:t>
            </w:r>
          </w:p>
        </w:tc>
        <w:tc>
          <w:tcPr>
            <w:tcW w:w="897" w:type="dxa"/>
            <w:tcBorders>
              <w:top w:val="nil"/>
              <w:left w:val="nil"/>
              <w:bottom w:val="nil"/>
              <w:right w:val="nil"/>
            </w:tcBorders>
            <w:shd w:val="clear" w:color="auto" w:fill="auto"/>
            <w:noWrap/>
            <w:vAlign w:val="bottom"/>
            <w:hideMark/>
          </w:tcPr>
          <w:p w14:paraId="56DCCDB1" w14:textId="77777777" w:rsidR="00A50A13" w:rsidRPr="00105114" w:rsidRDefault="00A50A13" w:rsidP="00312E88">
            <w:pPr>
              <w:jc w:val="right"/>
              <w:rPr>
                <w:rFonts w:cs="Arial"/>
                <w:color w:val="000000"/>
                <w:sz w:val="18"/>
                <w:szCs w:val="18"/>
              </w:rPr>
            </w:pPr>
          </w:p>
        </w:tc>
        <w:tc>
          <w:tcPr>
            <w:tcW w:w="1229" w:type="dxa"/>
            <w:tcBorders>
              <w:top w:val="nil"/>
              <w:left w:val="nil"/>
              <w:bottom w:val="nil"/>
              <w:right w:val="nil"/>
            </w:tcBorders>
            <w:shd w:val="clear" w:color="auto" w:fill="auto"/>
            <w:noWrap/>
            <w:vAlign w:val="bottom"/>
            <w:hideMark/>
          </w:tcPr>
          <w:p w14:paraId="6FCBD491" w14:textId="77777777" w:rsidR="00A50A13" w:rsidRPr="00105114" w:rsidRDefault="00A50A13" w:rsidP="00312E88">
            <w:pPr>
              <w:rPr>
                <w:rFonts w:cs="Arial"/>
                <w:sz w:val="18"/>
                <w:szCs w:val="18"/>
              </w:rPr>
            </w:pPr>
          </w:p>
        </w:tc>
      </w:tr>
      <w:tr w:rsidR="00A50A13" w14:paraId="0B56B547" w14:textId="77777777" w:rsidTr="00312E88">
        <w:trPr>
          <w:trHeight w:hRule="exact" w:val="284"/>
        </w:trPr>
        <w:tc>
          <w:tcPr>
            <w:tcW w:w="617" w:type="dxa"/>
            <w:tcBorders>
              <w:top w:val="nil"/>
              <w:left w:val="nil"/>
              <w:bottom w:val="single" w:sz="4" w:space="0" w:color="auto"/>
              <w:right w:val="nil"/>
            </w:tcBorders>
            <w:shd w:val="clear" w:color="auto" w:fill="auto"/>
            <w:noWrap/>
            <w:vAlign w:val="bottom"/>
            <w:hideMark/>
          </w:tcPr>
          <w:p w14:paraId="0B4662E3"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1084" w:type="dxa"/>
            <w:tcBorders>
              <w:top w:val="nil"/>
              <w:left w:val="nil"/>
              <w:bottom w:val="single" w:sz="4" w:space="0" w:color="auto"/>
              <w:right w:val="nil"/>
            </w:tcBorders>
            <w:shd w:val="clear" w:color="auto" w:fill="auto"/>
            <w:noWrap/>
            <w:vAlign w:val="bottom"/>
            <w:hideMark/>
          </w:tcPr>
          <w:p w14:paraId="264C5CE2" w14:textId="77777777" w:rsidR="00A50A13" w:rsidRPr="00105114" w:rsidRDefault="00A50A13" w:rsidP="00312E88">
            <w:pPr>
              <w:rPr>
                <w:rFonts w:cs="Arial"/>
                <w:b/>
                <w:bCs/>
                <w:color w:val="000000"/>
                <w:sz w:val="18"/>
                <w:szCs w:val="18"/>
              </w:rPr>
            </w:pPr>
            <w:r w:rsidRPr="00105114">
              <w:rPr>
                <w:rFonts w:cs="Arial"/>
                <w:b/>
                <w:bCs/>
                <w:color w:val="000000"/>
                <w:sz w:val="18"/>
                <w:szCs w:val="18"/>
              </w:rPr>
              <w:t>Sub-total</w:t>
            </w:r>
          </w:p>
        </w:tc>
        <w:tc>
          <w:tcPr>
            <w:tcW w:w="4407" w:type="dxa"/>
            <w:gridSpan w:val="2"/>
            <w:tcBorders>
              <w:top w:val="nil"/>
              <w:left w:val="nil"/>
              <w:bottom w:val="nil"/>
              <w:right w:val="nil"/>
            </w:tcBorders>
            <w:shd w:val="clear" w:color="auto" w:fill="auto"/>
            <w:noWrap/>
            <w:vAlign w:val="bottom"/>
            <w:hideMark/>
          </w:tcPr>
          <w:p w14:paraId="5A940957" w14:textId="77777777" w:rsidR="00A50A13" w:rsidRPr="00105114" w:rsidRDefault="00A50A13" w:rsidP="00312E88">
            <w:pPr>
              <w:rPr>
                <w:rFonts w:cs="Arial"/>
                <w:b/>
                <w:bCs/>
                <w:color w:val="000000"/>
                <w:sz w:val="18"/>
                <w:szCs w:val="18"/>
              </w:rPr>
            </w:pPr>
          </w:p>
        </w:tc>
        <w:tc>
          <w:tcPr>
            <w:tcW w:w="838" w:type="dxa"/>
            <w:tcBorders>
              <w:top w:val="nil"/>
              <w:left w:val="nil"/>
              <w:bottom w:val="single" w:sz="4" w:space="0" w:color="auto"/>
              <w:right w:val="nil"/>
            </w:tcBorders>
            <w:shd w:val="clear" w:color="auto" w:fill="auto"/>
            <w:noWrap/>
            <w:vAlign w:val="bottom"/>
            <w:hideMark/>
          </w:tcPr>
          <w:p w14:paraId="7C373421" w14:textId="77777777" w:rsidR="00A50A13" w:rsidRPr="00105114" w:rsidRDefault="00A50A13" w:rsidP="00312E88">
            <w:pPr>
              <w:jc w:val="right"/>
              <w:rPr>
                <w:rFonts w:cs="Arial"/>
                <w:b/>
                <w:bCs/>
                <w:color w:val="000000"/>
                <w:sz w:val="18"/>
                <w:szCs w:val="18"/>
              </w:rPr>
            </w:pPr>
            <w:r w:rsidRPr="00105114">
              <w:rPr>
                <w:rFonts w:cs="Arial"/>
                <w:b/>
                <w:bCs/>
                <w:color w:val="000000"/>
                <w:sz w:val="18"/>
                <w:szCs w:val="18"/>
              </w:rPr>
              <w:t>65</w:t>
            </w:r>
          </w:p>
        </w:tc>
        <w:tc>
          <w:tcPr>
            <w:tcW w:w="897" w:type="dxa"/>
            <w:tcBorders>
              <w:top w:val="nil"/>
              <w:left w:val="nil"/>
              <w:bottom w:val="single" w:sz="4" w:space="0" w:color="auto"/>
              <w:right w:val="nil"/>
            </w:tcBorders>
            <w:shd w:val="clear" w:color="auto" w:fill="auto"/>
            <w:noWrap/>
            <w:vAlign w:val="bottom"/>
            <w:hideMark/>
          </w:tcPr>
          <w:p w14:paraId="6CD7DAE9"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1229" w:type="dxa"/>
            <w:tcBorders>
              <w:top w:val="nil"/>
              <w:left w:val="nil"/>
              <w:bottom w:val="single" w:sz="4" w:space="0" w:color="auto"/>
              <w:right w:val="nil"/>
            </w:tcBorders>
            <w:shd w:val="clear" w:color="auto" w:fill="auto"/>
            <w:noWrap/>
            <w:vAlign w:val="bottom"/>
            <w:hideMark/>
          </w:tcPr>
          <w:p w14:paraId="2FF5FF7A" w14:textId="77777777" w:rsidR="00A50A13" w:rsidRPr="00105114" w:rsidRDefault="00A50A13" w:rsidP="00312E88">
            <w:pPr>
              <w:jc w:val="right"/>
              <w:rPr>
                <w:rFonts w:cs="Arial"/>
                <w:color w:val="000000"/>
                <w:sz w:val="18"/>
                <w:szCs w:val="18"/>
              </w:rPr>
            </w:pPr>
            <w:r w:rsidRPr="00105114">
              <w:rPr>
                <w:rFonts w:cs="Arial"/>
                <w:color w:val="000000"/>
                <w:sz w:val="18"/>
                <w:szCs w:val="18"/>
              </w:rPr>
              <w:t>32%</w:t>
            </w:r>
          </w:p>
        </w:tc>
      </w:tr>
      <w:tr w:rsidR="00A50A13" w14:paraId="0B6ACD13" w14:textId="77777777" w:rsidTr="00312E88">
        <w:trPr>
          <w:trHeight w:hRule="exact" w:val="284"/>
        </w:trPr>
        <w:tc>
          <w:tcPr>
            <w:tcW w:w="617" w:type="dxa"/>
            <w:tcBorders>
              <w:top w:val="nil"/>
              <w:left w:val="nil"/>
              <w:bottom w:val="single" w:sz="8" w:space="0" w:color="auto"/>
              <w:right w:val="nil"/>
            </w:tcBorders>
            <w:shd w:val="clear" w:color="auto" w:fill="auto"/>
            <w:noWrap/>
            <w:vAlign w:val="bottom"/>
            <w:hideMark/>
          </w:tcPr>
          <w:p w14:paraId="187522FC" w14:textId="77777777" w:rsidR="00A50A13" w:rsidRPr="00105114" w:rsidRDefault="00A50A13" w:rsidP="00312E88">
            <w:pPr>
              <w:rPr>
                <w:rFonts w:cs="Arial"/>
                <w:color w:val="000000"/>
                <w:sz w:val="18"/>
                <w:szCs w:val="18"/>
              </w:rPr>
            </w:pPr>
            <w:r w:rsidRPr="00105114">
              <w:rPr>
                <w:rFonts w:cs="Arial"/>
                <w:color w:val="000000"/>
                <w:sz w:val="18"/>
                <w:szCs w:val="18"/>
              </w:rPr>
              <w:t>Total</w:t>
            </w:r>
          </w:p>
        </w:tc>
        <w:tc>
          <w:tcPr>
            <w:tcW w:w="1084" w:type="dxa"/>
            <w:tcBorders>
              <w:top w:val="nil"/>
              <w:left w:val="nil"/>
              <w:bottom w:val="single" w:sz="8" w:space="0" w:color="auto"/>
              <w:right w:val="nil"/>
            </w:tcBorders>
            <w:shd w:val="clear" w:color="auto" w:fill="auto"/>
            <w:noWrap/>
            <w:vAlign w:val="bottom"/>
            <w:hideMark/>
          </w:tcPr>
          <w:p w14:paraId="60CBEE3E"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4407" w:type="dxa"/>
            <w:gridSpan w:val="2"/>
            <w:tcBorders>
              <w:top w:val="single" w:sz="4" w:space="0" w:color="auto"/>
              <w:left w:val="nil"/>
              <w:bottom w:val="single" w:sz="8" w:space="0" w:color="auto"/>
              <w:right w:val="nil"/>
            </w:tcBorders>
            <w:shd w:val="clear" w:color="auto" w:fill="auto"/>
            <w:noWrap/>
            <w:vAlign w:val="bottom"/>
            <w:hideMark/>
          </w:tcPr>
          <w:p w14:paraId="0A7FB26B"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838" w:type="dxa"/>
            <w:tcBorders>
              <w:top w:val="nil"/>
              <w:left w:val="nil"/>
              <w:bottom w:val="single" w:sz="8" w:space="0" w:color="auto"/>
              <w:right w:val="nil"/>
            </w:tcBorders>
            <w:shd w:val="clear" w:color="auto" w:fill="auto"/>
            <w:noWrap/>
            <w:vAlign w:val="bottom"/>
            <w:hideMark/>
          </w:tcPr>
          <w:p w14:paraId="5FEC69F1"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897" w:type="dxa"/>
            <w:tcBorders>
              <w:top w:val="nil"/>
              <w:left w:val="nil"/>
              <w:bottom w:val="single" w:sz="8" w:space="0" w:color="auto"/>
              <w:right w:val="nil"/>
            </w:tcBorders>
            <w:shd w:val="clear" w:color="auto" w:fill="auto"/>
            <w:noWrap/>
            <w:vAlign w:val="bottom"/>
            <w:hideMark/>
          </w:tcPr>
          <w:p w14:paraId="0BA92FCD" w14:textId="77777777" w:rsidR="00A50A13" w:rsidRPr="00105114" w:rsidRDefault="00A50A13" w:rsidP="00312E88">
            <w:pPr>
              <w:jc w:val="right"/>
              <w:rPr>
                <w:rFonts w:cs="Arial"/>
                <w:color w:val="000000"/>
                <w:sz w:val="18"/>
                <w:szCs w:val="18"/>
              </w:rPr>
            </w:pPr>
            <w:r w:rsidRPr="00105114">
              <w:rPr>
                <w:rFonts w:cs="Arial"/>
                <w:color w:val="000000"/>
                <w:sz w:val="18"/>
                <w:szCs w:val="18"/>
              </w:rPr>
              <w:t>123</w:t>
            </w:r>
          </w:p>
        </w:tc>
        <w:tc>
          <w:tcPr>
            <w:tcW w:w="1229" w:type="dxa"/>
            <w:tcBorders>
              <w:top w:val="nil"/>
              <w:left w:val="nil"/>
              <w:bottom w:val="single" w:sz="8" w:space="0" w:color="auto"/>
              <w:right w:val="nil"/>
            </w:tcBorders>
            <w:shd w:val="clear" w:color="auto" w:fill="auto"/>
            <w:noWrap/>
            <w:vAlign w:val="bottom"/>
            <w:hideMark/>
          </w:tcPr>
          <w:p w14:paraId="749B7880" w14:textId="77777777" w:rsidR="00A50A13" w:rsidRPr="00105114" w:rsidRDefault="00A50A13" w:rsidP="00312E88">
            <w:pPr>
              <w:jc w:val="right"/>
              <w:rPr>
                <w:rFonts w:cs="Arial"/>
                <w:color w:val="000000"/>
                <w:sz w:val="18"/>
                <w:szCs w:val="18"/>
              </w:rPr>
            </w:pPr>
            <w:r w:rsidRPr="00105114">
              <w:rPr>
                <w:rFonts w:cs="Arial"/>
                <w:color w:val="000000"/>
                <w:sz w:val="18"/>
                <w:szCs w:val="18"/>
              </w:rPr>
              <w:t>61%</w:t>
            </w:r>
          </w:p>
        </w:tc>
      </w:tr>
      <w:tr w:rsidR="00A50A13" w14:paraId="256E67B3" w14:textId="77777777" w:rsidTr="00312E88">
        <w:trPr>
          <w:trHeight w:hRule="exact" w:val="284"/>
        </w:trPr>
        <w:tc>
          <w:tcPr>
            <w:tcW w:w="6101" w:type="dxa"/>
            <w:gridSpan w:val="3"/>
            <w:tcBorders>
              <w:top w:val="nil"/>
              <w:left w:val="nil"/>
              <w:bottom w:val="nil"/>
              <w:right w:val="nil"/>
            </w:tcBorders>
            <w:shd w:val="clear" w:color="auto" w:fill="auto"/>
            <w:noWrap/>
            <w:vAlign w:val="bottom"/>
            <w:hideMark/>
          </w:tcPr>
          <w:p w14:paraId="1B4A0E13" w14:textId="77777777" w:rsidR="00A50A13" w:rsidRPr="00105114" w:rsidRDefault="00A50A13" w:rsidP="00312E88">
            <w:pPr>
              <w:rPr>
                <w:rFonts w:cs="Arial"/>
                <w:b/>
                <w:bCs/>
                <w:color w:val="000000"/>
                <w:sz w:val="18"/>
                <w:szCs w:val="18"/>
              </w:rPr>
            </w:pPr>
            <w:r w:rsidRPr="00105114">
              <w:rPr>
                <w:rFonts w:cs="Arial"/>
                <w:b/>
                <w:bCs/>
                <w:color w:val="000000"/>
                <w:sz w:val="18"/>
                <w:szCs w:val="18"/>
              </w:rPr>
              <w:t>Unclear if true new incidence</w:t>
            </w:r>
          </w:p>
        </w:tc>
        <w:tc>
          <w:tcPr>
            <w:tcW w:w="845" w:type="dxa"/>
            <w:gridSpan w:val="2"/>
            <w:tcBorders>
              <w:top w:val="nil"/>
              <w:left w:val="nil"/>
              <w:bottom w:val="nil"/>
              <w:right w:val="nil"/>
            </w:tcBorders>
            <w:shd w:val="clear" w:color="auto" w:fill="auto"/>
            <w:noWrap/>
            <w:vAlign w:val="bottom"/>
            <w:hideMark/>
          </w:tcPr>
          <w:p w14:paraId="030A9CEA" w14:textId="77777777" w:rsidR="00A50A13" w:rsidRPr="00105114" w:rsidRDefault="00A50A13" w:rsidP="00312E88">
            <w:pPr>
              <w:rPr>
                <w:rFonts w:cs="Arial"/>
                <w:b/>
                <w:bCs/>
                <w:color w:val="000000"/>
                <w:sz w:val="18"/>
                <w:szCs w:val="18"/>
              </w:rPr>
            </w:pPr>
          </w:p>
        </w:tc>
        <w:tc>
          <w:tcPr>
            <w:tcW w:w="897" w:type="dxa"/>
            <w:tcBorders>
              <w:top w:val="nil"/>
              <w:left w:val="nil"/>
              <w:bottom w:val="nil"/>
              <w:right w:val="nil"/>
            </w:tcBorders>
            <w:shd w:val="clear" w:color="auto" w:fill="auto"/>
            <w:noWrap/>
            <w:vAlign w:val="bottom"/>
            <w:hideMark/>
          </w:tcPr>
          <w:p w14:paraId="49325E5A" w14:textId="77777777" w:rsidR="00A50A13" w:rsidRPr="00105114" w:rsidRDefault="00A50A13" w:rsidP="00312E88">
            <w:pPr>
              <w:rPr>
                <w:rFonts w:cs="Arial"/>
                <w:sz w:val="18"/>
                <w:szCs w:val="18"/>
              </w:rPr>
            </w:pPr>
          </w:p>
        </w:tc>
        <w:tc>
          <w:tcPr>
            <w:tcW w:w="1229" w:type="dxa"/>
            <w:tcBorders>
              <w:top w:val="nil"/>
              <w:left w:val="nil"/>
              <w:bottom w:val="nil"/>
              <w:right w:val="nil"/>
            </w:tcBorders>
            <w:shd w:val="clear" w:color="auto" w:fill="auto"/>
            <w:noWrap/>
            <w:vAlign w:val="bottom"/>
            <w:hideMark/>
          </w:tcPr>
          <w:p w14:paraId="2C5A7605" w14:textId="77777777" w:rsidR="00A50A13" w:rsidRPr="00105114" w:rsidRDefault="00A50A13" w:rsidP="00312E88">
            <w:pPr>
              <w:rPr>
                <w:rFonts w:cs="Arial"/>
                <w:sz w:val="18"/>
                <w:szCs w:val="18"/>
              </w:rPr>
            </w:pPr>
          </w:p>
        </w:tc>
      </w:tr>
      <w:tr w:rsidR="00A50A13" w14:paraId="36D956C1" w14:textId="77777777" w:rsidTr="00312E88">
        <w:trPr>
          <w:trHeight w:hRule="exact" w:val="284"/>
        </w:trPr>
        <w:tc>
          <w:tcPr>
            <w:tcW w:w="617" w:type="dxa"/>
            <w:tcBorders>
              <w:top w:val="nil"/>
              <w:left w:val="nil"/>
              <w:bottom w:val="nil"/>
              <w:right w:val="nil"/>
            </w:tcBorders>
            <w:shd w:val="clear" w:color="auto" w:fill="auto"/>
            <w:noWrap/>
            <w:vAlign w:val="bottom"/>
            <w:hideMark/>
          </w:tcPr>
          <w:p w14:paraId="178CF541" w14:textId="77777777" w:rsidR="00A50A13" w:rsidRPr="00105114" w:rsidRDefault="00A50A13" w:rsidP="00312E88">
            <w:pPr>
              <w:rPr>
                <w:rFonts w:cs="Arial"/>
                <w:sz w:val="18"/>
                <w:szCs w:val="18"/>
              </w:rPr>
            </w:pPr>
          </w:p>
        </w:tc>
        <w:tc>
          <w:tcPr>
            <w:tcW w:w="5491" w:type="dxa"/>
            <w:gridSpan w:val="3"/>
            <w:tcBorders>
              <w:top w:val="nil"/>
              <w:left w:val="nil"/>
              <w:bottom w:val="nil"/>
              <w:right w:val="nil"/>
            </w:tcBorders>
            <w:shd w:val="clear" w:color="auto" w:fill="auto"/>
            <w:noWrap/>
            <w:vAlign w:val="bottom"/>
            <w:hideMark/>
          </w:tcPr>
          <w:p w14:paraId="15A96D12" w14:textId="77777777" w:rsidR="00A50A13" w:rsidRPr="00105114" w:rsidRDefault="00A50A13" w:rsidP="00312E88">
            <w:pPr>
              <w:rPr>
                <w:rFonts w:cs="Arial"/>
                <w:color w:val="000000"/>
                <w:sz w:val="18"/>
                <w:szCs w:val="18"/>
              </w:rPr>
            </w:pPr>
            <w:r w:rsidRPr="00105114">
              <w:rPr>
                <w:rFonts w:cs="Arial"/>
                <w:color w:val="000000"/>
                <w:sz w:val="18"/>
                <w:szCs w:val="18"/>
              </w:rPr>
              <w:t>Interface with Justice and/or Mental Health System</w:t>
            </w:r>
          </w:p>
        </w:tc>
        <w:tc>
          <w:tcPr>
            <w:tcW w:w="838" w:type="dxa"/>
            <w:tcBorders>
              <w:top w:val="nil"/>
              <w:left w:val="nil"/>
              <w:bottom w:val="nil"/>
              <w:right w:val="nil"/>
            </w:tcBorders>
            <w:shd w:val="clear" w:color="auto" w:fill="auto"/>
            <w:noWrap/>
            <w:vAlign w:val="bottom"/>
            <w:hideMark/>
          </w:tcPr>
          <w:p w14:paraId="1FCA16B2" w14:textId="77777777" w:rsidR="00A50A13" w:rsidRPr="00105114" w:rsidRDefault="00A50A13" w:rsidP="00312E88">
            <w:pPr>
              <w:jc w:val="right"/>
              <w:rPr>
                <w:rFonts w:cs="Arial"/>
                <w:color w:val="000000"/>
                <w:sz w:val="18"/>
                <w:szCs w:val="18"/>
              </w:rPr>
            </w:pPr>
            <w:r w:rsidRPr="00105114">
              <w:rPr>
                <w:rFonts w:cs="Arial"/>
                <w:color w:val="000000"/>
                <w:sz w:val="18"/>
                <w:szCs w:val="18"/>
              </w:rPr>
              <w:t>48</w:t>
            </w:r>
          </w:p>
        </w:tc>
        <w:tc>
          <w:tcPr>
            <w:tcW w:w="897" w:type="dxa"/>
            <w:tcBorders>
              <w:top w:val="nil"/>
              <w:left w:val="nil"/>
              <w:bottom w:val="nil"/>
              <w:right w:val="nil"/>
            </w:tcBorders>
            <w:shd w:val="clear" w:color="auto" w:fill="auto"/>
            <w:noWrap/>
            <w:vAlign w:val="bottom"/>
            <w:hideMark/>
          </w:tcPr>
          <w:p w14:paraId="26D56543" w14:textId="77777777" w:rsidR="00A50A13" w:rsidRPr="00105114" w:rsidRDefault="00A50A13" w:rsidP="00312E88">
            <w:pPr>
              <w:jc w:val="right"/>
              <w:rPr>
                <w:rFonts w:cs="Arial"/>
                <w:color w:val="000000"/>
                <w:sz w:val="18"/>
                <w:szCs w:val="18"/>
              </w:rPr>
            </w:pPr>
          </w:p>
        </w:tc>
        <w:tc>
          <w:tcPr>
            <w:tcW w:w="1229" w:type="dxa"/>
            <w:tcBorders>
              <w:top w:val="nil"/>
              <w:left w:val="nil"/>
              <w:bottom w:val="nil"/>
              <w:right w:val="nil"/>
            </w:tcBorders>
            <w:shd w:val="clear" w:color="auto" w:fill="auto"/>
            <w:noWrap/>
            <w:vAlign w:val="bottom"/>
            <w:hideMark/>
          </w:tcPr>
          <w:p w14:paraId="639A7076" w14:textId="77777777" w:rsidR="00A50A13" w:rsidRPr="00105114" w:rsidRDefault="00A50A13" w:rsidP="00312E88">
            <w:pPr>
              <w:rPr>
                <w:rFonts w:cs="Arial"/>
                <w:sz w:val="18"/>
                <w:szCs w:val="18"/>
              </w:rPr>
            </w:pPr>
          </w:p>
        </w:tc>
      </w:tr>
      <w:tr w:rsidR="00A50A13" w14:paraId="4F08C991" w14:textId="77777777" w:rsidTr="00312E88">
        <w:trPr>
          <w:trHeight w:hRule="exact" w:val="284"/>
        </w:trPr>
        <w:tc>
          <w:tcPr>
            <w:tcW w:w="617" w:type="dxa"/>
            <w:tcBorders>
              <w:top w:val="nil"/>
              <w:left w:val="nil"/>
              <w:bottom w:val="nil"/>
              <w:right w:val="nil"/>
            </w:tcBorders>
            <w:shd w:val="clear" w:color="auto" w:fill="auto"/>
            <w:noWrap/>
            <w:vAlign w:val="bottom"/>
            <w:hideMark/>
          </w:tcPr>
          <w:p w14:paraId="4AE1F591" w14:textId="77777777" w:rsidR="00A50A13" w:rsidRPr="00105114" w:rsidRDefault="00A50A13" w:rsidP="00312E88">
            <w:pPr>
              <w:rPr>
                <w:rFonts w:cs="Arial"/>
                <w:sz w:val="18"/>
                <w:szCs w:val="18"/>
              </w:rPr>
            </w:pPr>
          </w:p>
        </w:tc>
        <w:tc>
          <w:tcPr>
            <w:tcW w:w="1084" w:type="dxa"/>
            <w:tcBorders>
              <w:top w:val="nil"/>
              <w:left w:val="nil"/>
              <w:bottom w:val="nil"/>
              <w:right w:val="nil"/>
            </w:tcBorders>
            <w:shd w:val="clear" w:color="auto" w:fill="auto"/>
            <w:noWrap/>
            <w:vAlign w:val="bottom"/>
            <w:hideMark/>
          </w:tcPr>
          <w:p w14:paraId="59969224" w14:textId="77777777" w:rsidR="00A50A13" w:rsidRPr="00105114" w:rsidRDefault="00A50A13" w:rsidP="00312E88">
            <w:pPr>
              <w:rPr>
                <w:rFonts w:cs="Arial"/>
                <w:color w:val="000000"/>
                <w:sz w:val="18"/>
                <w:szCs w:val="18"/>
              </w:rPr>
            </w:pPr>
            <w:r w:rsidRPr="00105114">
              <w:rPr>
                <w:rFonts w:cs="Arial"/>
                <w:color w:val="000000"/>
                <w:sz w:val="18"/>
                <w:szCs w:val="18"/>
              </w:rPr>
              <w:t>Other</w:t>
            </w:r>
          </w:p>
        </w:tc>
        <w:tc>
          <w:tcPr>
            <w:tcW w:w="4407" w:type="dxa"/>
            <w:gridSpan w:val="2"/>
            <w:tcBorders>
              <w:top w:val="nil"/>
              <w:left w:val="nil"/>
              <w:bottom w:val="nil"/>
              <w:right w:val="nil"/>
            </w:tcBorders>
            <w:shd w:val="clear" w:color="auto" w:fill="auto"/>
            <w:noWrap/>
            <w:vAlign w:val="bottom"/>
            <w:hideMark/>
          </w:tcPr>
          <w:p w14:paraId="00716073" w14:textId="77777777" w:rsidR="00A50A13" w:rsidRPr="00105114" w:rsidRDefault="00A50A13" w:rsidP="00312E88">
            <w:pPr>
              <w:rPr>
                <w:rFonts w:cs="Arial"/>
                <w:color w:val="000000"/>
                <w:sz w:val="18"/>
                <w:szCs w:val="18"/>
              </w:rPr>
            </w:pPr>
          </w:p>
        </w:tc>
        <w:tc>
          <w:tcPr>
            <w:tcW w:w="838" w:type="dxa"/>
            <w:tcBorders>
              <w:top w:val="nil"/>
              <w:left w:val="nil"/>
              <w:bottom w:val="nil"/>
              <w:right w:val="nil"/>
            </w:tcBorders>
            <w:shd w:val="clear" w:color="auto" w:fill="auto"/>
            <w:noWrap/>
            <w:vAlign w:val="bottom"/>
            <w:hideMark/>
          </w:tcPr>
          <w:p w14:paraId="188DC870" w14:textId="77777777" w:rsidR="00A50A13" w:rsidRPr="00105114" w:rsidRDefault="00A50A13" w:rsidP="00312E88">
            <w:pPr>
              <w:jc w:val="right"/>
              <w:rPr>
                <w:rFonts w:cs="Arial"/>
                <w:color w:val="000000"/>
                <w:sz w:val="18"/>
                <w:szCs w:val="18"/>
              </w:rPr>
            </w:pPr>
            <w:r w:rsidRPr="00105114">
              <w:rPr>
                <w:rFonts w:cs="Arial"/>
                <w:color w:val="000000"/>
                <w:sz w:val="18"/>
                <w:szCs w:val="18"/>
              </w:rPr>
              <w:t>30</w:t>
            </w:r>
          </w:p>
        </w:tc>
        <w:tc>
          <w:tcPr>
            <w:tcW w:w="897" w:type="dxa"/>
            <w:tcBorders>
              <w:top w:val="nil"/>
              <w:left w:val="nil"/>
              <w:bottom w:val="nil"/>
              <w:right w:val="nil"/>
            </w:tcBorders>
            <w:shd w:val="clear" w:color="auto" w:fill="auto"/>
            <w:noWrap/>
            <w:vAlign w:val="bottom"/>
            <w:hideMark/>
          </w:tcPr>
          <w:p w14:paraId="124F2E0F" w14:textId="77777777" w:rsidR="00A50A13" w:rsidRPr="00105114" w:rsidRDefault="00A50A13" w:rsidP="00312E88">
            <w:pPr>
              <w:jc w:val="right"/>
              <w:rPr>
                <w:rFonts w:cs="Arial"/>
                <w:color w:val="000000"/>
                <w:sz w:val="18"/>
                <w:szCs w:val="18"/>
              </w:rPr>
            </w:pPr>
          </w:p>
        </w:tc>
        <w:tc>
          <w:tcPr>
            <w:tcW w:w="1229" w:type="dxa"/>
            <w:tcBorders>
              <w:top w:val="nil"/>
              <w:left w:val="nil"/>
              <w:bottom w:val="nil"/>
              <w:right w:val="nil"/>
            </w:tcBorders>
            <w:shd w:val="clear" w:color="auto" w:fill="auto"/>
            <w:noWrap/>
            <w:vAlign w:val="bottom"/>
            <w:hideMark/>
          </w:tcPr>
          <w:p w14:paraId="02A6AB5D" w14:textId="77777777" w:rsidR="00A50A13" w:rsidRPr="00105114" w:rsidRDefault="00A50A13" w:rsidP="00312E88">
            <w:pPr>
              <w:rPr>
                <w:rFonts w:cs="Arial"/>
                <w:sz w:val="18"/>
                <w:szCs w:val="18"/>
              </w:rPr>
            </w:pPr>
          </w:p>
        </w:tc>
      </w:tr>
      <w:tr w:rsidR="00A50A13" w14:paraId="594B8A7D" w14:textId="77777777" w:rsidTr="00312E88">
        <w:trPr>
          <w:trHeight w:hRule="exact" w:val="284"/>
        </w:trPr>
        <w:tc>
          <w:tcPr>
            <w:tcW w:w="617" w:type="dxa"/>
            <w:tcBorders>
              <w:top w:val="single" w:sz="4" w:space="0" w:color="auto"/>
              <w:left w:val="nil"/>
              <w:bottom w:val="single" w:sz="4" w:space="0" w:color="auto"/>
              <w:right w:val="nil"/>
            </w:tcBorders>
            <w:shd w:val="clear" w:color="auto" w:fill="auto"/>
            <w:noWrap/>
            <w:vAlign w:val="bottom"/>
            <w:hideMark/>
          </w:tcPr>
          <w:p w14:paraId="1F299968" w14:textId="77777777" w:rsidR="00A50A13" w:rsidRPr="00105114" w:rsidRDefault="00A50A13" w:rsidP="00312E88">
            <w:pPr>
              <w:rPr>
                <w:rFonts w:cs="Arial"/>
                <w:color w:val="000000"/>
                <w:sz w:val="18"/>
                <w:szCs w:val="18"/>
              </w:rPr>
            </w:pPr>
            <w:r w:rsidRPr="00105114">
              <w:rPr>
                <w:rFonts w:cs="Arial"/>
                <w:color w:val="000000"/>
                <w:sz w:val="18"/>
                <w:szCs w:val="18"/>
              </w:rPr>
              <w:t>Total</w:t>
            </w:r>
          </w:p>
        </w:tc>
        <w:tc>
          <w:tcPr>
            <w:tcW w:w="1084" w:type="dxa"/>
            <w:tcBorders>
              <w:top w:val="single" w:sz="4" w:space="0" w:color="auto"/>
              <w:left w:val="nil"/>
              <w:bottom w:val="single" w:sz="4" w:space="0" w:color="auto"/>
              <w:right w:val="nil"/>
            </w:tcBorders>
            <w:shd w:val="clear" w:color="auto" w:fill="auto"/>
            <w:noWrap/>
            <w:vAlign w:val="bottom"/>
            <w:hideMark/>
          </w:tcPr>
          <w:p w14:paraId="19EEF5CA"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4407" w:type="dxa"/>
            <w:gridSpan w:val="2"/>
            <w:tcBorders>
              <w:top w:val="single" w:sz="4" w:space="0" w:color="auto"/>
              <w:left w:val="nil"/>
              <w:bottom w:val="single" w:sz="4" w:space="0" w:color="auto"/>
              <w:right w:val="nil"/>
            </w:tcBorders>
            <w:shd w:val="clear" w:color="auto" w:fill="auto"/>
            <w:noWrap/>
            <w:vAlign w:val="bottom"/>
            <w:hideMark/>
          </w:tcPr>
          <w:p w14:paraId="7F57F309"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838" w:type="dxa"/>
            <w:tcBorders>
              <w:top w:val="single" w:sz="4" w:space="0" w:color="auto"/>
              <w:left w:val="nil"/>
              <w:bottom w:val="single" w:sz="4" w:space="0" w:color="auto"/>
              <w:right w:val="nil"/>
            </w:tcBorders>
            <w:shd w:val="clear" w:color="auto" w:fill="auto"/>
            <w:noWrap/>
            <w:vAlign w:val="bottom"/>
            <w:hideMark/>
          </w:tcPr>
          <w:p w14:paraId="6C13AA5C"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897" w:type="dxa"/>
            <w:tcBorders>
              <w:top w:val="single" w:sz="4" w:space="0" w:color="auto"/>
              <w:left w:val="nil"/>
              <w:bottom w:val="single" w:sz="4" w:space="0" w:color="auto"/>
              <w:right w:val="nil"/>
            </w:tcBorders>
            <w:shd w:val="clear" w:color="auto" w:fill="auto"/>
            <w:noWrap/>
            <w:vAlign w:val="bottom"/>
            <w:hideMark/>
          </w:tcPr>
          <w:p w14:paraId="497B82A2" w14:textId="77777777" w:rsidR="00A50A13" w:rsidRPr="00105114" w:rsidRDefault="00A50A13" w:rsidP="00312E88">
            <w:pPr>
              <w:jc w:val="right"/>
              <w:rPr>
                <w:rFonts w:cs="Arial"/>
                <w:color w:val="000000"/>
                <w:sz w:val="18"/>
                <w:szCs w:val="18"/>
              </w:rPr>
            </w:pPr>
            <w:r w:rsidRPr="00105114">
              <w:rPr>
                <w:rFonts w:cs="Arial"/>
                <w:color w:val="000000"/>
                <w:sz w:val="18"/>
                <w:szCs w:val="18"/>
              </w:rPr>
              <w:t>78</w:t>
            </w:r>
          </w:p>
        </w:tc>
        <w:tc>
          <w:tcPr>
            <w:tcW w:w="1229" w:type="dxa"/>
            <w:tcBorders>
              <w:top w:val="single" w:sz="4" w:space="0" w:color="auto"/>
              <w:left w:val="nil"/>
              <w:bottom w:val="single" w:sz="4" w:space="0" w:color="auto"/>
              <w:right w:val="nil"/>
            </w:tcBorders>
            <w:shd w:val="clear" w:color="auto" w:fill="auto"/>
            <w:noWrap/>
            <w:vAlign w:val="bottom"/>
            <w:hideMark/>
          </w:tcPr>
          <w:p w14:paraId="224F5A65" w14:textId="77777777" w:rsidR="00A50A13" w:rsidRPr="00105114" w:rsidRDefault="00A50A13" w:rsidP="00312E88">
            <w:pPr>
              <w:jc w:val="right"/>
              <w:rPr>
                <w:rFonts w:cs="Arial"/>
                <w:color w:val="000000"/>
                <w:sz w:val="18"/>
                <w:szCs w:val="18"/>
              </w:rPr>
            </w:pPr>
            <w:r w:rsidRPr="00105114">
              <w:rPr>
                <w:rFonts w:cs="Arial"/>
                <w:color w:val="000000"/>
                <w:sz w:val="18"/>
                <w:szCs w:val="18"/>
              </w:rPr>
              <w:t>39%</w:t>
            </w:r>
          </w:p>
        </w:tc>
      </w:tr>
      <w:tr w:rsidR="00A50A13" w14:paraId="1AF6F320" w14:textId="77777777" w:rsidTr="00312E88">
        <w:trPr>
          <w:trHeight w:hRule="exact" w:val="284"/>
        </w:trPr>
        <w:tc>
          <w:tcPr>
            <w:tcW w:w="1701" w:type="dxa"/>
            <w:gridSpan w:val="2"/>
            <w:tcBorders>
              <w:top w:val="single" w:sz="4" w:space="0" w:color="auto"/>
              <w:left w:val="nil"/>
              <w:bottom w:val="single" w:sz="8" w:space="0" w:color="auto"/>
              <w:right w:val="nil"/>
            </w:tcBorders>
            <w:shd w:val="clear" w:color="auto" w:fill="auto"/>
            <w:noWrap/>
            <w:vAlign w:val="bottom"/>
            <w:hideMark/>
          </w:tcPr>
          <w:p w14:paraId="420CC749" w14:textId="77777777" w:rsidR="00A50A13" w:rsidRPr="00105114" w:rsidRDefault="00A50A13" w:rsidP="00312E88">
            <w:pPr>
              <w:rPr>
                <w:rFonts w:cs="Arial"/>
                <w:color w:val="000000"/>
                <w:sz w:val="18"/>
                <w:szCs w:val="18"/>
              </w:rPr>
            </w:pPr>
            <w:r w:rsidRPr="00105114">
              <w:rPr>
                <w:rFonts w:cs="Arial"/>
                <w:color w:val="000000"/>
                <w:sz w:val="18"/>
                <w:szCs w:val="18"/>
              </w:rPr>
              <w:t>Grand Total</w:t>
            </w:r>
          </w:p>
        </w:tc>
        <w:tc>
          <w:tcPr>
            <w:tcW w:w="4400" w:type="dxa"/>
            <w:tcBorders>
              <w:top w:val="nil"/>
              <w:left w:val="nil"/>
              <w:bottom w:val="single" w:sz="8" w:space="0" w:color="auto"/>
              <w:right w:val="nil"/>
            </w:tcBorders>
            <w:shd w:val="clear" w:color="auto" w:fill="auto"/>
            <w:noWrap/>
            <w:vAlign w:val="bottom"/>
            <w:hideMark/>
          </w:tcPr>
          <w:p w14:paraId="7F46083E"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845" w:type="dxa"/>
            <w:gridSpan w:val="2"/>
            <w:tcBorders>
              <w:top w:val="nil"/>
              <w:left w:val="nil"/>
              <w:bottom w:val="single" w:sz="8" w:space="0" w:color="auto"/>
              <w:right w:val="nil"/>
            </w:tcBorders>
            <w:shd w:val="clear" w:color="auto" w:fill="auto"/>
            <w:noWrap/>
            <w:vAlign w:val="bottom"/>
            <w:hideMark/>
          </w:tcPr>
          <w:p w14:paraId="3CB732BA" w14:textId="77777777" w:rsidR="00A50A13" w:rsidRPr="00105114" w:rsidRDefault="00A50A13" w:rsidP="00312E88">
            <w:pPr>
              <w:rPr>
                <w:rFonts w:cs="Arial"/>
                <w:color w:val="000000"/>
                <w:sz w:val="18"/>
                <w:szCs w:val="18"/>
              </w:rPr>
            </w:pPr>
            <w:r w:rsidRPr="00105114">
              <w:rPr>
                <w:rFonts w:cs="Arial"/>
                <w:color w:val="000000"/>
                <w:sz w:val="18"/>
                <w:szCs w:val="18"/>
              </w:rPr>
              <w:t> </w:t>
            </w:r>
          </w:p>
        </w:tc>
        <w:tc>
          <w:tcPr>
            <w:tcW w:w="897" w:type="dxa"/>
            <w:tcBorders>
              <w:top w:val="nil"/>
              <w:left w:val="nil"/>
              <w:bottom w:val="single" w:sz="8" w:space="0" w:color="auto"/>
              <w:right w:val="nil"/>
            </w:tcBorders>
            <w:shd w:val="clear" w:color="auto" w:fill="auto"/>
            <w:noWrap/>
            <w:vAlign w:val="bottom"/>
            <w:hideMark/>
          </w:tcPr>
          <w:p w14:paraId="5B21DB51" w14:textId="77777777" w:rsidR="00A50A13" w:rsidRPr="00105114" w:rsidRDefault="00A50A13" w:rsidP="00312E88">
            <w:pPr>
              <w:jc w:val="right"/>
              <w:rPr>
                <w:rFonts w:cs="Arial"/>
                <w:color w:val="000000"/>
                <w:sz w:val="18"/>
                <w:szCs w:val="18"/>
              </w:rPr>
            </w:pPr>
            <w:r w:rsidRPr="00105114">
              <w:rPr>
                <w:rFonts w:cs="Arial"/>
                <w:color w:val="000000"/>
                <w:sz w:val="18"/>
                <w:szCs w:val="18"/>
              </w:rPr>
              <w:t>201</w:t>
            </w:r>
          </w:p>
        </w:tc>
        <w:tc>
          <w:tcPr>
            <w:tcW w:w="1229" w:type="dxa"/>
            <w:tcBorders>
              <w:top w:val="nil"/>
              <w:left w:val="nil"/>
              <w:bottom w:val="single" w:sz="8" w:space="0" w:color="auto"/>
              <w:right w:val="nil"/>
            </w:tcBorders>
            <w:shd w:val="clear" w:color="auto" w:fill="auto"/>
            <w:noWrap/>
            <w:vAlign w:val="bottom"/>
            <w:hideMark/>
          </w:tcPr>
          <w:p w14:paraId="3CE792C9" w14:textId="77777777" w:rsidR="00A50A13" w:rsidRPr="00105114" w:rsidRDefault="00A50A13" w:rsidP="00312E88">
            <w:pPr>
              <w:jc w:val="right"/>
              <w:rPr>
                <w:rFonts w:cs="Arial"/>
                <w:color w:val="000000"/>
                <w:sz w:val="18"/>
                <w:szCs w:val="18"/>
              </w:rPr>
            </w:pPr>
            <w:r w:rsidRPr="00105114">
              <w:rPr>
                <w:rFonts w:cs="Arial"/>
                <w:color w:val="000000"/>
                <w:sz w:val="18"/>
                <w:szCs w:val="18"/>
              </w:rPr>
              <w:t>100%</w:t>
            </w:r>
          </w:p>
        </w:tc>
      </w:tr>
    </w:tbl>
    <w:p w14:paraId="7724246B" w14:textId="4128ED72" w:rsidR="00CF3E47" w:rsidRDefault="00CF3E47" w:rsidP="00CF3E47">
      <w:pPr>
        <w:pStyle w:val="FSRnormal"/>
      </w:pPr>
    </w:p>
    <w:p w14:paraId="5022088C" w14:textId="2D8291AC" w:rsidR="00CF3E47" w:rsidRDefault="00CF3E47" w:rsidP="00CF3E47">
      <w:pPr>
        <w:pStyle w:val="FSRnormal"/>
      </w:pPr>
      <w:r w:rsidRPr="00CF3E47">
        <w:t>Based on the analysis of this sample, the assumed rate of new incidence has been left unchanged since the previous review, as the current assumption (</w:t>
      </w:r>
      <w:r w:rsidR="00F64B9F">
        <w:t xml:space="preserve">about </w:t>
      </w:r>
      <w:r w:rsidRPr="00CF3E47">
        <w:t>7</w:t>
      </w:r>
      <w:r w:rsidR="00F64B9F">
        <w:t>0</w:t>
      </w:r>
      <w:r w:rsidRPr="00CF3E47">
        <w:t xml:space="preserve">% of the observed rate for adults) appears reasonable (with 61% of the sample being likely to be true new incidence and 39% </w:t>
      </w:r>
      <w:r w:rsidRPr="00F771E8">
        <w:t xml:space="preserve">being uncertain). Nonetheless there remains a high </w:t>
      </w:r>
      <w:r w:rsidR="00C60C51">
        <w:t xml:space="preserve">degree of </w:t>
      </w:r>
      <w:r w:rsidRPr="00F771E8">
        <w:t xml:space="preserve">uncertainty </w:t>
      </w:r>
      <w:r w:rsidR="00C60C51">
        <w:t xml:space="preserve">within </w:t>
      </w:r>
      <w:r w:rsidRPr="00F771E8">
        <w:t xml:space="preserve">the assumptions, which is further explored in the scenario analysis discussion presented in Section </w:t>
      </w:r>
      <w:r w:rsidR="00633DFE" w:rsidRPr="00F771E8">
        <w:t>6.1</w:t>
      </w:r>
      <w:r w:rsidRPr="00F771E8">
        <w:t>.</w:t>
      </w:r>
    </w:p>
    <w:p w14:paraId="051B362D" w14:textId="4E17EBBF" w:rsidR="00A30FE5" w:rsidRDefault="00A30FE5" w:rsidP="00CF3E47">
      <w:pPr>
        <w:pStyle w:val="FSRnormal"/>
      </w:pPr>
      <w:r>
        <w:t xml:space="preserve">Past and projected new entrants are shown in </w:t>
      </w:r>
      <w:r>
        <w:fldChar w:fldCharType="begin"/>
      </w:r>
      <w:r>
        <w:instrText xml:space="preserve"> REF _Ref82437632 \h </w:instrText>
      </w:r>
      <w:r>
        <w:fldChar w:fldCharType="separate"/>
      </w:r>
      <w:r w:rsidR="00E50032" w:rsidRPr="005D1AFD">
        <w:t xml:space="preserve">Figure </w:t>
      </w:r>
      <w:r w:rsidR="00E50032">
        <w:rPr>
          <w:noProof/>
        </w:rPr>
        <w:t>41</w:t>
      </w:r>
      <w:r>
        <w:fldChar w:fldCharType="end"/>
      </w:r>
      <w:r>
        <w:t xml:space="preserve"> which shows that projected new entrant numbers are expected to reduce from more than 80,000 in 2020-21 to approximately 60,000 per year in 2023-24. </w:t>
      </w:r>
    </w:p>
    <w:p w14:paraId="6ACF3AF2" w14:textId="66052B09" w:rsidR="00A30FE5" w:rsidRPr="00FC5C6C" w:rsidRDefault="00A30FE5" w:rsidP="00A30FE5">
      <w:pPr>
        <w:pStyle w:val="Figures"/>
      </w:pPr>
      <w:bookmarkStart w:id="195" w:name="_Ref82437632"/>
      <w:r w:rsidRPr="005D1AFD">
        <w:lastRenderedPageBreak/>
        <w:t xml:space="preserve">Figure </w:t>
      </w:r>
      <w:r w:rsidRPr="00AB4E2F">
        <w:fldChar w:fldCharType="begin"/>
      </w:r>
      <w:r w:rsidRPr="005D1AFD">
        <w:instrText xml:space="preserve"> SEQ Figure \* ARABIC </w:instrText>
      </w:r>
      <w:r w:rsidRPr="00AB4E2F">
        <w:fldChar w:fldCharType="separate"/>
      </w:r>
      <w:r w:rsidR="00E50032">
        <w:rPr>
          <w:noProof/>
        </w:rPr>
        <w:t>41</w:t>
      </w:r>
      <w:r w:rsidRPr="00AB4E2F">
        <w:rPr>
          <w:noProof/>
        </w:rPr>
        <w:fldChar w:fldCharType="end"/>
      </w:r>
      <w:bookmarkEnd w:id="195"/>
      <w:r w:rsidRPr="00FC5C6C">
        <w:t xml:space="preserve"> </w:t>
      </w:r>
      <w:r>
        <w:t>Past and Projected New Entrants</w:t>
      </w:r>
      <w:r w:rsidR="00F633BC">
        <w:rPr>
          <w:rStyle w:val="FootnoteReference"/>
        </w:rPr>
        <w:footnoteReference w:id="61"/>
      </w:r>
      <w:r w:rsidRPr="00A30FE5">
        <w:rPr>
          <w:b w:val="0"/>
          <w:bCs w:val="0"/>
        </w:rPr>
        <w:t xml:space="preserve"> </w:t>
      </w:r>
      <w:r w:rsidR="00BD03E1">
        <w:rPr>
          <w:noProof/>
          <w:lang w:eastAsia="en-AU"/>
        </w:rPr>
        <w:drawing>
          <wp:inline distT="0" distB="0" distL="0" distR="0" wp14:anchorId="406CBDD8" wp14:editId="04938CB7">
            <wp:extent cx="5731510" cy="2712232"/>
            <wp:effectExtent l="0" t="0" r="0" b="5715"/>
            <wp:docPr id="504" name="Picture 504" descr="Bar Chart showing that projected new entrant numbers are expected to reduce from more than 80,000 in 2020-21 to approximately 60,000 per year in 20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504" descr="Bar Chart showing that projected new entrant numbers are expected to reduce from more than 80,000 in 2020-21 to approximately 60,000 per year in 2023-24."/>
                    <pic:cNvPicPr/>
                  </pic:nvPicPr>
                  <pic:blipFill>
                    <a:blip r:embed="rId59">
                      <a:extLst>
                        <a:ext uri="{28A0092B-C50C-407E-A947-70E740481C1C}">
                          <a14:useLocalDpi xmlns:a14="http://schemas.microsoft.com/office/drawing/2010/main" val="0"/>
                        </a:ext>
                      </a:extLst>
                    </a:blip>
                    <a:stretch>
                      <a:fillRect/>
                    </a:stretch>
                  </pic:blipFill>
                  <pic:spPr>
                    <a:xfrm>
                      <a:off x="0" y="0"/>
                      <a:ext cx="5731510" cy="2712232"/>
                    </a:xfrm>
                    <a:prstGeom prst="rect">
                      <a:avLst/>
                    </a:prstGeom>
                  </pic:spPr>
                </pic:pic>
              </a:graphicData>
            </a:graphic>
          </wp:inline>
        </w:drawing>
      </w:r>
    </w:p>
    <w:p w14:paraId="6DCE14C0" w14:textId="77777777" w:rsidR="00A30FE5" w:rsidRPr="00CF3E47" w:rsidRDefault="00A30FE5" w:rsidP="00CF3E47">
      <w:pPr>
        <w:pStyle w:val="FSRnormal"/>
      </w:pPr>
    </w:p>
    <w:p w14:paraId="3B31FB57" w14:textId="59E50FA3" w:rsidR="00D03880" w:rsidRPr="00D03880" w:rsidRDefault="00393761" w:rsidP="00D03880">
      <w:pPr>
        <w:pStyle w:val="FSRHeading4"/>
      </w:pPr>
      <w:r>
        <w:t>Exits – m</w:t>
      </w:r>
      <w:r w:rsidR="00D03880" w:rsidRPr="00D03880">
        <w:t xml:space="preserve">ortality and </w:t>
      </w:r>
      <w:r>
        <w:t>n</w:t>
      </w:r>
      <w:r w:rsidR="00D03880" w:rsidRPr="00D03880">
        <w:t>on-</w:t>
      </w:r>
      <w:r>
        <w:t>m</w:t>
      </w:r>
      <w:r w:rsidR="00D03880" w:rsidRPr="00D03880">
        <w:t>ortality</w:t>
      </w:r>
    </w:p>
    <w:p w14:paraId="5D1CB3B6" w14:textId="473E4638" w:rsidR="00D03880" w:rsidRPr="00D03880" w:rsidRDefault="00D03880" w:rsidP="00D03880">
      <w:pPr>
        <w:pStyle w:val="FSRnormal"/>
      </w:pPr>
      <w:r w:rsidRPr="00D03880">
        <w:t xml:space="preserve">Both mortality and non-mortality exits assumptions have been revised since the </w:t>
      </w:r>
      <w:r w:rsidR="00105BEA">
        <w:t>previous review</w:t>
      </w:r>
      <w:r w:rsidRPr="00D03880">
        <w:t xml:space="preserve">. Mortality exit assumptions has been revised </w:t>
      </w:r>
      <w:r w:rsidR="00C60C51">
        <w:t xml:space="preserve">slightly </w:t>
      </w:r>
      <w:r w:rsidRPr="00D03880">
        <w:t>upwards reflecting recent experience. Short term non-mortality exit assumptions have been revised downwards</w:t>
      </w:r>
      <w:r w:rsidR="00105BEA">
        <w:t>, also</w:t>
      </w:r>
      <w:r w:rsidRPr="00D03880">
        <w:t xml:space="preserve"> reflecting recent experience</w:t>
      </w:r>
      <w:r w:rsidR="00105BEA">
        <w:t>. L</w:t>
      </w:r>
      <w:r w:rsidRPr="00D03880">
        <w:t xml:space="preserve">ong term non-mortality exit assumptions have remained unchanged as it </w:t>
      </w:r>
      <w:r w:rsidR="000C3FDD">
        <w:t xml:space="preserve">continues to be </w:t>
      </w:r>
      <w:r w:rsidRPr="00D03880">
        <w:t xml:space="preserve">assumed that rates of exit will increase as more children exit the Scheme after receiving early intervention support, and the NDIA focuses on ensuring participants continue to meet the access criteria (as per the NDIS Act). </w:t>
      </w:r>
    </w:p>
    <w:p w14:paraId="084618B3" w14:textId="799581B6" w:rsidR="00393761" w:rsidRDefault="00D03880" w:rsidP="00393761">
      <w:pPr>
        <w:pStyle w:val="FSRnormal"/>
      </w:pPr>
      <w:r w:rsidRPr="00BD03E1">
        <w:rPr>
          <w:u w:val="single"/>
        </w:rPr>
        <w:fldChar w:fldCharType="begin"/>
      </w:r>
      <w:r w:rsidRPr="00BD03E1">
        <w:rPr>
          <w:u w:val="single"/>
        </w:rPr>
        <w:instrText xml:space="preserve"> REF _Ref76036669 \h </w:instrText>
      </w:r>
      <w:r w:rsidR="00BD03E1">
        <w:rPr>
          <w:u w:val="single"/>
        </w:rPr>
        <w:instrText xml:space="preserve"> \* MERGEFORMAT </w:instrText>
      </w:r>
      <w:r w:rsidRPr="00BD03E1">
        <w:rPr>
          <w:u w:val="single"/>
        </w:rPr>
      </w:r>
      <w:r w:rsidRPr="00BD03E1">
        <w:rPr>
          <w:u w:val="single"/>
        </w:rPr>
        <w:fldChar w:fldCharType="separate"/>
      </w:r>
      <w:r w:rsidR="00E50032" w:rsidRPr="00E50032">
        <w:rPr>
          <w:u w:val="single"/>
        </w:rPr>
        <w:t xml:space="preserve">Figure </w:t>
      </w:r>
      <w:r w:rsidR="00E50032" w:rsidRPr="00E50032">
        <w:rPr>
          <w:noProof/>
          <w:u w:val="single"/>
        </w:rPr>
        <w:t>42</w:t>
      </w:r>
      <w:r w:rsidRPr="00BD03E1">
        <w:rPr>
          <w:u w:val="single"/>
        </w:rPr>
        <w:fldChar w:fldCharType="end"/>
      </w:r>
      <w:r>
        <w:t xml:space="preserve"> </w:t>
      </w:r>
      <w:r w:rsidRPr="00D03880">
        <w:t xml:space="preserve">(ages 0 to 6) and </w:t>
      </w:r>
      <w:r w:rsidRPr="00BD03E1">
        <w:rPr>
          <w:u w:val="single"/>
        </w:rPr>
        <w:fldChar w:fldCharType="begin"/>
      </w:r>
      <w:r w:rsidRPr="00BD03E1">
        <w:rPr>
          <w:u w:val="single"/>
        </w:rPr>
        <w:instrText xml:space="preserve"> REF _Ref76036729 \h </w:instrText>
      </w:r>
      <w:r w:rsidR="00BD03E1">
        <w:rPr>
          <w:u w:val="single"/>
        </w:rPr>
        <w:instrText xml:space="preserve"> \* MERGEFORMAT </w:instrText>
      </w:r>
      <w:r w:rsidRPr="00BD03E1">
        <w:rPr>
          <w:u w:val="single"/>
        </w:rPr>
      </w:r>
      <w:r w:rsidRPr="00BD03E1">
        <w:rPr>
          <w:u w:val="single"/>
        </w:rPr>
        <w:fldChar w:fldCharType="separate"/>
      </w:r>
      <w:r w:rsidR="00E50032" w:rsidRPr="00E50032">
        <w:rPr>
          <w:u w:val="single"/>
        </w:rPr>
        <w:t xml:space="preserve">Figure </w:t>
      </w:r>
      <w:r w:rsidR="00E50032" w:rsidRPr="00E50032">
        <w:rPr>
          <w:noProof/>
          <w:u w:val="single"/>
        </w:rPr>
        <w:t>43</w:t>
      </w:r>
      <w:r w:rsidRPr="00BD03E1">
        <w:rPr>
          <w:u w:val="single"/>
        </w:rPr>
        <w:fldChar w:fldCharType="end"/>
      </w:r>
      <w:r>
        <w:t xml:space="preserve"> </w:t>
      </w:r>
      <w:r w:rsidRPr="00D03880">
        <w:t xml:space="preserve">(aged over 7) below compare actual non-mortality exit rates over the 12 months to 30 June 2021 by quarter with the long term non-mortality exit rates and 2021-22 expected non-mortality exit rates based on 12 months to 30 June 2021 </w:t>
      </w:r>
      <w:r w:rsidR="00393761" w:rsidRPr="00D03880">
        <w:t>exposures.</w:t>
      </w:r>
    </w:p>
    <w:p w14:paraId="312744EE" w14:textId="34F724A8" w:rsidR="00D03880" w:rsidRDefault="00D03880" w:rsidP="00D03880">
      <w:pPr>
        <w:pStyle w:val="FSRnormal"/>
      </w:pPr>
    </w:p>
    <w:p w14:paraId="1ED7352C" w14:textId="20BAB497" w:rsidR="00D03880" w:rsidRPr="00D03880" w:rsidRDefault="00D03880" w:rsidP="00D03880">
      <w:pPr>
        <w:pStyle w:val="Figures"/>
      </w:pPr>
      <w:bookmarkStart w:id="196" w:name="_Ref76036669"/>
      <w:r w:rsidRPr="00D03880">
        <w:lastRenderedPageBreak/>
        <w:t xml:space="preserve">Figure </w:t>
      </w:r>
      <w:fldSimple w:instr=" SEQ Figure \* ARABIC ">
        <w:r w:rsidR="00E50032">
          <w:rPr>
            <w:noProof/>
          </w:rPr>
          <w:t>42</w:t>
        </w:r>
      </w:fldSimple>
      <w:bookmarkEnd w:id="196"/>
      <w:r w:rsidRPr="00D03880">
        <w:t xml:space="preserve"> Actual versus expected non-mortality exits for participants aged 0 to 6</w:t>
      </w:r>
    </w:p>
    <w:p w14:paraId="411F8C63" w14:textId="50DD4978" w:rsidR="00D03880" w:rsidRDefault="00F9488C" w:rsidP="00D03880">
      <w:pPr>
        <w:pStyle w:val="FSRnormal"/>
      </w:pPr>
      <w:r>
        <w:rPr>
          <w:noProof/>
          <w:lang w:eastAsia="en-AU"/>
        </w:rPr>
        <w:drawing>
          <wp:inline distT="0" distB="0" distL="0" distR="0" wp14:anchorId="54585B2E" wp14:editId="5CAEE4B4">
            <wp:extent cx="5686175" cy="2480733"/>
            <wp:effectExtent l="0" t="0" r="3810" b="0"/>
            <wp:docPr id="505" name="Picture 505" descr="Bar and line chart showing actual versus expected non-mortality exits for participants aged 0 to 6. The graphs belowcompare actual non-mortality exit rates over the 12 months to 30 June 2021 by quarter with the long term non-mortality exit rates and 2021-22 expected non-mortality exit rates based on 12 months to 30 June 2021 exposures.&#10;The 0-6 long term expected non-mortality exit rate is 3.09% and the 0 to 6 2021-22 expected non-mortality exit rate is 1.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descr="Bar and line chart showing actual versus expected non-mortality exits for participants aged 0 to 6. The graphs belowcompare actual non-mortality exit rates over the 12 months to 30 June 2021 by quarter with the long term non-mortality exit rates and 2021-22 expected non-mortality exit rates based on 12 months to 30 June 2021 exposures.&#10;The 0-6 long term expected non-mortality exit rate is 3.09% and the 0 to 6 2021-22 expected non-mortality exit rate is 1.02%&#10;"/>
                    <pic:cNvPicPr/>
                  </pic:nvPicPr>
                  <pic:blipFill>
                    <a:blip r:embed="rId60">
                      <a:extLst>
                        <a:ext uri="{28A0092B-C50C-407E-A947-70E740481C1C}">
                          <a14:useLocalDpi xmlns:a14="http://schemas.microsoft.com/office/drawing/2010/main" val="0"/>
                        </a:ext>
                      </a:extLst>
                    </a:blip>
                    <a:stretch>
                      <a:fillRect/>
                    </a:stretch>
                  </pic:blipFill>
                  <pic:spPr>
                    <a:xfrm>
                      <a:off x="0" y="0"/>
                      <a:ext cx="5745687" cy="2506696"/>
                    </a:xfrm>
                    <a:prstGeom prst="rect">
                      <a:avLst/>
                    </a:prstGeom>
                  </pic:spPr>
                </pic:pic>
              </a:graphicData>
            </a:graphic>
          </wp:inline>
        </w:drawing>
      </w:r>
    </w:p>
    <w:p w14:paraId="7A5BFA6C" w14:textId="12D380B1" w:rsidR="00D03880" w:rsidRPr="00D03880" w:rsidRDefault="00D03880" w:rsidP="00D03880">
      <w:pPr>
        <w:pStyle w:val="Figures"/>
      </w:pPr>
      <w:bookmarkStart w:id="197" w:name="_Ref76036729"/>
      <w:r w:rsidRPr="00D03880">
        <w:t xml:space="preserve">Figure </w:t>
      </w:r>
      <w:fldSimple w:instr=" SEQ Figure \* ARABIC ">
        <w:r w:rsidR="00E50032">
          <w:rPr>
            <w:noProof/>
          </w:rPr>
          <w:t>43</w:t>
        </w:r>
      </w:fldSimple>
      <w:bookmarkEnd w:id="197"/>
      <w:r w:rsidRPr="00D03880">
        <w:t xml:space="preserve"> Actual versus expected non-mortality exits for participants aged over 7</w:t>
      </w:r>
    </w:p>
    <w:p w14:paraId="35A2F1ED" w14:textId="3CFF8202" w:rsidR="00D03880" w:rsidRDefault="00D03880" w:rsidP="00D03880">
      <w:pPr>
        <w:pStyle w:val="FSRnormal"/>
      </w:pPr>
    </w:p>
    <w:p w14:paraId="4FD951FB" w14:textId="1996711E" w:rsidR="00D248E2" w:rsidRDefault="00DF0314" w:rsidP="00D03880">
      <w:pPr>
        <w:pStyle w:val="FSRnormal"/>
      </w:pPr>
      <w:r>
        <w:rPr>
          <w:noProof/>
          <w:lang w:eastAsia="en-AU"/>
        </w:rPr>
        <w:drawing>
          <wp:inline distT="0" distB="0" distL="0" distR="0" wp14:anchorId="3B7E4D3D" wp14:editId="7765DF9E">
            <wp:extent cx="5486400" cy="2411896"/>
            <wp:effectExtent l="0" t="0" r="0" b="1270"/>
            <wp:docPr id="506" name="Picture 506" descr="Bar and line chart showing actual versus expected non-mortality exits for participants aged 7 and over. The graphs below compare actual non-mortality exit rates over the 12 months to 30 June 2021 by quarter with the long term non-mortality exit rates and 2021-22 expected non-mortality exit rates based on 12 months to 30 June 2021 exposures.&#10;The 7+ long term expected non-mortality exit rate is 1.41% and the 7+ 2021-22 expected non-mortality exit rate is 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506" descr="Bar and line chart showing actual versus expected non-mortality exits for participants aged 7 and over. The graphs below compare actual non-mortality exit rates over the 12 months to 30 June 2021 by quarter with the long term non-mortality exit rates and 2021-22 expected non-mortality exit rates based on 12 months to 30 June 2021 exposures.&#10;The 7+ long term expected non-mortality exit rate is 1.41% and the 7+ 2021-22 expected non-mortality exit rate is 0.46%"/>
                    <pic:cNvPicPr/>
                  </pic:nvPicPr>
                  <pic:blipFill>
                    <a:blip r:embed="rId61">
                      <a:extLst>
                        <a:ext uri="{28A0092B-C50C-407E-A947-70E740481C1C}">
                          <a14:useLocalDpi xmlns:a14="http://schemas.microsoft.com/office/drawing/2010/main" val="0"/>
                        </a:ext>
                      </a:extLst>
                    </a:blip>
                    <a:stretch>
                      <a:fillRect/>
                    </a:stretch>
                  </pic:blipFill>
                  <pic:spPr>
                    <a:xfrm>
                      <a:off x="0" y="0"/>
                      <a:ext cx="5532762" cy="2432277"/>
                    </a:xfrm>
                    <a:prstGeom prst="rect">
                      <a:avLst/>
                    </a:prstGeom>
                  </pic:spPr>
                </pic:pic>
              </a:graphicData>
            </a:graphic>
          </wp:inline>
        </w:drawing>
      </w:r>
    </w:p>
    <w:p w14:paraId="33BF99FC" w14:textId="29BF0C12" w:rsidR="00A30FE5" w:rsidRDefault="004C0986" w:rsidP="00D03880">
      <w:pPr>
        <w:pStyle w:val="FSRnormal"/>
      </w:pPr>
      <w:r>
        <w:t>Past and projected S</w:t>
      </w:r>
      <w:r w:rsidR="00A30FE5">
        <w:t xml:space="preserve">cheme exits are shown in </w:t>
      </w:r>
      <w:r w:rsidRPr="00DF0314">
        <w:rPr>
          <w:u w:val="single"/>
        </w:rPr>
        <w:fldChar w:fldCharType="begin"/>
      </w:r>
      <w:r w:rsidRPr="00DF0314">
        <w:rPr>
          <w:u w:val="single"/>
        </w:rPr>
        <w:instrText xml:space="preserve"> REF _Ref82437795 \h </w:instrText>
      </w:r>
      <w:r w:rsidR="00DF0314">
        <w:rPr>
          <w:u w:val="single"/>
        </w:rPr>
        <w:instrText xml:space="preserve"> \* MERGEFORMAT </w:instrText>
      </w:r>
      <w:r w:rsidRPr="00DF0314">
        <w:rPr>
          <w:u w:val="single"/>
        </w:rPr>
      </w:r>
      <w:r w:rsidRPr="00DF0314">
        <w:rPr>
          <w:u w:val="single"/>
        </w:rPr>
        <w:fldChar w:fldCharType="separate"/>
      </w:r>
      <w:r w:rsidR="00E50032" w:rsidRPr="00E50032">
        <w:rPr>
          <w:u w:val="single"/>
        </w:rPr>
        <w:t xml:space="preserve">Figure </w:t>
      </w:r>
      <w:r w:rsidR="00E50032" w:rsidRPr="00E50032">
        <w:rPr>
          <w:noProof/>
          <w:u w:val="single"/>
        </w:rPr>
        <w:t>44</w:t>
      </w:r>
      <w:r w:rsidRPr="00DF0314">
        <w:rPr>
          <w:u w:val="single"/>
        </w:rPr>
        <w:fldChar w:fldCharType="end"/>
      </w:r>
      <w:r>
        <w:t xml:space="preserve"> which shows that exits are expected to increase from less than 7,000 in 2020-21 to over 20,000 per year by 2024-25</w:t>
      </w:r>
      <w:r w:rsidR="00D248E2">
        <w:t>, which result from an increase in the exit rate as well as the scheme population.</w:t>
      </w:r>
      <w:r>
        <w:t xml:space="preserve"> </w:t>
      </w:r>
    </w:p>
    <w:p w14:paraId="18E17D60" w14:textId="194B32C4" w:rsidR="004C0986" w:rsidRDefault="004C0986" w:rsidP="002606A8">
      <w:pPr>
        <w:pStyle w:val="Figures"/>
      </w:pPr>
      <w:bookmarkStart w:id="198" w:name="_Ref82437795"/>
      <w:r w:rsidRPr="00D03880">
        <w:lastRenderedPageBreak/>
        <w:t xml:space="preserve">Figure </w:t>
      </w:r>
      <w:fldSimple w:instr=" SEQ Figure \* ARABIC ">
        <w:r w:rsidR="00E50032">
          <w:rPr>
            <w:noProof/>
          </w:rPr>
          <w:t>44</w:t>
        </w:r>
      </w:fldSimple>
      <w:bookmarkEnd w:id="198"/>
      <w:r w:rsidRPr="00D03880">
        <w:t xml:space="preserve"> </w:t>
      </w:r>
      <w:r>
        <w:t xml:space="preserve">Past and projected </w:t>
      </w:r>
      <w:r w:rsidR="004221ED">
        <w:t>e</w:t>
      </w:r>
      <w:r>
        <w:t>xits</w:t>
      </w:r>
    </w:p>
    <w:p w14:paraId="6C141342" w14:textId="3053930A" w:rsidR="004C0986" w:rsidRDefault="00F90CB5" w:rsidP="002606A8">
      <w:pPr>
        <w:pStyle w:val="Figures"/>
      </w:pPr>
      <w:r>
        <w:rPr>
          <w:noProof/>
          <w:lang w:eastAsia="en-AU"/>
        </w:rPr>
        <w:drawing>
          <wp:inline distT="0" distB="0" distL="0" distR="0" wp14:anchorId="113CA86C" wp14:editId="5F15FD24">
            <wp:extent cx="5635925" cy="2667000"/>
            <wp:effectExtent l="0" t="0" r="3175" b="0"/>
            <wp:docPr id="507" name="Picture 507" descr="Bar chart showing that exits are expected to increase from less than 7,000 in 2020-21 to over 20,000 per year by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descr="Bar chart showing that exits are expected to increase from less than 7,000 in 2020-21 to over 20,000 per year by 2024-25"/>
                    <pic:cNvPicPr/>
                  </pic:nvPicPr>
                  <pic:blipFill>
                    <a:blip r:embed="rId62">
                      <a:extLst>
                        <a:ext uri="{28A0092B-C50C-407E-A947-70E740481C1C}">
                          <a14:useLocalDpi xmlns:a14="http://schemas.microsoft.com/office/drawing/2010/main" val="0"/>
                        </a:ext>
                      </a:extLst>
                    </a:blip>
                    <a:stretch>
                      <a:fillRect/>
                    </a:stretch>
                  </pic:blipFill>
                  <pic:spPr>
                    <a:xfrm>
                      <a:off x="0" y="0"/>
                      <a:ext cx="5652156" cy="2674681"/>
                    </a:xfrm>
                    <a:prstGeom prst="rect">
                      <a:avLst/>
                    </a:prstGeom>
                  </pic:spPr>
                </pic:pic>
              </a:graphicData>
            </a:graphic>
          </wp:inline>
        </w:drawing>
      </w:r>
    </w:p>
    <w:p w14:paraId="08E64F13" w14:textId="71BB3953" w:rsidR="00D03880" w:rsidRPr="00C578EB" w:rsidRDefault="00D03880" w:rsidP="00D03880">
      <w:pPr>
        <w:pStyle w:val="FSRHeading4"/>
      </w:pPr>
      <w:r>
        <w:t>Scheme population projection</w:t>
      </w:r>
    </w:p>
    <w:p w14:paraId="55241394" w14:textId="219FE80F" w:rsidR="00D03880" w:rsidRPr="00C578EB" w:rsidRDefault="00D03880" w:rsidP="00D03880">
      <w:pPr>
        <w:pStyle w:val="FSRnormal"/>
      </w:pPr>
      <w:r w:rsidRPr="00C578EB">
        <w:t xml:space="preserve">The expected number of participants at the end of each year is calculated as the starting participant population adding on participant intake and subtracting participant exits over the year. The resulting participant projection by age group is shown in </w:t>
      </w:r>
      <w:r w:rsidRPr="00F90CB5">
        <w:rPr>
          <w:u w:val="single"/>
        </w:rPr>
        <w:fldChar w:fldCharType="begin"/>
      </w:r>
      <w:r w:rsidRPr="00F90CB5">
        <w:rPr>
          <w:u w:val="single"/>
        </w:rPr>
        <w:instrText xml:space="preserve"> REF _Ref74848839 \h </w:instrText>
      </w:r>
      <w:r w:rsidR="00F90CB5">
        <w:rPr>
          <w:u w:val="single"/>
        </w:rPr>
        <w:instrText xml:space="preserve"> \* MERGEFORMAT </w:instrText>
      </w:r>
      <w:r w:rsidRPr="00F90CB5">
        <w:rPr>
          <w:u w:val="single"/>
        </w:rPr>
      </w:r>
      <w:r w:rsidRPr="00F90CB5">
        <w:rPr>
          <w:u w:val="single"/>
        </w:rPr>
        <w:fldChar w:fldCharType="separate"/>
      </w:r>
      <w:r w:rsidR="00E50032" w:rsidRPr="00E50032">
        <w:rPr>
          <w:u w:val="single"/>
        </w:rPr>
        <w:t xml:space="preserve">Table </w:t>
      </w:r>
      <w:r w:rsidR="00E50032" w:rsidRPr="00E50032">
        <w:rPr>
          <w:noProof/>
          <w:u w:val="single"/>
        </w:rPr>
        <w:t>23</w:t>
      </w:r>
      <w:r w:rsidRPr="00F90CB5">
        <w:rPr>
          <w:u w:val="single"/>
        </w:rPr>
        <w:fldChar w:fldCharType="end"/>
      </w:r>
      <w:r>
        <w:t xml:space="preserve"> </w:t>
      </w:r>
      <w:r w:rsidRPr="00C578EB">
        <w:t xml:space="preserve">below. </w:t>
      </w:r>
    </w:p>
    <w:p w14:paraId="641008D4" w14:textId="16824C9D" w:rsidR="00D03880" w:rsidRPr="00C578EB" w:rsidRDefault="00D03880" w:rsidP="00D03880">
      <w:pPr>
        <w:pStyle w:val="Tables"/>
      </w:pPr>
      <w:bookmarkStart w:id="199" w:name="_Ref74848839"/>
      <w:r w:rsidRPr="00C578EB">
        <w:t xml:space="preserve">Table </w:t>
      </w:r>
      <w:r w:rsidRPr="00597704">
        <w:fldChar w:fldCharType="begin"/>
      </w:r>
      <w:r w:rsidRPr="00C578EB">
        <w:instrText xml:space="preserve"> SEQ Table \* ARABIC </w:instrText>
      </w:r>
      <w:r w:rsidRPr="00597704">
        <w:fldChar w:fldCharType="separate"/>
      </w:r>
      <w:r w:rsidR="00E50032">
        <w:rPr>
          <w:noProof/>
        </w:rPr>
        <w:t>23</w:t>
      </w:r>
      <w:r w:rsidRPr="00597704">
        <w:fldChar w:fldCharType="end"/>
      </w:r>
      <w:bookmarkEnd w:id="199"/>
      <w:r w:rsidRPr="00C578EB">
        <w:t xml:space="preserve"> Projected participant numbers by age band</w:t>
      </w:r>
    </w:p>
    <w:p w14:paraId="08275208" w14:textId="77777777" w:rsidR="00254E48" w:rsidRPr="00C578EB" w:rsidRDefault="004C0986" w:rsidP="00D03880">
      <w:pPr>
        <w:pStyle w:val="FSRnormal"/>
      </w:pPr>
      <w:r w:rsidRPr="004C0986">
        <w:t xml:space="preserve"> </w:t>
      </w:r>
    </w:p>
    <w:tbl>
      <w:tblPr>
        <w:tblW w:w="9077" w:type="dxa"/>
        <w:jc w:val="center"/>
        <w:tblLook w:val="04A0" w:firstRow="1" w:lastRow="0" w:firstColumn="1" w:lastColumn="0" w:noHBand="0" w:noVBand="1"/>
      </w:tblPr>
      <w:tblGrid>
        <w:gridCol w:w="3243"/>
        <w:gridCol w:w="1156"/>
        <w:gridCol w:w="1134"/>
        <w:gridCol w:w="795"/>
        <w:gridCol w:w="965"/>
        <w:gridCol w:w="851"/>
        <w:gridCol w:w="992"/>
      </w:tblGrid>
      <w:tr w:rsidR="00254E48" w:rsidRPr="007F626D" w14:paraId="6450CAD5" w14:textId="77777777" w:rsidTr="00254E48">
        <w:trPr>
          <w:trHeight w:hRule="exact" w:val="340"/>
          <w:tblHeader/>
          <w:jc w:val="center"/>
        </w:trPr>
        <w:tc>
          <w:tcPr>
            <w:tcW w:w="3243" w:type="dxa"/>
            <w:tcBorders>
              <w:top w:val="single" w:sz="4" w:space="0" w:color="auto"/>
              <w:left w:val="single" w:sz="4" w:space="0" w:color="auto"/>
              <w:bottom w:val="single" w:sz="4" w:space="0" w:color="000000"/>
              <w:right w:val="single" w:sz="4" w:space="0" w:color="auto"/>
            </w:tcBorders>
            <w:shd w:val="clear" w:color="000000" w:fill="6B2F76"/>
            <w:hideMark/>
          </w:tcPr>
          <w:p w14:paraId="6782C090" w14:textId="77777777" w:rsidR="00254E48" w:rsidRPr="007F3923" w:rsidRDefault="00254E48" w:rsidP="00312E88">
            <w:pPr>
              <w:jc w:val="center"/>
              <w:rPr>
                <w:rFonts w:cs="Arial"/>
                <w:b/>
                <w:bCs/>
                <w:color w:val="FFFFFF"/>
                <w:sz w:val="16"/>
                <w:szCs w:val="16"/>
              </w:rPr>
            </w:pPr>
            <w:r w:rsidRPr="007F3923">
              <w:rPr>
                <w:rFonts w:cs="Arial"/>
                <w:b/>
                <w:bCs/>
                <w:color w:val="FFFFFF"/>
                <w:sz w:val="16"/>
                <w:szCs w:val="16"/>
              </w:rPr>
              <w:t>Number of participants As at 30 June</w:t>
            </w:r>
          </w:p>
        </w:tc>
        <w:tc>
          <w:tcPr>
            <w:tcW w:w="1156" w:type="dxa"/>
            <w:tcBorders>
              <w:top w:val="nil"/>
              <w:left w:val="nil"/>
              <w:bottom w:val="single" w:sz="4" w:space="0" w:color="auto"/>
              <w:right w:val="nil"/>
            </w:tcBorders>
            <w:shd w:val="clear" w:color="000000" w:fill="6B2976"/>
            <w:noWrap/>
            <w:hideMark/>
          </w:tcPr>
          <w:p w14:paraId="1E225557" w14:textId="77777777" w:rsidR="00254E48" w:rsidRPr="007F3923" w:rsidRDefault="00254E48" w:rsidP="00312E88">
            <w:pPr>
              <w:jc w:val="center"/>
              <w:rPr>
                <w:rFonts w:cs="Arial"/>
                <w:b/>
                <w:bCs/>
                <w:color w:val="FFFFFF"/>
                <w:sz w:val="16"/>
                <w:szCs w:val="16"/>
              </w:rPr>
            </w:pPr>
            <w:r w:rsidRPr="007F3923">
              <w:rPr>
                <w:rFonts w:cs="Arial"/>
                <w:b/>
                <w:bCs/>
                <w:color w:val="FFFFFF"/>
                <w:sz w:val="16"/>
                <w:szCs w:val="16"/>
              </w:rPr>
              <w:t>2021</w:t>
            </w:r>
          </w:p>
        </w:tc>
        <w:tc>
          <w:tcPr>
            <w:tcW w:w="1134" w:type="dxa"/>
            <w:tcBorders>
              <w:top w:val="nil"/>
              <w:left w:val="nil"/>
              <w:bottom w:val="single" w:sz="4" w:space="0" w:color="auto"/>
              <w:right w:val="nil"/>
            </w:tcBorders>
            <w:shd w:val="clear" w:color="000000" w:fill="6B2976"/>
            <w:noWrap/>
            <w:hideMark/>
          </w:tcPr>
          <w:p w14:paraId="2630BC34" w14:textId="77777777" w:rsidR="00254E48" w:rsidRPr="007F3923" w:rsidRDefault="00254E48" w:rsidP="00312E88">
            <w:pPr>
              <w:jc w:val="center"/>
              <w:rPr>
                <w:rFonts w:cs="Arial"/>
                <w:b/>
                <w:bCs/>
                <w:color w:val="FFFFFF"/>
                <w:sz w:val="16"/>
                <w:szCs w:val="16"/>
              </w:rPr>
            </w:pPr>
            <w:r w:rsidRPr="007F3923">
              <w:rPr>
                <w:rFonts w:cs="Arial"/>
                <w:b/>
                <w:bCs/>
                <w:color w:val="FFFFFF"/>
                <w:sz w:val="16"/>
                <w:szCs w:val="16"/>
              </w:rPr>
              <w:t>2022</w:t>
            </w:r>
          </w:p>
        </w:tc>
        <w:tc>
          <w:tcPr>
            <w:tcW w:w="736" w:type="dxa"/>
            <w:tcBorders>
              <w:top w:val="nil"/>
              <w:left w:val="nil"/>
              <w:bottom w:val="single" w:sz="4" w:space="0" w:color="auto"/>
              <w:right w:val="nil"/>
            </w:tcBorders>
            <w:shd w:val="clear" w:color="000000" w:fill="6B2976"/>
            <w:noWrap/>
            <w:hideMark/>
          </w:tcPr>
          <w:p w14:paraId="36B0E950" w14:textId="77777777" w:rsidR="00254E48" w:rsidRPr="007F3923" w:rsidRDefault="00254E48" w:rsidP="00312E88">
            <w:pPr>
              <w:jc w:val="center"/>
              <w:rPr>
                <w:rFonts w:cs="Arial"/>
                <w:b/>
                <w:bCs/>
                <w:color w:val="FFFFFF"/>
                <w:sz w:val="16"/>
                <w:szCs w:val="16"/>
              </w:rPr>
            </w:pPr>
            <w:r w:rsidRPr="007F3923">
              <w:rPr>
                <w:rFonts w:cs="Arial"/>
                <w:b/>
                <w:bCs/>
                <w:color w:val="FFFFFF"/>
                <w:sz w:val="16"/>
                <w:szCs w:val="16"/>
              </w:rPr>
              <w:t>2023</w:t>
            </w:r>
          </w:p>
        </w:tc>
        <w:tc>
          <w:tcPr>
            <w:tcW w:w="965" w:type="dxa"/>
            <w:tcBorders>
              <w:top w:val="nil"/>
              <w:left w:val="nil"/>
              <w:bottom w:val="single" w:sz="4" w:space="0" w:color="auto"/>
              <w:right w:val="nil"/>
            </w:tcBorders>
            <w:shd w:val="clear" w:color="000000" w:fill="6B2976"/>
            <w:noWrap/>
            <w:hideMark/>
          </w:tcPr>
          <w:p w14:paraId="3BF37469" w14:textId="77777777" w:rsidR="00254E48" w:rsidRPr="007F3923" w:rsidRDefault="00254E48" w:rsidP="00312E88">
            <w:pPr>
              <w:jc w:val="center"/>
              <w:rPr>
                <w:rFonts w:cs="Arial"/>
                <w:b/>
                <w:bCs/>
                <w:color w:val="FFFFFF"/>
                <w:sz w:val="16"/>
                <w:szCs w:val="16"/>
              </w:rPr>
            </w:pPr>
            <w:r w:rsidRPr="007F3923">
              <w:rPr>
                <w:rFonts w:cs="Arial"/>
                <w:b/>
                <w:bCs/>
                <w:color w:val="FFFFFF"/>
                <w:sz w:val="16"/>
                <w:szCs w:val="16"/>
              </w:rPr>
              <w:t>2024</w:t>
            </w:r>
          </w:p>
        </w:tc>
        <w:tc>
          <w:tcPr>
            <w:tcW w:w="851" w:type="dxa"/>
            <w:tcBorders>
              <w:top w:val="nil"/>
              <w:left w:val="nil"/>
              <w:bottom w:val="single" w:sz="4" w:space="0" w:color="auto"/>
              <w:right w:val="nil"/>
            </w:tcBorders>
            <w:shd w:val="clear" w:color="000000" w:fill="6B2976"/>
            <w:noWrap/>
            <w:hideMark/>
          </w:tcPr>
          <w:p w14:paraId="05C5AB87" w14:textId="77777777" w:rsidR="00254E48" w:rsidRPr="007F3923" w:rsidRDefault="00254E48" w:rsidP="00312E88">
            <w:pPr>
              <w:jc w:val="center"/>
              <w:rPr>
                <w:rFonts w:cs="Arial"/>
                <w:b/>
                <w:bCs/>
                <w:color w:val="FFFFFF"/>
                <w:sz w:val="16"/>
                <w:szCs w:val="16"/>
              </w:rPr>
            </w:pPr>
            <w:r w:rsidRPr="007F3923">
              <w:rPr>
                <w:rFonts w:cs="Arial"/>
                <w:b/>
                <w:bCs/>
                <w:color w:val="FFFFFF"/>
                <w:sz w:val="16"/>
                <w:szCs w:val="16"/>
              </w:rPr>
              <w:t>2025</w:t>
            </w:r>
          </w:p>
        </w:tc>
        <w:tc>
          <w:tcPr>
            <w:tcW w:w="992" w:type="dxa"/>
            <w:tcBorders>
              <w:top w:val="single" w:sz="4" w:space="0" w:color="auto"/>
              <w:left w:val="dotted" w:sz="4" w:space="0" w:color="auto"/>
              <w:bottom w:val="single" w:sz="4" w:space="0" w:color="auto"/>
              <w:right w:val="single" w:sz="4" w:space="0" w:color="auto"/>
            </w:tcBorders>
            <w:shd w:val="clear" w:color="000000" w:fill="6B2976"/>
            <w:noWrap/>
            <w:hideMark/>
          </w:tcPr>
          <w:p w14:paraId="0B52032F" w14:textId="77777777" w:rsidR="00254E48" w:rsidRPr="007F3923" w:rsidRDefault="00254E48" w:rsidP="00312E88">
            <w:pPr>
              <w:jc w:val="center"/>
              <w:rPr>
                <w:rFonts w:cs="Arial"/>
                <w:b/>
                <w:bCs/>
                <w:color w:val="FFFFFF"/>
                <w:sz w:val="16"/>
                <w:szCs w:val="16"/>
              </w:rPr>
            </w:pPr>
            <w:r w:rsidRPr="007F3923">
              <w:rPr>
                <w:rFonts w:cs="Arial"/>
                <w:b/>
                <w:bCs/>
                <w:color w:val="FFFFFF"/>
                <w:sz w:val="16"/>
                <w:szCs w:val="16"/>
              </w:rPr>
              <w:t>2030</w:t>
            </w:r>
          </w:p>
        </w:tc>
      </w:tr>
      <w:tr w:rsidR="00254E48" w:rsidRPr="007F626D" w14:paraId="6E30AD02" w14:textId="77777777" w:rsidTr="00254E48">
        <w:trPr>
          <w:trHeight w:hRule="exact" w:val="340"/>
          <w:jc w:val="center"/>
        </w:trPr>
        <w:tc>
          <w:tcPr>
            <w:tcW w:w="3243" w:type="dxa"/>
            <w:tcBorders>
              <w:top w:val="nil"/>
              <w:left w:val="single" w:sz="4" w:space="0" w:color="auto"/>
              <w:bottom w:val="nil"/>
              <w:right w:val="single" w:sz="4" w:space="0" w:color="auto"/>
            </w:tcBorders>
            <w:shd w:val="clear" w:color="auto" w:fill="auto"/>
            <w:noWrap/>
            <w:hideMark/>
          </w:tcPr>
          <w:p w14:paraId="0A824664" w14:textId="77777777" w:rsidR="00254E48" w:rsidRPr="007F3923" w:rsidRDefault="00254E48" w:rsidP="00312E88">
            <w:pPr>
              <w:rPr>
                <w:rFonts w:cs="Arial"/>
                <w:color w:val="000000"/>
                <w:sz w:val="16"/>
                <w:szCs w:val="16"/>
              </w:rPr>
            </w:pPr>
            <w:r w:rsidRPr="007F3923">
              <w:rPr>
                <w:rFonts w:cs="Arial"/>
                <w:color w:val="000000"/>
                <w:sz w:val="16"/>
                <w:szCs w:val="16"/>
              </w:rPr>
              <w:t>Children (0 to 14)</w:t>
            </w:r>
          </w:p>
        </w:tc>
        <w:tc>
          <w:tcPr>
            <w:tcW w:w="1156" w:type="dxa"/>
            <w:tcBorders>
              <w:top w:val="nil"/>
              <w:left w:val="nil"/>
              <w:bottom w:val="nil"/>
              <w:right w:val="nil"/>
            </w:tcBorders>
            <w:shd w:val="clear" w:color="auto" w:fill="auto"/>
            <w:noWrap/>
            <w:hideMark/>
          </w:tcPr>
          <w:p w14:paraId="42D32B37" w14:textId="77777777" w:rsidR="00254E48" w:rsidRPr="007F3923" w:rsidRDefault="00254E48" w:rsidP="00312E88">
            <w:pPr>
              <w:jc w:val="right"/>
              <w:rPr>
                <w:rFonts w:cs="Arial"/>
                <w:color w:val="000000"/>
                <w:sz w:val="16"/>
                <w:szCs w:val="16"/>
              </w:rPr>
            </w:pPr>
            <w:r w:rsidRPr="007F3923">
              <w:rPr>
                <w:rFonts w:cs="Arial"/>
                <w:color w:val="000000"/>
                <w:sz w:val="16"/>
                <w:szCs w:val="16"/>
              </w:rPr>
              <w:t>192,870</w:t>
            </w:r>
          </w:p>
        </w:tc>
        <w:tc>
          <w:tcPr>
            <w:tcW w:w="1134" w:type="dxa"/>
            <w:tcBorders>
              <w:top w:val="nil"/>
              <w:left w:val="nil"/>
              <w:bottom w:val="nil"/>
              <w:right w:val="nil"/>
            </w:tcBorders>
            <w:shd w:val="clear" w:color="auto" w:fill="auto"/>
            <w:noWrap/>
            <w:hideMark/>
          </w:tcPr>
          <w:p w14:paraId="3A2DC25C" w14:textId="77777777" w:rsidR="00254E48" w:rsidRPr="007F3923" w:rsidRDefault="00254E48" w:rsidP="00312E88">
            <w:pPr>
              <w:jc w:val="right"/>
              <w:rPr>
                <w:rFonts w:cs="Arial"/>
                <w:color w:val="000000"/>
                <w:sz w:val="16"/>
                <w:szCs w:val="16"/>
              </w:rPr>
            </w:pPr>
            <w:r w:rsidRPr="007F3923">
              <w:rPr>
                <w:rFonts w:cs="Arial"/>
                <w:color w:val="000000"/>
                <w:sz w:val="16"/>
                <w:szCs w:val="16"/>
              </w:rPr>
              <w:t>222,274</w:t>
            </w:r>
          </w:p>
        </w:tc>
        <w:tc>
          <w:tcPr>
            <w:tcW w:w="736" w:type="dxa"/>
            <w:tcBorders>
              <w:top w:val="nil"/>
              <w:left w:val="nil"/>
              <w:bottom w:val="nil"/>
              <w:right w:val="nil"/>
            </w:tcBorders>
            <w:shd w:val="clear" w:color="auto" w:fill="auto"/>
            <w:noWrap/>
            <w:hideMark/>
          </w:tcPr>
          <w:p w14:paraId="0886140C" w14:textId="77777777" w:rsidR="00254E48" w:rsidRPr="007F3923" w:rsidRDefault="00254E48" w:rsidP="00312E88">
            <w:pPr>
              <w:jc w:val="right"/>
              <w:rPr>
                <w:rFonts w:cs="Arial"/>
                <w:color w:val="000000"/>
                <w:sz w:val="16"/>
                <w:szCs w:val="16"/>
              </w:rPr>
            </w:pPr>
            <w:r w:rsidRPr="007F3923">
              <w:rPr>
                <w:rFonts w:cs="Arial"/>
                <w:color w:val="000000"/>
                <w:sz w:val="16"/>
                <w:szCs w:val="16"/>
              </w:rPr>
              <w:t>246,098</w:t>
            </w:r>
          </w:p>
        </w:tc>
        <w:tc>
          <w:tcPr>
            <w:tcW w:w="965" w:type="dxa"/>
            <w:tcBorders>
              <w:top w:val="nil"/>
              <w:left w:val="nil"/>
              <w:bottom w:val="nil"/>
              <w:right w:val="nil"/>
            </w:tcBorders>
            <w:shd w:val="clear" w:color="auto" w:fill="auto"/>
            <w:noWrap/>
            <w:hideMark/>
          </w:tcPr>
          <w:p w14:paraId="1ABBD4EC" w14:textId="77777777" w:rsidR="00254E48" w:rsidRPr="007F3923" w:rsidRDefault="00254E48" w:rsidP="00312E88">
            <w:pPr>
              <w:jc w:val="right"/>
              <w:rPr>
                <w:rFonts w:cs="Arial"/>
                <w:color w:val="000000"/>
                <w:sz w:val="16"/>
                <w:szCs w:val="16"/>
              </w:rPr>
            </w:pPr>
            <w:r w:rsidRPr="007F3923">
              <w:rPr>
                <w:rFonts w:cs="Arial"/>
                <w:color w:val="000000"/>
                <w:sz w:val="16"/>
                <w:szCs w:val="16"/>
              </w:rPr>
              <w:t>262,728</w:t>
            </w:r>
          </w:p>
        </w:tc>
        <w:tc>
          <w:tcPr>
            <w:tcW w:w="851" w:type="dxa"/>
            <w:tcBorders>
              <w:top w:val="nil"/>
              <w:left w:val="nil"/>
              <w:bottom w:val="nil"/>
              <w:right w:val="nil"/>
            </w:tcBorders>
            <w:shd w:val="clear" w:color="auto" w:fill="auto"/>
            <w:noWrap/>
            <w:hideMark/>
          </w:tcPr>
          <w:p w14:paraId="32E41CEE" w14:textId="77777777" w:rsidR="00254E48" w:rsidRPr="007F3923" w:rsidRDefault="00254E48" w:rsidP="00312E88">
            <w:pPr>
              <w:jc w:val="right"/>
              <w:rPr>
                <w:rFonts w:cs="Arial"/>
                <w:color w:val="000000"/>
                <w:sz w:val="16"/>
                <w:szCs w:val="16"/>
              </w:rPr>
            </w:pPr>
            <w:r w:rsidRPr="007F3923">
              <w:rPr>
                <w:rFonts w:cs="Arial"/>
                <w:color w:val="000000"/>
                <w:sz w:val="16"/>
                <w:szCs w:val="16"/>
              </w:rPr>
              <w:t>275,599</w:t>
            </w:r>
          </w:p>
        </w:tc>
        <w:tc>
          <w:tcPr>
            <w:tcW w:w="992" w:type="dxa"/>
            <w:tcBorders>
              <w:top w:val="nil"/>
              <w:left w:val="dotted" w:sz="4" w:space="0" w:color="auto"/>
              <w:bottom w:val="nil"/>
              <w:right w:val="single" w:sz="4" w:space="0" w:color="auto"/>
            </w:tcBorders>
            <w:shd w:val="clear" w:color="auto" w:fill="auto"/>
            <w:noWrap/>
            <w:hideMark/>
          </w:tcPr>
          <w:p w14:paraId="74369CF7" w14:textId="77777777" w:rsidR="00254E48" w:rsidRPr="007F3923" w:rsidRDefault="00254E48" w:rsidP="00312E88">
            <w:pPr>
              <w:jc w:val="right"/>
              <w:rPr>
                <w:rFonts w:cs="Arial"/>
                <w:color w:val="000000"/>
                <w:sz w:val="16"/>
                <w:szCs w:val="16"/>
              </w:rPr>
            </w:pPr>
            <w:r w:rsidRPr="007F3923">
              <w:rPr>
                <w:rFonts w:cs="Arial"/>
                <w:color w:val="000000"/>
                <w:sz w:val="16"/>
                <w:szCs w:val="16"/>
              </w:rPr>
              <w:t>315,719</w:t>
            </w:r>
          </w:p>
        </w:tc>
      </w:tr>
      <w:tr w:rsidR="00254E48" w:rsidRPr="007F626D" w14:paraId="18EE5272" w14:textId="77777777" w:rsidTr="00254E48">
        <w:trPr>
          <w:trHeight w:hRule="exact" w:val="340"/>
          <w:jc w:val="center"/>
        </w:trPr>
        <w:tc>
          <w:tcPr>
            <w:tcW w:w="3243" w:type="dxa"/>
            <w:tcBorders>
              <w:top w:val="nil"/>
              <w:left w:val="single" w:sz="4" w:space="0" w:color="auto"/>
              <w:bottom w:val="nil"/>
              <w:right w:val="single" w:sz="4" w:space="0" w:color="auto"/>
            </w:tcBorders>
            <w:shd w:val="clear" w:color="auto" w:fill="auto"/>
            <w:noWrap/>
            <w:hideMark/>
          </w:tcPr>
          <w:p w14:paraId="5C6A1A8A" w14:textId="77777777" w:rsidR="00254E48" w:rsidRPr="007F3923" w:rsidRDefault="00254E48" w:rsidP="00312E88">
            <w:pPr>
              <w:rPr>
                <w:rFonts w:cs="Arial"/>
                <w:color w:val="000000"/>
                <w:sz w:val="16"/>
                <w:szCs w:val="16"/>
              </w:rPr>
            </w:pPr>
            <w:r w:rsidRPr="007F3923">
              <w:rPr>
                <w:rFonts w:cs="Arial"/>
                <w:color w:val="000000"/>
                <w:sz w:val="16"/>
                <w:szCs w:val="16"/>
              </w:rPr>
              <w:t>Young adults (15 to 24)</w:t>
            </w:r>
          </w:p>
        </w:tc>
        <w:tc>
          <w:tcPr>
            <w:tcW w:w="1156" w:type="dxa"/>
            <w:tcBorders>
              <w:top w:val="nil"/>
              <w:left w:val="nil"/>
              <w:bottom w:val="nil"/>
              <w:right w:val="nil"/>
            </w:tcBorders>
            <w:shd w:val="clear" w:color="auto" w:fill="auto"/>
            <w:noWrap/>
            <w:hideMark/>
          </w:tcPr>
          <w:p w14:paraId="6D8900DD" w14:textId="77777777" w:rsidR="00254E48" w:rsidRPr="007F3923" w:rsidRDefault="00254E48" w:rsidP="00312E88">
            <w:pPr>
              <w:jc w:val="right"/>
              <w:rPr>
                <w:rFonts w:cs="Arial"/>
                <w:color w:val="000000"/>
                <w:sz w:val="16"/>
                <w:szCs w:val="16"/>
              </w:rPr>
            </w:pPr>
            <w:r w:rsidRPr="007F3923">
              <w:rPr>
                <w:rFonts w:cs="Arial"/>
                <w:color w:val="000000"/>
                <w:sz w:val="16"/>
                <w:szCs w:val="16"/>
              </w:rPr>
              <w:t>74,213</w:t>
            </w:r>
          </w:p>
        </w:tc>
        <w:tc>
          <w:tcPr>
            <w:tcW w:w="1134" w:type="dxa"/>
            <w:tcBorders>
              <w:top w:val="nil"/>
              <w:left w:val="nil"/>
              <w:bottom w:val="nil"/>
              <w:right w:val="nil"/>
            </w:tcBorders>
            <w:shd w:val="clear" w:color="auto" w:fill="auto"/>
            <w:noWrap/>
            <w:hideMark/>
          </w:tcPr>
          <w:p w14:paraId="3BF30B3B" w14:textId="77777777" w:rsidR="00254E48" w:rsidRPr="007F3923" w:rsidRDefault="00254E48" w:rsidP="00312E88">
            <w:pPr>
              <w:jc w:val="right"/>
              <w:rPr>
                <w:rFonts w:cs="Arial"/>
                <w:color w:val="000000"/>
                <w:sz w:val="16"/>
                <w:szCs w:val="16"/>
              </w:rPr>
            </w:pPr>
            <w:r w:rsidRPr="007F3923">
              <w:rPr>
                <w:rFonts w:cs="Arial"/>
                <w:color w:val="000000"/>
                <w:sz w:val="16"/>
                <w:szCs w:val="16"/>
              </w:rPr>
              <w:t>86,267</w:t>
            </w:r>
          </w:p>
        </w:tc>
        <w:tc>
          <w:tcPr>
            <w:tcW w:w="736" w:type="dxa"/>
            <w:tcBorders>
              <w:top w:val="nil"/>
              <w:left w:val="nil"/>
              <w:bottom w:val="nil"/>
              <w:right w:val="nil"/>
            </w:tcBorders>
            <w:shd w:val="clear" w:color="auto" w:fill="auto"/>
            <w:noWrap/>
            <w:hideMark/>
          </w:tcPr>
          <w:p w14:paraId="7602B477" w14:textId="77777777" w:rsidR="00254E48" w:rsidRPr="007F3923" w:rsidRDefault="00254E48" w:rsidP="00312E88">
            <w:pPr>
              <w:jc w:val="right"/>
              <w:rPr>
                <w:rFonts w:cs="Arial"/>
                <w:color w:val="000000"/>
                <w:sz w:val="16"/>
                <w:szCs w:val="16"/>
              </w:rPr>
            </w:pPr>
            <w:r w:rsidRPr="007F3923">
              <w:rPr>
                <w:rFonts w:cs="Arial"/>
                <w:color w:val="000000"/>
                <w:sz w:val="16"/>
                <w:szCs w:val="16"/>
              </w:rPr>
              <w:t>98,193</w:t>
            </w:r>
          </w:p>
        </w:tc>
        <w:tc>
          <w:tcPr>
            <w:tcW w:w="965" w:type="dxa"/>
            <w:tcBorders>
              <w:top w:val="nil"/>
              <w:left w:val="nil"/>
              <w:bottom w:val="nil"/>
              <w:right w:val="nil"/>
            </w:tcBorders>
            <w:shd w:val="clear" w:color="auto" w:fill="auto"/>
            <w:noWrap/>
            <w:hideMark/>
          </w:tcPr>
          <w:p w14:paraId="60D237DC" w14:textId="77777777" w:rsidR="00254E48" w:rsidRPr="007F3923" w:rsidRDefault="00254E48" w:rsidP="00312E88">
            <w:pPr>
              <w:jc w:val="right"/>
              <w:rPr>
                <w:rFonts w:cs="Arial"/>
                <w:color w:val="000000"/>
                <w:sz w:val="16"/>
                <w:szCs w:val="16"/>
              </w:rPr>
            </w:pPr>
            <w:r w:rsidRPr="007F3923">
              <w:rPr>
                <w:rFonts w:cs="Arial"/>
                <w:color w:val="000000"/>
                <w:sz w:val="16"/>
                <w:szCs w:val="16"/>
              </w:rPr>
              <w:t>109,819</w:t>
            </w:r>
          </w:p>
        </w:tc>
        <w:tc>
          <w:tcPr>
            <w:tcW w:w="851" w:type="dxa"/>
            <w:tcBorders>
              <w:top w:val="nil"/>
              <w:left w:val="nil"/>
              <w:bottom w:val="nil"/>
              <w:right w:val="nil"/>
            </w:tcBorders>
            <w:shd w:val="clear" w:color="auto" w:fill="auto"/>
            <w:noWrap/>
            <w:hideMark/>
          </w:tcPr>
          <w:p w14:paraId="7BB5CBDC" w14:textId="77777777" w:rsidR="00254E48" w:rsidRPr="007F3923" w:rsidRDefault="00254E48" w:rsidP="00312E88">
            <w:pPr>
              <w:jc w:val="right"/>
              <w:rPr>
                <w:rFonts w:cs="Arial"/>
                <w:color w:val="000000"/>
                <w:sz w:val="16"/>
                <w:szCs w:val="16"/>
              </w:rPr>
            </w:pPr>
            <w:r w:rsidRPr="007F3923">
              <w:rPr>
                <w:rFonts w:cs="Arial"/>
                <w:color w:val="000000"/>
                <w:sz w:val="16"/>
                <w:szCs w:val="16"/>
              </w:rPr>
              <w:t>121,833</w:t>
            </w:r>
          </w:p>
        </w:tc>
        <w:tc>
          <w:tcPr>
            <w:tcW w:w="992" w:type="dxa"/>
            <w:tcBorders>
              <w:top w:val="nil"/>
              <w:left w:val="dotted" w:sz="4" w:space="0" w:color="auto"/>
              <w:bottom w:val="nil"/>
              <w:right w:val="single" w:sz="4" w:space="0" w:color="auto"/>
            </w:tcBorders>
            <w:shd w:val="clear" w:color="auto" w:fill="auto"/>
            <w:noWrap/>
            <w:hideMark/>
          </w:tcPr>
          <w:p w14:paraId="085AA811" w14:textId="77777777" w:rsidR="00254E48" w:rsidRPr="007F3923" w:rsidRDefault="00254E48" w:rsidP="00312E88">
            <w:pPr>
              <w:jc w:val="right"/>
              <w:rPr>
                <w:rFonts w:cs="Arial"/>
                <w:color w:val="000000"/>
                <w:sz w:val="16"/>
                <w:szCs w:val="16"/>
              </w:rPr>
            </w:pPr>
            <w:r w:rsidRPr="007F3923">
              <w:rPr>
                <w:rFonts w:cs="Arial"/>
                <w:color w:val="000000"/>
                <w:sz w:val="16"/>
                <w:szCs w:val="16"/>
              </w:rPr>
              <w:t>191,015</w:t>
            </w:r>
          </w:p>
        </w:tc>
      </w:tr>
      <w:tr w:rsidR="00254E48" w:rsidRPr="007F626D" w14:paraId="7EAAFF56" w14:textId="77777777" w:rsidTr="00254E48">
        <w:trPr>
          <w:trHeight w:hRule="exact" w:val="340"/>
          <w:jc w:val="center"/>
        </w:trPr>
        <w:tc>
          <w:tcPr>
            <w:tcW w:w="3243" w:type="dxa"/>
            <w:tcBorders>
              <w:top w:val="nil"/>
              <w:left w:val="single" w:sz="4" w:space="0" w:color="auto"/>
              <w:bottom w:val="nil"/>
              <w:right w:val="single" w:sz="4" w:space="0" w:color="auto"/>
            </w:tcBorders>
            <w:shd w:val="clear" w:color="auto" w:fill="auto"/>
            <w:noWrap/>
            <w:hideMark/>
          </w:tcPr>
          <w:p w14:paraId="09DD90B8" w14:textId="77777777" w:rsidR="00254E48" w:rsidRPr="007F3923" w:rsidRDefault="00254E48" w:rsidP="00312E88">
            <w:pPr>
              <w:rPr>
                <w:rFonts w:cs="Arial"/>
                <w:color w:val="000000"/>
                <w:sz w:val="16"/>
                <w:szCs w:val="16"/>
              </w:rPr>
            </w:pPr>
            <w:r w:rsidRPr="007F3923">
              <w:rPr>
                <w:rFonts w:cs="Arial"/>
                <w:color w:val="000000"/>
                <w:sz w:val="16"/>
                <w:szCs w:val="16"/>
              </w:rPr>
              <w:t>Adults (25 to 64)</w:t>
            </w:r>
          </w:p>
        </w:tc>
        <w:tc>
          <w:tcPr>
            <w:tcW w:w="1156" w:type="dxa"/>
            <w:tcBorders>
              <w:top w:val="nil"/>
              <w:left w:val="nil"/>
              <w:bottom w:val="nil"/>
              <w:right w:val="nil"/>
            </w:tcBorders>
            <w:shd w:val="clear" w:color="auto" w:fill="auto"/>
            <w:noWrap/>
            <w:hideMark/>
          </w:tcPr>
          <w:p w14:paraId="1405AA41" w14:textId="77777777" w:rsidR="00254E48" w:rsidRPr="007F3923" w:rsidRDefault="00254E48" w:rsidP="00312E88">
            <w:pPr>
              <w:jc w:val="right"/>
              <w:rPr>
                <w:rFonts w:cs="Arial"/>
                <w:color w:val="000000"/>
                <w:sz w:val="16"/>
                <w:szCs w:val="16"/>
              </w:rPr>
            </w:pPr>
            <w:r w:rsidRPr="007F3923">
              <w:rPr>
                <w:rFonts w:cs="Arial"/>
                <w:color w:val="000000"/>
                <w:sz w:val="16"/>
                <w:szCs w:val="16"/>
              </w:rPr>
              <w:t>182,955</w:t>
            </w:r>
          </w:p>
        </w:tc>
        <w:tc>
          <w:tcPr>
            <w:tcW w:w="1134" w:type="dxa"/>
            <w:tcBorders>
              <w:top w:val="nil"/>
              <w:left w:val="nil"/>
              <w:bottom w:val="nil"/>
              <w:right w:val="nil"/>
            </w:tcBorders>
            <w:shd w:val="clear" w:color="auto" w:fill="auto"/>
            <w:noWrap/>
            <w:hideMark/>
          </w:tcPr>
          <w:p w14:paraId="38613710" w14:textId="77777777" w:rsidR="00254E48" w:rsidRPr="007F3923" w:rsidRDefault="00254E48" w:rsidP="00312E88">
            <w:pPr>
              <w:jc w:val="right"/>
              <w:rPr>
                <w:rFonts w:cs="Arial"/>
                <w:color w:val="000000"/>
                <w:sz w:val="16"/>
                <w:szCs w:val="16"/>
              </w:rPr>
            </w:pPr>
            <w:r w:rsidRPr="007F3923">
              <w:rPr>
                <w:rFonts w:cs="Arial"/>
                <w:color w:val="000000"/>
                <w:sz w:val="16"/>
                <w:szCs w:val="16"/>
              </w:rPr>
              <w:t>200,433</w:t>
            </w:r>
          </w:p>
        </w:tc>
        <w:tc>
          <w:tcPr>
            <w:tcW w:w="736" w:type="dxa"/>
            <w:tcBorders>
              <w:top w:val="nil"/>
              <w:left w:val="nil"/>
              <w:bottom w:val="nil"/>
              <w:right w:val="nil"/>
            </w:tcBorders>
            <w:shd w:val="clear" w:color="auto" w:fill="auto"/>
            <w:noWrap/>
            <w:hideMark/>
          </w:tcPr>
          <w:p w14:paraId="048A242D" w14:textId="77777777" w:rsidR="00254E48" w:rsidRPr="007F3923" w:rsidRDefault="00254E48" w:rsidP="00312E88">
            <w:pPr>
              <w:jc w:val="right"/>
              <w:rPr>
                <w:rFonts w:cs="Arial"/>
                <w:color w:val="000000"/>
                <w:sz w:val="16"/>
                <w:szCs w:val="16"/>
              </w:rPr>
            </w:pPr>
            <w:r w:rsidRPr="007F3923">
              <w:rPr>
                <w:rFonts w:cs="Arial"/>
                <w:color w:val="000000"/>
                <w:sz w:val="16"/>
                <w:szCs w:val="16"/>
              </w:rPr>
              <w:t>215,555</w:t>
            </w:r>
          </w:p>
        </w:tc>
        <w:tc>
          <w:tcPr>
            <w:tcW w:w="965" w:type="dxa"/>
            <w:tcBorders>
              <w:top w:val="nil"/>
              <w:left w:val="nil"/>
              <w:bottom w:val="nil"/>
              <w:right w:val="nil"/>
            </w:tcBorders>
            <w:shd w:val="clear" w:color="auto" w:fill="auto"/>
            <w:noWrap/>
            <w:hideMark/>
          </w:tcPr>
          <w:p w14:paraId="429A9123" w14:textId="77777777" w:rsidR="00254E48" w:rsidRPr="007F3923" w:rsidRDefault="00254E48" w:rsidP="00312E88">
            <w:pPr>
              <w:jc w:val="right"/>
              <w:rPr>
                <w:rFonts w:cs="Arial"/>
                <w:color w:val="000000"/>
                <w:sz w:val="16"/>
                <w:szCs w:val="16"/>
              </w:rPr>
            </w:pPr>
            <w:r w:rsidRPr="007F3923">
              <w:rPr>
                <w:rFonts w:cs="Arial"/>
                <w:color w:val="000000"/>
                <w:sz w:val="16"/>
                <w:szCs w:val="16"/>
              </w:rPr>
              <w:t>225,943</w:t>
            </w:r>
          </w:p>
        </w:tc>
        <w:tc>
          <w:tcPr>
            <w:tcW w:w="851" w:type="dxa"/>
            <w:tcBorders>
              <w:top w:val="nil"/>
              <w:left w:val="nil"/>
              <w:bottom w:val="nil"/>
              <w:right w:val="nil"/>
            </w:tcBorders>
            <w:shd w:val="clear" w:color="auto" w:fill="auto"/>
            <w:noWrap/>
            <w:hideMark/>
          </w:tcPr>
          <w:p w14:paraId="3EBECDCC" w14:textId="77777777" w:rsidR="00254E48" w:rsidRPr="007F3923" w:rsidRDefault="00254E48" w:rsidP="00312E88">
            <w:pPr>
              <w:jc w:val="right"/>
              <w:rPr>
                <w:rFonts w:cs="Arial"/>
                <w:color w:val="000000"/>
                <w:sz w:val="16"/>
                <w:szCs w:val="16"/>
              </w:rPr>
            </w:pPr>
            <w:r w:rsidRPr="007F3923">
              <w:rPr>
                <w:rFonts w:cs="Arial"/>
                <w:color w:val="000000"/>
                <w:sz w:val="16"/>
                <w:szCs w:val="16"/>
              </w:rPr>
              <w:t>236,164</w:t>
            </w:r>
          </w:p>
        </w:tc>
        <w:tc>
          <w:tcPr>
            <w:tcW w:w="992" w:type="dxa"/>
            <w:tcBorders>
              <w:top w:val="nil"/>
              <w:left w:val="dotted" w:sz="4" w:space="0" w:color="auto"/>
              <w:bottom w:val="nil"/>
              <w:right w:val="single" w:sz="4" w:space="0" w:color="auto"/>
            </w:tcBorders>
            <w:shd w:val="clear" w:color="auto" w:fill="auto"/>
            <w:noWrap/>
            <w:hideMark/>
          </w:tcPr>
          <w:p w14:paraId="38E9DC08" w14:textId="77777777" w:rsidR="00254E48" w:rsidRPr="007F3923" w:rsidRDefault="00254E48" w:rsidP="00312E88">
            <w:pPr>
              <w:jc w:val="right"/>
              <w:rPr>
                <w:rFonts w:cs="Arial"/>
                <w:color w:val="000000"/>
                <w:sz w:val="16"/>
                <w:szCs w:val="16"/>
              </w:rPr>
            </w:pPr>
            <w:r w:rsidRPr="007F3923">
              <w:rPr>
                <w:rFonts w:cs="Arial"/>
                <w:color w:val="000000"/>
                <w:sz w:val="16"/>
                <w:szCs w:val="16"/>
              </w:rPr>
              <w:t>291,608</w:t>
            </w:r>
          </w:p>
        </w:tc>
      </w:tr>
      <w:tr w:rsidR="00254E48" w:rsidRPr="007F626D" w14:paraId="47AB32ED" w14:textId="77777777" w:rsidTr="00254E48">
        <w:trPr>
          <w:trHeight w:hRule="exact" w:val="340"/>
          <w:jc w:val="center"/>
        </w:trPr>
        <w:tc>
          <w:tcPr>
            <w:tcW w:w="3243" w:type="dxa"/>
            <w:tcBorders>
              <w:top w:val="nil"/>
              <w:left w:val="single" w:sz="4" w:space="0" w:color="auto"/>
              <w:bottom w:val="nil"/>
              <w:right w:val="single" w:sz="4" w:space="0" w:color="auto"/>
            </w:tcBorders>
            <w:shd w:val="clear" w:color="auto" w:fill="auto"/>
            <w:noWrap/>
            <w:hideMark/>
          </w:tcPr>
          <w:p w14:paraId="01127DAF" w14:textId="77777777" w:rsidR="00254E48" w:rsidRPr="007F3923" w:rsidRDefault="00254E48" w:rsidP="00312E88">
            <w:pPr>
              <w:rPr>
                <w:rFonts w:cs="Arial"/>
                <w:color w:val="000000"/>
                <w:sz w:val="16"/>
                <w:szCs w:val="16"/>
              </w:rPr>
            </w:pPr>
            <w:r w:rsidRPr="007F3923">
              <w:rPr>
                <w:rFonts w:cs="Arial"/>
                <w:color w:val="000000"/>
                <w:sz w:val="16"/>
                <w:szCs w:val="16"/>
              </w:rPr>
              <w:t>Older adults (65+)</w:t>
            </w:r>
          </w:p>
        </w:tc>
        <w:tc>
          <w:tcPr>
            <w:tcW w:w="1156" w:type="dxa"/>
            <w:tcBorders>
              <w:top w:val="nil"/>
              <w:left w:val="nil"/>
              <w:bottom w:val="nil"/>
              <w:right w:val="nil"/>
            </w:tcBorders>
            <w:shd w:val="clear" w:color="auto" w:fill="auto"/>
            <w:noWrap/>
            <w:hideMark/>
          </w:tcPr>
          <w:p w14:paraId="3D6C445E" w14:textId="77777777" w:rsidR="00254E48" w:rsidRPr="007F3923" w:rsidRDefault="00254E48" w:rsidP="00312E88">
            <w:pPr>
              <w:jc w:val="right"/>
              <w:rPr>
                <w:rFonts w:cs="Arial"/>
                <w:color w:val="000000"/>
                <w:sz w:val="16"/>
                <w:szCs w:val="16"/>
              </w:rPr>
            </w:pPr>
            <w:r w:rsidRPr="007F3923">
              <w:rPr>
                <w:rFonts w:cs="Arial"/>
                <w:color w:val="000000"/>
                <w:sz w:val="16"/>
                <w:szCs w:val="16"/>
              </w:rPr>
              <w:t>16,581</w:t>
            </w:r>
          </w:p>
        </w:tc>
        <w:tc>
          <w:tcPr>
            <w:tcW w:w="1134" w:type="dxa"/>
            <w:tcBorders>
              <w:top w:val="nil"/>
              <w:left w:val="nil"/>
              <w:bottom w:val="nil"/>
              <w:right w:val="nil"/>
            </w:tcBorders>
            <w:shd w:val="clear" w:color="auto" w:fill="auto"/>
            <w:noWrap/>
            <w:hideMark/>
          </w:tcPr>
          <w:p w14:paraId="7D87A0EA" w14:textId="77777777" w:rsidR="00254E48" w:rsidRPr="007F3923" w:rsidRDefault="00254E48" w:rsidP="00312E88">
            <w:pPr>
              <w:jc w:val="right"/>
              <w:rPr>
                <w:rFonts w:cs="Arial"/>
                <w:color w:val="000000"/>
                <w:sz w:val="16"/>
                <w:szCs w:val="16"/>
              </w:rPr>
            </w:pPr>
            <w:r w:rsidRPr="007F3923">
              <w:rPr>
                <w:rFonts w:cs="Arial"/>
                <w:color w:val="000000"/>
                <w:sz w:val="16"/>
                <w:szCs w:val="16"/>
              </w:rPr>
              <w:t>21,483</w:t>
            </w:r>
          </w:p>
        </w:tc>
        <w:tc>
          <w:tcPr>
            <w:tcW w:w="736" w:type="dxa"/>
            <w:tcBorders>
              <w:top w:val="nil"/>
              <w:left w:val="nil"/>
              <w:bottom w:val="nil"/>
              <w:right w:val="nil"/>
            </w:tcBorders>
            <w:shd w:val="clear" w:color="auto" w:fill="auto"/>
            <w:noWrap/>
            <w:hideMark/>
          </w:tcPr>
          <w:p w14:paraId="57352359" w14:textId="77777777" w:rsidR="00254E48" w:rsidRPr="007F3923" w:rsidRDefault="00254E48" w:rsidP="00312E88">
            <w:pPr>
              <w:jc w:val="right"/>
              <w:rPr>
                <w:rFonts w:cs="Arial"/>
                <w:color w:val="000000"/>
                <w:sz w:val="16"/>
                <w:szCs w:val="16"/>
              </w:rPr>
            </w:pPr>
            <w:r w:rsidRPr="007F3923">
              <w:rPr>
                <w:rFonts w:cs="Arial"/>
                <w:color w:val="000000"/>
                <w:sz w:val="16"/>
                <w:szCs w:val="16"/>
              </w:rPr>
              <w:t>26,587</w:t>
            </w:r>
          </w:p>
        </w:tc>
        <w:tc>
          <w:tcPr>
            <w:tcW w:w="965" w:type="dxa"/>
            <w:tcBorders>
              <w:top w:val="nil"/>
              <w:left w:val="nil"/>
              <w:bottom w:val="nil"/>
              <w:right w:val="nil"/>
            </w:tcBorders>
            <w:shd w:val="clear" w:color="auto" w:fill="auto"/>
            <w:noWrap/>
            <w:hideMark/>
          </w:tcPr>
          <w:p w14:paraId="2C99EE5E" w14:textId="77777777" w:rsidR="00254E48" w:rsidRPr="007F3923" w:rsidRDefault="00254E48" w:rsidP="00312E88">
            <w:pPr>
              <w:jc w:val="right"/>
              <w:rPr>
                <w:rFonts w:cs="Arial"/>
                <w:color w:val="000000"/>
                <w:sz w:val="16"/>
                <w:szCs w:val="16"/>
              </w:rPr>
            </w:pPr>
            <w:r w:rsidRPr="007F3923">
              <w:rPr>
                <w:rFonts w:cs="Arial"/>
                <w:color w:val="000000"/>
                <w:sz w:val="16"/>
                <w:szCs w:val="16"/>
              </w:rPr>
              <w:t>31,835</w:t>
            </w:r>
          </w:p>
        </w:tc>
        <w:tc>
          <w:tcPr>
            <w:tcW w:w="851" w:type="dxa"/>
            <w:tcBorders>
              <w:top w:val="nil"/>
              <w:left w:val="nil"/>
              <w:bottom w:val="nil"/>
              <w:right w:val="nil"/>
            </w:tcBorders>
            <w:shd w:val="clear" w:color="auto" w:fill="auto"/>
            <w:noWrap/>
            <w:hideMark/>
          </w:tcPr>
          <w:p w14:paraId="285A483E" w14:textId="77777777" w:rsidR="00254E48" w:rsidRPr="007F3923" w:rsidRDefault="00254E48" w:rsidP="00312E88">
            <w:pPr>
              <w:jc w:val="right"/>
              <w:rPr>
                <w:rFonts w:cs="Arial"/>
                <w:color w:val="000000"/>
                <w:sz w:val="16"/>
                <w:szCs w:val="16"/>
              </w:rPr>
            </w:pPr>
            <w:r w:rsidRPr="007F3923">
              <w:rPr>
                <w:rFonts w:cs="Arial"/>
                <w:color w:val="000000"/>
                <w:sz w:val="16"/>
                <w:szCs w:val="16"/>
              </w:rPr>
              <w:t>36,804</w:t>
            </w:r>
          </w:p>
        </w:tc>
        <w:tc>
          <w:tcPr>
            <w:tcW w:w="992" w:type="dxa"/>
            <w:tcBorders>
              <w:top w:val="nil"/>
              <w:left w:val="dotted" w:sz="4" w:space="0" w:color="auto"/>
              <w:bottom w:val="nil"/>
              <w:right w:val="single" w:sz="4" w:space="0" w:color="auto"/>
            </w:tcBorders>
            <w:shd w:val="clear" w:color="auto" w:fill="auto"/>
            <w:noWrap/>
            <w:hideMark/>
          </w:tcPr>
          <w:p w14:paraId="2A923FED" w14:textId="77777777" w:rsidR="00254E48" w:rsidRPr="007F3923" w:rsidRDefault="00254E48" w:rsidP="00312E88">
            <w:pPr>
              <w:jc w:val="right"/>
              <w:rPr>
                <w:rFonts w:cs="Arial"/>
                <w:color w:val="000000"/>
                <w:sz w:val="16"/>
                <w:szCs w:val="16"/>
              </w:rPr>
            </w:pPr>
            <w:r w:rsidRPr="007F3923">
              <w:rPr>
                <w:rFonts w:cs="Arial"/>
                <w:color w:val="000000"/>
                <w:sz w:val="16"/>
                <w:szCs w:val="16"/>
              </w:rPr>
              <w:t>60,987</w:t>
            </w:r>
          </w:p>
        </w:tc>
      </w:tr>
      <w:tr w:rsidR="00254E48" w:rsidRPr="007F626D" w14:paraId="571D3F2B" w14:textId="77777777" w:rsidTr="00254E48">
        <w:trPr>
          <w:trHeight w:hRule="exact" w:val="340"/>
          <w:jc w:val="center"/>
        </w:trPr>
        <w:tc>
          <w:tcPr>
            <w:tcW w:w="3243" w:type="dxa"/>
            <w:tcBorders>
              <w:top w:val="single" w:sz="4" w:space="0" w:color="auto"/>
              <w:left w:val="single" w:sz="4" w:space="0" w:color="auto"/>
              <w:bottom w:val="single" w:sz="4" w:space="0" w:color="auto"/>
              <w:right w:val="single" w:sz="4" w:space="0" w:color="auto"/>
            </w:tcBorders>
            <w:shd w:val="clear" w:color="000000" w:fill="F7EEF7"/>
            <w:noWrap/>
            <w:hideMark/>
          </w:tcPr>
          <w:p w14:paraId="0DCD810C" w14:textId="77777777" w:rsidR="00254E48" w:rsidRPr="007F3923" w:rsidRDefault="00254E48" w:rsidP="00312E88">
            <w:pPr>
              <w:rPr>
                <w:rFonts w:cs="Arial"/>
                <w:b/>
                <w:bCs/>
                <w:color w:val="000000"/>
                <w:sz w:val="16"/>
                <w:szCs w:val="16"/>
              </w:rPr>
            </w:pPr>
            <w:r w:rsidRPr="007F3923">
              <w:rPr>
                <w:rFonts w:cs="Arial"/>
                <w:b/>
                <w:bCs/>
                <w:color w:val="000000"/>
                <w:sz w:val="16"/>
                <w:szCs w:val="16"/>
              </w:rPr>
              <w:t>Total</w:t>
            </w:r>
          </w:p>
        </w:tc>
        <w:tc>
          <w:tcPr>
            <w:tcW w:w="1156" w:type="dxa"/>
            <w:tcBorders>
              <w:top w:val="single" w:sz="4" w:space="0" w:color="auto"/>
              <w:left w:val="nil"/>
              <w:bottom w:val="single" w:sz="4" w:space="0" w:color="auto"/>
              <w:right w:val="nil"/>
            </w:tcBorders>
            <w:shd w:val="clear" w:color="000000" w:fill="F7EEF7"/>
            <w:noWrap/>
            <w:hideMark/>
          </w:tcPr>
          <w:p w14:paraId="1FDC5FC2"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466,619</w:t>
            </w:r>
          </w:p>
        </w:tc>
        <w:tc>
          <w:tcPr>
            <w:tcW w:w="1134" w:type="dxa"/>
            <w:tcBorders>
              <w:top w:val="single" w:sz="4" w:space="0" w:color="auto"/>
              <w:left w:val="nil"/>
              <w:bottom w:val="single" w:sz="4" w:space="0" w:color="auto"/>
              <w:right w:val="nil"/>
            </w:tcBorders>
            <w:shd w:val="clear" w:color="000000" w:fill="F7EEF7"/>
            <w:noWrap/>
            <w:hideMark/>
          </w:tcPr>
          <w:p w14:paraId="64526A5E"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530,457</w:t>
            </w:r>
          </w:p>
        </w:tc>
        <w:tc>
          <w:tcPr>
            <w:tcW w:w="736" w:type="dxa"/>
            <w:tcBorders>
              <w:top w:val="single" w:sz="4" w:space="0" w:color="auto"/>
              <w:left w:val="nil"/>
              <w:bottom w:val="single" w:sz="4" w:space="0" w:color="auto"/>
              <w:right w:val="nil"/>
            </w:tcBorders>
            <w:shd w:val="clear" w:color="000000" w:fill="F7EEF7"/>
            <w:noWrap/>
            <w:hideMark/>
          </w:tcPr>
          <w:p w14:paraId="48C790A2"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586,433</w:t>
            </w:r>
          </w:p>
        </w:tc>
        <w:tc>
          <w:tcPr>
            <w:tcW w:w="965" w:type="dxa"/>
            <w:tcBorders>
              <w:top w:val="single" w:sz="4" w:space="0" w:color="auto"/>
              <w:left w:val="nil"/>
              <w:bottom w:val="single" w:sz="4" w:space="0" w:color="auto"/>
              <w:right w:val="nil"/>
            </w:tcBorders>
            <w:shd w:val="clear" w:color="000000" w:fill="F7EEF7"/>
            <w:noWrap/>
            <w:hideMark/>
          </w:tcPr>
          <w:p w14:paraId="2B0473B0"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630,327</w:t>
            </w:r>
          </w:p>
        </w:tc>
        <w:tc>
          <w:tcPr>
            <w:tcW w:w="851" w:type="dxa"/>
            <w:tcBorders>
              <w:top w:val="single" w:sz="4" w:space="0" w:color="auto"/>
              <w:left w:val="nil"/>
              <w:bottom w:val="single" w:sz="4" w:space="0" w:color="auto"/>
              <w:right w:val="nil"/>
            </w:tcBorders>
            <w:shd w:val="clear" w:color="000000" w:fill="F7EEF7"/>
            <w:noWrap/>
            <w:hideMark/>
          </w:tcPr>
          <w:p w14:paraId="64D702CC"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670,400</w:t>
            </w:r>
          </w:p>
        </w:tc>
        <w:tc>
          <w:tcPr>
            <w:tcW w:w="992" w:type="dxa"/>
            <w:tcBorders>
              <w:top w:val="single" w:sz="4" w:space="0" w:color="auto"/>
              <w:left w:val="dotted" w:sz="4" w:space="0" w:color="auto"/>
              <w:bottom w:val="single" w:sz="4" w:space="0" w:color="auto"/>
              <w:right w:val="single" w:sz="4" w:space="0" w:color="auto"/>
            </w:tcBorders>
            <w:shd w:val="clear" w:color="000000" w:fill="F7EEF7"/>
            <w:noWrap/>
            <w:hideMark/>
          </w:tcPr>
          <w:p w14:paraId="2793407A"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859,328</w:t>
            </w:r>
          </w:p>
        </w:tc>
      </w:tr>
      <w:tr w:rsidR="00254E48" w:rsidRPr="007F626D" w14:paraId="2821E4A0" w14:textId="77777777" w:rsidTr="00254E48">
        <w:trPr>
          <w:trHeight w:hRule="exact" w:val="340"/>
          <w:jc w:val="center"/>
        </w:trPr>
        <w:tc>
          <w:tcPr>
            <w:tcW w:w="3243" w:type="dxa"/>
            <w:tcBorders>
              <w:top w:val="nil"/>
              <w:left w:val="single" w:sz="4" w:space="0" w:color="auto"/>
              <w:bottom w:val="nil"/>
              <w:right w:val="single" w:sz="4" w:space="0" w:color="auto"/>
            </w:tcBorders>
            <w:shd w:val="clear" w:color="auto" w:fill="auto"/>
            <w:noWrap/>
            <w:hideMark/>
          </w:tcPr>
          <w:p w14:paraId="180D2CF7" w14:textId="77777777" w:rsidR="00254E48" w:rsidRPr="007F3923" w:rsidRDefault="00254E48" w:rsidP="00312E88">
            <w:pPr>
              <w:rPr>
                <w:rFonts w:cs="Arial"/>
                <w:color w:val="000000"/>
                <w:sz w:val="16"/>
                <w:szCs w:val="16"/>
              </w:rPr>
            </w:pPr>
            <w:r w:rsidRPr="007F3923">
              <w:rPr>
                <w:rFonts w:cs="Arial"/>
                <w:color w:val="000000"/>
                <w:sz w:val="16"/>
                <w:szCs w:val="16"/>
              </w:rPr>
              <w:t>Children (0 to 14)</w:t>
            </w:r>
          </w:p>
        </w:tc>
        <w:tc>
          <w:tcPr>
            <w:tcW w:w="1156" w:type="dxa"/>
            <w:tcBorders>
              <w:top w:val="nil"/>
              <w:left w:val="nil"/>
              <w:bottom w:val="nil"/>
              <w:right w:val="nil"/>
            </w:tcBorders>
            <w:shd w:val="clear" w:color="auto" w:fill="auto"/>
            <w:noWrap/>
            <w:hideMark/>
          </w:tcPr>
          <w:p w14:paraId="4C82B920" w14:textId="77777777" w:rsidR="00254E48" w:rsidRPr="007F3923" w:rsidRDefault="00254E48" w:rsidP="00312E88">
            <w:pPr>
              <w:jc w:val="right"/>
              <w:rPr>
                <w:rFonts w:cs="Arial"/>
                <w:color w:val="000000"/>
                <w:sz w:val="16"/>
                <w:szCs w:val="16"/>
              </w:rPr>
            </w:pPr>
            <w:r w:rsidRPr="007F3923">
              <w:rPr>
                <w:rFonts w:cs="Arial"/>
                <w:color w:val="000000"/>
                <w:sz w:val="16"/>
                <w:szCs w:val="16"/>
              </w:rPr>
              <w:t>41.3%</w:t>
            </w:r>
          </w:p>
        </w:tc>
        <w:tc>
          <w:tcPr>
            <w:tcW w:w="1134" w:type="dxa"/>
            <w:tcBorders>
              <w:top w:val="nil"/>
              <w:left w:val="nil"/>
              <w:bottom w:val="nil"/>
              <w:right w:val="nil"/>
            </w:tcBorders>
            <w:shd w:val="clear" w:color="auto" w:fill="auto"/>
            <w:noWrap/>
            <w:hideMark/>
          </w:tcPr>
          <w:p w14:paraId="4E04DFB5" w14:textId="77777777" w:rsidR="00254E48" w:rsidRPr="007F3923" w:rsidRDefault="00254E48" w:rsidP="00312E88">
            <w:pPr>
              <w:jc w:val="right"/>
              <w:rPr>
                <w:rFonts w:cs="Arial"/>
                <w:color w:val="000000"/>
                <w:sz w:val="16"/>
                <w:szCs w:val="16"/>
              </w:rPr>
            </w:pPr>
            <w:r w:rsidRPr="007F3923">
              <w:rPr>
                <w:rFonts w:cs="Arial"/>
                <w:color w:val="000000"/>
                <w:sz w:val="16"/>
                <w:szCs w:val="16"/>
              </w:rPr>
              <w:t>41.9%</w:t>
            </w:r>
          </w:p>
        </w:tc>
        <w:tc>
          <w:tcPr>
            <w:tcW w:w="736" w:type="dxa"/>
            <w:tcBorders>
              <w:top w:val="nil"/>
              <w:left w:val="nil"/>
              <w:bottom w:val="nil"/>
              <w:right w:val="nil"/>
            </w:tcBorders>
            <w:shd w:val="clear" w:color="auto" w:fill="auto"/>
            <w:noWrap/>
            <w:hideMark/>
          </w:tcPr>
          <w:p w14:paraId="2C070FDA" w14:textId="77777777" w:rsidR="00254E48" w:rsidRPr="007F3923" w:rsidRDefault="00254E48" w:rsidP="00312E88">
            <w:pPr>
              <w:jc w:val="right"/>
              <w:rPr>
                <w:rFonts w:cs="Arial"/>
                <w:color w:val="000000"/>
                <w:sz w:val="16"/>
                <w:szCs w:val="16"/>
              </w:rPr>
            </w:pPr>
            <w:r w:rsidRPr="007F3923">
              <w:rPr>
                <w:rFonts w:cs="Arial"/>
                <w:color w:val="000000"/>
                <w:sz w:val="16"/>
                <w:szCs w:val="16"/>
              </w:rPr>
              <w:t>42.0%</w:t>
            </w:r>
          </w:p>
        </w:tc>
        <w:tc>
          <w:tcPr>
            <w:tcW w:w="965" w:type="dxa"/>
            <w:tcBorders>
              <w:top w:val="nil"/>
              <w:left w:val="nil"/>
              <w:bottom w:val="nil"/>
              <w:right w:val="nil"/>
            </w:tcBorders>
            <w:shd w:val="clear" w:color="auto" w:fill="auto"/>
            <w:noWrap/>
            <w:hideMark/>
          </w:tcPr>
          <w:p w14:paraId="25F7E3A8" w14:textId="77777777" w:rsidR="00254E48" w:rsidRPr="007F3923" w:rsidRDefault="00254E48" w:rsidP="00312E88">
            <w:pPr>
              <w:jc w:val="right"/>
              <w:rPr>
                <w:rFonts w:cs="Arial"/>
                <w:color w:val="000000"/>
                <w:sz w:val="16"/>
                <w:szCs w:val="16"/>
              </w:rPr>
            </w:pPr>
            <w:r w:rsidRPr="007F3923">
              <w:rPr>
                <w:rFonts w:cs="Arial"/>
                <w:color w:val="000000"/>
                <w:sz w:val="16"/>
                <w:szCs w:val="16"/>
              </w:rPr>
              <w:t>41.7%</w:t>
            </w:r>
          </w:p>
        </w:tc>
        <w:tc>
          <w:tcPr>
            <w:tcW w:w="851" w:type="dxa"/>
            <w:tcBorders>
              <w:top w:val="nil"/>
              <w:left w:val="nil"/>
              <w:bottom w:val="nil"/>
              <w:right w:val="nil"/>
            </w:tcBorders>
            <w:shd w:val="clear" w:color="auto" w:fill="auto"/>
            <w:noWrap/>
            <w:hideMark/>
          </w:tcPr>
          <w:p w14:paraId="31E5661F" w14:textId="77777777" w:rsidR="00254E48" w:rsidRPr="007F3923" w:rsidRDefault="00254E48" w:rsidP="00312E88">
            <w:pPr>
              <w:jc w:val="right"/>
              <w:rPr>
                <w:rFonts w:cs="Arial"/>
                <w:color w:val="000000"/>
                <w:sz w:val="16"/>
                <w:szCs w:val="16"/>
              </w:rPr>
            </w:pPr>
            <w:r w:rsidRPr="007F3923">
              <w:rPr>
                <w:rFonts w:cs="Arial"/>
                <w:color w:val="000000"/>
                <w:sz w:val="16"/>
                <w:szCs w:val="16"/>
              </w:rPr>
              <w:t>41.1%</w:t>
            </w:r>
          </w:p>
        </w:tc>
        <w:tc>
          <w:tcPr>
            <w:tcW w:w="992" w:type="dxa"/>
            <w:tcBorders>
              <w:top w:val="nil"/>
              <w:left w:val="dotted" w:sz="4" w:space="0" w:color="auto"/>
              <w:bottom w:val="nil"/>
              <w:right w:val="single" w:sz="4" w:space="0" w:color="auto"/>
            </w:tcBorders>
            <w:shd w:val="clear" w:color="auto" w:fill="auto"/>
            <w:noWrap/>
            <w:hideMark/>
          </w:tcPr>
          <w:p w14:paraId="488B6EAE" w14:textId="77777777" w:rsidR="00254E48" w:rsidRPr="007F3923" w:rsidRDefault="00254E48" w:rsidP="00312E88">
            <w:pPr>
              <w:jc w:val="right"/>
              <w:rPr>
                <w:rFonts w:cs="Arial"/>
                <w:color w:val="000000"/>
                <w:sz w:val="16"/>
                <w:szCs w:val="16"/>
              </w:rPr>
            </w:pPr>
            <w:r w:rsidRPr="007F3923">
              <w:rPr>
                <w:rFonts w:cs="Arial"/>
                <w:color w:val="000000"/>
                <w:sz w:val="16"/>
                <w:szCs w:val="16"/>
              </w:rPr>
              <w:t>36.7%</w:t>
            </w:r>
          </w:p>
        </w:tc>
      </w:tr>
      <w:tr w:rsidR="00254E48" w:rsidRPr="007F626D" w14:paraId="45172119" w14:textId="77777777" w:rsidTr="00254E48">
        <w:trPr>
          <w:trHeight w:hRule="exact" w:val="340"/>
          <w:jc w:val="center"/>
        </w:trPr>
        <w:tc>
          <w:tcPr>
            <w:tcW w:w="3243" w:type="dxa"/>
            <w:tcBorders>
              <w:top w:val="nil"/>
              <w:left w:val="single" w:sz="4" w:space="0" w:color="auto"/>
              <w:bottom w:val="nil"/>
              <w:right w:val="single" w:sz="4" w:space="0" w:color="auto"/>
            </w:tcBorders>
            <w:shd w:val="clear" w:color="auto" w:fill="auto"/>
            <w:noWrap/>
            <w:hideMark/>
          </w:tcPr>
          <w:p w14:paraId="374C98AE" w14:textId="77777777" w:rsidR="00254E48" w:rsidRPr="007F3923" w:rsidRDefault="00254E48" w:rsidP="00312E88">
            <w:pPr>
              <w:rPr>
                <w:rFonts w:cs="Arial"/>
                <w:color w:val="000000"/>
                <w:sz w:val="16"/>
                <w:szCs w:val="16"/>
              </w:rPr>
            </w:pPr>
            <w:r w:rsidRPr="007F3923">
              <w:rPr>
                <w:rFonts w:cs="Arial"/>
                <w:color w:val="000000"/>
                <w:sz w:val="16"/>
                <w:szCs w:val="16"/>
              </w:rPr>
              <w:t>Young adults (15 to 24)</w:t>
            </w:r>
          </w:p>
        </w:tc>
        <w:tc>
          <w:tcPr>
            <w:tcW w:w="1156" w:type="dxa"/>
            <w:tcBorders>
              <w:top w:val="nil"/>
              <w:left w:val="nil"/>
              <w:bottom w:val="nil"/>
              <w:right w:val="nil"/>
            </w:tcBorders>
            <w:shd w:val="clear" w:color="auto" w:fill="auto"/>
            <w:noWrap/>
            <w:hideMark/>
          </w:tcPr>
          <w:p w14:paraId="108A1ACA" w14:textId="77777777" w:rsidR="00254E48" w:rsidRPr="007F3923" w:rsidRDefault="00254E48" w:rsidP="00312E88">
            <w:pPr>
              <w:jc w:val="right"/>
              <w:rPr>
                <w:rFonts w:cs="Arial"/>
                <w:color w:val="000000"/>
                <w:sz w:val="16"/>
                <w:szCs w:val="16"/>
              </w:rPr>
            </w:pPr>
            <w:r w:rsidRPr="007F3923">
              <w:rPr>
                <w:rFonts w:cs="Arial"/>
                <w:color w:val="000000"/>
                <w:sz w:val="16"/>
                <w:szCs w:val="16"/>
              </w:rPr>
              <w:t>15.9%</w:t>
            </w:r>
          </w:p>
        </w:tc>
        <w:tc>
          <w:tcPr>
            <w:tcW w:w="1134" w:type="dxa"/>
            <w:tcBorders>
              <w:top w:val="nil"/>
              <w:left w:val="nil"/>
              <w:bottom w:val="nil"/>
              <w:right w:val="nil"/>
            </w:tcBorders>
            <w:shd w:val="clear" w:color="auto" w:fill="auto"/>
            <w:noWrap/>
            <w:hideMark/>
          </w:tcPr>
          <w:p w14:paraId="1D32671D" w14:textId="77777777" w:rsidR="00254E48" w:rsidRPr="007F3923" w:rsidRDefault="00254E48" w:rsidP="00312E88">
            <w:pPr>
              <w:jc w:val="right"/>
              <w:rPr>
                <w:rFonts w:cs="Arial"/>
                <w:color w:val="000000"/>
                <w:sz w:val="16"/>
                <w:szCs w:val="16"/>
              </w:rPr>
            </w:pPr>
            <w:r w:rsidRPr="007F3923">
              <w:rPr>
                <w:rFonts w:cs="Arial"/>
                <w:color w:val="000000"/>
                <w:sz w:val="16"/>
                <w:szCs w:val="16"/>
              </w:rPr>
              <w:t>16.3%</w:t>
            </w:r>
          </w:p>
        </w:tc>
        <w:tc>
          <w:tcPr>
            <w:tcW w:w="736" w:type="dxa"/>
            <w:tcBorders>
              <w:top w:val="nil"/>
              <w:left w:val="nil"/>
              <w:bottom w:val="nil"/>
              <w:right w:val="nil"/>
            </w:tcBorders>
            <w:shd w:val="clear" w:color="auto" w:fill="auto"/>
            <w:noWrap/>
            <w:hideMark/>
          </w:tcPr>
          <w:p w14:paraId="31AA9210" w14:textId="77777777" w:rsidR="00254E48" w:rsidRPr="007F3923" w:rsidRDefault="00254E48" w:rsidP="00312E88">
            <w:pPr>
              <w:jc w:val="right"/>
              <w:rPr>
                <w:rFonts w:cs="Arial"/>
                <w:color w:val="000000"/>
                <w:sz w:val="16"/>
                <w:szCs w:val="16"/>
              </w:rPr>
            </w:pPr>
            <w:r w:rsidRPr="007F3923">
              <w:rPr>
                <w:rFonts w:cs="Arial"/>
                <w:color w:val="000000"/>
                <w:sz w:val="16"/>
                <w:szCs w:val="16"/>
              </w:rPr>
              <w:t>16.7%</w:t>
            </w:r>
          </w:p>
        </w:tc>
        <w:tc>
          <w:tcPr>
            <w:tcW w:w="965" w:type="dxa"/>
            <w:tcBorders>
              <w:top w:val="nil"/>
              <w:left w:val="nil"/>
              <w:bottom w:val="nil"/>
              <w:right w:val="nil"/>
            </w:tcBorders>
            <w:shd w:val="clear" w:color="auto" w:fill="auto"/>
            <w:noWrap/>
            <w:hideMark/>
          </w:tcPr>
          <w:p w14:paraId="77B23112" w14:textId="77777777" w:rsidR="00254E48" w:rsidRPr="007F3923" w:rsidRDefault="00254E48" w:rsidP="00312E88">
            <w:pPr>
              <w:jc w:val="right"/>
              <w:rPr>
                <w:rFonts w:cs="Arial"/>
                <w:color w:val="000000"/>
                <w:sz w:val="16"/>
                <w:szCs w:val="16"/>
              </w:rPr>
            </w:pPr>
            <w:r w:rsidRPr="007F3923">
              <w:rPr>
                <w:rFonts w:cs="Arial"/>
                <w:color w:val="000000"/>
                <w:sz w:val="16"/>
                <w:szCs w:val="16"/>
              </w:rPr>
              <w:t>17.4%</w:t>
            </w:r>
          </w:p>
        </w:tc>
        <w:tc>
          <w:tcPr>
            <w:tcW w:w="851" w:type="dxa"/>
            <w:tcBorders>
              <w:top w:val="nil"/>
              <w:left w:val="nil"/>
              <w:bottom w:val="nil"/>
              <w:right w:val="nil"/>
            </w:tcBorders>
            <w:shd w:val="clear" w:color="auto" w:fill="auto"/>
            <w:noWrap/>
            <w:hideMark/>
          </w:tcPr>
          <w:p w14:paraId="0A1187C3" w14:textId="77777777" w:rsidR="00254E48" w:rsidRPr="007F3923" w:rsidRDefault="00254E48" w:rsidP="00312E88">
            <w:pPr>
              <w:jc w:val="right"/>
              <w:rPr>
                <w:rFonts w:cs="Arial"/>
                <w:color w:val="000000"/>
                <w:sz w:val="16"/>
                <w:szCs w:val="16"/>
              </w:rPr>
            </w:pPr>
            <w:r w:rsidRPr="007F3923">
              <w:rPr>
                <w:rFonts w:cs="Arial"/>
                <w:color w:val="000000"/>
                <w:sz w:val="16"/>
                <w:szCs w:val="16"/>
              </w:rPr>
              <w:t>18.2%</w:t>
            </w:r>
          </w:p>
        </w:tc>
        <w:tc>
          <w:tcPr>
            <w:tcW w:w="992" w:type="dxa"/>
            <w:tcBorders>
              <w:top w:val="nil"/>
              <w:left w:val="dotted" w:sz="4" w:space="0" w:color="auto"/>
              <w:bottom w:val="nil"/>
              <w:right w:val="single" w:sz="4" w:space="0" w:color="auto"/>
            </w:tcBorders>
            <w:shd w:val="clear" w:color="auto" w:fill="auto"/>
            <w:noWrap/>
            <w:hideMark/>
          </w:tcPr>
          <w:p w14:paraId="5D920001" w14:textId="77777777" w:rsidR="00254E48" w:rsidRPr="007F3923" w:rsidRDefault="00254E48" w:rsidP="00312E88">
            <w:pPr>
              <w:jc w:val="right"/>
              <w:rPr>
                <w:rFonts w:cs="Arial"/>
                <w:color w:val="000000"/>
                <w:sz w:val="16"/>
                <w:szCs w:val="16"/>
              </w:rPr>
            </w:pPr>
            <w:r w:rsidRPr="007F3923">
              <w:rPr>
                <w:rFonts w:cs="Arial"/>
                <w:color w:val="000000"/>
                <w:sz w:val="16"/>
                <w:szCs w:val="16"/>
              </w:rPr>
              <w:t>22.2%</w:t>
            </w:r>
          </w:p>
        </w:tc>
      </w:tr>
      <w:tr w:rsidR="00254E48" w:rsidRPr="007F626D" w14:paraId="6F0FD65F" w14:textId="77777777" w:rsidTr="00254E48">
        <w:trPr>
          <w:trHeight w:hRule="exact" w:val="340"/>
          <w:jc w:val="center"/>
        </w:trPr>
        <w:tc>
          <w:tcPr>
            <w:tcW w:w="3243" w:type="dxa"/>
            <w:tcBorders>
              <w:top w:val="nil"/>
              <w:left w:val="single" w:sz="4" w:space="0" w:color="auto"/>
              <w:bottom w:val="nil"/>
              <w:right w:val="single" w:sz="4" w:space="0" w:color="auto"/>
            </w:tcBorders>
            <w:shd w:val="clear" w:color="auto" w:fill="auto"/>
            <w:noWrap/>
            <w:hideMark/>
          </w:tcPr>
          <w:p w14:paraId="235D83CA" w14:textId="77777777" w:rsidR="00254E48" w:rsidRPr="007F3923" w:rsidRDefault="00254E48" w:rsidP="00312E88">
            <w:pPr>
              <w:rPr>
                <w:rFonts w:cs="Arial"/>
                <w:color w:val="000000"/>
                <w:sz w:val="16"/>
                <w:szCs w:val="16"/>
              </w:rPr>
            </w:pPr>
            <w:r w:rsidRPr="007F3923">
              <w:rPr>
                <w:rFonts w:cs="Arial"/>
                <w:color w:val="000000"/>
                <w:sz w:val="16"/>
                <w:szCs w:val="16"/>
              </w:rPr>
              <w:t>Adults (25 to 64)</w:t>
            </w:r>
          </w:p>
        </w:tc>
        <w:tc>
          <w:tcPr>
            <w:tcW w:w="1156" w:type="dxa"/>
            <w:tcBorders>
              <w:top w:val="nil"/>
              <w:left w:val="nil"/>
              <w:bottom w:val="nil"/>
              <w:right w:val="nil"/>
            </w:tcBorders>
            <w:shd w:val="clear" w:color="auto" w:fill="auto"/>
            <w:noWrap/>
            <w:hideMark/>
          </w:tcPr>
          <w:p w14:paraId="5595AFB4" w14:textId="77777777" w:rsidR="00254E48" w:rsidRPr="007F3923" w:rsidRDefault="00254E48" w:rsidP="00312E88">
            <w:pPr>
              <w:jc w:val="right"/>
              <w:rPr>
                <w:rFonts w:cs="Arial"/>
                <w:color w:val="000000"/>
                <w:sz w:val="16"/>
                <w:szCs w:val="16"/>
              </w:rPr>
            </w:pPr>
            <w:r w:rsidRPr="007F3923">
              <w:rPr>
                <w:rFonts w:cs="Arial"/>
                <w:color w:val="000000"/>
                <w:sz w:val="16"/>
                <w:szCs w:val="16"/>
              </w:rPr>
              <w:t>39.2%</w:t>
            </w:r>
          </w:p>
        </w:tc>
        <w:tc>
          <w:tcPr>
            <w:tcW w:w="1134" w:type="dxa"/>
            <w:tcBorders>
              <w:top w:val="nil"/>
              <w:left w:val="nil"/>
              <w:bottom w:val="nil"/>
              <w:right w:val="nil"/>
            </w:tcBorders>
            <w:shd w:val="clear" w:color="auto" w:fill="auto"/>
            <w:noWrap/>
            <w:hideMark/>
          </w:tcPr>
          <w:p w14:paraId="6A8265A1" w14:textId="77777777" w:rsidR="00254E48" w:rsidRPr="007F3923" w:rsidRDefault="00254E48" w:rsidP="00312E88">
            <w:pPr>
              <w:jc w:val="right"/>
              <w:rPr>
                <w:rFonts w:cs="Arial"/>
                <w:color w:val="000000"/>
                <w:sz w:val="16"/>
                <w:szCs w:val="16"/>
              </w:rPr>
            </w:pPr>
            <w:r w:rsidRPr="007F3923">
              <w:rPr>
                <w:rFonts w:cs="Arial"/>
                <w:color w:val="000000"/>
                <w:sz w:val="16"/>
                <w:szCs w:val="16"/>
              </w:rPr>
              <w:t>37.8%</w:t>
            </w:r>
          </w:p>
        </w:tc>
        <w:tc>
          <w:tcPr>
            <w:tcW w:w="736" w:type="dxa"/>
            <w:tcBorders>
              <w:top w:val="nil"/>
              <w:left w:val="nil"/>
              <w:bottom w:val="nil"/>
              <w:right w:val="nil"/>
            </w:tcBorders>
            <w:shd w:val="clear" w:color="auto" w:fill="auto"/>
            <w:noWrap/>
            <w:hideMark/>
          </w:tcPr>
          <w:p w14:paraId="2781B824" w14:textId="77777777" w:rsidR="00254E48" w:rsidRPr="007F3923" w:rsidRDefault="00254E48" w:rsidP="00312E88">
            <w:pPr>
              <w:jc w:val="right"/>
              <w:rPr>
                <w:rFonts w:cs="Arial"/>
                <w:color w:val="000000"/>
                <w:sz w:val="16"/>
                <w:szCs w:val="16"/>
              </w:rPr>
            </w:pPr>
            <w:r w:rsidRPr="007F3923">
              <w:rPr>
                <w:rFonts w:cs="Arial"/>
                <w:color w:val="000000"/>
                <w:sz w:val="16"/>
                <w:szCs w:val="16"/>
              </w:rPr>
              <w:t>36.8%</w:t>
            </w:r>
          </w:p>
        </w:tc>
        <w:tc>
          <w:tcPr>
            <w:tcW w:w="965" w:type="dxa"/>
            <w:tcBorders>
              <w:top w:val="nil"/>
              <w:left w:val="nil"/>
              <w:bottom w:val="nil"/>
              <w:right w:val="nil"/>
            </w:tcBorders>
            <w:shd w:val="clear" w:color="auto" w:fill="auto"/>
            <w:noWrap/>
            <w:hideMark/>
          </w:tcPr>
          <w:p w14:paraId="36821113" w14:textId="77777777" w:rsidR="00254E48" w:rsidRPr="007F3923" w:rsidRDefault="00254E48" w:rsidP="00312E88">
            <w:pPr>
              <w:jc w:val="right"/>
              <w:rPr>
                <w:rFonts w:cs="Arial"/>
                <w:color w:val="000000"/>
                <w:sz w:val="16"/>
                <w:szCs w:val="16"/>
              </w:rPr>
            </w:pPr>
            <w:r w:rsidRPr="007F3923">
              <w:rPr>
                <w:rFonts w:cs="Arial"/>
                <w:color w:val="000000"/>
                <w:sz w:val="16"/>
                <w:szCs w:val="16"/>
              </w:rPr>
              <w:t>35.8%</w:t>
            </w:r>
          </w:p>
        </w:tc>
        <w:tc>
          <w:tcPr>
            <w:tcW w:w="851" w:type="dxa"/>
            <w:tcBorders>
              <w:top w:val="nil"/>
              <w:left w:val="nil"/>
              <w:bottom w:val="nil"/>
              <w:right w:val="nil"/>
            </w:tcBorders>
            <w:shd w:val="clear" w:color="auto" w:fill="auto"/>
            <w:noWrap/>
            <w:hideMark/>
          </w:tcPr>
          <w:p w14:paraId="36D5D122" w14:textId="77777777" w:rsidR="00254E48" w:rsidRPr="007F3923" w:rsidRDefault="00254E48" w:rsidP="00312E88">
            <w:pPr>
              <w:jc w:val="right"/>
              <w:rPr>
                <w:rFonts w:cs="Arial"/>
                <w:color w:val="000000"/>
                <w:sz w:val="16"/>
                <w:szCs w:val="16"/>
              </w:rPr>
            </w:pPr>
            <w:r w:rsidRPr="007F3923">
              <w:rPr>
                <w:rFonts w:cs="Arial"/>
                <w:color w:val="000000"/>
                <w:sz w:val="16"/>
                <w:szCs w:val="16"/>
              </w:rPr>
              <w:t>35.2%</w:t>
            </w:r>
          </w:p>
        </w:tc>
        <w:tc>
          <w:tcPr>
            <w:tcW w:w="992" w:type="dxa"/>
            <w:tcBorders>
              <w:top w:val="nil"/>
              <w:left w:val="dotted" w:sz="4" w:space="0" w:color="auto"/>
              <w:bottom w:val="nil"/>
              <w:right w:val="single" w:sz="4" w:space="0" w:color="auto"/>
            </w:tcBorders>
            <w:shd w:val="clear" w:color="auto" w:fill="auto"/>
            <w:noWrap/>
            <w:hideMark/>
          </w:tcPr>
          <w:p w14:paraId="43C4C6EA" w14:textId="77777777" w:rsidR="00254E48" w:rsidRPr="007F3923" w:rsidRDefault="00254E48" w:rsidP="00312E88">
            <w:pPr>
              <w:jc w:val="right"/>
              <w:rPr>
                <w:rFonts w:cs="Arial"/>
                <w:color w:val="000000"/>
                <w:sz w:val="16"/>
                <w:szCs w:val="16"/>
              </w:rPr>
            </w:pPr>
            <w:r w:rsidRPr="007F3923">
              <w:rPr>
                <w:rFonts w:cs="Arial"/>
                <w:color w:val="000000"/>
                <w:sz w:val="16"/>
                <w:szCs w:val="16"/>
              </w:rPr>
              <w:t>33.9%</w:t>
            </w:r>
          </w:p>
        </w:tc>
      </w:tr>
      <w:tr w:rsidR="00254E48" w:rsidRPr="007F626D" w14:paraId="27883D98" w14:textId="77777777" w:rsidTr="00254E48">
        <w:trPr>
          <w:trHeight w:hRule="exact" w:val="340"/>
          <w:jc w:val="center"/>
        </w:trPr>
        <w:tc>
          <w:tcPr>
            <w:tcW w:w="3243" w:type="dxa"/>
            <w:tcBorders>
              <w:top w:val="nil"/>
              <w:left w:val="single" w:sz="4" w:space="0" w:color="auto"/>
              <w:bottom w:val="nil"/>
              <w:right w:val="single" w:sz="4" w:space="0" w:color="auto"/>
            </w:tcBorders>
            <w:shd w:val="clear" w:color="auto" w:fill="auto"/>
            <w:noWrap/>
            <w:hideMark/>
          </w:tcPr>
          <w:p w14:paraId="4D9FF2C5" w14:textId="77777777" w:rsidR="00254E48" w:rsidRPr="007F3923" w:rsidRDefault="00254E48" w:rsidP="00312E88">
            <w:pPr>
              <w:rPr>
                <w:rFonts w:cs="Arial"/>
                <w:color w:val="000000"/>
                <w:sz w:val="16"/>
                <w:szCs w:val="16"/>
              </w:rPr>
            </w:pPr>
            <w:r w:rsidRPr="007F3923">
              <w:rPr>
                <w:rFonts w:cs="Arial"/>
                <w:color w:val="000000"/>
                <w:sz w:val="16"/>
                <w:szCs w:val="16"/>
              </w:rPr>
              <w:t>Older adults (65+)</w:t>
            </w:r>
          </w:p>
        </w:tc>
        <w:tc>
          <w:tcPr>
            <w:tcW w:w="1156" w:type="dxa"/>
            <w:tcBorders>
              <w:top w:val="nil"/>
              <w:left w:val="nil"/>
              <w:bottom w:val="nil"/>
              <w:right w:val="nil"/>
            </w:tcBorders>
            <w:shd w:val="clear" w:color="auto" w:fill="auto"/>
            <w:noWrap/>
            <w:hideMark/>
          </w:tcPr>
          <w:p w14:paraId="0C315DF0" w14:textId="77777777" w:rsidR="00254E48" w:rsidRPr="007F3923" w:rsidRDefault="00254E48" w:rsidP="00312E88">
            <w:pPr>
              <w:jc w:val="right"/>
              <w:rPr>
                <w:rFonts w:cs="Arial"/>
                <w:color w:val="000000"/>
                <w:sz w:val="16"/>
                <w:szCs w:val="16"/>
              </w:rPr>
            </w:pPr>
            <w:r w:rsidRPr="007F3923">
              <w:rPr>
                <w:rFonts w:cs="Arial"/>
                <w:color w:val="000000"/>
                <w:sz w:val="16"/>
                <w:szCs w:val="16"/>
              </w:rPr>
              <w:t>3.6%</w:t>
            </w:r>
          </w:p>
        </w:tc>
        <w:tc>
          <w:tcPr>
            <w:tcW w:w="1134" w:type="dxa"/>
            <w:tcBorders>
              <w:top w:val="nil"/>
              <w:left w:val="nil"/>
              <w:bottom w:val="nil"/>
              <w:right w:val="nil"/>
            </w:tcBorders>
            <w:shd w:val="clear" w:color="auto" w:fill="auto"/>
            <w:noWrap/>
            <w:hideMark/>
          </w:tcPr>
          <w:p w14:paraId="5CED8904" w14:textId="77777777" w:rsidR="00254E48" w:rsidRPr="007F3923" w:rsidRDefault="00254E48" w:rsidP="00312E88">
            <w:pPr>
              <w:jc w:val="right"/>
              <w:rPr>
                <w:rFonts w:cs="Arial"/>
                <w:color w:val="000000"/>
                <w:sz w:val="16"/>
                <w:szCs w:val="16"/>
              </w:rPr>
            </w:pPr>
            <w:r w:rsidRPr="007F3923">
              <w:rPr>
                <w:rFonts w:cs="Arial"/>
                <w:color w:val="000000"/>
                <w:sz w:val="16"/>
                <w:szCs w:val="16"/>
              </w:rPr>
              <w:t>4.0%</w:t>
            </w:r>
          </w:p>
        </w:tc>
        <w:tc>
          <w:tcPr>
            <w:tcW w:w="736" w:type="dxa"/>
            <w:tcBorders>
              <w:top w:val="nil"/>
              <w:left w:val="nil"/>
              <w:bottom w:val="nil"/>
              <w:right w:val="nil"/>
            </w:tcBorders>
            <w:shd w:val="clear" w:color="auto" w:fill="auto"/>
            <w:noWrap/>
            <w:hideMark/>
          </w:tcPr>
          <w:p w14:paraId="1FAE4D93" w14:textId="77777777" w:rsidR="00254E48" w:rsidRPr="007F3923" w:rsidRDefault="00254E48" w:rsidP="00312E88">
            <w:pPr>
              <w:jc w:val="right"/>
              <w:rPr>
                <w:rFonts w:cs="Arial"/>
                <w:color w:val="000000"/>
                <w:sz w:val="16"/>
                <w:szCs w:val="16"/>
              </w:rPr>
            </w:pPr>
            <w:r w:rsidRPr="007F3923">
              <w:rPr>
                <w:rFonts w:cs="Arial"/>
                <w:color w:val="000000"/>
                <w:sz w:val="16"/>
                <w:szCs w:val="16"/>
              </w:rPr>
              <w:t>4.5%</w:t>
            </w:r>
          </w:p>
        </w:tc>
        <w:tc>
          <w:tcPr>
            <w:tcW w:w="965" w:type="dxa"/>
            <w:tcBorders>
              <w:top w:val="nil"/>
              <w:left w:val="nil"/>
              <w:bottom w:val="nil"/>
              <w:right w:val="nil"/>
            </w:tcBorders>
            <w:shd w:val="clear" w:color="auto" w:fill="auto"/>
            <w:noWrap/>
            <w:hideMark/>
          </w:tcPr>
          <w:p w14:paraId="7CE2C230" w14:textId="77777777" w:rsidR="00254E48" w:rsidRPr="007F3923" w:rsidRDefault="00254E48" w:rsidP="00312E88">
            <w:pPr>
              <w:jc w:val="right"/>
              <w:rPr>
                <w:rFonts w:cs="Arial"/>
                <w:color w:val="000000"/>
                <w:sz w:val="16"/>
                <w:szCs w:val="16"/>
              </w:rPr>
            </w:pPr>
            <w:r w:rsidRPr="007F3923">
              <w:rPr>
                <w:rFonts w:cs="Arial"/>
                <w:color w:val="000000"/>
                <w:sz w:val="16"/>
                <w:szCs w:val="16"/>
              </w:rPr>
              <w:t>5.1%</w:t>
            </w:r>
          </w:p>
        </w:tc>
        <w:tc>
          <w:tcPr>
            <w:tcW w:w="851" w:type="dxa"/>
            <w:tcBorders>
              <w:top w:val="nil"/>
              <w:left w:val="nil"/>
              <w:bottom w:val="nil"/>
              <w:right w:val="nil"/>
            </w:tcBorders>
            <w:shd w:val="clear" w:color="auto" w:fill="auto"/>
            <w:noWrap/>
            <w:hideMark/>
          </w:tcPr>
          <w:p w14:paraId="224097B6" w14:textId="77777777" w:rsidR="00254E48" w:rsidRPr="007F3923" w:rsidRDefault="00254E48" w:rsidP="00312E88">
            <w:pPr>
              <w:jc w:val="right"/>
              <w:rPr>
                <w:rFonts w:cs="Arial"/>
                <w:color w:val="000000"/>
                <w:sz w:val="16"/>
                <w:szCs w:val="16"/>
              </w:rPr>
            </w:pPr>
            <w:r w:rsidRPr="007F3923">
              <w:rPr>
                <w:rFonts w:cs="Arial"/>
                <w:color w:val="000000"/>
                <w:sz w:val="16"/>
                <w:szCs w:val="16"/>
              </w:rPr>
              <w:t>5.5%</w:t>
            </w:r>
          </w:p>
        </w:tc>
        <w:tc>
          <w:tcPr>
            <w:tcW w:w="992" w:type="dxa"/>
            <w:tcBorders>
              <w:top w:val="nil"/>
              <w:left w:val="dotted" w:sz="4" w:space="0" w:color="auto"/>
              <w:bottom w:val="nil"/>
              <w:right w:val="single" w:sz="4" w:space="0" w:color="auto"/>
            </w:tcBorders>
            <w:shd w:val="clear" w:color="auto" w:fill="auto"/>
            <w:noWrap/>
            <w:hideMark/>
          </w:tcPr>
          <w:p w14:paraId="2308E6BA" w14:textId="77777777" w:rsidR="00254E48" w:rsidRPr="007F3923" w:rsidRDefault="00254E48" w:rsidP="00312E88">
            <w:pPr>
              <w:jc w:val="right"/>
              <w:rPr>
                <w:rFonts w:cs="Arial"/>
                <w:color w:val="000000"/>
                <w:sz w:val="16"/>
                <w:szCs w:val="16"/>
              </w:rPr>
            </w:pPr>
            <w:r w:rsidRPr="007F3923">
              <w:rPr>
                <w:rFonts w:cs="Arial"/>
                <w:color w:val="000000"/>
                <w:sz w:val="16"/>
                <w:szCs w:val="16"/>
              </w:rPr>
              <w:t>7.1%</w:t>
            </w:r>
          </w:p>
        </w:tc>
      </w:tr>
      <w:tr w:rsidR="00254E48" w:rsidRPr="007F626D" w14:paraId="59F7ADF1" w14:textId="77777777" w:rsidTr="00254E48">
        <w:trPr>
          <w:trHeight w:hRule="exact" w:val="340"/>
          <w:jc w:val="center"/>
        </w:trPr>
        <w:tc>
          <w:tcPr>
            <w:tcW w:w="3243" w:type="dxa"/>
            <w:tcBorders>
              <w:top w:val="single" w:sz="4" w:space="0" w:color="auto"/>
              <w:left w:val="single" w:sz="4" w:space="0" w:color="auto"/>
              <w:bottom w:val="single" w:sz="4" w:space="0" w:color="auto"/>
              <w:right w:val="single" w:sz="4" w:space="0" w:color="auto"/>
            </w:tcBorders>
            <w:shd w:val="clear" w:color="000000" w:fill="F7EEF7"/>
            <w:noWrap/>
            <w:hideMark/>
          </w:tcPr>
          <w:p w14:paraId="30AFC9C2" w14:textId="77777777" w:rsidR="00254E48" w:rsidRPr="007F3923" w:rsidRDefault="00254E48" w:rsidP="00312E88">
            <w:pPr>
              <w:rPr>
                <w:rFonts w:cs="Arial"/>
                <w:b/>
                <w:bCs/>
                <w:color w:val="000000"/>
                <w:sz w:val="16"/>
                <w:szCs w:val="16"/>
              </w:rPr>
            </w:pPr>
            <w:r w:rsidRPr="007F3923">
              <w:rPr>
                <w:rFonts w:cs="Arial"/>
                <w:b/>
                <w:bCs/>
                <w:color w:val="000000"/>
                <w:sz w:val="16"/>
                <w:szCs w:val="16"/>
              </w:rPr>
              <w:t>Total</w:t>
            </w:r>
          </w:p>
        </w:tc>
        <w:tc>
          <w:tcPr>
            <w:tcW w:w="1156" w:type="dxa"/>
            <w:tcBorders>
              <w:top w:val="single" w:sz="4" w:space="0" w:color="auto"/>
              <w:left w:val="nil"/>
              <w:bottom w:val="single" w:sz="4" w:space="0" w:color="auto"/>
              <w:right w:val="nil"/>
            </w:tcBorders>
            <w:shd w:val="clear" w:color="000000" w:fill="F7EEF7"/>
            <w:noWrap/>
            <w:hideMark/>
          </w:tcPr>
          <w:p w14:paraId="62DBF3A3"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100.0%</w:t>
            </w:r>
          </w:p>
        </w:tc>
        <w:tc>
          <w:tcPr>
            <w:tcW w:w="1134" w:type="dxa"/>
            <w:tcBorders>
              <w:top w:val="single" w:sz="4" w:space="0" w:color="auto"/>
              <w:left w:val="nil"/>
              <w:bottom w:val="single" w:sz="4" w:space="0" w:color="auto"/>
              <w:right w:val="nil"/>
            </w:tcBorders>
            <w:shd w:val="clear" w:color="000000" w:fill="F7EEF7"/>
            <w:noWrap/>
            <w:hideMark/>
          </w:tcPr>
          <w:p w14:paraId="2B1E9E17"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100.0%</w:t>
            </w:r>
          </w:p>
        </w:tc>
        <w:tc>
          <w:tcPr>
            <w:tcW w:w="736" w:type="dxa"/>
            <w:tcBorders>
              <w:top w:val="single" w:sz="4" w:space="0" w:color="auto"/>
              <w:left w:val="nil"/>
              <w:bottom w:val="single" w:sz="4" w:space="0" w:color="auto"/>
              <w:right w:val="nil"/>
            </w:tcBorders>
            <w:shd w:val="clear" w:color="000000" w:fill="F7EEF7"/>
            <w:noWrap/>
            <w:hideMark/>
          </w:tcPr>
          <w:p w14:paraId="50A3A515"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100.0%</w:t>
            </w:r>
          </w:p>
        </w:tc>
        <w:tc>
          <w:tcPr>
            <w:tcW w:w="965" w:type="dxa"/>
            <w:tcBorders>
              <w:top w:val="single" w:sz="4" w:space="0" w:color="auto"/>
              <w:left w:val="nil"/>
              <w:bottom w:val="single" w:sz="4" w:space="0" w:color="auto"/>
              <w:right w:val="nil"/>
            </w:tcBorders>
            <w:shd w:val="clear" w:color="000000" w:fill="F7EEF7"/>
            <w:noWrap/>
            <w:hideMark/>
          </w:tcPr>
          <w:p w14:paraId="3100F078"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100.0%</w:t>
            </w:r>
          </w:p>
        </w:tc>
        <w:tc>
          <w:tcPr>
            <w:tcW w:w="851" w:type="dxa"/>
            <w:tcBorders>
              <w:top w:val="single" w:sz="4" w:space="0" w:color="auto"/>
              <w:left w:val="nil"/>
              <w:bottom w:val="single" w:sz="4" w:space="0" w:color="auto"/>
              <w:right w:val="nil"/>
            </w:tcBorders>
            <w:shd w:val="clear" w:color="000000" w:fill="F7EEF7"/>
            <w:noWrap/>
            <w:hideMark/>
          </w:tcPr>
          <w:p w14:paraId="0C15FD45"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100.0%</w:t>
            </w:r>
          </w:p>
        </w:tc>
        <w:tc>
          <w:tcPr>
            <w:tcW w:w="992" w:type="dxa"/>
            <w:tcBorders>
              <w:top w:val="single" w:sz="4" w:space="0" w:color="auto"/>
              <w:left w:val="dotted" w:sz="4" w:space="0" w:color="auto"/>
              <w:bottom w:val="single" w:sz="4" w:space="0" w:color="auto"/>
              <w:right w:val="single" w:sz="4" w:space="0" w:color="auto"/>
            </w:tcBorders>
            <w:shd w:val="clear" w:color="000000" w:fill="F7EEF7"/>
            <w:noWrap/>
            <w:hideMark/>
          </w:tcPr>
          <w:p w14:paraId="42A1F318" w14:textId="77777777" w:rsidR="00254E48" w:rsidRPr="007F3923" w:rsidRDefault="00254E48" w:rsidP="00312E88">
            <w:pPr>
              <w:jc w:val="right"/>
              <w:rPr>
                <w:rFonts w:cs="Arial"/>
                <w:b/>
                <w:bCs/>
                <w:color w:val="000000"/>
                <w:sz w:val="16"/>
                <w:szCs w:val="16"/>
              </w:rPr>
            </w:pPr>
            <w:r w:rsidRPr="007F3923">
              <w:rPr>
                <w:rFonts w:cs="Arial"/>
                <w:b/>
                <w:bCs/>
                <w:color w:val="000000"/>
                <w:sz w:val="16"/>
                <w:szCs w:val="16"/>
              </w:rPr>
              <w:t>100.0%</w:t>
            </w:r>
          </w:p>
        </w:tc>
      </w:tr>
    </w:tbl>
    <w:p w14:paraId="2EC80672" w14:textId="12CA4A6D" w:rsidR="00D03880" w:rsidRDefault="00D03880" w:rsidP="00D03880">
      <w:pPr>
        <w:pStyle w:val="FSRnormal"/>
        <w:rPr>
          <w:lang w:eastAsia="en-AU"/>
        </w:rPr>
      </w:pPr>
      <w:r w:rsidRPr="00D03880">
        <w:t>Young adults represent a growing proportion of the Scheme’s participant numbers as the children from the intake of prior projection years begin to age and transition into older age bands.</w:t>
      </w:r>
      <w:r w:rsidR="00105BEA">
        <w:t xml:space="preserve"> </w:t>
      </w:r>
      <w:r w:rsidRPr="0069595D">
        <w:rPr>
          <w:u w:val="single"/>
          <w:lang w:eastAsia="en-AU"/>
        </w:rPr>
        <w:fldChar w:fldCharType="begin"/>
      </w:r>
      <w:r w:rsidRPr="0069595D">
        <w:rPr>
          <w:u w:val="single"/>
          <w:lang w:eastAsia="en-AU"/>
        </w:rPr>
        <w:instrText xml:space="preserve"> REF _Ref74849130 \h </w:instrText>
      </w:r>
      <w:r w:rsidR="0069595D">
        <w:rPr>
          <w:u w:val="single"/>
          <w:lang w:eastAsia="en-AU"/>
        </w:rPr>
        <w:instrText xml:space="preserve"> \* MERGEFORMAT </w:instrText>
      </w:r>
      <w:r w:rsidRPr="0069595D">
        <w:rPr>
          <w:u w:val="single"/>
          <w:lang w:eastAsia="en-AU"/>
        </w:rPr>
      </w:r>
      <w:r w:rsidRPr="0069595D">
        <w:rPr>
          <w:u w:val="single"/>
          <w:lang w:eastAsia="en-AU"/>
        </w:rPr>
        <w:fldChar w:fldCharType="separate"/>
      </w:r>
      <w:r w:rsidR="00E50032" w:rsidRPr="00E50032">
        <w:rPr>
          <w:u w:val="single"/>
        </w:rPr>
        <w:t xml:space="preserve">Table </w:t>
      </w:r>
      <w:r w:rsidR="00E50032" w:rsidRPr="00E50032">
        <w:rPr>
          <w:noProof/>
          <w:u w:val="single"/>
        </w:rPr>
        <w:t>24</w:t>
      </w:r>
      <w:r w:rsidRPr="0069595D">
        <w:rPr>
          <w:u w:val="single"/>
          <w:lang w:eastAsia="en-AU"/>
        </w:rPr>
        <w:fldChar w:fldCharType="end"/>
      </w:r>
      <w:r>
        <w:rPr>
          <w:lang w:eastAsia="en-AU"/>
        </w:rPr>
        <w:t xml:space="preserve"> illustrates the projections</w:t>
      </w:r>
      <w:r w:rsidRPr="00C578EB">
        <w:rPr>
          <w:lang w:eastAsia="en-AU"/>
        </w:rPr>
        <w:t xml:space="preserve"> split by disability group.</w:t>
      </w:r>
    </w:p>
    <w:p w14:paraId="44E03998" w14:textId="77777777" w:rsidR="0089597B" w:rsidRPr="00C578EB" w:rsidRDefault="0089597B" w:rsidP="00D03880">
      <w:pPr>
        <w:pStyle w:val="FSRnormal"/>
        <w:rPr>
          <w:lang w:eastAsia="en-AU"/>
        </w:rPr>
      </w:pPr>
    </w:p>
    <w:p w14:paraId="4AAC03B4" w14:textId="6B0725CE" w:rsidR="00D03880" w:rsidRPr="00D03880" w:rsidRDefault="00D03880" w:rsidP="00D03880">
      <w:pPr>
        <w:pStyle w:val="Tables"/>
      </w:pPr>
      <w:bookmarkStart w:id="200" w:name="_Ref74849130"/>
      <w:r w:rsidRPr="00D03880">
        <w:lastRenderedPageBreak/>
        <w:t xml:space="preserve">Table </w:t>
      </w:r>
      <w:fldSimple w:instr=" SEQ Table \* ARABIC ">
        <w:r w:rsidR="00E50032">
          <w:rPr>
            <w:noProof/>
          </w:rPr>
          <w:t>24</w:t>
        </w:r>
      </w:fldSimple>
      <w:bookmarkEnd w:id="200"/>
      <w:r w:rsidRPr="00D03880">
        <w:t xml:space="preserve"> Projected participant numbers by disability group</w:t>
      </w:r>
    </w:p>
    <w:tbl>
      <w:tblPr>
        <w:tblW w:w="8389" w:type="dxa"/>
        <w:tblLook w:val="04A0" w:firstRow="1" w:lastRow="0" w:firstColumn="1" w:lastColumn="0" w:noHBand="0" w:noVBand="1"/>
      </w:tblPr>
      <w:tblGrid>
        <w:gridCol w:w="3360"/>
        <w:gridCol w:w="888"/>
        <w:gridCol w:w="850"/>
        <w:gridCol w:w="851"/>
        <w:gridCol w:w="850"/>
        <w:gridCol w:w="795"/>
        <w:gridCol w:w="795"/>
      </w:tblGrid>
      <w:tr w:rsidR="00D23381" w:rsidRPr="00AE4359" w14:paraId="2ADD3FEB" w14:textId="77777777" w:rsidTr="0089597B">
        <w:trPr>
          <w:trHeight w:hRule="exact" w:val="301"/>
          <w:tblHeader/>
        </w:trPr>
        <w:tc>
          <w:tcPr>
            <w:tcW w:w="3360" w:type="dxa"/>
            <w:tcBorders>
              <w:top w:val="single" w:sz="4" w:space="0" w:color="auto"/>
              <w:left w:val="single" w:sz="4" w:space="0" w:color="auto"/>
              <w:bottom w:val="single" w:sz="4" w:space="0" w:color="000000"/>
              <w:right w:val="single" w:sz="4" w:space="0" w:color="auto"/>
            </w:tcBorders>
            <w:shd w:val="clear" w:color="000000" w:fill="6B2F76"/>
            <w:hideMark/>
          </w:tcPr>
          <w:p w14:paraId="72AAB9C3" w14:textId="77777777" w:rsidR="00D23381" w:rsidRPr="00AE4359" w:rsidRDefault="00D23381" w:rsidP="00312E88">
            <w:pPr>
              <w:rPr>
                <w:rFonts w:cs="Arial"/>
                <w:b/>
                <w:bCs/>
                <w:color w:val="FFFFFF"/>
                <w:sz w:val="16"/>
                <w:szCs w:val="16"/>
              </w:rPr>
            </w:pPr>
            <w:r w:rsidRPr="00AE4359">
              <w:rPr>
                <w:rFonts w:cs="Arial"/>
                <w:b/>
                <w:bCs/>
                <w:color w:val="FFFFFF"/>
                <w:sz w:val="16"/>
                <w:szCs w:val="16"/>
              </w:rPr>
              <w:t>Number of participants</w:t>
            </w:r>
            <w:r>
              <w:rPr>
                <w:rFonts w:cs="Arial"/>
                <w:b/>
                <w:bCs/>
                <w:color w:val="FFFFFF"/>
                <w:sz w:val="16"/>
                <w:szCs w:val="16"/>
              </w:rPr>
              <w:t xml:space="preserve"> a</w:t>
            </w:r>
            <w:r w:rsidRPr="00AE4359">
              <w:rPr>
                <w:rFonts w:cs="Arial"/>
                <w:b/>
                <w:bCs/>
                <w:color w:val="FFFFFF"/>
                <w:sz w:val="16"/>
                <w:szCs w:val="16"/>
              </w:rPr>
              <w:t>s at 30 June</w:t>
            </w:r>
          </w:p>
        </w:tc>
        <w:tc>
          <w:tcPr>
            <w:tcW w:w="888" w:type="dxa"/>
            <w:tcBorders>
              <w:top w:val="nil"/>
              <w:left w:val="nil"/>
              <w:bottom w:val="single" w:sz="4" w:space="0" w:color="auto"/>
              <w:right w:val="nil"/>
            </w:tcBorders>
            <w:shd w:val="clear" w:color="000000" w:fill="6B2976"/>
            <w:noWrap/>
            <w:hideMark/>
          </w:tcPr>
          <w:p w14:paraId="1AA551B9" w14:textId="77777777" w:rsidR="00D23381" w:rsidRPr="00AE4359" w:rsidRDefault="00D23381" w:rsidP="00312E88">
            <w:pPr>
              <w:jc w:val="right"/>
              <w:rPr>
                <w:rFonts w:cs="Arial"/>
                <w:b/>
                <w:bCs/>
                <w:color w:val="FFFFFF"/>
                <w:sz w:val="16"/>
                <w:szCs w:val="16"/>
              </w:rPr>
            </w:pPr>
            <w:r w:rsidRPr="00AE4359">
              <w:rPr>
                <w:rFonts w:cs="Arial"/>
                <w:b/>
                <w:bCs/>
                <w:color w:val="FFFFFF"/>
                <w:sz w:val="16"/>
                <w:szCs w:val="16"/>
              </w:rPr>
              <w:t>2021</w:t>
            </w:r>
          </w:p>
        </w:tc>
        <w:tc>
          <w:tcPr>
            <w:tcW w:w="850" w:type="dxa"/>
            <w:tcBorders>
              <w:top w:val="nil"/>
              <w:left w:val="nil"/>
              <w:bottom w:val="single" w:sz="4" w:space="0" w:color="auto"/>
              <w:right w:val="nil"/>
            </w:tcBorders>
            <w:shd w:val="clear" w:color="000000" w:fill="6B2976"/>
            <w:noWrap/>
            <w:hideMark/>
          </w:tcPr>
          <w:p w14:paraId="533CDEA1" w14:textId="77777777" w:rsidR="00D23381" w:rsidRPr="00AE4359" w:rsidRDefault="00D23381" w:rsidP="00312E88">
            <w:pPr>
              <w:jc w:val="right"/>
              <w:rPr>
                <w:rFonts w:cs="Arial"/>
                <w:b/>
                <w:bCs/>
                <w:color w:val="FFFFFF"/>
                <w:sz w:val="16"/>
                <w:szCs w:val="16"/>
              </w:rPr>
            </w:pPr>
            <w:r w:rsidRPr="00AE4359">
              <w:rPr>
                <w:rFonts w:cs="Arial"/>
                <w:b/>
                <w:bCs/>
                <w:color w:val="FFFFFF"/>
                <w:sz w:val="16"/>
                <w:szCs w:val="16"/>
              </w:rPr>
              <w:t>2022</w:t>
            </w:r>
          </w:p>
        </w:tc>
        <w:tc>
          <w:tcPr>
            <w:tcW w:w="851" w:type="dxa"/>
            <w:tcBorders>
              <w:top w:val="nil"/>
              <w:left w:val="nil"/>
              <w:bottom w:val="single" w:sz="4" w:space="0" w:color="auto"/>
              <w:right w:val="nil"/>
            </w:tcBorders>
            <w:shd w:val="clear" w:color="000000" w:fill="6B2976"/>
            <w:noWrap/>
            <w:hideMark/>
          </w:tcPr>
          <w:p w14:paraId="613597B5" w14:textId="77777777" w:rsidR="00D23381" w:rsidRPr="00AE4359" w:rsidRDefault="00D23381" w:rsidP="00312E88">
            <w:pPr>
              <w:jc w:val="right"/>
              <w:rPr>
                <w:rFonts w:cs="Arial"/>
                <w:b/>
                <w:bCs/>
                <w:color w:val="FFFFFF"/>
                <w:sz w:val="16"/>
                <w:szCs w:val="16"/>
              </w:rPr>
            </w:pPr>
            <w:r w:rsidRPr="00AE4359">
              <w:rPr>
                <w:rFonts w:cs="Arial"/>
                <w:b/>
                <w:bCs/>
                <w:color w:val="FFFFFF"/>
                <w:sz w:val="16"/>
                <w:szCs w:val="16"/>
              </w:rPr>
              <w:t>2023</w:t>
            </w:r>
          </w:p>
        </w:tc>
        <w:tc>
          <w:tcPr>
            <w:tcW w:w="850" w:type="dxa"/>
            <w:tcBorders>
              <w:top w:val="nil"/>
              <w:left w:val="nil"/>
              <w:bottom w:val="single" w:sz="4" w:space="0" w:color="auto"/>
              <w:right w:val="nil"/>
            </w:tcBorders>
            <w:shd w:val="clear" w:color="000000" w:fill="6B2976"/>
            <w:noWrap/>
            <w:hideMark/>
          </w:tcPr>
          <w:p w14:paraId="6009F70F" w14:textId="77777777" w:rsidR="00D23381" w:rsidRPr="00AE4359" w:rsidRDefault="00D23381" w:rsidP="00312E88">
            <w:pPr>
              <w:jc w:val="right"/>
              <w:rPr>
                <w:rFonts w:cs="Arial"/>
                <w:b/>
                <w:bCs/>
                <w:color w:val="FFFFFF"/>
                <w:sz w:val="16"/>
                <w:szCs w:val="16"/>
              </w:rPr>
            </w:pPr>
            <w:r w:rsidRPr="00AE4359">
              <w:rPr>
                <w:rFonts w:cs="Arial"/>
                <w:b/>
                <w:bCs/>
                <w:color w:val="FFFFFF"/>
                <w:sz w:val="16"/>
                <w:szCs w:val="16"/>
              </w:rPr>
              <w:t>2024</w:t>
            </w:r>
          </w:p>
        </w:tc>
        <w:tc>
          <w:tcPr>
            <w:tcW w:w="795" w:type="dxa"/>
            <w:tcBorders>
              <w:top w:val="nil"/>
              <w:left w:val="nil"/>
              <w:bottom w:val="single" w:sz="4" w:space="0" w:color="auto"/>
              <w:right w:val="nil"/>
            </w:tcBorders>
            <w:shd w:val="clear" w:color="000000" w:fill="6B2976"/>
            <w:noWrap/>
            <w:hideMark/>
          </w:tcPr>
          <w:p w14:paraId="7957E166" w14:textId="77777777" w:rsidR="00D23381" w:rsidRPr="00AE4359" w:rsidRDefault="00D23381" w:rsidP="00312E88">
            <w:pPr>
              <w:jc w:val="right"/>
              <w:rPr>
                <w:rFonts w:cs="Arial"/>
                <w:b/>
                <w:bCs/>
                <w:color w:val="FFFFFF"/>
                <w:sz w:val="16"/>
                <w:szCs w:val="16"/>
              </w:rPr>
            </w:pPr>
            <w:r w:rsidRPr="00AE4359">
              <w:rPr>
                <w:rFonts w:cs="Arial"/>
                <w:b/>
                <w:bCs/>
                <w:color w:val="FFFFFF"/>
                <w:sz w:val="16"/>
                <w:szCs w:val="16"/>
              </w:rPr>
              <w:t>2025</w:t>
            </w:r>
          </w:p>
        </w:tc>
        <w:tc>
          <w:tcPr>
            <w:tcW w:w="795" w:type="dxa"/>
            <w:tcBorders>
              <w:top w:val="single" w:sz="4" w:space="0" w:color="auto"/>
              <w:left w:val="dotted" w:sz="4" w:space="0" w:color="auto"/>
              <w:bottom w:val="single" w:sz="4" w:space="0" w:color="auto"/>
              <w:right w:val="single" w:sz="4" w:space="0" w:color="auto"/>
            </w:tcBorders>
            <w:shd w:val="clear" w:color="000000" w:fill="6B2976"/>
            <w:noWrap/>
            <w:hideMark/>
          </w:tcPr>
          <w:p w14:paraId="3B6EF5EC" w14:textId="77777777" w:rsidR="00D23381" w:rsidRPr="00AE4359" w:rsidRDefault="00D23381" w:rsidP="00312E88">
            <w:pPr>
              <w:jc w:val="right"/>
              <w:rPr>
                <w:rFonts w:cs="Arial"/>
                <w:b/>
                <w:bCs/>
                <w:color w:val="FFFFFF"/>
                <w:sz w:val="16"/>
                <w:szCs w:val="16"/>
              </w:rPr>
            </w:pPr>
            <w:r w:rsidRPr="00AE4359">
              <w:rPr>
                <w:rFonts w:cs="Arial"/>
                <w:b/>
                <w:bCs/>
                <w:color w:val="FFFFFF"/>
                <w:sz w:val="16"/>
                <w:szCs w:val="16"/>
              </w:rPr>
              <w:t>2030</w:t>
            </w:r>
          </w:p>
        </w:tc>
      </w:tr>
      <w:tr w:rsidR="00D23381" w:rsidRPr="00AE4359" w14:paraId="569538EE"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04E9E467" w14:textId="77777777" w:rsidR="00D23381" w:rsidRPr="00AE4359" w:rsidRDefault="00D23381" w:rsidP="00312E88">
            <w:pPr>
              <w:rPr>
                <w:rFonts w:cs="Arial"/>
                <w:color w:val="000000"/>
                <w:sz w:val="16"/>
                <w:szCs w:val="16"/>
              </w:rPr>
            </w:pPr>
            <w:r w:rsidRPr="00AE4359">
              <w:rPr>
                <w:rFonts w:cs="Arial"/>
                <w:color w:val="000000"/>
                <w:sz w:val="16"/>
                <w:szCs w:val="16"/>
              </w:rPr>
              <w:t>Autism</w:t>
            </w:r>
          </w:p>
        </w:tc>
        <w:tc>
          <w:tcPr>
            <w:tcW w:w="888" w:type="dxa"/>
            <w:tcBorders>
              <w:top w:val="nil"/>
              <w:left w:val="nil"/>
              <w:bottom w:val="nil"/>
              <w:right w:val="nil"/>
            </w:tcBorders>
            <w:shd w:val="clear" w:color="auto" w:fill="auto"/>
            <w:noWrap/>
            <w:hideMark/>
          </w:tcPr>
          <w:p w14:paraId="1BEC0894" w14:textId="77777777" w:rsidR="00D23381" w:rsidRPr="00AE4359" w:rsidRDefault="00D23381" w:rsidP="00312E88">
            <w:pPr>
              <w:jc w:val="right"/>
              <w:rPr>
                <w:rFonts w:cs="Arial"/>
                <w:color w:val="000000"/>
                <w:sz w:val="16"/>
                <w:szCs w:val="16"/>
              </w:rPr>
            </w:pPr>
            <w:r w:rsidRPr="00AE4359">
              <w:rPr>
                <w:rFonts w:cs="Arial"/>
                <w:color w:val="000000"/>
                <w:sz w:val="16"/>
                <w:szCs w:val="16"/>
              </w:rPr>
              <w:t>151,433</w:t>
            </w:r>
          </w:p>
        </w:tc>
        <w:tc>
          <w:tcPr>
            <w:tcW w:w="850" w:type="dxa"/>
            <w:tcBorders>
              <w:top w:val="nil"/>
              <w:left w:val="nil"/>
              <w:bottom w:val="nil"/>
              <w:right w:val="nil"/>
            </w:tcBorders>
            <w:shd w:val="clear" w:color="auto" w:fill="auto"/>
            <w:noWrap/>
            <w:hideMark/>
          </w:tcPr>
          <w:p w14:paraId="4911E258" w14:textId="77777777" w:rsidR="00D23381" w:rsidRPr="00AE4359" w:rsidRDefault="00D23381" w:rsidP="00312E88">
            <w:pPr>
              <w:jc w:val="right"/>
              <w:rPr>
                <w:rFonts w:cs="Arial"/>
                <w:color w:val="000000"/>
                <w:sz w:val="16"/>
                <w:szCs w:val="16"/>
              </w:rPr>
            </w:pPr>
            <w:r w:rsidRPr="00AE4359">
              <w:rPr>
                <w:rFonts w:cs="Arial"/>
                <w:color w:val="000000"/>
                <w:sz w:val="16"/>
                <w:szCs w:val="16"/>
              </w:rPr>
              <w:t>175,257</w:t>
            </w:r>
          </w:p>
        </w:tc>
        <w:tc>
          <w:tcPr>
            <w:tcW w:w="851" w:type="dxa"/>
            <w:tcBorders>
              <w:top w:val="nil"/>
              <w:left w:val="nil"/>
              <w:bottom w:val="nil"/>
              <w:right w:val="nil"/>
            </w:tcBorders>
            <w:shd w:val="clear" w:color="auto" w:fill="auto"/>
            <w:noWrap/>
            <w:hideMark/>
          </w:tcPr>
          <w:p w14:paraId="4E2515DF" w14:textId="77777777" w:rsidR="00D23381" w:rsidRPr="00AE4359" w:rsidRDefault="00D23381" w:rsidP="00312E88">
            <w:pPr>
              <w:jc w:val="right"/>
              <w:rPr>
                <w:rFonts w:cs="Arial"/>
                <w:color w:val="000000"/>
                <w:sz w:val="16"/>
                <w:szCs w:val="16"/>
              </w:rPr>
            </w:pPr>
            <w:r w:rsidRPr="00AE4359">
              <w:rPr>
                <w:rFonts w:cs="Arial"/>
                <w:color w:val="000000"/>
                <w:sz w:val="16"/>
                <w:szCs w:val="16"/>
              </w:rPr>
              <w:t>198,056</w:t>
            </w:r>
          </w:p>
        </w:tc>
        <w:tc>
          <w:tcPr>
            <w:tcW w:w="850" w:type="dxa"/>
            <w:tcBorders>
              <w:top w:val="nil"/>
              <w:left w:val="nil"/>
              <w:bottom w:val="nil"/>
              <w:right w:val="nil"/>
            </w:tcBorders>
            <w:shd w:val="clear" w:color="auto" w:fill="auto"/>
            <w:noWrap/>
            <w:hideMark/>
          </w:tcPr>
          <w:p w14:paraId="7FC4E5EC" w14:textId="77777777" w:rsidR="00D23381" w:rsidRPr="00AE4359" w:rsidRDefault="00D23381" w:rsidP="00312E88">
            <w:pPr>
              <w:jc w:val="right"/>
              <w:rPr>
                <w:rFonts w:cs="Arial"/>
                <w:color w:val="000000"/>
                <w:sz w:val="16"/>
                <w:szCs w:val="16"/>
              </w:rPr>
            </w:pPr>
            <w:r w:rsidRPr="00AE4359">
              <w:rPr>
                <w:rFonts w:cs="Arial"/>
                <w:color w:val="000000"/>
                <w:sz w:val="16"/>
                <w:szCs w:val="16"/>
              </w:rPr>
              <w:t>217,468</w:t>
            </w:r>
          </w:p>
        </w:tc>
        <w:tc>
          <w:tcPr>
            <w:tcW w:w="795" w:type="dxa"/>
            <w:tcBorders>
              <w:top w:val="nil"/>
              <w:left w:val="nil"/>
              <w:bottom w:val="nil"/>
              <w:right w:val="nil"/>
            </w:tcBorders>
            <w:shd w:val="clear" w:color="auto" w:fill="auto"/>
            <w:noWrap/>
            <w:hideMark/>
          </w:tcPr>
          <w:p w14:paraId="3FB58DBD" w14:textId="77777777" w:rsidR="00D23381" w:rsidRPr="00AE4359" w:rsidRDefault="00D23381" w:rsidP="00312E88">
            <w:pPr>
              <w:jc w:val="right"/>
              <w:rPr>
                <w:rFonts w:cs="Arial"/>
                <w:color w:val="000000"/>
                <w:sz w:val="16"/>
                <w:szCs w:val="16"/>
              </w:rPr>
            </w:pPr>
            <w:r w:rsidRPr="00AE4359">
              <w:rPr>
                <w:rFonts w:cs="Arial"/>
                <w:color w:val="000000"/>
                <w:sz w:val="16"/>
                <w:szCs w:val="16"/>
              </w:rPr>
              <w:t>236,946</w:t>
            </w:r>
          </w:p>
        </w:tc>
        <w:tc>
          <w:tcPr>
            <w:tcW w:w="795" w:type="dxa"/>
            <w:tcBorders>
              <w:top w:val="nil"/>
              <w:left w:val="dotted" w:sz="4" w:space="0" w:color="auto"/>
              <w:bottom w:val="nil"/>
              <w:right w:val="single" w:sz="4" w:space="0" w:color="auto"/>
            </w:tcBorders>
            <w:shd w:val="clear" w:color="auto" w:fill="auto"/>
            <w:noWrap/>
            <w:hideMark/>
          </w:tcPr>
          <w:p w14:paraId="330B6101" w14:textId="77777777" w:rsidR="00D23381" w:rsidRPr="00AE4359" w:rsidRDefault="00D23381" w:rsidP="00312E88">
            <w:pPr>
              <w:jc w:val="right"/>
              <w:rPr>
                <w:rFonts w:cs="Arial"/>
                <w:color w:val="000000"/>
                <w:sz w:val="16"/>
                <w:szCs w:val="16"/>
              </w:rPr>
            </w:pPr>
            <w:r w:rsidRPr="00AE4359">
              <w:rPr>
                <w:rFonts w:cs="Arial"/>
                <w:color w:val="000000"/>
                <w:sz w:val="16"/>
                <w:szCs w:val="16"/>
              </w:rPr>
              <w:t>337,908</w:t>
            </w:r>
          </w:p>
        </w:tc>
      </w:tr>
      <w:tr w:rsidR="00D23381" w:rsidRPr="00AE4359" w14:paraId="77616FF2"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35B5ECEF" w14:textId="77777777" w:rsidR="00D23381" w:rsidRPr="00AE4359" w:rsidRDefault="00D23381" w:rsidP="00312E88">
            <w:pPr>
              <w:rPr>
                <w:rFonts w:cs="Arial"/>
                <w:color w:val="000000"/>
                <w:sz w:val="16"/>
                <w:szCs w:val="16"/>
              </w:rPr>
            </w:pPr>
            <w:r w:rsidRPr="00AE4359">
              <w:rPr>
                <w:rFonts w:cs="Arial"/>
                <w:color w:val="000000"/>
                <w:sz w:val="16"/>
                <w:szCs w:val="16"/>
              </w:rPr>
              <w:t>Intellectual Disability</w:t>
            </w:r>
          </w:p>
        </w:tc>
        <w:tc>
          <w:tcPr>
            <w:tcW w:w="888" w:type="dxa"/>
            <w:tcBorders>
              <w:top w:val="nil"/>
              <w:left w:val="nil"/>
              <w:bottom w:val="nil"/>
              <w:right w:val="nil"/>
            </w:tcBorders>
            <w:shd w:val="clear" w:color="auto" w:fill="auto"/>
            <w:noWrap/>
            <w:hideMark/>
          </w:tcPr>
          <w:p w14:paraId="1F4F6AF0" w14:textId="77777777" w:rsidR="00D23381" w:rsidRPr="00AE4359" w:rsidRDefault="00D23381" w:rsidP="00312E88">
            <w:pPr>
              <w:jc w:val="right"/>
              <w:rPr>
                <w:rFonts w:cs="Arial"/>
                <w:color w:val="000000"/>
                <w:sz w:val="16"/>
                <w:szCs w:val="16"/>
              </w:rPr>
            </w:pPr>
            <w:r w:rsidRPr="00AE4359">
              <w:rPr>
                <w:rFonts w:cs="Arial"/>
                <w:color w:val="000000"/>
                <w:sz w:val="16"/>
                <w:szCs w:val="16"/>
              </w:rPr>
              <w:t>91,311</w:t>
            </w:r>
          </w:p>
        </w:tc>
        <w:tc>
          <w:tcPr>
            <w:tcW w:w="850" w:type="dxa"/>
            <w:tcBorders>
              <w:top w:val="nil"/>
              <w:left w:val="nil"/>
              <w:bottom w:val="nil"/>
              <w:right w:val="nil"/>
            </w:tcBorders>
            <w:shd w:val="clear" w:color="auto" w:fill="auto"/>
            <w:noWrap/>
            <w:hideMark/>
          </w:tcPr>
          <w:p w14:paraId="44C6320F" w14:textId="77777777" w:rsidR="00D23381" w:rsidRPr="00AE4359" w:rsidRDefault="00D23381" w:rsidP="00312E88">
            <w:pPr>
              <w:jc w:val="right"/>
              <w:rPr>
                <w:rFonts w:cs="Arial"/>
                <w:color w:val="000000"/>
                <w:sz w:val="16"/>
                <w:szCs w:val="16"/>
              </w:rPr>
            </w:pPr>
            <w:r w:rsidRPr="00AE4359">
              <w:rPr>
                <w:rFonts w:cs="Arial"/>
                <w:color w:val="000000"/>
                <w:sz w:val="16"/>
                <w:szCs w:val="16"/>
              </w:rPr>
              <w:t>98,114</w:t>
            </w:r>
          </w:p>
        </w:tc>
        <w:tc>
          <w:tcPr>
            <w:tcW w:w="851" w:type="dxa"/>
            <w:tcBorders>
              <w:top w:val="nil"/>
              <w:left w:val="nil"/>
              <w:bottom w:val="nil"/>
              <w:right w:val="nil"/>
            </w:tcBorders>
            <w:shd w:val="clear" w:color="auto" w:fill="auto"/>
            <w:noWrap/>
            <w:hideMark/>
          </w:tcPr>
          <w:p w14:paraId="027B3E1F" w14:textId="77777777" w:rsidR="00D23381" w:rsidRPr="00AE4359" w:rsidRDefault="00D23381" w:rsidP="00312E88">
            <w:pPr>
              <w:jc w:val="right"/>
              <w:rPr>
                <w:rFonts w:cs="Arial"/>
                <w:color w:val="000000"/>
                <w:sz w:val="16"/>
                <w:szCs w:val="16"/>
              </w:rPr>
            </w:pPr>
            <w:r w:rsidRPr="00AE4359">
              <w:rPr>
                <w:rFonts w:cs="Arial"/>
                <w:color w:val="000000"/>
                <w:sz w:val="16"/>
                <w:szCs w:val="16"/>
              </w:rPr>
              <w:t>104,590</w:t>
            </w:r>
          </w:p>
        </w:tc>
        <w:tc>
          <w:tcPr>
            <w:tcW w:w="850" w:type="dxa"/>
            <w:tcBorders>
              <w:top w:val="nil"/>
              <w:left w:val="nil"/>
              <w:bottom w:val="nil"/>
              <w:right w:val="nil"/>
            </w:tcBorders>
            <w:shd w:val="clear" w:color="auto" w:fill="auto"/>
            <w:noWrap/>
            <w:hideMark/>
          </w:tcPr>
          <w:p w14:paraId="4D0AE87A" w14:textId="77777777" w:rsidR="00D23381" w:rsidRPr="00AE4359" w:rsidRDefault="00D23381" w:rsidP="00312E88">
            <w:pPr>
              <w:jc w:val="right"/>
              <w:rPr>
                <w:rFonts w:cs="Arial"/>
                <w:color w:val="000000"/>
                <w:sz w:val="16"/>
                <w:szCs w:val="16"/>
              </w:rPr>
            </w:pPr>
            <w:r w:rsidRPr="00AE4359">
              <w:rPr>
                <w:rFonts w:cs="Arial"/>
                <w:color w:val="000000"/>
                <w:sz w:val="16"/>
                <w:szCs w:val="16"/>
              </w:rPr>
              <w:t>110,136</w:t>
            </w:r>
          </w:p>
        </w:tc>
        <w:tc>
          <w:tcPr>
            <w:tcW w:w="795" w:type="dxa"/>
            <w:tcBorders>
              <w:top w:val="nil"/>
              <w:left w:val="nil"/>
              <w:bottom w:val="nil"/>
              <w:right w:val="nil"/>
            </w:tcBorders>
            <w:shd w:val="clear" w:color="auto" w:fill="auto"/>
            <w:noWrap/>
            <w:hideMark/>
          </w:tcPr>
          <w:p w14:paraId="36857986" w14:textId="77777777" w:rsidR="00D23381" w:rsidRPr="00AE4359" w:rsidRDefault="00D23381" w:rsidP="00312E88">
            <w:pPr>
              <w:jc w:val="right"/>
              <w:rPr>
                <w:rFonts w:cs="Arial"/>
                <w:color w:val="000000"/>
                <w:sz w:val="16"/>
                <w:szCs w:val="16"/>
              </w:rPr>
            </w:pPr>
            <w:r w:rsidRPr="00AE4359">
              <w:rPr>
                <w:rFonts w:cs="Arial"/>
                <w:color w:val="000000"/>
                <w:sz w:val="16"/>
                <w:szCs w:val="16"/>
              </w:rPr>
              <w:t>115,551</w:t>
            </w:r>
          </w:p>
        </w:tc>
        <w:tc>
          <w:tcPr>
            <w:tcW w:w="795" w:type="dxa"/>
            <w:tcBorders>
              <w:top w:val="nil"/>
              <w:left w:val="dotted" w:sz="4" w:space="0" w:color="auto"/>
              <w:bottom w:val="nil"/>
              <w:right w:val="single" w:sz="4" w:space="0" w:color="auto"/>
            </w:tcBorders>
            <w:shd w:val="clear" w:color="auto" w:fill="auto"/>
            <w:noWrap/>
            <w:hideMark/>
          </w:tcPr>
          <w:p w14:paraId="3993D50F" w14:textId="77777777" w:rsidR="00D23381" w:rsidRPr="00AE4359" w:rsidRDefault="00D23381" w:rsidP="00312E88">
            <w:pPr>
              <w:jc w:val="right"/>
              <w:rPr>
                <w:rFonts w:cs="Arial"/>
                <w:color w:val="000000"/>
                <w:sz w:val="16"/>
                <w:szCs w:val="16"/>
              </w:rPr>
            </w:pPr>
            <w:r w:rsidRPr="00AE4359">
              <w:rPr>
                <w:rFonts w:cs="Arial"/>
                <w:color w:val="000000"/>
                <w:sz w:val="16"/>
                <w:szCs w:val="16"/>
              </w:rPr>
              <w:t>143,716</w:t>
            </w:r>
          </w:p>
        </w:tc>
      </w:tr>
      <w:tr w:rsidR="00D23381" w:rsidRPr="00AE4359" w14:paraId="61937FC5"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70108C66" w14:textId="77777777" w:rsidR="00D23381" w:rsidRPr="00AE4359" w:rsidRDefault="00D23381" w:rsidP="00312E88">
            <w:pPr>
              <w:rPr>
                <w:rFonts w:cs="Arial"/>
                <w:color w:val="000000"/>
                <w:sz w:val="16"/>
                <w:szCs w:val="16"/>
              </w:rPr>
            </w:pPr>
            <w:r w:rsidRPr="00AE4359">
              <w:rPr>
                <w:rFonts w:cs="Arial"/>
                <w:color w:val="000000"/>
                <w:sz w:val="16"/>
                <w:szCs w:val="16"/>
              </w:rPr>
              <w:t>Psychosocial Disability</w:t>
            </w:r>
          </w:p>
        </w:tc>
        <w:tc>
          <w:tcPr>
            <w:tcW w:w="888" w:type="dxa"/>
            <w:tcBorders>
              <w:top w:val="nil"/>
              <w:left w:val="nil"/>
              <w:bottom w:val="nil"/>
              <w:right w:val="nil"/>
            </w:tcBorders>
            <w:shd w:val="clear" w:color="auto" w:fill="auto"/>
            <w:noWrap/>
            <w:hideMark/>
          </w:tcPr>
          <w:p w14:paraId="45E71E10" w14:textId="77777777" w:rsidR="00D23381" w:rsidRPr="00AE4359" w:rsidRDefault="00D23381" w:rsidP="00312E88">
            <w:pPr>
              <w:jc w:val="right"/>
              <w:rPr>
                <w:rFonts w:cs="Arial"/>
                <w:color w:val="000000"/>
                <w:sz w:val="16"/>
                <w:szCs w:val="16"/>
              </w:rPr>
            </w:pPr>
            <w:r w:rsidRPr="00AE4359">
              <w:rPr>
                <w:rFonts w:cs="Arial"/>
                <w:color w:val="000000"/>
                <w:sz w:val="16"/>
                <w:szCs w:val="16"/>
              </w:rPr>
              <w:t>48,460</w:t>
            </w:r>
          </w:p>
        </w:tc>
        <w:tc>
          <w:tcPr>
            <w:tcW w:w="850" w:type="dxa"/>
            <w:tcBorders>
              <w:top w:val="nil"/>
              <w:left w:val="nil"/>
              <w:bottom w:val="nil"/>
              <w:right w:val="nil"/>
            </w:tcBorders>
            <w:shd w:val="clear" w:color="auto" w:fill="auto"/>
            <w:noWrap/>
            <w:hideMark/>
          </w:tcPr>
          <w:p w14:paraId="4E793323" w14:textId="77777777" w:rsidR="00D23381" w:rsidRPr="00AE4359" w:rsidRDefault="00D23381" w:rsidP="00312E88">
            <w:pPr>
              <w:jc w:val="right"/>
              <w:rPr>
                <w:rFonts w:cs="Arial"/>
                <w:color w:val="000000"/>
                <w:sz w:val="16"/>
                <w:szCs w:val="16"/>
              </w:rPr>
            </w:pPr>
            <w:r w:rsidRPr="00AE4359">
              <w:rPr>
                <w:rFonts w:cs="Arial"/>
                <w:color w:val="000000"/>
                <w:sz w:val="16"/>
                <w:szCs w:val="16"/>
              </w:rPr>
              <w:t>55,595</w:t>
            </w:r>
          </w:p>
        </w:tc>
        <w:tc>
          <w:tcPr>
            <w:tcW w:w="851" w:type="dxa"/>
            <w:tcBorders>
              <w:top w:val="nil"/>
              <w:left w:val="nil"/>
              <w:bottom w:val="nil"/>
              <w:right w:val="nil"/>
            </w:tcBorders>
            <w:shd w:val="clear" w:color="auto" w:fill="auto"/>
            <w:noWrap/>
            <w:hideMark/>
          </w:tcPr>
          <w:p w14:paraId="1AABB210" w14:textId="77777777" w:rsidR="00D23381" w:rsidRPr="00AE4359" w:rsidRDefault="00D23381" w:rsidP="00312E88">
            <w:pPr>
              <w:jc w:val="right"/>
              <w:rPr>
                <w:rFonts w:cs="Arial"/>
                <w:color w:val="000000"/>
                <w:sz w:val="16"/>
                <w:szCs w:val="16"/>
              </w:rPr>
            </w:pPr>
            <w:r w:rsidRPr="00AE4359">
              <w:rPr>
                <w:rFonts w:cs="Arial"/>
                <w:color w:val="000000"/>
                <w:sz w:val="16"/>
                <w:szCs w:val="16"/>
              </w:rPr>
              <w:t>61,676</w:t>
            </w:r>
          </w:p>
        </w:tc>
        <w:tc>
          <w:tcPr>
            <w:tcW w:w="850" w:type="dxa"/>
            <w:tcBorders>
              <w:top w:val="nil"/>
              <w:left w:val="nil"/>
              <w:bottom w:val="nil"/>
              <w:right w:val="nil"/>
            </w:tcBorders>
            <w:shd w:val="clear" w:color="auto" w:fill="auto"/>
            <w:noWrap/>
            <w:hideMark/>
          </w:tcPr>
          <w:p w14:paraId="47DADC50" w14:textId="77777777" w:rsidR="00D23381" w:rsidRPr="00AE4359" w:rsidRDefault="00D23381" w:rsidP="00312E88">
            <w:pPr>
              <w:jc w:val="right"/>
              <w:rPr>
                <w:rFonts w:cs="Arial"/>
                <w:color w:val="000000"/>
                <w:sz w:val="16"/>
                <w:szCs w:val="16"/>
              </w:rPr>
            </w:pPr>
            <w:r w:rsidRPr="00AE4359">
              <w:rPr>
                <w:rFonts w:cs="Arial"/>
                <w:color w:val="000000"/>
                <w:sz w:val="16"/>
                <w:szCs w:val="16"/>
              </w:rPr>
              <w:t>65,835</w:t>
            </w:r>
          </w:p>
        </w:tc>
        <w:tc>
          <w:tcPr>
            <w:tcW w:w="795" w:type="dxa"/>
            <w:tcBorders>
              <w:top w:val="nil"/>
              <w:left w:val="nil"/>
              <w:bottom w:val="nil"/>
              <w:right w:val="nil"/>
            </w:tcBorders>
            <w:shd w:val="clear" w:color="auto" w:fill="auto"/>
            <w:noWrap/>
            <w:hideMark/>
          </w:tcPr>
          <w:p w14:paraId="3242D45C" w14:textId="77777777" w:rsidR="00D23381" w:rsidRPr="00AE4359" w:rsidRDefault="00D23381" w:rsidP="00312E88">
            <w:pPr>
              <w:jc w:val="right"/>
              <w:rPr>
                <w:rFonts w:cs="Arial"/>
                <w:color w:val="000000"/>
                <w:sz w:val="16"/>
                <w:szCs w:val="16"/>
              </w:rPr>
            </w:pPr>
            <w:r w:rsidRPr="00AE4359">
              <w:rPr>
                <w:rFonts w:cs="Arial"/>
                <w:color w:val="000000"/>
                <w:sz w:val="16"/>
                <w:szCs w:val="16"/>
              </w:rPr>
              <w:t>69,735</w:t>
            </w:r>
          </w:p>
        </w:tc>
        <w:tc>
          <w:tcPr>
            <w:tcW w:w="795" w:type="dxa"/>
            <w:tcBorders>
              <w:top w:val="nil"/>
              <w:left w:val="dotted" w:sz="4" w:space="0" w:color="auto"/>
              <w:bottom w:val="nil"/>
              <w:right w:val="single" w:sz="4" w:space="0" w:color="auto"/>
            </w:tcBorders>
            <w:shd w:val="clear" w:color="auto" w:fill="auto"/>
            <w:noWrap/>
            <w:hideMark/>
          </w:tcPr>
          <w:p w14:paraId="48D9AB75" w14:textId="77777777" w:rsidR="00D23381" w:rsidRPr="00AE4359" w:rsidRDefault="00D23381" w:rsidP="00312E88">
            <w:pPr>
              <w:jc w:val="right"/>
              <w:rPr>
                <w:rFonts w:cs="Arial"/>
                <w:color w:val="000000"/>
                <w:sz w:val="16"/>
                <w:szCs w:val="16"/>
              </w:rPr>
            </w:pPr>
            <w:r w:rsidRPr="00AE4359">
              <w:rPr>
                <w:rFonts w:cs="Arial"/>
                <w:color w:val="000000"/>
                <w:sz w:val="16"/>
                <w:szCs w:val="16"/>
              </w:rPr>
              <w:t>88,180</w:t>
            </w:r>
          </w:p>
        </w:tc>
      </w:tr>
      <w:tr w:rsidR="00D23381" w:rsidRPr="00AE4359" w14:paraId="6783236B"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7299815B" w14:textId="77777777" w:rsidR="00D23381" w:rsidRPr="00AE4359" w:rsidRDefault="00D23381" w:rsidP="00312E88">
            <w:pPr>
              <w:rPr>
                <w:rFonts w:cs="Arial"/>
                <w:color w:val="000000"/>
                <w:sz w:val="16"/>
                <w:szCs w:val="16"/>
              </w:rPr>
            </w:pPr>
            <w:r w:rsidRPr="00AE4359">
              <w:rPr>
                <w:rFonts w:cs="Arial"/>
                <w:color w:val="000000"/>
                <w:sz w:val="16"/>
                <w:szCs w:val="16"/>
              </w:rPr>
              <w:t>Developmental Delay</w:t>
            </w:r>
          </w:p>
        </w:tc>
        <w:tc>
          <w:tcPr>
            <w:tcW w:w="888" w:type="dxa"/>
            <w:tcBorders>
              <w:top w:val="nil"/>
              <w:left w:val="nil"/>
              <w:bottom w:val="nil"/>
              <w:right w:val="nil"/>
            </w:tcBorders>
            <w:shd w:val="clear" w:color="auto" w:fill="auto"/>
            <w:noWrap/>
            <w:hideMark/>
          </w:tcPr>
          <w:p w14:paraId="06046344" w14:textId="77777777" w:rsidR="00D23381" w:rsidRPr="00AE4359" w:rsidRDefault="00D23381" w:rsidP="00312E88">
            <w:pPr>
              <w:jc w:val="right"/>
              <w:rPr>
                <w:rFonts w:cs="Arial"/>
                <w:color w:val="000000"/>
                <w:sz w:val="16"/>
                <w:szCs w:val="16"/>
              </w:rPr>
            </w:pPr>
            <w:r w:rsidRPr="00AE4359">
              <w:rPr>
                <w:rFonts w:cs="Arial"/>
                <w:color w:val="000000"/>
                <w:sz w:val="16"/>
                <w:szCs w:val="16"/>
              </w:rPr>
              <w:t>47,233</w:t>
            </w:r>
          </w:p>
        </w:tc>
        <w:tc>
          <w:tcPr>
            <w:tcW w:w="850" w:type="dxa"/>
            <w:tcBorders>
              <w:top w:val="nil"/>
              <w:left w:val="nil"/>
              <w:bottom w:val="nil"/>
              <w:right w:val="nil"/>
            </w:tcBorders>
            <w:shd w:val="clear" w:color="auto" w:fill="auto"/>
            <w:noWrap/>
            <w:hideMark/>
          </w:tcPr>
          <w:p w14:paraId="7160EE0F" w14:textId="77777777" w:rsidR="00D23381" w:rsidRPr="00AE4359" w:rsidRDefault="00D23381" w:rsidP="00312E88">
            <w:pPr>
              <w:jc w:val="right"/>
              <w:rPr>
                <w:rFonts w:cs="Arial"/>
                <w:color w:val="000000"/>
                <w:sz w:val="16"/>
                <w:szCs w:val="16"/>
              </w:rPr>
            </w:pPr>
            <w:r w:rsidRPr="00AE4359">
              <w:rPr>
                <w:rFonts w:cs="Arial"/>
                <w:color w:val="000000"/>
                <w:sz w:val="16"/>
                <w:szCs w:val="16"/>
              </w:rPr>
              <w:t>60,496</w:t>
            </w:r>
          </w:p>
        </w:tc>
        <w:tc>
          <w:tcPr>
            <w:tcW w:w="851" w:type="dxa"/>
            <w:tcBorders>
              <w:top w:val="nil"/>
              <w:left w:val="nil"/>
              <w:bottom w:val="nil"/>
              <w:right w:val="nil"/>
            </w:tcBorders>
            <w:shd w:val="clear" w:color="auto" w:fill="auto"/>
            <w:noWrap/>
            <w:hideMark/>
          </w:tcPr>
          <w:p w14:paraId="2E99A4CB" w14:textId="77777777" w:rsidR="00D23381" w:rsidRPr="00AE4359" w:rsidRDefault="00D23381" w:rsidP="00312E88">
            <w:pPr>
              <w:jc w:val="right"/>
              <w:rPr>
                <w:rFonts w:cs="Arial"/>
                <w:color w:val="000000"/>
                <w:sz w:val="16"/>
                <w:szCs w:val="16"/>
              </w:rPr>
            </w:pPr>
            <w:r w:rsidRPr="00AE4359">
              <w:rPr>
                <w:rFonts w:cs="Arial"/>
                <w:color w:val="000000"/>
                <w:sz w:val="16"/>
                <w:szCs w:val="16"/>
              </w:rPr>
              <w:t>70,138</w:t>
            </w:r>
          </w:p>
        </w:tc>
        <w:tc>
          <w:tcPr>
            <w:tcW w:w="850" w:type="dxa"/>
            <w:tcBorders>
              <w:top w:val="nil"/>
              <w:left w:val="nil"/>
              <w:bottom w:val="nil"/>
              <w:right w:val="nil"/>
            </w:tcBorders>
            <w:shd w:val="clear" w:color="auto" w:fill="auto"/>
            <w:noWrap/>
            <w:hideMark/>
          </w:tcPr>
          <w:p w14:paraId="5753D696" w14:textId="77777777" w:rsidR="00D23381" w:rsidRPr="00AE4359" w:rsidRDefault="00D23381" w:rsidP="00312E88">
            <w:pPr>
              <w:jc w:val="right"/>
              <w:rPr>
                <w:rFonts w:cs="Arial"/>
                <w:color w:val="000000"/>
                <w:sz w:val="16"/>
                <w:szCs w:val="16"/>
              </w:rPr>
            </w:pPr>
            <w:r w:rsidRPr="00AE4359">
              <w:rPr>
                <w:rFonts w:cs="Arial"/>
                <w:color w:val="000000"/>
                <w:sz w:val="16"/>
                <w:szCs w:val="16"/>
              </w:rPr>
              <w:t>76,848</w:t>
            </w:r>
          </w:p>
        </w:tc>
        <w:tc>
          <w:tcPr>
            <w:tcW w:w="795" w:type="dxa"/>
            <w:tcBorders>
              <w:top w:val="nil"/>
              <w:left w:val="nil"/>
              <w:bottom w:val="nil"/>
              <w:right w:val="nil"/>
            </w:tcBorders>
            <w:shd w:val="clear" w:color="auto" w:fill="auto"/>
            <w:noWrap/>
            <w:hideMark/>
          </w:tcPr>
          <w:p w14:paraId="465C2656" w14:textId="77777777" w:rsidR="00D23381" w:rsidRPr="00AE4359" w:rsidRDefault="00D23381" w:rsidP="00312E88">
            <w:pPr>
              <w:jc w:val="right"/>
              <w:rPr>
                <w:rFonts w:cs="Arial"/>
                <w:color w:val="000000"/>
                <w:sz w:val="16"/>
                <w:szCs w:val="16"/>
              </w:rPr>
            </w:pPr>
            <w:r w:rsidRPr="00AE4359">
              <w:rPr>
                <w:rFonts w:cs="Arial"/>
                <w:color w:val="000000"/>
                <w:sz w:val="16"/>
                <w:szCs w:val="16"/>
              </w:rPr>
              <w:t>80,867</w:t>
            </w:r>
          </w:p>
        </w:tc>
        <w:tc>
          <w:tcPr>
            <w:tcW w:w="795" w:type="dxa"/>
            <w:tcBorders>
              <w:top w:val="nil"/>
              <w:left w:val="dotted" w:sz="4" w:space="0" w:color="auto"/>
              <w:bottom w:val="nil"/>
              <w:right w:val="single" w:sz="4" w:space="0" w:color="auto"/>
            </w:tcBorders>
            <w:shd w:val="clear" w:color="auto" w:fill="auto"/>
            <w:noWrap/>
            <w:hideMark/>
          </w:tcPr>
          <w:p w14:paraId="58379605" w14:textId="77777777" w:rsidR="00D23381" w:rsidRPr="00AE4359" w:rsidRDefault="00D23381" w:rsidP="00312E88">
            <w:pPr>
              <w:jc w:val="right"/>
              <w:rPr>
                <w:rFonts w:cs="Arial"/>
                <w:color w:val="000000"/>
                <w:sz w:val="16"/>
                <w:szCs w:val="16"/>
              </w:rPr>
            </w:pPr>
            <w:r w:rsidRPr="00AE4359">
              <w:rPr>
                <w:rFonts w:cs="Arial"/>
                <w:color w:val="000000"/>
                <w:sz w:val="16"/>
                <w:szCs w:val="16"/>
              </w:rPr>
              <w:t>89,250</w:t>
            </w:r>
          </w:p>
        </w:tc>
      </w:tr>
      <w:tr w:rsidR="00D23381" w:rsidRPr="00AE4359" w14:paraId="2C742AB6"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2CF2A567" w14:textId="77777777" w:rsidR="00D23381" w:rsidRPr="00AE4359" w:rsidRDefault="00D23381" w:rsidP="00312E88">
            <w:pPr>
              <w:rPr>
                <w:rFonts w:cs="Arial"/>
                <w:color w:val="000000"/>
                <w:sz w:val="16"/>
                <w:szCs w:val="16"/>
              </w:rPr>
            </w:pPr>
            <w:r w:rsidRPr="00AE4359">
              <w:rPr>
                <w:rFonts w:cs="Arial"/>
                <w:color w:val="000000"/>
                <w:sz w:val="16"/>
                <w:szCs w:val="16"/>
              </w:rPr>
              <w:t>Sensory</w:t>
            </w:r>
          </w:p>
        </w:tc>
        <w:tc>
          <w:tcPr>
            <w:tcW w:w="888" w:type="dxa"/>
            <w:tcBorders>
              <w:top w:val="nil"/>
              <w:left w:val="nil"/>
              <w:bottom w:val="nil"/>
              <w:right w:val="nil"/>
            </w:tcBorders>
            <w:shd w:val="clear" w:color="auto" w:fill="auto"/>
            <w:noWrap/>
            <w:hideMark/>
          </w:tcPr>
          <w:p w14:paraId="73C0189D" w14:textId="77777777" w:rsidR="00D23381" w:rsidRPr="00AE4359" w:rsidRDefault="00D23381" w:rsidP="00312E88">
            <w:pPr>
              <w:jc w:val="right"/>
              <w:rPr>
                <w:rFonts w:cs="Arial"/>
                <w:color w:val="000000"/>
                <w:sz w:val="16"/>
                <w:szCs w:val="16"/>
              </w:rPr>
            </w:pPr>
            <w:r w:rsidRPr="00AE4359">
              <w:rPr>
                <w:rFonts w:cs="Arial"/>
                <w:color w:val="000000"/>
                <w:sz w:val="16"/>
                <w:szCs w:val="16"/>
              </w:rPr>
              <w:t>34,198</w:t>
            </w:r>
          </w:p>
        </w:tc>
        <w:tc>
          <w:tcPr>
            <w:tcW w:w="850" w:type="dxa"/>
            <w:tcBorders>
              <w:top w:val="nil"/>
              <w:left w:val="nil"/>
              <w:bottom w:val="nil"/>
              <w:right w:val="nil"/>
            </w:tcBorders>
            <w:shd w:val="clear" w:color="auto" w:fill="auto"/>
            <w:noWrap/>
            <w:hideMark/>
          </w:tcPr>
          <w:p w14:paraId="2B7D21B8" w14:textId="77777777" w:rsidR="00D23381" w:rsidRPr="00AE4359" w:rsidRDefault="00D23381" w:rsidP="00312E88">
            <w:pPr>
              <w:jc w:val="right"/>
              <w:rPr>
                <w:rFonts w:cs="Arial"/>
                <w:color w:val="000000"/>
                <w:sz w:val="16"/>
                <w:szCs w:val="16"/>
              </w:rPr>
            </w:pPr>
            <w:r w:rsidRPr="00AE4359">
              <w:rPr>
                <w:rFonts w:cs="Arial"/>
                <w:color w:val="000000"/>
                <w:sz w:val="16"/>
                <w:szCs w:val="16"/>
              </w:rPr>
              <w:t>37,970</w:t>
            </w:r>
          </w:p>
        </w:tc>
        <w:tc>
          <w:tcPr>
            <w:tcW w:w="851" w:type="dxa"/>
            <w:tcBorders>
              <w:top w:val="nil"/>
              <w:left w:val="nil"/>
              <w:bottom w:val="nil"/>
              <w:right w:val="nil"/>
            </w:tcBorders>
            <w:shd w:val="clear" w:color="auto" w:fill="auto"/>
            <w:noWrap/>
            <w:hideMark/>
          </w:tcPr>
          <w:p w14:paraId="7A834BDC" w14:textId="77777777" w:rsidR="00D23381" w:rsidRPr="00AE4359" w:rsidRDefault="00D23381" w:rsidP="00312E88">
            <w:pPr>
              <w:jc w:val="right"/>
              <w:rPr>
                <w:rFonts w:cs="Arial"/>
                <w:color w:val="000000"/>
                <w:sz w:val="16"/>
                <w:szCs w:val="16"/>
              </w:rPr>
            </w:pPr>
            <w:r w:rsidRPr="00AE4359">
              <w:rPr>
                <w:rFonts w:cs="Arial"/>
                <w:color w:val="000000"/>
                <w:sz w:val="16"/>
                <w:szCs w:val="16"/>
              </w:rPr>
              <w:t>41,270</w:t>
            </w:r>
          </w:p>
        </w:tc>
        <w:tc>
          <w:tcPr>
            <w:tcW w:w="850" w:type="dxa"/>
            <w:tcBorders>
              <w:top w:val="nil"/>
              <w:left w:val="nil"/>
              <w:bottom w:val="nil"/>
              <w:right w:val="nil"/>
            </w:tcBorders>
            <w:shd w:val="clear" w:color="auto" w:fill="auto"/>
            <w:noWrap/>
            <w:hideMark/>
          </w:tcPr>
          <w:p w14:paraId="1A0223B8" w14:textId="77777777" w:rsidR="00D23381" w:rsidRPr="00AE4359" w:rsidRDefault="00D23381" w:rsidP="00312E88">
            <w:pPr>
              <w:jc w:val="right"/>
              <w:rPr>
                <w:rFonts w:cs="Arial"/>
                <w:color w:val="000000"/>
                <w:sz w:val="16"/>
                <w:szCs w:val="16"/>
              </w:rPr>
            </w:pPr>
            <w:r w:rsidRPr="00AE4359">
              <w:rPr>
                <w:rFonts w:cs="Arial"/>
                <w:color w:val="000000"/>
                <w:sz w:val="16"/>
                <w:szCs w:val="16"/>
              </w:rPr>
              <w:t>43,853</w:t>
            </w:r>
          </w:p>
        </w:tc>
        <w:tc>
          <w:tcPr>
            <w:tcW w:w="795" w:type="dxa"/>
            <w:tcBorders>
              <w:top w:val="nil"/>
              <w:left w:val="nil"/>
              <w:bottom w:val="nil"/>
              <w:right w:val="nil"/>
            </w:tcBorders>
            <w:shd w:val="clear" w:color="auto" w:fill="auto"/>
            <w:noWrap/>
            <w:hideMark/>
          </w:tcPr>
          <w:p w14:paraId="5F2119CA" w14:textId="77777777" w:rsidR="00D23381" w:rsidRPr="00AE4359" w:rsidRDefault="00D23381" w:rsidP="00312E88">
            <w:pPr>
              <w:jc w:val="right"/>
              <w:rPr>
                <w:rFonts w:cs="Arial"/>
                <w:color w:val="000000"/>
                <w:sz w:val="16"/>
                <w:szCs w:val="16"/>
              </w:rPr>
            </w:pPr>
            <w:r w:rsidRPr="00AE4359">
              <w:rPr>
                <w:rFonts w:cs="Arial"/>
                <w:color w:val="000000"/>
                <w:sz w:val="16"/>
                <w:szCs w:val="16"/>
              </w:rPr>
              <w:t>46,160</w:t>
            </w:r>
          </w:p>
        </w:tc>
        <w:tc>
          <w:tcPr>
            <w:tcW w:w="795" w:type="dxa"/>
            <w:tcBorders>
              <w:top w:val="nil"/>
              <w:left w:val="dotted" w:sz="4" w:space="0" w:color="auto"/>
              <w:bottom w:val="nil"/>
              <w:right w:val="single" w:sz="4" w:space="0" w:color="auto"/>
            </w:tcBorders>
            <w:shd w:val="clear" w:color="auto" w:fill="auto"/>
            <w:noWrap/>
            <w:hideMark/>
          </w:tcPr>
          <w:p w14:paraId="13E75352" w14:textId="77777777" w:rsidR="00D23381" w:rsidRPr="00AE4359" w:rsidRDefault="00D23381" w:rsidP="00312E88">
            <w:pPr>
              <w:jc w:val="right"/>
              <w:rPr>
                <w:rFonts w:cs="Arial"/>
                <w:color w:val="000000"/>
                <w:sz w:val="16"/>
                <w:szCs w:val="16"/>
              </w:rPr>
            </w:pPr>
            <w:r w:rsidRPr="00AE4359">
              <w:rPr>
                <w:rFonts w:cs="Arial"/>
                <w:color w:val="000000"/>
                <w:sz w:val="16"/>
                <w:szCs w:val="16"/>
              </w:rPr>
              <w:t>57,179</w:t>
            </w:r>
          </w:p>
        </w:tc>
      </w:tr>
      <w:tr w:rsidR="00D23381" w:rsidRPr="00AE4359" w14:paraId="30EE68B6"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7F974B40" w14:textId="77777777" w:rsidR="00D23381" w:rsidRPr="00AE4359" w:rsidRDefault="00D23381" w:rsidP="00312E88">
            <w:pPr>
              <w:rPr>
                <w:rFonts w:cs="Arial"/>
                <w:color w:val="000000"/>
                <w:sz w:val="16"/>
                <w:szCs w:val="16"/>
              </w:rPr>
            </w:pPr>
            <w:r w:rsidRPr="00AE4359">
              <w:rPr>
                <w:rFonts w:cs="Arial"/>
                <w:color w:val="000000"/>
                <w:sz w:val="16"/>
                <w:szCs w:val="16"/>
              </w:rPr>
              <w:t>Other</w:t>
            </w:r>
          </w:p>
        </w:tc>
        <w:tc>
          <w:tcPr>
            <w:tcW w:w="888" w:type="dxa"/>
            <w:tcBorders>
              <w:top w:val="nil"/>
              <w:left w:val="nil"/>
              <w:bottom w:val="nil"/>
              <w:right w:val="nil"/>
            </w:tcBorders>
            <w:shd w:val="clear" w:color="auto" w:fill="auto"/>
            <w:noWrap/>
            <w:hideMark/>
          </w:tcPr>
          <w:p w14:paraId="6A2ECCDC" w14:textId="77777777" w:rsidR="00D23381" w:rsidRPr="00AE4359" w:rsidRDefault="00D23381" w:rsidP="00312E88">
            <w:pPr>
              <w:jc w:val="right"/>
              <w:rPr>
                <w:rFonts w:cs="Arial"/>
                <w:color w:val="000000"/>
                <w:sz w:val="16"/>
                <w:szCs w:val="16"/>
              </w:rPr>
            </w:pPr>
            <w:r w:rsidRPr="00AE4359">
              <w:rPr>
                <w:rFonts w:cs="Arial"/>
                <w:color w:val="000000"/>
                <w:sz w:val="16"/>
                <w:szCs w:val="16"/>
              </w:rPr>
              <w:t>93,984</w:t>
            </w:r>
          </w:p>
        </w:tc>
        <w:tc>
          <w:tcPr>
            <w:tcW w:w="850" w:type="dxa"/>
            <w:tcBorders>
              <w:top w:val="nil"/>
              <w:left w:val="nil"/>
              <w:bottom w:val="nil"/>
              <w:right w:val="nil"/>
            </w:tcBorders>
            <w:shd w:val="clear" w:color="auto" w:fill="auto"/>
            <w:noWrap/>
            <w:hideMark/>
          </w:tcPr>
          <w:p w14:paraId="20760271" w14:textId="77777777" w:rsidR="00D23381" w:rsidRPr="00AE4359" w:rsidRDefault="00D23381" w:rsidP="00312E88">
            <w:pPr>
              <w:jc w:val="right"/>
              <w:rPr>
                <w:rFonts w:cs="Arial"/>
                <w:color w:val="000000"/>
                <w:sz w:val="16"/>
                <w:szCs w:val="16"/>
              </w:rPr>
            </w:pPr>
            <w:r w:rsidRPr="00AE4359">
              <w:rPr>
                <w:rFonts w:cs="Arial"/>
                <w:color w:val="000000"/>
                <w:sz w:val="16"/>
                <w:szCs w:val="16"/>
              </w:rPr>
              <w:t>103,024</w:t>
            </w:r>
          </w:p>
        </w:tc>
        <w:tc>
          <w:tcPr>
            <w:tcW w:w="851" w:type="dxa"/>
            <w:tcBorders>
              <w:top w:val="nil"/>
              <w:left w:val="nil"/>
              <w:bottom w:val="nil"/>
              <w:right w:val="nil"/>
            </w:tcBorders>
            <w:shd w:val="clear" w:color="auto" w:fill="auto"/>
            <w:noWrap/>
            <w:hideMark/>
          </w:tcPr>
          <w:p w14:paraId="6A487FD1" w14:textId="77777777" w:rsidR="00D23381" w:rsidRPr="00AE4359" w:rsidRDefault="00D23381" w:rsidP="00312E88">
            <w:pPr>
              <w:jc w:val="right"/>
              <w:rPr>
                <w:rFonts w:cs="Arial"/>
                <w:color w:val="000000"/>
                <w:sz w:val="16"/>
                <w:szCs w:val="16"/>
              </w:rPr>
            </w:pPr>
            <w:r w:rsidRPr="00AE4359">
              <w:rPr>
                <w:rFonts w:cs="Arial"/>
                <w:color w:val="000000"/>
                <w:sz w:val="16"/>
                <w:szCs w:val="16"/>
              </w:rPr>
              <w:t>110,704</w:t>
            </w:r>
          </w:p>
        </w:tc>
        <w:tc>
          <w:tcPr>
            <w:tcW w:w="850" w:type="dxa"/>
            <w:tcBorders>
              <w:top w:val="nil"/>
              <w:left w:val="nil"/>
              <w:bottom w:val="nil"/>
              <w:right w:val="nil"/>
            </w:tcBorders>
            <w:shd w:val="clear" w:color="auto" w:fill="auto"/>
            <w:noWrap/>
            <w:hideMark/>
          </w:tcPr>
          <w:p w14:paraId="7A5C5BCD" w14:textId="77777777" w:rsidR="00D23381" w:rsidRPr="00AE4359" w:rsidRDefault="00D23381" w:rsidP="00312E88">
            <w:pPr>
              <w:jc w:val="right"/>
              <w:rPr>
                <w:rFonts w:cs="Arial"/>
                <w:color w:val="000000"/>
                <w:sz w:val="16"/>
                <w:szCs w:val="16"/>
              </w:rPr>
            </w:pPr>
            <w:r w:rsidRPr="00AE4359">
              <w:rPr>
                <w:rFonts w:cs="Arial"/>
                <w:color w:val="000000"/>
                <w:sz w:val="16"/>
                <w:szCs w:val="16"/>
              </w:rPr>
              <w:t>116,187</w:t>
            </w:r>
          </w:p>
        </w:tc>
        <w:tc>
          <w:tcPr>
            <w:tcW w:w="795" w:type="dxa"/>
            <w:tcBorders>
              <w:top w:val="nil"/>
              <w:left w:val="nil"/>
              <w:bottom w:val="nil"/>
              <w:right w:val="nil"/>
            </w:tcBorders>
            <w:shd w:val="clear" w:color="auto" w:fill="auto"/>
            <w:noWrap/>
            <w:hideMark/>
          </w:tcPr>
          <w:p w14:paraId="443AB05F" w14:textId="77777777" w:rsidR="00D23381" w:rsidRPr="00AE4359" w:rsidRDefault="00D23381" w:rsidP="00312E88">
            <w:pPr>
              <w:jc w:val="right"/>
              <w:rPr>
                <w:rFonts w:cs="Arial"/>
                <w:color w:val="000000"/>
                <w:sz w:val="16"/>
                <w:szCs w:val="16"/>
              </w:rPr>
            </w:pPr>
            <w:r w:rsidRPr="00AE4359">
              <w:rPr>
                <w:rFonts w:cs="Arial"/>
                <w:color w:val="000000"/>
                <w:sz w:val="16"/>
                <w:szCs w:val="16"/>
              </w:rPr>
              <w:t>121,141</w:t>
            </w:r>
          </w:p>
        </w:tc>
        <w:tc>
          <w:tcPr>
            <w:tcW w:w="795" w:type="dxa"/>
            <w:tcBorders>
              <w:top w:val="nil"/>
              <w:left w:val="dotted" w:sz="4" w:space="0" w:color="auto"/>
              <w:bottom w:val="nil"/>
              <w:right w:val="single" w:sz="4" w:space="0" w:color="auto"/>
            </w:tcBorders>
            <w:shd w:val="clear" w:color="auto" w:fill="auto"/>
            <w:noWrap/>
            <w:hideMark/>
          </w:tcPr>
          <w:p w14:paraId="1A8D11BE" w14:textId="77777777" w:rsidR="00D23381" w:rsidRPr="00AE4359" w:rsidRDefault="00D23381" w:rsidP="00312E88">
            <w:pPr>
              <w:jc w:val="right"/>
              <w:rPr>
                <w:rFonts w:cs="Arial"/>
                <w:color w:val="000000"/>
                <w:sz w:val="16"/>
                <w:szCs w:val="16"/>
              </w:rPr>
            </w:pPr>
            <w:r w:rsidRPr="00AE4359">
              <w:rPr>
                <w:rFonts w:cs="Arial"/>
                <w:color w:val="000000"/>
                <w:sz w:val="16"/>
                <w:szCs w:val="16"/>
              </w:rPr>
              <w:t>143,095</w:t>
            </w:r>
          </w:p>
        </w:tc>
      </w:tr>
      <w:tr w:rsidR="00D23381" w:rsidRPr="00AE4359" w14:paraId="4542FE20" w14:textId="77777777" w:rsidTr="0089597B">
        <w:trPr>
          <w:trHeight w:hRule="exact" w:val="301"/>
        </w:trPr>
        <w:tc>
          <w:tcPr>
            <w:tcW w:w="3360" w:type="dxa"/>
            <w:tcBorders>
              <w:top w:val="single" w:sz="4" w:space="0" w:color="auto"/>
              <w:left w:val="single" w:sz="4" w:space="0" w:color="auto"/>
              <w:bottom w:val="single" w:sz="4" w:space="0" w:color="auto"/>
              <w:right w:val="single" w:sz="4" w:space="0" w:color="auto"/>
            </w:tcBorders>
            <w:shd w:val="clear" w:color="000000" w:fill="F7EEF7"/>
            <w:noWrap/>
            <w:hideMark/>
          </w:tcPr>
          <w:p w14:paraId="4533DAEB" w14:textId="77777777" w:rsidR="00D23381" w:rsidRPr="00AE4359" w:rsidRDefault="00D23381" w:rsidP="00312E88">
            <w:pPr>
              <w:rPr>
                <w:rFonts w:cs="Arial"/>
                <w:b/>
                <w:bCs/>
                <w:color w:val="000000"/>
                <w:sz w:val="16"/>
                <w:szCs w:val="16"/>
              </w:rPr>
            </w:pPr>
            <w:r w:rsidRPr="00AE4359">
              <w:rPr>
                <w:rFonts w:cs="Arial"/>
                <w:b/>
                <w:bCs/>
                <w:color w:val="000000"/>
                <w:sz w:val="16"/>
                <w:szCs w:val="16"/>
              </w:rPr>
              <w:t>Total</w:t>
            </w:r>
          </w:p>
        </w:tc>
        <w:tc>
          <w:tcPr>
            <w:tcW w:w="888" w:type="dxa"/>
            <w:tcBorders>
              <w:top w:val="single" w:sz="4" w:space="0" w:color="auto"/>
              <w:left w:val="nil"/>
              <w:bottom w:val="single" w:sz="4" w:space="0" w:color="auto"/>
              <w:right w:val="nil"/>
            </w:tcBorders>
            <w:shd w:val="clear" w:color="000000" w:fill="F7EEF7"/>
            <w:noWrap/>
            <w:hideMark/>
          </w:tcPr>
          <w:p w14:paraId="71624A2D" w14:textId="77777777" w:rsidR="00D23381" w:rsidRPr="00AE4359" w:rsidRDefault="00D23381" w:rsidP="00312E88">
            <w:pPr>
              <w:jc w:val="right"/>
              <w:rPr>
                <w:rFonts w:cs="Arial"/>
                <w:b/>
                <w:bCs/>
                <w:color w:val="000000"/>
                <w:sz w:val="16"/>
                <w:szCs w:val="16"/>
              </w:rPr>
            </w:pPr>
            <w:r w:rsidRPr="00AE4359">
              <w:rPr>
                <w:rFonts w:cs="Arial"/>
                <w:b/>
                <w:bCs/>
                <w:color w:val="000000"/>
                <w:sz w:val="16"/>
                <w:szCs w:val="16"/>
              </w:rPr>
              <w:t>466,619</w:t>
            </w:r>
          </w:p>
        </w:tc>
        <w:tc>
          <w:tcPr>
            <w:tcW w:w="850" w:type="dxa"/>
            <w:tcBorders>
              <w:top w:val="single" w:sz="4" w:space="0" w:color="auto"/>
              <w:left w:val="nil"/>
              <w:bottom w:val="single" w:sz="4" w:space="0" w:color="auto"/>
              <w:right w:val="nil"/>
            </w:tcBorders>
            <w:shd w:val="clear" w:color="000000" w:fill="F7EEF7"/>
            <w:noWrap/>
            <w:hideMark/>
          </w:tcPr>
          <w:p w14:paraId="62C49443" w14:textId="77777777" w:rsidR="00D23381" w:rsidRPr="00AE4359" w:rsidRDefault="00D23381" w:rsidP="00312E88">
            <w:pPr>
              <w:jc w:val="right"/>
              <w:rPr>
                <w:rFonts w:cs="Arial"/>
                <w:b/>
                <w:bCs/>
                <w:color w:val="000000"/>
                <w:sz w:val="16"/>
                <w:szCs w:val="16"/>
              </w:rPr>
            </w:pPr>
            <w:r w:rsidRPr="00AE4359">
              <w:rPr>
                <w:rFonts w:cs="Arial"/>
                <w:b/>
                <w:bCs/>
                <w:color w:val="000000"/>
                <w:sz w:val="16"/>
                <w:szCs w:val="16"/>
              </w:rPr>
              <w:t>530,457</w:t>
            </w:r>
          </w:p>
        </w:tc>
        <w:tc>
          <w:tcPr>
            <w:tcW w:w="851" w:type="dxa"/>
            <w:tcBorders>
              <w:top w:val="single" w:sz="4" w:space="0" w:color="auto"/>
              <w:left w:val="nil"/>
              <w:bottom w:val="single" w:sz="4" w:space="0" w:color="auto"/>
              <w:right w:val="nil"/>
            </w:tcBorders>
            <w:shd w:val="clear" w:color="000000" w:fill="F7EEF7"/>
            <w:noWrap/>
            <w:hideMark/>
          </w:tcPr>
          <w:p w14:paraId="2A78A82E" w14:textId="77777777" w:rsidR="00D23381" w:rsidRPr="00AE4359" w:rsidRDefault="00D23381" w:rsidP="00312E88">
            <w:pPr>
              <w:jc w:val="right"/>
              <w:rPr>
                <w:rFonts w:cs="Arial"/>
                <w:b/>
                <w:bCs/>
                <w:color w:val="000000"/>
                <w:sz w:val="16"/>
                <w:szCs w:val="16"/>
              </w:rPr>
            </w:pPr>
            <w:r w:rsidRPr="00AE4359">
              <w:rPr>
                <w:rFonts w:cs="Arial"/>
                <w:b/>
                <w:bCs/>
                <w:color w:val="000000"/>
                <w:sz w:val="16"/>
                <w:szCs w:val="16"/>
              </w:rPr>
              <w:t>586,433</w:t>
            </w:r>
          </w:p>
        </w:tc>
        <w:tc>
          <w:tcPr>
            <w:tcW w:w="850" w:type="dxa"/>
            <w:tcBorders>
              <w:top w:val="single" w:sz="4" w:space="0" w:color="auto"/>
              <w:left w:val="nil"/>
              <w:bottom w:val="single" w:sz="4" w:space="0" w:color="auto"/>
              <w:right w:val="nil"/>
            </w:tcBorders>
            <w:shd w:val="clear" w:color="000000" w:fill="F7EEF7"/>
            <w:noWrap/>
            <w:hideMark/>
          </w:tcPr>
          <w:p w14:paraId="71D8BE61" w14:textId="77777777" w:rsidR="00D23381" w:rsidRPr="00AE4359" w:rsidRDefault="00D23381" w:rsidP="00312E88">
            <w:pPr>
              <w:jc w:val="right"/>
              <w:rPr>
                <w:rFonts w:cs="Arial"/>
                <w:b/>
                <w:bCs/>
                <w:color w:val="000000"/>
                <w:sz w:val="16"/>
                <w:szCs w:val="16"/>
              </w:rPr>
            </w:pPr>
            <w:r w:rsidRPr="00AE4359">
              <w:rPr>
                <w:rFonts w:cs="Arial"/>
                <w:b/>
                <w:bCs/>
                <w:color w:val="000000"/>
                <w:sz w:val="16"/>
                <w:szCs w:val="16"/>
              </w:rPr>
              <w:t>630,327</w:t>
            </w:r>
          </w:p>
        </w:tc>
        <w:tc>
          <w:tcPr>
            <w:tcW w:w="795" w:type="dxa"/>
            <w:tcBorders>
              <w:top w:val="single" w:sz="4" w:space="0" w:color="auto"/>
              <w:left w:val="nil"/>
              <w:bottom w:val="single" w:sz="4" w:space="0" w:color="auto"/>
              <w:right w:val="nil"/>
            </w:tcBorders>
            <w:shd w:val="clear" w:color="000000" w:fill="F7EEF7"/>
            <w:noWrap/>
            <w:hideMark/>
          </w:tcPr>
          <w:p w14:paraId="230C8EFE" w14:textId="77777777" w:rsidR="00D23381" w:rsidRPr="00AE4359" w:rsidRDefault="00D23381" w:rsidP="00312E88">
            <w:pPr>
              <w:jc w:val="right"/>
              <w:rPr>
                <w:rFonts w:cs="Arial"/>
                <w:b/>
                <w:bCs/>
                <w:color w:val="000000"/>
                <w:sz w:val="16"/>
                <w:szCs w:val="16"/>
              </w:rPr>
            </w:pPr>
            <w:r w:rsidRPr="00AE4359">
              <w:rPr>
                <w:rFonts w:cs="Arial"/>
                <w:b/>
                <w:bCs/>
                <w:color w:val="000000"/>
                <w:sz w:val="16"/>
                <w:szCs w:val="16"/>
              </w:rPr>
              <w:t>670,400</w:t>
            </w:r>
          </w:p>
        </w:tc>
        <w:tc>
          <w:tcPr>
            <w:tcW w:w="795" w:type="dxa"/>
            <w:tcBorders>
              <w:top w:val="single" w:sz="4" w:space="0" w:color="auto"/>
              <w:left w:val="dotted" w:sz="4" w:space="0" w:color="auto"/>
              <w:bottom w:val="single" w:sz="4" w:space="0" w:color="auto"/>
              <w:right w:val="single" w:sz="4" w:space="0" w:color="auto"/>
            </w:tcBorders>
            <w:shd w:val="clear" w:color="000000" w:fill="F7EEF7"/>
            <w:noWrap/>
            <w:hideMark/>
          </w:tcPr>
          <w:p w14:paraId="33D67493" w14:textId="77777777" w:rsidR="00D23381" w:rsidRPr="00AE4359" w:rsidRDefault="00D23381" w:rsidP="00312E88">
            <w:pPr>
              <w:jc w:val="right"/>
              <w:rPr>
                <w:rFonts w:cs="Arial"/>
                <w:b/>
                <w:bCs/>
                <w:color w:val="000000"/>
                <w:sz w:val="16"/>
                <w:szCs w:val="16"/>
              </w:rPr>
            </w:pPr>
            <w:r w:rsidRPr="00AE4359">
              <w:rPr>
                <w:rFonts w:cs="Arial"/>
                <w:b/>
                <w:bCs/>
                <w:color w:val="000000"/>
                <w:sz w:val="16"/>
                <w:szCs w:val="16"/>
              </w:rPr>
              <w:t>859,328</w:t>
            </w:r>
          </w:p>
        </w:tc>
      </w:tr>
      <w:tr w:rsidR="00D23381" w:rsidRPr="00AE4359" w14:paraId="53B2199F"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361BD97B" w14:textId="77777777" w:rsidR="00D23381" w:rsidRPr="00AE4359" w:rsidRDefault="00D23381" w:rsidP="00312E88">
            <w:pPr>
              <w:rPr>
                <w:rFonts w:cs="Arial"/>
                <w:color w:val="000000"/>
                <w:sz w:val="16"/>
                <w:szCs w:val="16"/>
              </w:rPr>
            </w:pPr>
            <w:r w:rsidRPr="00AE4359">
              <w:rPr>
                <w:rFonts w:cs="Arial"/>
                <w:color w:val="000000"/>
                <w:sz w:val="16"/>
                <w:szCs w:val="16"/>
              </w:rPr>
              <w:t>Autism</w:t>
            </w:r>
          </w:p>
        </w:tc>
        <w:tc>
          <w:tcPr>
            <w:tcW w:w="888" w:type="dxa"/>
            <w:tcBorders>
              <w:top w:val="nil"/>
              <w:left w:val="nil"/>
              <w:bottom w:val="nil"/>
              <w:right w:val="nil"/>
            </w:tcBorders>
            <w:shd w:val="clear" w:color="auto" w:fill="auto"/>
            <w:noWrap/>
            <w:hideMark/>
          </w:tcPr>
          <w:p w14:paraId="657324F0" w14:textId="77777777" w:rsidR="00D23381" w:rsidRPr="00AE4359" w:rsidRDefault="00D23381" w:rsidP="00312E88">
            <w:pPr>
              <w:jc w:val="right"/>
              <w:rPr>
                <w:rFonts w:cs="Arial"/>
                <w:color w:val="000000"/>
                <w:sz w:val="16"/>
                <w:szCs w:val="16"/>
              </w:rPr>
            </w:pPr>
            <w:r w:rsidRPr="00AE4359">
              <w:rPr>
                <w:rFonts w:cs="Arial"/>
                <w:color w:val="000000"/>
                <w:sz w:val="16"/>
                <w:szCs w:val="16"/>
              </w:rPr>
              <w:t>32.5%</w:t>
            </w:r>
          </w:p>
        </w:tc>
        <w:tc>
          <w:tcPr>
            <w:tcW w:w="850" w:type="dxa"/>
            <w:tcBorders>
              <w:top w:val="nil"/>
              <w:left w:val="nil"/>
              <w:bottom w:val="nil"/>
              <w:right w:val="nil"/>
            </w:tcBorders>
            <w:shd w:val="clear" w:color="auto" w:fill="auto"/>
            <w:noWrap/>
            <w:hideMark/>
          </w:tcPr>
          <w:p w14:paraId="0D5D028D" w14:textId="77777777" w:rsidR="00D23381" w:rsidRPr="00AE4359" w:rsidRDefault="00D23381" w:rsidP="00312E88">
            <w:pPr>
              <w:jc w:val="right"/>
              <w:rPr>
                <w:rFonts w:cs="Arial"/>
                <w:color w:val="000000"/>
                <w:sz w:val="16"/>
                <w:szCs w:val="16"/>
              </w:rPr>
            </w:pPr>
            <w:r w:rsidRPr="00AE4359">
              <w:rPr>
                <w:rFonts w:cs="Arial"/>
                <w:color w:val="000000"/>
                <w:sz w:val="16"/>
                <w:szCs w:val="16"/>
              </w:rPr>
              <w:t>33.0%</w:t>
            </w:r>
          </w:p>
        </w:tc>
        <w:tc>
          <w:tcPr>
            <w:tcW w:w="851" w:type="dxa"/>
            <w:tcBorders>
              <w:top w:val="nil"/>
              <w:left w:val="nil"/>
              <w:bottom w:val="nil"/>
              <w:right w:val="nil"/>
            </w:tcBorders>
            <w:shd w:val="clear" w:color="auto" w:fill="auto"/>
            <w:noWrap/>
            <w:hideMark/>
          </w:tcPr>
          <w:p w14:paraId="44379C43" w14:textId="77777777" w:rsidR="00D23381" w:rsidRPr="00AE4359" w:rsidRDefault="00D23381" w:rsidP="00312E88">
            <w:pPr>
              <w:jc w:val="right"/>
              <w:rPr>
                <w:rFonts w:cs="Arial"/>
                <w:color w:val="000000"/>
                <w:sz w:val="16"/>
                <w:szCs w:val="16"/>
              </w:rPr>
            </w:pPr>
            <w:r w:rsidRPr="00AE4359">
              <w:rPr>
                <w:rFonts w:cs="Arial"/>
                <w:color w:val="000000"/>
                <w:sz w:val="16"/>
                <w:szCs w:val="16"/>
              </w:rPr>
              <w:t>33.8%</w:t>
            </w:r>
          </w:p>
        </w:tc>
        <w:tc>
          <w:tcPr>
            <w:tcW w:w="850" w:type="dxa"/>
            <w:tcBorders>
              <w:top w:val="nil"/>
              <w:left w:val="nil"/>
              <w:bottom w:val="nil"/>
              <w:right w:val="nil"/>
            </w:tcBorders>
            <w:shd w:val="clear" w:color="auto" w:fill="auto"/>
            <w:noWrap/>
            <w:hideMark/>
          </w:tcPr>
          <w:p w14:paraId="2472834B" w14:textId="77777777" w:rsidR="00D23381" w:rsidRPr="00AE4359" w:rsidRDefault="00D23381" w:rsidP="00312E88">
            <w:pPr>
              <w:jc w:val="right"/>
              <w:rPr>
                <w:rFonts w:cs="Arial"/>
                <w:color w:val="000000"/>
                <w:sz w:val="16"/>
                <w:szCs w:val="16"/>
              </w:rPr>
            </w:pPr>
            <w:r w:rsidRPr="00AE4359">
              <w:rPr>
                <w:rFonts w:cs="Arial"/>
                <w:color w:val="000000"/>
                <w:sz w:val="16"/>
                <w:szCs w:val="16"/>
              </w:rPr>
              <w:t>34.5%</w:t>
            </w:r>
          </w:p>
        </w:tc>
        <w:tc>
          <w:tcPr>
            <w:tcW w:w="795" w:type="dxa"/>
            <w:tcBorders>
              <w:top w:val="nil"/>
              <w:left w:val="nil"/>
              <w:bottom w:val="nil"/>
              <w:right w:val="nil"/>
            </w:tcBorders>
            <w:shd w:val="clear" w:color="auto" w:fill="auto"/>
            <w:noWrap/>
            <w:hideMark/>
          </w:tcPr>
          <w:p w14:paraId="58239CA0" w14:textId="77777777" w:rsidR="00D23381" w:rsidRPr="00AE4359" w:rsidRDefault="00D23381" w:rsidP="00312E88">
            <w:pPr>
              <w:jc w:val="right"/>
              <w:rPr>
                <w:rFonts w:cs="Arial"/>
                <w:color w:val="000000"/>
                <w:sz w:val="16"/>
                <w:szCs w:val="16"/>
              </w:rPr>
            </w:pPr>
            <w:r w:rsidRPr="00AE4359">
              <w:rPr>
                <w:rFonts w:cs="Arial"/>
                <w:color w:val="000000"/>
                <w:sz w:val="16"/>
                <w:szCs w:val="16"/>
              </w:rPr>
              <w:t>35.3%</w:t>
            </w:r>
          </w:p>
        </w:tc>
        <w:tc>
          <w:tcPr>
            <w:tcW w:w="795" w:type="dxa"/>
            <w:tcBorders>
              <w:top w:val="nil"/>
              <w:left w:val="dotted" w:sz="4" w:space="0" w:color="auto"/>
              <w:bottom w:val="nil"/>
              <w:right w:val="single" w:sz="4" w:space="0" w:color="auto"/>
            </w:tcBorders>
            <w:shd w:val="clear" w:color="auto" w:fill="auto"/>
            <w:noWrap/>
            <w:hideMark/>
          </w:tcPr>
          <w:p w14:paraId="693C91CB" w14:textId="77777777" w:rsidR="00D23381" w:rsidRPr="00AE4359" w:rsidRDefault="00D23381" w:rsidP="00312E88">
            <w:pPr>
              <w:jc w:val="right"/>
              <w:rPr>
                <w:rFonts w:cs="Arial"/>
                <w:color w:val="000000"/>
                <w:sz w:val="16"/>
                <w:szCs w:val="16"/>
              </w:rPr>
            </w:pPr>
            <w:r w:rsidRPr="00AE4359">
              <w:rPr>
                <w:rFonts w:cs="Arial"/>
                <w:color w:val="000000"/>
                <w:sz w:val="16"/>
                <w:szCs w:val="16"/>
              </w:rPr>
              <w:t>39.3%</w:t>
            </w:r>
          </w:p>
        </w:tc>
      </w:tr>
      <w:tr w:rsidR="00D23381" w:rsidRPr="00AE4359" w14:paraId="5BA5173E"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728DD2C8" w14:textId="77777777" w:rsidR="00D23381" w:rsidRPr="00AE4359" w:rsidRDefault="00D23381" w:rsidP="00312E88">
            <w:pPr>
              <w:rPr>
                <w:rFonts w:cs="Arial"/>
                <w:color w:val="000000"/>
                <w:sz w:val="16"/>
                <w:szCs w:val="16"/>
              </w:rPr>
            </w:pPr>
            <w:r w:rsidRPr="00AE4359">
              <w:rPr>
                <w:rFonts w:cs="Arial"/>
                <w:color w:val="000000"/>
                <w:sz w:val="16"/>
                <w:szCs w:val="16"/>
              </w:rPr>
              <w:t>Intellectual Disability</w:t>
            </w:r>
          </w:p>
        </w:tc>
        <w:tc>
          <w:tcPr>
            <w:tcW w:w="888" w:type="dxa"/>
            <w:tcBorders>
              <w:top w:val="nil"/>
              <w:left w:val="nil"/>
              <w:bottom w:val="nil"/>
              <w:right w:val="nil"/>
            </w:tcBorders>
            <w:shd w:val="clear" w:color="auto" w:fill="auto"/>
            <w:noWrap/>
            <w:hideMark/>
          </w:tcPr>
          <w:p w14:paraId="45DC43AF" w14:textId="77777777" w:rsidR="00D23381" w:rsidRPr="00AE4359" w:rsidRDefault="00D23381" w:rsidP="00312E88">
            <w:pPr>
              <w:jc w:val="right"/>
              <w:rPr>
                <w:rFonts w:cs="Arial"/>
                <w:color w:val="000000"/>
                <w:sz w:val="16"/>
                <w:szCs w:val="16"/>
              </w:rPr>
            </w:pPr>
            <w:r w:rsidRPr="00AE4359">
              <w:rPr>
                <w:rFonts w:cs="Arial"/>
                <w:color w:val="000000"/>
                <w:sz w:val="16"/>
                <w:szCs w:val="16"/>
              </w:rPr>
              <w:t>19.6%</w:t>
            </w:r>
          </w:p>
        </w:tc>
        <w:tc>
          <w:tcPr>
            <w:tcW w:w="850" w:type="dxa"/>
            <w:tcBorders>
              <w:top w:val="nil"/>
              <w:left w:val="nil"/>
              <w:bottom w:val="nil"/>
              <w:right w:val="nil"/>
            </w:tcBorders>
            <w:shd w:val="clear" w:color="auto" w:fill="auto"/>
            <w:noWrap/>
            <w:hideMark/>
          </w:tcPr>
          <w:p w14:paraId="2E1D6253" w14:textId="77777777" w:rsidR="00D23381" w:rsidRPr="00AE4359" w:rsidRDefault="00D23381" w:rsidP="00312E88">
            <w:pPr>
              <w:jc w:val="right"/>
              <w:rPr>
                <w:rFonts w:cs="Arial"/>
                <w:color w:val="000000"/>
                <w:sz w:val="16"/>
                <w:szCs w:val="16"/>
              </w:rPr>
            </w:pPr>
            <w:r w:rsidRPr="00AE4359">
              <w:rPr>
                <w:rFonts w:cs="Arial"/>
                <w:color w:val="000000"/>
                <w:sz w:val="16"/>
                <w:szCs w:val="16"/>
              </w:rPr>
              <w:t>18.5%</w:t>
            </w:r>
          </w:p>
        </w:tc>
        <w:tc>
          <w:tcPr>
            <w:tcW w:w="851" w:type="dxa"/>
            <w:tcBorders>
              <w:top w:val="nil"/>
              <w:left w:val="nil"/>
              <w:bottom w:val="nil"/>
              <w:right w:val="nil"/>
            </w:tcBorders>
            <w:shd w:val="clear" w:color="auto" w:fill="auto"/>
            <w:noWrap/>
            <w:hideMark/>
          </w:tcPr>
          <w:p w14:paraId="3851C426" w14:textId="77777777" w:rsidR="00D23381" w:rsidRPr="00AE4359" w:rsidRDefault="00D23381" w:rsidP="00312E88">
            <w:pPr>
              <w:jc w:val="right"/>
              <w:rPr>
                <w:rFonts w:cs="Arial"/>
                <w:color w:val="000000"/>
                <w:sz w:val="16"/>
                <w:szCs w:val="16"/>
              </w:rPr>
            </w:pPr>
            <w:r w:rsidRPr="00AE4359">
              <w:rPr>
                <w:rFonts w:cs="Arial"/>
                <w:color w:val="000000"/>
                <w:sz w:val="16"/>
                <w:szCs w:val="16"/>
              </w:rPr>
              <w:t>17.8%</w:t>
            </w:r>
          </w:p>
        </w:tc>
        <w:tc>
          <w:tcPr>
            <w:tcW w:w="850" w:type="dxa"/>
            <w:tcBorders>
              <w:top w:val="nil"/>
              <w:left w:val="nil"/>
              <w:bottom w:val="nil"/>
              <w:right w:val="nil"/>
            </w:tcBorders>
            <w:shd w:val="clear" w:color="auto" w:fill="auto"/>
            <w:noWrap/>
            <w:hideMark/>
          </w:tcPr>
          <w:p w14:paraId="33DEAFE9" w14:textId="77777777" w:rsidR="00D23381" w:rsidRPr="00AE4359" w:rsidRDefault="00D23381" w:rsidP="00312E88">
            <w:pPr>
              <w:jc w:val="right"/>
              <w:rPr>
                <w:rFonts w:cs="Arial"/>
                <w:color w:val="000000"/>
                <w:sz w:val="16"/>
                <w:szCs w:val="16"/>
              </w:rPr>
            </w:pPr>
            <w:r w:rsidRPr="00AE4359">
              <w:rPr>
                <w:rFonts w:cs="Arial"/>
                <w:color w:val="000000"/>
                <w:sz w:val="16"/>
                <w:szCs w:val="16"/>
              </w:rPr>
              <w:t>17.5%</w:t>
            </w:r>
          </w:p>
        </w:tc>
        <w:tc>
          <w:tcPr>
            <w:tcW w:w="795" w:type="dxa"/>
            <w:tcBorders>
              <w:top w:val="nil"/>
              <w:left w:val="nil"/>
              <w:bottom w:val="nil"/>
              <w:right w:val="nil"/>
            </w:tcBorders>
            <w:shd w:val="clear" w:color="auto" w:fill="auto"/>
            <w:noWrap/>
            <w:hideMark/>
          </w:tcPr>
          <w:p w14:paraId="010F49C7" w14:textId="77777777" w:rsidR="00D23381" w:rsidRPr="00AE4359" w:rsidRDefault="00D23381" w:rsidP="00312E88">
            <w:pPr>
              <w:jc w:val="right"/>
              <w:rPr>
                <w:rFonts w:cs="Arial"/>
                <w:color w:val="000000"/>
                <w:sz w:val="16"/>
                <w:szCs w:val="16"/>
              </w:rPr>
            </w:pPr>
            <w:r w:rsidRPr="00AE4359">
              <w:rPr>
                <w:rFonts w:cs="Arial"/>
                <w:color w:val="000000"/>
                <w:sz w:val="16"/>
                <w:szCs w:val="16"/>
              </w:rPr>
              <w:t>17.2%</w:t>
            </w:r>
          </w:p>
        </w:tc>
        <w:tc>
          <w:tcPr>
            <w:tcW w:w="795" w:type="dxa"/>
            <w:tcBorders>
              <w:top w:val="nil"/>
              <w:left w:val="dotted" w:sz="4" w:space="0" w:color="auto"/>
              <w:bottom w:val="nil"/>
              <w:right w:val="single" w:sz="4" w:space="0" w:color="auto"/>
            </w:tcBorders>
            <w:shd w:val="clear" w:color="auto" w:fill="auto"/>
            <w:noWrap/>
            <w:hideMark/>
          </w:tcPr>
          <w:p w14:paraId="428DF963" w14:textId="77777777" w:rsidR="00D23381" w:rsidRPr="00AE4359" w:rsidRDefault="00D23381" w:rsidP="00312E88">
            <w:pPr>
              <w:jc w:val="right"/>
              <w:rPr>
                <w:rFonts w:cs="Arial"/>
                <w:color w:val="000000"/>
                <w:sz w:val="16"/>
                <w:szCs w:val="16"/>
              </w:rPr>
            </w:pPr>
            <w:r w:rsidRPr="00AE4359">
              <w:rPr>
                <w:rFonts w:cs="Arial"/>
                <w:color w:val="000000"/>
                <w:sz w:val="16"/>
                <w:szCs w:val="16"/>
              </w:rPr>
              <w:t>16.7%</w:t>
            </w:r>
          </w:p>
        </w:tc>
      </w:tr>
      <w:tr w:rsidR="00D23381" w:rsidRPr="00AE4359" w14:paraId="24CF6D97"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67798761" w14:textId="77777777" w:rsidR="00D23381" w:rsidRPr="00AE4359" w:rsidRDefault="00D23381" w:rsidP="00312E88">
            <w:pPr>
              <w:rPr>
                <w:rFonts w:cs="Arial"/>
                <w:color w:val="000000"/>
                <w:sz w:val="16"/>
                <w:szCs w:val="16"/>
              </w:rPr>
            </w:pPr>
            <w:r w:rsidRPr="00AE4359">
              <w:rPr>
                <w:rFonts w:cs="Arial"/>
                <w:color w:val="000000"/>
                <w:sz w:val="16"/>
                <w:szCs w:val="16"/>
              </w:rPr>
              <w:t>Psychosocial Disability</w:t>
            </w:r>
          </w:p>
        </w:tc>
        <w:tc>
          <w:tcPr>
            <w:tcW w:w="888" w:type="dxa"/>
            <w:tcBorders>
              <w:top w:val="nil"/>
              <w:left w:val="nil"/>
              <w:bottom w:val="nil"/>
              <w:right w:val="nil"/>
            </w:tcBorders>
            <w:shd w:val="clear" w:color="auto" w:fill="auto"/>
            <w:noWrap/>
            <w:hideMark/>
          </w:tcPr>
          <w:p w14:paraId="3C4B769F" w14:textId="77777777" w:rsidR="00D23381" w:rsidRPr="00AE4359" w:rsidRDefault="00D23381" w:rsidP="00312E88">
            <w:pPr>
              <w:jc w:val="right"/>
              <w:rPr>
                <w:rFonts w:cs="Arial"/>
                <w:color w:val="000000"/>
                <w:sz w:val="16"/>
                <w:szCs w:val="16"/>
              </w:rPr>
            </w:pPr>
            <w:r w:rsidRPr="00AE4359">
              <w:rPr>
                <w:rFonts w:cs="Arial"/>
                <w:color w:val="000000"/>
                <w:sz w:val="16"/>
                <w:szCs w:val="16"/>
              </w:rPr>
              <w:t>10.4%</w:t>
            </w:r>
          </w:p>
        </w:tc>
        <w:tc>
          <w:tcPr>
            <w:tcW w:w="850" w:type="dxa"/>
            <w:tcBorders>
              <w:top w:val="nil"/>
              <w:left w:val="nil"/>
              <w:bottom w:val="nil"/>
              <w:right w:val="nil"/>
            </w:tcBorders>
            <w:shd w:val="clear" w:color="auto" w:fill="auto"/>
            <w:noWrap/>
            <w:hideMark/>
          </w:tcPr>
          <w:p w14:paraId="36127832" w14:textId="77777777" w:rsidR="00D23381" w:rsidRPr="00AE4359" w:rsidRDefault="00D23381" w:rsidP="00312E88">
            <w:pPr>
              <w:jc w:val="right"/>
              <w:rPr>
                <w:rFonts w:cs="Arial"/>
                <w:color w:val="000000"/>
                <w:sz w:val="16"/>
                <w:szCs w:val="16"/>
              </w:rPr>
            </w:pPr>
            <w:r w:rsidRPr="00AE4359">
              <w:rPr>
                <w:rFonts w:cs="Arial"/>
                <w:color w:val="000000"/>
                <w:sz w:val="16"/>
                <w:szCs w:val="16"/>
              </w:rPr>
              <w:t>10.5%</w:t>
            </w:r>
          </w:p>
        </w:tc>
        <w:tc>
          <w:tcPr>
            <w:tcW w:w="851" w:type="dxa"/>
            <w:tcBorders>
              <w:top w:val="nil"/>
              <w:left w:val="nil"/>
              <w:bottom w:val="nil"/>
              <w:right w:val="nil"/>
            </w:tcBorders>
            <w:shd w:val="clear" w:color="auto" w:fill="auto"/>
            <w:noWrap/>
            <w:hideMark/>
          </w:tcPr>
          <w:p w14:paraId="7D99E61C" w14:textId="77777777" w:rsidR="00D23381" w:rsidRPr="00AE4359" w:rsidRDefault="00D23381" w:rsidP="00312E88">
            <w:pPr>
              <w:jc w:val="right"/>
              <w:rPr>
                <w:rFonts w:cs="Arial"/>
                <w:color w:val="000000"/>
                <w:sz w:val="16"/>
                <w:szCs w:val="16"/>
              </w:rPr>
            </w:pPr>
            <w:r w:rsidRPr="00AE4359">
              <w:rPr>
                <w:rFonts w:cs="Arial"/>
                <w:color w:val="000000"/>
                <w:sz w:val="16"/>
                <w:szCs w:val="16"/>
              </w:rPr>
              <w:t>10.5%</w:t>
            </w:r>
          </w:p>
        </w:tc>
        <w:tc>
          <w:tcPr>
            <w:tcW w:w="850" w:type="dxa"/>
            <w:tcBorders>
              <w:top w:val="nil"/>
              <w:left w:val="nil"/>
              <w:bottom w:val="nil"/>
              <w:right w:val="nil"/>
            </w:tcBorders>
            <w:shd w:val="clear" w:color="auto" w:fill="auto"/>
            <w:noWrap/>
            <w:hideMark/>
          </w:tcPr>
          <w:p w14:paraId="141DB91C" w14:textId="77777777" w:rsidR="00D23381" w:rsidRPr="00AE4359" w:rsidRDefault="00D23381" w:rsidP="00312E88">
            <w:pPr>
              <w:jc w:val="right"/>
              <w:rPr>
                <w:rFonts w:cs="Arial"/>
                <w:color w:val="000000"/>
                <w:sz w:val="16"/>
                <w:szCs w:val="16"/>
              </w:rPr>
            </w:pPr>
            <w:r w:rsidRPr="00AE4359">
              <w:rPr>
                <w:rFonts w:cs="Arial"/>
                <w:color w:val="000000"/>
                <w:sz w:val="16"/>
                <w:szCs w:val="16"/>
              </w:rPr>
              <w:t>10.4%</w:t>
            </w:r>
          </w:p>
        </w:tc>
        <w:tc>
          <w:tcPr>
            <w:tcW w:w="795" w:type="dxa"/>
            <w:tcBorders>
              <w:top w:val="nil"/>
              <w:left w:val="nil"/>
              <w:bottom w:val="nil"/>
              <w:right w:val="nil"/>
            </w:tcBorders>
            <w:shd w:val="clear" w:color="auto" w:fill="auto"/>
            <w:noWrap/>
            <w:hideMark/>
          </w:tcPr>
          <w:p w14:paraId="5353213E" w14:textId="77777777" w:rsidR="00D23381" w:rsidRPr="00AE4359" w:rsidRDefault="00D23381" w:rsidP="00312E88">
            <w:pPr>
              <w:jc w:val="right"/>
              <w:rPr>
                <w:rFonts w:cs="Arial"/>
                <w:color w:val="000000"/>
                <w:sz w:val="16"/>
                <w:szCs w:val="16"/>
              </w:rPr>
            </w:pPr>
            <w:r w:rsidRPr="00AE4359">
              <w:rPr>
                <w:rFonts w:cs="Arial"/>
                <w:color w:val="000000"/>
                <w:sz w:val="16"/>
                <w:szCs w:val="16"/>
              </w:rPr>
              <w:t>10.4%</w:t>
            </w:r>
          </w:p>
        </w:tc>
        <w:tc>
          <w:tcPr>
            <w:tcW w:w="795" w:type="dxa"/>
            <w:tcBorders>
              <w:top w:val="nil"/>
              <w:left w:val="dotted" w:sz="4" w:space="0" w:color="auto"/>
              <w:bottom w:val="nil"/>
              <w:right w:val="single" w:sz="4" w:space="0" w:color="auto"/>
            </w:tcBorders>
            <w:shd w:val="clear" w:color="auto" w:fill="auto"/>
            <w:noWrap/>
            <w:hideMark/>
          </w:tcPr>
          <w:p w14:paraId="372F1899" w14:textId="77777777" w:rsidR="00D23381" w:rsidRPr="00AE4359" w:rsidRDefault="00D23381" w:rsidP="00312E88">
            <w:pPr>
              <w:jc w:val="right"/>
              <w:rPr>
                <w:rFonts w:cs="Arial"/>
                <w:color w:val="000000"/>
                <w:sz w:val="16"/>
                <w:szCs w:val="16"/>
              </w:rPr>
            </w:pPr>
            <w:r w:rsidRPr="00AE4359">
              <w:rPr>
                <w:rFonts w:cs="Arial"/>
                <w:color w:val="000000"/>
                <w:sz w:val="16"/>
                <w:szCs w:val="16"/>
              </w:rPr>
              <w:t>10.3%</w:t>
            </w:r>
          </w:p>
        </w:tc>
      </w:tr>
      <w:tr w:rsidR="00D23381" w:rsidRPr="00AE4359" w14:paraId="623B6376"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44AC02B0" w14:textId="77777777" w:rsidR="00D23381" w:rsidRPr="00AE4359" w:rsidRDefault="00D23381" w:rsidP="00312E88">
            <w:pPr>
              <w:rPr>
                <w:rFonts w:cs="Arial"/>
                <w:color w:val="000000"/>
                <w:sz w:val="16"/>
                <w:szCs w:val="16"/>
              </w:rPr>
            </w:pPr>
            <w:r w:rsidRPr="00AE4359">
              <w:rPr>
                <w:rFonts w:cs="Arial"/>
                <w:color w:val="000000"/>
                <w:sz w:val="16"/>
                <w:szCs w:val="16"/>
              </w:rPr>
              <w:t>Developmental Delay</w:t>
            </w:r>
          </w:p>
        </w:tc>
        <w:tc>
          <w:tcPr>
            <w:tcW w:w="888" w:type="dxa"/>
            <w:tcBorders>
              <w:top w:val="nil"/>
              <w:left w:val="nil"/>
              <w:bottom w:val="nil"/>
              <w:right w:val="nil"/>
            </w:tcBorders>
            <w:shd w:val="clear" w:color="auto" w:fill="auto"/>
            <w:noWrap/>
            <w:hideMark/>
          </w:tcPr>
          <w:p w14:paraId="15EFE2B2" w14:textId="77777777" w:rsidR="00D23381" w:rsidRPr="00AE4359" w:rsidRDefault="00D23381" w:rsidP="00312E88">
            <w:pPr>
              <w:jc w:val="right"/>
              <w:rPr>
                <w:rFonts w:cs="Arial"/>
                <w:color w:val="000000"/>
                <w:sz w:val="16"/>
                <w:szCs w:val="16"/>
              </w:rPr>
            </w:pPr>
            <w:r w:rsidRPr="00AE4359">
              <w:rPr>
                <w:rFonts w:cs="Arial"/>
                <w:color w:val="000000"/>
                <w:sz w:val="16"/>
                <w:szCs w:val="16"/>
              </w:rPr>
              <w:t>10.1%</w:t>
            </w:r>
          </w:p>
        </w:tc>
        <w:tc>
          <w:tcPr>
            <w:tcW w:w="850" w:type="dxa"/>
            <w:tcBorders>
              <w:top w:val="nil"/>
              <w:left w:val="nil"/>
              <w:bottom w:val="nil"/>
              <w:right w:val="nil"/>
            </w:tcBorders>
            <w:shd w:val="clear" w:color="auto" w:fill="auto"/>
            <w:noWrap/>
            <w:hideMark/>
          </w:tcPr>
          <w:p w14:paraId="2ED88874" w14:textId="77777777" w:rsidR="00D23381" w:rsidRPr="00AE4359" w:rsidRDefault="00D23381" w:rsidP="00312E88">
            <w:pPr>
              <w:jc w:val="right"/>
              <w:rPr>
                <w:rFonts w:cs="Arial"/>
                <w:color w:val="000000"/>
                <w:sz w:val="16"/>
                <w:szCs w:val="16"/>
              </w:rPr>
            </w:pPr>
            <w:r w:rsidRPr="00AE4359">
              <w:rPr>
                <w:rFonts w:cs="Arial"/>
                <w:color w:val="000000"/>
                <w:sz w:val="16"/>
                <w:szCs w:val="16"/>
              </w:rPr>
              <w:t>11.4%</w:t>
            </w:r>
          </w:p>
        </w:tc>
        <w:tc>
          <w:tcPr>
            <w:tcW w:w="851" w:type="dxa"/>
            <w:tcBorders>
              <w:top w:val="nil"/>
              <w:left w:val="nil"/>
              <w:bottom w:val="nil"/>
              <w:right w:val="nil"/>
            </w:tcBorders>
            <w:shd w:val="clear" w:color="auto" w:fill="auto"/>
            <w:noWrap/>
            <w:hideMark/>
          </w:tcPr>
          <w:p w14:paraId="43F7900C" w14:textId="77777777" w:rsidR="00D23381" w:rsidRPr="00AE4359" w:rsidRDefault="00D23381" w:rsidP="00312E88">
            <w:pPr>
              <w:jc w:val="right"/>
              <w:rPr>
                <w:rFonts w:cs="Arial"/>
                <w:color w:val="000000"/>
                <w:sz w:val="16"/>
                <w:szCs w:val="16"/>
              </w:rPr>
            </w:pPr>
            <w:r w:rsidRPr="00AE4359">
              <w:rPr>
                <w:rFonts w:cs="Arial"/>
                <w:color w:val="000000"/>
                <w:sz w:val="16"/>
                <w:szCs w:val="16"/>
              </w:rPr>
              <w:t>12.0%</w:t>
            </w:r>
          </w:p>
        </w:tc>
        <w:tc>
          <w:tcPr>
            <w:tcW w:w="850" w:type="dxa"/>
            <w:tcBorders>
              <w:top w:val="nil"/>
              <w:left w:val="nil"/>
              <w:bottom w:val="nil"/>
              <w:right w:val="nil"/>
            </w:tcBorders>
            <w:shd w:val="clear" w:color="auto" w:fill="auto"/>
            <w:noWrap/>
            <w:hideMark/>
          </w:tcPr>
          <w:p w14:paraId="0B5E0842" w14:textId="77777777" w:rsidR="00D23381" w:rsidRPr="00AE4359" w:rsidRDefault="00D23381" w:rsidP="00312E88">
            <w:pPr>
              <w:jc w:val="right"/>
              <w:rPr>
                <w:rFonts w:cs="Arial"/>
                <w:color w:val="000000"/>
                <w:sz w:val="16"/>
                <w:szCs w:val="16"/>
              </w:rPr>
            </w:pPr>
            <w:r w:rsidRPr="00AE4359">
              <w:rPr>
                <w:rFonts w:cs="Arial"/>
                <w:color w:val="000000"/>
                <w:sz w:val="16"/>
                <w:szCs w:val="16"/>
              </w:rPr>
              <w:t>12.2%</w:t>
            </w:r>
          </w:p>
        </w:tc>
        <w:tc>
          <w:tcPr>
            <w:tcW w:w="795" w:type="dxa"/>
            <w:tcBorders>
              <w:top w:val="nil"/>
              <w:left w:val="nil"/>
              <w:bottom w:val="nil"/>
              <w:right w:val="nil"/>
            </w:tcBorders>
            <w:shd w:val="clear" w:color="auto" w:fill="auto"/>
            <w:noWrap/>
            <w:hideMark/>
          </w:tcPr>
          <w:p w14:paraId="316F9508" w14:textId="77777777" w:rsidR="00D23381" w:rsidRPr="00AE4359" w:rsidRDefault="00D23381" w:rsidP="00312E88">
            <w:pPr>
              <w:jc w:val="right"/>
              <w:rPr>
                <w:rFonts w:cs="Arial"/>
                <w:color w:val="000000"/>
                <w:sz w:val="16"/>
                <w:szCs w:val="16"/>
              </w:rPr>
            </w:pPr>
            <w:r w:rsidRPr="00AE4359">
              <w:rPr>
                <w:rFonts w:cs="Arial"/>
                <w:color w:val="000000"/>
                <w:sz w:val="16"/>
                <w:szCs w:val="16"/>
              </w:rPr>
              <w:t>12.1%</w:t>
            </w:r>
          </w:p>
        </w:tc>
        <w:tc>
          <w:tcPr>
            <w:tcW w:w="795" w:type="dxa"/>
            <w:tcBorders>
              <w:top w:val="nil"/>
              <w:left w:val="dotted" w:sz="4" w:space="0" w:color="auto"/>
              <w:bottom w:val="nil"/>
              <w:right w:val="single" w:sz="4" w:space="0" w:color="auto"/>
            </w:tcBorders>
            <w:shd w:val="clear" w:color="auto" w:fill="auto"/>
            <w:noWrap/>
            <w:hideMark/>
          </w:tcPr>
          <w:p w14:paraId="20B53192" w14:textId="77777777" w:rsidR="00D23381" w:rsidRPr="00AE4359" w:rsidRDefault="00D23381" w:rsidP="00312E88">
            <w:pPr>
              <w:jc w:val="right"/>
              <w:rPr>
                <w:rFonts w:cs="Arial"/>
                <w:color w:val="000000"/>
                <w:sz w:val="16"/>
                <w:szCs w:val="16"/>
              </w:rPr>
            </w:pPr>
            <w:r w:rsidRPr="00AE4359">
              <w:rPr>
                <w:rFonts w:cs="Arial"/>
                <w:color w:val="000000"/>
                <w:sz w:val="16"/>
                <w:szCs w:val="16"/>
              </w:rPr>
              <w:t>10.4%</w:t>
            </w:r>
          </w:p>
        </w:tc>
      </w:tr>
      <w:tr w:rsidR="00D23381" w:rsidRPr="00AE4359" w14:paraId="2BFDCF2F"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1B639344" w14:textId="77777777" w:rsidR="00D23381" w:rsidRPr="00AE4359" w:rsidRDefault="00D23381" w:rsidP="00312E88">
            <w:pPr>
              <w:rPr>
                <w:rFonts w:cs="Arial"/>
                <w:color w:val="000000"/>
                <w:sz w:val="16"/>
                <w:szCs w:val="16"/>
              </w:rPr>
            </w:pPr>
            <w:r w:rsidRPr="00AE4359">
              <w:rPr>
                <w:rFonts w:cs="Arial"/>
                <w:color w:val="000000"/>
                <w:sz w:val="16"/>
                <w:szCs w:val="16"/>
              </w:rPr>
              <w:t>Sensory</w:t>
            </w:r>
          </w:p>
        </w:tc>
        <w:tc>
          <w:tcPr>
            <w:tcW w:w="888" w:type="dxa"/>
            <w:tcBorders>
              <w:top w:val="nil"/>
              <w:left w:val="nil"/>
              <w:bottom w:val="nil"/>
              <w:right w:val="nil"/>
            </w:tcBorders>
            <w:shd w:val="clear" w:color="auto" w:fill="auto"/>
            <w:noWrap/>
            <w:hideMark/>
          </w:tcPr>
          <w:p w14:paraId="561552AC" w14:textId="77777777" w:rsidR="00D23381" w:rsidRPr="00AE4359" w:rsidRDefault="00D23381" w:rsidP="00312E88">
            <w:pPr>
              <w:jc w:val="right"/>
              <w:rPr>
                <w:rFonts w:cs="Arial"/>
                <w:color w:val="000000"/>
                <w:sz w:val="16"/>
                <w:szCs w:val="16"/>
              </w:rPr>
            </w:pPr>
            <w:r w:rsidRPr="00AE4359">
              <w:rPr>
                <w:rFonts w:cs="Arial"/>
                <w:color w:val="000000"/>
                <w:sz w:val="16"/>
                <w:szCs w:val="16"/>
              </w:rPr>
              <w:t>7.3%</w:t>
            </w:r>
          </w:p>
        </w:tc>
        <w:tc>
          <w:tcPr>
            <w:tcW w:w="850" w:type="dxa"/>
            <w:tcBorders>
              <w:top w:val="nil"/>
              <w:left w:val="nil"/>
              <w:bottom w:val="nil"/>
              <w:right w:val="nil"/>
            </w:tcBorders>
            <w:shd w:val="clear" w:color="auto" w:fill="auto"/>
            <w:noWrap/>
            <w:hideMark/>
          </w:tcPr>
          <w:p w14:paraId="0B116874" w14:textId="77777777" w:rsidR="00D23381" w:rsidRPr="00AE4359" w:rsidRDefault="00D23381" w:rsidP="00312E88">
            <w:pPr>
              <w:jc w:val="right"/>
              <w:rPr>
                <w:rFonts w:cs="Arial"/>
                <w:color w:val="000000"/>
                <w:sz w:val="16"/>
                <w:szCs w:val="16"/>
              </w:rPr>
            </w:pPr>
            <w:r w:rsidRPr="00AE4359">
              <w:rPr>
                <w:rFonts w:cs="Arial"/>
                <w:color w:val="000000"/>
                <w:sz w:val="16"/>
                <w:szCs w:val="16"/>
              </w:rPr>
              <w:t>7.2%</w:t>
            </w:r>
          </w:p>
        </w:tc>
        <w:tc>
          <w:tcPr>
            <w:tcW w:w="851" w:type="dxa"/>
            <w:tcBorders>
              <w:top w:val="nil"/>
              <w:left w:val="nil"/>
              <w:bottom w:val="nil"/>
              <w:right w:val="nil"/>
            </w:tcBorders>
            <w:shd w:val="clear" w:color="auto" w:fill="auto"/>
            <w:noWrap/>
            <w:hideMark/>
          </w:tcPr>
          <w:p w14:paraId="35E0E70F" w14:textId="77777777" w:rsidR="00D23381" w:rsidRPr="00AE4359" w:rsidRDefault="00D23381" w:rsidP="00312E88">
            <w:pPr>
              <w:jc w:val="right"/>
              <w:rPr>
                <w:rFonts w:cs="Arial"/>
                <w:color w:val="000000"/>
                <w:sz w:val="16"/>
                <w:szCs w:val="16"/>
              </w:rPr>
            </w:pPr>
            <w:r w:rsidRPr="00AE4359">
              <w:rPr>
                <w:rFonts w:cs="Arial"/>
                <w:color w:val="000000"/>
                <w:sz w:val="16"/>
                <w:szCs w:val="16"/>
              </w:rPr>
              <w:t>7.0%</w:t>
            </w:r>
          </w:p>
        </w:tc>
        <w:tc>
          <w:tcPr>
            <w:tcW w:w="850" w:type="dxa"/>
            <w:tcBorders>
              <w:top w:val="nil"/>
              <w:left w:val="nil"/>
              <w:bottom w:val="nil"/>
              <w:right w:val="nil"/>
            </w:tcBorders>
            <w:shd w:val="clear" w:color="auto" w:fill="auto"/>
            <w:noWrap/>
            <w:hideMark/>
          </w:tcPr>
          <w:p w14:paraId="100CF7C7" w14:textId="77777777" w:rsidR="00D23381" w:rsidRPr="00AE4359" w:rsidRDefault="00D23381" w:rsidP="00312E88">
            <w:pPr>
              <w:jc w:val="right"/>
              <w:rPr>
                <w:rFonts w:cs="Arial"/>
                <w:color w:val="000000"/>
                <w:sz w:val="16"/>
                <w:szCs w:val="16"/>
              </w:rPr>
            </w:pPr>
            <w:r w:rsidRPr="00AE4359">
              <w:rPr>
                <w:rFonts w:cs="Arial"/>
                <w:color w:val="000000"/>
                <w:sz w:val="16"/>
                <w:szCs w:val="16"/>
              </w:rPr>
              <w:t>7.0%</w:t>
            </w:r>
          </w:p>
        </w:tc>
        <w:tc>
          <w:tcPr>
            <w:tcW w:w="795" w:type="dxa"/>
            <w:tcBorders>
              <w:top w:val="nil"/>
              <w:left w:val="nil"/>
              <w:bottom w:val="nil"/>
              <w:right w:val="nil"/>
            </w:tcBorders>
            <w:shd w:val="clear" w:color="auto" w:fill="auto"/>
            <w:noWrap/>
            <w:hideMark/>
          </w:tcPr>
          <w:p w14:paraId="5C8A5227" w14:textId="77777777" w:rsidR="00D23381" w:rsidRPr="00AE4359" w:rsidRDefault="00D23381" w:rsidP="00312E88">
            <w:pPr>
              <w:jc w:val="right"/>
              <w:rPr>
                <w:rFonts w:cs="Arial"/>
                <w:color w:val="000000"/>
                <w:sz w:val="16"/>
                <w:szCs w:val="16"/>
              </w:rPr>
            </w:pPr>
            <w:r w:rsidRPr="00AE4359">
              <w:rPr>
                <w:rFonts w:cs="Arial"/>
                <w:color w:val="000000"/>
                <w:sz w:val="16"/>
                <w:szCs w:val="16"/>
              </w:rPr>
              <w:t>6.9%</w:t>
            </w:r>
          </w:p>
        </w:tc>
        <w:tc>
          <w:tcPr>
            <w:tcW w:w="795" w:type="dxa"/>
            <w:tcBorders>
              <w:top w:val="nil"/>
              <w:left w:val="dotted" w:sz="4" w:space="0" w:color="auto"/>
              <w:bottom w:val="nil"/>
              <w:right w:val="single" w:sz="4" w:space="0" w:color="auto"/>
            </w:tcBorders>
            <w:shd w:val="clear" w:color="auto" w:fill="auto"/>
            <w:noWrap/>
            <w:hideMark/>
          </w:tcPr>
          <w:p w14:paraId="417E793C" w14:textId="77777777" w:rsidR="00D23381" w:rsidRPr="00AE4359" w:rsidRDefault="00D23381" w:rsidP="00312E88">
            <w:pPr>
              <w:jc w:val="right"/>
              <w:rPr>
                <w:rFonts w:cs="Arial"/>
                <w:color w:val="000000"/>
                <w:sz w:val="16"/>
                <w:szCs w:val="16"/>
              </w:rPr>
            </w:pPr>
            <w:r w:rsidRPr="00AE4359">
              <w:rPr>
                <w:rFonts w:cs="Arial"/>
                <w:color w:val="000000"/>
                <w:sz w:val="16"/>
                <w:szCs w:val="16"/>
              </w:rPr>
              <w:t>6.7%</w:t>
            </w:r>
          </w:p>
        </w:tc>
      </w:tr>
      <w:tr w:rsidR="00D23381" w:rsidRPr="00AE4359" w14:paraId="5B538410" w14:textId="77777777" w:rsidTr="0089597B">
        <w:trPr>
          <w:trHeight w:hRule="exact" w:val="301"/>
        </w:trPr>
        <w:tc>
          <w:tcPr>
            <w:tcW w:w="3360" w:type="dxa"/>
            <w:tcBorders>
              <w:top w:val="nil"/>
              <w:left w:val="single" w:sz="4" w:space="0" w:color="auto"/>
              <w:bottom w:val="nil"/>
              <w:right w:val="single" w:sz="4" w:space="0" w:color="auto"/>
            </w:tcBorders>
            <w:shd w:val="clear" w:color="auto" w:fill="auto"/>
            <w:noWrap/>
            <w:hideMark/>
          </w:tcPr>
          <w:p w14:paraId="4302167D" w14:textId="77777777" w:rsidR="00D23381" w:rsidRPr="00AE4359" w:rsidRDefault="00D23381" w:rsidP="00312E88">
            <w:pPr>
              <w:rPr>
                <w:rFonts w:cs="Arial"/>
                <w:color w:val="000000"/>
                <w:sz w:val="16"/>
                <w:szCs w:val="16"/>
              </w:rPr>
            </w:pPr>
            <w:r w:rsidRPr="00AE4359">
              <w:rPr>
                <w:rFonts w:cs="Arial"/>
                <w:color w:val="000000"/>
                <w:sz w:val="16"/>
                <w:szCs w:val="16"/>
              </w:rPr>
              <w:t>Other</w:t>
            </w:r>
          </w:p>
        </w:tc>
        <w:tc>
          <w:tcPr>
            <w:tcW w:w="888" w:type="dxa"/>
            <w:tcBorders>
              <w:top w:val="nil"/>
              <w:left w:val="nil"/>
              <w:bottom w:val="nil"/>
              <w:right w:val="nil"/>
            </w:tcBorders>
            <w:shd w:val="clear" w:color="auto" w:fill="auto"/>
            <w:noWrap/>
            <w:hideMark/>
          </w:tcPr>
          <w:p w14:paraId="4225A023" w14:textId="77777777" w:rsidR="00D23381" w:rsidRPr="00AE4359" w:rsidRDefault="00D23381" w:rsidP="00312E88">
            <w:pPr>
              <w:jc w:val="right"/>
              <w:rPr>
                <w:rFonts w:cs="Arial"/>
                <w:color w:val="000000"/>
                <w:sz w:val="16"/>
                <w:szCs w:val="16"/>
              </w:rPr>
            </w:pPr>
            <w:r w:rsidRPr="00AE4359">
              <w:rPr>
                <w:rFonts w:cs="Arial"/>
                <w:color w:val="000000"/>
                <w:sz w:val="16"/>
                <w:szCs w:val="16"/>
              </w:rPr>
              <w:t>20.1%</w:t>
            </w:r>
          </w:p>
        </w:tc>
        <w:tc>
          <w:tcPr>
            <w:tcW w:w="850" w:type="dxa"/>
            <w:tcBorders>
              <w:top w:val="nil"/>
              <w:left w:val="nil"/>
              <w:bottom w:val="nil"/>
              <w:right w:val="nil"/>
            </w:tcBorders>
            <w:shd w:val="clear" w:color="auto" w:fill="auto"/>
            <w:noWrap/>
            <w:hideMark/>
          </w:tcPr>
          <w:p w14:paraId="387D39AE" w14:textId="77777777" w:rsidR="00D23381" w:rsidRPr="00AE4359" w:rsidRDefault="00D23381" w:rsidP="00312E88">
            <w:pPr>
              <w:jc w:val="right"/>
              <w:rPr>
                <w:rFonts w:cs="Arial"/>
                <w:color w:val="000000"/>
                <w:sz w:val="16"/>
                <w:szCs w:val="16"/>
              </w:rPr>
            </w:pPr>
            <w:r w:rsidRPr="00AE4359">
              <w:rPr>
                <w:rFonts w:cs="Arial"/>
                <w:color w:val="000000"/>
                <w:sz w:val="16"/>
                <w:szCs w:val="16"/>
              </w:rPr>
              <w:t>19.4%</w:t>
            </w:r>
          </w:p>
        </w:tc>
        <w:tc>
          <w:tcPr>
            <w:tcW w:w="851" w:type="dxa"/>
            <w:tcBorders>
              <w:top w:val="nil"/>
              <w:left w:val="nil"/>
              <w:bottom w:val="nil"/>
              <w:right w:val="nil"/>
            </w:tcBorders>
            <w:shd w:val="clear" w:color="auto" w:fill="auto"/>
            <w:noWrap/>
            <w:hideMark/>
          </w:tcPr>
          <w:p w14:paraId="371A8F52" w14:textId="77777777" w:rsidR="00D23381" w:rsidRPr="00AE4359" w:rsidRDefault="00D23381" w:rsidP="00312E88">
            <w:pPr>
              <w:jc w:val="right"/>
              <w:rPr>
                <w:rFonts w:cs="Arial"/>
                <w:color w:val="000000"/>
                <w:sz w:val="16"/>
                <w:szCs w:val="16"/>
              </w:rPr>
            </w:pPr>
            <w:r w:rsidRPr="00AE4359">
              <w:rPr>
                <w:rFonts w:cs="Arial"/>
                <w:color w:val="000000"/>
                <w:sz w:val="16"/>
                <w:szCs w:val="16"/>
              </w:rPr>
              <w:t>18.9%</w:t>
            </w:r>
          </w:p>
        </w:tc>
        <w:tc>
          <w:tcPr>
            <w:tcW w:w="850" w:type="dxa"/>
            <w:tcBorders>
              <w:top w:val="nil"/>
              <w:left w:val="nil"/>
              <w:bottom w:val="nil"/>
              <w:right w:val="nil"/>
            </w:tcBorders>
            <w:shd w:val="clear" w:color="auto" w:fill="auto"/>
            <w:noWrap/>
            <w:hideMark/>
          </w:tcPr>
          <w:p w14:paraId="10F8FEBB" w14:textId="77777777" w:rsidR="00D23381" w:rsidRPr="00AE4359" w:rsidRDefault="00D23381" w:rsidP="00312E88">
            <w:pPr>
              <w:jc w:val="right"/>
              <w:rPr>
                <w:rFonts w:cs="Arial"/>
                <w:color w:val="000000"/>
                <w:sz w:val="16"/>
                <w:szCs w:val="16"/>
              </w:rPr>
            </w:pPr>
            <w:r w:rsidRPr="00AE4359">
              <w:rPr>
                <w:rFonts w:cs="Arial"/>
                <w:color w:val="000000"/>
                <w:sz w:val="16"/>
                <w:szCs w:val="16"/>
              </w:rPr>
              <w:t>18.4%</w:t>
            </w:r>
          </w:p>
        </w:tc>
        <w:tc>
          <w:tcPr>
            <w:tcW w:w="795" w:type="dxa"/>
            <w:tcBorders>
              <w:top w:val="nil"/>
              <w:left w:val="nil"/>
              <w:bottom w:val="nil"/>
              <w:right w:val="nil"/>
            </w:tcBorders>
            <w:shd w:val="clear" w:color="auto" w:fill="auto"/>
            <w:noWrap/>
            <w:hideMark/>
          </w:tcPr>
          <w:p w14:paraId="3B50F96A" w14:textId="77777777" w:rsidR="00D23381" w:rsidRPr="00AE4359" w:rsidRDefault="00D23381" w:rsidP="00312E88">
            <w:pPr>
              <w:jc w:val="right"/>
              <w:rPr>
                <w:rFonts w:cs="Arial"/>
                <w:color w:val="000000"/>
                <w:sz w:val="16"/>
                <w:szCs w:val="16"/>
              </w:rPr>
            </w:pPr>
            <w:r w:rsidRPr="00AE4359">
              <w:rPr>
                <w:rFonts w:cs="Arial"/>
                <w:color w:val="000000"/>
                <w:sz w:val="16"/>
                <w:szCs w:val="16"/>
              </w:rPr>
              <w:t>18.1%</w:t>
            </w:r>
          </w:p>
        </w:tc>
        <w:tc>
          <w:tcPr>
            <w:tcW w:w="795" w:type="dxa"/>
            <w:tcBorders>
              <w:top w:val="nil"/>
              <w:left w:val="dotted" w:sz="4" w:space="0" w:color="auto"/>
              <w:bottom w:val="nil"/>
              <w:right w:val="single" w:sz="4" w:space="0" w:color="auto"/>
            </w:tcBorders>
            <w:shd w:val="clear" w:color="auto" w:fill="auto"/>
            <w:noWrap/>
            <w:hideMark/>
          </w:tcPr>
          <w:p w14:paraId="2C7D3B2A" w14:textId="77777777" w:rsidR="00D23381" w:rsidRPr="00AE4359" w:rsidRDefault="00D23381" w:rsidP="00312E88">
            <w:pPr>
              <w:jc w:val="right"/>
              <w:rPr>
                <w:rFonts w:cs="Arial"/>
                <w:color w:val="000000"/>
                <w:sz w:val="16"/>
                <w:szCs w:val="16"/>
              </w:rPr>
            </w:pPr>
            <w:r w:rsidRPr="00AE4359">
              <w:rPr>
                <w:rFonts w:cs="Arial"/>
                <w:color w:val="000000"/>
                <w:sz w:val="16"/>
                <w:szCs w:val="16"/>
              </w:rPr>
              <w:t>16.7%</w:t>
            </w:r>
          </w:p>
        </w:tc>
      </w:tr>
      <w:tr w:rsidR="00D23381" w:rsidRPr="00AE4359" w14:paraId="0898E791" w14:textId="77777777" w:rsidTr="0089597B">
        <w:trPr>
          <w:trHeight w:hRule="exact" w:val="301"/>
        </w:trPr>
        <w:tc>
          <w:tcPr>
            <w:tcW w:w="3360" w:type="dxa"/>
            <w:tcBorders>
              <w:top w:val="single" w:sz="4" w:space="0" w:color="auto"/>
              <w:left w:val="single" w:sz="4" w:space="0" w:color="auto"/>
              <w:bottom w:val="single" w:sz="4" w:space="0" w:color="auto"/>
              <w:right w:val="single" w:sz="4" w:space="0" w:color="auto"/>
            </w:tcBorders>
            <w:shd w:val="clear" w:color="000000" w:fill="F7EEF7"/>
            <w:noWrap/>
            <w:hideMark/>
          </w:tcPr>
          <w:p w14:paraId="2DFE306E" w14:textId="77777777" w:rsidR="00D23381" w:rsidRPr="00AE4359" w:rsidRDefault="00D23381" w:rsidP="00312E88">
            <w:pPr>
              <w:rPr>
                <w:rFonts w:cs="Arial"/>
                <w:b/>
                <w:bCs/>
                <w:color w:val="000000"/>
                <w:sz w:val="16"/>
                <w:szCs w:val="16"/>
              </w:rPr>
            </w:pPr>
            <w:r w:rsidRPr="00AE4359">
              <w:rPr>
                <w:rFonts w:cs="Arial"/>
                <w:b/>
                <w:bCs/>
                <w:color w:val="000000"/>
                <w:sz w:val="16"/>
                <w:szCs w:val="16"/>
              </w:rPr>
              <w:t>Total</w:t>
            </w:r>
          </w:p>
        </w:tc>
        <w:tc>
          <w:tcPr>
            <w:tcW w:w="888" w:type="dxa"/>
            <w:tcBorders>
              <w:top w:val="single" w:sz="4" w:space="0" w:color="auto"/>
              <w:left w:val="nil"/>
              <w:bottom w:val="single" w:sz="4" w:space="0" w:color="auto"/>
              <w:right w:val="nil"/>
            </w:tcBorders>
            <w:shd w:val="clear" w:color="000000" w:fill="F7EEF7"/>
            <w:noWrap/>
            <w:hideMark/>
          </w:tcPr>
          <w:p w14:paraId="0B94C4E8" w14:textId="77777777" w:rsidR="00D23381" w:rsidRPr="00AE4359" w:rsidRDefault="00D23381" w:rsidP="00312E88">
            <w:pPr>
              <w:jc w:val="center"/>
              <w:rPr>
                <w:rFonts w:cs="Arial"/>
                <w:b/>
                <w:bCs/>
                <w:color w:val="000000"/>
                <w:sz w:val="16"/>
                <w:szCs w:val="16"/>
              </w:rPr>
            </w:pPr>
            <w:r w:rsidRPr="00AE4359">
              <w:rPr>
                <w:rFonts w:cs="Arial"/>
                <w:b/>
                <w:bCs/>
                <w:color w:val="000000"/>
                <w:sz w:val="16"/>
                <w:szCs w:val="16"/>
              </w:rPr>
              <w:t>100.0%</w:t>
            </w:r>
          </w:p>
        </w:tc>
        <w:tc>
          <w:tcPr>
            <w:tcW w:w="850" w:type="dxa"/>
            <w:tcBorders>
              <w:top w:val="single" w:sz="4" w:space="0" w:color="auto"/>
              <w:left w:val="nil"/>
              <w:bottom w:val="single" w:sz="4" w:space="0" w:color="auto"/>
              <w:right w:val="nil"/>
            </w:tcBorders>
            <w:shd w:val="clear" w:color="000000" w:fill="F7EEF7"/>
            <w:noWrap/>
            <w:hideMark/>
          </w:tcPr>
          <w:p w14:paraId="65529CB2" w14:textId="77777777" w:rsidR="00D23381" w:rsidRPr="00AE4359" w:rsidRDefault="00D23381" w:rsidP="00312E88">
            <w:pPr>
              <w:jc w:val="center"/>
              <w:rPr>
                <w:rFonts w:cs="Arial"/>
                <w:b/>
                <w:bCs/>
                <w:color w:val="000000"/>
                <w:sz w:val="16"/>
                <w:szCs w:val="16"/>
              </w:rPr>
            </w:pPr>
            <w:r w:rsidRPr="00AE4359">
              <w:rPr>
                <w:rFonts w:cs="Arial"/>
                <w:b/>
                <w:bCs/>
                <w:color w:val="000000"/>
                <w:sz w:val="16"/>
                <w:szCs w:val="16"/>
              </w:rPr>
              <w:t>100.0%</w:t>
            </w:r>
          </w:p>
        </w:tc>
        <w:tc>
          <w:tcPr>
            <w:tcW w:w="851" w:type="dxa"/>
            <w:tcBorders>
              <w:top w:val="single" w:sz="4" w:space="0" w:color="auto"/>
              <w:left w:val="nil"/>
              <w:bottom w:val="single" w:sz="4" w:space="0" w:color="auto"/>
              <w:right w:val="nil"/>
            </w:tcBorders>
            <w:shd w:val="clear" w:color="000000" w:fill="F7EEF7"/>
            <w:noWrap/>
            <w:hideMark/>
          </w:tcPr>
          <w:p w14:paraId="2D523D25" w14:textId="77777777" w:rsidR="00D23381" w:rsidRPr="00AE4359" w:rsidRDefault="00D23381" w:rsidP="00312E88">
            <w:pPr>
              <w:jc w:val="center"/>
              <w:rPr>
                <w:rFonts w:cs="Arial"/>
                <w:b/>
                <w:bCs/>
                <w:color w:val="000000"/>
                <w:sz w:val="16"/>
                <w:szCs w:val="16"/>
              </w:rPr>
            </w:pPr>
            <w:r w:rsidRPr="00AE4359">
              <w:rPr>
                <w:rFonts w:cs="Arial"/>
                <w:b/>
                <w:bCs/>
                <w:color w:val="000000"/>
                <w:sz w:val="16"/>
                <w:szCs w:val="16"/>
              </w:rPr>
              <w:t>100.0%</w:t>
            </w:r>
          </w:p>
        </w:tc>
        <w:tc>
          <w:tcPr>
            <w:tcW w:w="850" w:type="dxa"/>
            <w:tcBorders>
              <w:top w:val="single" w:sz="4" w:space="0" w:color="auto"/>
              <w:left w:val="nil"/>
              <w:bottom w:val="single" w:sz="4" w:space="0" w:color="auto"/>
              <w:right w:val="nil"/>
            </w:tcBorders>
            <w:shd w:val="clear" w:color="000000" w:fill="F7EEF7"/>
            <w:noWrap/>
            <w:hideMark/>
          </w:tcPr>
          <w:p w14:paraId="47007E2C" w14:textId="77777777" w:rsidR="00D23381" w:rsidRPr="00AE4359" w:rsidRDefault="00D23381" w:rsidP="00312E88">
            <w:pPr>
              <w:jc w:val="center"/>
              <w:rPr>
                <w:rFonts w:cs="Arial"/>
                <w:b/>
                <w:bCs/>
                <w:color w:val="000000"/>
                <w:sz w:val="16"/>
                <w:szCs w:val="16"/>
              </w:rPr>
            </w:pPr>
            <w:r w:rsidRPr="00AE4359">
              <w:rPr>
                <w:rFonts w:cs="Arial"/>
                <w:b/>
                <w:bCs/>
                <w:color w:val="000000"/>
                <w:sz w:val="16"/>
                <w:szCs w:val="16"/>
              </w:rPr>
              <w:t>100.0%</w:t>
            </w:r>
          </w:p>
        </w:tc>
        <w:tc>
          <w:tcPr>
            <w:tcW w:w="795" w:type="dxa"/>
            <w:tcBorders>
              <w:top w:val="single" w:sz="4" w:space="0" w:color="auto"/>
              <w:left w:val="nil"/>
              <w:bottom w:val="single" w:sz="4" w:space="0" w:color="auto"/>
              <w:right w:val="nil"/>
            </w:tcBorders>
            <w:shd w:val="clear" w:color="000000" w:fill="F7EEF7"/>
            <w:noWrap/>
            <w:hideMark/>
          </w:tcPr>
          <w:p w14:paraId="78F52DA1" w14:textId="77777777" w:rsidR="00D23381" w:rsidRPr="00AE4359" w:rsidRDefault="00D23381" w:rsidP="00312E88">
            <w:pPr>
              <w:jc w:val="center"/>
              <w:rPr>
                <w:rFonts w:cs="Arial"/>
                <w:b/>
                <w:bCs/>
                <w:color w:val="000000"/>
                <w:sz w:val="16"/>
                <w:szCs w:val="16"/>
              </w:rPr>
            </w:pPr>
            <w:r w:rsidRPr="00AE4359">
              <w:rPr>
                <w:rFonts w:cs="Arial"/>
                <w:b/>
                <w:bCs/>
                <w:color w:val="000000"/>
                <w:sz w:val="16"/>
                <w:szCs w:val="16"/>
              </w:rPr>
              <w:t>100.0%</w:t>
            </w:r>
          </w:p>
        </w:tc>
        <w:tc>
          <w:tcPr>
            <w:tcW w:w="795" w:type="dxa"/>
            <w:tcBorders>
              <w:top w:val="single" w:sz="4" w:space="0" w:color="auto"/>
              <w:left w:val="dotted" w:sz="4" w:space="0" w:color="auto"/>
              <w:bottom w:val="single" w:sz="4" w:space="0" w:color="auto"/>
              <w:right w:val="single" w:sz="4" w:space="0" w:color="auto"/>
            </w:tcBorders>
            <w:shd w:val="clear" w:color="000000" w:fill="F7EEF7"/>
            <w:noWrap/>
            <w:hideMark/>
          </w:tcPr>
          <w:p w14:paraId="70E47CE9" w14:textId="77777777" w:rsidR="00D23381" w:rsidRPr="00AE4359" w:rsidRDefault="00D23381" w:rsidP="00312E88">
            <w:pPr>
              <w:jc w:val="center"/>
              <w:rPr>
                <w:rFonts w:cs="Arial"/>
                <w:b/>
                <w:bCs/>
                <w:color w:val="000000"/>
                <w:sz w:val="16"/>
                <w:szCs w:val="16"/>
              </w:rPr>
            </w:pPr>
            <w:r w:rsidRPr="00AE4359">
              <w:rPr>
                <w:rFonts w:cs="Arial"/>
                <w:b/>
                <w:bCs/>
                <w:color w:val="000000"/>
                <w:sz w:val="16"/>
                <w:szCs w:val="16"/>
              </w:rPr>
              <w:t>100.0%</w:t>
            </w:r>
          </w:p>
        </w:tc>
      </w:tr>
    </w:tbl>
    <w:p w14:paraId="4416E463" w14:textId="57A1BBB3" w:rsidR="00D03880" w:rsidRPr="00C578EB" w:rsidRDefault="00D03880" w:rsidP="00D03880">
      <w:pPr>
        <w:pStyle w:val="FSRnormal"/>
        <w:rPr>
          <w:lang w:eastAsia="en-AU"/>
        </w:rPr>
      </w:pPr>
    </w:p>
    <w:p w14:paraId="0328AAA9" w14:textId="14531826" w:rsidR="00D03880" w:rsidRDefault="00D03880" w:rsidP="00805C85">
      <w:pPr>
        <w:pStyle w:val="FSRnormal"/>
      </w:pPr>
      <w:r w:rsidRPr="00D03880">
        <w:t xml:space="preserve">The expected increase in projected participant numbers from 2021 to 2030 is consistent with the </w:t>
      </w:r>
      <w:r w:rsidR="00105BEA">
        <w:t>previous review</w:t>
      </w:r>
      <w:r w:rsidRPr="00D03880">
        <w:t xml:space="preserve">. Autism and intellectual disability continue to be the largest drivers of new incidence for future projections. </w:t>
      </w:r>
      <w:r w:rsidR="00625D6C">
        <w:t>Over time t</w:t>
      </w:r>
      <w:r w:rsidR="00445855">
        <w:t xml:space="preserve">he proportion of autism participants in the Scheme is expected to continue to increase and the proportion of developmental delay participants </w:t>
      </w:r>
      <w:r w:rsidR="00A2569E">
        <w:t xml:space="preserve">is expected to </w:t>
      </w:r>
      <w:r w:rsidR="00625D6C">
        <w:t xml:space="preserve">reduce, as </w:t>
      </w:r>
      <w:r w:rsidR="00F013A9">
        <w:t xml:space="preserve">some </w:t>
      </w:r>
      <w:r w:rsidR="00625D6C">
        <w:t xml:space="preserve">participants with developmental delay are assumed to </w:t>
      </w:r>
      <w:r w:rsidR="00F013A9">
        <w:t xml:space="preserve">receive an </w:t>
      </w:r>
      <w:r w:rsidR="00625D6C">
        <w:t>autism</w:t>
      </w:r>
      <w:r w:rsidR="00F013A9">
        <w:t xml:space="preserve"> diagnosis over time</w:t>
      </w:r>
      <w:r w:rsidR="00445855">
        <w:t>.</w:t>
      </w:r>
    </w:p>
    <w:p w14:paraId="76A546F1" w14:textId="061C8A4C" w:rsidR="00105BEA" w:rsidRDefault="00105BEA" w:rsidP="00105BEA">
      <w:pPr>
        <w:pStyle w:val="FSRHeading4"/>
      </w:pPr>
      <w:r>
        <w:t>SIL population projection</w:t>
      </w:r>
    </w:p>
    <w:p w14:paraId="0A5026CB" w14:textId="536E9AEB" w:rsidR="00392A9A" w:rsidRPr="00C578EB" w:rsidRDefault="00392A9A" w:rsidP="00392A9A">
      <w:pPr>
        <w:pStyle w:val="FSRnormal"/>
      </w:pPr>
      <w:r>
        <w:fldChar w:fldCharType="begin"/>
      </w:r>
      <w:r>
        <w:instrText xml:space="preserve"> REF _Ref74849343 \h  \* MERGEFORMAT </w:instrText>
      </w:r>
      <w:r>
        <w:fldChar w:fldCharType="separate"/>
      </w:r>
      <w:r w:rsidR="00E50032" w:rsidRPr="00392A9A">
        <w:t xml:space="preserve">Table </w:t>
      </w:r>
      <w:r w:rsidR="00E50032">
        <w:rPr>
          <w:noProof/>
        </w:rPr>
        <w:t>25</w:t>
      </w:r>
      <w:r>
        <w:fldChar w:fldCharType="end"/>
      </w:r>
      <w:r>
        <w:t xml:space="preserve"> </w:t>
      </w:r>
      <w:r w:rsidRPr="00C578EB">
        <w:t>presents the projections split by whether or not the participant is in SIL.</w:t>
      </w:r>
    </w:p>
    <w:p w14:paraId="3FED0041" w14:textId="5B368894" w:rsidR="00392A9A" w:rsidRPr="00392A9A" w:rsidRDefault="00392A9A" w:rsidP="00392A9A">
      <w:pPr>
        <w:pStyle w:val="Tables"/>
      </w:pPr>
      <w:bookmarkStart w:id="201" w:name="_Ref74849343"/>
      <w:r w:rsidRPr="00392A9A">
        <w:t xml:space="preserve">Table </w:t>
      </w:r>
      <w:fldSimple w:instr=" SEQ Table \* ARABIC ">
        <w:r w:rsidR="00E50032">
          <w:rPr>
            <w:noProof/>
          </w:rPr>
          <w:t>25</w:t>
        </w:r>
      </w:fldSimple>
      <w:bookmarkEnd w:id="201"/>
      <w:r w:rsidRPr="00392A9A">
        <w:t xml:space="preserve"> Projected participant numbers by </w:t>
      </w:r>
      <w:r w:rsidR="001A5ECE">
        <w:t>SIL type</w:t>
      </w:r>
    </w:p>
    <w:tbl>
      <w:tblPr>
        <w:tblW w:w="9209" w:type="dxa"/>
        <w:tblLook w:val="04A0" w:firstRow="1" w:lastRow="0" w:firstColumn="1" w:lastColumn="0" w:noHBand="0" w:noVBand="1"/>
      </w:tblPr>
      <w:tblGrid>
        <w:gridCol w:w="3397"/>
        <w:gridCol w:w="993"/>
        <w:gridCol w:w="992"/>
        <w:gridCol w:w="992"/>
        <w:gridCol w:w="992"/>
        <w:gridCol w:w="993"/>
        <w:gridCol w:w="850"/>
      </w:tblGrid>
      <w:tr w:rsidR="009A5007" w:rsidRPr="00BF4ACA" w14:paraId="3E2247C1" w14:textId="77777777" w:rsidTr="009A5007">
        <w:trPr>
          <w:trHeight w:hRule="exact" w:val="284"/>
          <w:tblHeader/>
        </w:trPr>
        <w:tc>
          <w:tcPr>
            <w:tcW w:w="3397" w:type="dxa"/>
            <w:tcBorders>
              <w:top w:val="single" w:sz="4" w:space="0" w:color="auto"/>
              <w:left w:val="single" w:sz="4" w:space="0" w:color="auto"/>
              <w:bottom w:val="single" w:sz="4" w:space="0" w:color="000000"/>
              <w:right w:val="single" w:sz="4" w:space="0" w:color="auto"/>
            </w:tcBorders>
            <w:shd w:val="clear" w:color="000000" w:fill="6B2F76"/>
            <w:hideMark/>
          </w:tcPr>
          <w:p w14:paraId="302499EF" w14:textId="77777777" w:rsidR="009A5007" w:rsidRPr="00BF4ACA" w:rsidRDefault="009A5007" w:rsidP="00312E88">
            <w:pPr>
              <w:jc w:val="center"/>
              <w:rPr>
                <w:rFonts w:cs="Arial"/>
                <w:b/>
                <w:bCs/>
                <w:color w:val="FFFFFF"/>
                <w:sz w:val="16"/>
                <w:szCs w:val="16"/>
              </w:rPr>
            </w:pPr>
            <w:r w:rsidRPr="00BF4ACA">
              <w:rPr>
                <w:rFonts w:cs="Arial"/>
                <w:b/>
                <w:bCs/>
                <w:color w:val="FFFFFF"/>
                <w:sz w:val="16"/>
                <w:szCs w:val="16"/>
              </w:rPr>
              <w:t>Number of participants</w:t>
            </w:r>
            <w:r w:rsidRPr="00A734AA">
              <w:rPr>
                <w:rFonts w:cs="Arial"/>
                <w:b/>
                <w:bCs/>
                <w:color w:val="FFFFFF"/>
                <w:sz w:val="16"/>
                <w:szCs w:val="16"/>
              </w:rPr>
              <w:t xml:space="preserve"> a</w:t>
            </w:r>
            <w:r w:rsidRPr="00BF4ACA">
              <w:rPr>
                <w:rFonts w:cs="Arial"/>
                <w:b/>
                <w:bCs/>
                <w:color w:val="FFFFFF"/>
                <w:sz w:val="16"/>
                <w:szCs w:val="16"/>
              </w:rPr>
              <w:t>s at 30 June</w:t>
            </w:r>
          </w:p>
        </w:tc>
        <w:tc>
          <w:tcPr>
            <w:tcW w:w="993" w:type="dxa"/>
            <w:tcBorders>
              <w:top w:val="nil"/>
              <w:left w:val="nil"/>
              <w:bottom w:val="single" w:sz="4" w:space="0" w:color="auto"/>
              <w:right w:val="nil"/>
            </w:tcBorders>
            <w:shd w:val="clear" w:color="000000" w:fill="6B2976"/>
            <w:noWrap/>
            <w:hideMark/>
          </w:tcPr>
          <w:p w14:paraId="073233FA" w14:textId="77777777" w:rsidR="009A5007" w:rsidRPr="00BF4ACA" w:rsidRDefault="009A5007" w:rsidP="00312E88">
            <w:pPr>
              <w:jc w:val="center"/>
              <w:rPr>
                <w:rFonts w:cs="Arial"/>
                <w:b/>
                <w:bCs/>
                <w:color w:val="FFFFFF"/>
                <w:sz w:val="16"/>
                <w:szCs w:val="16"/>
              </w:rPr>
            </w:pPr>
            <w:r w:rsidRPr="00BF4ACA">
              <w:rPr>
                <w:rFonts w:cs="Arial"/>
                <w:b/>
                <w:bCs/>
                <w:color w:val="FFFFFF"/>
                <w:sz w:val="16"/>
                <w:szCs w:val="16"/>
              </w:rPr>
              <w:t>2021</w:t>
            </w:r>
          </w:p>
        </w:tc>
        <w:tc>
          <w:tcPr>
            <w:tcW w:w="992" w:type="dxa"/>
            <w:tcBorders>
              <w:top w:val="nil"/>
              <w:left w:val="nil"/>
              <w:bottom w:val="single" w:sz="4" w:space="0" w:color="auto"/>
              <w:right w:val="nil"/>
            </w:tcBorders>
            <w:shd w:val="clear" w:color="000000" w:fill="6B2976"/>
            <w:noWrap/>
            <w:hideMark/>
          </w:tcPr>
          <w:p w14:paraId="2C00C29B" w14:textId="77777777" w:rsidR="009A5007" w:rsidRPr="00BF4ACA" w:rsidRDefault="009A5007" w:rsidP="00312E88">
            <w:pPr>
              <w:jc w:val="center"/>
              <w:rPr>
                <w:rFonts w:cs="Arial"/>
                <w:b/>
                <w:bCs/>
                <w:color w:val="FFFFFF"/>
                <w:sz w:val="16"/>
                <w:szCs w:val="16"/>
              </w:rPr>
            </w:pPr>
            <w:r w:rsidRPr="00BF4ACA">
              <w:rPr>
                <w:rFonts w:cs="Arial"/>
                <w:b/>
                <w:bCs/>
                <w:color w:val="FFFFFF"/>
                <w:sz w:val="16"/>
                <w:szCs w:val="16"/>
              </w:rPr>
              <w:t>2022</w:t>
            </w:r>
          </w:p>
        </w:tc>
        <w:tc>
          <w:tcPr>
            <w:tcW w:w="992" w:type="dxa"/>
            <w:tcBorders>
              <w:top w:val="nil"/>
              <w:left w:val="nil"/>
              <w:bottom w:val="single" w:sz="4" w:space="0" w:color="auto"/>
              <w:right w:val="nil"/>
            </w:tcBorders>
            <w:shd w:val="clear" w:color="000000" w:fill="6B2976"/>
            <w:noWrap/>
            <w:hideMark/>
          </w:tcPr>
          <w:p w14:paraId="34368468" w14:textId="77777777" w:rsidR="009A5007" w:rsidRPr="00BF4ACA" w:rsidRDefault="009A5007" w:rsidP="00312E88">
            <w:pPr>
              <w:jc w:val="center"/>
              <w:rPr>
                <w:rFonts w:cs="Arial"/>
                <w:b/>
                <w:bCs/>
                <w:color w:val="FFFFFF"/>
                <w:sz w:val="16"/>
                <w:szCs w:val="16"/>
              </w:rPr>
            </w:pPr>
            <w:r w:rsidRPr="00BF4ACA">
              <w:rPr>
                <w:rFonts w:cs="Arial"/>
                <w:b/>
                <w:bCs/>
                <w:color w:val="FFFFFF"/>
                <w:sz w:val="16"/>
                <w:szCs w:val="16"/>
              </w:rPr>
              <w:t>2023</w:t>
            </w:r>
          </w:p>
        </w:tc>
        <w:tc>
          <w:tcPr>
            <w:tcW w:w="992" w:type="dxa"/>
            <w:tcBorders>
              <w:top w:val="nil"/>
              <w:left w:val="nil"/>
              <w:bottom w:val="single" w:sz="4" w:space="0" w:color="auto"/>
              <w:right w:val="nil"/>
            </w:tcBorders>
            <w:shd w:val="clear" w:color="000000" w:fill="6B2976"/>
            <w:noWrap/>
            <w:hideMark/>
          </w:tcPr>
          <w:p w14:paraId="2A826A4A" w14:textId="77777777" w:rsidR="009A5007" w:rsidRPr="00BF4ACA" w:rsidRDefault="009A5007" w:rsidP="00312E88">
            <w:pPr>
              <w:jc w:val="center"/>
              <w:rPr>
                <w:rFonts w:cs="Arial"/>
                <w:b/>
                <w:bCs/>
                <w:color w:val="FFFFFF"/>
                <w:sz w:val="16"/>
                <w:szCs w:val="16"/>
              </w:rPr>
            </w:pPr>
            <w:r w:rsidRPr="00BF4ACA">
              <w:rPr>
                <w:rFonts w:cs="Arial"/>
                <w:b/>
                <w:bCs/>
                <w:color w:val="FFFFFF"/>
                <w:sz w:val="16"/>
                <w:szCs w:val="16"/>
              </w:rPr>
              <w:t>2024</w:t>
            </w:r>
          </w:p>
        </w:tc>
        <w:tc>
          <w:tcPr>
            <w:tcW w:w="993" w:type="dxa"/>
            <w:tcBorders>
              <w:top w:val="nil"/>
              <w:left w:val="nil"/>
              <w:bottom w:val="single" w:sz="4" w:space="0" w:color="auto"/>
              <w:right w:val="nil"/>
            </w:tcBorders>
            <w:shd w:val="clear" w:color="000000" w:fill="6B2976"/>
            <w:noWrap/>
            <w:hideMark/>
          </w:tcPr>
          <w:p w14:paraId="683470EC" w14:textId="77777777" w:rsidR="009A5007" w:rsidRPr="00BF4ACA" w:rsidRDefault="009A5007" w:rsidP="00312E88">
            <w:pPr>
              <w:jc w:val="center"/>
              <w:rPr>
                <w:rFonts w:cs="Arial"/>
                <w:b/>
                <w:bCs/>
                <w:color w:val="FFFFFF"/>
                <w:sz w:val="16"/>
                <w:szCs w:val="16"/>
              </w:rPr>
            </w:pPr>
            <w:r w:rsidRPr="00BF4ACA">
              <w:rPr>
                <w:rFonts w:cs="Arial"/>
                <w:b/>
                <w:bCs/>
                <w:color w:val="FFFFFF"/>
                <w:sz w:val="16"/>
                <w:szCs w:val="16"/>
              </w:rPr>
              <w:t>2025</w:t>
            </w:r>
          </w:p>
        </w:tc>
        <w:tc>
          <w:tcPr>
            <w:tcW w:w="850" w:type="dxa"/>
            <w:tcBorders>
              <w:top w:val="nil"/>
              <w:left w:val="dotted" w:sz="4" w:space="0" w:color="auto"/>
              <w:bottom w:val="single" w:sz="4" w:space="0" w:color="auto"/>
              <w:right w:val="single" w:sz="4" w:space="0" w:color="auto"/>
            </w:tcBorders>
            <w:shd w:val="clear" w:color="000000" w:fill="6B2976"/>
            <w:noWrap/>
            <w:hideMark/>
          </w:tcPr>
          <w:p w14:paraId="3EDCF7FC" w14:textId="77777777" w:rsidR="009A5007" w:rsidRPr="00BF4ACA" w:rsidRDefault="009A5007" w:rsidP="00312E88">
            <w:pPr>
              <w:jc w:val="center"/>
              <w:rPr>
                <w:rFonts w:cs="Arial"/>
                <w:b/>
                <w:bCs/>
                <w:color w:val="FFFFFF"/>
                <w:sz w:val="16"/>
                <w:szCs w:val="16"/>
              </w:rPr>
            </w:pPr>
            <w:r w:rsidRPr="00BF4ACA">
              <w:rPr>
                <w:rFonts w:cs="Arial"/>
                <w:b/>
                <w:bCs/>
                <w:color w:val="FFFFFF"/>
                <w:sz w:val="16"/>
                <w:szCs w:val="16"/>
              </w:rPr>
              <w:t>2030</w:t>
            </w:r>
          </w:p>
        </w:tc>
      </w:tr>
      <w:tr w:rsidR="009A5007" w:rsidRPr="00BF4ACA" w14:paraId="3FCB01E5" w14:textId="77777777" w:rsidTr="009A5007">
        <w:trPr>
          <w:trHeight w:hRule="exact" w:val="284"/>
        </w:trPr>
        <w:tc>
          <w:tcPr>
            <w:tcW w:w="3397" w:type="dxa"/>
            <w:tcBorders>
              <w:top w:val="nil"/>
              <w:left w:val="single" w:sz="4" w:space="0" w:color="auto"/>
              <w:bottom w:val="nil"/>
              <w:right w:val="single" w:sz="4" w:space="0" w:color="auto"/>
            </w:tcBorders>
            <w:shd w:val="clear" w:color="auto" w:fill="auto"/>
            <w:noWrap/>
            <w:hideMark/>
          </w:tcPr>
          <w:p w14:paraId="44277C59" w14:textId="77777777" w:rsidR="009A5007" w:rsidRPr="00BF4ACA" w:rsidRDefault="009A5007" w:rsidP="00312E88">
            <w:pPr>
              <w:rPr>
                <w:rFonts w:cs="Arial"/>
                <w:color w:val="000000"/>
                <w:sz w:val="16"/>
                <w:szCs w:val="16"/>
              </w:rPr>
            </w:pPr>
            <w:r w:rsidRPr="00BF4ACA">
              <w:rPr>
                <w:rFonts w:cs="Arial"/>
                <w:color w:val="000000"/>
                <w:sz w:val="16"/>
                <w:szCs w:val="16"/>
              </w:rPr>
              <w:t>Non-SIL</w:t>
            </w:r>
          </w:p>
        </w:tc>
        <w:tc>
          <w:tcPr>
            <w:tcW w:w="993" w:type="dxa"/>
            <w:tcBorders>
              <w:top w:val="nil"/>
              <w:left w:val="nil"/>
              <w:bottom w:val="nil"/>
              <w:right w:val="nil"/>
            </w:tcBorders>
            <w:shd w:val="clear" w:color="auto" w:fill="auto"/>
            <w:noWrap/>
            <w:hideMark/>
          </w:tcPr>
          <w:p w14:paraId="39DA35E1" w14:textId="77777777" w:rsidR="009A5007" w:rsidRPr="00BF4ACA" w:rsidRDefault="009A5007" w:rsidP="00312E88">
            <w:pPr>
              <w:jc w:val="right"/>
              <w:rPr>
                <w:rFonts w:cs="Arial"/>
                <w:color w:val="000000"/>
                <w:sz w:val="16"/>
                <w:szCs w:val="16"/>
              </w:rPr>
            </w:pPr>
            <w:r w:rsidRPr="00BF4ACA">
              <w:rPr>
                <w:rFonts w:cs="Arial"/>
                <w:color w:val="000000"/>
                <w:sz w:val="16"/>
                <w:szCs w:val="16"/>
              </w:rPr>
              <w:t>441,299</w:t>
            </w:r>
          </w:p>
        </w:tc>
        <w:tc>
          <w:tcPr>
            <w:tcW w:w="992" w:type="dxa"/>
            <w:tcBorders>
              <w:top w:val="nil"/>
              <w:left w:val="nil"/>
              <w:bottom w:val="nil"/>
              <w:right w:val="nil"/>
            </w:tcBorders>
            <w:shd w:val="clear" w:color="auto" w:fill="auto"/>
            <w:noWrap/>
            <w:hideMark/>
          </w:tcPr>
          <w:p w14:paraId="0351C086" w14:textId="77777777" w:rsidR="009A5007" w:rsidRPr="00BF4ACA" w:rsidRDefault="009A5007" w:rsidP="00312E88">
            <w:pPr>
              <w:jc w:val="right"/>
              <w:rPr>
                <w:rFonts w:cs="Arial"/>
                <w:color w:val="000000"/>
                <w:sz w:val="16"/>
                <w:szCs w:val="16"/>
              </w:rPr>
            </w:pPr>
            <w:r w:rsidRPr="00BF4ACA">
              <w:rPr>
                <w:rFonts w:cs="Arial"/>
                <w:color w:val="000000"/>
                <w:sz w:val="16"/>
                <w:szCs w:val="16"/>
              </w:rPr>
              <w:t>504,024</w:t>
            </w:r>
          </w:p>
        </w:tc>
        <w:tc>
          <w:tcPr>
            <w:tcW w:w="992" w:type="dxa"/>
            <w:tcBorders>
              <w:top w:val="nil"/>
              <w:left w:val="nil"/>
              <w:bottom w:val="nil"/>
              <w:right w:val="nil"/>
            </w:tcBorders>
            <w:shd w:val="clear" w:color="auto" w:fill="auto"/>
            <w:noWrap/>
            <w:hideMark/>
          </w:tcPr>
          <w:p w14:paraId="7253889A" w14:textId="77777777" w:rsidR="009A5007" w:rsidRPr="00BF4ACA" w:rsidRDefault="009A5007" w:rsidP="00312E88">
            <w:pPr>
              <w:jc w:val="right"/>
              <w:rPr>
                <w:rFonts w:cs="Arial"/>
                <w:color w:val="000000"/>
                <w:sz w:val="16"/>
                <w:szCs w:val="16"/>
              </w:rPr>
            </w:pPr>
            <w:r w:rsidRPr="00BF4ACA">
              <w:rPr>
                <w:rFonts w:cs="Arial"/>
                <w:color w:val="000000"/>
                <w:sz w:val="16"/>
                <w:szCs w:val="16"/>
              </w:rPr>
              <w:t>559,095</w:t>
            </w:r>
          </w:p>
        </w:tc>
        <w:tc>
          <w:tcPr>
            <w:tcW w:w="992" w:type="dxa"/>
            <w:tcBorders>
              <w:top w:val="nil"/>
              <w:left w:val="nil"/>
              <w:bottom w:val="nil"/>
              <w:right w:val="nil"/>
            </w:tcBorders>
            <w:shd w:val="clear" w:color="auto" w:fill="auto"/>
            <w:noWrap/>
            <w:hideMark/>
          </w:tcPr>
          <w:p w14:paraId="09AC776F" w14:textId="77777777" w:rsidR="009A5007" w:rsidRPr="00BF4ACA" w:rsidRDefault="009A5007" w:rsidP="00312E88">
            <w:pPr>
              <w:jc w:val="right"/>
              <w:rPr>
                <w:rFonts w:cs="Arial"/>
                <w:color w:val="000000"/>
                <w:sz w:val="16"/>
                <w:szCs w:val="16"/>
              </w:rPr>
            </w:pPr>
            <w:r w:rsidRPr="00BF4ACA">
              <w:rPr>
                <w:rFonts w:cs="Arial"/>
                <w:color w:val="000000"/>
                <w:sz w:val="16"/>
                <w:szCs w:val="16"/>
              </w:rPr>
              <w:t>601,982</w:t>
            </w:r>
          </w:p>
        </w:tc>
        <w:tc>
          <w:tcPr>
            <w:tcW w:w="993" w:type="dxa"/>
            <w:tcBorders>
              <w:top w:val="nil"/>
              <w:left w:val="nil"/>
              <w:bottom w:val="nil"/>
              <w:right w:val="nil"/>
            </w:tcBorders>
            <w:shd w:val="clear" w:color="auto" w:fill="auto"/>
            <w:noWrap/>
            <w:hideMark/>
          </w:tcPr>
          <w:p w14:paraId="386E8EB4" w14:textId="77777777" w:rsidR="009A5007" w:rsidRPr="00BF4ACA" w:rsidRDefault="009A5007" w:rsidP="00312E88">
            <w:pPr>
              <w:jc w:val="right"/>
              <w:rPr>
                <w:rFonts w:cs="Arial"/>
                <w:color w:val="000000"/>
                <w:sz w:val="16"/>
                <w:szCs w:val="16"/>
              </w:rPr>
            </w:pPr>
            <w:r w:rsidRPr="00BF4ACA">
              <w:rPr>
                <w:rFonts w:cs="Arial"/>
                <w:color w:val="000000"/>
                <w:sz w:val="16"/>
                <w:szCs w:val="16"/>
              </w:rPr>
              <w:t>641,041</w:t>
            </w:r>
          </w:p>
        </w:tc>
        <w:tc>
          <w:tcPr>
            <w:tcW w:w="850" w:type="dxa"/>
            <w:tcBorders>
              <w:top w:val="nil"/>
              <w:left w:val="dotted" w:sz="4" w:space="0" w:color="auto"/>
              <w:bottom w:val="nil"/>
              <w:right w:val="single" w:sz="4" w:space="0" w:color="auto"/>
            </w:tcBorders>
            <w:shd w:val="clear" w:color="auto" w:fill="auto"/>
            <w:noWrap/>
            <w:hideMark/>
          </w:tcPr>
          <w:p w14:paraId="04655DC5" w14:textId="77777777" w:rsidR="009A5007" w:rsidRPr="00BF4ACA" w:rsidRDefault="009A5007" w:rsidP="00312E88">
            <w:pPr>
              <w:jc w:val="right"/>
              <w:rPr>
                <w:rFonts w:cs="Arial"/>
                <w:color w:val="000000"/>
                <w:sz w:val="16"/>
                <w:szCs w:val="16"/>
              </w:rPr>
            </w:pPr>
            <w:r w:rsidRPr="00BF4ACA">
              <w:rPr>
                <w:rFonts w:cs="Arial"/>
                <w:color w:val="000000"/>
                <w:sz w:val="16"/>
                <w:szCs w:val="16"/>
              </w:rPr>
              <w:t>824,174</w:t>
            </w:r>
          </w:p>
        </w:tc>
      </w:tr>
      <w:tr w:rsidR="009A5007" w:rsidRPr="00BF4ACA" w14:paraId="308989BF" w14:textId="77777777" w:rsidTr="009A5007">
        <w:trPr>
          <w:trHeight w:hRule="exact" w:val="284"/>
        </w:trPr>
        <w:tc>
          <w:tcPr>
            <w:tcW w:w="3397" w:type="dxa"/>
            <w:tcBorders>
              <w:top w:val="nil"/>
              <w:left w:val="single" w:sz="4" w:space="0" w:color="auto"/>
              <w:bottom w:val="nil"/>
              <w:right w:val="single" w:sz="4" w:space="0" w:color="auto"/>
            </w:tcBorders>
            <w:shd w:val="clear" w:color="auto" w:fill="auto"/>
            <w:noWrap/>
            <w:hideMark/>
          </w:tcPr>
          <w:p w14:paraId="6A1471ED" w14:textId="77777777" w:rsidR="009A5007" w:rsidRPr="00BF4ACA" w:rsidRDefault="009A5007" w:rsidP="00312E88">
            <w:pPr>
              <w:rPr>
                <w:rFonts w:cs="Arial"/>
                <w:color w:val="000000"/>
                <w:sz w:val="16"/>
                <w:szCs w:val="16"/>
              </w:rPr>
            </w:pPr>
            <w:r w:rsidRPr="00BF4ACA">
              <w:rPr>
                <w:rFonts w:cs="Arial"/>
                <w:color w:val="000000"/>
                <w:sz w:val="16"/>
                <w:szCs w:val="16"/>
              </w:rPr>
              <w:t>SIL</w:t>
            </w:r>
          </w:p>
        </w:tc>
        <w:tc>
          <w:tcPr>
            <w:tcW w:w="993" w:type="dxa"/>
            <w:tcBorders>
              <w:top w:val="nil"/>
              <w:left w:val="nil"/>
              <w:bottom w:val="nil"/>
              <w:right w:val="nil"/>
            </w:tcBorders>
            <w:shd w:val="clear" w:color="auto" w:fill="auto"/>
            <w:noWrap/>
            <w:hideMark/>
          </w:tcPr>
          <w:p w14:paraId="2D6372BB" w14:textId="77777777" w:rsidR="009A5007" w:rsidRPr="00BF4ACA" w:rsidRDefault="009A5007" w:rsidP="00312E88">
            <w:pPr>
              <w:jc w:val="right"/>
              <w:rPr>
                <w:rFonts w:cs="Arial"/>
                <w:color w:val="000000"/>
                <w:sz w:val="16"/>
                <w:szCs w:val="16"/>
              </w:rPr>
            </w:pPr>
            <w:r w:rsidRPr="00BF4ACA">
              <w:rPr>
                <w:rFonts w:cs="Arial"/>
                <w:color w:val="000000"/>
                <w:sz w:val="16"/>
                <w:szCs w:val="16"/>
              </w:rPr>
              <w:t>25,320</w:t>
            </w:r>
          </w:p>
        </w:tc>
        <w:tc>
          <w:tcPr>
            <w:tcW w:w="992" w:type="dxa"/>
            <w:tcBorders>
              <w:top w:val="nil"/>
              <w:left w:val="nil"/>
              <w:bottom w:val="nil"/>
              <w:right w:val="nil"/>
            </w:tcBorders>
            <w:shd w:val="clear" w:color="auto" w:fill="auto"/>
            <w:noWrap/>
            <w:hideMark/>
          </w:tcPr>
          <w:p w14:paraId="5B353D68" w14:textId="77777777" w:rsidR="009A5007" w:rsidRPr="00BF4ACA" w:rsidRDefault="009A5007" w:rsidP="00312E88">
            <w:pPr>
              <w:jc w:val="right"/>
              <w:rPr>
                <w:rFonts w:cs="Arial"/>
                <w:color w:val="000000"/>
                <w:sz w:val="16"/>
                <w:szCs w:val="16"/>
              </w:rPr>
            </w:pPr>
            <w:r w:rsidRPr="00BF4ACA">
              <w:rPr>
                <w:rFonts w:cs="Arial"/>
                <w:color w:val="000000"/>
                <w:sz w:val="16"/>
                <w:szCs w:val="16"/>
              </w:rPr>
              <w:t>26,433</w:t>
            </w:r>
          </w:p>
        </w:tc>
        <w:tc>
          <w:tcPr>
            <w:tcW w:w="992" w:type="dxa"/>
            <w:tcBorders>
              <w:top w:val="nil"/>
              <w:left w:val="nil"/>
              <w:bottom w:val="nil"/>
              <w:right w:val="nil"/>
            </w:tcBorders>
            <w:shd w:val="clear" w:color="auto" w:fill="auto"/>
            <w:noWrap/>
            <w:hideMark/>
          </w:tcPr>
          <w:p w14:paraId="2481B7F1" w14:textId="77777777" w:rsidR="009A5007" w:rsidRPr="00BF4ACA" w:rsidRDefault="009A5007" w:rsidP="00312E88">
            <w:pPr>
              <w:jc w:val="right"/>
              <w:rPr>
                <w:rFonts w:cs="Arial"/>
                <w:color w:val="000000"/>
                <w:sz w:val="16"/>
                <w:szCs w:val="16"/>
              </w:rPr>
            </w:pPr>
            <w:r w:rsidRPr="00BF4ACA">
              <w:rPr>
                <w:rFonts w:cs="Arial"/>
                <w:color w:val="000000"/>
                <w:sz w:val="16"/>
                <w:szCs w:val="16"/>
              </w:rPr>
              <w:t>27,338</w:t>
            </w:r>
          </w:p>
        </w:tc>
        <w:tc>
          <w:tcPr>
            <w:tcW w:w="992" w:type="dxa"/>
            <w:tcBorders>
              <w:top w:val="nil"/>
              <w:left w:val="nil"/>
              <w:bottom w:val="nil"/>
              <w:right w:val="nil"/>
            </w:tcBorders>
            <w:shd w:val="clear" w:color="auto" w:fill="auto"/>
            <w:noWrap/>
            <w:hideMark/>
          </w:tcPr>
          <w:p w14:paraId="1F7A6761" w14:textId="77777777" w:rsidR="009A5007" w:rsidRPr="00BF4ACA" w:rsidRDefault="009A5007" w:rsidP="00312E88">
            <w:pPr>
              <w:jc w:val="right"/>
              <w:rPr>
                <w:rFonts w:cs="Arial"/>
                <w:color w:val="000000"/>
                <w:sz w:val="16"/>
                <w:szCs w:val="16"/>
              </w:rPr>
            </w:pPr>
            <w:r w:rsidRPr="00BF4ACA">
              <w:rPr>
                <w:rFonts w:cs="Arial"/>
                <w:color w:val="000000"/>
                <w:sz w:val="16"/>
                <w:szCs w:val="16"/>
              </w:rPr>
              <w:t>28,344</w:t>
            </w:r>
          </w:p>
        </w:tc>
        <w:tc>
          <w:tcPr>
            <w:tcW w:w="993" w:type="dxa"/>
            <w:tcBorders>
              <w:top w:val="nil"/>
              <w:left w:val="nil"/>
              <w:bottom w:val="nil"/>
              <w:right w:val="nil"/>
            </w:tcBorders>
            <w:shd w:val="clear" w:color="auto" w:fill="auto"/>
            <w:noWrap/>
            <w:hideMark/>
          </w:tcPr>
          <w:p w14:paraId="35DCAB03" w14:textId="77777777" w:rsidR="009A5007" w:rsidRPr="00BF4ACA" w:rsidRDefault="009A5007" w:rsidP="00312E88">
            <w:pPr>
              <w:jc w:val="right"/>
              <w:rPr>
                <w:rFonts w:cs="Arial"/>
                <w:color w:val="000000"/>
                <w:sz w:val="16"/>
                <w:szCs w:val="16"/>
              </w:rPr>
            </w:pPr>
            <w:r w:rsidRPr="00BF4ACA">
              <w:rPr>
                <w:rFonts w:cs="Arial"/>
                <w:color w:val="000000"/>
                <w:sz w:val="16"/>
                <w:szCs w:val="16"/>
              </w:rPr>
              <w:t>29,359</w:t>
            </w:r>
          </w:p>
        </w:tc>
        <w:tc>
          <w:tcPr>
            <w:tcW w:w="850" w:type="dxa"/>
            <w:tcBorders>
              <w:top w:val="nil"/>
              <w:left w:val="dotted" w:sz="4" w:space="0" w:color="auto"/>
              <w:bottom w:val="nil"/>
              <w:right w:val="single" w:sz="4" w:space="0" w:color="auto"/>
            </w:tcBorders>
            <w:shd w:val="clear" w:color="auto" w:fill="auto"/>
            <w:noWrap/>
            <w:hideMark/>
          </w:tcPr>
          <w:p w14:paraId="6D996376" w14:textId="77777777" w:rsidR="009A5007" w:rsidRPr="00BF4ACA" w:rsidRDefault="009A5007" w:rsidP="00312E88">
            <w:pPr>
              <w:jc w:val="right"/>
              <w:rPr>
                <w:rFonts w:cs="Arial"/>
                <w:color w:val="000000"/>
                <w:sz w:val="16"/>
                <w:szCs w:val="16"/>
              </w:rPr>
            </w:pPr>
            <w:r w:rsidRPr="00BF4ACA">
              <w:rPr>
                <w:rFonts w:cs="Arial"/>
                <w:color w:val="000000"/>
                <w:sz w:val="16"/>
                <w:szCs w:val="16"/>
              </w:rPr>
              <w:t>35,154</w:t>
            </w:r>
          </w:p>
        </w:tc>
      </w:tr>
      <w:tr w:rsidR="009A5007" w:rsidRPr="00BF4ACA" w14:paraId="5B857A54" w14:textId="77777777" w:rsidTr="009A5007">
        <w:trPr>
          <w:trHeight w:hRule="exact" w:val="284"/>
        </w:trPr>
        <w:tc>
          <w:tcPr>
            <w:tcW w:w="3397" w:type="dxa"/>
            <w:tcBorders>
              <w:top w:val="single" w:sz="4" w:space="0" w:color="auto"/>
              <w:left w:val="single" w:sz="4" w:space="0" w:color="auto"/>
              <w:bottom w:val="single" w:sz="4" w:space="0" w:color="auto"/>
              <w:right w:val="single" w:sz="4" w:space="0" w:color="auto"/>
            </w:tcBorders>
            <w:shd w:val="clear" w:color="000000" w:fill="F7EEF7"/>
            <w:noWrap/>
            <w:hideMark/>
          </w:tcPr>
          <w:p w14:paraId="2776432C" w14:textId="77777777" w:rsidR="009A5007" w:rsidRPr="00BF4ACA" w:rsidRDefault="009A5007" w:rsidP="00312E88">
            <w:pPr>
              <w:rPr>
                <w:rFonts w:cs="Arial"/>
                <w:b/>
                <w:bCs/>
                <w:color w:val="000000"/>
                <w:sz w:val="16"/>
                <w:szCs w:val="16"/>
              </w:rPr>
            </w:pPr>
            <w:r w:rsidRPr="00BF4ACA">
              <w:rPr>
                <w:rFonts w:cs="Arial"/>
                <w:b/>
                <w:bCs/>
                <w:color w:val="000000"/>
                <w:sz w:val="16"/>
                <w:szCs w:val="16"/>
              </w:rPr>
              <w:t>Total</w:t>
            </w:r>
          </w:p>
        </w:tc>
        <w:tc>
          <w:tcPr>
            <w:tcW w:w="993" w:type="dxa"/>
            <w:tcBorders>
              <w:top w:val="single" w:sz="4" w:space="0" w:color="auto"/>
              <w:left w:val="nil"/>
              <w:bottom w:val="single" w:sz="4" w:space="0" w:color="auto"/>
              <w:right w:val="nil"/>
            </w:tcBorders>
            <w:shd w:val="clear" w:color="000000" w:fill="F7EEF7"/>
            <w:noWrap/>
            <w:hideMark/>
          </w:tcPr>
          <w:p w14:paraId="7EFBC034" w14:textId="77777777" w:rsidR="009A5007" w:rsidRPr="00BF4ACA" w:rsidRDefault="009A5007" w:rsidP="00312E88">
            <w:pPr>
              <w:jc w:val="right"/>
              <w:rPr>
                <w:rFonts w:cs="Arial"/>
                <w:b/>
                <w:bCs/>
                <w:color w:val="000000"/>
                <w:sz w:val="16"/>
                <w:szCs w:val="16"/>
              </w:rPr>
            </w:pPr>
            <w:r w:rsidRPr="00BF4ACA">
              <w:rPr>
                <w:rFonts w:cs="Arial"/>
                <w:b/>
                <w:bCs/>
                <w:color w:val="000000"/>
                <w:sz w:val="16"/>
                <w:szCs w:val="16"/>
              </w:rPr>
              <w:t>466,619</w:t>
            </w:r>
          </w:p>
        </w:tc>
        <w:tc>
          <w:tcPr>
            <w:tcW w:w="992" w:type="dxa"/>
            <w:tcBorders>
              <w:top w:val="single" w:sz="4" w:space="0" w:color="auto"/>
              <w:left w:val="nil"/>
              <w:bottom w:val="single" w:sz="4" w:space="0" w:color="auto"/>
              <w:right w:val="nil"/>
            </w:tcBorders>
            <w:shd w:val="clear" w:color="000000" w:fill="F7EEF7"/>
            <w:noWrap/>
            <w:hideMark/>
          </w:tcPr>
          <w:p w14:paraId="1B098733" w14:textId="77777777" w:rsidR="009A5007" w:rsidRPr="00BF4ACA" w:rsidRDefault="009A5007" w:rsidP="00312E88">
            <w:pPr>
              <w:jc w:val="right"/>
              <w:rPr>
                <w:rFonts w:cs="Arial"/>
                <w:b/>
                <w:bCs/>
                <w:color w:val="000000"/>
                <w:sz w:val="16"/>
                <w:szCs w:val="16"/>
              </w:rPr>
            </w:pPr>
            <w:r w:rsidRPr="00BF4ACA">
              <w:rPr>
                <w:rFonts w:cs="Arial"/>
                <w:b/>
                <w:bCs/>
                <w:color w:val="000000"/>
                <w:sz w:val="16"/>
                <w:szCs w:val="16"/>
              </w:rPr>
              <w:t>530,457</w:t>
            </w:r>
          </w:p>
        </w:tc>
        <w:tc>
          <w:tcPr>
            <w:tcW w:w="992" w:type="dxa"/>
            <w:tcBorders>
              <w:top w:val="single" w:sz="4" w:space="0" w:color="auto"/>
              <w:left w:val="nil"/>
              <w:bottom w:val="single" w:sz="4" w:space="0" w:color="auto"/>
              <w:right w:val="nil"/>
            </w:tcBorders>
            <w:shd w:val="clear" w:color="000000" w:fill="F7EEF7"/>
            <w:noWrap/>
            <w:hideMark/>
          </w:tcPr>
          <w:p w14:paraId="57947030" w14:textId="77777777" w:rsidR="009A5007" w:rsidRPr="00BF4ACA" w:rsidRDefault="009A5007" w:rsidP="00312E88">
            <w:pPr>
              <w:jc w:val="right"/>
              <w:rPr>
                <w:rFonts w:cs="Arial"/>
                <w:b/>
                <w:bCs/>
                <w:color w:val="000000"/>
                <w:sz w:val="16"/>
                <w:szCs w:val="16"/>
              </w:rPr>
            </w:pPr>
            <w:r w:rsidRPr="00BF4ACA">
              <w:rPr>
                <w:rFonts w:cs="Arial"/>
                <w:b/>
                <w:bCs/>
                <w:color w:val="000000"/>
                <w:sz w:val="16"/>
                <w:szCs w:val="16"/>
              </w:rPr>
              <w:t>586,433</w:t>
            </w:r>
          </w:p>
        </w:tc>
        <w:tc>
          <w:tcPr>
            <w:tcW w:w="992" w:type="dxa"/>
            <w:tcBorders>
              <w:top w:val="single" w:sz="4" w:space="0" w:color="auto"/>
              <w:left w:val="nil"/>
              <w:bottom w:val="single" w:sz="4" w:space="0" w:color="auto"/>
              <w:right w:val="nil"/>
            </w:tcBorders>
            <w:shd w:val="clear" w:color="000000" w:fill="F7EEF7"/>
            <w:noWrap/>
            <w:hideMark/>
          </w:tcPr>
          <w:p w14:paraId="74A0D845" w14:textId="77777777" w:rsidR="009A5007" w:rsidRPr="00BF4ACA" w:rsidRDefault="009A5007" w:rsidP="00312E88">
            <w:pPr>
              <w:jc w:val="right"/>
              <w:rPr>
                <w:rFonts w:cs="Arial"/>
                <w:b/>
                <w:bCs/>
                <w:color w:val="000000"/>
                <w:sz w:val="16"/>
                <w:szCs w:val="16"/>
              </w:rPr>
            </w:pPr>
            <w:r w:rsidRPr="00BF4ACA">
              <w:rPr>
                <w:rFonts w:cs="Arial"/>
                <w:b/>
                <w:bCs/>
                <w:color w:val="000000"/>
                <w:sz w:val="16"/>
                <w:szCs w:val="16"/>
              </w:rPr>
              <w:t>630,327</w:t>
            </w:r>
          </w:p>
        </w:tc>
        <w:tc>
          <w:tcPr>
            <w:tcW w:w="993" w:type="dxa"/>
            <w:tcBorders>
              <w:top w:val="single" w:sz="4" w:space="0" w:color="auto"/>
              <w:left w:val="nil"/>
              <w:bottom w:val="single" w:sz="4" w:space="0" w:color="auto"/>
              <w:right w:val="nil"/>
            </w:tcBorders>
            <w:shd w:val="clear" w:color="000000" w:fill="F7EEF7"/>
            <w:noWrap/>
            <w:hideMark/>
          </w:tcPr>
          <w:p w14:paraId="5995D26A" w14:textId="77777777" w:rsidR="009A5007" w:rsidRPr="00BF4ACA" w:rsidRDefault="009A5007" w:rsidP="00312E88">
            <w:pPr>
              <w:jc w:val="right"/>
              <w:rPr>
                <w:rFonts w:cs="Arial"/>
                <w:b/>
                <w:bCs/>
                <w:color w:val="000000"/>
                <w:sz w:val="16"/>
                <w:szCs w:val="16"/>
              </w:rPr>
            </w:pPr>
            <w:r w:rsidRPr="00BF4ACA">
              <w:rPr>
                <w:rFonts w:cs="Arial"/>
                <w:b/>
                <w:bCs/>
                <w:color w:val="000000"/>
                <w:sz w:val="16"/>
                <w:szCs w:val="16"/>
              </w:rPr>
              <w:t>670,400</w:t>
            </w:r>
          </w:p>
        </w:tc>
        <w:tc>
          <w:tcPr>
            <w:tcW w:w="850" w:type="dxa"/>
            <w:tcBorders>
              <w:top w:val="single" w:sz="4" w:space="0" w:color="auto"/>
              <w:left w:val="dotted" w:sz="4" w:space="0" w:color="auto"/>
              <w:bottom w:val="single" w:sz="4" w:space="0" w:color="auto"/>
              <w:right w:val="single" w:sz="4" w:space="0" w:color="auto"/>
            </w:tcBorders>
            <w:shd w:val="clear" w:color="000000" w:fill="F7EEF7"/>
            <w:noWrap/>
            <w:hideMark/>
          </w:tcPr>
          <w:p w14:paraId="63B61661" w14:textId="77777777" w:rsidR="009A5007" w:rsidRPr="00BF4ACA" w:rsidRDefault="009A5007" w:rsidP="00312E88">
            <w:pPr>
              <w:jc w:val="right"/>
              <w:rPr>
                <w:rFonts w:cs="Arial"/>
                <w:b/>
                <w:bCs/>
                <w:color w:val="000000"/>
                <w:sz w:val="16"/>
                <w:szCs w:val="16"/>
              </w:rPr>
            </w:pPr>
            <w:r w:rsidRPr="00BF4ACA">
              <w:rPr>
                <w:rFonts w:cs="Arial"/>
                <w:b/>
                <w:bCs/>
                <w:color w:val="000000"/>
                <w:sz w:val="16"/>
                <w:szCs w:val="16"/>
              </w:rPr>
              <w:t>859,328</w:t>
            </w:r>
          </w:p>
        </w:tc>
      </w:tr>
      <w:tr w:rsidR="009A5007" w:rsidRPr="00BF4ACA" w14:paraId="26D6EEBB" w14:textId="77777777" w:rsidTr="009A5007">
        <w:trPr>
          <w:trHeight w:hRule="exact" w:val="284"/>
        </w:trPr>
        <w:tc>
          <w:tcPr>
            <w:tcW w:w="9209" w:type="dxa"/>
            <w:gridSpan w:val="7"/>
            <w:tcBorders>
              <w:top w:val="nil"/>
              <w:left w:val="nil"/>
              <w:bottom w:val="nil"/>
              <w:right w:val="nil"/>
            </w:tcBorders>
            <w:shd w:val="clear" w:color="auto" w:fill="auto"/>
            <w:noWrap/>
            <w:hideMark/>
          </w:tcPr>
          <w:p w14:paraId="2AB2C25B" w14:textId="77777777" w:rsidR="009A5007" w:rsidRPr="00BF4ACA" w:rsidRDefault="009A5007" w:rsidP="00312E88">
            <w:pPr>
              <w:rPr>
                <w:sz w:val="16"/>
                <w:szCs w:val="16"/>
              </w:rPr>
            </w:pPr>
          </w:p>
        </w:tc>
      </w:tr>
      <w:tr w:rsidR="009A5007" w:rsidRPr="00BF4ACA" w14:paraId="3316C7A8" w14:textId="77777777" w:rsidTr="009A5007">
        <w:trPr>
          <w:trHeight w:hRule="exact" w:val="284"/>
        </w:trPr>
        <w:tc>
          <w:tcPr>
            <w:tcW w:w="4390" w:type="dxa"/>
            <w:gridSpan w:val="2"/>
            <w:tcBorders>
              <w:top w:val="nil"/>
              <w:left w:val="nil"/>
              <w:bottom w:val="nil"/>
              <w:right w:val="nil"/>
            </w:tcBorders>
            <w:shd w:val="clear" w:color="auto" w:fill="auto"/>
            <w:noWrap/>
            <w:hideMark/>
          </w:tcPr>
          <w:p w14:paraId="1E915553" w14:textId="77777777" w:rsidR="009A5007" w:rsidRPr="00582AA1" w:rsidRDefault="009A5007" w:rsidP="00312E88">
            <w:pPr>
              <w:rPr>
                <w:rFonts w:cs="Arial"/>
                <w:b/>
                <w:bCs/>
                <w:color w:val="6B2976"/>
                <w:sz w:val="18"/>
                <w:szCs w:val="18"/>
              </w:rPr>
            </w:pPr>
            <w:r w:rsidRPr="00582AA1">
              <w:rPr>
                <w:rFonts w:cs="Arial"/>
                <w:b/>
                <w:bCs/>
                <w:color w:val="6B2976"/>
                <w:sz w:val="18"/>
                <w:szCs w:val="18"/>
              </w:rPr>
              <w:t>SIL as a % of Total Scheme Population</w:t>
            </w:r>
          </w:p>
        </w:tc>
        <w:tc>
          <w:tcPr>
            <w:tcW w:w="992" w:type="dxa"/>
            <w:tcBorders>
              <w:top w:val="nil"/>
              <w:left w:val="nil"/>
              <w:bottom w:val="nil"/>
              <w:right w:val="nil"/>
            </w:tcBorders>
            <w:shd w:val="clear" w:color="auto" w:fill="auto"/>
            <w:noWrap/>
            <w:hideMark/>
          </w:tcPr>
          <w:p w14:paraId="48831F61" w14:textId="77777777" w:rsidR="009A5007" w:rsidRPr="00BF4ACA" w:rsidRDefault="009A5007" w:rsidP="00312E88">
            <w:pPr>
              <w:rPr>
                <w:rFonts w:cs="Arial"/>
                <w:b/>
                <w:bCs/>
                <w:color w:val="6B2976"/>
                <w:sz w:val="16"/>
                <w:szCs w:val="16"/>
              </w:rPr>
            </w:pPr>
          </w:p>
        </w:tc>
        <w:tc>
          <w:tcPr>
            <w:tcW w:w="992" w:type="dxa"/>
            <w:tcBorders>
              <w:top w:val="nil"/>
              <w:left w:val="nil"/>
              <w:bottom w:val="nil"/>
              <w:right w:val="nil"/>
            </w:tcBorders>
            <w:shd w:val="clear" w:color="auto" w:fill="auto"/>
            <w:noWrap/>
            <w:hideMark/>
          </w:tcPr>
          <w:p w14:paraId="695797FD" w14:textId="77777777" w:rsidR="009A5007" w:rsidRPr="00BF4ACA" w:rsidRDefault="009A5007" w:rsidP="00312E88">
            <w:pPr>
              <w:rPr>
                <w:sz w:val="16"/>
                <w:szCs w:val="16"/>
              </w:rPr>
            </w:pPr>
          </w:p>
        </w:tc>
        <w:tc>
          <w:tcPr>
            <w:tcW w:w="992" w:type="dxa"/>
            <w:tcBorders>
              <w:top w:val="nil"/>
              <w:left w:val="nil"/>
              <w:bottom w:val="nil"/>
              <w:right w:val="nil"/>
            </w:tcBorders>
            <w:shd w:val="clear" w:color="auto" w:fill="auto"/>
            <w:noWrap/>
            <w:hideMark/>
          </w:tcPr>
          <w:p w14:paraId="606EB740" w14:textId="77777777" w:rsidR="009A5007" w:rsidRPr="00BF4ACA" w:rsidRDefault="009A5007" w:rsidP="00312E88">
            <w:pPr>
              <w:rPr>
                <w:sz w:val="16"/>
                <w:szCs w:val="16"/>
              </w:rPr>
            </w:pPr>
          </w:p>
        </w:tc>
        <w:tc>
          <w:tcPr>
            <w:tcW w:w="993" w:type="dxa"/>
            <w:tcBorders>
              <w:top w:val="nil"/>
              <w:left w:val="nil"/>
              <w:bottom w:val="nil"/>
              <w:right w:val="nil"/>
            </w:tcBorders>
            <w:shd w:val="clear" w:color="auto" w:fill="auto"/>
            <w:noWrap/>
            <w:hideMark/>
          </w:tcPr>
          <w:p w14:paraId="1278F323" w14:textId="77777777" w:rsidR="009A5007" w:rsidRPr="00BF4ACA" w:rsidRDefault="009A5007" w:rsidP="00312E88">
            <w:pPr>
              <w:rPr>
                <w:sz w:val="16"/>
                <w:szCs w:val="16"/>
              </w:rPr>
            </w:pPr>
          </w:p>
        </w:tc>
        <w:tc>
          <w:tcPr>
            <w:tcW w:w="850" w:type="dxa"/>
            <w:tcBorders>
              <w:top w:val="nil"/>
              <w:left w:val="nil"/>
              <w:bottom w:val="nil"/>
              <w:right w:val="nil"/>
            </w:tcBorders>
            <w:shd w:val="clear" w:color="auto" w:fill="auto"/>
            <w:noWrap/>
            <w:hideMark/>
          </w:tcPr>
          <w:p w14:paraId="451433DF" w14:textId="77777777" w:rsidR="009A5007" w:rsidRPr="00BF4ACA" w:rsidRDefault="009A5007" w:rsidP="00312E88">
            <w:pPr>
              <w:rPr>
                <w:sz w:val="16"/>
                <w:szCs w:val="16"/>
              </w:rPr>
            </w:pPr>
          </w:p>
        </w:tc>
      </w:tr>
      <w:tr w:rsidR="009A5007" w:rsidRPr="00BF4ACA" w14:paraId="3EF78607" w14:textId="77777777" w:rsidTr="009A5007">
        <w:trPr>
          <w:trHeight w:hRule="exact" w:val="284"/>
        </w:trPr>
        <w:tc>
          <w:tcPr>
            <w:tcW w:w="3397" w:type="dxa"/>
            <w:tcBorders>
              <w:top w:val="single" w:sz="4" w:space="0" w:color="auto"/>
              <w:left w:val="single" w:sz="4" w:space="0" w:color="auto"/>
              <w:bottom w:val="single" w:sz="4" w:space="0" w:color="auto"/>
              <w:right w:val="single" w:sz="4" w:space="0" w:color="auto"/>
            </w:tcBorders>
            <w:shd w:val="clear" w:color="auto" w:fill="auto"/>
            <w:noWrap/>
            <w:hideMark/>
          </w:tcPr>
          <w:p w14:paraId="0BF6431D" w14:textId="77777777" w:rsidR="009A5007" w:rsidRPr="00BF4ACA" w:rsidRDefault="009A5007" w:rsidP="00312E88">
            <w:pPr>
              <w:rPr>
                <w:rFonts w:cs="Arial"/>
                <w:color w:val="000000"/>
                <w:sz w:val="16"/>
                <w:szCs w:val="16"/>
              </w:rPr>
            </w:pPr>
            <w:r w:rsidRPr="00BF4ACA">
              <w:rPr>
                <w:rFonts w:cs="Arial"/>
                <w:color w:val="000000"/>
                <w:sz w:val="16"/>
                <w:szCs w:val="16"/>
              </w:rPr>
              <w:t>Projection</w:t>
            </w:r>
          </w:p>
        </w:tc>
        <w:tc>
          <w:tcPr>
            <w:tcW w:w="993" w:type="dxa"/>
            <w:tcBorders>
              <w:top w:val="single" w:sz="4" w:space="0" w:color="auto"/>
              <w:left w:val="nil"/>
              <w:bottom w:val="single" w:sz="4" w:space="0" w:color="auto"/>
              <w:right w:val="nil"/>
            </w:tcBorders>
            <w:shd w:val="clear" w:color="auto" w:fill="auto"/>
            <w:noWrap/>
            <w:hideMark/>
          </w:tcPr>
          <w:p w14:paraId="0179632A" w14:textId="77777777" w:rsidR="009A5007" w:rsidRPr="00BF4ACA" w:rsidRDefault="009A5007" w:rsidP="00312E88">
            <w:pPr>
              <w:jc w:val="right"/>
              <w:rPr>
                <w:rFonts w:cs="Arial"/>
                <w:color w:val="000000"/>
                <w:sz w:val="16"/>
                <w:szCs w:val="16"/>
              </w:rPr>
            </w:pPr>
            <w:r w:rsidRPr="00BF4ACA">
              <w:rPr>
                <w:rFonts w:cs="Arial"/>
                <w:color w:val="000000"/>
                <w:sz w:val="16"/>
                <w:szCs w:val="16"/>
              </w:rPr>
              <w:t>5.4%</w:t>
            </w:r>
          </w:p>
        </w:tc>
        <w:tc>
          <w:tcPr>
            <w:tcW w:w="992" w:type="dxa"/>
            <w:tcBorders>
              <w:top w:val="single" w:sz="4" w:space="0" w:color="auto"/>
              <w:left w:val="nil"/>
              <w:bottom w:val="single" w:sz="4" w:space="0" w:color="auto"/>
              <w:right w:val="nil"/>
            </w:tcBorders>
            <w:shd w:val="clear" w:color="auto" w:fill="auto"/>
            <w:noWrap/>
            <w:hideMark/>
          </w:tcPr>
          <w:p w14:paraId="28DDFB81" w14:textId="77777777" w:rsidR="009A5007" w:rsidRPr="00BF4ACA" w:rsidRDefault="009A5007" w:rsidP="00312E88">
            <w:pPr>
              <w:jc w:val="right"/>
              <w:rPr>
                <w:rFonts w:cs="Arial"/>
                <w:color w:val="000000"/>
                <w:sz w:val="16"/>
                <w:szCs w:val="16"/>
              </w:rPr>
            </w:pPr>
            <w:r w:rsidRPr="00BF4ACA">
              <w:rPr>
                <w:rFonts w:cs="Arial"/>
                <w:color w:val="000000"/>
                <w:sz w:val="16"/>
                <w:szCs w:val="16"/>
              </w:rPr>
              <w:t>5.0%</w:t>
            </w:r>
          </w:p>
        </w:tc>
        <w:tc>
          <w:tcPr>
            <w:tcW w:w="992" w:type="dxa"/>
            <w:tcBorders>
              <w:top w:val="single" w:sz="4" w:space="0" w:color="auto"/>
              <w:left w:val="nil"/>
              <w:bottom w:val="single" w:sz="4" w:space="0" w:color="auto"/>
              <w:right w:val="nil"/>
            </w:tcBorders>
            <w:shd w:val="clear" w:color="auto" w:fill="auto"/>
            <w:noWrap/>
            <w:hideMark/>
          </w:tcPr>
          <w:p w14:paraId="67065502" w14:textId="77777777" w:rsidR="009A5007" w:rsidRPr="00BF4ACA" w:rsidRDefault="009A5007" w:rsidP="00312E88">
            <w:pPr>
              <w:jc w:val="right"/>
              <w:rPr>
                <w:rFonts w:cs="Arial"/>
                <w:color w:val="000000"/>
                <w:sz w:val="16"/>
                <w:szCs w:val="16"/>
              </w:rPr>
            </w:pPr>
            <w:r w:rsidRPr="00BF4ACA">
              <w:rPr>
                <w:rFonts w:cs="Arial"/>
                <w:color w:val="000000"/>
                <w:sz w:val="16"/>
                <w:szCs w:val="16"/>
              </w:rPr>
              <w:t>4.7%</w:t>
            </w:r>
          </w:p>
        </w:tc>
        <w:tc>
          <w:tcPr>
            <w:tcW w:w="992" w:type="dxa"/>
            <w:tcBorders>
              <w:top w:val="single" w:sz="4" w:space="0" w:color="auto"/>
              <w:left w:val="nil"/>
              <w:bottom w:val="single" w:sz="4" w:space="0" w:color="auto"/>
              <w:right w:val="nil"/>
            </w:tcBorders>
            <w:shd w:val="clear" w:color="auto" w:fill="auto"/>
            <w:noWrap/>
            <w:hideMark/>
          </w:tcPr>
          <w:p w14:paraId="78F82E90" w14:textId="77777777" w:rsidR="009A5007" w:rsidRPr="00BF4ACA" w:rsidRDefault="009A5007" w:rsidP="00312E88">
            <w:pPr>
              <w:jc w:val="right"/>
              <w:rPr>
                <w:rFonts w:cs="Arial"/>
                <w:color w:val="000000"/>
                <w:sz w:val="16"/>
                <w:szCs w:val="16"/>
              </w:rPr>
            </w:pPr>
            <w:r w:rsidRPr="00BF4ACA">
              <w:rPr>
                <w:rFonts w:cs="Arial"/>
                <w:color w:val="000000"/>
                <w:sz w:val="16"/>
                <w:szCs w:val="16"/>
              </w:rPr>
              <w:t>4.5%</w:t>
            </w:r>
          </w:p>
        </w:tc>
        <w:tc>
          <w:tcPr>
            <w:tcW w:w="993" w:type="dxa"/>
            <w:tcBorders>
              <w:top w:val="single" w:sz="4" w:space="0" w:color="auto"/>
              <w:left w:val="nil"/>
              <w:bottom w:val="single" w:sz="4" w:space="0" w:color="auto"/>
              <w:right w:val="nil"/>
            </w:tcBorders>
            <w:shd w:val="clear" w:color="auto" w:fill="auto"/>
            <w:noWrap/>
            <w:hideMark/>
          </w:tcPr>
          <w:p w14:paraId="641F43FF" w14:textId="77777777" w:rsidR="009A5007" w:rsidRPr="00BF4ACA" w:rsidRDefault="009A5007" w:rsidP="00312E88">
            <w:pPr>
              <w:jc w:val="right"/>
              <w:rPr>
                <w:rFonts w:cs="Arial"/>
                <w:color w:val="000000"/>
                <w:sz w:val="16"/>
                <w:szCs w:val="16"/>
              </w:rPr>
            </w:pPr>
            <w:r w:rsidRPr="00BF4ACA">
              <w:rPr>
                <w:rFonts w:cs="Arial"/>
                <w:color w:val="000000"/>
                <w:sz w:val="16"/>
                <w:szCs w:val="16"/>
              </w:rPr>
              <w:t>4.4%</w:t>
            </w:r>
          </w:p>
        </w:tc>
        <w:tc>
          <w:tcPr>
            <w:tcW w:w="850" w:type="dxa"/>
            <w:tcBorders>
              <w:top w:val="single" w:sz="4" w:space="0" w:color="auto"/>
              <w:left w:val="dotted" w:sz="4" w:space="0" w:color="auto"/>
              <w:bottom w:val="single" w:sz="4" w:space="0" w:color="auto"/>
              <w:right w:val="single" w:sz="4" w:space="0" w:color="auto"/>
            </w:tcBorders>
            <w:shd w:val="clear" w:color="auto" w:fill="auto"/>
            <w:noWrap/>
            <w:hideMark/>
          </w:tcPr>
          <w:p w14:paraId="1E8066E1" w14:textId="77777777" w:rsidR="009A5007" w:rsidRPr="00BF4ACA" w:rsidRDefault="009A5007" w:rsidP="00312E88">
            <w:pPr>
              <w:jc w:val="right"/>
              <w:rPr>
                <w:rFonts w:cs="Arial"/>
                <w:color w:val="000000"/>
                <w:sz w:val="16"/>
                <w:szCs w:val="16"/>
              </w:rPr>
            </w:pPr>
            <w:r w:rsidRPr="00BF4ACA">
              <w:rPr>
                <w:rFonts w:cs="Arial"/>
                <w:color w:val="000000"/>
                <w:sz w:val="16"/>
                <w:szCs w:val="16"/>
              </w:rPr>
              <w:t>4.1%</w:t>
            </w:r>
          </w:p>
        </w:tc>
      </w:tr>
    </w:tbl>
    <w:p w14:paraId="022F9489" w14:textId="58F45318" w:rsidR="00392A9A" w:rsidRPr="00392A9A" w:rsidRDefault="00392A9A" w:rsidP="00392A9A">
      <w:pPr>
        <w:pStyle w:val="FSRnormal"/>
      </w:pPr>
    </w:p>
    <w:p w14:paraId="373F7BDA" w14:textId="0824E9B1" w:rsidR="00392A9A" w:rsidRDefault="00392A9A" w:rsidP="00392A9A">
      <w:pPr>
        <w:pStyle w:val="FSRnormal"/>
      </w:pPr>
      <w:r w:rsidRPr="00C578EB">
        <w:t xml:space="preserve">The number of participants with SIL arrangements is projected to increase over time to reflect </w:t>
      </w:r>
      <w:r w:rsidR="00C60C51">
        <w:t xml:space="preserve">both </w:t>
      </w:r>
      <w:r w:rsidRPr="00C578EB">
        <w:t xml:space="preserve">existing participants moving to SIL arrangements and </w:t>
      </w:r>
      <w:r w:rsidR="00727A88">
        <w:t xml:space="preserve">a small number of </w:t>
      </w:r>
      <w:r w:rsidRPr="00C578EB">
        <w:t xml:space="preserve">new entrants </w:t>
      </w:r>
      <w:r w:rsidR="00727A88">
        <w:t xml:space="preserve">to the Scheme accessing </w:t>
      </w:r>
      <w:r w:rsidRPr="00C578EB">
        <w:t xml:space="preserve">SIL. However, it is expected that the </w:t>
      </w:r>
      <w:r w:rsidR="00727A88">
        <w:t xml:space="preserve">vast </w:t>
      </w:r>
      <w:r w:rsidRPr="00C578EB">
        <w:t xml:space="preserve">majority of new entrants into the Scheme will not require SIL which results in the projected proportion of participants in SIL decreasing over time. </w:t>
      </w:r>
    </w:p>
    <w:p w14:paraId="197F334A" w14:textId="786ACE5C" w:rsidR="00392A9A" w:rsidRDefault="00392A9A" w:rsidP="00392A9A">
      <w:pPr>
        <w:pStyle w:val="FSRnormal"/>
      </w:pPr>
      <w:r w:rsidRPr="00E64BE8">
        <w:lastRenderedPageBreak/>
        <w:t xml:space="preserve">Since the previous </w:t>
      </w:r>
      <w:r w:rsidR="00B55961">
        <w:t>review</w:t>
      </w:r>
      <w:r w:rsidRPr="00E64BE8">
        <w:t>, analysis has been undertaken to understand the composition of the new SIL participant intake between those participants transitioning from existing schemes and those who were new to disability supports. This indicate</w:t>
      </w:r>
      <w:r>
        <w:t>d</w:t>
      </w:r>
      <w:r w:rsidRPr="00E64BE8">
        <w:t xml:space="preserve"> that the number of new SIL participants who were new to disability supports is lower than the assumption at the previous </w:t>
      </w:r>
      <w:r w:rsidR="00B55961">
        <w:t>review</w:t>
      </w:r>
      <w:r w:rsidRPr="00E64BE8">
        <w:t xml:space="preserve">. </w:t>
      </w:r>
    </w:p>
    <w:p w14:paraId="3FDF503C" w14:textId="7D21D1ED" w:rsidR="00392A9A" w:rsidRDefault="00392A9A" w:rsidP="00392A9A">
      <w:pPr>
        <w:pStyle w:val="FSRnormal"/>
        <w:rPr>
          <w:rFonts w:cs="Arial"/>
        </w:rPr>
      </w:pPr>
      <w:r w:rsidRPr="001A54BC">
        <w:rPr>
          <w:rFonts w:cs="Arial"/>
          <w:u w:val="single"/>
        </w:rPr>
        <w:fldChar w:fldCharType="begin"/>
      </w:r>
      <w:r w:rsidRPr="001A54BC">
        <w:rPr>
          <w:rFonts w:cs="Arial"/>
          <w:u w:val="single"/>
        </w:rPr>
        <w:instrText xml:space="preserve"> REF _Ref80195092 \h </w:instrText>
      </w:r>
      <w:r w:rsidR="001A54BC">
        <w:rPr>
          <w:rFonts w:cs="Arial"/>
          <w:u w:val="single"/>
        </w:rPr>
        <w:instrText xml:space="preserve"> \* MERGEFORMAT </w:instrText>
      </w:r>
      <w:r w:rsidRPr="001A54BC">
        <w:rPr>
          <w:rFonts w:cs="Arial"/>
          <w:u w:val="single"/>
        </w:rPr>
      </w:r>
      <w:r w:rsidRPr="001A54BC">
        <w:rPr>
          <w:rFonts w:cs="Arial"/>
          <w:u w:val="single"/>
        </w:rPr>
        <w:fldChar w:fldCharType="separate"/>
      </w:r>
      <w:r w:rsidR="00E50032" w:rsidRPr="00E50032">
        <w:rPr>
          <w:u w:val="single"/>
        </w:rPr>
        <w:t xml:space="preserve">Figure </w:t>
      </w:r>
      <w:r w:rsidR="00E50032" w:rsidRPr="00E50032">
        <w:rPr>
          <w:noProof/>
          <w:u w:val="single"/>
        </w:rPr>
        <w:t>45</w:t>
      </w:r>
      <w:r w:rsidRPr="001A54BC">
        <w:rPr>
          <w:rFonts w:cs="Arial"/>
          <w:u w:val="single"/>
        </w:rPr>
        <w:fldChar w:fldCharType="end"/>
      </w:r>
      <w:r>
        <w:rPr>
          <w:rFonts w:cs="Arial"/>
        </w:rPr>
        <w:t xml:space="preserve"> below highlights that the revised projection is </w:t>
      </w:r>
      <w:r w:rsidR="00AC17A1">
        <w:rPr>
          <w:rFonts w:cs="Arial"/>
        </w:rPr>
        <w:t xml:space="preserve">more </w:t>
      </w:r>
      <w:r>
        <w:rPr>
          <w:rFonts w:cs="Arial"/>
        </w:rPr>
        <w:t xml:space="preserve">in line with the </w:t>
      </w:r>
      <w:r w:rsidR="00727A88">
        <w:rPr>
          <w:rFonts w:cs="Arial"/>
        </w:rPr>
        <w:t xml:space="preserve">observed </w:t>
      </w:r>
      <w:r>
        <w:rPr>
          <w:rFonts w:cs="Arial"/>
        </w:rPr>
        <w:t>net intake</w:t>
      </w:r>
      <w:r w:rsidR="00727A88">
        <w:rPr>
          <w:rFonts w:cs="Arial"/>
        </w:rPr>
        <w:t xml:space="preserve"> over the past year </w:t>
      </w:r>
      <w:r w:rsidR="00AC17A1">
        <w:rPr>
          <w:rFonts w:cs="Arial"/>
        </w:rPr>
        <w:t xml:space="preserve">compared with </w:t>
      </w:r>
      <w:r>
        <w:rPr>
          <w:rFonts w:cs="Arial"/>
        </w:rPr>
        <w:t xml:space="preserve">the previous projection. SIL intake for 2022 and 2023 financial years is assumed to be a combination of new entrants and </w:t>
      </w:r>
      <w:r w:rsidR="00727A88">
        <w:rPr>
          <w:rFonts w:cs="Arial"/>
        </w:rPr>
        <w:t xml:space="preserve">a small number of </w:t>
      </w:r>
      <w:r>
        <w:rPr>
          <w:rFonts w:cs="Arial"/>
        </w:rPr>
        <w:t xml:space="preserve">transitions from residential aged care. From FY2024 onwards, the SIL projections are driven by transition of existing </w:t>
      </w:r>
      <w:r w:rsidR="00783DE5">
        <w:rPr>
          <w:rFonts w:cs="Arial"/>
        </w:rPr>
        <w:t>Scheme</w:t>
      </w:r>
      <w:r>
        <w:rPr>
          <w:rFonts w:cs="Arial"/>
        </w:rPr>
        <w:t xml:space="preserve"> participants into SIL arrangements.</w:t>
      </w:r>
    </w:p>
    <w:p w14:paraId="1A7C1D0C" w14:textId="7783C232" w:rsidR="00392A9A" w:rsidRPr="00392A9A" w:rsidRDefault="00392A9A" w:rsidP="00392A9A">
      <w:pPr>
        <w:pStyle w:val="Figures"/>
      </w:pPr>
      <w:bookmarkStart w:id="202" w:name="_Ref80195092"/>
      <w:r w:rsidRPr="00392A9A">
        <w:t xml:space="preserve">Figure </w:t>
      </w:r>
      <w:fldSimple w:instr=" SEQ Figure \* ARABIC ">
        <w:r w:rsidR="00E50032">
          <w:rPr>
            <w:noProof/>
          </w:rPr>
          <w:t>45</w:t>
        </w:r>
      </w:fldSimple>
      <w:bookmarkEnd w:id="202"/>
      <w:r w:rsidRPr="00392A9A">
        <w:t xml:space="preserve"> SIL participants intake experience to date and trajectory</w:t>
      </w:r>
      <w:r w:rsidR="00654390">
        <w:rPr>
          <w:rStyle w:val="FootnoteReference"/>
        </w:rPr>
        <w:footnoteReference w:id="62"/>
      </w:r>
    </w:p>
    <w:p w14:paraId="26730444" w14:textId="77777777" w:rsidR="00392A9A" w:rsidRDefault="00392A9A" w:rsidP="00392A9A">
      <w:pPr>
        <w:pStyle w:val="FSRnormal"/>
      </w:pPr>
      <w:r w:rsidRPr="00392A9A">
        <w:rPr>
          <w:noProof/>
          <w:lang w:eastAsia="en-AU"/>
        </w:rPr>
        <w:drawing>
          <wp:inline distT="0" distB="0" distL="0" distR="0" wp14:anchorId="2577734E" wp14:editId="0DAED170">
            <wp:extent cx="5731510" cy="3092213"/>
            <wp:effectExtent l="0" t="0" r="2540" b="0"/>
            <wp:docPr id="29" name="Picture 29" descr="Line chart showing SIL participants intake experience to date and trajectory. The chart highlights that the revised projection is more in line with the observed net intake over the past year than the previous projection. The figures are as follows, The actual combined net intake for 2018 is 5,867, in 2019 it's 8,389, 2020 it's 3,067, 2021 it's 1,201. The actual new entrants net intake  for 2018 is 48, 2019 430 and 2020 it's 767. The Dec20 projected net intake for 2021- 2022 is 2,859, 2022- 2023 is 2,673, 2023-2024 its 2,362, for 2024-2025 its1,560, for 2025-2026 its 1,644, 2026-2027 is 1,729, 2027-2028 is 1,813, 2028-2029 is 1,889 and 2029-2030 is 1,994. Jun21 Projected net intake for2021- 2022 is 1,113, for 2022- 2023 is 905 for 2023- 2024 it's 1,006, for 2024-2025 it's 1,015, for 2025- 2026 it's 1,067, for 2026- 2027 it's 1,106, 2027-2028 is 1,166, 2028-2029 1,195 and 2029- 2030 it's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ine chart showing SIL participants intake experience to date and trajectory. The chart highlights that the revised projection is more in line with the observed net intake over the past year than the previous projection. The figures are as follows, The actual combined net intake for 2018 is 5,867, in 2019 it's 8,389, 2020 it's 3,067, 2021 it's 1,201. The actual new entrants net intake  for 2018 is 48, 2019 430 and 2020 it's 767. The Dec20 projected net intake for 2021- 2022 is 2,859, 2022- 2023 is 2,673, 2023-2024 its 2,362, for 2024-2025 its1,560, for 2025-2026 its 1,644, 2026-2027 is 1,729, 2027-2028 is 1,813, 2028-2029 is 1,889 and 2029-2030 is 1,994. Jun21 Projected net intake for2021- 2022 is 1,113, for 2022- 2023 is 905 for 2023- 2024 it's 1,006, for 2024-2025 it's 1,015, for 2025- 2026 it's 1,067, for 2026- 2027 it's 1,106, 2027-2028 is 1,166, 2028-2029 1,195 and 2029- 2030 it's 1,2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3092213"/>
                    </a:xfrm>
                    <a:prstGeom prst="rect">
                      <a:avLst/>
                    </a:prstGeom>
                    <a:noFill/>
                    <a:ln>
                      <a:noFill/>
                    </a:ln>
                  </pic:spPr>
                </pic:pic>
              </a:graphicData>
            </a:graphic>
          </wp:inline>
        </w:drawing>
      </w:r>
    </w:p>
    <w:p w14:paraId="7C262712" w14:textId="49E620D6" w:rsidR="006F104A" w:rsidRDefault="006F104A" w:rsidP="00EA0F0E">
      <w:pPr>
        <w:pStyle w:val="Heading3"/>
      </w:pPr>
      <w:bookmarkStart w:id="203" w:name="_Toc83220850"/>
      <w:bookmarkStart w:id="204" w:name="_Toc85031261"/>
      <w:r w:rsidRPr="00EA0F0E">
        <w:t>Average</w:t>
      </w:r>
      <w:r w:rsidRPr="00C578EB">
        <w:t xml:space="preserve"> payment</w:t>
      </w:r>
      <w:r w:rsidR="00C129EB" w:rsidRPr="00C578EB">
        <w:t xml:space="preserve"> assumptions</w:t>
      </w:r>
      <w:bookmarkEnd w:id="203"/>
      <w:bookmarkEnd w:id="204"/>
    </w:p>
    <w:p w14:paraId="47211AED" w14:textId="67043054" w:rsidR="007372C8" w:rsidRPr="0040405D" w:rsidRDefault="007372C8" w:rsidP="007372C8">
      <w:pPr>
        <w:pStyle w:val="FSRnormal"/>
      </w:pPr>
      <w:r w:rsidRPr="0040405D">
        <w:t xml:space="preserve">Scheme experience over the past twelve months has </w:t>
      </w:r>
      <w:r w:rsidR="00727A88">
        <w:t xml:space="preserve">reflected </w:t>
      </w:r>
      <w:r w:rsidRPr="0040405D">
        <w:t xml:space="preserve">higher average </w:t>
      </w:r>
      <w:r w:rsidR="00BB0CB7">
        <w:t xml:space="preserve">payments </w:t>
      </w:r>
      <w:r w:rsidRPr="0040405D">
        <w:t xml:space="preserve">per participant than expected when compared to previous assumptions. The base average </w:t>
      </w:r>
      <w:r w:rsidR="00BB0CB7">
        <w:t>payment</w:t>
      </w:r>
      <w:r w:rsidRPr="0040405D">
        <w:t xml:space="preserve"> assumptions were derived using 31 May 2021 data, reflecting the actual payment experience over the 3 months to 31 May 2021.</w:t>
      </w:r>
    </w:p>
    <w:p w14:paraId="5C12D76E" w14:textId="5A4D2E86" w:rsidR="007372C8" w:rsidRDefault="007372C8" w:rsidP="007372C8">
      <w:pPr>
        <w:pStyle w:val="FSRnormal"/>
      </w:pPr>
      <w:r w:rsidRPr="0040405D">
        <w:t xml:space="preserve">This can be seen in </w:t>
      </w:r>
      <w:r w:rsidRPr="009A0E86">
        <w:rPr>
          <w:u w:val="single"/>
        </w:rPr>
        <w:fldChar w:fldCharType="begin"/>
      </w:r>
      <w:r w:rsidRPr="009A0E86">
        <w:rPr>
          <w:u w:val="single"/>
        </w:rPr>
        <w:instrText xml:space="preserve"> REF _Ref80346125 \h </w:instrText>
      </w:r>
      <w:r w:rsidR="009A0E86">
        <w:rPr>
          <w:u w:val="single"/>
        </w:rPr>
        <w:instrText xml:space="preserve"> \* MERGEFORMAT </w:instrText>
      </w:r>
      <w:r w:rsidRPr="009A0E86">
        <w:rPr>
          <w:u w:val="single"/>
        </w:rPr>
      </w:r>
      <w:r w:rsidRPr="009A0E86">
        <w:rPr>
          <w:u w:val="single"/>
        </w:rPr>
        <w:fldChar w:fldCharType="separate"/>
      </w:r>
      <w:r w:rsidR="00E50032" w:rsidRPr="00E50032">
        <w:rPr>
          <w:u w:val="single"/>
        </w:rPr>
        <w:t xml:space="preserve">Table </w:t>
      </w:r>
      <w:r w:rsidR="00E50032" w:rsidRPr="00E50032">
        <w:rPr>
          <w:noProof/>
          <w:u w:val="single"/>
        </w:rPr>
        <w:t>26</w:t>
      </w:r>
      <w:r w:rsidRPr="009A0E86">
        <w:rPr>
          <w:u w:val="single"/>
        </w:rPr>
        <w:fldChar w:fldCharType="end"/>
      </w:r>
      <w:r>
        <w:t xml:space="preserve"> </w:t>
      </w:r>
      <w:r w:rsidRPr="0040405D">
        <w:t>which displays the projected average annual payments (in current dollars) by grouped disability and age band for the 2021-22 financial year:</w:t>
      </w:r>
    </w:p>
    <w:p w14:paraId="32B69ECF" w14:textId="7BA50135" w:rsidR="007372C8" w:rsidRPr="0040405D" w:rsidRDefault="007372C8" w:rsidP="007372C8">
      <w:pPr>
        <w:pStyle w:val="FSRlist"/>
      </w:pPr>
      <w:r w:rsidRPr="0040405D">
        <w:t xml:space="preserve">The average annualised payment amount for all Scheme participants in 2021-22 is $55,800. </w:t>
      </w:r>
    </w:p>
    <w:p w14:paraId="22F7409F" w14:textId="77777777" w:rsidR="007372C8" w:rsidRPr="0040405D" w:rsidRDefault="007372C8" w:rsidP="007372C8">
      <w:pPr>
        <w:pStyle w:val="FSRlist"/>
      </w:pPr>
      <w:r w:rsidRPr="0040405D">
        <w:lastRenderedPageBreak/>
        <w:t>Children have lower average annualised payments than adults, reflecting a higher proportion of early intervention participants, less usage of SIL arrangements and more informal supports, primarily provided by parents.</w:t>
      </w:r>
    </w:p>
    <w:p w14:paraId="0276C9F0" w14:textId="49C3C596" w:rsidR="007372C8" w:rsidRPr="0040405D" w:rsidRDefault="007372C8" w:rsidP="007372C8">
      <w:pPr>
        <w:pStyle w:val="FSRlist"/>
      </w:pPr>
      <w:r w:rsidRPr="0040405D">
        <w:t>Participants with intellectual disability and other disabilities</w:t>
      </w:r>
      <w:r w:rsidRPr="0040405D">
        <w:rPr>
          <w:vertAlign w:val="superscript"/>
        </w:rPr>
        <w:footnoteReference w:id="63"/>
      </w:r>
      <w:r w:rsidRPr="0040405D">
        <w:t xml:space="preserve"> have the largest average </w:t>
      </w:r>
      <w:r w:rsidR="00BB0CB7">
        <w:t>payment</w:t>
      </w:r>
      <w:r w:rsidRPr="0040405D">
        <w:t>s.</w:t>
      </w:r>
    </w:p>
    <w:p w14:paraId="1C869806" w14:textId="5907DC5F" w:rsidR="007372C8" w:rsidRPr="007372C8" w:rsidRDefault="007372C8" w:rsidP="007372C8">
      <w:pPr>
        <w:pStyle w:val="FSRlist"/>
      </w:pPr>
      <w:r w:rsidRPr="0040405D">
        <w:t>Participants with sensory disabilities</w:t>
      </w:r>
      <w:r w:rsidRPr="0040405D">
        <w:rPr>
          <w:vertAlign w:val="superscript"/>
        </w:rPr>
        <w:footnoteReference w:id="64"/>
      </w:r>
      <w:r w:rsidRPr="0040405D">
        <w:t xml:space="preserve"> and developmental delay have the lowest average </w:t>
      </w:r>
      <w:r w:rsidR="00BB0CB7">
        <w:t>payment</w:t>
      </w:r>
      <w:r w:rsidRPr="0040405D">
        <w:t>s.</w:t>
      </w:r>
    </w:p>
    <w:p w14:paraId="08AE6681" w14:textId="7FD17B9D" w:rsidR="007372C8" w:rsidRPr="0040405D" w:rsidRDefault="007372C8" w:rsidP="007372C8">
      <w:pPr>
        <w:pStyle w:val="Tables"/>
      </w:pPr>
      <w:bookmarkStart w:id="205" w:name="_Ref80346125"/>
      <w:r w:rsidRPr="0040405D">
        <w:t xml:space="preserve">Table </w:t>
      </w:r>
      <w:fldSimple w:instr=" SEQ Table \* ARABIC ">
        <w:r w:rsidR="00E50032">
          <w:rPr>
            <w:noProof/>
          </w:rPr>
          <w:t>26</w:t>
        </w:r>
      </w:fldSimple>
      <w:bookmarkEnd w:id="205"/>
      <w:r w:rsidRPr="0040405D">
        <w:t xml:space="preserve"> Average annual payments ($) by age band and disability group in 2021-22 (current dollars)</w:t>
      </w:r>
    </w:p>
    <w:tbl>
      <w:tblPr>
        <w:tblW w:w="8642" w:type="dxa"/>
        <w:tblLook w:val="04A0" w:firstRow="1" w:lastRow="0" w:firstColumn="1" w:lastColumn="0" w:noHBand="0" w:noVBand="1"/>
      </w:tblPr>
      <w:tblGrid>
        <w:gridCol w:w="1838"/>
        <w:gridCol w:w="1134"/>
        <w:gridCol w:w="1559"/>
        <w:gridCol w:w="1418"/>
        <w:gridCol w:w="1417"/>
        <w:gridCol w:w="1276"/>
      </w:tblGrid>
      <w:tr w:rsidR="00A61C3D" w:rsidRPr="007A1D32" w14:paraId="535AB3B6" w14:textId="77777777" w:rsidTr="008B2A38">
        <w:trPr>
          <w:trHeight w:hRule="exact" w:val="301"/>
          <w:tblHeader/>
        </w:trPr>
        <w:tc>
          <w:tcPr>
            <w:tcW w:w="1838" w:type="dxa"/>
            <w:tcBorders>
              <w:top w:val="single" w:sz="4" w:space="0" w:color="auto"/>
              <w:left w:val="single" w:sz="4" w:space="0" w:color="auto"/>
              <w:bottom w:val="single" w:sz="4" w:space="0" w:color="auto"/>
              <w:right w:val="single" w:sz="4" w:space="0" w:color="auto"/>
            </w:tcBorders>
            <w:shd w:val="clear" w:color="000000" w:fill="6B2976"/>
            <w:noWrap/>
            <w:hideMark/>
          </w:tcPr>
          <w:p w14:paraId="5AF81416" w14:textId="77777777" w:rsidR="00A61C3D" w:rsidRPr="007A1D32" w:rsidRDefault="00A61C3D" w:rsidP="00312E88">
            <w:pPr>
              <w:rPr>
                <w:rFonts w:cs="Arial"/>
                <w:b/>
                <w:bCs/>
                <w:color w:val="FFFFFF"/>
                <w:sz w:val="16"/>
                <w:szCs w:val="16"/>
              </w:rPr>
            </w:pPr>
            <w:bookmarkStart w:id="206" w:name="_Toc74932419"/>
            <w:bookmarkStart w:id="207" w:name="_Toc75034645"/>
            <w:bookmarkStart w:id="208" w:name="_Toc75035702"/>
            <w:bookmarkStart w:id="209" w:name="_Toc75036691"/>
            <w:bookmarkStart w:id="210" w:name="_Toc74852207"/>
            <w:bookmarkStart w:id="211" w:name="_Toc74853360"/>
            <w:bookmarkStart w:id="212" w:name="_Toc74924958"/>
            <w:bookmarkStart w:id="213" w:name="_Toc74932420"/>
            <w:bookmarkStart w:id="214" w:name="_Toc75034646"/>
            <w:bookmarkStart w:id="215" w:name="_Toc75035703"/>
            <w:bookmarkStart w:id="216" w:name="_Toc75036692"/>
            <w:bookmarkStart w:id="217" w:name="_Ref76048809"/>
            <w:bookmarkEnd w:id="206"/>
            <w:bookmarkEnd w:id="207"/>
            <w:bookmarkEnd w:id="208"/>
            <w:bookmarkEnd w:id="209"/>
            <w:bookmarkEnd w:id="210"/>
            <w:bookmarkEnd w:id="211"/>
            <w:bookmarkEnd w:id="212"/>
            <w:bookmarkEnd w:id="213"/>
            <w:bookmarkEnd w:id="214"/>
            <w:bookmarkEnd w:id="215"/>
            <w:bookmarkEnd w:id="216"/>
            <w:r w:rsidRPr="007A1D32">
              <w:rPr>
                <w:rFonts w:cs="Arial"/>
                <w:b/>
                <w:bCs/>
                <w:color w:val="FFFFFF"/>
                <w:sz w:val="16"/>
                <w:szCs w:val="16"/>
              </w:rPr>
              <w:t>Disability Group</w:t>
            </w:r>
          </w:p>
        </w:tc>
        <w:tc>
          <w:tcPr>
            <w:tcW w:w="1134" w:type="dxa"/>
            <w:tcBorders>
              <w:top w:val="single" w:sz="4" w:space="0" w:color="auto"/>
              <w:left w:val="nil"/>
              <w:bottom w:val="single" w:sz="4" w:space="0" w:color="auto"/>
              <w:right w:val="nil"/>
            </w:tcBorders>
            <w:shd w:val="clear" w:color="000000" w:fill="6B2976"/>
            <w:noWrap/>
            <w:hideMark/>
          </w:tcPr>
          <w:p w14:paraId="7A277597" w14:textId="77777777" w:rsidR="00A61C3D" w:rsidRPr="007A1D32" w:rsidRDefault="00A61C3D" w:rsidP="00312E88">
            <w:pPr>
              <w:jc w:val="center"/>
              <w:rPr>
                <w:rFonts w:cs="Arial"/>
                <w:b/>
                <w:bCs/>
                <w:color w:val="FFFFFF"/>
                <w:sz w:val="16"/>
                <w:szCs w:val="16"/>
              </w:rPr>
            </w:pPr>
            <w:r w:rsidRPr="007A1D32">
              <w:rPr>
                <w:rFonts w:cs="Arial"/>
                <w:b/>
                <w:bCs/>
                <w:color w:val="FFFFFF"/>
                <w:sz w:val="16"/>
                <w:szCs w:val="16"/>
              </w:rPr>
              <w:t>0 to 6</w:t>
            </w:r>
          </w:p>
        </w:tc>
        <w:tc>
          <w:tcPr>
            <w:tcW w:w="1559" w:type="dxa"/>
            <w:tcBorders>
              <w:top w:val="single" w:sz="4" w:space="0" w:color="auto"/>
              <w:left w:val="nil"/>
              <w:bottom w:val="single" w:sz="4" w:space="0" w:color="auto"/>
              <w:right w:val="nil"/>
            </w:tcBorders>
            <w:shd w:val="clear" w:color="000000" w:fill="6B2976"/>
            <w:noWrap/>
            <w:hideMark/>
          </w:tcPr>
          <w:p w14:paraId="56D72DBF" w14:textId="77777777" w:rsidR="00A61C3D" w:rsidRPr="007A1D32" w:rsidRDefault="00A61C3D" w:rsidP="00312E88">
            <w:pPr>
              <w:jc w:val="center"/>
              <w:rPr>
                <w:rFonts w:cs="Arial"/>
                <w:b/>
                <w:bCs/>
                <w:color w:val="FFFFFF"/>
                <w:sz w:val="16"/>
                <w:szCs w:val="16"/>
              </w:rPr>
            </w:pPr>
            <w:r w:rsidRPr="007A1D32">
              <w:rPr>
                <w:rFonts w:cs="Arial"/>
                <w:b/>
                <w:bCs/>
                <w:color w:val="FFFFFF"/>
                <w:sz w:val="16"/>
                <w:szCs w:val="16"/>
              </w:rPr>
              <w:t>7 to 14</w:t>
            </w:r>
          </w:p>
        </w:tc>
        <w:tc>
          <w:tcPr>
            <w:tcW w:w="1418" w:type="dxa"/>
            <w:tcBorders>
              <w:top w:val="single" w:sz="4" w:space="0" w:color="auto"/>
              <w:left w:val="nil"/>
              <w:bottom w:val="single" w:sz="4" w:space="0" w:color="auto"/>
              <w:right w:val="nil"/>
            </w:tcBorders>
            <w:shd w:val="clear" w:color="000000" w:fill="6B2976"/>
            <w:noWrap/>
            <w:hideMark/>
          </w:tcPr>
          <w:p w14:paraId="1802D706" w14:textId="77777777" w:rsidR="00A61C3D" w:rsidRPr="007A1D32" w:rsidRDefault="00A61C3D" w:rsidP="00312E88">
            <w:pPr>
              <w:jc w:val="center"/>
              <w:rPr>
                <w:rFonts w:cs="Arial"/>
                <w:b/>
                <w:bCs/>
                <w:color w:val="FFFFFF"/>
                <w:sz w:val="16"/>
                <w:szCs w:val="16"/>
              </w:rPr>
            </w:pPr>
            <w:r w:rsidRPr="007A1D32">
              <w:rPr>
                <w:rFonts w:cs="Arial"/>
                <w:b/>
                <w:bCs/>
                <w:color w:val="FFFFFF"/>
                <w:sz w:val="16"/>
                <w:szCs w:val="16"/>
              </w:rPr>
              <w:t>15 to 18</w:t>
            </w:r>
          </w:p>
        </w:tc>
        <w:tc>
          <w:tcPr>
            <w:tcW w:w="1417" w:type="dxa"/>
            <w:tcBorders>
              <w:top w:val="single" w:sz="4" w:space="0" w:color="auto"/>
              <w:left w:val="nil"/>
              <w:bottom w:val="single" w:sz="4" w:space="0" w:color="auto"/>
              <w:right w:val="nil"/>
            </w:tcBorders>
            <w:shd w:val="clear" w:color="000000" w:fill="6B2976"/>
            <w:noWrap/>
            <w:hideMark/>
          </w:tcPr>
          <w:p w14:paraId="3FFFC477" w14:textId="77777777" w:rsidR="00A61C3D" w:rsidRPr="007A1D32" w:rsidRDefault="00A61C3D" w:rsidP="00312E88">
            <w:pPr>
              <w:jc w:val="center"/>
              <w:rPr>
                <w:rFonts w:cs="Arial"/>
                <w:b/>
                <w:bCs/>
                <w:color w:val="FFFFFF"/>
                <w:sz w:val="16"/>
                <w:szCs w:val="16"/>
              </w:rPr>
            </w:pPr>
            <w:r w:rsidRPr="007A1D32">
              <w:rPr>
                <w:rFonts w:cs="Arial"/>
                <w:b/>
                <w:bCs/>
                <w:color w:val="FFFFFF"/>
                <w:sz w:val="16"/>
                <w:szCs w:val="16"/>
              </w:rPr>
              <w:t>19 to 24</w:t>
            </w:r>
          </w:p>
        </w:tc>
        <w:tc>
          <w:tcPr>
            <w:tcW w:w="1276" w:type="dxa"/>
            <w:tcBorders>
              <w:top w:val="single" w:sz="4" w:space="0" w:color="auto"/>
              <w:left w:val="nil"/>
              <w:bottom w:val="single" w:sz="4" w:space="0" w:color="auto"/>
              <w:right w:val="single" w:sz="4" w:space="0" w:color="auto"/>
            </w:tcBorders>
            <w:shd w:val="clear" w:color="000000" w:fill="6B2976"/>
            <w:noWrap/>
            <w:hideMark/>
          </w:tcPr>
          <w:p w14:paraId="5220E76A" w14:textId="77777777" w:rsidR="00A61C3D" w:rsidRPr="007A1D32" w:rsidRDefault="00A61C3D" w:rsidP="00312E88">
            <w:pPr>
              <w:jc w:val="center"/>
              <w:rPr>
                <w:rFonts w:cs="Arial"/>
                <w:b/>
                <w:bCs/>
                <w:color w:val="FFFFFF"/>
                <w:sz w:val="16"/>
                <w:szCs w:val="16"/>
              </w:rPr>
            </w:pPr>
            <w:r w:rsidRPr="007A1D32">
              <w:rPr>
                <w:rFonts w:cs="Arial"/>
                <w:b/>
                <w:bCs/>
                <w:color w:val="FFFFFF"/>
                <w:sz w:val="16"/>
                <w:szCs w:val="16"/>
              </w:rPr>
              <w:t>25 to 34</w:t>
            </w:r>
          </w:p>
        </w:tc>
      </w:tr>
      <w:tr w:rsidR="00A61C3D" w:rsidRPr="007A1D32" w14:paraId="789ED304"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59AD1DAA" w14:textId="77777777" w:rsidR="00A61C3D" w:rsidRPr="007A1D32" w:rsidRDefault="00A61C3D" w:rsidP="00312E88">
            <w:pPr>
              <w:jc w:val="center"/>
              <w:rPr>
                <w:rFonts w:cs="Arial"/>
                <w:color w:val="000000"/>
                <w:sz w:val="16"/>
                <w:szCs w:val="16"/>
              </w:rPr>
            </w:pPr>
            <w:r w:rsidRPr="007A1D32">
              <w:rPr>
                <w:rFonts w:cs="Arial"/>
                <w:color w:val="000000"/>
                <w:sz w:val="16"/>
                <w:szCs w:val="16"/>
              </w:rPr>
              <w:t>Autism</w:t>
            </w:r>
          </w:p>
        </w:tc>
        <w:tc>
          <w:tcPr>
            <w:tcW w:w="1134" w:type="dxa"/>
            <w:tcBorders>
              <w:top w:val="nil"/>
              <w:left w:val="nil"/>
              <w:bottom w:val="nil"/>
              <w:right w:val="nil"/>
            </w:tcBorders>
            <w:shd w:val="clear" w:color="auto" w:fill="auto"/>
            <w:noWrap/>
            <w:hideMark/>
          </w:tcPr>
          <w:p w14:paraId="6157E6B6" w14:textId="77777777" w:rsidR="00A61C3D" w:rsidRPr="007A1D32" w:rsidRDefault="00A61C3D" w:rsidP="00312E88">
            <w:pPr>
              <w:jc w:val="center"/>
              <w:rPr>
                <w:rFonts w:cs="Arial"/>
                <w:color w:val="000000"/>
                <w:sz w:val="16"/>
                <w:szCs w:val="16"/>
              </w:rPr>
            </w:pPr>
            <w:r w:rsidRPr="007A1D32">
              <w:rPr>
                <w:rFonts w:cs="Arial"/>
                <w:color w:val="000000"/>
                <w:sz w:val="16"/>
                <w:szCs w:val="16"/>
              </w:rPr>
              <w:t>23,200</w:t>
            </w:r>
          </w:p>
        </w:tc>
        <w:tc>
          <w:tcPr>
            <w:tcW w:w="1559" w:type="dxa"/>
            <w:tcBorders>
              <w:top w:val="nil"/>
              <w:left w:val="nil"/>
              <w:bottom w:val="nil"/>
              <w:right w:val="nil"/>
            </w:tcBorders>
            <w:shd w:val="clear" w:color="auto" w:fill="auto"/>
            <w:noWrap/>
            <w:hideMark/>
          </w:tcPr>
          <w:p w14:paraId="043AB9CD" w14:textId="77777777" w:rsidR="00A61C3D" w:rsidRPr="007A1D32" w:rsidRDefault="00A61C3D" w:rsidP="00312E88">
            <w:pPr>
              <w:jc w:val="center"/>
              <w:rPr>
                <w:rFonts w:cs="Arial"/>
                <w:color w:val="000000"/>
                <w:sz w:val="16"/>
                <w:szCs w:val="16"/>
              </w:rPr>
            </w:pPr>
            <w:r w:rsidRPr="007A1D32">
              <w:rPr>
                <w:rFonts w:cs="Arial"/>
                <w:color w:val="000000"/>
                <w:sz w:val="16"/>
                <w:szCs w:val="16"/>
              </w:rPr>
              <w:t>20,300</w:t>
            </w:r>
          </w:p>
        </w:tc>
        <w:tc>
          <w:tcPr>
            <w:tcW w:w="1418" w:type="dxa"/>
            <w:tcBorders>
              <w:top w:val="nil"/>
              <w:left w:val="nil"/>
              <w:bottom w:val="nil"/>
              <w:right w:val="nil"/>
            </w:tcBorders>
            <w:shd w:val="clear" w:color="auto" w:fill="auto"/>
            <w:noWrap/>
            <w:hideMark/>
          </w:tcPr>
          <w:p w14:paraId="5BF68D3E" w14:textId="77777777" w:rsidR="00A61C3D" w:rsidRPr="007A1D32" w:rsidRDefault="00A61C3D" w:rsidP="00312E88">
            <w:pPr>
              <w:jc w:val="center"/>
              <w:rPr>
                <w:rFonts w:cs="Arial"/>
                <w:color w:val="000000"/>
                <w:sz w:val="16"/>
                <w:szCs w:val="16"/>
              </w:rPr>
            </w:pPr>
            <w:r w:rsidRPr="007A1D32">
              <w:rPr>
                <w:rFonts w:cs="Arial"/>
                <w:color w:val="000000"/>
                <w:sz w:val="16"/>
                <w:szCs w:val="16"/>
              </w:rPr>
              <w:t>35,400</w:t>
            </w:r>
          </w:p>
        </w:tc>
        <w:tc>
          <w:tcPr>
            <w:tcW w:w="1417" w:type="dxa"/>
            <w:tcBorders>
              <w:top w:val="nil"/>
              <w:left w:val="nil"/>
              <w:bottom w:val="nil"/>
              <w:right w:val="nil"/>
            </w:tcBorders>
            <w:shd w:val="clear" w:color="auto" w:fill="auto"/>
            <w:noWrap/>
            <w:hideMark/>
          </w:tcPr>
          <w:p w14:paraId="1C955DF7" w14:textId="77777777" w:rsidR="00A61C3D" w:rsidRPr="007A1D32" w:rsidRDefault="00A61C3D" w:rsidP="00312E88">
            <w:pPr>
              <w:jc w:val="center"/>
              <w:rPr>
                <w:rFonts w:cs="Arial"/>
                <w:color w:val="000000"/>
                <w:sz w:val="16"/>
                <w:szCs w:val="16"/>
              </w:rPr>
            </w:pPr>
            <w:r w:rsidRPr="007A1D32">
              <w:rPr>
                <w:rFonts w:cs="Arial"/>
                <w:color w:val="000000"/>
                <w:sz w:val="16"/>
                <w:szCs w:val="16"/>
              </w:rPr>
              <w:t>64,100</w:t>
            </w:r>
          </w:p>
        </w:tc>
        <w:tc>
          <w:tcPr>
            <w:tcW w:w="1276" w:type="dxa"/>
            <w:tcBorders>
              <w:top w:val="nil"/>
              <w:left w:val="nil"/>
              <w:bottom w:val="nil"/>
              <w:right w:val="single" w:sz="4" w:space="0" w:color="auto"/>
            </w:tcBorders>
            <w:shd w:val="clear" w:color="auto" w:fill="auto"/>
            <w:noWrap/>
            <w:hideMark/>
          </w:tcPr>
          <w:p w14:paraId="2942896D" w14:textId="77777777" w:rsidR="00A61C3D" w:rsidRPr="007A1D32" w:rsidRDefault="00A61C3D" w:rsidP="00312E88">
            <w:pPr>
              <w:jc w:val="center"/>
              <w:rPr>
                <w:rFonts w:cs="Arial"/>
                <w:color w:val="000000"/>
                <w:sz w:val="16"/>
                <w:szCs w:val="16"/>
              </w:rPr>
            </w:pPr>
            <w:r w:rsidRPr="007A1D32">
              <w:rPr>
                <w:rFonts w:cs="Arial"/>
                <w:color w:val="000000"/>
                <w:sz w:val="16"/>
                <w:szCs w:val="16"/>
              </w:rPr>
              <w:t>88,000</w:t>
            </w:r>
          </w:p>
        </w:tc>
      </w:tr>
      <w:tr w:rsidR="00A61C3D" w:rsidRPr="007A1D32" w14:paraId="075A8BCC"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0012380B" w14:textId="77777777" w:rsidR="00A61C3D" w:rsidRPr="007A1D32" w:rsidRDefault="00A61C3D" w:rsidP="00312E88">
            <w:pPr>
              <w:jc w:val="center"/>
              <w:rPr>
                <w:rFonts w:cs="Arial"/>
                <w:color w:val="000000"/>
                <w:sz w:val="16"/>
                <w:szCs w:val="16"/>
              </w:rPr>
            </w:pPr>
            <w:r w:rsidRPr="007A1D32">
              <w:rPr>
                <w:rFonts w:cs="Arial"/>
                <w:color w:val="000000"/>
                <w:sz w:val="16"/>
                <w:szCs w:val="16"/>
              </w:rPr>
              <w:t>Intellectual Disability</w:t>
            </w:r>
          </w:p>
        </w:tc>
        <w:tc>
          <w:tcPr>
            <w:tcW w:w="1134" w:type="dxa"/>
            <w:tcBorders>
              <w:top w:val="nil"/>
              <w:left w:val="nil"/>
              <w:bottom w:val="nil"/>
              <w:right w:val="nil"/>
            </w:tcBorders>
            <w:shd w:val="clear" w:color="auto" w:fill="auto"/>
            <w:noWrap/>
            <w:hideMark/>
          </w:tcPr>
          <w:p w14:paraId="55FCAD93" w14:textId="77777777" w:rsidR="00A61C3D" w:rsidRPr="007A1D32" w:rsidRDefault="00A61C3D" w:rsidP="00312E88">
            <w:pPr>
              <w:jc w:val="center"/>
              <w:rPr>
                <w:rFonts w:cs="Arial"/>
                <w:color w:val="000000"/>
                <w:sz w:val="16"/>
                <w:szCs w:val="16"/>
              </w:rPr>
            </w:pPr>
            <w:r w:rsidRPr="007A1D32">
              <w:rPr>
                <w:rFonts w:cs="Arial"/>
                <w:color w:val="000000"/>
                <w:sz w:val="16"/>
                <w:szCs w:val="16"/>
              </w:rPr>
              <w:t>28,300</w:t>
            </w:r>
          </w:p>
        </w:tc>
        <w:tc>
          <w:tcPr>
            <w:tcW w:w="1559" w:type="dxa"/>
            <w:tcBorders>
              <w:top w:val="nil"/>
              <w:left w:val="nil"/>
              <w:bottom w:val="nil"/>
              <w:right w:val="nil"/>
            </w:tcBorders>
            <w:shd w:val="clear" w:color="auto" w:fill="auto"/>
            <w:noWrap/>
            <w:hideMark/>
          </w:tcPr>
          <w:p w14:paraId="599BC75B" w14:textId="77777777" w:rsidR="00A61C3D" w:rsidRPr="007A1D32" w:rsidRDefault="00A61C3D" w:rsidP="00312E88">
            <w:pPr>
              <w:jc w:val="center"/>
              <w:rPr>
                <w:rFonts w:cs="Arial"/>
                <w:color w:val="000000"/>
                <w:sz w:val="16"/>
                <w:szCs w:val="16"/>
              </w:rPr>
            </w:pPr>
            <w:r w:rsidRPr="007A1D32">
              <w:rPr>
                <w:rFonts w:cs="Arial"/>
                <w:color w:val="000000"/>
                <w:sz w:val="16"/>
                <w:szCs w:val="16"/>
              </w:rPr>
              <w:t>30,500</w:t>
            </w:r>
          </w:p>
        </w:tc>
        <w:tc>
          <w:tcPr>
            <w:tcW w:w="1418" w:type="dxa"/>
            <w:tcBorders>
              <w:top w:val="nil"/>
              <w:left w:val="nil"/>
              <w:bottom w:val="nil"/>
              <w:right w:val="nil"/>
            </w:tcBorders>
            <w:shd w:val="clear" w:color="auto" w:fill="auto"/>
            <w:noWrap/>
            <w:hideMark/>
          </w:tcPr>
          <w:p w14:paraId="483BC533" w14:textId="77777777" w:rsidR="00A61C3D" w:rsidRPr="007A1D32" w:rsidRDefault="00A61C3D" w:rsidP="00312E88">
            <w:pPr>
              <w:jc w:val="center"/>
              <w:rPr>
                <w:rFonts w:cs="Arial"/>
                <w:color w:val="000000"/>
                <w:sz w:val="16"/>
                <w:szCs w:val="16"/>
              </w:rPr>
            </w:pPr>
            <w:r w:rsidRPr="007A1D32">
              <w:rPr>
                <w:rFonts w:cs="Arial"/>
                <w:color w:val="000000"/>
                <w:sz w:val="16"/>
                <w:szCs w:val="16"/>
              </w:rPr>
              <w:t>52,100</w:t>
            </w:r>
          </w:p>
        </w:tc>
        <w:tc>
          <w:tcPr>
            <w:tcW w:w="1417" w:type="dxa"/>
            <w:tcBorders>
              <w:top w:val="nil"/>
              <w:left w:val="nil"/>
              <w:bottom w:val="nil"/>
              <w:right w:val="nil"/>
            </w:tcBorders>
            <w:shd w:val="clear" w:color="auto" w:fill="auto"/>
            <w:noWrap/>
            <w:hideMark/>
          </w:tcPr>
          <w:p w14:paraId="380918E2" w14:textId="77777777" w:rsidR="00A61C3D" w:rsidRPr="007A1D32" w:rsidRDefault="00A61C3D" w:rsidP="00312E88">
            <w:pPr>
              <w:jc w:val="center"/>
              <w:rPr>
                <w:rFonts w:cs="Arial"/>
                <w:color w:val="000000"/>
                <w:sz w:val="16"/>
                <w:szCs w:val="16"/>
              </w:rPr>
            </w:pPr>
            <w:r w:rsidRPr="007A1D32">
              <w:rPr>
                <w:rFonts w:cs="Arial"/>
                <w:color w:val="000000"/>
                <w:sz w:val="16"/>
                <w:szCs w:val="16"/>
              </w:rPr>
              <w:t>80,600</w:t>
            </w:r>
          </w:p>
        </w:tc>
        <w:tc>
          <w:tcPr>
            <w:tcW w:w="1276" w:type="dxa"/>
            <w:tcBorders>
              <w:top w:val="nil"/>
              <w:left w:val="nil"/>
              <w:bottom w:val="nil"/>
              <w:right w:val="single" w:sz="4" w:space="0" w:color="auto"/>
            </w:tcBorders>
            <w:shd w:val="clear" w:color="auto" w:fill="auto"/>
            <w:noWrap/>
            <w:hideMark/>
          </w:tcPr>
          <w:p w14:paraId="500C6A65" w14:textId="77777777" w:rsidR="00A61C3D" w:rsidRPr="007A1D32" w:rsidRDefault="00A61C3D" w:rsidP="00312E88">
            <w:pPr>
              <w:jc w:val="center"/>
              <w:rPr>
                <w:rFonts w:cs="Arial"/>
                <w:color w:val="000000"/>
                <w:sz w:val="16"/>
                <w:szCs w:val="16"/>
              </w:rPr>
            </w:pPr>
            <w:r w:rsidRPr="007A1D32">
              <w:rPr>
                <w:rFonts w:cs="Arial"/>
                <w:color w:val="000000"/>
                <w:sz w:val="16"/>
                <w:szCs w:val="16"/>
              </w:rPr>
              <w:t>100,900</w:t>
            </w:r>
          </w:p>
        </w:tc>
      </w:tr>
      <w:tr w:rsidR="00A61C3D" w:rsidRPr="007A1D32" w14:paraId="5341F5D2"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37B1C230" w14:textId="77777777" w:rsidR="00A61C3D" w:rsidRPr="007A1D32" w:rsidRDefault="00A61C3D" w:rsidP="00312E88">
            <w:pPr>
              <w:jc w:val="center"/>
              <w:rPr>
                <w:rFonts w:cs="Arial"/>
                <w:color w:val="000000"/>
                <w:sz w:val="16"/>
                <w:szCs w:val="16"/>
              </w:rPr>
            </w:pPr>
            <w:r w:rsidRPr="007A1D32">
              <w:rPr>
                <w:rFonts w:cs="Arial"/>
                <w:color w:val="000000"/>
                <w:sz w:val="16"/>
                <w:szCs w:val="16"/>
              </w:rPr>
              <w:t>Psychosocial Disability</w:t>
            </w:r>
          </w:p>
        </w:tc>
        <w:tc>
          <w:tcPr>
            <w:tcW w:w="1134" w:type="dxa"/>
            <w:tcBorders>
              <w:top w:val="nil"/>
              <w:left w:val="nil"/>
              <w:bottom w:val="nil"/>
              <w:right w:val="nil"/>
            </w:tcBorders>
            <w:shd w:val="clear" w:color="auto" w:fill="auto"/>
            <w:noWrap/>
            <w:hideMark/>
          </w:tcPr>
          <w:p w14:paraId="3973844E" w14:textId="77777777" w:rsidR="00A61C3D" w:rsidRPr="007A1D32" w:rsidRDefault="00A61C3D" w:rsidP="00312E88">
            <w:pPr>
              <w:jc w:val="center"/>
              <w:rPr>
                <w:rFonts w:cs="Arial"/>
                <w:color w:val="000000"/>
                <w:sz w:val="16"/>
                <w:szCs w:val="16"/>
              </w:rPr>
            </w:pPr>
          </w:p>
        </w:tc>
        <w:tc>
          <w:tcPr>
            <w:tcW w:w="1559" w:type="dxa"/>
            <w:tcBorders>
              <w:top w:val="nil"/>
              <w:left w:val="nil"/>
              <w:bottom w:val="nil"/>
              <w:right w:val="nil"/>
            </w:tcBorders>
            <w:shd w:val="clear" w:color="auto" w:fill="auto"/>
            <w:noWrap/>
            <w:hideMark/>
          </w:tcPr>
          <w:p w14:paraId="1FA76826" w14:textId="77777777" w:rsidR="00A61C3D" w:rsidRPr="007A1D32" w:rsidRDefault="00A61C3D" w:rsidP="00312E88">
            <w:pPr>
              <w:jc w:val="center"/>
              <w:rPr>
                <w:rFonts w:cs="Arial"/>
                <w:color w:val="000000"/>
                <w:sz w:val="16"/>
                <w:szCs w:val="16"/>
              </w:rPr>
            </w:pPr>
            <w:r w:rsidRPr="007A1D32">
              <w:rPr>
                <w:rFonts w:cs="Arial"/>
                <w:color w:val="000000"/>
                <w:sz w:val="16"/>
                <w:szCs w:val="16"/>
              </w:rPr>
              <w:t>18,600</w:t>
            </w:r>
          </w:p>
        </w:tc>
        <w:tc>
          <w:tcPr>
            <w:tcW w:w="1418" w:type="dxa"/>
            <w:tcBorders>
              <w:top w:val="nil"/>
              <w:left w:val="nil"/>
              <w:bottom w:val="nil"/>
              <w:right w:val="nil"/>
            </w:tcBorders>
            <w:shd w:val="clear" w:color="auto" w:fill="auto"/>
            <w:noWrap/>
            <w:hideMark/>
          </w:tcPr>
          <w:p w14:paraId="74533C0A" w14:textId="77777777" w:rsidR="00A61C3D" w:rsidRPr="007A1D32" w:rsidRDefault="00A61C3D" w:rsidP="00312E88">
            <w:pPr>
              <w:jc w:val="center"/>
              <w:rPr>
                <w:rFonts w:cs="Arial"/>
                <w:color w:val="000000"/>
                <w:sz w:val="16"/>
                <w:szCs w:val="16"/>
              </w:rPr>
            </w:pPr>
            <w:r w:rsidRPr="007A1D32">
              <w:rPr>
                <w:rFonts w:cs="Arial"/>
                <w:color w:val="000000"/>
                <w:sz w:val="16"/>
                <w:szCs w:val="16"/>
              </w:rPr>
              <w:t>39,300</w:t>
            </w:r>
          </w:p>
        </w:tc>
        <w:tc>
          <w:tcPr>
            <w:tcW w:w="1417" w:type="dxa"/>
            <w:tcBorders>
              <w:top w:val="nil"/>
              <w:left w:val="nil"/>
              <w:bottom w:val="nil"/>
              <w:right w:val="nil"/>
            </w:tcBorders>
            <w:shd w:val="clear" w:color="auto" w:fill="auto"/>
            <w:noWrap/>
            <w:hideMark/>
          </w:tcPr>
          <w:p w14:paraId="38333B5A" w14:textId="77777777" w:rsidR="00A61C3D" w:rsidRPr="007A1D32" w:rsidRDefault="00A61C3D" w:rsidP="00312E88">
            <w:pPr>
              <w:jc w:val="center"/>
              <w:rPr>
                <w:rFonts w:cs="Arial"/>
                <w:color w:val="000000"/>
                <w:sz w:val="16"/>
                <w:szCs w:val="16"/>
              </w:rPr>
            </w:pPr>
            <w:r w:rsidRPr="007A1D32">
              <w:rPr>
                <w:rFonts w:cs="Arial"/>
                <w:color w:val="000000"/>
                <w:sz w:val="16"/>
                <w:szCs w:val="16"/>
              </w:rPr>
              <w:t>61,900</w:t>
            </w:r>
          </w:p>
        </w:tc>
        <w:tc>
          <w:tcPr>
            <w:tcW w:w="1276" w:type="dxa"/>
            <w:tcBorders>
              <w:top w:val="nil"/>
              <w:left w:val="nil"/>
              <w:bottom w:val="nil"/>
              <w:right w:val="single" w:sz="4" w:space="0" w:color="auto"/>
            </w:tcBorders>
            <w:shd w:val="clear" w:color="auto" w:fill="auto"/>
            <w:noWrap/>
            <w:hideMark/>
          </w:tcPr>
          <w:p w14:paraId="2078BEF1" w14:textId="77777777" w:rsidR="00A61C3D" w:rsidRPr="007A1D32" w:rsidRDefault="00A61C3D" w:rsidP="00312E88">
            <w:pPr>
              <w:jc w:val="center"/>
              <w:rPr>
                <w:rFonts w:cs="Arial"/>
                <w:color w:val="000000"/>
                <w:sz w:val="16"/>
                <w:szCs w:val="16"/>
              </w:rPr>
            </w:pPr>
            <w:r w:rsidRPr="007A1D32">
              <w:rPr>
                <w:rFonts w:cs="Arial"/>
                <w:color w:val="000000"/>
                <w:sz w:val="16"/>
                <w:szCs w:val="16"/>
              </w:rPr>
              <w:t>55,100</w:t>
            </w:r>
          </w:p>
        </w:tc>
      </w:tr>
      <w:tr w:rsidR="00A61C3D" w:rsidRPr="007A1D32" w14:paraId="27A8E9A8"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24806410" w14:textId="77777777" w:rsidR="00A61C3D" w:rsidRPr="007A1D32" w:rsidRDefault="00A61C3D" w:rsidP="00312E88">
            <w:pPr>
              <w:jc w:val="center"/>
              <w:rPr>
                <w:rFonts w:cs="Arial"/>
                <w:color w:val="000000"/>
                <w:sz w:val="16"/>
                <w:szCs w:val="16"/>
              </w:rPr>
            </w:pPr>
            <w:r w:rsidRPr="007A1D32">
              <w:rPr>
                <w:rFonts w:cs="Arial"/>
                <w:color w:val="000000"/>
                <w:sz w:val="16"/>
                <w:szCs w:val="16"/>
              </w:rPr>
              <w:t>Developmental Delay</w:t>
            </w:r>
          </w:p>
        </w:tc>
        <w:tc>
          <w:tcPr>
            <w:tcW w:w="1134" w:type="dxa"/>
            <w:tcBorders>
              <w:top w:val="nil"/>
              <w:left w:val="nil"/>
              <w:bottom w:val="nil"/>
              <w:right w:val="nil"/>
            </w:tcBorders>
            <w:shd w:val="clear" w:color="auto" w:fill="auto"/>
            <w:noWrap/>
            <w:hideMark/>
          </w:tcPr>
          <w:p w14:paraId="6C8B8D6E" w14:textId="77777777" w:rsidR="00A61C3D" w:rsidRPr="007A1D32" w:rsidRDefault="00A61C3D" w:rsidP="00312E88">
            <w:pPr>
              <w:jc w:val="center"/>
              <w:rPr>
                <w:rFonts w:cs="Arial"/>
                <w:color w:val="000000"/>
                <w:sz w:val="16"/>
                <w:szCs w:val="16"/>
              </w:rPr>
            </w:pPr>
            <w:r w:rsidRPr="007A1D32">
              <w:rPr>
                <w:rFonts w:cs="Arial"/>
                <w:color w:val="000000"/>
                <w:sz w:val="16"/>
                <w:szCs w:val="16"/>
              </w:rPr>
              <w:t>12,300</w:t>
            </w:r>
          </w:p>
        </w:tc>
        <w:tc>
          <w:tcPr>
            <w:tcW w:w="1559" w:type="dxa"/>
            <w:tcBorders>
              <w:top w:val="nil"/>
              <w:left w:val="nil"/>
              <w:bottom w:val="nil"/>
              <w:right w:val="nil"/>
            </w:tcBorders>
            <w:shd w:val="clear" w:color="auto" w:fill="auto"/>
            <w:noWrap/>
            <w:hideMark/>
          </w:tcPr>
          <w:p w14:paraId="40BDAA13" w14:textId="77777777" w:rsidR="00A61C3D" w:rsidRPr="007A1D32" w:rsidRDefault="00A61C3D" w:rsidP="00312E88">
            <w:pPr>
              <w:jc w:val="center"/>
              <w:rPr>
                <w:rFonts w:cs="Arial"/>
                <w:color w:val="000000"/>
                <w:sz w:val="16"/>
                <w:szCs w:val="16"/>
              </w:rPr>
            </w:pPr>
            <w:r w:rsidRPr="007A1D32">
              <w:rPr>
                <w:rFonts w:cs="Arial"/>
                <w:color w:val="000000"/>
                <w:sz w:val="16"/>
                <w:szCs w:val="16"/>
              </w:rPr>
              <w:t>9,800</w:t>
            </w:r>
          </w:p>
        </w:tc>
        <w:tc>
          <w:tcPr>
            <w:tcW w:w="1418" w:type="dxa"/>
            <w:tcBorders>
              <w:top w:val="nil"/>
              <w:left w:val="nil"/>
              <w:bottom w:val="nil"/>
              <w:right w:val="nil"/>
            </w:tcBorders>
            <w:shd w:val="clear" w:color="auto" w:fill="auto"/>
            <w:noWrap/>
            <w:hideMark/>
          </w:tcPr>
          <w:p w14:paraId="47327125" w14:textId="77777777" w:rsidR="00A61C3D" w:rsidRPr="007A1D32" w:rsidRDefault="00A61C3D" w:rsidP="00312E88">
            <w:pPr>
              <w:jc w:val="center"/>
              <w:rPr>
                <w:rFonts w:cs="Arial"/>
                <w:color w:val="000000"/>
                <w:sz w:val="16"/>
                <w:szCs w:val="16"/>
              </w:rPr>
            </w:pPr>
          </w:p>
        </w:tc>
        <w:tc>
          <w:tcPr>
            <w:tcW w:w="1417" w:type="dxa"/>
            <w:tcBorders>
              <w:top w:val="nil"/>
              <w:left w:val="nil"/>
              <w:bottom w:val="nil"/>
              <w:right w:val="nil"/>
            </w:tcBorders>
            <w:shd w:val="clear" w:color="auto" w:fill="auto"/>
            <w:noWrap/>
            <w:hideMark/>
          </w:tcPr>
          <w:p w14:paraId="752B74E6" w14:textId="77777777" w:rsidR="00A61C3D" w:rsidRPr="007A1D32" w:rsidRDefault="00A61C3D" w:rsidP="00312E88">
            <w:pPr>
              <w:jc w:val="center"/>
              <w:rPr>
                <w:sz w:val="16"/>
                <w:szCs w:val="16"/>
              </w:rPr>
            </w:pPr>
          </w:p>
        </w:tc>
        <w:tc>
          <w:tcPr>
            <w:tcW w:w="1276" w:type="dxa"/>
            <w:tcBorders>
              <w:top w:val="nil"/>
              <w:left w:val="nil"/>
              <w:bottom w:val="nil"/>
              <w:right w:val="single" w:sz="4" w:space="0" w:color="auto"/>
            </w:tcBorders>
            <w:shd w:val="clear" w:color="auto" w:fill="auto"/>
            <w:noWrap/>
            <w:hideMark/>
          </w:tcPr>
          <w:p w14:paraId="1F30A14E" w14:textId="77777777" w:rsidR="00A61C3D" w:rsidRPr="007A1D32" w:rsidRDefault="00A61C3D" w:rsidP="00312E88">
            <w:pPr>
              <w:jc w:val="center"/>
              <w:rPr>
                <w:sz w:val="16"/>
                <w:szCs w:val="16"/>
              </w:rPr>
            </w:pPr>
          </w:p>
        </w:tc>
      </w:tr>
      <w:tr w:rsidR="00A61C3D" w:rsidRPr="007A1D32" w14:paraId="09648366"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16188DFA" w14:textId="77777777" w:rsidR="00A61C3D" w:rsidRPr="007A1D32" w:rsidRDefault="00A61C3D" w:rsidP="00312E88">
            <w:pPr>
              <w:jc w:val="center"/>
              <w:rPr>
                <w:rFonts w:cs="Arial"/>
                <w:color w:val="000000"/>
                <w:sz w:val="16"/>
                <w:szCs w:val="16"/>
              </w:rPr>
            </w:pPr>
            <w:r w:rsidRPr="007A1D32">
              <w:rPr>
                <w:rFonts w:cs="Arial"/>
                <w:color w:val="000000"/>
                <w:sz w:val="16"/>
                <w:szCs w:val="16"/>
              </w:rPr>
              <w:t>Sensory</w:t>
            </w:r>
          </w:p>
        </w:tc>
        <w:tc>
          <w:tcPr>
            <w:tcW w:w="1134" w:type="dxa"/>
            <w:tcBorders>
              <w:top w:val="nil"/>
              <w:left w:val="nil"/>
              <w:bottom w:val="nil"/>
              <w:right w:val="nil"/>
            </w:tcBorders>
            <w:shd w:val="clear" w:color="auto" w:fill="auto"/>
            <w:noWrap/>
            <w:hideMark/>
          </w:tcPr>
          <w:p w14:paraId="470B6F49" w14:textId="77777777" w:rsidR="00A61C3D" w:rsidRPr="007A1D32" w:rsidRDefault="00A61C3D" w:rsidP="00312E88">
            <w:pPr>
              <w:jc w:val="center"/>
              <w:rPr>
                <w:rFonts w:cs="Arial"/>
                <w:color w:val="000000"/>
                <w:sz w:val="16"/>
                <w:szCs w:val="16"/>
              </w:rPr>
            </w:pPr>
            <w:r w:rsidRPr="007A1D32">
              <w:rPr>
                <w:rFonts w:cs="Arial"/>
                <w:color w:val="000000"/>
                <w:sz w:val="16"/>
                <w:szCs w:val="16"/>
              </w:rPr>
              <w:t>10,200</w:t>
            </w:r>
          </w:p>
        </w:tc>
        <w:tc>
          <w:tcPr>
            <w:tcW w:w="1559" w:type="dxa"/>
            <w:tcBorders>
              <w:top w:val="nil"/>
              <w:left w:val="nil"/>
              <w:bottom w:val="nil"/>
              <w:right w:val="nil"/>
            </w:tcBorders>
            <w:shd w:val="clear" w:color="auto" w:fill="auto"/>
            <w:noWrap/>
            <w:hideMark/>
          </w:tcPr>
          <w:p w14:paraId="1CB91797" w14:textId="77777777" w:rsidR="00A61C3D" w:rsidRPr="007A1D32" w:rsidRDefault="00A61C3D" w:rsidP="00312E88">
            <w:pPr>
              <w:jc w:val="center"/>
              <w:rPr>
                <w:rFonts w:cs="Arial"/>
                <w:color w:val="000000"/>
                <w:sz w:val="16"/>
                <w:szCs w:val="16"/>
              </w:rPr>
            </w:pPr>
            <w:r w:rsidRPr="007A1D32">
              <w:rPr>
                <w:rFonts w:cs="Arial"/>
                <w:color w:val="000000"/>
                <w:sz w:val="16"/>
                <w:szCs w:val="16"/>
              </w:rPr>
              <w:t>7,800</w:t>
            </w:r>
          </w:p>
        </w:tc>
        <w:tc>
          <w:tcPr>
            <w:tcW w:w="1418" w:type="dxa"/>
            <w:tcBorders>
              <w:top w:val="nil"/>
              <w:left w:val="nil"/>
              <w:bottom w:val="nil"/>
              <w:right w:val="nil"/>
            </w:tcBorders>
            <w:shd w:val="clear" w:color="auto" w:fill="auto"/>
            <w:noWrap/>
            <w:hideMark/>
          </w:tcPr>
          <w:p w14:paraId="03CACE0E" w14:textId="77777777" w:rsidR="00A61C3D" w:rsidRPr="007A1D32" w:rsidRDefault="00A61C3D" w:rsidP="00312E88">
            <w:pPr>
              <w:jc w:val="center"/>
              <w:rPr>
                <w:rFonts w:cs="Arial"/>
                <w:color w:val="000000"/>
                <w:sz w:val="16"/>
                <w:szCs w:val="16"/>
              </w:rPr>
            </w:pPr>
            <w:r w:rsidRPr="007A1D32">
              <w:rPr>
                <w:rFonts w:cs="Arial"/>
                <w:color w:val="000000"/>
                <w:sz w:val="16"/>
                <w:szCs w:val="16"/>
              </w:rPr>
              <w:t>8,000</w:t>
            </w:r>
          </w:p>
        </w:tc>
        <w:tc>
          <w:tcPr>
            <w:tcW w:w="1417" w:type="dxa"/>
            <w:tcBorders>
              <w:top w:val="nil"/>
              <w:left w:val="nil"/>
              <w:bottom w:val="nil"/>
              <w:right w:val="nil"/>
            </w:tcBorders>
            <w:shd w:val="clear" w:color="auto" w:fill="auto"/>
            <w:noWrap/>
            <w:hideMark/>
          </w:tcPr>
          <w:p w14:paraId="164FAC88" w14:textId="77777777" w:rsidR="00A61C3D" w:rsidRPr="007A1D32" w:rsidRDefault="00A61C3D" w:rsidP="00312E88">
            <w:pPr>
              <w:jc w:val="center"/>
              <w:rPr>
                <w:rFonts w:cs="Arial"/>
                <w:color w:val="000000"/>
                <w:sz w:val="16"/>
                <w:szCs w:val="16"/>
              </w:rPr>
            </w:pPr>
            <w:r w:rsidRPr="007A1D32">
              <w:rPr>
                <w:rFonts w:cs="Arial"/>
                <w:color w:val="000000"/>
                <w:sz w:val="16"/>
                <w:szCs w:val="16"/>
              </w:rPr>
              <w:t>11,100</w:t>
            </w:r>
          </w:p>
        </w:tc>
        <w:tc>
          <w:tcPr>
            <w:tcW w:w="1276" w:type="dxa"/>
            <w:tcBorders>
              <w:top w:val="nil"/>
              <w:left w:val="nil"/>
              <w:bottom w:val="nil"/>
              <w:right w:val="single" w:sz="4" w:space="0" w:color="auto"/>
            </w:tcBorders>
            <w:shd w:val="clear" w:color="auto" w:fill="auto"/>
            <w:noWrap/>
            <w:hideMark/>
          </w:tcPr>
          <w:p w14:paraId="099A8ECA" w14:textId="77777777" w:rsidR="00A61C3D" w:rsidRPr="007A1D32" w:rsidRDefault="00A61C3D" w:rsidP="00312E88">
            <w:pPr>
              <w:jc w:val="center"/>
              <w:rPr>
                <w:rFonts w:cs="Arial"/>
                <w:color w:val="000000"/>
                <w:sz w:val="16"/>
                <w:szCs w:val="16"/>
              </w:rPr>
            </w:pPr>
            <w:r w:rsidRPr="007A1D32">
              <w:rPr>
                <w:rFonts w:cs="Arial"/>
                <w:color w:val="000000"/>
                <w:sz w:val="16"/>
                <w:szCs w:val="16"/>
              </w:rPr>
              <w:t>15,300</w:t>
            </w:r>
          </w:p>
        </w:tc>
      </w:tr>
      <w:tr w:rsidR="00A61C3D" w:rsidRPr="007A1D32" w14:paraId="7833C06B"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70119361" w14:textId="77777777" w:rsidR="00A61C3D" w:rsidRPr="007A1D32" w:rsidRDefault="00A61C3D" w:rsidP="00312E88">
            <w:pPr>
              <w:jc w:val="center"/>
              <w:rPr>
                <w:rFonts w:cs="Arial"/>
                <w:color w:val="000000"/>
                <w:sz w:val="16"/>
                <w:szCs w:val="16"/>
              </w:rPr>
            </w:pPr>
            <w:r w:rsidRPr="007A1D32">
              <w:rPr>
                <w:rFonts w:cs="Arial"/>
                <w:color w:val="000000"/>
                <w:sz w:val="16"/>
                <w:szCs w:val="16"/>
              </w:rPr>
              <w:t>Other</w:t>
            </w:r>
          </w:p>
        </w:tc>
        <w:tc>
          <w:tcPr>
            <w:tcW w:w="1134" w:type="dxa"/>
            <w:tcBorders>
              <w:top w:val="nil"/>
              <w:left w:val="nil"/>
              <w:bottom w:val="nil"/>
              <w:right w:val="nil"/>
            </w:tcBorders>
            <w:shd w:val="clear" w:color="auto" w:fill="auto"/>
            <w:noWrap/>
            <w:hideMark/>
          </w:tcPr>
          <w:p w14:paraId="6D4FDA56" w14:textId="77777777" w:rsidR="00A61C3D" w:rsidRPr="007A1D32" w:rsidRDefault="00A61C3D" w:rsidP="00312E88">
            <w:pPr>
              <w:jc w:val="center"/>
              <w:rPr>
                <w:rFonts w:cs="Arial"/>
                <w:color w:val="000000"/>
                <w:sz w:val="16"/>
                <w:szCs w:val="16"/>
              </w:rPr>
            </w:pPr>
            <w:r w:rsidRPr="007A1D32">
              <w:rPr>
                <w:rFonts w:cs="Arial"/>
                <w:color w:val="000000"/>
                <w:sz w:val="16"/>
                <w:szCs w:val="16"/>
              </w:rPr>
              <w:t>39,100</w:t>
            </w:r>
          </w:p>
        </w:tc>
        <w:tc>
          <w:tcPr>
            <w:tcW w:w="1559" w:type="dxa"/>
            <w:tcBorders>
              <w:top w:val="nil"/>
              <w:left w:val="nil"/>
              <w:bottom w:val="nil"/>
              <w:right w:val="nil"/>
            </w:tcBorders>
            <w:shd w:val="clear" w:color="auto" w:fill="auto"/>
            <w:noWrap/>
            <w:hideMark/>
          </w:tcPr>
          <w:p w14:paraId="2B77F6E0" w14:textId="77777777" w:rsidR="00A61C3D" w:rsidRPr="007A1D32" w:rsidRDefault="00A61C3D" w:rsidP="00312E88">
            <w:pPr>
              <w:jc w:val="center"/>
              <w:rPr>
                <w:rFonts w:cs="Arial"/>
                <w:color w:val="000000"/>
                <w:sz w:val="16"/>
                <w:szCs w:val="16"/>
              </w:rPr>
            </w:pPr>
            <w:r w:rsidRPr="007A1D32">
              <w:rPr>
                <w:rFonts w:cs="Arial"/>
                <w:color w:val="000000"/>
                <w:sz w:val="16"/>
                <w:szCs w:val="16"/>
              </w:rPr>
              <w:t>47,400</w:t>
            </w:r>
          </w:p>
        </w:tc>
        <w:tc>
          <w:tcPr>
            <w:tcW w:w="1418" w:type="dxa"/>
            <w:tcBorders>
              <w:top w:val="nil"/>
              <w:left w:val="nil"/>
              <w:bottom w:val="nil"/>
              <w:right w:val="nil"/>
            </w:tcBorders>
            <w:shd w:val="clear" w:color="auto" w:fill="auto"/>
            <w:noWrap/>
            <w:hideMark/>
          </w:tcPr>
          <w:p w14:paraId="3446BCED" w14:textId="77777777" w:rsidR="00A61C3D" w:rsidRPr="007A1D32" w:rsidRDefault="00A61C3D" w:rsidP="00312E88">
            <w:pPr>
              <w:jc w:val="center"/>
              <w:rPr>
                <w:rFonts w:cs="Arial"/>
                <w:color w:val="000000"/>
                <w:sz w:val="16"/>
                <w:szCs w:val="16"/>
              </w:rPr>
            </w:pPr>
            <w:r w:rsidRPr="007A1D32">
              <w:rPr>
                <w:rFonts w:cs="Arial"/>
                <w:color w:val="000000"/>
                <w:sz w:val="16"/>
                <w:szCs w:val="16"/>
              </w:rPr>
              <w:t>74,900</w:t>
            </w:r>
          </w:p>
        </w:tc>
        <w:tc>
          <w:tcPr>
            <w:tcW w:w="1417" w:type="dxa"/>
            <w:tcBorders>
              <w:top w:val="nil"/>
              <w:left w:val="nil"/>
              <w:bottom w:val="nil"/>
              <w:right w:val="nil"/>
            </w:tcBorders>
            <w:shd w:val="clear" w:color="auto" w:fill="auto"/>
            <w:noWrap/>
            <w:hideMark/>
          </w:tcPr>
          <w:p w14:paraId="18CAA9DD" w14:textId="77777777" w:rsidR="00A61C3D" w:rsidRPr="007A1D32" w:rsidRDefault="00A61C3D" w:rsidP="00312E88">
            <w:pPr>
              <w:jc w:val="center"/>
              <w:rPr>
                <w:rFonts w:cs="Arial"/>
                <w:color w:val="000000"/>
                <w:sz w:val="16"/>
                <w:szCs w:val="16"/>
              </w:rPr>
            </w:pPr>
            <w:r w:rsidRPr="007A1D32">
              <w:rPr>
                <w:rFonts w:cs="Arial"/>
                <w:color w:val="000000"/>
                <w:sz w:val="16"/>
                <w:szCs w:val="16"/>
              </w:rPr>
              <w:t>110,800</w:t>
            </w:r>
          </w:p>
        </w:tc>
        <w:tc>
          <w:tcPr>
            <w:tcW w:w="1276" w:type="dxa"/>
            <w:tcBorders>
              <w:top w:val="nil"/>
              <w:left w:val="nil"/>
              <w:bottom w:val="nil"/>
              <w:right w:val="single" w:sz="4" w:space="0" w:color="auto"/>
            </w:tcBorders>
            <w:shd w:val="clear" w:color="auto" w:fill="auto"/>
            <w:noWrap/>
            <w:hideMark/>
          </w:tcPr>
          <w:p w14:paraId="31E34DFD" w14:textId="77777777" w:rsidR="00A61C3D" w:rsidRPr="007A1D32" w:rsidRDefault="00A61C3D" w:rsidP="00312E88">
            <w:pPr>
              <w:jc w:val="center"/>
              <w:rPr>
                <w:rFonts w:cs="Arial"/>
                <w:color w:val="000000"/>
                <w:sz w:val="16"/>
                <w:szCs w:val="16"/>
              </w:rPr>
            </w:pPr>
            <w:r w:rsidRPr="007A1D32">
              <w:rPr>
                <w:rFonts w:cs="Arial"/>
                <w:color w:val="000000"/>
                <w:sz w:val="16"/>
                <w:szCs w:val="16"/>
              </w:rPr>
              <w:t>124,500</w:t>
            </w:r>
          </w:p>
        </w:tc>
      </w:tr>
      <w:tr w:rsidR="00A61C3D" w:rsidRPr="007A1D32" w14:paraId="7A751CA9" w14:textId="77777777" w:rsidTr="008B2A38">
        <w:trPr>
          <w:trHeight w:hRule="exact" w:val="301"/>
        </w:trPr>
        <w:tc>
          <w:tcPr>
            <w:tcW w:w="1838" w:type="dxa"/>
            <w:tcBorders>
              <w:top w:val="single" w:sz="4" w:space="0" w:color="auto"/>
              <w:left w:val="single" w:sz="4" w:space="0" w:color="auto"/>
              <w:bottom w:val="single" w:sz="4" w:space="0" w:color="auto"/>
              <w:right w:val="single" w:sz="4" w:space="0" w:color="auto"/>
            </w:tcBorders>
            <w:shd w:val="clear" w:color="000000" w:fill="F7EEF7"/>
            <w:noWrap/>
            <w:hideMark/>
          </w:tcPr>
          <w:p w14:paraId="7469BD15" w14:textId="77777777" w:rsidR="00A61C3D" w:rsidRPr="007A1D32" w:rsidRDefault="00A61C3D" w:rsidP="00312E88">
            <w:pPr>
              <w:jc w:val="center"/>
              <w:rPr>
                <w:rFonts w:cs="Arial"/>
                <w:b/>
                <w:bCs/>
                <w:color w:val="000000"/>
                <w:sz w:val="16"/>
                <w:szCs w:val="16"/>
              </w:rPr>
            </w:pPr>
            <w:r w:rsidRPr="007A1D32">
              <w:rPr>
                <w:rFonts w:cs="Arial"/>
                <w:b/>
                <w:bCs/>
                <w:color w:val="000000"/>
                <w:sz w:val="16"/>
                <w:szCs w:val="16"/>
              </w:rPr>
              <w:t>Total</w:t>
            </w:r>
          </w:p>
        </w:tc>
        <w:tc>
          <w:tcPr>
            <w:tcW w:w="1134" w:type="dxa"/>
            <w:tcBorders>
              <w:top w:val="single" w:sz="4" w:space="0" w:color="auto"/>
              <w:left w:val="nil"/>
              <w:bottom w:val="single" w:sz="4" w:space="0" w:color="auto"/>
              <w:right w:val="nil"/>
            </w:tcBorders>
            <w:shd w:val="clear" w:color="000000" w:fill="F7EEF7"/>
            <w:noWrap/>
            <w:hideMark/>
          </w:tcPr>
          <w:p w14:paraId="1787C458" w14:textId="77777777" w:rsidR="00A61C3D" w:rsidRPr="007A1D32" w:rsidRDefault="00A61C3D" w:rsidP="00312E88">
            <w:pPr>
              <w:jc w:val="center"/>
              <w:rPr>
                <w:rFonts w:cs="Arial"/>
                <w:b/>
                <w:bCs/>
                <w:color w:val="000000"/>
                <w:sz w:val="16"/>
                <w:szCs w:val="16"/>
              </w:rPr>
            </w:pPr>
            <w:r w:rsidRPr="007A1D32">
              <w:rPr>
                <w:rFonts w:cs="Arial"/>
                <w:b/>
                <w:bCs/>
                <w:color w:val="000000"/>
                <w:sz w:val="16"/>
                <w:szCs w:val="16"/>
              </w:rPr>
              <w:t>17,000</w:t>
            </w:r>
          </w:p>
        </w:tc>
        <w:tc>
          <w:tcPr>
            <w:tcW w:w="1559" w:type="dxa"/>
            <w:tcBorders>
              <w:top w:val="single" w:sz="4" w:space="0" w:color="auto"/>
              <w:left w:val="nil"/>
              <w:bottom w:val="single" w:sz="4" w:space="0" w:color="auto"/>
              <w:right w:val="nil"/>
            </w:tcBorders>
            <w:shd w:val="clear" w:color="000000" w:fill="F7EEF7"/>
            <w:noWrap/>
            <w:hideMark/>
          </w:tcPr>
          <w:p w14:paraId="4E84253B" w14:textId="77777777" w:rsidR="00A61C3D" w:rsidRPr="007A1D32" w:rsidRDefault="00A61C3D" w:rsidP="00312E88">
            <w:pPr>
              <w:jc w:val="center"/>
              <w:rPr>
                <w:rFonts w:cs="Arial"/>
                <w:b/>
                <w:bCs/>
                <w:color w:val="000000"/>
                <w:sz w:val="16"/>
                <w:szCs w:val="16"/>
              </w:rPr>
            </w:pPr>
            <w:r w:rsidRPr="007A1D32">
              <w:rPr>
                <w:rFonts w:cs="Arial"/>
                <w:b/>
                <w:bCs/>
                <w:color w:val="000000"/>
                <w:sz w:val="16"/>
                <w:szCs w:val="16"/>
              </w:rPr>
              <w:t>21,900</w:t>
            </w:r>
          </w:p>
        </w:tc>
        <w:tc>
          <w:tcPr>
            <w:tcW w:w="1418" w:type="dxa"/>
            <w:tcBorders>
              <w:top w:val="single" w:sz="4" w:space="0" w:color="auto"/>
              <w:left w:val="nil"/>
              <w:bottom w:val="single" w:sz="4" w:space="0" w:color="auto"/>
              <w:right w:val="nil"/>
            </w:tcBorders>
            <w:shd w:val="clear" w:color="000000" w:fill="F7EEF7"/>
            <w:noWrap/>
            <w:hideMark/>
          </w:tcPr>
          <w:p w14:paraId="3E952A4A" w14:textId="77777777" w:rsidR="00A61C3D" w:rsidRPr="007A1D32" w:rsidRDefault="00A61C3D" w:rsidP="00312E88">
            <w:pPr>
              <w:jc w:val="center"/>
              <w:rPr>
                <w:rFonts w:cs="Arial"/>
                <w:b/>
                <w:bCs/>
                <w:color w:val="000000"/>
                <w:sz w:val="16"/>
                <w:szCs w:val="16"/>
              </w:rPr>
            </w:pPr>
            <w:r w:rsidRPr="007A1D32">
              <w:rPr>
                <w:rFonts w:cs="Arial"/>
                <w:b/>
                <w:bCs/>
                <w:color w:val="000000"/>
                <w:sz w:val="16"/>
                <w:szCs w:val="16"/>
              </w:rPr>
              <w:t>41,100</w:t>
            </w:r>
          </w:p>
        </w:tc>
        <w:tc>
          <w:tcPr>
            <w:tcW w:w="1417" w:type="dxa"/>
            <w:tcBorders>
              <w:top w:val="single" w:sz="4" w:space="0" w:color="auto"/>
              <w:left w:val="nil"/>
              <w:bottom w:val="single" w:sz="4" w:space="0" w:color="auto"/>
              <w:right w:val="nil"/>
            </w:tcBorders>
            <w:shd w:val="clear" w:color="000000" w:fill="F7EEF7"/>
            <w:noWrap/>
            <w:hideMark/>
          </w:tcPr>
          <w:p w14:paraId="7B843B43" w14:textId="77777777" w:rsidR="00A61C3D" w:rsidRPr="007A1D32" w:rsidRDefault="00A61C3D" w:rsidP="00312E88">
            <w:pPr>
              <w:jc w:val="center"/>
              <w:rPr>
                <w:rFonts w:cs="Arial"/>
                <w:b/>
                <w:bCs/>
                <w:color w:val="000000"/>
                <w:sz w:val="16"/>
                <w:szCs w:val="16"/>
              </w:rPr>
            </w:pPr>
            <w:r w:rsidRPr="007A1D32">
              <w:rPr>
                <w:rFonts w:cs="Arial"/>
                <w:b/>
                <w:bCs/>
                <w:color w:val="000000"/>
                <w:sz w:val="16"/>
                <w:szCs w:val="16"/>
              </w:rPr>
              <w:t>71,700</w:t>
            </w:r>
          </w:p>
        </w:tc>
        <w:tc>
          <w:tcPr>
            <w:tcW w:w="1276" w:type="dxa"/>
            <w:tcBorders>
              <w:top w:val="single" w:sz="4" w:space="0" w:color="auto"/>
              <w:left w:val="nil"/>
              <w:bottom w:val="single" w:sz="4" w:space="0" w:color="auto"/>
              <w:right w:val="single" w:sz="4" w:space="0" w:color="auto"/>
            </w:tcBorders>
            <w:shd w:val="clear" w:color="000000" w:fill="F7EEF7"/>
            <w:noWrap/>
            <w:hideMark/>
          </w:tcPr>
          <w:p w14:paraId="1AE26623" w14:textId="77777777" w:rsidR="00A61C3D" w:rsidRPr="007A1D32" w:rsidRDefault="00A61C3D" w:rsidP="00312E88">
            <w:pPr>
              <w:jc w:val="center"/>
              <w:rPr>
                <w:rFonts w:cs="Arial"/>
                <w:b/>
                <w:bCs/>
                <w:color w:val="000000"/>
                <w:sz w:val="16"/>
                <w:szCs w:val="16"/>
              </w:rPr>
            </w:pPr>
            <w:r w:rsidRPr="007A1D32">
              <w:rPr>
                <w:rFonts w:cs="Arial"/>
                <w:b/>
                <w:bCs/>
                <w:color w:val="000000"/>
                <w:sz w:val="16"/>
                <w:szCs w:val="16"/>
              </w:rPr>
              <w:t>88,300</w:t>
            </w:r>
          </w:p>
        </w:tc>
      </w:tr>
      <w:tr w:rsidR="00A61C3D" w:rsidRPr="007A1D32" w14:paraId="5157302B" w14:textId="77777777" w:rsidTr="008B2A38">
        <w:trPr>
          <w:trHeight w:hRule="exact" w:val="301"/>
        </w:trPr>
        <w:tc>
          <w:tcPr>
            <w:tcW w:w="1838" w:type="dxa"/>
            <w:tcBorders>
              <w:top w:val="nil"/>
              <w:left w:val="single" w:sz="4" w:space="0" w:color="auto"/>
              <w:bottom w:val="nil"/>
              <w:right w:val="single" w:sz="4" w:space="0" w:color="auto"/>
            </w:tcBorders>
            <w:shd w:val="clear" w:color="auto" w:fill="6B2E76"/>
            <w:noWrap/>
          </w:tcPr>
          <w:p w14:paraId="79D97853" w14:textId="77777777" w:rsidR="00A61C3D" w:rsidRPr="007A1D32" w:rsidRDefault="00A61C3D" w:rsidP="00312E88">
            <w:pPr>
              <w:jc w:val="center"/>
              <w:rPr>
                <w:rFonts w:cs="Arial"/>
                <w:color w:val="000000"/>
                <w:sz w:val="16"/>
                <w:szCs w:val="16"/>
              </w:rPr>
            </w:pPr>
            <w:r w:rsidRPr="007A1D32">
              <w:rPr>
                <w:rFonts w:cs="Arial"/>
                <w:b/>
                <w:bCs/>
                <w:color w:val="FFFFFF"/>
                <w:sz w:val="16"/>
                <w:szCs w:val="16"/>
              </w:rPr>
              <w:t>Disability Group</w:t>
            </w:r>
          </w:p>
        </w:tc>
        <w:tc>
          <w:tcPr>
            <w:tcW w:w="1134" w:type="dxa"/>
            <w:shd w:val="clear" w:color="auto" w:fill="6B2E76"/>
          </w:tcPr>
          <w:p w14:paraId="26EA0EF3" w14:textId="77777777" w:rsidR="00A61C3D" w:rsidRPr="007A1D32" w:rsidRDefault="00A61C3D" w:rsidP="00312E88">
            <w:pPr>
              <w:jc w:val="center"/>
              <w:rPr>
                <w:rFonts w:cs="Arial"/>
                <w:b/>
                <w:bCs/>
                <w:color w:val="FFFFFF"/>
                <w:sz w:val="16"/>
                <w:szCs w:val="16"/>
              </w:rPr>
            </w:pPr>
            <w:r w:rsidRPr="007A1D32">
              <w:rPr>
                <w:rFonts w:cs="Arial"/>
                <w:b/>
                <w:bCs/>
                <w:color w:val="FFFFFF"/>
                <w:sz w:val="16"/>
                <w:szCs w:val="16"/>
              </w:rPr>
              <w:t>35 to 44</w:t>
            </w:r>
          </w:p>
        </w:tc>
        <w:tc>
          <w:tcPr>
            <w:tcW w:w="1559" w:type="dxa"/>
            <w:shd w:val="clear" w:color="auto" w:fill="6B2E76"/>
          </w:tcPr>
          <w:p w14:paraId="7C4C516C" w14:textId="77777777" w:rsidR="00A61C3D" w:rsidRPr="007A1D32" w:rsidRDefault="00A61C3D" w:rsidP="00312E88">
            <w:pPr>
              <w:spacing w:after="160"/>
              <w:jc w:val="center"/>
              <w:rPr>
                <w:rFonts w:cs="Arial"/>
                <w:b/>
                <w:bCs/>
                <w:color w:val="000000"/>
                <w:sz w:val="16"/>
                <w:szCs w:val="16"/>
              </w:rPr>
            </w:pPr>
            <w:r w:rsidRPr="007A1D32">
              <w:rPr>
                <w:rFonts w:cs="Arial"/>
                <w:b/>
                <w:bCs/>
                <w:color w:val="FFFFFF" w:themeColor="background1"/>
                <w:sz w:val="16"/>
                <w:szCs w:val="16"/>
              </w:rPr>
              <w:t>45 to 54</w:t>
            </w:r>
          </w:p>
        </w:tc>
        <w:tc>
          <w:tcPr>
            <w:tcW w:w="1418" w:type="dxa"/>
            <w:shd w:val="clear" w:color="auto" w:fill="6B2E76"/>
          </w:tcPr>
          <w:p w14:paraId="16DC9193" w14:textId="77777777" w:rsidR="00A61C3D" w:rsidRPr="007A1D32" w:rsidRDefault="00A61C3D" w:rsidP="00312E88">
            <w:pPr>
              <w:spacing w:after="160"/>
              <w:jc w:val="center"/>
              <w:rPr>
                <w:rFonts w:cs="Arial"/>
                <w:color w:val="000000"/>
                <w:sz w:val="16"/>
                <w:szCs w:val="16"/>
              </w:rPr>
            </w:pPr>
            <w:r w:rsidRPr="007A1D32">
              <w:rPr>
                <w:rFonts w:cs="Arial"/>
                <w:b/>
                <w:bCs/>
                <w:color w:val="FFFFFF"/>
                <w:sz w:val="16"/>
                <w:szCs w:val="16"/>
              </w:rPr>
              <w:t>55 to 64</w:t>
            </w:r>
          </w:p>
        </w:tc>
        <w:tc>
          <w:tcPr>
            <w:tcW w:w="1417" w:type="dxa"/>
            <w:tcBorders>
              <w:right w:val="single" w:sz="4" w:space="0" w:color="auto"/>
            </w:tcBorders>
            <w:shd w:val="clear" w:color="auto" w:fill="6B2E76"/>
          </w:tcPr>
          <w:p w14:paraId="26C97943" w14:textId="77777777" w:rsidR="00A61C3D" w:rsidRPr="007A1D32" w:rsidRDefault="00A61C3D" w:rsidP="00312E88">
            <w:pPr>
              <w:spacing w:after="160"/>
              <w:jc w:val="center"/>
              <w:rPr>
                <w:rFonts w:cs="Arial"/>
                <w:color w:val="000000"/>
                <w:sz w:val="16"/>
                <w:szCs w:val="16"/>
              </w:rPr>
            </w:pPr>
            <w:r w:rsidRPr="007A1D32">
              <w:rPr>
                <w:rFonts w:cs="Arial"/>
                <w:b/>
                <w:bCs/>
                <w:color w:val="FFFFFF"/>
                <w:sz w:val="16"/>
                <w:szCs w:val="16"/>
              </w:rPr>
              <w:t>65+</w:t>
            </w:r>
          </w:p>
        </w:tc>
        <w:tc>
          <w:tcPr>
            <w:tcW w:w="1276" w:type="dxa"/>
            <w:tcBorders>
              <w:top w:val="single" w:sz="4" w:space="0" w:color="auto"/>
              <w:left w:val="single" w:sz="4" w:space="0" w:color="auto"/>
              <w:right w:val="single" w:sz="4" w:space="0" w:color="auto"/>
            </w:tcBorders>
            <w:shd w:val="clear" w:color="auto" w:fill="6B2E76"/>
          </w:tcPr>
          <w:p w14:paraId="1A3DD669" w14:textId="77777777" w:rsidR="00A61C3D" w:rsidRPr="007A1D32" w:rsidRDefault="00A61C3D" w:rsidP="00312E88">
            <w:pPr>
              <w:spacing w:after="160"/>
              <w:jc w:val="center"/>
              <w:rPr>
                <w:rFonts w:cs="Arial"/>
                <w:color w:val="000000"/>
                <w:sz w:val="16"/>
                <w:szCs w:val="16"/>
              </w:rPr>
            </w:pPr>
            <w:r w:rsidRPr="007A1D32">
              <w:rPr>
                <w:rFonts w:cs="Arial"/>
                <w:b/>
                <w:bCs/>
                <w:color w:val="FFFFFF"/>
                <w:sz w:val="16"/>
                <w:szCs w:val="16"/>
              </w:rPr>
              <w:t>Total</w:t>
            </w:r>
          </w:p>
        </w:tc>
      </w:tr>
      <w:tr w:rsidR="00A61C3D" w:rsidRPr="007A1D32" w14:paraId="2BBFF3D6"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18DFBA0A" w14:textId="77777777" w:rsidR="00A61C3D" w:rsidRPr="007A1D32" w:rsidRDefault="00A61C3D" w:rsidP="00312E88">
            <w:pPr>
              <w:jc w:val="center"/>
              <w:rPr>
                <w:rFonts w:cs="Arial"/>
                <w:color w:val="000000"/>
                <w:sz w:val="16"/>
                <w:szCs w:val="16"/>
              </w:rPr>
            </w:pPr>
            <w:r w:rsidRPr="007A1D32">
              <w:rPr>
                <w:rFonts w:cs="Arial"/>
                <w:color w:val="000000"/>
                <w:sz w:val="16"/>
                <w:szCs w:val="16"/>
              </w:rPr>
              <w:t>Autism</w:t>
            </w:r>
          </w:p>
        </w:tc>
        <w:tc>
          <w:tcPr>
            <w:tcW w:w="1134" w:type="dxa"/>
          </w:tcPr>
          <w:p w14:paraId="59F0D1FF"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109,100</w:t>
            </w:r>
          </w:p>
        </w:tc>
        <w:tc>
          <w:tcPr>
            <w:tcW w:w="1559" w:type="dxa"/>
          </w:tcPr>
          <w:p w14:paraId="06B4FE9A"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121,600</w:t>
            </w:r>
          </w:p>
        </w:tc>
        <w:tc>
          <w:tcPr>
            <w:tcW w:w="1418" w:type="dxa"/>
          </w:tcPr>
          <w:p w14:paraId="6898210D"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138,700</w:t>
            </w:r>
          </w:p>
        </w:tc>
        <w:tc>
          <w:tcPr>
            <w:tcW w:w="1417" w:type="dxa"/>
            <w:tcBorders>
              <w:right w:val="single" w:sz="4" w:space="0" w:color="auto"/>
            </w:tcBorders>
          </w:tcPr>
          <w:p w14:paraId="2F38D806"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161,500</w:t>
            </w:r>
          </w:p>
        </w:tc>
        <w:tc>
          <w:tcPr>
            <w:tcW w:w="1276" w:type="dxa"/>
            <w:tcBorders>
              <w:left w:val="single" w:sz="4" w:space="0" w:color="auto"/>
              <w:right w:val="single" w:sz="4" w:space="0" w:color="auto"/>
            </w:tcBorders>
          </w:tcPr>
          <w:p w14:paraId="32C43207"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34,600</w:t>
            </w:r>
          </w:p>
        </w:tc>
      </w:tr>
      <w:tr w:rsidR="00A61C3D" w:rsidRPr="007A1D32" w14:paraId="250783A0"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7DFA228B" w14:textId="77777777" w:rsidR="00A61C3D" w:rsidRPr="007A1D32" w:rsidRDefault="00A61C3D" w:rsidP="00312E88">
            <w:pPr>
              <w:jc w:val="center"/>
              <w:rPr>
                <w:rFonts w:cs="Arial"/>
                <w:color w:val="000000"/>
                <w:sz w:val="16"/>
                <w:szCs w:val="16"/>
              </w:rPr>
            </w:pPr>
            <w:r w:rsidRPr="007A1D32">
              <w:rPr>
                <w:rFonts w:cs="Arial"/>
                <w:color w:val="000000"/>
                <w:sz w:val="16"/>
                <w:szCs w:val="16"/>
              </w:rPr>
              <w:t>Intellectual Disability</w:t>
            </w:r>
          </w:p>
        </w:tc>
        <w:tc>
          <w:tcPr>
            <w:tcW w:w="1134" w:type="dxa"/>
          </w:tcPr>
          <w:p w14:paraId="000C2B7B"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117,600</w:t>
            </w:r>
          </w:p>
        </w:tc>
        <w:tc>
          <w:tcPr>
            <w:tcW w:w="1559" w:type="dxa"/>
          </w:tcPr>
          <w:p w14:paraId="6DECC042"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141,700</w:t>
            </w:r>
          </w:p>
        </w:tc>
        <w:tc>
          <w:tcPr>
            <w:tcW w:w="1418" w:type="dxa"/>
          </w:tcPr>
          <w:p w14:paraId="2E98951F"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153,800</w:t>
            </w:r>
          </w:p>
        </w:tc>
        <w:tc>
          <w:tcPr>
            <w:tcW w:w="1417" w:type="dxa"/>
            <w:tcBorders>
              <w:right w:val="single" w:sz="4" w:space="0" w:color="auto"/>
            </w:tcBorders>
          </w:tcPr>
          <w:p w14:paraId="2E9D922A"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164,700</w:t>
            </w:r>
          </w:p>
        </w:tc>
        <w:tc>
          <w:tcPr>
            <w:tcW w:w="1276" w:type="dxa"/>
            <w:tcBorders>
              <w:left w:val="single" w:sz="4" w:space="0" w:color="auto"/>
              <w:right w:val="single" w:sz="4" w:space="0" w:color="auto"/>
            </w:tcBorders>
          </w:tcPr>
          <w:p w14:paraId="6DFD2F2B"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90,500</w:t>
            </w:r>
          </w:p>
        </w:tc>
      </w:tr>
      <w:tr w:rsidR="00A61C3D" w:rsidRPr="007A1D32" w14:paraId="3425211A"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2C516678" w14:textId="77777777" w:rsidR="00A61C3D" w:rsidRPr="007A1D32" w:rsidRDefault="00A61C3D" w:rsidP="00312E88">
            <w:pPr>
              <w:jc w:val="center"/>
              <w:rPr>
                <w:rFonts w:cs="Arial"/>
                <w:color w:val="000000"/>
                <w:sz w:val="16"/>
                <w:szCs w:val="16"/>
              </w:rPr>
            </w:pPr>
            <w:r w:rsidRPr="007A1D32">
              <w:rPr>
                <w:rFonts w:cs="Arial"/>
                <w:color w:val="000000"/>
                <w:sz w:val="16"/>
                <w:szCs w:val="16"/>
              </w:rPr>
              <w:t>Psychosocial Disability</w:t>
            </w:r>
          </w:p>
        </w:tc>
        <w:tc>
          <w:tcPr>
            <w:tcW w:w="1134" w:type="dxa"/>
          </w:tcPr>
          <w:p w14:paraId="49D4DF29"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55,200</w:t>
            </w:r>
          </w:p>
        </w:tc>
        <w:tc>
          <w:tcPr>
            <w:tcW w:w="1559" w:type="dxa"/>
          </w:tcPr>
          <w:p w14:paraId="0682125F"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56,300</w:t>
            </w:r>
          </w:p>
        </w:tc>
        <w:tc>
          <w:tcPr>
            <w:tcW w:w="1418" w:type="dxa"/>
          </w:tcPr>
          <w:p w14:paraId="47077E42"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60,500</w:t>
            </w:r>
          </w:p>
        </w:tc>
        <w:tc>
          <w:tcPr>
            <w:tcW w:w="1417" w:type="dxa"/>
            <w:tcBorders>
              <w:right w:val="single" w:sz="4" w:space="0" w:color="auto"/>
            </w:tcBorders>
          </w:tcPr>
          <w:p w14:paraId="05838937"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64,800</w:t>
            </w:r>
          </w:p>
        </w:tc>
        <w:tc>
          <w:tcPr>
            <w:tcW w:w="1276" w:type="dxa"/>
            <w:tcBorders>
              <w:left w:val="single" w:sz="4" w:space="0" w:color="auto"/>
              <w:right w:val="single" w:sz="4" w:space="0" w:color="auto"/>
            </w:tcBorders>
          </w:tcPr>
          <w:p w14:paraId="2233B14A"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57,300</w:t>
            </w:r>
          </w:p>
        </w:tc>
      </w:tr>
      <w:tr w:rsidR="00A61C3D" w:rsidRPr="007A1D32" w14:paraId="1B264BF5"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0F73A549" w14:textId="77777777" w:rsidR="00A61C3D" w:rsidRPr="007A1D32" w:rsidRDefault="00A61C3D" w:rsidP="00312E88">
            <w:pPr>
              <w:jc w:val="center"/>
              <w:rPr>
                <w:rFonts w:cs="Arial"/>
                <w:color w:val="000000"/>
                <w:sz w:val="16"/>
                <w:szCs w:val="16"/>
              </w:rPr>
            </w:pPr>
            <w:r w:rsidRPr="007A1D32">
              <w:rPr>
                <w:rFonts w:cs="Arial"/>
                <w:color w:val="000000"/>
                <w:sz w:val="16"/>
                <w:szCs w:val="16"/>
              </w:rPr>
              <w:t>Developmental Delay</w:t>
            </w:r>
          </w:p>
        </w:tc>
        <w:tc>
          <w:tcPr>
            <w:tcW w:w="1134" w:type="dxa"/>
          </w:tcPr>
          <w:p w14:paraId="629895E5" w14:textId="77777777" w:rsidR="00A61C3D" w:rsidRPr="007A1D32" w:rsidRDefault="00A61C3D" w:rsidP="00312E88">
            <w:pPr>
              <w:spacing w:after="160" w:line="259" w:lineRule="auto"/>
              <w:jc w:val="center"/>
              <w:rPr>
                <w:rFonts w:cs="Arial"/>
                <w:color w:val="000000"/>
                <w:sz w:val="16"/>
                <w:szCs w:val="16"/>
              </w:rPr>
            </w:pPr>
          </w:p>
        </w:tc>
        <w:tc>
          <w:tcPr>
            <w:tcW w:w="1559" w:type="dxa"/>
          </w:tcPr>
          <w:p w14:paraId="12BB4AC2" w14:textId="77777777" w:rsidR="00A61C3D" w:rsidRPr="007A1D32" w:rsidRDefault="00A61C3D" w:rsidP="00312E88">
            <w:pPr>
              <w:spacing w:after="160" w:line="259" w:lineRule="auto"/>
              <w:jc w:val="center"/>
              <w:rPr>
                <w:rFonts w:cs="Arial"/>
                <w:color w:val="000000"/>
                <w:sz w:val="16"/>
                <w:szCs w:val="16"/>
              </w:rPr>
            </w:pPr>
          </w:p>
        </w:tc>
        <w:tc>
          <w:tcPr>
            <w:tcW w:w="1418" w:type="dxa"/>
          </w:tcPr>
          <w:p w14:paraId="362FC2C7" w14:textId="77777777" w:rsidR="00A61C3D" w:rsidRPr="007A1D32" w:rsidRDefault="00A61C3D" w:rsidP="00312E88">
            <w:pPr>
              <w:spacing w:after="160" w:line="259" w:lineRule="auto"/>
              <w:jc w:val="center"/>
              <w:rPr>
                <w:rFonts w:cs="Arial"/>
                <w:color w:val="000000"/>
                <w:sz w:val="16"/>
                <w:szCs w:val="16"/>
              </w:rPr>
            </w:pPr>
          </w:p>
        </w:tc>
        <w:tc>
          <w:tcPr>
            <w:tcW w:w="1417" w:type="dxa"/>
            <w:tcBorders>
              <w:right w:val="single" w:sz="4" w:space="0" w:color="auto"/>
            </w:tcBorders>
          </w:tcPr>
          <w:p w14:paraId="61501F03" w14:textId="77777777" w:rsidR="00A61C3D" w:rsidRPr="007A1D32" w:rsidRDefault="00A61C3D" w:rsidP="00312E88">
            <w:pPr>
              <w:spacing w:after="160" w:line="259" w:lineRule="auto"/>
              <w:jc w:val="center"/>
              <w:rPr>
                <w:rFonts w:cs="Arial"/>
                <w:color w:val="000000"/>
                <w:sz w:val="16"/>
                <w:szCs w:val="16"/>
              </w:rPr>
            </w:pPr>
          </w:p>
        </w:tc>
        <w:tc>
          <w:tcPr>
            <w:tcW w:w="1276" w:type="dxa"/>
            <w:tcBorders>
              <w:left w:val="single" w:sz="4" w:space="0" w:color="auto"/>
              <w:right w:val="single" w:sz="4" w:space="0" w:color="auto"/>
            </w:tcBorders>
          </w:tcPr>
          <w:p w14:paraId="59C2A44F"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12,000</w:t>
            </w:r>
          </w:p>
        </w:tc>
      </w:tr>
      <w:tr w:rsidR="00A61C3D" w:rsidRPr="007A1D32" w14:paraId="25D715E6" w14:textId="77777777" w:rsidTr="008B2A38">
        <w:trPr>
          <w:trHeight w:hRule="exact" w:val="301"/>
        </w:trPr>
        <w:tc>
          <w:tcPr>
            <w:tcW w:w="1838" w:type="dxa"/>
            <w:tcBorders>
              <w:top w:val="nil"/>
              <w:left w:val="single" w:sz="4" w:space="0" w:color="auto"/>
              <w:bottom w:val="nil"/>
              <w:right w:val="single" w:sz="4" w:space="0" w:color="auto"/>
            </w:tcBorders>
            <w:shd w:val="clear" w:color="auto" w:fill="auto"/>
            <w:noWrap/>
            <w:hideMark/>
          </w:tcPr>
          <w:p w14:paraId="273CC701" w14:textId="77777777" w:rsidR="00A61C3D" w:rsidRPr="007A1D32" w:rsidRDefault="00A61C3D" w:rsidP="00312E88">
            <w:pPr>
              <w:jc w:val="center"/>
              <w:rPr>
                <w:rFonts w:cs="Arial"/>
                <w:color w:val="000000"/>
                <w:sz w:val="16"/>
                <w:szCs w:val="16"/>
              </w:rPr>
            </w:pPr>
            <w:r w:rsidRPr="007A1D32">
              <w:rPr>
                <w:rFonts w:cs="Arial"/>
                <w:color w:val="000000"/>
                <w:sz w:val="16"/>
                <w:szCs w:val="16"/>
              </w:rPr>
              <w:t>Sensory</w:t>
            </w:r>
          </w:p>
        </w:tc>
        <w:tc>
          <w:tcPr>
            <w:tcW w:w="1134" w:type="dxa"/>
          </w:tcPr>
          <w:p w14:paraId="61AB3266"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20,700</w:t>
            </w:r>
          </w:p>
        </w:tc>
        <w:tc>
          <w:tcPr>
            <w:tcW w:w="1559" w:type="dxa"/>
          </w:tcPr>
          <w:p w14:paraId="7FB9665E"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22,100</w:t>
            </w:r>
          </w:p>
        </w:tc>
        <w:tc>
          <w:tcPr>
            <w:tcW w:w="1418" w:type="dxa"/>
          </w:tcPr>
          <w:p w14:paraId="069912E5"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21,600</w:t>
            </w:r>
          </w:p>
        </w:tc>
        <w:tc>
          <w:tcPr>
            <w:tcW w:w="1417" w:type="dxa"/>
            <w:tcBorders>
              <w:right w:val="single" w:sz="4" w:space="0" w:color="auto"/>
            </w:tcBorders>
          </w:tcPr>
          <w:p w14:paraId="3976A0A7"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22,800</w:t>
            </w:r>
          </w:p>
        </w:tc>
        <w:tc>
          <w:tcPr>
            <w:tcW w:w="1276" w:type="dxa"/>
            <w:tcBorders>
              <w:left w:val="single" w:sz="4" w:space="0" w:color="auto"/>
              <w:right w:val="single" w:sz="4" w:space="0" w:color="auto"/>
            </w:tcBorders>
          </w:tcPr>
          <w:p w14:paraId="16FDE8C2"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14,700</w:t>
            </w:r>
          </w:p>
        </w:tc>
      </w:tr>
      <w:tr w:rsidR="00A61C3D" w:rsidRPr="007A1D32" w14:paraId="74603844" w14:textId="77777777" w:rsidTr="008B2A38">
        <w:trPr>
          <w:trHeight w:hRule="exact" w:val="301"/>
        </w:trPr>
        <w:tc>
          <w:tcPr>
            <w:tcW w:w="1838" w:type="dxa"/>
            <w:tcBorders>
              <w:top w:val="nil"/>
              <w:left w:val="single" w:sz="4" w:space="0" w:color="auto"/>
              <w:bottom w:val="single" w:sz="4" w:space="0" w:color="auto"/>
              <w:right w:val="single" w:sz="4" w:space="0" w:color="auto"/>
            </w:tcBorders>
            <w:shd w:val="clear" w:color="auto" w:fill="auto"/>
            <w:noWrap/>
            <w:hideMark/>
          </w:tcPr>
          <w:p w14:paraId="476FCD9B" w14:textId="77777777" w:rsidR="00A61C3D" w:rsidRPr="007A1D32" w:rsidRDefault="00A61C3D" w:rsidP="00312E88">
            <w:pPr>
              <w:jc w:val="center"/>
              <w:rPr>
                <w:rFonts w:cs="Arial"/>
                <w:color w:val="000000"/>
                <w:sz w:val="16"/>
                <w:szCs w:val="16"/>
              </w:rPr>
            </w:pPr>
            <w:r w:rsidRPr="007A1D32">
              <w:rPr>
                <w:rFonts w:cs="Arial"/>
                <w:color w:val="000000"/>
                <w:sz w:val="16"/>
                <w:szCs w:val="16"/>
              </w:rPr>
              <w:t>Other</w:t>
            </w:r>
          </w:p>
        </w:tc>
        <w:tc>
          <w:tcPr>
            <w:tcW w:w="1134" w:type="dxa"/>
            <w:tcBorders>
              <w:bottom w:val="single" w:sz="4" w:space="0" w:color="auto"/>
            </w:tcBorders>
          </w:tcPr>
          <w:p w14:paraId="272F7DDD"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112,600</w:t>
            </w:r>
          </w:p>
        </w:tc>
        <w:tc>
          <w:tcPr>
            <w:tcW w:w="1559" w:type="dxa"/>
            <w:tcBorders>
              <w:bottom w:val="single" w:sz="4" w:space="0" w:color="auto"/>
            </w:tcBorders>
          </w:tcPr>
          <w:p w14:paraId="63FC56DB"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103,700</w:t>
            </w:r>
          </w:p>
        </w:tc>
        <w:tc>
          <w:tcPr>
            <w:tcW w:w="1418" w:type="dxa"/>
            <w:tcBorders>
              <w:bottom w:val="single" w:sz="4" w:space="0" w:color="auto"/>
            </w:tcBorders>
          </w:tcPr>
          <w:p w14:paraId="629D0C03"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97,700</w:t>
            </w:r>
          </w:p>
        </w:tc>
        <w:tc>
          <w:tcPr>
            <w:tcW w:w="1417" w:type="dxa"/>
            <w:tcBorders>
              <w:bottom w:val="single" w:sz="4" w:space="0" w:color="auto"/>
              <w:right w:val="single" w:sz="4" w:space="0" w:color="auto"/>
            </w:tcBorders>
          </w:tcPr>
          <w:p w14:paraId="3DE2C3FA"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96,000</w:t>
            </w:r>
          </w:p>
        </w:tc>
        <w:tc>
          <w:tcPr>
            <w:tcW w:w="1276" w:type="dxa"/>
            <w:tcBorders>
              <w:left w:val="single" w:sz="4" w:space="0" w:color="auto"/>
              <w:bottom w:val="single" w:sz="4" w:space="0" w:color="auto"/>
              <w:right w:val="single" w:sz="4" w:space="0" w:color="auto"/>
            </w:tcBorders>
          </w:tcPr>
          <w:p w14:paraId="3F853572" w14:textId="77777777" w:rsidR="00A61C3D" w:rsidRPr="007A1D32" w:rsidRDefault="00A61C3D" w:rsidP="00312E88">
            <w:pPr>
              <w:spacing w:after="160" w:line="259" w:lineRule="auto"/>
              <w:jc w:val="center"/>
              <w:rPr>
                <w:rFonts w:cs="Arial"/>
                <w:color w:val="000000"/>
                <w:sz w:val="16"/>
                <w:szCs w:val="16"/>
              </w:rPr>
            </w:pPr>
            <w:r w:rsidRPr="007A1D32">
              <w:rPr>
                <w:rFonts w:cs="Arial"/>
                <w:color w:val="000000"/>
                <w:sz w:val="16"/>
                <w:szCs w:val="16"/>
              </w:rPr>
              <w:t>96,000</w:t>
            </w:r>
          </w:p>
        </w:tc>
      </w:tr>
      <w:tr w:rsidR="00A61C3D" w:rsidRPr="007A1D32" w14:paraId="3472254F" w14:textId="77777777" w:rsidTr="008B2A38">
        <w:trPr>
          <w:trHeight w:hRule="exact" w:val="301"/>
        </w:trPr>
        <w:tc>
          <w:tcPr>
            <w:tcW w:w="1838" w:type="dxa"/>
            <w:tcBorders>
              <w:top w:val="single" w:sz="4" w:space="0" w:color="auto"/>
              <w:left w:val="single" w:sz="4" w:space="0" w:color="auto"/>
              <w:bottom w:val="single" w:sz="4" w:space="0" w:color="auto"/>
              <w:right w:val="single" w:sz="4" w:space="0" w:color="auto"/>
            </w:tcBorders>
            <w:shd w:val="clear" w:color="auto" w:fill="F8EFF7"/>
            <w:noWrap/>
            <w:hideMark/>
          </w:tcPr>
          <w:p w14:paraId="2A5B9173" w14:textId="77777777" w:rsidR="00A61C3D" w:rsidRPr="007A1D32" w:rsidRDefault="00A61C3D" w:rsidP="00312E88">
            <w:pPr>
              <w:jc w:val="center"/>
              <w:rPr>
                <w:rFonts w:cs="Arial"/>
                <w:b/>
                <w:bCs/>
                <w:color w:val="000000"/>
                <w:sz w:val="16"/>
                <w:szCs w:val="16"/>
              </w:rPr>
            </w:pPr>
            <w:r w:rsidRPr="007A1D32">
              <w:rPr>
                <w:rFonts w:cs="Arial"/>
                <w:b/>
                <w:bCs/>
                <w:color w:val="000000"/>
                <w:sz w:val="16"/>
                <w:szCs w:val="16"/>
              </w:rPr>
              <w:t>Total</w:t>
            </w:r>
          </w:p>
        </w:tc>
        <w:tc>
          <w:tcPr>
            <w:tcW w:w="1134" w:type="dxa"/>
            <w:tcBorders>
              <w:top w:val="single" w:sz="4" w:space="0" w:color="auto"/>
              <w:bottom w:val="single" w:sz="4" w:space="0" w:color="auto"/>
            </w:tcBorders>
            <w:shd w:val="clear" w:color="auto" w:fill="F8EFF7"/>
          </w:tcPr>
          <w:p w14:paraId="15E7AF4A" w14:textId="77777777" w:rsidR="00A61C3D" w:rsidRPr="007A1D32" w:rsidRDefault="00A61C3D" w:rsidP="00312E88">
            <w:pPr>
              <w:spacing w:after="160" w:line="259" w:lineRule="auto"/>
              <w:jc w:val="center"/>
              <w:rPr>
                <w:rFonts w:cs="Arial"/>
                <w:b/>
                <w:bCs/>
                <w:color w:val="000000"/>
                <w:sz w:val="16"/>
                <w:szCs w:val="16"/>
              </w:rPr>
            </w:pPr>
            <w:r w:rsidRPr="007A1D32">
              <w:rPr>
                <w:rFonts w:cs="Arial"/>
                <w:b/>
                <w:bCs/>
                <w:color w:val="000000"/>
                <w:sz w:val="16"/>
                <w:szCs w:val="16"/>
              </w:rPr>
              <w:t>90,500</w:t>
            </w:r>
          </w:p>
        </w:tc>
        <w:tc>
          <w:tcPr>
            <w:tcW w:w="1559" w:type="dxa"/>
            <w:tcBorders>
              <w:top w:val="single" w:sz="4" w:space="0" w:color="auto"/>
              <w:bottom w:val="single" w:sz="4" w:space="0" w:color="auto"/>
            </w:tcBorders>
            <w:shd w:val="clear" w:color="auto" w:fill="F8EFF7"/>
          </w:tcPr>
          <w:p w14:paraId="743C5A6F" w14:textId="77777777" w:rsidR="00A61C3D" w:rsidRPr="007A1D32" w:rsidRDefault="00A61C3D" w:rsidP="00312E88">
            <w:pPr>
              <w:spacing w:after="160" w:line="259" w:lineRule="auto"/>
              <w:jc w:val="center"/>
              <w:rPr>
                <w:rFonts w:cs="Arial"/>
                <w:b/>
                <w:bCs/>
                <w:color w:val="000000"/>
                <w:sz w:val="16"/>
                <w:szCs w:val="16"/>
              </w:rPr>
            </w:pPr>
            <w:r w:rsidRPr="007A1D32">
              <w:rPr>
                <w:rFonts w:cs="Arial"/>
                <w:b/>
                <w:bCs/>
                <w:color w:val="000000"/>
                <w:sz w:val="16"/>
                <w:szCs w:val="16"/>
              </w:rPr>
              <w:t>91,300</w:t>
            </w:r>
          </w:p>
        </w:tc>
        <w:tc>
          <w:tcPr>
            <w:tcW w:w="1418" w:type="dxa"/>
            <w:tcBorders>
              <w:top w:val="single" w:sz="4" w:space="0" w:color="auto"/>
              <w:bottom w:val="single" w:sz="4" w:space="0" w:color="auto"/>
            </w:tcBorders>
            <w:shd w:val="clear" w:color="auto" w:fill="F8EFF7"/>
          </w:tcPr>
          <w:p w14:paraId="4A664923" w14:textId="77777777" w:rsidR="00A61C3D" w:rsidRPr="007A1D32" w:rsidRDefault="00A61C3D" w:rsidP="00312E88">
            <w:pPr>
              <w:spacing w:after="160" w:line="259" w:lineRule="auto"/>
              <w:jc w:val="center"/>
              <w:rPr>
                <w:rFonts w:cs="Arial"/>
                <w:b/>
                <w:bCs/>
                <w:color w:val="000000"/>
                <w:sz w:val="16"/>
                <w:szCs w:val="16"/>
              </w:rPr>
            </w:pPr>
            <w:r w:rsidRPr="007A1D32">
              <w:rPr>
                <w:rFonts w:cs="Arial"/>
                <w:b/>
                <w:bCs/>
                <w:color w:val="000000"/>
                <w:sz w:val="16"/>
                <w:szCs w:val="16"/>
              </w:rPr>
              <w:t>91,300</w:t>
            </w:r>
          </w:p>
        </w:tc>
        <w:tc>
          <w:tcPr>
            <w:tcW w:w="1417" w:type="dxa"/>
            <w:tcBorders>
              <w:top w:val="single" w:sz="4" w:space="0" w:color="auto"/>
              <w:bottom w:val="single" w:sz="4" w:space="0" w:color="auto"/>
              <w:right w:val="single" w:sz="4" w:space="0" w:color="auto"/>
            </w:tcBorders>
            <w:shd w:val="clear" w:color="auto" w:fill="F8EFF7"/>
          </w:tcPr>
          <w:p w14:paraId="5110A472" w14:textId="77777777" w:rsidR="00A61C3D" w:rsidRPr="007A1D32" w:rsidRDefault="00A61C3D" w:rsidP="00312E88">
            <w:pPr>
              <w:spacing w:after="160" w:line="259" w:lineRule="auto"/>
              <w:jc w:val="center"/>
              <w:rPr>
                <w:rFonts w:cs="Arial"/>
                <w:b/>
                <w:bCs/>
                <w:color w:val="000000"/>
                <w:sz w:val="16"/>
                <w:szCs w:val="16"/>
              </w:rPr>
            </w:pPr>
            <w:r w:rsidRPr="007A1D32">
              <w:rPr>
                <w:rFonts w:cs="Arial"/>
                <w:b/>
                <w:bCs/>
                <w:color w:val="000000"/>
                <w:sz w:val="16"/>
                <w:szCs w:val="16"/>
              </w:rPr>
              <w:t>93,200</w:t>
            </w:r>
          </w:p>
        </w:tc>
        <w:tc>
          <w:tcPr>
            <w:tcW w:w="1276" w:type="dxa"/>
            <w:tcBorders>
              <w:top w:val="single" w:sz="4" w:space="0" w:color="auto"/>
              <w:left w:val="single" w:sz="4" w:space="0" w:color="auto"/>
              <w:bottom w:val="single" w:sz="4" w:space="0" w:color="auto"/>
              <w:right w:val="single" w:sz="4" w:space="0" w:color="auto"/>
            </w:tcBorders>
            <w:shd w:val="clear" w:color="auto" w:fill="F8EFF7"/>
          </w:tcPr>
          <w:p w14:paraId="0681965D" w14:textId="77777777" w:rsidR="00A61C3D" w:rsidRPr="007A1D32" w:rsidRDefault="00A61C3D" w:rsidP="00312E88">
            <w:pPr>
              <w:spacing w:after="160" w:line="259" w:lineRule="auto"/>
              <w:jc w:val="center"/>
              <w:rPr>
                <w:rFonts w:cs="Arial"/>
                <w:b/>
                <w:bCs/>
                <w:color w:val="000000"/>
                <w:sz w:val="16"/>
                <w:szCs w:val="16"/>
              </w:rPr>
            </w:pPr>
            <w:r w:rsidRPr="007A1D32">
              <w:rPr>
                <w:rFonts w:cs="Arial"/>
                <w:b/>
                <w:bCs/>
                <w:color w:val="000000"/>
                <w:sz w:val="16"/>
                <w:szCs w:val="16"/>
              </w:rPr>
              <w:t>55,800</w:t>
            </w:r>
          </w:p>
        </w:tc>
      </w:tr>
    </w:tbl>
    <w:p w14:paraId="271FBDAA" w14:textId="4B6F16C8" w:rsidR="007372C8" w:rsidRDefault="007372C8" w:rsidP="007372C8">
      <w:pPr>
        <w:pStyle w:val="FSRnormal"/>
      </w:pPr>
      <w:r w:rsidRPr="0040405D">
        <w:t>Similarly, the expected average annual payment assumptions (in current dollars) in 2021-22, split by support category and age band, are show</w:t>
      </w:r>
      <w:r w:rsidRPr="007372C8">
        <w:t xml:space="preserve">n in </w:t>
      </w:r>
      <w:r w:rsidRPr="008B2A38">
        <w:rPr>
          <w:u w:val="single"/>
        </w:rPr>
        <w:fldChar w:fldCharType="begin"/>
      </w:r>
      <w:r w:rsidRPr="008B2A38">
        <w:rPr>
          <w:u w:val="single"/>
        </w:rPr>
        <w:instrText xml:space="preserve"> REF _Ref74852148 \h  \* MERGEFORMAT </w:instrText>
      </w:r>
      <w:r w:rsidRPr="008B2A38">
        <w:rPr>
          <w:u w:val="single"/>
        </w:rPr>
      </w:r>
      <w:r w:rsidRPr="008B2A38">
        <w:rPr>
          <w:u w:val="single"/>
        </w:rPr>
        <w:fldChar w:fldCharType="separate"/>
      </w:r>
      <w:r w:rsidR="00E50032" w:rsidRPr="00E50032">
        <w:rPr>
          <w:bCs/>
          <w:u w:val="single"/>
        </w:rPr>
        <w:t xml:space="preserve">Table </w:t>
      </w:r>
      <w:r w:rsidR="00E50032" w:rsidRPr="00E50032">
        <w:rPr>
          <w:bCs/>
          <w:noProof/>
          <w:u w:val="single"/>
        </w:rPr>
        <w:t>27</w:t>
      </w:r>
      <w:r w:rsidRPr="008B2A38">
        <w:rPr>
          <w:u w:val="single"/>
        </w:rPr>
        <w:fldChar w:fldCharType="end"/>
      </w:r>
      <w:r w:rsidRPr="0040405D">
        <w:t xml:space="preserve">. The averages presented in the tables below are a weighted </w:t>
      </w:r>
      <w:r w:rsidR="00486761">
        <w:t xml:space="preserve">combination </w:t>
      </w:r>
      <w:r w:rsidRPr="00486761">
        <w:t>of</w:t>
      </w:r>
      <w:r w:rsidRPr="0040405D">
        <w:t xml:space="preserve"> the assumptions by </w:t>
      </w:r>
      <w:r w:rsidR="00CD3984">
        <w:t>cohort</w:t>
      </w:r>
      <w:r w:rsidRPr="0040405D">
        <w:t xml:space="preserve"> for each support category. </w:t>
      </w:r>
    </w:p>
    <w:p w14:paraId="72D8BA2E" w14:textId="7F6B5BEF" w:rsidR="00D65CAC" w:rsidRDefault="00D65CAC" w:rsidP="007372C8">
      <w:pPr>
        <w:pStyle w:val="FSRnormal"/>
      </w:pPr>
    </w:p>
    <w:p w14:paraId="54B2EF50" w14:textId="458C6724" w:rsidR="00D65CAC" w:rsidRDefault="00D65CAC" w:rsidP="007372C8">
      <w:pPr>
        <w:pStyle w:val="FSRnormal"/>
      </w:pPr>
    </w:p>
    <w:p w14:paraId="365DB4A2" w14:textId="7B12F22F" w:rsidR="00D65CAC" w:rsidRDefault="00D65CAC" w:rsidP="007372C8">
      <w:pPr>
        <w:pStyle w:val="FSRnormal"/>
      </w:pPr>
    </w:p>
    <w:p w14:paraId="20E1E252" w14:textId="19DD0E79" w:rsidR="00D65CAC" w:rsidRDefault="00D65CAC" w:rsidP="007372C8">
      <w:pPr>
        <w:pStyle w:val="FSRnormal"/>
      </w:pPr>
    </w:p>
    <w:p w14:paraId="5080E6B6" w14:textId="77777777" w:rsidR="00D65CAC" w:rsidRPr="0040405D" w:rsidRDefault="00D65CAC" w:rsidP="007372C8">
      <w:pPr>
        <w:pStyle w:val="FSRnormal"/>
      </w:pPr>
    </w:p>
    <w:p w14:paraId="43D18DD4" w14:textId="2646ECDF" w:rsidR="007372C8" w:rsidRPr="0040405D" w:rsidRDefault="007372C8" w:rsidP="00D65CAC">
      <w:pPr>
        <w:pStyle w:val="Tables"/>
      </w:pPr>
      <w:bookmarkStart w:id="218" w:name="_Ref74852148"/>
      <w:r w:rsidRPr="0040405D">
        <w:lastRenderedPageBreak/>
        <w:t xml:space="preserve">Table </w:t>
      </w:r>
      <w:fldSimple w:instr=" SEQ Table \* ARABIC ">
        <w:r w:rsidR="00E50032">
          <w:rPr>
            <w:noProof/>
          </w:rPr>
          <w:t>27</w:t>
        </w:r>
      </w:fldSimple>
      <w:bookmarkEnd w:id="218"/>
      <w:r w:rsidRPr="0040405D">
        <w:t xml:space="preserve"> Average annual payments ($) by age band and support category in 2021-22 (current dollars)</w:t>
      </w:r>
    </w:p>
    <w:tbl>
      <w:tblPr>
        <w:tblW w:w="8926" w:type="dxa"/>
        <w:tblLook w:val="04A0" w:firstRow="1" w:lastRow="0" w:firstColumn="1" w:lastColumn="0" w:noHBand="0" w:noVBand="1"/>
      </w:tblPr>
      <w:tblGrid>
        <w:gridCol w:w="2263"/>
        <w:gridCol w:w="1276"/>
        <w:gridCol w:w="1276"/>
        <w:gridCol w:w="1417"/>
        <w:gridCol w:w="1560"/>
        <w:gridCol w:w="1134"/>
      </w:tblGrid>
      <w:tr w:rsidR="00D65CAC" w:rsidRPr="00C93000" w14:paraId="50F4D8EC" w14:textId="77777777" w:rsidTr="00312E88">
        <w:trPr>
          <w:cantSplit/>
          <w:trHeight w:hRule="exact" w:val="284"/>
          <w:tblHeader/>
        </w:trPr>
        <w:tc>
          <w:tcPr>
            <w:tcW w:w="2263" w:type="dxa"/>
            <w:tcBorders>
              <w:top w:val="single" w:sz="4" w:space="0" w:color="auto"/>
              <w:left w:val="single" w:sz="4" w:space="0" w:color="auto"/>
              <w:bottom w:val="single" w:sz="4" w:space="0" w:color="auto"/>
              <w:right w:val="single" w:sz="4" w:space="0" w:color="auto"/>
            </w:tcBorders>
            <w:shd w:val="clear" w:color="000000" w:fill="6B2F76"/>
            <w:noWrap/>
            <w:vAlign w:val="bottom"/>
            <w:hideMark/>
          </w:tcPr>
          <w:p w14:paraId="47B9CF76" w14:textId="77777777" w:rsidR="00D65CAC" w:rsidRPr="00C93000" w:rsidRDefault="00D65CAC" w:rsidP="00312E88">
            <w:pPr>
              <w:jc w:val="center"/>
              <w:rPr>
                <w:rFonts w:cs="Arial"/>
                <w:b/>
                <w:bCs/>
                <w:color w:val="FFFFFF"/>
                <w:sz w:val="16"/>
                <w:szCs w:val="16"/>
              </w:rPr>
            </w:pPr>
            <w:r w:rsidRPr="00C93000">
              <w:rPr>
                <w:rFonts w:cs="Arial"/>
                <w:b/>
                <w:bCs/>
                <w:color w:val="FFFFFF"/>
                <w:sz w:val="16"/>
                <w:szCs w:val="16"/>
              </w:rPr>
              <w:t>Support Category</w:t>
            </w:r>
          </w:p>
        </w:tc>
        <w:tc>
          <w:tcPr>
            <w:tcW w:w="1276" w:type="dxa"/>
            <w:tcBorders>
              <w:top w:val="single" w:sz="4" w:space="0" w:color="auto"/>
              <w:left w:val="nil"/>
              <w:bottom w:val="single" w:sz="4" w:space="0" w:color="auto"/>
              <w:right w:val="nil"/>
            </w:tcBorders>
            <w:shd w:val="clear" w:color="000000" w:fill="6B2F76"/>
            <w:noWrap/>
            <w:vAlign w:val="bottom"/>
            <w:hideMark/>
          </w:tcPr>
          <w:p w14:paraId="3E58BEA1" w14:textId="77777777" w:rsidR="00D65CAC" w:rsidRPr="00C93000" w:rsidRDefault="00D65CAC" w:rsidP="00312E88">
            <w:pPr>
              <w:jc w:val="center"/>
              <w:rPr>
                <w:rFonts w:cs="Arial"/>
                <w:b/>
                <w:bCs/>
                <w:color w:val="FFFFFF"/>
                <w:sz w:val="16"/>
                <w:szCs w:val="16"/>
              </w:rPr>
            </w:pPr>
            <w:r w:rsidRPr="00C93000">
              <w:rPr>
                <w:rFonts w:cs="Arial"/>
                <w:b/>
                <w:bCs/>
                <w:color w:val="FFFFFF"/>
                <w:sz w:val="16"/>
                <w:szCs w:val="16"/>
              </w:rPr>
              <w:t>0 to 6</w:t>
            </w:r>
          </w:p>
        </w:tc>
        <w:tc>
          <w:tcPr>
            <w:tcW w:w="1276" w:type="dxa"/>
            <w:tcBorders>
              <w:top w:val="single" w:sz="4" w:space="0" w:color="auto"/>
              <w:left w:val="nil"/>
              <w:bottom w:val="single" w:sz="4" w:space="0" w:color="auto"/>
              <w:right w:val="nil"/>
            </w:tcBorders>
            <w:shd w:val="clear" w:color="000000" w:fill="6B2F76"/>
            <w:noWrap/>
            <w:vAlign w:val="bottom"/>
            <w:hideMark/>
          </w:tcPr>
          <w:p w14:paraId="6D95FB61" w14:textId="77777777" w:rsidR="00D65CAC" w:rsidRPr="00C93000" w:rsidRDefault="00D65CAC" w:rsidP="00312E88">
            <w:pPr>
              <w:jc w:val="center"/>
              <w:rPr>
                <w:rFonts w:cs="Arial"/>
                <w:b/>
                <w:bCs/>
                <w:color w:val="FFFFFF"/>
                <w:sz w:val="16"/>
                <w:szCs w:val="16"/>
              </w:rPr>
            </w:pPr>
            <w:r w:rsidRPr="00C93000">
              <w:rPr>
                <w:rFonts w:cs="Arial"/>
                <w:b/>
                <w:bCs/>
                <w:color w:val="FFFFFF"/>
                <w:sz w:val="16"/>
                <w:szCs w:val="16"/>
              </w:rPr>
              <w:t>7 to 14</w:t>
            </w:r>
          </w:p>
        </w:tc>
        <w:tc>
          <w:tcPr>
            <w:tcW w:w="1417" w:type="dxa"/>
            <w:tcBorders>
              <w:top w:val="single" w:sz="4" w:space="0" w:color="auto"/>
              <w:left w:val="nil"/>
              <w:bottom w:val="single" w:sz="4" w:space="0" w:color="auto"/>
              <w:right w:val="nil"/>
            </w:tcBorders>
            <w:shd w:val="clear" w:color="000000" w:fill="6B2F76"/>
            <w:noWrap/>
            <w:vAlign w:val="bottom"/>
            <w:hideMark/>
          </w:tcPr>
          <w:p w14:paraId="2DD9B0B9" w14:textId="77777777" w:rsidR="00D65CAC" w:rsidRPr="00C93000" w:rsidRDefault="00D65CAC" w:rsidP="00312E88">
            <w:pPr>
              <w:jc w:val="center"/>
              <w:rPr>
                <w:rFonts w:cs="Arial"/>
                <w:b/>
                <w:bCs/>
                <w:color w:val="FFFFFF"/>
                <w:sz w:val="16"/>
                <w:szCs w:val="16"/>
              </w:rPr>
            </w:pPr>
            <w:r w:rsidRPr="00C93000">
              <w:rPr>
                <w:rFonts w:cs="Arial"/>
                <w:b/>
                <w:bCs/>
                <w:color w:val="FFFFFF"/>
                <w:sz w:val="16"/>
                <w:szCs w:val="16"/>
              </w:rPr>
              <w:t>15 to 18</w:t>
            </w:r>
          </w:p>
        </w:tc>
        <w:tc>
          <w:tcPr>
            <w:tcW w:w="1560" w:type="dxa"/>
            <w:tcBorders>
              <w:top w:val="single" w:sz="4" w:space="0" w:color="auto"/>
              <w:left w:val="nil"/>
              <w:bottom w:val="single" w:sz="4" w:space="0" w:color="auto"/>
              <w:right w:val="nil"/>
            </w:tcBorders>
            <w:shd w:val="clear" w:color="000000" w:fill="6B2F76"/>
            <w:noWrap/>
            <w:vAlign w:val="bottom"/>
            <w:hideMark/>
          </w:tcPr>
          <w:p w14:paraId="135D860C" w14:textId="77777777" w:rsidR="00D65CAC" w:rsidRPr="00C93000" w:rsidRDefault="00D65CAC" w:rsidP="00312E88">
            <w:pPr>
              <w:jc w:val="center"/>
              <w:rPr>
                <w:rFonts w:cs="Arial"/>
                <w:b/>
                <w:bCs/>
                <w:color w:val="FFFFFF"/>
                <w:sz w:val="16"/>
                <w:szCs w:val="16"/>
              </w:rPr>
            </w:pPr>
            <w:r w:rsidRPr="00C93000">
              <w:rPr>
                <w:rFonts w:cs="Arial"/>
                <w:b/>
                <w:bCs/>
                <w:color w:val="FFFFFF"/>
                <w:sz w:val="16"/>
                <w:szCs w:val="16"/>
              </w:rPr>
              <w:t>19 to 24</w:t>
            </w:r>
          </w:p>
        </w:tc>
        <w:tc>
          <w:tcPr>
            <w:tcW w:w="1134" w:type="dxa"/>
            <w:tcBorders>
              <w:top w:val="single" w:sz="4" w:space="0" w:color="auto"/>
              <w:left w:val="nil"/>
              <w:bottom w:val="single" w:sz="4" w:space="0" w:color="auto"/>
              <w:right w:val="single" w:sz="4" w:space="0" w:color="auto"/>
            </w:tcBorders>
            <w:shd w:val="clear" w:color="000000" w:fill="6B2F76"/>
            <w:noWrap/>
            <w:vAlign w:val="bottom"/>
            <w:hideMark/>
          </w:tcPr>
          <w:p w14:paraId="05EC2FDD" w14:textId="77777777" w:rsidR="00D65CAC" w:rsidRPr="00C93000" w:rsidRDefault="00D65CAC" w:rsidP="00312E88">
            <w:pPr>
              <w:jc w:val="center"/>
              <w:rPr>
                <w:rFonts w:cs="Arial"/>
                <w:b/>
                <w:bCs/>
                <w:color w:val="FFFFFF"/>
                <w:sz w:val="16"/>
                <w:szCs w:val="16"/>
              </w:rPr>
            </w:pPr>
            <w:r w:rsidRPr="00C93000">
              <w:rPr>
                <w:rFonts w:cs="Arial"/>
                <w:b/>
                <w:bCs/>
                <w:color w:val="FFFFFF"/>
                <w:sz w:val="16"/>
                <w:szCs w:val="16"/>
              </w:rPr>
              <w:t>25 to 34</w:t>
            </w:r>
          </w:p>
        </w:tc>
      </w:tr>
      <w:tr w:rsidR="00D65CAC" w:rsidRPr="00C93000" w14:paraId="597264A0"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5C32B2F2" w14:textId="77777777" w:rsidR="00D65CAC" w:rsidRPr="00C93000" w:rsidRDefault="00D65CAC" w:rsidP="00312E88">
            <w:pPr>
              <w:jc w:val="center"/>
              <w:rPr>
                <w:rFonts w:cs="Arial"/>
                <w:color w:val="000000"/>
                <w:sz w:val="16"/>
                <w:szCs w:val="16"/>
              </w:rPr>
            </w:pPr>
            <w:r w:rsidRPr="00C93000">
              <w:rPr>
                <w:rFonts w:cs="Arial"/>
                <w:color w:val="000000"/>
                <w:sz w:val="16"/>
                <w:szCs w:val="16"/>
              </w:rPr>
              <w:t>Consumables</w:t>
            </w:r>
          </w:p>
        </w:tc>
        <w:tc>
          <w:tcPr>
            <w:tcW w:w="1276" w:type="dxa"/>
            <w:tcBorders>
              <w:top w:val="nil"/>
              <w:left w:val="nil"/>
              <w:bottom w:val="nil"/>
              <w:right w:val="nil"/>
            </w:tcBorders>
            <w:shd w:val="clear" w:color="auto" w:fill="auto"/>
            <w:noWrap/>
            <w:vAlign w:val="bottom"/>
            <w:hideMark/>
          </w:tcPr>
          <w:p w14:paraId="2007C642" w14:textId="77777777" w:rsidR="00D65CAC" w:rsidRPr="00C93000" w:rsidRDefault="00D65CAC" w:rsidP="00312E88">
            <w:pPr>
              <w:jc w:val="center"/>
              <w:rPr>
                <w:rFonts w:cs="Arial"/>
                <w:color w:val="000000"/>
                <w:sz w:val="16"/>
                <w:szCs w:val="16"/>
              </w:rPr>
            </w:pPr>
            <w:r w:rsidRPr="00C93000">
              <w:rPr>
                <w:rFonts w:cs="Arial"/>
                <w:color w:val="000000"/>
                <w:sz w:val="16"/>
                <w:szCs w:val="16"/>
              </w:rPr>
              <w:t>600</w:t>
            </w:r>
          </w:p>
        </w:tc>
        <w:tc>
          <w:tcPr>
            <w:tcW w:w="1276" w:type="dxa"/>
            <w:tcBorders>
              <w:top w:val="nil"/>
              <w:left w:val="nil"/>
              <w:bottom w:val="nil"/>
              <w:right w:val="nil"/>
            </w:tcBorders>
            <w:shd w:val="clear" w:color="auto" w:fill="auto"/>
            <w:noWrap/>
            <w:vAlign w:val="bottom"/>
            <w:hideMark/>
          </w:tcPr>
          <w:p w14:paraId="654D8B5F" w14:textId="77777777" w:rsidR="00D65CAC" w:rsidRPr="00C93000" w:rsidRDefault="00D65CAC" w:rsidP="00312E88">
            <w:pPr>
              <w:jc w:val="center"/>
              <w:rPr>
                <w:rFonts w:cs="Arial"/>
                <w:color w:val="000000"/>
                <w:sz w:val="16"/>
                <w:szCs w:val="16"/>
              </w:rPr>
            </w:pPr>
            <w:r w:rsidRPr="00C93000">
              <w:rPr>
                <w:rFonts w:cs="Arial"/>
                <w:color w:val="000000"/>
                <w:sz w:val="16"/>
                <w:szCs w:val="16"/>
              </w:rPr>
              <w:t>700</w:t>
            </w:r>
          </w:p>
        </w:tc>
        <w:tc>
          <w:tcPr>
            <w:tcW w:w="1417" w:type="dxa"/>
            <w:tcBorders>
              <w:top w:val="nil"/>
              <w:left w:val="nil"/>
              <w:bottom w:val="nil"/>
              <w:right w:val="nil"/>
            </w:tcBorders>
            <w:shd w:val="clear" w:color="auto" w:fill="auto"/>
            <w:noWrap/>
            <w:vAlign w:val="bottom"/>
            <w:hideMark/>
          </w:tcPr>
          <w:p w14:paraId="6AE89A98" w14:textId="77777777" w:rsidR="00D65CAC" w:rsidRPr="00C93000" w:rsidRDefault="00D65CAC" w:rsidP="00312E88">
            <w:pPr>
              <w:jc w:val="center"/>
              <w:rPr>
                <w:rFonts w:cs="Arial"/>
                <w:color w:val="000000"/>
                <w:sz w:val="16"/>
                <w:szCs w:val="16"/>
              </w:rPr>
            </w:pPr>
            <w:r w:rsidRPr="00C93000">
              <w:rPr>
                <w:rFonts w:cs="Arial"/>
                <w:color w:val="000000"/>
                <w:sz w:val="16"/>
                <w:szCs w:val="16"/>
              </w:rPr>
              <w:t>700</w:t>
            </w:r>
          </w:p>
        </w:tc>
        <w:tc>
          <w:tcPr>
            <w:tcW w:w="1560" w:type="dxa"/>
            <w:tcBorders>
              <w:top w:val="nil"/>
              <w:left w:val="nil"/>
              <w:bottom w:val="nil"/>
              <w:right w:val="nil"/>
            </w:tcBorders>
            <w:shd w:val="clear" w:color="auto" w:fill="auto"/>
            <w:noWrap/>
            <w:vAlign w:val="bottom"/>
            <w:hideMark/>
          </w:tcPr>
          <w:p w14:paraId="787FA650" w14:textId="77777777" w:rsidR="00D65CAC" w:rsidRPr="00C93000" w:rsidRDefault="00D65CAC" w:rsidP="00312E88">
            <w:pPr>
              <w:jc w:val="center"/>
              <w:rPr>
                <w:rFonts w:cs="Arial"/>
                <w:color w:val="000000"/>
                <w:sz w:val="16"/>
                <w:szCs w:val="16"/>
              </w:rPr>
            </w:pPr>
            <w:r w:rsidRPr="00C93000">
              <w:rPr>
                <w:rFonts w:cs="Arial"/>
                <w:color w:val="000000"/>
                <w:sz w:val="16"/>
                <w:szCs w:val="16"/>
              </w:rPr>
              <w:t>800</w:t>
            </w:r>
          </w:p>
        </w:tc>
        <w:tc>
          <w:tcPr>
            <w:tcW w:w="1134" w:type="dxa"/>
            <w:tcBorders>
              <w:top w:val="nil"/>
              <w:left w:val="nil"/>
              <w:bottom w:val="nil"/>
              <w:right w:val="single" w:sz="4" w:space="0" w:color="auto"/>
            </w:tcBorders>
            <w:shd w:val="clear" w:color="auto" w:fill="auto"/>
            <w:noWrap/>
            <w:vAlign w:val="bottom"/>
            <w:hideMark/>
          </w:tcPr>
          <w:p w14:paraId="541C36E2" w14:textId="77777777" w:rsidR="00D65CAC" w:rsidRPr="00C93000" w:rsidRDefault="00D65CAC" w:rsidP="00312E88">
            <w:pPr>
              <w:jc w:val="center"/>
              <w:rPr>
                <w:rFonts w:cs="Arial"/>
                <w:color w:val="000000"/>
                <w:sz w:val="16"/>
                <w:szCs w:val="16"/>
              </w:rPr>
            </w:pPr>
            <w:r w:rsidRPr="00C93000">
              <w:rPr>
                <w:rFonts w:cs="Arial"/>
                <w:color w:val="000000"/>
                <w:sz w:val="16"/>
                <w:szCs w:val="16"/>
              </w:rPr>
              <w:t>1,100</w:t>
            </w:r>
          </w:p>
        </w:tc>
      </w:tr>
      <w:tr w:rsidR="00D65CAC" w:rsidRPr="00C93000" w14:paraId="0256FE1C"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148B36E1" w14:textId="77777777" w:rsidR="00D65CAC" w:rsidRPr="00C93000" w:rsidRDefault="00D65CAC" w:rsidP="00312E88">
            <w:pPr>
              <w:jc w:val="center"/>
              <w:rPr>
                <w:rFonts w:cs="Arial"/>
                <w:color w:val="000000"/>
                <w:sz w:val="16"/>
                <w:szCs w:val="16"/>
              </w:rPr>
            </w:pPr>
            <w:r w:rsidRPr="00C93000">
              <w:rPr>
                <w:rFonts w:cs="Arial"/>
                <w:color w:val="000000"/>
                <w:sz w:val="16"/>
                <w:szCs w:val="16"/>
              </w:rPr>
              <w:t>Daily Activities</w:t>
            </w:r>
          </w:p>
        </w:tc>
        <w:tc>
          <w:tcPr>
            <w:tcW w:w="1276" w:type="dxa"/>
            <w:tcBorders>
              <w:top w:val="nil"/>
              <w:left w:val="nil"/>
              <w:bottom w:val="nil"/>
              <w:right w:val="nil"/>
            </w:tcBorders>
            <w:shd w:val="clear" w:color="auto" w:fill="auto"/>
            <w:noWrap/>
            <w:vAlign w:val="bottom"/>
            <w:hideMark/>
          </w:tcPr>
          <w:p w14:paraId="3BC506AB" w14:textId="77777777" w:rsidR="00D65CAC" w:rsidRPr="00C93000" w:rsidRDefault="00D65CAC" w:rsidP="00312E88">
            <w:pPr>
              <w:jc w:val="center"/>
              <w:rPr>
                <w:rFonts w:cs="Arial"/>
                <w:color w:val="000000"/>
                <w:sz w:val="16"/>
                <w:szCs w:val="16"/>
              </w:rPr>
            </w:pPr>
            <w:r w:rsidRPr="00C93000">
              <w:rPr>
                <w:rFonts w:cs="Arial"/>
                <w:color w:val="000000"/>
                <w:sz w:val="16"/>
                <w:szCs w:val="16"/>
              </w:rPr>
              <w:t>2,300</w:t>
            </w:r>
          </w:p>
        </w:tc>
        <w:tc>
          <w:tcPr>
            <w:tcW w:w="1276" w:type="dxa"/>
            <w:tcBorders>
              <w:top w:val="nil"/>
              <w:left w:val="nil"/>
              <w:bottom w:val="nil"/>
              <w:right w:val="nil"/>
            </w:tcBorders>
            <w:shd w:val="clear" w:color="auto" w:fill="auto"/>
            <w:noWrap/>
            <w:vAlign w:val="bottom"/>
            <w:hideMark/>
          </w:tcPr>
          <w:p w14:paraId="109D990D" w14:textId="77777777" w:rsidR="00D65CAC" w:rsidRPr="00C93000" w:rsidRDefault="00D65CAC" w:rsidP="00312E88">
            <w:pPr>
              <w:jc w:val="center"/>
              <w:rPr>
                <w:rFonts w:cs="Arial"/>
                <w:color w:val="000000"/>
                <w:sz w:val="16"/>
                <w:szCs w:val="16"/>
              </w:rPr>
            </w:pPr>
            <w:r w:rsidRPr="00C93000">
              <w:rPr>
                <w:rFonts w:cs="Arial"/>
                <w:color w:val="000000"/>
                <w:sz w:val="16"/>
                <w:szCs w:val="16"/>
              </w:rPr>
              <w:t>7,100</w:t>
            </w:r>
          </w:p>
        </w:tc>
        <w:tc>
          <w:tcPr>
            <w:tcW w:w="1417" w:type="dxa"/>
            <w:tcBorders>
              <w:top w:val="nil"/>
              <w:left w:val="nil"/>
              <w:bottom w:val="nil"/>
              <w:right w:val="nil"/>
            </w:tcBorders>
            <w:shd w:val="clear" w:color="auto" w:fill="auto"/>
            <w:noWrap/>
            <w:vAlign w:val="bottom"/>
            <w:hideMark/>
          </w:tcPr>
          <w:p w14:paraId="090553C7" w14:textId="77777777" w:rsidR="00D65CAC" w:rsidRPr="00C93000" w:rsidRDefault="00D65CAC" w:rsidP="00312E88">
            <w:pPr>
              <w:jc w:val="center"/>
              <w:rPr>
                <w:rFonts w:cs="Arial"/>
                <w:color w:val="000000"/>
                <w:sz w:val="16"/>
                <w:szCs w:val="16"/>
              </w:rPr>
            </w:pPr>
            <w:r w:rsidRPr="00C93000">
              <w:rPr>
                <w:rFonts w:cs="Arial"/>
                <w:color w:val="000000"/>
                <w:sz w:val="16"/>
                <w:szCs w:val="16"/>
              </w:rPr>
              <w:t>19,500</w:t>
            </w:r>
          </w:p>
        </w:tc>
        <w:tc>
          <w:tcPr>
            <w:tcW w:w="1560" w:type="dxa"/>
            <w:tcBorders>
              <w:top w:val="nil"/>
              <w:left w:val="nil"/>
              <w:bottom w:val="nil"/>
              <w:right w:val="nil"/>
            </w:tcBorders>
            <w:shd w:val="clear" w:color="auto" w:fill="auto"/>
            <w:noWrap/>
            <w:vAlign w:val="bottom"/>
            <w:hideMark/>
          </w:tcPr>
          <w:p w14:paraId="2C6BBAC8" w14:textId="77777777" w:rsidR="00D65CAC" w:rsidRPr="00C93000" w:rsidRDefault="00D65CAC" w:rsidP="00312E88">
            <w:pPr>
              <w:jc w:val="center"/>
              <w:rPr>
                <w:rFonts w:cs="Arial"/>
                <w:color w:val="000000"/>
                <w:sz w:val="16"/>
                <w:szCs w:val="16"/>
              </w:rPr>
            </w:pPr>
            <w:r w:rsidRPr="00C93000">
              <w:rPr>
                <w:rFonts w:cs="Arial"/>
                <w:color w:val="000000"/>
                <w:sz w:val="16"/>
                <w:szCs w:val="16"/>
              </w:rPr>
              <w:t>37,700</w:t>
            </w:r>
          </w:p>
        </w:tc>
        <w:tc>
          <w:tcPr>
            <w:tcW w:w="1134" w:type="dxa"/>
            <w:tcBorders>
              <w:top w:val="nil"/>
              <w:left w:val="nil"/>
              <w:bottom w:val="nil"/>
              <w:right w:val="single" w:sz="4" w:space="0" w:color="auto"/>
            </w:tcBorders>
            <w:shd w:val="clear" w:color="auto" w:fill="auto"/>
            <w:noWrap/>
            <w:vAlign w:val="bottom"/>
            <w:hideMark/>
          </w:tcPr>
          <w:p w14:paraId="3BE95B0E" w14:textId="77777777" w:rsidR="00D65CAC" w:rsidRPr="00C93000" w:rsidRDefault="00D65CAC" w:rsidP="00312E88">
            <w:pPr>
              <w:jc w:val="center"/>
              <w:rPr>
                <w:rFonts w:cs="Arial"/>
                <w:color w:val="000000"/>
                <w:sz w:val="16"/>
                <w:szCs w:val="16"/>
              </w:rPr>
            </w:pPr>
            <w:r w:rsidRPr="00C93000">
              <w:rPr>
                <w:rFonts w:cs="Arial"/>
                <w:color w:val="000000"/>
                <w:sz w:val="16"/>
                <w:szCs w:val="16"/>
              </w:rPr>
              <w:t>51,600</w:t>
            </w:r>
          </w:p>
        </w:tc>
      </w:tr>
      <w:tr w:rsidR="00D65CAC" w:rsidRPr="00C93000" w14:paraId="37039553"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5E5F195D" w14:textId="77777777" w:rsidR="00D65CAC" w:rsidRPr="00C93000" w:rsidRDefault="00D65CAC" w:rsidP="00312E88">
            <w:pPr>
              <w:jc w:val="center"/>
              <w:rPr>
                <w:rFonts w:cs="Arial"/>
                <w:color w:val="000000"/>
                <w:sz w:val="16"/>
                <w:szCs w:val="16"/>
              </w:rPr>
            </w:pPr>
            <w:r w:rsidRPr="00C93000">
              <w:rPr>
                <w:rFonts w:cs="Arial"/>
                <w:color w:val="000000"/>
                <w:sz w:val="16"/>
                <w:szCs w:val="16"/>
              </w:rPr>
              <w:t>Social Community Civic</w:t>
            </w:r>
          </w:p>
        </w:tc>
        <w:tc>
          <w:tcPr>
            <w:tcW w:w="1276" w:type="dxa"/>
            <w:tcBorders>
              <w:top w:val="nil"/>
              <w:left w:val="nil"/>
              <w:bottom w:val="nil"/>
              <w:right w:val="nil"/>
            </w:tcBorders>
            <w:shd w:val="clear" w:color="auto" w:fill="auto"/>
            <w:noWrap/>
            <w:vAlign w:val="bottom"/>
            <w:hideMark/>
          </w:tcPr>
          <w:p w14:paraId="015CF08A" w14:textId="77777777" w:rsidR="00D65CAC" w:rsidRPr="00C93000" w:rsidRDefault="00D65CAC" w:rsidP="00312E88">
            <w:pPr>
              <w:jc w:val="center"/>
              <w:rPr>
                <w:rFonts w:cs="Arial"/>
                <w:color w:val="000000"/>
                <w:sz w:val="16"/>
                <w:szCs w:val="16"/>
              </w:rPr>
            </w:pPr>
            <w:r w:rsidRPr="00C93000">
              <w:rPr>
                <w:rFonts w:cs="Arial"/>
                <w:color w:val="000000"/>
                <w:sz w:val="16"/>
                <w:szCs w:val="16"/>
              </w:rPr>
              <w:t>300</w:t>
            </w:r>
          </w:p>
        </w:tc>
        <w:tc>
          <w:tcPr>
            <w:tcW w:w="1276" w:type="dxa"/>
            <w:tcBorders>
              <w:top w:val="nil"/>
              <w:left w:val="nil"/>
              <w:bottom w:val="nil"/>
              <w:right w:val="nil"/>
            </w:tcBorders>
            <w:shd w:val="clear" w:color="auto" w:fill="auto"/>
            <w:noWrap/>
            <w:vAlign w:val="bottom"/>
            <w:hideMark/>
          </w:tcPr>
          <w:p w14:paraId="658489E4" w14:textId="77777777" w:rsidR="00D65CAC" w:rsidRPr="00C93000" w:rsidRDefault="00D65CAC" w:rsidP="00312E88">
            <w:pPr>
              <w:jc w:val="center"/>
              <w:rPr>
                <w:rFonts w:cs="Arial"/>
                <w:color w:val="000000"/>
                <w:sz w:val="16"/>
                <w:szCs w:val="16"/>
              </w:rPr>
            </w:pPr>
            <w:r w:rsidRPr="00C93000">
              <w:rPr>
                <w:rFonts w:cs="Arial"/>
                <w:color w:val="000000"/>
                <w:sz w:val="16"/>
                <w:szCs w:val="16"/>
              </w:rPr>
              <w:t>1,800</w:t>
            </w:r>
          </w:p>
        </w:tc>
        <w:tc>
          <w:tcPr>
            <w:tcW w:w="1417" w:type="dxa"/>
            <w:tcBorders>
              <w:top w:val="nil"/>
              <w:left w:val="nil"/>
              <w:bottom w:val="nil"/>
              <w:right w:val="nil"/>
            </w:tcBorders>
            <w:shd w:val="clear" w:color="auto" w:fill="auto"/>
            <w:noWrap/>
            <w:vAlign w:val="bottom"/>
            <w:hideMark/>
          </w:tcPr>
          <w:p w14:paraId="28AACCAB" w14:textId="77777777" w:rsidR="00D65CAC" w:rsidRPr="00C93000" w:rsidRDefault="00D65CAC" w:rsidP="00312E88">
            <w:pPr>
              <w:jc w:val="center"/>
              <w:rPr>
                <w:rFonts w:cs="Arial"/>
                <w:color w:val="000000"/>
                <w:sz w:val="16"/>
                <w:szCs w:val="16"/>
              </w:rPr>
            </w:pPr>
            <w:r w:rsidRPr="00C93000">
              <w:rPr>
                <w:rFonts w:cs="Arial"/>
                <w:color w:val="000000"/>
                <w:sz w:val="16"/>
                <w:szCs w:val="16"/>
              </w:rPr>
              <w:t>7,000</w:t>
            </w:r>
          </w:p>
        </w:tc>
        <w:tc>
          <w:tcPr>
            <w:tcW w:w="1560" w:type="dxa"/>
            <w:tcBorders>
              <w:top w:val="nil"/>
              <w:left w:val="nil"/>
              <w:bottom w:val="nil"/>
              <w:right w:val="nil"/>
            </w:tcBorders>
            <w:shd w:val="clear" w:color="auto" w:fill="auto"/>
            <w:noWrap/>
            <w:vAlign w:val="bottom"/>
            <w:hideMark/>
          </w:tcPr>
          <w:p w14:paraId="3B7A7D16" w14:textId="77777777" w:rsidR="00D65CAC" w:rsidRPr="00C93000" w:rsidRDefault="00D65CAC" w:rsidP="00312E88">
            <w:pPr>
              <w:jc w:val="center"/>
              <w:rPr>
                <w:rFonts w:cs="Arial"/>
                <w:color w:val="000000"/>
                <w:sz w:val="16"/>
                <w:szCs w:val="16"/>
              </w:rPr>
            </w:pPr>
            <w:r w:rsidRPr="00C93000">
              <w:rPr>
                <w:rFonts w:cs="Arial"/>
                <w:color w:val="000000"/>
                <w:sz w:val="16"/>
                <w:szCs w:val="16"/>
              </w:rPr>
              <w:t>19,200</w:t>
            </w:r>
          </w:p>
        </w:tc>
        <w:tc>
          <w:tcPr>
            <w:tcW w:w="1134" w:type="dxa"/>
            <w:tcBorders>
              <w:top w:val="nil"/>
              <w:left w:val="nil"/>
              <w:bottom w:val="nil"/>
              <w:right w:val="single" w:sz="4" w:space="0" w:color="auto"/>
            </w:tcBorders>
            <w:shd w:val="clear" w:color="auto" w:fill="auto"/>
            <w:noWrap/>
            <w:vAlign w:val="bottom"/>
            <w:hideMark/>
          </w:tcPr>
          <w:p w14:paraId="651D7AF9" w14:textId="77777777" w:rsidR="00D65CAC" w:rsidRPr="00C93000" w:rsidRDefault="00D65CAC" w:rsidP="00312E88">
            <w:pPr>
              <w:jc w:val="center"/>
              <w:rPr>
                <w:rFonts w:cs="Arial"/>
                <w:color w:val="000000"/>
                <w:sz w:val="16"/>
                <w:szCs w:val="16"/>
              </w:rPr>
            </w:pPr>
            <w:r w:rsidRPr="00C93000">
              <w:rPr>
                <w:rFonts w:cs="Arial"/>
                <w:color w:val="000000"/>
                <w:sz w:val="16"/>
                <w:szCs w:val="16"/>
              </w:rPr>
              <w:t>22,000</w:t>
            </w:r>
          </w:p>
        </w:tc>
      </w:tr>
      <w:tr w:rsidR="00D65CAC" w:rsidRPr="00C93000" w14:paraId="1F4ED9DA"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1F845617" w14:textId="77777777" w:rsidR="00D65CAC" w:rsidRPr="00C93000" w:rsidRDefault="00D65CAC" w:rsidP="00312E88">
            <w:pPr>
              <w:jc w:val="center"/>
              <w:rPr>
                <w:rFonts w:cs="Arial"/>
                <w:color w:val="000000"/>
                <w:sz w:val="16"/>
                <w:szCs w:val="16"/>
              </w:rPr>
            </w:pPr>
            <w:r w:rsidRPr="00C93000">
              <w:rPr>
                <w:rFonts w:cs="Arial"/>
                <w:color w:val="000000"/>
                <w:sz w:val="16"/>
                <w:szCs w:val="16"/>
              </w:rPr>
              <w:t>Transport</w:t>
            </w:r>
          </w:p>
        </w:tc>
        <w:tc>
          <w:tcPr>
            <w:tcW w:w="1276" w:type="dxa"/>
            <w:tcBorders>
              <w:top w:val="nil"/>
              <w:left w:val="nil"/>
              <w:bottom w:val="nil"/>
              <w:right w:val="nil"/>
            </w:tcBorders>
            <w:shd w:val="clear" w:color="auto" w:fill="auto"/>
            <w:noWrap/>
            <w:vAlign w:val="bottom"/>
            <w:hideMark/>
          </w:tcPr>
          <w:p w14:paraId="32E76807" w14:textId="77777777" w:rsidR="00D65CAC" w:rsidRPr="00C93000" w:rsidRDefault="00D65CAC" w:rsidP="00312E88">
            <w:pPr>
              <w:jc w:val="center"/>
              <w:rPr>
                <w:rFonts w:cs="Arial"/>
                <w:color w:val="000000"/>
                <w:sz w:val="16"/>
                <w:szCs w:val="16"/>
              </w:rPr>
            </w:pPr>
            <w:r w:rsidRPr="00C93000">
              <w:rPr>
                <w:rFonts w:cs="Arial"/>
                <w:color w:val="000000"/>
                <w:sz w:val="16"/>
                <w:szCs w:val="16"/>
              </w:rPr>
              <w:t>700</w:t>
            </w:r>
          </w:p>
        </w:tc>
        <w:tc>
          <w:tcPr>
            <w:tcW w:w="1276" w:type="dxa"/>
            <w:tcBorders>
              <w:top w:val="nil"/>
              <w:left w:val="nil"/>
              <w:bottom w:val="nil"/>
              <w:right w:val="nil"/>
            </w:tcBorders>
            <w:shd w:val="clear" w:color="auto" w:fill="auto"/>
            <w:noWrap/>
            <w:vAlign w:val="bottom"/>
            <w:hideMark/>
          </w:tcPr>
          <w:p w14:paraId="728EACCE" w14:textId="77777777" w:rsidR="00D65CAC" w:rsidRPr="00C93000" w:rsidRDefault="00D65CAC" w:rsidP="00312E88">
            <w:pPr>
              <w:jc w:val="center"/>
              <w:rPr>
                <w:rFonts w:cs="Arial"/>
                <w:color w:val="000000"/>
                <w:sz w:val="16"/>
                <w:szCs w:val="16"/>
              </w:rPr>
            </w:pPr>
            <w:r w:rsidRPr="00C93000">
              <w:rPr>
                <w:rFonts w:cs="Arial"/>
                <w:color w:val="000000"/>
                <w:sz w:val="16"/>
                <w:szCs w:val="16"/>
              </w:rPr>
              <w:t>1,800</w:t>
            </w:r>
          </w:p>
        </w:tc>
        <w:tc>
          <w:tcPr>
            <w:tcW w:w="1417" w:type="dxa"/>
            <w:tcBorders>
              <w:top w:val="nil"/>
              <w:left w:val="nil"/>
              <w:bottom w:val="nil"/>
              <w:right w:val="nil"/>
            </w:tcBorders>
            <w:shd w:val="clear" w:color="auto" w:fill="auto"/>
            <w:noWrap/>
            <w:vAlign w:val="bottom"/>
            <w:hideMark/>
          </w:tcPr>
          <w:p w14:paraId="668859FD" w14:textId="77777777" w:rsidR="00D65CAC" w:rsidRPr="00C93000" w:rsidRDefault="00D65CAC" w:rsidP="00312E88">
            <w:pPr>
              <w:jc w:val="center"/>
              <w:rPr>
                <w:rFonts w:cs="Arial"/>
                <w:color w:val="000000"/>
                <w:sz w:val="16"/>
                <w:szCs w:val="16"/>
              </w:rPr>
            </w:pPr>
            <w:r w:rsidRPr="00C93000">
              <w:rPr>
                <w:rFonts w:cs="Arial"/>
                <w:color w:val="000000"/>
                <w:sz w:val="16"/>
                <w:szCs w:val="16"/>
              </w:rPr>
              <w:t>3,000</w:t>
            </w:r>
          </w:p>
        </w:tc>
        <w:tc>
          <w:tcPr>
            <w:tcW w:w="1560" w:type="dxa"/>
            <w:tcBorders>
              <w:top w:val="nil"/>
              <w:left w:val="nil"/>
              <w:bottom w:val="nil"/>
              <w:right w:val="nil"/>
            </w:tcBorders>
            <w:shd w:val="clear" w:color="auto" w:fill="auto"/>
            <w:noWrap/>
            <w:vAlign w:val="bottom"/>
            <w:hideMark/>
          </w:tcPr>
          <w:p w14:paraId="17F12231" w14:textId="77777777" w:rsidR="00D65CAC" w:rsidRPr="00C93000" w:rsidRDefault="00D65CAC" w:rsidP="00312E88">
            <w:pPr>
              <w:jc w:val="center"/>
              <w:rPr>
                <w:rFonts w:cs="Arial"/>
                <w:color w:val="000000"/>
                <w:sz w:val="16"/>
                <w:szCs w:val="16"/>
              </w:rPr>
            </w:pPr>
            <w:r w:rsidRPr="00C93000">
              <w:rPr>
                <w:rFonts w:cs="Arial"/>
                <w:color w:val="000000"/>
                <w:sz w:val="16"/>
                <w:szCs w:val="16"/>
              </w:rPr>
              <w:t>2,000</w:t>
            </w:r>
          </w:p>
        </w:tc>
        <w:tc>
          <w:tcPr>
            <w:tcW w:w="1134" w:type="dxa"/>
            <w:tcBorders>
              <w:top w:val="nil"/>
              <w:left w:val="nil"/>
              <w:bottom w:val="nil"/>
              <w:right w:val="single" w:sz="4" w:space="0" w:color="auto"/>
            </w:tcBorders>
            <w:shd w:val="clear" w:color="auto" w:fill="auto"/>
            <w:noWrap/>
            <w:vAlign w:val="bottom"/>
            <w:hideMark/>
          </w:tcPr>
          <w:p w14:paraId="18B97F21" w14:textId="77777777" w:rsidR="00D65CAC" w:rsidRPr="00C93000" w:rsidRDefault="00D65CAC" w:rsidP="00312E88">
            <w:pPr>
              <w:jc w:val="center"/>
              <w:rPr>
                <w:rFonts w:cs="Arial"/>
                <w:color w:val="000000"/>
                <w:sz w:val="16"/>
                <w:szCs w:val="16"/>
              </w:rPr>
            </w:pPr>
            <w:r w:rsidRPr="00C93000">
              <w:rPr>
                <w:rFonts w:cs="Arial"/>
                <w:color w:val="000000"/>
                <w:sz w:val="16"/>
                <w:szCs w:val="16"/>
              </w:rPr>
              <w:t>1,900</w:t>
            </w:r>
          </w:p>
        </w:tc>
      </w:tr>
      <w:tr w:rsidR="00D65CAC" w:rsidRPr="00C93000" w14:paraId="0BF80E55"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2F0830E6" w14:textId="77777777" w:rsidR="00D65CAC" w:rsidRPr="00C93000" w:rsidRDefault="00D65CAC" w:rsidP="00312E88">
            <w:pPr>
              <w:jc w:val="center"/>
              <w:rPr>
                <w:rFonts w:cs="Arial"/>
                <w:color w:val="000000"/>
                <w:sz w:val="16"/>
                <w:szCs w:val="16"/>
              </w:rPr>
            </w:pPr>
            <w:r w:rsidRPr="00C93000">
              <w:rPr>
                <w:rFonts w:cs="Arial"/>
                <w:color w:val="000000"/>
                <w:sz w:val="16"/>
                <w:szCs w:val="16"/>
              </w:rPr>
              <w:t>Assistive Technology</w:t>
            </w:r>
          </w:p>
        </w:tc>
        <w:tc>
          <w:tcPr>
            <w:tcW w:w="1276" w:type="dxa"/>
            <w:tcBorders>
              <w:top w:val="nil"/>
              <w:left w:val="nil"/>
              <w:bottom w:val="nil"/>
              <w:right w:val="nil"/>
            </w:tcBorders>
            <w:shd w:val="clear" w:color="auto" w:fill="auto"/>
            <w:noWrap/>
            <w:vAlign w:val="bottom"/>
            <w:hideMark/>
          </w:tcPr>
          <w:p w14:paraId="6848C3F0" w14:textId="77777777" w:rsidR="00D65CAC" w:rsidRPr="00C93000" w:rsidRDefault="00D65CAC" w:rsidP="00312E88">
            <w:pPr>
              <w:jc w:val="center"/>
              <w:rPr>
                <w:rFonts w:cs="Arial"/>
                <w:color w:val="000000"/>
                <w:sz w:val="16"/>
                <w:szCs w:val="16"/>
              </w:rPr>
            </w:pPr>
            <w:r w:rsidRPr="00C93000">
              <w:rPr>
                <w:rFonts w:cs="Arial"/>
                <w:color w:val="000000"/>
                <w:sz w:val="16"/>
                <w:szCs w:val="16"/>
              </w:rPr>
              <w:t>600</w:t>
            </w:r>
          </w:p>
        </w:tc>
        <w:tc>
          <w:tcPr>
            <w:tcW w:w="1276" w:type="dxa"/>
            <w:tcBorders>
              <w:top w:val="nil"/>
              <w:left w:val="nil"/>
              <w:bottom w:val="nil"/>
              <w:right w:val="nil"/>
            </w:tcBorders>
            <w:shd w:val="clear" w:color="auto" w:fill="auto"/>
            <w:noWrap/>
            <w:vAlign w:val="bottom"/>
            <w:hideMark/>
          </w:tcPr>
          <w:p w14:paraId="4A91CCF7" w14:textId="77777777" w:rsidR="00D65CAC" w:rsidRPr="00C93000" w:rsidRDefault="00D65CAC" w:rsidP="00312E88">
            <w:pPr>
              <w:jc w:val="center"/>
              <w:rPr>
                <w:rFonts w:cs="Arial"/>
                <w:color w:val="000000"/>
                <w:sz w:val="16"/>
                <w:szCs w:val="16"/>
              </w:rPr>
            </w:pPr>
            <w:r w:rsidRPr="00C93000">
              <w:rPr>
                <w:rFonts w:cs="Arial"/>
                <w:color w:val="000000"/>
                <w:sz w:val="16"/>
                <w:szCs w:val="16"/>
              </w:rPr>
              <w:t>500</w:t>
            </w:r>
          </w:p>
        </w:tc>
        <w:tc>
          <w:tcPr>
            <w:tcW w:w="1417" w:type="dxa"/>
            <w:tcBorders>
              <w:top w:val="nil"/>
              <w:left w:val="nil"/>
              <w:bottom w:val="nil"/>
              <w:right w:val="nil"/>
            </w:tcBorders>
            <w:shd w:val="clear" w:color="auto" w:fill="auto"/>
            <w:noWrap/>
            <w:vAlign w:val="bottom"/>
            <w:hideMark/>
          </w:tcPr>
          <w:p w14:paraId="56710675" w14:textId="77777777" w:rsidR="00D65CAC" w:rsidRPr="00C93000" w:rsidRDefault="00D65CAC" w:rsidP="00312E88">
            <w:pPr>
              <w:jc w:val="center"/>
              <w:rPr>
                <w:rFonts w:cs="Arial"/>
                <w:color w:val="000000"/>
                <w:sz w:val="16"/>
                <w:szCs w:val="16"/>
              </w:rPr>
            </w:pPr>
            <w:r w:rsidRPr="00C93000">
              <w:rPr>
                <w:rFonts w:cs="Arial"/>
                <w:color w:val="000000"/>
                <w:sz w:val="16"/>
                <w:szCs w:val="16"/>
              </w:rPr>
              <w:t>600</w:t>
            </w:r>
          </w:p>
        </w:tc>
        <w:tc>
          <w:tcPr>
            <w:tcW w:w="1560" w:type="dxa"/>
            <w:tcBorders>
              <w:top w:val="nil"/>
              <w:left w:val="nil"/>
              <w:bottom w:val="nil"/>
              <w:right w:val="nil"/>
            </w:tcBorders>
            <w:shd w:val="clear" w:color="auto" w:fill="auto"/>
            <w:noWrap/>
            <w:vAlign w:val="bottom"/>
            <w:hideMark/>
          </w:tcPr>
          <w:p w14:paraId="49119177" w14:textId="77777777" w:rsidR="00D65CAC" w:rsidRPr="00C93000" w:rsidRDefault="00D65CAC" w:rsidP="00312E88">
            <w:pPr>
              <w:jc w:val="center"/>
              <w:rPr>
                <w:rFonts w:cs="Arial"/>
                <w:color w:val="000000"/>
                <w:sz w:val="16"/>
                <w:szCs w:val="16"/>
              </w:rPr>
            </w:pPr>
            <w:r w:rsidRPr="00C93000">
              <w:rPr>
                <w:rFonts w:cs="Arial"/>
                <w:color w:val="000000"/>
                <w:sz w:val="16"/>
                <w:szCs w:val="16"/>
              </w:rPr>
              <w:t>700</w:t>
            </w:r>
          </w:p>
        </w:tc>
        <w:tc>
          <w:tcPr>
            <w:tcW w:w="1134" w:type="dxa"/>
            <w:tcBorders>
              <w:top w:val="nil"/>
              <w:left w:val="nil"/>
              <w:bottom w:val="nil"/>
              <w:right w:val="single" w:sz="4" w:space="0" w:color="auto"/>
            </w:tcBorders>
            <w:shd w:val="clear" w:color="auto" w:fill="auto"/>
            <w:noWrap/>
            <w:vAlign w:val="bottom"/>
            <w:hideMark/>
          </w:tcPr>
          <w:p w14:paraId="42066FB3" w14:textId="77777777" w:rsidR="00D65CAC" w:rsidRPr="00C93000" w:rsidRDefault="00D65CAC" w:rsidP="00312E88">
            <w:pPr>
              <w:jc w:val="center"/>
              <w:rPr>
                <w:rFonts w:cs="Arial"/>
                <w:color w:val="000000"/>
                <w:sz w:val="16"/>
                <w:szCs w:val="16"/>
              </w:rPr>
            </w:pPr>
            <w:r w:rsidRPr="00C93000">
              <w:rPr>
                <w:rFonts w:cs="Arial"/>
                <w:color w:val="000000"/>
                <w:sz w:val="16"/>
                <w:szCs w:val="16"/>
              </w:rPr>
              <w:t>1,000</w:t>
            </w:r>
          </w:p>
        </w:tc>
      </w:tr>
      <w:tr w:rsidR="00D65CAC" w:rsidRPr="00C93000" w14:paraId="710F0AEC"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464A805C" w14:textId="77777777" w:rsidR="00D65CAC" w:rsidRPr="00C93000" w:rsidRDefault="00D65CAC" w:rsidP="00312E88">
            <w:pPr>
              <w:jc w:val="center"/>
              <w:rPr>
                <w:rFonts w:cs="Arial"/>
                <w:color w:val="000000"/>
                <w:sz w:val="16"/>
                <w:szCs w:val="16"/>
              </w:rPr>
            </w:pPr>
            <w:r w:rsidRPr="00C93000">
              <w:rPr>
                <w:rFonts w:cs="Arial"/>
                <w:color w:val="000000"/>
                <w:sz w:val="16"/>
                <w:szCs w:val="16"/>
              </w:rPr>
              <w:t>Home Modifications</w:t>
            </w:r>
          </w:p>
        </w:tc>
        <w:tc>
          <w:tcPr>
            <w:tcW w:w="1276" w:type="dxa"/>
            <w:tcBorders>
              <w:top w:val="nil"/>
              <w:left w:val="nil"/>
              <w:bottom w:val="nil"/>
              <w:right w:val="nil"/>
            </w:tcBorders>
            <w:shd w:val="clear" w:color="auto" w:fill="auto"/>
            <w:noWrap/>
            <w:vAlign w:val="bottom"/>
            <w:hideMark/>
          </w:tcPr>
          <w:p w14:paraId="332B2D14" w14:textId="77777777" w:rsidR="00D65CAC" w:rsidRPr="00C93000" w:rsidRDefault="00D65CAC" w:rsidP="00312E88">
            <w:pPr>
              <w:jc w:val="center"/>
              <w:rPr>
                <w:rFonts w:cs="Arial"/>
                <w:color w:val="000000"/>
                <w:sz w:val="16"/>
                <w:szCs w:val="16"/>
              </w:rPr>
            </w:pPr>
            <w:r w:rsidRPr="00C93000">
              <w:rPr>
                <w:rFonts w:cs="Arial"/>
                <w:color w:val="000000"/>
                <w:sz w:val="16"/>
                <w:szCs w:val="16"/>
              </w:rPr>
              <w:t>0</w:t>
            </w:r>
          </w:p>
        </w:tc>
        <w:tc>
          <w:tcPr>
            <w:tcW w:w="1276" w:type="dxa"/>
            <w:tcBorders>
              <w:top w:val="nil"/>
              <w:left w:val="nil"/>
              <w:bottom w:val="nil"/>
              <w:right w:val="nil"/>
            </w:tcBorders>
            <w:shd w:val="clear" w:color="auto" w:fill="auto"/>
            <w:noWrap/>
            <w:vAlign w:val="bottom"/>
            <w:hideMark/>
          </w:tcPr>
          <w:p w14:paraId="1A6D2213" w14:textId="77777777" w:rsidR="00D65CAC" w:rsidRPr="00C93000" w:rsidRDefault="00D65CAC" w:rsidP="00312E88">
            <w:pPr>
              <w:jc w:val="center"/>
              <w:rPr>
                <w:rFonts w:cs="Arial"/>
                <w:color w:val="000000"/>
                <w:sz w:val="16"/>
                <w:szCs w:val="16"/>
              </w:rPr>
            </w:pPr>
            <w:r w:rsidRPr="00C93000">
              <w:rPr>
                <w:rFonts w:cs="Arial"/>
                <w:color w:val="000000"/>
                <w:sz w:val="16"/>
                <w:szCs w:val="16"/>
              </w:rPr>
              <w:t>100</w:t>
            </w:r>
          </w:p>
        </w:tc>
        <w:tc>
          <w:tcPr>
            <w:tcW w:w="1417" w:type="dxa"/>
            <w:tcBorders>
              <w:top w:val="nil"/>
              <w:left w:val="nil"/>
              <w:bottom w:val="nil"/>
              <w:right w:val="nil"/>
            </w:tcBorders>
            <w:shd w:val="clear" w:color="auto" w:fill="auto"/>
            <w:noWrap/>
            <w:vAlign w:val="bottom"/>
            <w:hideMark/>
          </w:tcPr>
          <w:p w14:paraId="67C0E327" w14:textId="77777777" w:rsidR="00D65CAC" w:rsidRPr="00C93000" w:rsidRDefault="00D65CAC" w:rsidP="00312E88">
            <w:pPr>
              <w:jc w:val="center"/>
              <w:rPr>
                <w:rFonts w:cs="Arial"/>
                <w:color w:val="000000"/>
                <w:sz w:val="16"/>
                <w:szCs w:val="16"/>
              </w:rPr>
            </w:pPr>
            <w:r w:rsidRPr="00C93000">
              <w:rPr>
                <w:rFonts w:cs="Arial"/>
                <w:color w:val="000000"/>
                <w:sz w:val="16"/>
                <w:szCs w:val="16"/>
              </w:rPr>
              <w:t>100</w:t>
            </w:r>
          </w:p>
        </w:tc>
        <w:tc>
          <w:tcPr>
            <w:tcW w:w="1560" w:type="dxa"/>
            <w:tcBorders>
              <w:top w:val="nil"/>
              <w:left w:val="nil"/>
              <w:bottom w:val="nil"/>
              <w:right w:val="nil"/>
            </w:tcBorders>
            <w:shd w:val="clear" w:color="auto" w:fill="auto"/>
            <w:noWrap/>
            <w:vAlign w:val="bottom"/>
            <w:hideMark/>
          </w:tcPr>
          <w:p w14:paraId="6DD74E78" w14:textId="77777777" w:rsidR="00D65CAC" w:rsidRPr="00C93000" w:rsidRDefault="00D65CAC" w:rsidP="00312E88">
            <w:pPr>
              <w:jc w:val="center"/>
              <w:rPr>
                <w:rFonts w:cs="Arial"/>
                <w:color w:val="000000"/>
                <w:sz w:val="16"/>
                <w:szCs w:val="16"/>
              </w:rPr>
            </w:pPr>
            <w:r w:rsidRPr="00C93000">
              <w:rPr>
                <w:rFonts w:cs="Arial"/>
                <w:color w:val="000000"/>
                <w:sz w:val="16"/>
                <w:szCs w:val="16"/>
              </w:rPr>
              <w:t>300</w:t>
            </w:r>
          </w:p>
        </w:tc>
        <w:tc>
          <w:tcPr>
            <w:tcW w:w="1134" w:type="dxa"/>
            <w:tcBorders>
              <w:top w:val="nil"/>
              <w:left w:val="nil"/>
              <w:bottom w:val="nil"/>
              <w:right w:val="single" w:sz="4" w:space="0" w:color="auto"/>
            </w:tcBorders>
            <w:shd w:val="clear" w:color="auto" w:fill="auto"/>
            <w:noWrap/>
            <w:vAlign w:val="bottom"/>
            <w:hideMark/>
          </w:tcPr>
          <w:p w14:paraId="77EA42BB" w14:textId="77777777" w:rsidR="00D65CAC" w:rsidRPr="00C93000" w:rsidRDefault="00D65CAC" w:rsidP="00312E88">
            <w:pPr>
              <w:jc w:val="center"/>
              <w:rPr>
                <w:rFonts w:cs="Arial"/>
                <w:color w:val="000000"/>
                <w:sz w:val="16"/>
                <w:szCs w:val="16"/>
              </w:rPr>
            </w:pPr>
            <w:r w:rsidRPr="00C93000">
              <w:rPr>
                <w:rFonts w:cs="Arial"/>
                <w:color w:val="000000"/>
                <w:sz w:val="16"/>
                <w:szCs w:val="16"/>
              </w:rPr>
              <w:t>800</w:t>
            </w:r>
          </w:p>
        </w:tc>
      </w:tr>
      <w:tr w:rsidR="00D65CAC" w:rsidRPr="00C93000" w14:paraId="709AF122"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6922FDD6" w14:textId="77777777" w:rsidR="00D65CAC" w:rsidRPr="00C93000" w:rsidRDefault="00D65CAC" w:rsidP="00312E88">
            <w:pPr>
              <w:jc w:val="center"/>
              <w:rPr>
                <w:rFonts w:cs="Arial"/>
                <w:color w:val="000000"/>
                <w:sz w:val="16"/>
                <w:szCs w:val="16"/>
              </w:rPr>
            </w:pPr>
            <w:r w:rsidRPr="00C93000">
              <w:rPr>
                <w:rFonts w:cs="Arial"/>
                <w:color w:val="000000"/>
                <w:sz w:val="16"/>
                <w:szCs w:val="16"/>
              </w:rPr>
              <w:t>CB Daily Activities</w:t>
            </w:r>
          </w:p>
        </w:tc>
        <w:tc>
          <w:tcPr>
            <w:tcW w:w="1276" w:type="dxa"/>
            <w:tcBorders>
              <w:top w:val="nil"/>
              <w:left w:val="nil"/>
              <w:bottom w:val="nil"/>
              <w:right w:val="nil"/>
            </w:tcBorders>
            <w:shd w:val="clear" w:color="auto" w:fill="auto"/>
            <w:noWrap/>
            <w:vAlign w:val="bottom"/>
            <w:hideMark/>
          </w:tcPr>
          <w:p w14:paraId="7E70EF8D" w14:textId="77777777" w:rsidR="00D65CAC" w:rsidRPr="00C93000" w:rsidRDefault="00D65CAC" w:rsidP="00312E88">
            <w:pPr>
              <w:jc w:val="center"/>
              <w:rPr>
                <w:rFonts w:cs="Arial"/>
                <w:color w:val="000000"/>
                <w:sz w:val="16"/>
                <w:szCs w:val="16"/>
              </w:rPr>
            </w:pPr>
            <w:r w:rsidRPr="00C93000">
              <w:rPr>
                <w:rFonts w:cs="Arial"/>
                <w:color w:val="000000"/>
                <w:sz w:val="16"/>
                <w:szCs w:val="16"/>
              </w:rPr>
              <w:t>11,600</w:t>
            </w:r>
          </w:p>
        </w:tc>
        <w:tc>
          <w:tcPr>
            <w:tcW w:w="1276" w:type="dxa"/>
            <w:tcBorders>
              <w:top w:val="nil"/>
              <w:left w:val="nil"/>
              <w:bottom w:val="nil"/>
              <w:right w:val="nil"/>
            </w:tcBorders>
            <w:shd w:val="clear" w:color="auto" w:fill="auto"/>
            <w:noWrap/>
            <w:vAlign w:val="bottom"/>
            <w:hideMark/>
          </w:tcPr>
          <w:p w14:paraId="4DA2FB3E" w14:textId="77777777" w:rsidR="00D65CAC" w:rsidRPr="00C93000" w:rsidRDefault="00D65CAC" w:rsidP="00312E88">
            <w:pPr>
              <w:jc w:val="center"/>
              <w:rPr>
                <w:rFonts w:cs="Arial"/>
                <w:color w:val="000000"/>
                <w:sz w:val="16"/>
                <w:szCs w:val="16"/>
              </w:rPr>
            </w:pPr>
            <w:r w:rsidRPr="00C93000">
              <w:rPr>
                <w:rFonts w:cs="Arial"/>
                <w:color w:val="000000"/>
                <w:sz w:val="16"/>
                <w:szCs w:val="16"/>
              </w:rPr>
              <w:t>8,000</w:t>
            </w:r>
          </w:p>
        </w:tc>
        <w:tc>
          <w:tcPr>
            <w:tcW w:w="1417" w:type="dxa"/>
            <w:tcBorders>
              <w:top w:val="nil"/>
              <w:left w:val="nil"/>
              <w:bottom w:val="nil"/>
              <w:right w:val="nil"/>
            </w:tcBorders>
            <w:shd w:val="clear" w:color="auto" w:fill="auto"/>
            <w:noWrap/>
            <w:vAlign w:val="bottom"/>
            <w:hideMark/>
          </w:tcPr>
          <w:p w14:paraId="008D5FA8" w14:textId="77777777" w:rsidR="00D65CAC" w:rsidRPr="00C93000" w:rsidRDefault="00D65CAC" w:rsidP="00312E88">
            <w:pPr>
              <w:jc w:val="center"/>
              <w:rPr>
                <w:rFonts w:cs="Arial"/>
                <w:color w:val="000000"/>
                <w:sz w:val="16"/>
                <w:szCs w:val="16"/>
              </w:rPr>
            </w:pPr>
            <w:r w:rsidRPr="00C93000">
              <w:rPr>
                <w:rFonts w:cs="Arial"/>
                <w:color w:val="000000"/>
                <w:sz w:val="16"/>
                <w:szCs w:val="16"/>
              </w:rPr>
              <w:t>6,000</w:t>
            </w:r>
          </w:p>
        </w:tc>
        <w:tc>
          <w:tcPr>
            <w:tcW w:w="1560" w:type="dxa"/>
            <w:tcBorders>
              <w:top w:val="nil"/>
              <w:left w:val="nil"/>
              <w:bottom w:val="nil"/>
              <w:right w:val="nil"/>
            </w:tcBorders>
            <w:shd w:val="clear" w:color="auto" w:fill="auto"/>
            <w:noWrap/>
            <w:vAlign w:val="bottom"/>
            <w:hideMark/>
          </w:tcPr>
          <w:p w14:paraId="4A9B533F" w14:textId="77777777" w:rsidR="00D65CAC" w:rsidRPr="00C93000" w:rsidRDefault="00D65CAC" w:rsidP="00312E88">
            <w:pPr>
              <w:jc w:val="center"/>
              <w:rPr>
                <w:rFonts w:cs="Arial"/>
                <w:color w:val="000000"/>
                <w:sz w:val="16"/>
                <w:szCs w:val="16"/>
              </w:rPr>
            </w:pPr>
            <w:r w:rsidRPr="00C93000">
              <w:rPr>
                <w:rFonts w:cs="Arial"/>
                <w:color w:val="000000"/>
                <w:sz w:val="16"/>
                <w:szCs w:val="16"/>
              </w:rPr>
              <w:t>4,500</w:t>
            </w:r>
          </w:p>
        </w:tc>
        <w:tc>
          <w:tcPr>
            <w:tcW w:w="1134" w:type="dxa"/>
            <w:tcBorders>
              <w:top w:val="nil"/>
              <w:left w:val="nil"/>
              <w:bottom w:val="nil"/>
              <w:right w:val="single" w:sz="4" w:space="0" w:color="auto"/>
            </w:tcBorders>
            <w:shd w:val="clear" w:color="auto" w:fill="auto"/>
            <w:noWrap/>
            <w:vAlign w:val="bottom"/>
            <w:hideMark/>
          </w:tcPr>
          <w:p w14:paraId="43D57FF7" w14:textId="77777777" w:rsidR="00D65CAC" w:rsidRPr="00C93000" w:rsidRDefault="00D65CAC" w:rsidP="00312E88">
            <w:pPr>
              <w:jc w:val="center"/>
              <w:rPr>
                <w:rFonts w:cs="Arial"/>
                <w:color w:val="000000"/>
                <w:sz w:val="16"/>
                <w:szCs w:val="16"/>
              </w:rPr>
            </w:pPr>
            <w:r w:rsidRPr="00C93000">
              <w:rPr>
                <w:rFonts w:cs="Arial"/>
                <w:color w:val="000000"/>
                <w:sz w:val="16"/>
                <w:szCs w:val="16"/>
              </w:rPr>
              <w:t>4,300</w:t>
            </w:r>
          </w:p>
        </w:tc>
      </w:tr>
      <w:tr w:rsidR="00D65CAC" w:rsidRPr="00C93000" w14:paraId="24BB4F79"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03218D5B" w14:textId="77777777" w:rsidR="00D65CAC" w:rsidRPr="00C93000" w:rsidRDefault="00D65CAC" w:rsidP="00312E88">
            <w:pPr>
              <w:jc w:val="center"/>
              <w:rPr>
                <w:rFonts w:cs="Arial"/>
                <w:color w:val="000000"/>
                <w:sz w:val="16"/>
                <w:szCs w:val="16"/>
              </w:rPr>
            </w:pPr>
            <w:r w:rsidRPr="00C93000">
              <w:rPr>
                <w:rFonts w:cs="Arial"/>
                <w:color w:val="000000"/>
                <w:sz w:val="16"/>
                <w:szCs w:val="16"/>
              </w:rPr>
              <w:t>CB Employment</w:t>
            </w:r>
          </w:p>
        </w:tc>
        <w:tc>
          <w:tcPr>
            <w:tcW w:w="1276" w:type="dxa"/>
            <w:tcBorders>
              <w:top w:val="nil"/>
              <w:left w:val="nil"/>
              <w:bottom w:val="nil"/>
              <w:right w:val="nil"/>
            </w:tcBorders>
            <w:shd w:val="clear" w:color="auto" w:fill="auto"/>
            <w:noWrap/>
            <w:vAlign w:val="bottom"/>
            <w:hideMark/>
          </w:tcPr>
          <w:p w14:paraId="39389408" w14:textId="77777777" w:rsidR="00D65CAC" w:rsidRPr="00C93000" w:rsidRDefault="00D65CAC" w:rsidP="00312E88">
            <w:pPr>
              <w:jc w:val="center"/>
              <w:rPr>
                <w:rFonts w:cs="Arial"/>
                <w:color w:val="000000"/>
                <w:sz w:val="16"/>
                <w:szCs w:val="16"/>
              </w:rPr>
            </w:pPr>
            <w:r w:rsidRPr="00C93000">
              <w:rPr>
                <w:rFonts w:cs="Arial"/>
                <w:color w:val="000000"/>
                <w:sz w:val="16"/>
                <w:szCs w:val="16"/>
              </w:rPr>
              <w:t>0</w:t>
            </w:r>
          </w:p>
        </w:tc>
        <w:tc>
          <w:tcPr>
            <w:tcW w:w="1276" w:type="dxa"/>
            <w:tcBorders>
              <w:top w:val="nil"/>
              <w:left w:val="nil"/>
              <w:bottom w:val="nil"/>
              <w:right w:val="nil"/>
            </w:tcBorders>
            <w:shd w:val="clear" w:color="auto" w:fill="auto"/>
            <w:noWrap/>
            <w:vAlign w:val="bottom"/>
            <w:hideMark/>
          </w:tcPr>
          <w:p w14:paraId="4A93C4AF" w14:textId="77777777" w:rsidR="00D65CAC" w:rsidRPr="00C93000" w:rsidRDefault="00D65CAC" w:rsidP="00312E88">
            <w:pPr>
              <w:jc w:val="center"/>
              <w:rPr>
                <w:rFonts w:cs="Arial"/>
                <w:color w:val="000000"/>
                <w:sz w:val="16"/>
                <w:szCs w:val="16"/>
              </w:rPr>
            </w:pPr>
            <w:r w:rsidRPr="00C93000">
              <w:rPr>
                <w:rFonts w:cs="Arial"/>
                <w:color w:val="000000"/>
                <w:sz w:val="16"/>
                <w:szCs w:val="16"/>
              </w:rPr>
              <w:t>0</w:t>
            </w:r>
          </w:p>
        </w:tc>
        <w:tc>
          <w:tcPr>
            <w:tcW w:w="1417" w:type="dxa"/>
            <w:tcBorders>
              <w:top w:val="nil"/>
              <w:left w:val="nil"/>
              <w:bottom w:val="nil"/>
              <w:right w:val="nil"/>
            </w:tcBorders>
            <w:shd w:val="clear" w:color="auto" w:fill="auto"/>
            <w:noWrap/>
            <w:vAlign w:val="bottom"/>
            <w:hideMark/>
          </w:tcPr>
          <w:p w14:paraId="21ED4CE3" w14:textId="77777777" w:rsidR="00D65CAC" w:rsidRPr="00C93000" w:rsidRDefault="00D65CAC" w:rsidP="00312E88">
            <w:pPr>
              <w:jc w:val="center"/>
              <w:rPr>
                <w:rFonts w:cs="Arial"/>
                <w:color w:val="000000"/>
                <w:sz w:val="16"/>
                <w:szCs w:val="16"/>
              </w:rPr>
            </w:pPr>
            <w:r w:rsidRPr="00C93000">
              <w:rPr>
                <w:rFonts w:cs="Arial"/>
                <w:color w:val="000000"/>
                <w:sz w:val="16"/>
                <w:szCs w:val="16"/>
              </w:rPr>
              <w:t>900</w:t>
            </w:r>
          </w:p>
        </w:tc>
        <w:tc>
          <w:tcPr>
            <w:tcW w:w="1560" w:type="dxa"/>
            <w:tcBorders>
              <w:top w:val="nil"/>
              <w:left w:val="nil"/>
              <w:bottom w:val="nil"/>
              <w:right w:val="nil"/>
            </w:tcBorders>
            <w:shd w:val="clear" w:color="auto" w:fill="auto"/>
            <w:noWrap/>
            <w:vAlign w:val="bottom"/>
            <w:hideMark/>
          </w:tcPr>
          <w:p w14:paraId="27AB55BE" w14:textId="77777777" w:rsidR="00D65CAC" w:rsidRPr="00C93000" w:rsidRDefault="00D65CAC" w:rsidP="00312E88">
            <w:pPr>
              <w:jc w:val="center"/>
              <w:rPr>
                <w:rFonts w:cs="Arial"/>
                <w:color w:val="000000"/>
                <w:sz w:val="16"/>
                <w:szCs w:val="16"/>
              </w:rPr>
            </w:pPr>
            <w:r w:rsidRPr="00C93000">
              <w:rPr>
                <w:rFonts w:cs="Arial"/>
                <w:color w:val="000000"/>
                <w:sz w:val="16"/>
                <w:szCs w:val="16"/>
              </w:rPr>
              <w:t>2,700</w:t>
            </w:r>
          </w:p>
        </w:tc>
        <w:tc>
          <w:tcPr>
            <w:tcW w:w="1134" w:type="dxa"/>
            <w:tcBorders>
              <w:top w:val="nil"/>
              <w:left w:val="nil"/>
              <w:bottom w:val="nil"/>
              <w:right w:val="single" w:sz="4" w:space="0" w:color="auto"/>
            </w:tcBorders>
            <w:shd w:val="clear" w:color="auto" w:fill="auto"/>
            <w:noWrap/>
            <w:vAlign w:val="bottom"/>
            <w:hideMark/>
          </w:tcPr>
          <w:p w14:paraId="7305131E" w14:textId="77777777" w:rsidR="00D65CAC" w:rsidRPr="00C93000" w:rsidRDefault="00D65CAC" w:rsidP="00312E88">
            <w:pPr>
              <w:jc w:val="center"/>
              <w:rPr>
                <w:rFonts w:cs="Arial"/>
                <w:color w:val="000000"/>
                <w:sz w:val="16"/>
                <w:szCs w:val="16"/>
              </w:rPr>
            </w:pPr>
            <w:r w:rsidRPr="00C93000">
              <w:rPr>
                <w:rFonts w:cs="Arial"/>
                <w:color w:val="000000"/>
                <w:sz w:val="16"/>
                <w:szCs w:val="16"/>
              </w:rPr>
              <w:t>1,300</w:t>
            </w:r>
          </w:p>
        </w:tc>
      </w:tr>
      <w:tr w:rsidR="00D65CAC" w:rsidRPr="00C93000" w14:paraId="576B34C9"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40E4AC40" w14:textId="77777777" w:rsidR="00D65CAC" w:rsidRPr="00C93000" w:rsidRDefault="00D65CAC" w:rsidP="00312E88">
            <w:pPr>
              <w:jc w:val="center"/>
              <w:rPr>
                <w:rFonts w:cs="Arial"/>
                <w:color w:val="000000"/>
                <w:sz w:val="16"/>
                <w:szCs w:val="16"/>
              </w:rPr>
            </w:pPr>
            <w:r w:rsidRPr="00C93000">
              <w:rPr>
                <w:rFonts w:cs="Arial"/>
                <w:color w:val="000000"/>
                <w:sz w:val="16"/>
                <w:szCs w:val="16"/>
              </w:rPr>
              <w:t>Support Coordination</w:t>
            </w:r>
          </w:p>
        </w:tc>
        <w:tc>
          <w:tcPr>
            <w:tcW w:w="1276" w:type="dxa"/>
            <w:tcBorders>
              <w:top w:val="nil"/>
              <w:left w:val="nil"/>
              <w:bottom w:val="nil"/>
              <w:right w:val="nil"/>
            </w:tcBorders>
            <w:shd w:val="clear" w:color="auto" w:fill="auto"/>
            <w:noWrap/>
            <w:vAlign w:val="bottom"/>
            <w:hideMark/>
          </w:tcPr>
          <w:p w14:paraId="1FB0DE2E" w14:textId="77777777" w:rsidR="00D65CAC" w:rsidRPr="00C93000" w:rsidRDefault="00D65CAC" w:rsidP="00312E88">
            <w:pPr>
              <w:jc w:val="center"/>
              <w:rPr>
                <w:rFonts w:cs="Arial"/>
                <w:color w:val="000000"/>
                <w:sz w:val="16"/>
                <w:szCs w:val="16"/>
              </w:rPr>
            </w:pPr>
            <w:r w:rsidRPr="00C93000">
              <w:rPr>
                <w:rFonts w:cs="Arial"/>
                <w:color w:val="000000"/>
                <w:sz w:val="16"/>
                <w:szCs w:val="16"/>
              </w:rPr>
              <w:t>200</w:t>
            </w:r>
          </w:p>
        </w:tc>
        <w:tc>
          <w:tcPr>
            <w:tcW w:w="1276" w:type="dxa"/>
            <w:tcBorders>
              <w:top w:val="nil"/>
              <w:left w:val="nil"/>
              <w:bottom w:val="nil"/>
              <w:right w:val="nil"/>
            </w:tcBorders>
            <w:shd w:val="clear" w:color="auto" w:fill="auto"/>
            <w:noWrap/>
            <w:vAlign w:val="bottom"/>
            <w:hideMark/>
          </w:tcPr>
          <w:p w14:paraId="5F4856C3" w14:textId="77777777" w:rsidR="00D65CAC" w:rsidRPr="00C93000" w:rsidRDefault="00D65CAC" w:rsidP="00312E88">
            <w:pPr>
              <w:jc w:val="center"/>
              <w:rPr>
                <w:rFonts w:cs="Arial"/>
                <w:color w:val="000000"/>
                <w:sz w:val="16"/>
                <w:szCs w:val="16"/>
              </w:rPr>
            </w:pPr>
            <w:r w:rsidRPr="00C93000">
              <w:rPr>
                <w:rFonts w:cs="Arial"/>
                <w:color w:val="000000"/>
                <w:sz w:val="16"/>
                <w:szCs w:val="16"/>
              </w:rPr>
              <w:t>500</w:t>
            </w:r>
          </w:p>
        </w:tc>
        <w:tc>
          <w:tcPr>
            <w:tcW w:w="1417" w:type="dxa"/>
            <w:tcBorders>
              <w:top w:val="nil"/>
              <w:left w:val="nil"/>
              <w:bottom w:val="nil"/>
              <w:right w:val="nil"/>
            </w:tcBorders>
            <w:shd w:val="clear" w:color="auto" w:fill="auto"/>
            <w:noWrap/>
            <w:vAlign w:val="bottom"/>
            <w:hideMark/>
          </w:tcPr>
          <w:p w14:paraId="75355EB0" w14:textId="77777777" w:rsidR="00D65CAC" w:rsidRPr="00C93000" w:rsidRDefault="00D65CAC" w:rsidP="00312E88">
            <w:pPr>
              <w:jc w:val="center"/>
              <w:rPr>
                <w:rFonts w:cs="Arial"/>
                <w:color w:val="000000"/>
                <w:sz w:val="16"/>
                <w:szCs w:val="16"/>
              </w:rPr>
            </w:pPr>
            <w:r w:rsidRPr="00C93000">
              <w:rPr>
                <w:rFonts w:cs="Arial"/>
                <w:color w:val="000000"/>
                <w:sz w:val="16"/>
                <w:szCs w:val="16"/>
              </w:rPr>
              <w:t>1,300</w:t>
            </w:r>
          </w:p>
        </w:tc>
        <w:tc>
          <w:tcPr>
            <w:tcW w:w="1560" w:type="dxa"/>
            <w:tcBorders>
              <w:top w:val="nil"/>
              <w:left w:val="nil"/>
              <w:bottom w:val="nil"/>
              <w:right w:val="nil"/>
            </w:tcBorders>
            <w:shd w:val="clear" w:color="auto" w:fill="auto"/>
            <w:noWrap/>
            <w:vAlign w:val="bottom"/>
            <w:hideMark/>
          </w:tcPr>
          <w:p w14:paraId="1B7E7CB4" w14:textId="77777777" w:rsidR="00D65CAC" w:rsidRPr="00C93000" w:rsidRDefault="00D65CAC" w:rsidP="00312E88">
            <w:pPr>
              <w:jc w:val="center"/>
              <w:rPr>
                <w:rFonts w:cs="Arial"/>
                <w:color w:val="000000"/>
                <w:sz w:val="16"/>
                <w:szCs w:val="16"/>
              </w:rPr>
            </w:pPr>
            <w:r w:rsidRPr="00C93000">
              <w:rPr>
                <w:rFonts w:cs="Arial"/>
                <w:color w:val="000000"/>
                <w:sz w:val="16"/>
                <w:szCs w:val="16"/>
              </w:rPr>
              <w:t>1,600</w:t>
            </w:r>
          </w:p>
        </w:tc>
        <w:tc>
          <w:tcPr>
            <w:tcW w:w="1134" w:type="dxa"/>
            <w:tcBorders>
              <w:top w:val="nil"/>
              <w:left w:val="nil"/>
              <w:bottom w:val="nil"/>
              <w:right w:val="single" w:sz="4" w:space="0" w:color="auto"/>
            </w:tcBorders>
            <w:shd w:val="clear" w:color="auto" w:fill="auto"/>
            <w:noWrap/>
            <w:vAlign w:val="bottom"/>
            <w:hideMark/>
          </w:tcPr>
          <w:p w14:paraId="5E82B51E" w14:textId="77777777" w:rsidR="00D65CAC" w:rsidRPr="00C93000" w:rsidRDefault="00D65CAC" w:rsidP="00312E88">
            <w:pPr>
              <w:jc w:val="center"/>
              <w:rPr>
                <w:rFonts w:cs="Arial"/>
                <w:color w:val="000000"/>
                <w:sz w:val="16"/>
                <w:szCs w:val="16"/>
              </w:rPr>
            </w:pPr>
            <w:r w:rsidRPr="00C93000">
              <w:rPr>
                <w:rFonts w:cs="Arial"/>
                <w:color w:val="000000"/>
                <w:sz w:val="16"/>
                <w:szCs w:val="16"/>
              </w:rPr>
              <w:t>2,100</w:t>
            </w:r>
          </w:p>
        </w:tc>
      </w:tr>
      <w:tr w:rsidR="00D65CAC" w:rsidRPr="00C93000" w14:paraId="00D8303F"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46D4EAA5" w14:textId="77777777" w:rsidR="00D65CAC" w:rsidRPr="00C93000" w:rsidRDefault="00D65CAC" w:rsidP="00312E88">
            <w:pPr>
              <w:jc w:val="center"/>
              <w:rPr>
                <w:rFonts w:cs="Arial"/>
                <w:color w:val="000000"/>
                <w:sz w:val="16"/>
                <w:szCs w:val="16"/>
              </w:rPr>
            </w:pPr>
            <w:r w:rsidRPr="00C93000">
              <w:rPr>
                <w:rFonts w:cs="Arial"/>
                <w:color w:val="000000"/>
                <w:sz w:val="16"/>
                <w:szCs w:val="16"/>
              </w:rPr>
              <w:t>Remaining CB</w:t>
            </w:r>
          </w:p>
        </w:tc>
        <w:tc>
          <w:tcPr>
            <w:tcW w:w="1276" w:type="dxa"/>
            <w:tcBorders>
              <w:top w:val="nil"/>
              <w:left w:val="nil"/>
              <w:bottom w:val="nil"/>
              <w:right w:val="nil"/>
            </w:tcBorders>
            <w:shd w:val="clear" w:color="auto" w:fill="auto"/>
            <w:noWrap/>
            <w:vAlign w:val="bottom"/>
            <w:hideMark/>
          </w:tcPr>
          <w:p w14:paraId="713A9DCC" w14:textId="77777777" w:rsidR="00D65CAC" w:rsidRPr="00C93000" w:rsidRDefault="00D65CAC" w:rsidP="00312E88">
            <w:pPr>
              <w:jc w:val="center"/>
              <w:rPr>
                <w:rFonts w:cs="Arial"/>
                <w:color w:val="000000"/>
                <w:sz w:val="16"/>
                <w:szCs w:val="16"/>
              </w:rPr>
            </w:pPr>
            <w:r w:rsidRPr="00C93000">
              <w:rPr>
                <w:rFonts w:cs="Arial"/>
                <w:color w:val="000000"/>
                <w:sz w:val="16"/>
                <w:szCs w:val="16"/>
              </w:rPr>
              <w:t>700</w:t>
            </w:r>
          </w:p>
        </w:tc>
        <w:tc>
          <w:tcPr>
            <w:tcW w:w="1276" w:type="dxa"/>
            <w:tcBorders>
              <w:top w:val="nil"/>
              <w:left w:val="nil"/>
              <w:bottom w:val="nil"/>
              <w:right w:val="nil"/>
            </w:tcBorders>
            <w:shd w:val="clear" w:color="auto" w:fill="auto"/>
            <w:noWrap/>
            <w:vAlign w:val="bottom"/>
            <w:hideMark/>
          </w:tcPr>
          <w:p w14:paraId="70C47D7D" w14:textId="77777777" w:rsidR="00D65CAC" w:rsidRPr="00C93000" w:rsidRDefault="00D65CAC" w:rsidP="00312E88">
            <w:pPr>
              <w:jc w:val="center"/>
              <w:rPr>
                <w:rFonts w:cs="Arial"/>
                <w:color w:val="000000"/>
                <w:sz w:val="16"/>
                <w:szCs w:val="16"/>
              </w:rPr>
            </w:pPr>
            <w:r w:rsidRPr="00C93000">
              <w:rPr>
                <w:rFonts w:cs="Arial"/>
                <w:color w:val="000000"/>
                <w:sz w:val="16"/>
                <w:szCs w:val="16"/>
              </w:rPr>
              <w:t>1,400</w:t>
            </w:r>
          </w:p>
        </w:tc>
        <w:tc>
          <w:tcPr>
            <w:tcW w:w="1417" w:type="dxa"/>
            <w:tcBorders>
              <w:top w:val="nil"/>
              <w:left w:val="nil"/>
              <w:bottom w:val="nil"/>
              <w:right w:val="nil"/>
            </w:tcBorders>
            <w:shd w:val="clear" w:color="auto" w:fill="auto"/>
            <w:noWrap/>
            <w:vAlign w:val="bottom"/>
            <w:hideMark/>
          </w:tcPr>
          <w:p w14:paraId="3D0F1148" w14:textId="77777777" w:rsidR="00D65CAC" w:rsidRPr="00C93000" w:rsidRDefault="00D65CAC" w:rsidP="00312E88">
            <w:pPr>
              <w:jc w:val="center"/>
              <w:rPr>
                <w:rFonts w:cs="Arial"/>
                <w:color w:val="000000"/>
                <w:sz w:val="16"/>
                <w:szCs w:val="16"/>
              </w:rPr>
            </w:pPr>
            <w:r w:rsidRPr="00C93000">
              <w:rPr>
                <w:rFonts w:cs="Arial"/>
                <w:color w:val="000000"/>
                <w:sz w:val="16"/>
                <w:szCs w:val="16"/>
              </w:rPr>
              <w:t>2,000</w:t>
            </w:r>
          </w:p>
        </w:tc>
        <w:tc>
          <w:tcPr>
            <w:tcW w:w="1560" w:type="dxa"/>
            <w:tcBorders>
              <w:top w:val="nil"/>
              <w:left w:val="nil"/>
              <w:bottom w:val="nil"/>
              <w:right w:val="nil"/>
            </w:tcBorders>
            <w:shd w:val="clear" w:color="auto" w:fill="auto"/>
            <w:noWrap/>
            <w:vAlign w:val="bottom"/>
            <w:hideMark/>
          </w:tcPr>
          <w:p w14:paraId="0616CE27" w14:textId="77777777" w:rsidR="00D65CAC" w:rsidRPr="00C93000" w:rsidRDefault="00D65CAC" w:rsidP="00312E88">
            <w:pPr>
              <w:jc w:val="center"/>
              <w:rPr>
                <w:rFonts w:cs="Arial"/>
                <w:color w:val="000000"/>
                <w:sz w:val="16"/>
                <w:szCs w:val="16"/>
              </w:rPr>
            </w:pPr>
            <w:r w:rsidRPr="00C93000">
              <w:rPr>
                <w:rFonts w:cs="Arial"/>
                <w:color w:val="000000"/>
                <w:sz w:val="16"/>
                <w:szCs w:val="16"/>
              </w:rPr>
              <w:t>2,200</w:t>
            </w:r>
          </w:p>
        </w:tc>
        <w:tc>
          <w:tcPr>
            <w:tcW w:w="1134" w:type="dxa"/>
            <w:tcBorders>
              <w:top w:val="nil"/>
              <w:left w:val="nil"/>
              <w:bottom w:val="nil"/>
              <w:right w:val="single" w:sz="4" w:space="0" w:color="auto"/>
            </w:tcBorders>
            <w:shd w:val="clear" w:color="auto" w:fill="auto"/>
            <w:noWrap/>
            <w:vAlign w:val="bottom"/>
            <w:hideMark/>
          </w:tcPr>
          <w:p w14:paraId="33EF5D39" w14:textId="77777777" w:rsidR="00D65CAC" w:rsidRPr="00C93000" w:rsidRDefault="00D65CAC" w:rsidP="00312E88">
            <w:pPr>
              <w:jc w:val="center"/>
              <w:rPr>
                <w:rFonts w:cs="Arial"/>
                <w:color w:val="000000"/>
                <w:sz w:val="16"/>
                <w:szCs w:val="16"/>
              </w:rPr>
            </w:pPr>
            <w:r w:rsidRPr="00C93000">
              <w:rPr>
                <w:rFonts w:cs="Arial"/>
                <w:color w:val="000000"/>
                <w:sz w:val="16"/>
                <w:szCs w:val="16"/>
              </w:rPr>
              <w:t>2,200</w:t>
            </w:r>
          </w:p>
        </w:tc>
      </w:tr>
      <w:tr w:rsidR="00D65CAC" w:rsidRPr="00C93000" w14:paraId="28818C1E" w14:textId="77777777" w:rsidTr="00312E88">
        <w:trPr>
          <w:cantSplit/>
          <w:trHeight w:hRule="exact" w:val="284"/>
        </w:trPr>
        <w:tc>
          <w:tcPr>
            <w:tcW w:w="2263" w:type="dxa"/>
            <w:tcBorders>
              <w:top w:val="single" w:sz="4" w:space="0" w:color="auto"/>
              <w:left w:val="single" w:sz="4" w:space="0" w:color="auto"/>
              <w:bottom w:val="single" w:sz="4" w:space="0" w:color="auto"/>
              <w:right w:val="single" w:sz="4" w:space="0" w:color="auto"/>
            </w:tcBorders>
            <w:shd w:val="clear" w:color="000000" w:fill="F7EEF7"/>
            <w:noWrap/>
            <w:vAlign w:val="bottom"/>
            <w:hideMark/>
          </w:tcPr>
          <w:p w14:paraId="00BFA0E1" w14:textId="77777777" w:rsidR="00D65CAC" w:rsidRPr="00C93000" w:rsidRDefault="00D65CAC" w:rsidP="00312E88">
            <w:pPr>
              <w:jc w:val="center"/>
              <w:rPr>
                <w:rFonts w:cs="Arial"/>
                <w:b/>
                <w:bCs/>
                <w:color w:val="000000"/>
                <w:sz w:val="16"/>
                <w:szCs w:val="16"/>
              </w:rPr>
            </w:pPr>
            <w:r w:rsidRPr="00C93000">
              <w:rPr>
                <w:rFonts w:cs="Arial"/>
                <w:b/>
                <w:bCs/>
                <w:color w:val="000000"/>
                <w:sz w:val="16"/>
                <w:szCs w:val="16"/>
              </w:rPr>
              <w:t>Total</w:t>
            </w:r>
          </w:p>
        </w:tc>
        <w:tc>
          <w:tcPr>
            <w:tcW w:w="1276" w:type="dxa"/>
            <w:tcBorders>
              <w:top w:val="single" w:sz="4" w:space="0" w:color="auto"/>
              <w:left w:val="nil"/>
              <w:bottom w:val="single" w:sz="4" w:space="0" w:color="auto"/>
              <w:right w:val="nil"/>
            </w:tcBorders>
            <w:shd w:val="clear" w:color="000000" w:fill="F7EEF7"/>
            <w:noWrap/>
            <w:vAlign w:val="bottom"/>
            <w:hideMark/>
          </w:tcPr>
          <w:p w14:paraId="528B8FDC" w14:textId="77777777" w:rsidR="00D65CAC" w:rsidRPr="00C93000" w:rsidRDefault="00D65CAC" w:rsidP="00312E88">
            <w:pPr>
              <w:jc w:val="center"/>
              <w:rPr>
                <w:rFonts w:cs="Arial"/>
                <w:b/>
                <w:bCs/>
                <w:color w:val="000000"/>
                <w:sz w:val="16"/>
                <w:szCs w:val="16"/>
              </w:rPr>
            </w:pPr>
            <w:r w:rsidRPr="00C93000">
              <w:rPr>
                <w:rFonts w:cs="Arial"/>
                <w:b/>
                <w:bCs/>
                <w:color w:val="000000"/>
                <w:sz w:val="16"/>
                <w:szCs w:val="16"/>
              </w:rPr>
              <w:t>17,000</w:t>
            </w:r>
          </w:p>
        </w:tc>
        <w:tc>
          <w:tcPr>
            <w:tcW w:w="1276" w:type="dxa"/>
            <w:tcBorders>
              <w:top w:val="single" w:sz="4" w:space="0" w:color="auto"/>
              <w:left w:val="nil"/>
              <w:bottom w:val="single" w:sz="4" w:space="0" w:color="auto"/>
              <w:right w:val="nil"/>
            </w:tcBorders>
            <w:shd w:val="clear" w:color="000000" w:fill="F7EEF7"/>
            <w:noWrap/>
            <w:vAlign w:val="bottom"/>
            <w:hideMark/>
          </w:tcPr>
          <w:p w14:paraId="4F1AD222" w14:textId="77777777" w:rsidR="00D65CAC" w:rsidRPr="00C93000" w:rsidRDefault="00D65CAC" w:rsidP="00312E88">
            <w:pPr>
              <w:jc w:val="center"/>
              <w:rPr>
                <w:rFonts w:cs="Arial"/>
                <w:b/>
                <w:bCs/>
                <w:color w:val="000000"/>
                <w:sz w:val="16"/>
                <w:szCs w:val="16"/>
              </w:rPr>
            </w:pPr>
            <w:r w:rsidRPr="00C93000">
              <w:rPr>
                <w:rFonts w:cs="Arial"/>
                <w:b/>
                <w:bCs/>
                <w:color w:val="000000"/>
                <w:sz w:val="16"/>
                <w:szCs w:val="16"/>
              </w:rPr>
              <w:t>21,900</w:t>
            </w:r>
          </w:p>
        </w:tc>
        <w:tc>
          <w:tcPr>
            <w:tcW w:w="1417" w:type="dxa"/>
            <w:tcBorders>
              <w:top w:val="single" w:sz="4" w:space="0" w:color="auto"/>
              <w:left w:val="nil"/>
              <w:bottom w:val="single" w:sz="4" w:space="0" w:color="auto"/>
              <w:right w:val="nil"/>
            </w:tcBorders>
            <w:shd w:val="clear" w:color="000000" w:fill="F7EEF7"/>
            <w:noWrap/>
            <w:vAlign w:val="bottom"/>
            <w:hideMark/>
          </w:tcPr>
          <w:p w14:paraId="52FC4076" w14:textId="77777777" w:rsidR="00D65CAC" w:rsidRPr="00C93000" w:rsidRDefault="00D65CAC" w:rsidP="00312E88">
            <w:pPr>
              <w:jc w:val="center"/>
              <w:rPr>
                <w:rFonts w:cs="Arial"/>
                <w:b/>
                <w:bCs/>
                <w:color w:val="000000"/>
                <w:sz w:val="16"/>
                <w:szCs w:val="16"/>
              </w:rPr>
            </w:pPr>
            <w:r w:rsidRPr="00C93000">
              <w:rPr>
                <w:rFonts w:cs="Arial"/>
                <w:b/>
                <w:bCs/>
                <w:color w:val="000000"/>
                <w:sz w:val="16"/>
                <w:szCs w:val="16"/>
              </w:rPr>
              <w:t>41,100</w:t>
            </w:r>
          </w:p>
        </w:tc>
        <w:tc>
          <w:tcPr>
            <w:tcW w:w="1560" w:type="dxa"/>
            <w:tcBorders>
              <w:top w:val="single" w:sz="4" w:space="0" w:color="auto"/>
              <w:left w:val="nil"/>
              <w:bottom w:val="single" w:sz="4" w:space="0" w:color="auto"/>
              <w:right w:val="nil"/>
            </w:tcBorders>
            <w:shd w:val="clear" w:color="000000" w:fill="F7EEF7"/>
            <w:noWrap/>
            <w:vAlign w:val="bottom"/>
            <w:hideMark/>
          </w:tcPr>
          <w:p w14:paraId="3241CE1A" w14:textId="77777777" w:rsidR="00D65CAC" w:rsidRPr="00C93000" w:rsidRDefault="00D65CAC" w:rsidP="00312E88">
            <w:pPr>
              <w:jc w:val="center"/>
              <w:rPr>
                <w:rFonts w:cs="Arial"/>
                <w:b/>
                <w:bCs/>
                <w:color w:val="000000"/>
                <w:sz w:val="16"/>
                <w:szCs w:val="16"/>
              </w:rPr>
            </w:pPr>
            <w:r w:rsidRPr="00C93000">
              <w:rPr>
                <w:rFonts w:cs="Arial"/>
                <w:b/>
                <w:bCs/>
                <w:color w:val="000000"/>
                <w:sz w:val="16"/>
                <w:szCs w:val="16"/>
              </w:rPr>
              <w:t>71,700</w:t>
            </w:r>
          </w:p>
        </w:tc>
        <w:tc>
          <w:tcPr>
            <w:tcW w:w="1134" w:type="dxa"/>
            <w:tcBorders>
              <w:top w:val="single" w:sz="4" w:space="0" w:color="auto"/>
              <w:left w:val="nil"/>
              <w:bottom w:val="single" w:sz="4" w:space="0" w:color="auto"/>
              <w:right w:val="single" w:sz="4" w:space="0" w:color="auto"/>
            </w:tcBorders>
            <w:shd w:val="clear" w:color="000000" w:fill="F7EEF7"/>
            <w:noWrap/>
            <w:vAlign w:val="bottom"/>
            <w:hideMark/>
          </w:tcPr>
          <w:p w14:paraId="218C901E" w14:textId="77777777" w:rsidR="00D65CAC" w:rsidRPr="00C93000" w:rsidRDefault="00D65CAC" w:rsidP="00312E88">
            <w:pPr>
              <w:jc w:val="center"/>
              <w:rPr>
                <w:rFonts w:cs="Arial"/>
                <w:b/>
                <w:bCs/>
                <w:color w:val="000000"/>
                <w:sz w:val="16"/>
                <w:szCs w:val="16"/>
              </w:rPr>
            </w:pPr>
            <w:r w:rsidRPr="00C93000">
              <w:rPr>
                <w:rFonts w:cs="Arial"/>
                <w:b/>
                <w:bCs/>
                <w:color w:val="000000"/>
                <w:sz w:val="16"/>
                <w:szCs w:val="16"/>
              </w:rPr>
              <w:t>88,300</w:t>
            </w:r>
          </w:p>
        </w:tc>
      </w:tr>
      <w:tr w:rsidR="00D65CAC" w:rsidRPr="00C93000" w14:paraId="4007B92D" w14:textId="77777777" w:rsidTr="00312E88">
        <w:trPr>
          <w:cantSplit/>
          <w:trHeight w:hRule="exact" w:val="284"/>
        </w:trPr>
        <w:tc>
          <w:tcPr>
            <w:tcW w:w="2263" w:type="dxa"/>
            <w:tcBorders>
              <w:top w:val="single" w:sz="4" w:space="0" w:color="auto"/>
              <w:left w:val="single" w:sz="4" w:space="0" w:color="auto"/>
              <w:bottom w:val="single" w:sz="4" w:space="0" w:color="auto"/>
              <w:right w:val="single" w:sz="4" w:space="0" w:color="auto"/>
            </w:tcBorders>
            <w:shd w:val="clear" w:color="000000" w:fill="6B2F76"/>
            <w:noWrap/>
            <w:vAlign w:val="bottom"/>
            <w:hideMark/>
          </w:tcPr>
          <w:p w14:paraId="0CE91DBD" w14:textId="77777777" w:rsidR="00D65CAC" w:rsidRPr="00C93000" w:rsidRDefault="00D65CAC" w:rsidP="00312E88">
            <w:pPr>
              <w:rPr>
                <w:rFonts w:cs="Arial"/>
                <w:b/>
                <w:bCs/>
                <w:color w:val="FFFFFF"/>
                <w:sz w:val="16"/>
                <w:szCs w:val="16"/>
              </w:rPr>
            </w:pPr>
            <w:r w:rsidRPr="00C93000">
              <w:rPr>
                <w:rFonts w:cs="Arial"/>
                <w:b/>
                <w:bCs/>
                <w:color w:val="FFFFFF"/>
                <w:sz w:val="16"/>
                <w:szCs w:val="16"/>
              </w:rPr>
              <w:t>Support Category</w:t>
            </w:r>
          </w:p>
        </w:tc>
        <w:tc>
          <w:tcPr>
            <w:tcW w:w="1276" w:type="dxa"/>
            <w:shd w:val="clear" w:color="auto" w:fill="6B2E76"/>
            <w:vAlign w:val="bottom"/>
          </w:tcPr>
          <w:p w14:paraId="66269008" w14:textId="77777777" w:rsidR="00D65CAC" w:rsidRPr="00C93000" w:rsidRDefault="00D65CAC" w:rsidP="00312E88">
            <w:pPr>
              <w:spacing w:after="160" w:line="259" w:lineRule="auto"/>
              <w:jc w:val="center"/>
              <w:rPr>
                <w:rFonts w:cs="Arial"/>
                <w:sz w:val="16"/>
                <w:szCs w:val="16"/>
              </w:rPr>
            </w:pPr>
            <w:r w:rsidRPr="00C93000">
              <w:rPr>
                <w:rFonts w:cs="Arial"/>
                <w:b/>
                <w:bCs/>
                <w:color w:val="FFFFFF"/>
                <w:sz w:val="16"/>
                <w:szCs w:val="16"/>
              </w:rPr>
              <w:t>35 to 44</w:t>
            </w:r>
          </w:p>
        </w:tc>
        <w:tc>
          <w:tcPr>
            <w:tcW w:w="1276" w:type="dxa"/>
            <w:shd w:val="clear" w:color="auto" w:fill="6B2E76"/>
            <w:vAlign w:val="bottom"/>
          </w:tcPr>
          <w:p w14:paraId="707081D5" w14:textId="77777777" w:rsidR="00D65CAC" w:rsidRPr="00C93000" w:rsidRDefault="00D65CAC" w:rsidP="00312E88">
            <w:pPr>
              <w:spacing w:after="160" w:line="259" w:lineRule="auto"/>
              <w:jc w:val="center"/>
              <w:rPr>
                <w:rFonts w:cs="Arial"/>
                <w:sz w:val="16"/>
                <w:szCs w:val="16"/>
              </w:rPr>
            </w:pPr>
            <w:r w:rsidRPr="00C93000">
              <w:rPr>
                <w:rFonts w:cs="Arial"/>
                <w:b/>
                <w:bCs/>
                <w:color w:val="FFFFFF"/>
                <w:sz w:val="16"/>
                <w:szCs w:val="16"/>
              </w:rPr>
              <w:t>45 to 54</w:t>
            </w:r>
          </w:p>
        </w:tc>
        <w:tc>
          <w:tcPr>
            <w:tcW w:w="1417" w:type="dxa"/>
            <w:shd w:val="clear" w:color="auto" w:fill="6B2E76"/>
            <w:vAlign w:val="bottom"/>
          </w:tcPr>
          <w:p w14:paraId="2731BD0B" w14:textId="77777777" w:rsidR="00D65CAC" w:rsidRPr="00C93000" w:rsidRDefault="00D65CAC" w:rsidP="00312E88">
            <w:pPr>
              <w:spacing w:after="160" w:line="259" w:lineRule="auto"/>
              <w:jc w:val="center"/>
              <w:rPr>
                <w:rFonts w:cs="Arial"/>
                <w:sz w:val="16"/>
                <w:szCs w:val="16"/>
              </w:rPr>
            </w:pPr>
            <w:r w:rsidRPr="00C93000">
              <w:rPr>
                <w:rFonts w:cs="Arial"/>
                <w:b/>
                <w:bCs/>
                <w:color w:val="FFFFFF"/>
                <w:sz w:val="16"/>
                <w:szCs w:val="16"/>
              </w:rPr>
              <w:t>55 to 64</w:t>
            </w:r>
          </w:p>
        </w:tc>
        <w:tc>
          <w:tcPr>
            <w:tcW w:w="1560" w:type="dxa"/>
            <w:shd w:val="clear" w:color="auto" w:fill="6B2E76"/>
            <w:vAlign w:val="bottom"/>
          </w:tcPr>
          <w:p w14:paraId="3A2E21CB" w14:textId="77777777" w:rsidR="00D65CAC" w:rsidRPr="00C93000" w:rsidRDefault="00D65CAC" w:rsidP="00312E88">
            <w:pPr>
              <w:spacing w:after="160" w:line="259" w:lineRule="auto"/>
              <w:jc w:val="center"/>
              <w:rPr>
                <w:rFonts w:cs="Arial"/>
                <w:sz w:val="16"/>
                <w:szCs w:val="16"/>
              </w:rPr>
            </w:pPr>
            <w:r w:rsidRPr="00C93000">
              <w:rPr>
                <w:rFonts w:cs="Arial"/>
                <w:b/>
                <w:bCs/>
                <w:color w:val="FFFFFF"/>
                <w:sz w:val="16"/>
                <w:szCs w:val="16"/>
              </w:rPr>
              <w:t>65+</w:t>
            </w:r>
          </w:p>
        </w:tc>
        <w:tc>
          <w:tcPr>
            <w:tcW w:w="1134" w:type="dxa"/>
            <w:tcBorders>
              <w:right w:val="single" w:sz="4" w:space="0" w:color="auto"/>
            </w:tcBorders>
            <w:shd w:val="clear" w:color="auto" w:fill="6B2E76"/>
            <w:vAlign w:val="bottom"/>
          </w:tcPr>
          <w:p w14:paraId="16D33793" w14:textId="77777777" w:rsidR="00D65CAC" w:rsidRPr="00C93000" w:rsidRDefault="00D65CAC" w:rsidP="00312E88">
            <w:pPr>
              <w:spacing w:after="160" w:line="259" w:lineRule="auto"/>
              <w:jc w:val="center"/>
              <w:rPr>
                <w:rFonts w:cs="Arial"/>
                <w:sz w:val="16"/>
                <w:szCs w:val="16"/>
              </w:rPr>
            </w:pPr>
            <w:r w:rsidRPr="00C93000">
              <w:rPr>
                <w:rFonts w:cs="Arial"/>
                <w:b/>
                <w:bCs/>
                <w:color w:val="FFFFFF"/>
                <w:sz w:val="16"/>
                <w:szCs w:val="16"/>
              </w:rPr>
              <w:t>Total</w:t>
            </w:r>
          </w:p>
        </w:tc>
      </w:tr>
      <w:tr w:rsidR="00D65CAC" w:rsidRPr="00C93000" w14:paraId="5BE4408E"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0357C4B9" w14:textId="77777777" w:rsidR="00D65CAC" w:rsidRPr="00C93000" w:rsidRDefault="00D65CAC" w:rsidP="00312E88">
            <w:pPr>
              <w:rPr>
                <w:rFonts w:cs="Arial"/>
                <w:color w:val="000000"/>
                <w:sz w:val="16"/>
                <w:szCs w:val="16"/>
              </w:rPr>
            </w:pPr>
            <w:r w:rsidRPr="00C93000">
              <w:rPr>
                <w:rFonts w:cs="Arial"/>
                <w:color w:val="000000"/>
                <w:sz w:val="16"/>
                <w:szCs w:val="16"/>
              </w:rPr>
              <w:t>Consumables</w:t>
            </w:r>
          </w:p>
        </w:tc>
        <w:tc>
          <w:tcPr>
            <w:tcW w:w="1276" w:type="dxa"/>
            <w:vAlign w:val="bottom"/>
          </w:tcPr>
          <w:p w14:paraId="5922AAB9"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1,300</w:t>
            </w:r>
          </w:p>
        </w:tc>
        <w:tc>
          <w:tcPr>
            <w:tcW w:w="1276" w:type="dxa"/>
            <w:vAlign w:val="bottom"/>
          </w:tcPr>
          <w:p w14:paraId="21FC59EB"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1,500</w:t>
            </w:r>
          </w:p>
        </w:tc>
        <w:tc>
          <w:tcPr>
            <w:tcW w:w="1417" w:type="dxa"/>
            <w:vAlign w:val="bottom"/>
          </w:tcPr>
          <w:p w14:paraId="6912569F"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1,700</w:t>
            </w:r>
          </w:p>
        </w:tc>
        <w:tc>
          <w:tcPr>
            <w:tcW w:w="1560" w:type="dxa"/>
            <w:vAlign w:val="bottom"/>
          </w:tcPr>
          <w:p w14:paraId="7F92122F"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1,900</w:t>
            </w:r>
          </w:p>
        </w:tc>
        <w:tc>
          <w:tcPr>
            <w:tcW w:w="1134" w:type="dxa"/>
            <w:tcBorders>
              <w:right w:val="single" w:sz="4" w:space="0" w:color="auto"/>
            </w:tcBorders>
            <w:vAlign w:val="bottom"/>
          </w:tcPr>
          <w:p w14:paraId="21D0A204"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1,000</w:t>
            </w:r>
          </w:p>
        </w:tc>
      </w:tr>
      <w:tr w:rsidR="00D65CAC" w:rsidRPr="00C93000" w14:paraId="2E3A34C7"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5E8D5DE7" w14:textId="77777777" w:rsidR="00D65CAC" w:rsidRPr="00C93000" w:rsidRDefault="00D65CAC" w:rsidP="00312E88">
            <w:pPr>
              <w:rPr>
                <w:rFonts w:cs="Arial"/>
                <w:color w:val="000000"/>
                <w:sz w:val="16"/>
                <w:szCs w:val="16"/>
              </w:rPr>
            </w:pPr>
            <w:r w:rsidRPr="00C93000">
              <w:rPr>
                <w:rFonts w:cs="Arial"/>
                <w:color w:val="000000"/>
                <w:sz w:val="16"/>
                <w:szCs w:val="16"/>
              </w:rPr>
              <w:t>Daily Activities</w:t>
            </w:r>
          </w:p>
        </w:tc>
        <w:tc>
          <w:tcPr>
            <w:tcW w:w="1276" w:type="dxa"/>
            <w:vAlign w:val="bottom"/>
          </w:tcPr>
          <w:p w14:paraId="70584A58"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55,300</w:t>
            </w:r>
          </w:p>
        </w:tc>
        <w:tc>
          <w:tcPr>
            <w:tcW w:w="1276" w:type="dxa"/>
            <w:vAlign w:val="bottom"/>
          </w:tcPr>
          <w:p w14:paraId="06291399"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58,300</w:t>
            </w:r>
          </w:p>
        </w:tc>
        <w:tc>
          <w:tcPr>
            <w:tcW w:w="1417" w:type="dxa"/>
            <w:vAlign w:val="bottom"/>
          </w:tcPr>
          <w:p w14:paraId="70E19159"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58,400</w:t>
            </w:r>
          </w:p>
        </w:tc>
        <w:tc>
          <w:tcPr>
            <w:tcW w:w="1560" w:type="dxa"/>
            <w:vAlign w:val="bottom"/>
          </w:tcPr>
          <w:p w14:paraId="1891E916"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59,300</w:t>
            </w:r>
          </w:p>
        </w:tc>
        <w:tc>
          <w:tcPr>
            <w:tcW w:w="1134" w:type="dxa"/>
            <w:tcBorders>
              <w:right w:val="single" w:sz="4" w:space="0" w:color="auto"/>
            </w:tcBorders>
            <w:vAlign w:val="bottom"/>
          </w:tcPr>
          <w:p w14:paraId="30A7BE3F"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30,700</w:t>
            </w:r>
          </w:p>
        </w:tc>
      </w:tr>
      <w:tr w:rsidR="00D65CAC" w:rsidRPr="00C93000" w14:paraId="6CCB3E58"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0A07917C" w14:textId="77777777" w:rsidR="00D65CAC" w:rsidRPr="00C93000" w:rsidRDefault="00D65CAC" w:rsidP="00312E88">
            <w:pPr>
              <w:rPr>
                <w:rFonts w:cs="Arial"/>
                <w:color w:val="000000"/>
                <w:sz w:val="16"/>
                <w:szCs w:val="16"/>
              </w:rPr>
            </w:pPr>
            <w:r w:rsidRPr="00C93000">
              <w:rPr>
                <w:rFonts w:cs="Arial"/>
                <w:color w:val="000000"/>
                <w:sz w:val="16"/>
                <w:szCs w:val="16"/>
              </w:rPr>
              <w:t>Social Community Civic</w:t>
            </w:r>
          </w:p>
        </w:tc>
        <w:tc>
          <w:tcPr>
            <w:tcW w:w="1276" w:type="dxa"/>
            <w:vAlign w:val="bottom"/>
          </w:tcPr>
          <w:p w14:paraId="5F64F7B2"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19,700</w:t>
            </w:r>
          </w:p>
        </w:tc>
        <w:tc>
          <w:tcPr>
            <w:tcW w:w="1276" w:type="dxa"/>
            <w:vAlign w:val="bottom"/>
          </w:tcPr>
          <w:p w14:paraId="3F7F439A"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16,700</w:t>
            </w:r>
          </w:p>
        </w:tc>
        <w:tc>
          <w:tcPr>
            <w:tcW w:w="1417" w:type="dxa"/>
            <w:vAlign w:val="bottom"/>
          </w:tcPr>
          <w:p w14:paraId="10513FEB"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15,600</w:t>
            </w:r>
          </w:p>
        </w:tc>
        <w:tc>
          <w:tcPr>
            <w:tcW w:w="1560" w:type="dxa"/>
            <w:vAlign w:val="bottom"/>
          </w:tcPr>
          <w:p w14:paraId="180DCD1A"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15,400</w:t>
            </w:r>
          </w:p>
        </w:tc>
        <w:tc>
          <w:tcPr>
            <w:tcW w:w="1134" w:type="dxa"/>
            <w:tcBorders>
              <w:right w:val="single" w:sz="4" w:space="0" w:color="auto"/>
            </w:tcBorders>
            <w:vAlign w:val="bottom"/>
          </w:tcPr>
          <w:p w14:paraId="648210CC"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10,200</w:t>
            </w:r>
          </w:p>
        </w:tc>
      </w:tr>
      <w:tr w:rsidR="00D65CAC" w:rsidRPr="00C93000" w14:paraId="43A4A295"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4C23A6CF" w14:textId="77777777" w:rsidR="00D65CAC" w:rsidRPr="00C93000" w:rsidRDefault="00D65CAC" w:rsidP="00312E88">
            <w:pPr>
              <w:rPr>
                <w:rFonts w:cs="Arial"/>
                <w:color w:val="000000"/>
                <w:sz w:val="16"/>
                <w:szCs w:val="16"/>
              </w:rPr>
            </w:pPr>
            <w:r w:rsidRPr="00C93000">
              <w:rPr>
                <w:rFonts w:cs="Arial"/>
                <w:color w:val="000000"/>
                <w:sz w:val="16"/>
                <w:szCs w:val="16"/>
              </w:rPr>
              <w:t>Transport</w:t>
            </w:r>
          </w:p>
        </w:tc>
        <w:tc>
          <w:tcPr>
            <w:tcW w:w="1276" w:type="dxa"/>
            <w:vAlign w:val="bottom"/>
          </w:tcPr>
          <w:p w14:paraId="0EC34252"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1,700</w:t>
            </w:r>
          </w:p>
        </w:tc>
        <w:tc>
          <w:tcPr>
            <w:tcW w:w="1276" w:type="dxa"/>
            <w:vAlign w:val="bottom"/>
          </w:tcPr>
          <w:p w14:paraId="73D40593"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1,700</w:t>
            </w:r>
          </w:p>
        </w:tc>
        <w:tc>
          <w:tcPr>
            <w:tcW w:w="1417" w:type="dxa"/>
            <w:vAlign w:val="bottom"/>
          </w:tcPr>
          <w:p w14:paraId="27E6C4AD"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1,700</w:t>
            </w:r>
          </w:p>
        </w:tc>
        <w:tc>
          <w:tcPr>
            <w:tcW w:w="1560" w:type="dxa"/>
            <w:vAlign w:val="bottom"/>
          </w:tcPr>
          <w:p w14:paraId="5B13E674"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1,700</w:t>
            </w:r>
          </w:p>
        </w:tc>
        <w:tc>
          <w:tcPr>
            <w:tcW w:w="1134" w:type="dxa"/>
            <w:tcBorders>
              <w:right w:val="single" w:sz="4" w:space="0" w:color="auto"/>
            </w:tcBorders>
            <w:vAlign w:val="bottom"/>
          </w:tcPr>
          <w:p w14:paraId="257CE687"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1,700</w:t>
            </w:r>
          </w:p>
        </w:tc>
      </w:tr>
      <w:tr w:rsidR="00D65CAC" w:rsidRPr="00C93000" w14:paraId="2B7C53FF"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1DFE0A4B" w14:textId="77777777" w:rsidR="00D65CAC" w:rsidRPr="00C93000" w:rsidRDefault="00D65CAC" w:rsidP="00312E88">
            <w:pPr>
              <w:rPr>
                <w:rFonts w:cs="Arial"/>
                <w:color w:val="000000"/>
                <w:sz w:val="16"/>
                <w:szCs w:val="16"/>
              </w:rPr>
            </w:pPr>
            <w:r w:rsidRPr="00C93000">
              <w:rPr>
                <w:rFonts w:cs="Arial"/>
                <w:color w:val="000000"/>
                <w:sz w:val="16"/>
                <w:szCs w:val="16"/>
              </w:rPr>
              <w:t>Assistive Technology</w:t>
            </w:r>
          </w:p>
        </w:tc>
        <w:tc>
          <w:tcPr>
            <w:tcW w:w="1276" w:type="dxa"/>
            <w:vAlign w:val="bottom"/>
          </w:tcPr>
          <w:p w14:paraId="35DDA2C2"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1,400</w:t>
            </w:r>
          </w:p>
        </w:tc>
        <w:tc>
          <w:tcPr>
            <w:tcW w:w="1276" w:type="dxa"/>
            <w:vAlign w:val="bottom"/>
          </w:tcPr>
          <w:p w14:paraId="12B9B935"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1,700</w:t>
            </w:r>
          </w:p>
        </w:tc>
        <w:tc>
          <w:tcPr>
            <w:tcW w:w="1417" w:type="dxa"/>
            <w:vAlign w:val="bottom"/>
          </w:tcPr>
          <w:p w14:paraId="7A02D9BA"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2,300</w:t>
            </w:r>
          </w:p>
        </w:tc>
        <w:tc>
          <w:tcPr>
            <w:tcW w:w="1560" w:type="dxa"/>
            <w:vAlign w:val="bottom"/>
          </w:tcPr>
          <w:p w14:paraId="5A67AC9B"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2,800</w:t>
            </w:r>
          </w:p>
        </w:tc>
        <w:tc>
          <w:tcPr>
            <w:tcW w:w="1134" w:type="dxa"/>
            <w:tcBorders>
              <w:right w:val="single" w:sz="4" w:space="0" w:color="auto"/>
            </w:tcBorders>
            <w:vAlign w:val="bottom"/>
          </w:tcPr>
          <w:p w14:paraId="56558FD9"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1,100</w:t>
            </w:r>
          </w:p>
        </w:tc>
      </w:tr>
      <w:tr w:rsidR="00D65CAC" w:rsidRPr="00C93000" w14:paraId="413CE522"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5BAF2125" w14:textId="77777777" w:rsidR="00D65CAC" w:rsidRPr="00C93000" w:rsidRDefault="00D65CAC" w:rsidP="00312E88">
            <w:pPr>
              <w:rPr>
                <w:rFonts w:cs="Arial"/>
                <w:color w:val="000000"/>
                <w:sz w:val="16"/>
                <w:szCs w:val="16"/>
              </w:rPr>
            </w:pPr>
            <w:r w:rsidRPr="00C93000">
              <w:rPr>
                <w:rFonts w:cs="Arial"/>
                <w:color w:val="000000"/>
                <w:sz w:val="16"/>
                <w:szCs w:val="16"/>
              </w:rPr>
              <w:t>Home Modifications</w:t>
            </w:r>
          </w:p>
        </w:tc>
        <w:tc>
          <w:tcPr>
            <w:tcW w:w="1276" w:type="dxa"/>
            <w:vAlign w:val="bottom"/>
          </w:tcPr>
          <w:p w14:paraId="68977B87"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1,100</w:t>
            </w:r>
          </w:p>
        </w:tc>
        <w:tc>
          <w:tcPr>
            <w:tcW w:w="1276" w:type="dxa"/>
            <w:vAlign w:val="bottom"/>
          </w:tcPr>
          <w:p w14:paraId="166AEA40"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1,400</w:t>
            </w:r>
          </w:p>
        </w:tc>
        <w:tc>
          <w:tcPr>
            <w:tcW w:w="1417" w:type="dxa"/>
            <w:vAlign w:val="bottom"/>
          </w:tcPr>
          <w:p w14:paraId="1EA94490"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1,600</w:t>
            </w:r>
          </w:p>
        </w:tc>
        <w:tc>
          <w:tcPr>
            <w:tcW w:w="1560" w:type="dxa"/>
            <w:vAlign w:val="bottom"/>
          </w:tcPr>
          <w:p w14:paraId="5EB7FB56"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1,600</w:t>
            </w:r>
          </w:p>
        </w:tc>
        <w:tc>
          <w:tcPr>
            <w:tcW w:w="1134" w:type="dxa"/>
            <w:tcBorders>
              <w:right w:val="single" w:sz="4" w:space="0" w:color="auto"/>
            </w:tcBorders>
            <w:vAlign w:val="bottom"/>
          </w:tcPr>
          <w:p w14:paraId="533206D4"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600</w:t>
            </w:r>
          </w:p>
        </w:tc>
      </w:tr>
      <w:tr w:rsidR="00D65CAC" w:rsidRPr="00C93000" w14:paraId="777B6B74"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582F1554" w14:textId="77777777" w:rsidR="00D65CAC" w:rsidRPr="00C93000" w:rsidRDefault="00D65CAC" w:rsidP="00312E88">
            <w:pPr>
              <w:rPr>
                <w:rFonts w:cs="Arial"/>
                <w:color w:val="000000"/>
                <w:sz w:val="16"/>
                <w:szCs w:val="16"/>
              </w:rPr>
            </w:pPr>
            <w:r w:rsidRPr="00C93000">
              <w:rPr>
                <w:rFonts w:cs="Arial"/>
                <w:color w:val="000000"/>
                <w:sz w:val="16"/>
                <w:szCs w:val="16"/>
              </w:rPr>
              <w:t>CB Daily Activities</w:t>
            </w:r>
          </w:p>
        </w:tc>
        <w:tc>
          <w:tcPr>
            <w:tcW w:w="1276" w:type="dxa"/>
            <w:vAlign w:val="bottom"/>
          </w:tcPr>
          <w:p w14:paraId="21521866"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4,500</w:t>
            </w:r>
          </w:p>
        </w:tc>
        <w:tc>
          <w:tcPr>
            <w:tcW w:w="1276" w:type="dxa"/>
            <w:vAlign w:val="bottom"/>
          </w:tcPr>
          <w:p w14:paraId="657ED592"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4,800</w:t>
            </w:r>
          </w:p>
        </w:tc>
        <w:tc>
          <w:tcPr>
            <w:tcW w:w="1417" w:type="dxa"/>
            <w:vAlign w:val="bottom"/>
          </w:tcPr>
          <w:p w14:paraId="4DD43E0B"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5,400</w:t>
            </w:r>
          </w:p>
        </w:tc>
        <w:tc>
          <w:tcPr>
            <w:tcW w:w="1560" w:type="dxa"/>
            <w:vAlign w:val="bottom"/>
          </w:tcPr>
          <w:p w14:paraId="625D1D70"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5,900</w:t>
            </w:r>
          </w:p>
        </w:tc>
        <w:tc>
          <w:tcPr>
            <w:tcW w:w="1134" w:type="dxa"/>
            <w:tcBorders>
              <w:right w:val="single" w:sz="4" w:space="0" w:color="auto"/>
            </w:tcBorders>
            <w:vAlign w:val="bottom"/>
          </w:tcPr>
          <w:p w14:paraId="293F2BAE"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6,800</w:t>
            </w:r>
          </w:p>
        </w:tc>
      </w:tr>
      <w:tr w:rsidR="00D65CAC" w:rsidRPr="00C93000" w14:paraId="1F8E1AD5"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54D638A6" w14:textId="77777777" w:rsidR="00D65CAC" w:rsidRPr="00C93000" w:rsidRDefault="00D65CAC" w:rsidP="00312E88">
            <w:pPr>
              <w:rPr>
                <w:rFonts w:cs="Arial"/>
                <w:color w:val="000000"/>
                <w:sz w:val="16"/>
                <w:szCs w:val="16"/>
              </w:rPr>
            </w:pPr>
            <w:r w:rsidRPr="00C93000">
              <w:rPr>
                <w:rFonts w:cs="Arial"/>
                <w:color w:val="000000"/>
                <w:sz w:val="16"/>
                <w:szCs w:val="16"/>
              </w:rPr>
              <w:t>CB Employment</w:t>
            </w:r>
          </w:p>
        </w:tc>
        <w:tc>
          <w:tcPr>
            <w:tcW w:w="1276" w:type="dxa"/>
            <w:vAlign w:val="bottom"/>
          </w:tcPr>
          <w:p w14:paraId="39482DB8"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900</w:t>
            </w:r>
          </w:p>
        </w:tc>
        <w:tc>
          <w:tcPr>
            <w:tcW w:w="1276" w:type="dxa"/>
            <w:vAlign w:val="bottom"/>
          </w:tcPr>
          <w:p w14:paraId="210EB786"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700</w:t>
            </w:r>
          </w:p>
        </w:tc>
        <w:tc>
          <w:tcPr>
            <w:tcW w:w="1417" w:type="dxa"/>
            <w:vAlign w:val="bottom"/>
          </w:tcPr>
          <w:p w14:paraId="4CA354B0"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500</w:t>
            </w:r>
          </w:p>
        </w:tc>
        <w:tc>
          <w:tcPr>
            <w:tcW w:w="1560" w:type="dxa"/>
            <w:vAlign w:val="bottom"/>
          </w:tcPr>
          <w:p w14:paraId="30F4C8F1"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400</w:t>
            </w:r>
          </w:p>
        </w:tc>
        <w:tc>
          <w:tcPr>
            <w:tcW w:w="1134" w:type="dxa"/>
            <w:tcBorders>
              <w:right w:val="single" w:sz="4" w:space="0" w:color="auto"/>
            </w:tcBorders>
            <w:vAlign w:val="bottom"/>
          </w:tcPr>
          <w:p w14:paraId="39CD99B2"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600</w:t>
            </w:r>
          </w:p>
        </w:tc>
      </w:tr>
      <w:tr w:rsidR="00D65CAC" w:rsidRPr="00C93000" w14:paraId="110829AF" w14:textId="77777777" w:rsidTr="00312E88">
        <w:trPr>
          <w:cantSplit/>
          <w:trHeight w:hRule="exact" w:val="284"/>
        </w:trPr>
        <w:tc>
          <w:tcPr>
            <w:tcW w:w="2263" w:type="dxa"/>
            <w:tcBorders>
              <w:top w:val="nil"/>
              <w:left w:val="single" w:sz="4" w:space="0" w:color="auto"/>
              <w:bottom w:val="nil"/>
              <w:right w:val="single" w:sz="4" w:space="0" w:color="auto"/>
            </w:tcBorders>
            <w:shd w:val="clear" w:color="auto" w:fill="auto"/>
            <w:noWrap/>
            <w:vAlign w:val="bottom"/>
            <w:hideMark/>
          </w:tcPr>
          <w:p w14:paraId="29A816B3" w14:textId="77777777" w:rsidR="00D65CAC" w:rsidRPr="00C93000" w:rsidRDefault="00D65CAC" w:rsidP="00312E88">
            <w:pPr>
              <w:rPr>
                <w:rFonts w:cs="Arial"/>
                <w:color w:val="000000"/>
                <w:sz w:val="16"/>
                <w:szCs w:val="16"/>
              </w:rPr>
            </w:pPr>
            <w:r w:rsidRPr="00C93000">
              <w:rPr>
                <w:rFonts w:cs="Arial"/>
                <w:color w:val="000000"/>
                <w:sz w:val="16"/>
                <w:szCs w:val="16"/>
              </w:rPr>
              <w:t>Support Coordination</w:t>
            </w:r>
          </w:p>
        </w:tc>
        <w:tc>
          <w:tcPr>
            <w:tcW w:w="1276" w:type="dxa"/>
            <w:vAlign w:val="bottom"/>
          </w:tcPr>
          <w:p w14:paraId="307BA925"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2,500</w:t>
            </w:r>
          </w:p>
        </w:tc>
        <w:tc>
          <w:tcPr>
            <w:tcW w:w="1276" w:type="dxa"/>
            <w:vAlign w:val="bottom"/>
          </w:tcPr>
          <w:p w14:paraId="1314BB4C"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2,700</w:t>
            </w:r>
          </w:p>
        </w:tc>
        <w:tc>
          <w:tcPr>
            <w:tcW w:w="1417" w:type="dxa"/>
            <w:vAlign w:val="bottom"/>
          </w:tcPr>
          <w:p w14:paraId="1D6217B2"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2,600</w:t>
            </w:r>
          </w:p>
        </w:tc>
        <w:tc>
          <w:tcPr>
            <w:tcW w:w="1560" w:type="dxa"/>
            <w:vAlign w:val="bottom"/>
          </w:tcPr>
          <w:p w14:paraId="5733CD45"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2,600</w:t>
            </w:r>
          </w:p>
        </w:tc>
        <w:tc>
          <w:tcPr>
            <w:tcW w:w="1134" w:type="dxa"/>
            <w:tcBorders>
              <w:right w:val="single" w:sz="4" w:space="0" w:color="auto"/>
            </w:tcBorders>
            <w:vAlign w:val="bottom"/>
          </w:tcPr>
          <w:p w14:paraId="7956C673"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1,500</w:t>
            </w:r>
          </w:p>
        </w:tc>
      </w:tr>
      <w:tr w:rsidR="00D65CAC" w:rsidRPr="00C93000" w14:paraId="3C820F7B" w14:textId="77777777" w:rsidTr="00312E88">
        <w:trPr>
          <w:cantSplit/>
          <w:trHeight w:hRule="exact" w:val="284"/>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133D474" w14:textId="77777777" w:rsidR="00D65CAC" w:rsidRPr="00C93000" w:rsidRDefault="00D65CAC" w:rsidP="00312E88">
            <w:pPr>
              <w:rPr>
                <w:rFonts w:cs="Arial"/>
                <w:color w:val="000000"/>
                <w:sz w:val="16"/>
                <w:szCs w:val="16"/>
              </w:rPr>
            </w:pPr>
            <w:r w:rsidRPr="00C93000">
              <w:rPr>
                <w:rFonts w:cs="Arial"/>
                <w:color w:val="000000"/>
                <w:sz w:val="16"/>
                <w:szCs w:val="16"/>
              </w:rPr>
              <w:t>Remaining CB</w:t>
            </w:r>
          </w:p>
        </w:tc>
        <w:tc>
          <w:tcPr>
            <w:tcW w:w="1276" w:type="dxa"/>
            <w:tcBorders>
              <w:bottom w:val="single" w:sz="4" w:space="0" w:color="auto"/>
            </w:tcBorders>
            <w:vAlign w:val="bottom"/>
          </w:tcPr>
          <w:p w14:paraId="3C6A0A42"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2,100</w:t>
            </w:r>
          </w:p>
        </w:tc>
        <w:tc>
          <w:tcPr>
            <w:tcW w:w="1276" w:type="dxa"/>
            <w:tcBorders>
              <w:bottom w:val="single" w:sz="4" w:space="0" w:color="auto"/>
            </w:tcBorders>
            <w:vAlign w:val="bottom"/>
          </w:tcPr>
          <w:p w14:paraId="4B184E95"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1,800</w:t>
            </w:r>
          </w:p>
        </w:tc>
        <w:tc>
          <w:tcPr>
            <w:tcW w:w="1417" w:type="dxa"/>
            <w:tcBorders>
              <w:bottom w:val="single" w:sz="4" w:space="0" w:color="auto"/>
            </w:tcBorders>
            <w:vAlign w:val="bottom"/>
          </w:tcPr>
          <w:p w14:paraId="7E8B8FCE"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1,500</w:t>
            </w:r>
          </w:p>
        </w:tc>
        <w:tc>
          <w:tcPr>
            <w:tcW w:w="1560" w:type="dxa"/>
            <w:tcBorders>
              <w:bottom w:val="single" w:sz="4" w:space="0" w:color="auto"/>
            </w:tcBorders>
            <w:vAlign w:val="bottom"/>
          </w:tcPr>
          <w:p w14:paraId="4B18BE55"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1,600</w:t>
            </w:r>
          </w:p>
        </w:tc>
        <w:tc>
          <w:tcPr>
            <w:tcW w:w="1134" w:type="dxa"/>
            <w:tcBorders>
              <w:bottom w:val="single" w:sz="4" w:space="0" w:color="auto"/>
              <w:right w:val="single" w:sz="4" w:space="0" w:color="auto"/>
            </w:tcBorders>
            <w:vAlign w:val="bottom"/>
          </w:tcPr>
          <w:p w14:paraId="0F4A9D52" w14:textId="77777777" w:rsidR="00D65CAC" w:rsidRPr="00C93000" w:rsidRDefault="00D65CAC" w:rsidP="00312E88">
            <w:pPr>
              <w:spacing w:after="160" w:line="259" w:lineRule="auto"/>
              <w:jc w:val="center"/>
              <w:rPr>
                <w:rFonts w:cs="Arial"/>
                <w:sz w:val="16"/>
                <w:szCs w:val="16"/>
              </w:rPr>
            </w:pPr>
            <w:r w:rsidRPr="00C93000">
              <w:rPr>
                <w:rFonts w:cs="Arial"/>
                <w:color w:val="000000"/>
                <w:sz w:val="16"/>
                <w:szCs w:val="16"/>
              </w:rPr>
              <w:t>1,600</w:t>
            </w:r>
          </w:p>
        </w:tc>
      </w:tr>
      <w:tr w:rsidR="00D65CAC" w:rsidRPr="00C93000" w14:paraId="0711C288" w14:textId="77777777" w:rsidTr="00312E88">
        <w:trPr>
          <w:cantSplit/>
          <w:trHeight w:hRule="exact" w:val="284"/>
        </w:trPr>
        <w:tc>
          <w:tcPr>
            <w:tcW w:w="2263" w:type="dxa"/>
            <w:tcBorders>
              <w:top w:val="single" w:sz="4" w:space="0" w:color="auto"/>
              <w:left w:val="single" w:sz="4" w:space="0" w:color="auto"/>
              <w:bottom w:val="single" w:sz="4" w:space="0" w:color="auto"/>
              <w:right w:val="single" w:sz="4" w:space="0" w:color="auto"/>
            </w:tcBorders>
            <w:shd w:val="clear" w:color="auto" w:fill="F8EFF7"/>
            <w:noWrap/>
            <w:vAlign w:val="bottom"/>
            <w:hideMark/>
          </w:tcPr>
          <w:p w14:paraId="6498C077" w14:textId="77777777" w:rsidR="00D65CAC" w:rsidRPr="00C93000" w:rsidRDefault="00D65CAC" w:rsidP="00312E88">
            <w:pPr>
              <w:rPr>
                <w:rFonts w:cs="Arial"/>
                <w:b/>
                <w:bCs/>
                <w:color w:val="000000"/>
                <w:sz w:val="16"/>
                <w:szCs w:val="16"/>
              </w:rPr>
            </w:pPr>
            <w:r w:rsidRPr="00C93000">
              <w:rPr>
                <w:rFonts w:cs="Arial"/>
                <w:b/>
                <w:bCs/>
                <w:color w:val="000000"/>
                <w:sz w:val="16"/>
                <w:szCs w:val="16"/>
              </w:rPr>
              <w:t>Total</w:t>
            </w:r>
          </w:p>
        </w:tc>
        <w:tc>
          <w:tcPr>
            <w:tcW w:w="1276" w:type="dxa"/>
            <w:tcBorders>
              <w:top w:val="single" w:sz="4" w:space="0" w:color="auto"/>
              <w:bottom w:val="single" w:sz="4" w:space="0" w:color="auto"/>
            </w:tcBorders>
            <w:shd w:val="clear" w:color="auto" w:fill="F8EFF7"/>
            <w:vAlign w:val="bottom"/>
          </w:tcPr>
          <w:p w14:paraId="531C8CD1" w14:textId="77777777" w:rsidR="00D65CAC" w:rsidRPr="00C93000" w:rsidRDefault="00D65CAC" w:rsidP="00312E88">
            <w:pPr>
              <w:spacing w:after="160" w:line="259" w:lineRule="auto"/>
              <w:jc w:val="center"/>
              <w:rPr>
                <w:rFonts w:cs="Arial"/>
                <w:sz w:val="16"/>
                <w:szCs w:val="16"/>
              </w:rPr>
            </w:pPr>
            <w:r w:rsidRPr="00C93000">
              <w:rPr>
                <w:rFonts w:cs="Arial"/>
                <w:b/>
                <w:bCs/>
                <w:color w:val="000000"/>
                <w:sz w:val="16"/>
                <w:szCs w:val="16"/>
              </w:rPr>
              <w:t>90,500</w:t>
            </w:r>
          </w:p>
        </w:tc>
        <w:tc>
          <w:tcPr>
            <w:tcW w:w="1276" w:type="dxa"/>
            <w:tcBorders>
              <w:top w:val="single" w:sz="4" w:space="0" w:color="auto"/>
              <w:bottom w:val="single" w:sz="4" w:space="0" w:color="auto"/>
            </w:tcBorders>
            <w:shd w:val="clear" w:color="auto" w:fill="F8EFF7"/>
            <w:vAlign w:val="bottom"/>
          </w:tcPr>
          <w:p w14:paraId="095303DF" w14:textId="77777777" w:rsidR="00D65CAC" w:rsidRPr="00C93000" w:rsidRDefault="00D65CAC" w:rsidP="00312E88">
            <w:pPr>
              <w:spacing w:after="160" w:line="259" w:lineRule="auto"/>
              <w:jc w:val="center"/>
              <w:rPr>
                <w:rFonts w:cs="Arial"/>
                <w:sz w:val="16"/>
                <w:szCs w:val="16"/>
              </w:rPr>
            </w:pPr>
            <w:r w:rsidRPr="00C93000">
              <w:rPr>
                <w:rFonts w:cs="Arial"/>
                <w:b/>
                <w:bCs/>
                <w:color w:val="000000"/>
                <w:sz w:val="16"/>
                <w:szCs w:val="16"/>
              </w:rPr>
              <w:t>91,300</w:t>
            </w:r>
          </w:p>
        </w:tc>
        <w:tc>
          <w:tcPr>
            <w:tcW w:w="1417" w:type="dxa"/>
            <w:tcBorders>
              <w:top w:val="single" w:sz="4" w:space="0" w:color="auto"/>
              <w:bottom w:val="single" w:sz="4" w:space="0" w:color="auto"/>
            </w:tcBorders>
            <w:shd w:val="clear" w:color="auto" w:fill="F8EFF7"/>
            <w:vAlign w:val="bottom"/>
          </w:tcPr>
          <w:p w14:paraId="50C84299" w14:textId="77777777" w:rsidR="00D65CAC" w:rsidRPr="00C93000" w:rsidRDefault="00D65CAC" w:rsidP="00312E88">
            <w:pPr>
              <w:spacing w:after="160" w:line="259" w:lineRule="auto"/>
              <w:jc w:val="center"/>
              <w:rPr>
                <w:rFonts w:cs="Arial"/>
                <w:sz w:val="16"/>
                <w:szCs w:val="16"/>
              </w:rPr>
            </w:pPr>
            <w:r w:rsidRPr="00C93000">
              <w:rPr>
                <w:rFonts w:cs="Arial"/>
                <w:b/>
                <w:bCs/>
                <w:color w:val="000000"/>
                <w:sz w:val="16"/>
                <w:szCs w:val="16"/>
              </w:rPr>
              <w:t>91,300</w:t>
            </w:r>
          </w:p>
        </w:tc>
        <w:tc>
          <w:tcPr>
            <w:tcW w:w="1560" w:type="dxa"/>
            <w:tcBorders>
              <w:top w:val="single" w:sz="4" w:space="0" w:color="auto"/>
              <w:bottom w:val="single" w:sz="4" w:space="0" w:color="auto"/>
            </w:tcBorders>
            <w:shd w:val="clear" w:color="auto" w:fill="F8EFF7"/>
            <w:vAlign w:val="bottom"/>
          </w:tcPr>
          <w:p w14:paraId="2DAFD774" w14:textId="77777777" w:rsidR="00D65CAC" w:rsidRPr="00C93000" w:rsidRDefault="00D65CAC" w:rsidP="00312E88">
            <w:pPr>
              <w:spacing w:after="160" w:line="259" w:lineRule="auto"/>
              <w:jc w:val="center"/>
              <w:rPr>
                <w:rFonts w:cs="Arial"/>
                <w:sz w:val="16"/>
                <w:szCs w:val="16"/>
              </w:rPr>
            </w:pPr>
            <w:r w:rsidRPr="00C93000">
              <w:rPr>
                <w:rFonts w:cs="Arial"/>
                <w:b/>
                <w:bCs/>
                <w:color w:val="000000"/>
                <w:sz w:val="16"/>
                <w:szCs w:val="16"/>
              </w:rPr>
              <w:t>93,200</w:t>
            </w:r>
          </w:p>
        </w:tc>
        <w:tc>
          <w:tcPr>
            <w:tcW w:w="1134" w:type="dxa"/>
            <w:tcBorders>
              <w:top w:val="single" w:sz="4" w:space="0" w:color="auto"/>
              <w:bottom w:val="single" w:sz="4" w:space="0" w:color="auto"/>
              <w:right w:val="single" w:sz="4" w:space="0" w:color="auto"/>
            </w:tcBorders>
            <w:shd w:val="clear" w:color="auto" w:fill="F8EFF7"/>
            <w:vAlign w:val="bottom"/>
          </w:tcPr>
          <w:p w14:paraId="4DE937E2" w14:textId="77777777" w:rsidR="00D65CAC" w:rsidRPr="00C93000" w:rsidRDefault="00D65CAC" w:rsidP="00312E88">
            <w:pPr>
              <w:spacing w:after="160" w:line="259" w:lineRule="auto"/>
              <w:jc w:val="center"/>
              <w:rPr>
                <w:rFonts w:cs="Arial"/>
                <w:sz w:val="16"/>
                <w:szCs w:val="16"/>
              </w:rPr>
            </w:pPr>
            <w:r w:rsidRPr="00C93000">
              <w:rPr>
                <w:rFonts w:cs="Arial"/>
                <w:b/>
                <w:bCs/>
                <w:color w:val="000000"/>
                <w:sz w:val="16"/>
                <w:szCs w:val="16"/>
              </w:rPr>
              <w:t>55,800</w:t>
            </w:r>
          </w:p>
        </w:tc>
      </w:tr>
    </w:tbl>
    <w:p w14:paraId="2898997E" w14:textId="538F9E54" w:rsidR="00D40AB0" w:rsidRDefault="00D40AB0" w:rsidP="00727A88">
      <w:pPr>
        <w:pStyle w:val="FSRnormal"/>
        <w:rPr>
          <w:rFonts w:eastAsiaTheme="minorHAnsi"/>
          <w:b/>
          <w:color w:val="6A2875"/>
          <w:sz w:val="36"/>
          <w:szCs w:val="44"/>
        </w:rPr>
      </w:pPr>
    </w:p>
    <w:p w14:paraId="3B1AEEAE" w14:textId="1CF03F8C" w:rsidR="006F104A" w:rsidRPr="00C578EB" w:rsidRDefault="006F104A" w:rsidP="007A577A">
      <w:pPr>
        <w:pStyle w:val="Heading3"/>
      </w:pPr>
      <w:bookmarkStart w:id="219" w:name="_Ref80286470"/>
      <w:bookmarkStart w:id="220" w:name="_Toc83220851"/>
      <w:bookmarkStart w:id="221" w:name="_Toc85031262"/>
      <w:r w:rsidRPr="00C578EB">
        <w:t>Inflation</w:t>
      </w:r>
      <w:r w:rsidR="00C129EB" w:rsidRPr="00C578EB">
        <w:t xml:space="preserve"> assumptions</w:t>
      </w:r>
      <w:bookmarkEnd w:id="217"/>
      <w:bookmarkEnd w:id="219"/>
      <w:bookmarkEnd w:id="220"/>
      <w:bookmarkEnd w:id="221"/>
    </w:p>
    <w:p w14:paraId="3AAE1662" w14:textId="4ADD3346" w:rsidR="00E32F5A" w:rsidRDefault="00E32F5A" w:rsidP="00727A88">
      <w:pPr>
        <w:pStyle w:val="FSRnormal"/>
      </w:pPr>
      <w:r>
        <w:t xml:space="preserve">Participant costs are assumed to increase over time with inflation, both from normal inflationary sources (such as general increases in wages and consumer prices) and from additional cost pressures, </w:t>
      </w:r>
      <w:r w:rsidR="00727A88">
        <w:t>referred to as “</w:t>
      </w:r>
      <w:r>
        <w:t>superimposed inflation</w:t>
      </w:r>
      <w:r w:rsidR="00727A88">
        <w:t>”</w:t>
      </w:r>
      <w:r>
        <w:t>.</w:t>
      </w:r>
      <w:r w:rsidR="00A0558B">
        <w:t xml:space="preserve"> Superimposed inflation may arise from a variety of sources including price increases in excess of normal inflation, increased volumes of service being utilised by participants, reductions in levels of informal support received by participants</w:t>
      </w:r>
      <w:r w:rsidR="004221ED">
        <w:t>,</w:t>
      </w:r>
      <w:r w:rsidR="004C0986">
        <w:t xml:space="preserve"> and increases in scope of supports provided by the Scheme</w:t>
      </w:r>
      <w:r w:rsidR="00A0558B">
        <w:t xml:space="preserve">. </w:t>
      </w:r>
      <w:r w:rsidR="00843242">
        <w:t xml:space="preserve">These increases may be reflected in increased plan values, increased plan utilisation, or a combination of both. </w:t>
      </w:r>
    </w:p>
    <w:p w14:paraId="439D6E6A" w14:textId="6B03F0A4" w:rsidR="00E32F5A" w:rsidRDefault="00E32F5A" w:rsidP="00727A88">
      <w:pPr>
        <w:pStyle w:val="FSRnormal"/>
      </w:pPr>
      <w:r>
        <w:t xml:space="preserve">Observed increases in average </w:t>
      </w:r>
      <w:r w:rsidR="00180C52">
        <w:t>payment per</w:t>
      </w:r>
      <w:r>
        <w:t xml:space="preserve"> participant (at an aggregate level) are also influenced by </w:t>
      </w:r>
      <w:r w:rsidR="00E26C6A">
        <w:t>ongoing changes</w:t>
      </w:r>
      <w:r>
        <w:t xml:space="preserve"> </w:t>
      </w:r>
      <w:r w:rsidR="00E26C6A">
        <w:t xml:space="preserve">in the </w:t>
      </w:r>
      <w:r>
        <w:t xml:space="preserve">mix of participants. Specifically, </w:t>
      </w:r>
      <w:r w:rsidR="00A0558B">
        <w:t xml:space="preserve">new entrants to the scheme have lower </w:t>
      </w:r>
      <w:r w:rsidR="00C71E66">
        <w:t>impacts on functional capacity</w:t>
      </w:r>
      <w:r w:rsidR="00A0558B">
        <w:t xml:space="preserve"> than existing participants</w:t>
      </w:r>
      <w:r>
        <w:t xml:space="preserve">. Taken in isolation this change will lead to a reduction in average </w:t>
      </w:r>
      <w:r w:rsidR="00180C52">
        <w:t>payment per</w:t>
      </w:r>
      <w:r>
        <w:t xml:space="preserve"> participant (which will be observed as offsetting other sources of inflation which increase the average </w:t>
      </w:r>
      <w:r w:rsidR="00180C52">
        <w:t>payment per</w:t>
      </w:r>
      <w:r>
        <w:t xml:space="preserve"> participant). Change</w:t>
      </w:r>
      <w:r w:rsidR="00E26C6A">
        <w:t>s</w:t>
      </w:r>
      <w:r>
        <w:t xml:space="preserve"> i</w:t>
      </w:r>
      <w:r w:rsidR="00C31610">
        <w:t>n</w:t>
      </w:r>
      <w:r>
        <w:t xml:space="preserve"> </w:t>
      </w:r>
      <w:r w:rsidR="007D6333">
        <w:t xml:space="preserve">average payment resulting from </w:t>
      </w:r>
      <w:r>
        <w:t xml:space="preserve">participant mix </w:t>
      </w:r>
      <w:r w:rsidR="00E26C6A">
        <w:t xml:space="preserve">are </w:t>
      </w:r>
      <w:r>
        <w:t xml:space="preserve">not explicitly </w:t>
      </w:r>
      <w:r>
        <w:lastRenderedPageBreak/>
        <w:t xml:space="preserve">modelled; rather </w:t>
      </w:r>
      <w:r w:rsidR="00E26C6A">
        <w:t>they arise</w:t>
      </w:r>
      <w:r>
        <w:t xml:space="preserve"> as a function of assumptions relating to new incidence, and mortality and non-mortality exits</w:t>
      </w:r>
      <w:r w:rsidR="00843242">
        <w:t xml:space="preserve"> by cohort</w:t>
      </w:r>
      <w:r>
        <w:t xml:space="preserve">. </w:t>
      </w:r>
    </w:p>
    <w:p w14:paraId="6B420201" w14:textId="77777777" w:rsidR="00E32F5A" w:rsidRPr="00E32F5A" w:rsidRDefault="00E32F5A" w:rsidP="00727A88">
      <w:pPr>
        <w:pStyle w:val="FSRHeading4"/>
        <w:keepNext w:val="0"/>
      </w:pPr>
      <w:r w:rsidRPr="00E32F5A">
        <w:t>Normal inflation</w:t>
      </w:r>
    </w:p>
    <w:p w14:paraId="6F29DF83" w14:textId="4A114EE3" w:rsidR="00E32F5A" w:rsidRPr="001156A7" w:rsidRDefault="00E32F5A" w:rsidP="00727A88">
      <w:pPr>
        <w:pStyle w:val="FSRnormal"/>
      </w:pPr>
      <w:r w:rsidRPr="001156A7">
        <w:rPr>
          <w:szCs w:val="22"/>
        </w:rPr>
        <w:t xml:space="preserve">The adopted </w:t>
      </w:r>
      <w:r w:rsidR="00FA564B">
        <w:rPr>
          <w:szCs w:val="22"/>
        </w:rPr>
        <w:t xml:space="preserve">normal </w:t>
      </w:r>
      <w:r w:rsidRPr="001156A7">
        <w:rPr>
          <w:szCs w:val="22"/>
        </w:rPr>
        <w:t>inflation rate for the coming f</w:t>
      </w:r>
      <w:r>
        <w:rPr>
          <w:szCs w:val="22"/>
        </w:rPr>
        <w:t>ive</w:t>
      </w:r>
      <w:r w:rsidRPr="001156A7">
        <w:rPr>
          <w:szCs w:val="22"/>
        </w:rPr>
        <w:t xml:space="preserve"> years </w:t>
      </w:r>
      <w:r w:rsidR="00FA564B">
        <w:rPr>
          <w:szCs w:val="22"/>
        </w:rPr>
        <w:t xml:space="preserve">is </w:t>
      </w:r>
      <w:r>
        <w:rPr>
          <w:szCs w:val="22"/>
        </w:rPr>
        <w:t>3</w:t>
      </w:r>
      <w:r w:rsidRPr="001156A7">
        <w:rPr>
          <w:szCs w:val="22"/>
        </w:rPr>
        <w:t>.</w:t>
      </w:r>
      <w:r>
        <w:rPr>
          <w:szCs w:val="22"/>
        </w:rPr>
        <w:t>0</w:t>
      </w:r>
      <w:r w:rsidRPr="001156A7">
        <w:rPr>
          <w:szCs w:val="22"/>
        </w:rPr>
        <w:t xml:space="preserve">% to </w:t>
      </w:r>
      <w:r>
        <w:rPr>
          <w:szCs w:val="22"/>
        </w:rPr>
        <w:t>3</w:t>
      </w:r>
      <w:r w:rsidRPr="001156A7">
        <w:rPr>
          <w:szCs w:val="22"/>
        </w:rPr>
        <w:t>.</w:t>
      </w:r>
      <w:r>
        <w:rPr>
          <w:szCs w:val="22"/>
        </w:rPr>
        <w:t>2</w:t>
      </w:r>
      <w:r w:rsidRPr="001156A7">
        <w:rPr>
          <w:szCs w:val="22"/>
        </w:rPr>
        <w:t xml:space="preserve">% per annum, </w:t>
      </w:r>
      <w:r>
        <w:rPr>
          <w:szCs w:val="22"/>
        </w:rPr>
        <w:t xml:space="preserve">and then continues at </w:t>
      </w:r>
      <w:r w:rsidRPr="001156A7">
        <w:rPr>
          <w:szCs w:val="22"/>
        </w:rPr>
        <w:t xml:space="preserve">3.2% </w:t>
      </w:r>
      <w:r>
        <w:rPr>
          <w:szCs w:val="22"/>
        </w:rPr>
        <w:t xml:space="preserve">per annum </w:t>
      </w:r>
      <w:r w:rsidRPr="001156A7">
        <w:rPr>
          <w:szCs w:val="22"/>
        </w:rPr>
        <w:t>in the longer term</w:t>
      </w:r>
      <w:r w:rsidR="00FA564B">
        <w:t>. This comprises</w:t>
      </w:r>
      <w:r w:rsidRPr="001156A7">
        <w:t>:</w:t>
      </w:r>
    </w:p>
    <w:p w14:paraId="34709B94" w14:textId="521D8AD6" w:rsidR="00E32F5A" w:rsidRPr="001156A7" w:rsidRDefault="00E32F5A" w:rsidP="00727A88">
      <w:pPr>
        <w:pStyle w:val="FSRlist"/>
        <w:rPr>
          <w:b/>
        </w:rPr>
      </w:pPr>
      <w:r w:rsidRPr="001156A7">
        <w:rPr>
          <w:b/>
        </w:rPr>
        <w:t>3.</w:t>
      </w:r>
      <w:r>
        <w:rPr>
          <w:b/>
        </w:rPr>
        <w:t>5</w:t>
      </w:r>
      <w:r w:rsidRPr="001156A7">
        <w:rPr>
          <w:b/>
        </w:rPr>
        <w:t xml:space="preserve">% per </w:t>
      </w:r>
      <w:r>
        <w:rPr>
          <w:b/>
        </w:rPr>
        <w:t xml:space="preserve">annum </w:t>
      </w:r>
      <w:r w:rsidRPr="001156A7">
        <w:rPr>
          <w:b/>
        </w:rPr>
        <w:t>for attendant care rates</w:t>
      </w:r>
      <w:r>
        <w:rPr>
          <w:rStyle w:val="FootnoteReference"/>
          <w:b/>
        </w:rPr>
        <w:footnoteReference w:id="65"/>
      </w:r>
      <w:r w:rsidRPr="001156A7">
        <w:t xml:space="preserve">, which </w:t>
      </w:r>
      <w:r>
        <w:t xml:space="preserve">for the 2021-22 to 2024-25 years comprises a 3.0% per annum increase due to changes in minimum wages, as well as an additional amount of 0.5% per annum to allow for the increase in </w:t>
      </w:r>
      <w:r w:rsidR="00E26C6A">
        <w:t xml:space="preserve">the </w:t>
      </w:r>
      <w:r>
        <w:t>superannuation guarantee rate. For the 2025-26 and later years, a 3.5% per annum increase has been adopted due to expected changes in minimum wages, as it is expected that by this time Australia will have returned to a higher inflation environment</w:t>
      </w:r>
      <w:r w:rsidRPr="001156A7">
        <w:t>; and</w:t>
      </w:r>
    </w:p>
    <w:p w14:paraId="5AEB0259" w14:textId="01762FC2" w:rsidR="00DE4175" w:rsidRDefault="00E32F5A" w:rsidP="00DE4175">
      <w:pPr>
        <w:pStyle w:val="FSRlist"/>
      </w:pPr>
      <w:r>
        <w:rPr>
          <w:b/>
        </w:rPr>
        <w:t>Rates varying between 1.8</w:t>
      </w:r>
      <w:r w:rsidRPr="001156A7">
        <w:rPr>
          <w:b/>
        </w:rPr>
        <w:t xml:space="preserve">% </w:t>
      </w:r>
      <w:r w:rsidR="00916C9D">
        <w:rPr>
          <w:b/>
        </w:rPr>
        <w:t>and</w:t>
      </w:r>
      <w:r w:rsidRPr="001156A7">
        <w:rPr>
          <w:b/>
        </w:rPr>
        <w:t xml:space="preserve"> 2.5% per annum for the remaining support categories </w:t>
      </w:r>
      <w:r w:rsidRPr="001156A7">
        <w:t xml:space="preserve">(predominantly assistive technology, home modifications and therapy supports). This increase is based on the Consumer Price Index </w:t>
      </w:r>
      <w:r>
        <w:t>forecasts</w:t>
      </w:r>
      <w:r w:rsidRPr="001156A7">
        <w:t xml:space="preserve"> currently adopted by the Commonwealth Treasury department</w:t>
      </w:r>
      <w:r>
        <w:t>, in which the 2.5% per annum increase adopted in the 2023-24 and later years is based on the target Consumer Price Index range set by the Reserve Bank of Australia</w:t>
      </w:r>
      <w:r w:rsidRPr="001156A7">
        <w:t>.</w:t>
      </w:r>
      <w:r w:rsidR="00DE4175" w:rsidRPr="00DE4175">
        <w:t xml:space="preserve"> </w:t>
      </w:r>
    </w:p>
    <w:p w14:paraId="19C24A27" w14:textId="55D22205" w:rsidR="001A335A" w:rsidRPr="00DE4175" w:rsidRDefault="001A335A" w:rsidP="001A335A">
      <w:pPr>
        <w:pStyle w:val="FSRnormal"/>
        <w:rPr>
          <w:szCs w:val="22"/>
        </w:rPr>
      </w:pPr>
      <w:r w:rsidRPr="00DE4175">
        <w:rPr>
          <w:szCs w:val="22"/>
        </w:rPr>
        <w:t xml:space="preserve">These rates have been increased since the previous review, when short term rates were </w:t>
      </w:r>
      <w:r>
        <w:rPr>
          <w:szCs w:val="22"/>
        </w:rPr>
        <w:t xml:space="preserve">2.6% to 2.8% p.a. The increases arose from an improved economic outlook following Australia’s relatively successful response to the COVID-19 pandemic at the time that </w:t>
      </w:r>
      <w:r>
        <w:t xml:space="preserve">the Treasury forecasts were set (Q4 of 2020-21), noting the increase in COVID-19 cases </w:t>
      </w:r>
      <w:r w:rsidR="0034531A">
        <w:t xml:space="preserve">over July and August 2021 </w:t>
      </w:r>
      <w:r>
        <w:t>and hence likely deterioration in short term outlook</w:t>
      </w:r>
      <w:r>
        <w:rPr>
          <w:szCs w:val="22"/>
        </w:rPr>
        <w:t xml:space="preserve">. </w:t>
      </w:r>
    </w:p>
    <w:p w14:paraId="3B65CD70" w14:textId="643F768F" w:rsidR="00E32F5A" w:rsidRPr="001156A7" w:rsidRDefault="00E32F5A" w:rsidP="00E32F5A">
      <w:pPr>
        <w:pStyle w:val="Tables"/>
      </w:pPr>
      <w:r w:rsidRPr="001156A7">
        <w:t xml:space="preserve">Table </w:t>
      </w:r>
      <w:fldSimple w:instr=" SEQ Table \* ARABIC ">
        <w:r w:rsidR="00E50032">
          <w:rPr>
            <w:noProof/>
          </w:rPr>
          <w:t>28</w:t>
        </w:r>
      </w:fldSimple>
      <w:r w:rsidRPr="001156A7">
        <w:t xml:space="preserve"> Selected normal inflation rates</w:t>
      </w:r>
    </w:p>
    <w:tbl>
      <w:tblPr>
        <w:tblW w:w="8217" w:type="dxa"/>
        <w:tblLook w:val="04A0" w:firstRow="1" w:lastRow="0" w:firstColumn="1" w:lastColumn="0" w:noHBand="0" w:noVBand="1"/>
      </w:tblPr>
      <w:tblGrid>
        <w:gridCol w:w="1696"/>
        <w:gridCol w:w="993"/>
        <w:gridCol w:w="1134"/>
        <w:gridCol w:w="1134"/>
        <w:gridCol w:w="992"/>
        <w:gridCol w:w="992"/>
        <w:gridCol w:w="1276"/>
      </w:tblGrid>
      <w:tr w:rsidR="008D2B9F" w:rsidRPr="00C93000" w14:paraId="081146E2" w14:textId="77777777" w:rsidTr="008D2B9F">
        <w:trPr>
          <w:trHeight w:hRule="exact" w:val="301"/>
          <w:tblHeader/>
        </w:trPr>
        <w:tc>
          <w:tcPr>
            <w:tcW w:w="1696" w:type="dxa"/>
            <w:tcBorders>
              <w:top w:val="single" w:sz="4" w:space="0" w:color="auto"/>
              <w:left w:val="single" w:sz="4" w:space="0" w:color="auto"/>
              <w:bottom w:val="single" w:sz="4" w:space="0" w:color="000000"/>
              <w:right w:val="single" w:sz="4" w:space="0" w:color="auto"/>
            </w:tcBorders>
            <w:shd w:val="clear" w:color="000000" w:fill="6B2976"/>
            <w:hideMark/>
          </w:tcPr>
          <w:p w14:paraId="446DD6A0" w14:textId="77777777" w:rsidR="008D2B9F" w:rsidRPr="00C93000" w:rsidRDefault="008D2B9F" w:rsidP="00312E88">
            <w:pPr>
              <w:rPr>
                <w:rFonts w:cs="Arial"/>
                <w:b/>
                <w:bCs/>
                <w:color w:val="FFFFFF"/>
                <w:sz w:val="18"/>
                <w:szCs w:val="18"/>
              </w:rPr>
            </w:pPr>
            <w:r w:rsidRPr="00C93000">
              <w:rPr>
                <w:rFonts w:cs="Arial"/>
                <w:b/>
                <w:bCs/>
                <w:color w:val="FFFFFF"/>
                <w:sz w:val="18"/>
                <w:szCs w:val="18"/>
              </w:rPr>
              <w:t>Normal inflation</w:t>
            </w:r>
          </w:p>
        </w:tc>
        <w:tc>
          <w:tcPr>
            <w:tcW w:w="993" w:type="dxa"/>
            <w:tcBorders>
              <w:top w:val="nil"/>
              <w:left w:val="nil"/>
              <w:bottom w:val="nil"/>
              <w:right w:val="nil"/>
            </w:tcBorders>
            <w:shd w:val="clear" w:color="000000" w:fill="6B2976"/>
            <w:noWrap/>
            <w:hideMark/>
          </w:tcPr>
          <w:p w14:paraId="44CF987C" w14:textId="77777777" w:rsidR="008D2B9F" w:rsidRPr="00C93000" w:rsidRDefault="008D2B9F" w:rsidP="00312E88">
            <w:pPr>
              <w:jc w:val="center"/>
              <w:rPr>
                <w:rFonts w:cs="Arial"/>
                <w:b/>
                <w:bCs/>
                <w:color w:val="FFFFFF"/>
                <w:sz w:val="18"/>
                <w:szCs w:val="18"/>
              </w:rPr>
            </w:pPr>
            <w:r w:rsidRPr="00C93000">
              <w:rPr>
                <w:rFonts w:cs="Arial"/>
                <w:b/>
                <w:bCs/>
                <w:color w:val="FFFFFF"/>
                <w:sz w:val="18"/>
                <w:szCs w:val="18"/>
              </w:rPr>
              <w:t>2021-22</w:t>
            </w:r>
          </w:p>
        </w:tc>
        <w:tc>
          <w:tcPr>
            <w:tcW w:w="1134" w:type="dxa"/>
            <w:tcBorders>
              <w:top w:val="nil"/>
              <w:left w:val="nil"/>
              <w:bottom w:val="nil"/>
              <w:right w:val="nil"/>
            </w:tcBorders>
            <w:shd w:val="clear" w:color="000000" w:fill="6B2976"/>
            <w:noWrap/>
            <w:hideMark/>
          </w:tcPr>
          <w:p w14:paraId="6B199726" w14:textId="77777777" w:rsidR="008D2B9F" w:rsidRPr="00C93000" w:rsidRDefault="008D2B9F" w:rsidP="00312E88">
            <w:pPr>
              <w:jc w:val="center"/>
              <w:rPr>
                <w:rFonts w:cs="Arial"/>
                <w:b/>
                <w:bCs/>
                <w:color w:val="FFFFFF"/>
                <w:sz w:val="18"/>
                <w:szCs w:val="18"/>
              </w:rPr>
            </w:pPr>
            <w:r w:rsidRPr="00C93000">
              <w:rPr>
                <w:rFonts w:cs="Arial"/>
                <w:b/>
                <w:bCs/>
                <w:color w:val="FFFFFF"/>
                <w:sz w:val="18"/>
                <w:szCs w:val="18"/>
              </w:rPr>
              <w:t>2022-23</w:t>
            </w:r>
          </w:p>
        </w:tc>
        <w:tc>
          <w:tcPr>
            <w:tcW w:w="1134" w:type="dxa"/>
            <w:tcBorders>
              <w:top w:val="nil"/>
              <w:left w:val="nil"/>
              <w:bottom w:val="nil"/>
              <w:right w:val="nil"/>
            </w:tcBorders>
            <w:shd w:val="clear" w:color="000000" w:fill="6B2976"/>
            <w:noWrap/>
            <w:hideMark/>
          </w:tcPr>
          <w:p w14:paraId="4FC87F4B" w14:textId="77777777" w:rsidR="008D2B9F" w:rsidRPr="00C93000" w:rsidRDefault="008D2B9F" w:rsidP="00312E88">
            <w:pPr>
              <w:jc w:val="center"/>
              <w:rPr>
                <w:rFonts w:cs="Arial"/>
                <w:b/>
                <w:bCs/>
                <w:color w:val="FFFFFF"/>
                <w:sz w:val="18"/>
                <w:szCs w:val="18"/>
              </w:rPr>
            </w:pPr>
            <w:r w:rsidRPr="00C93000">
              <w:rPr>
                <w:rFonts w:cs="Arial"/>
                <w:b/>
                <w:bCs/>
                <w:color w:val="FFFFFF"/>
                <w:sz w:val="18"/>
                <w:szCs w:val="18"/>
              </w:rPr>
              <w:t>2023-24</w:t>
            </w:r>
          </w:p>
        </w:tc>
        <w:tc>
          <w:tcPr>
            <w:tcW w:w="992" w:type="dxa"/>
            <w:tcBorders>
              <w:top w:val="nil"/>
              <w:left w:val="nil"/>
              <w:bottom w:val="nil"/>
              <w:right w:val="nil"/>
            </w:tcBorders>
            <w:shd w:val="clear" w:color="000000" w:fill="6B2976"/>
            <w:noWrap/>
            <w:hideMark/>
          </w:tcPr>
          <w:p w14:paraId="59C84F10" w14:textId="77777777" w:rsidR="008D2B9F" w:rsidRPr="00C93000" w:rsidRDefault="008D2B9F" w:rsidP="00312E88">
            <w:pPr>
              <w:jc w:val="center"/>
              <w:rPr>
                <w:rFonts w:cs="Arial"/>
                <w:b/>
                <w:bCs/>
                <w:color w:val="FFFFFF"/>
                <w:sz w:val="18"/>
                <w:szCs w:val="18"/>
              </w:rPr>
            </w:pPr>
            <w:r w:rsidRPr="00C93000">
              <w:rPr>
                <w:rFonts w:cs="Arial"/>
                <w:b/>
                <w:bCs/>
                <w:color w:val="FFFFFF"/>
                <w:sz w:val="18"/>
                <w:szCs w:val="18"/>
              </w:rPr>
              <w:t>2024-25</w:t>
            </w:r>
          </w:p>
        </w:tc>
        <w:tc>
          <w:tcPr>
            <w:tcW w:w="992" w:type="dxa"/>
            <w:tcBorders>
              <w:top w:val="nil"/>
              <w:left w:val="nil"/>
              <w:bottom w:val="nil"/>
              <w:right w:val="nil"/>
            </w:tcBorders>
            <w:shd w:val="clear" w:color="000000" w:fill="6B2976"/>
            <w:noWrap/>
            <w:hideMark/>
          </w:tcPr>
          <w:p w14:paraId="748E0B73" w14:textId="77777777" w:rsidR="008D2B9F" w:rsidRPr="00C93000" w:rsidRDefault="008D2B9F" w:rsidP="00312E88">
            <w:pPr>
              <w:jc w:val="center"/>
              <w:rPr>
                <w:rFonts w:cs="Arial"/>
                <w:b/>
                <w:bCs/>
                <w:color w:val="FFFFFF"/>
                <w:sz w:val="18"/>
                <w:szCs w:val="18"/>
              </w:rPr>
            </w:pPr>
            <w:r w:rsidRPr="00C93000">
              <w:rPr>
                <w:rFonts w:cs="Arial"/>
                <w:b/>
                <w:bCs/>
                <w:color w:val="FFFFFF"/>
                <w:sz w:val="18"/>
                <w:szCs w:val="18"/>
              </w:rPr>
              <w:t>2025-26</w:t>
            </w:r>
          </w:p>
        </w:tc>
        <w:tc>
          <w:tcPr>
            <w:tcW w:w="1276" w:type="dxa"/>
            <w:tcBorders>
              <w:top w:val="nil"/>
              <w:left w:val="single" w:sz="4" w:space="0" w:color="auto"/>
              <w:bottom w:val="nil"/>
              <w:right w:val="single" w:sz="4" w:space="0" w:color="auto"/>
            </w:tcBorders>
            <w:shd w:val="clear" w:color="000000" w:fill="6B2976"/>
            <w:noWrap/>
            <w:hideMark/>
          </w:tcPr>
          <w:p w14:paraId="085A3789" w14:textId="77777777" w:rsidR="008D2B9F" w:rsidRPr="00C93000" w:rsidRDefault="008D2B9F" w:rsidP="00312E88">
            <w:pPr>
              <w:jc w:val="center"/>
              <w:rPr>
                <w:rFonts w:cs="Arial"/>
                <w:b/>
                <w:bCs/>
                <w:color w:val="FFFFFF"/>
                <w:sz w:val="18"/>
                <w:szCs w:val="18"/>
              </w:rPr>
            </w:pPr>
            <w:r w:rsidRPr="00C93000">
              <w:rPr>
                <w:rFonts w:cs="Arial"/>
                <w:b/>
                <w:bCs/>
                <w:color w:val="FFFFFF"/>
                <w:sz w:val="18"/>
                <w:szCs w:val="18"/>
              </w:rPr>
              <w:t>Long-term</w:t>
            </w:r>
          </w:p>
        </w:tc>
      </w:tr>
      <w:tr w:rsidR="008D2B9F" w:rsidRPr="00C93000" w14:paraId="2765A15E" w14:textId="77777777" w:rsidTr="008D2B9F">
        <w:trPr>
          <w:trHeight w:hRule="exact" w:val="301"/>
        </w:trPr>
        <w:tc>
          <w:tcPr>
            <w:tcW w:w="1696" w:type="dxa"/>
            <w:tcBorders>
              <w:top w:val="nil"/>
              <w:left w:val="single" w:sz="4" w:space="0" w:color="auto"/>
              <w:bottom w:val="nil"/>
              <w:right w:val="nil"/>
            </w:tcBorders>
            <w:shd w:val="clear" w:color="auto" w:fill="auto"/>
            <w:noWrap/>
            <w:hideMark/>
          </w:tcPr>
          <w:p w14:paraId="19D903DA" w14:textId="77777777" w:rsidR="008D2B9F" w:rsidRPr="00C93000" w:rsidRDefault="008D2B9F" w:rsidP="00312E88">
            <w:pPr>
              <w:rPr>
                <w:rFonts w:cs="Arial"/>
                <w:color w:val="000000"/>
                <w:sz w:val="18"/>
                <w:szCs w:val="18"/>
              </w:rPr>
            </w:pPr>
            <w:r w:rsidRPr="00C93000">
              <w:rPr>
                <w:rFonts w:cs="Arial"/>
                <w:color w:val="000000"/>
                <w:sz w:val="18"/>
                <w:szCs w:val="18"/>
              </w:rPr>
              <w:t>Attendant care</w:t>
            </w:r>
          </w:p>
        </w:tc>
        <w:tc>
          <w:tcPr>
            <w:tcW w:w="993" w:type="dxa"/>
            <w:tcBorders>
              <w:top w:val="nil"/>
              <w:left w:val="single" w:sz="4" w:space="0" w:color="auto"/>
              <w:bottom w:val="nil"/>
              <w:right w:val="nil"/>
            </w:tcBorders>
            <w:shd w:val="clear" w:color="auto" w:fill="auto"/>
            <w:noWrap/>
            <w:hideMark/>
          </w:tcPr>
          <w:p w14:paraId="35757B11" w14:textId="77777777" w:rsidR="008D2B9F" w:rsidRPr="00C93000" w:rsidRDefault="008D2B9F" w:rsidP="00312E88">
            <w:pPr>
              <w:jc w:val="center"/>
              <w:rPr>
                <w:rFonts w:cs="Arial"/>
                <w:color w:val="000000"/>
                <w:sz w:val="18"/>
                <w:szCs w:val="18"/>
              </w:rPr>
            </w:pPr>
            <w:r w:rsidRPr="00C93000">
              <w:rPr>
                <w:rFonts w:cs="Arial"/>
                <w:color w:val="000000"/>
                <w:sz w:val="18"/>
                <w:szCs w:val="18"/>
              </w:rPr>
              <w:t>3.5%</w:t>
            </w:r>
          </w:p>
        </w:tc>
        <w:tc>
          <w:tcPr>
            <w:tcW w:w="1134" w:type="dxa"/>
            <w:tcBorders>
              <w:top w:val="nil"/>
              <w:left w:val="nil"/>
              <w:bottom w:val="nil"/>
              <w:right w:val="nil"/>
            </w:tcBorders>
            <w:shd w:val="clear" w:color="auto" w:fill="auto"/>
            <w:noWrap/>
            <w:hideMark/>
          </w:tcPr>
          <w:p w14:paraId="76FF0FD7" w14:textId="77777777" w:rsidR="008D2B9F" w:rsidRPr="00C93000" w:rsidRDefault="008D2B9F" w:rsidP="00312E88">
            <w:pPr>
              <w:jc w:val="center"/>
              <w:rPr>
                <w:rFonts w:cs="Arial"/>
                <w:color w:val="000000"/>
                <w:sz w:val="18"/>
                <w:szCs w:val="18"/>
              </w:rPr>
            </w:pPr>
            <w:r w:rsidRPr="00C93000">
              <w:rPr>
                <w:rFonts w:cs="Arial"/>
                <w:color w:val="000000"/>
                <w:sz w:val="18"/>
                <w:szCs w:val="18"/>
              </w:rPr>
              <w:t>3.5%</w:t>
            </w:r>
          </w:p>
        </w:tc>
        <w:tc>
          <w:tcPr>
            <w:tcW w:w="1134" w:type="dxa"/>
            <w:tcBorders>
              <w:top w:val="nil"/>
              <w:left w:val="nil"/>
              <w:bottom w:val="nil"/>
              <w:right w:val="nil"/>
            </w:tcBorders>
            <w:shd w:val="clear" w:color="auto" w:fill="auto"/>
            <w:noWrap/>
            <w:hideMark/>
          </w:tcPr>
          <w:p w14:paraId="320FB50D" w14:textId="77777777" w:rsidR="008D2B9F" w:rsidRPr="00C93000" w:rsidRDefault="008D2B9F" w:rsidP="00312E88">
            <w:pPr>
              <w:jc w:val="center"/>
              <w:rPr>
                <w:rFonts w:cs="Arial"/>
                <w:color w:val="000000"/>
                <w:sz w:val="18"/>
                <w:szCs w:val="18"/>
              </w:rPr>
            </w:pPr>
            <w:r w:rsidRPr="00C93000">
              <w:rPr>
                <w:rFonts w:cs="Arial"/>
                <w:color w:val="000000"/>
                <w:sz w:val="18"/>
                <w:szCs w:val="18"/>
              </w:rPr>
              <w:t>3.5%</w:t>
            </w:r>
          </w:p>
        </w:tc>
        <w:tc>
          <w:tcPr>
            <w:tcW w:w="992" w:type="dxa"/>
            <w:tcBorders>
              <w:top w:val="nil"/>
              <w:left w:val="nil"/>
              <w:bottom w:val="nil"/>
              <w:right w:val="nil"/>
            </w:tcBorders>
            <w:shd w:val="clear" w:color="auto" w:fill="auto"/>
            <w:noWrap/>
            <w:hideMark/>
          </w:tcPr>
          <w:p w14:paraId="1FA176A3" w14:textId="77777777" w:rsidR="008D2B9F" w:rsidRPr="00C93000" w:rsidRDefault="008D2B9F" w:rsidP="00312E88">
            <w:pPr>
              <w:jc w:val="center"/>
              <w:rPr>
                <w:rFonts w:cs="Arial"/>
                <w:color w:val="000000"/>
                <w:sz w:val="18"/>
                <w:szCs w:val="18"/>
              </w:rPr>
            </w:pPr>
            <w:r w:rsidRPr="00C93000">
              <w:rPr>
                <w:rFonts w:cs="Arial"/>
                <w:color w:val="000000"/>
                <w:sz w:val="18"/>
                <w:szCs w:val="18"/>
              </w:rPr>
              <w:t>3.5%</w:t>
            </w:r>
          </w:p>
        </w:tc>
        <w:tc>
          <w:tcPr>
            <w:tcW w:w="992" w:type="dxa"/>
            <w:tcBorders>
              <w:top w:val="nil"/>
              <w:left w:val="nil"/>
              <w:bottom w:val="nil"/>
              <w:right w:val="nil"/>
            </w:tcBorders>
            <w:shd w:val="clear" w:color="auto" w:fill="auto"/>
            <w:noWrap/>
            <w:hideMark/>
          </w:tcPr>
          <w:p w14:paraId="10510690" w14:textId="77777777" w:rsidR="008D2B9F" w:rsidRPr="00C93000" w:rsidRDefault="008D2B9F" w:rsidP="00312E88">
            <w:pPr>
              <w:jc w:val="center"/>
              <w:rPr>
                <w:rFonts w:cs="Arial"/>
                <w:color w:val="000000"/>
                <w:sz w:val="18"/>
                <w:szCs w:val="18"/>
              </w:rPr>
            </w:pPr>
            <w:r w:rsidRPr="00C93000">
              <w:rPr>
                <w:rFonts w:cs="Arial"/>
                <w:color w:val="000000"/>
                <w:sz w:val="18"/>
                <w:szCs w:val="18"/>
              </w:rPr>
              <w:t>3.5%</w:t>
            </w:r>
          </w:p>
        </w:tc>
        <w:tc>
          <w:tcPr>
            <w:tcW w:w="1276" w:type="dxa"/>
            <w:tcBorders>
              <w:top w:val="nil"/>
              <w:left w:val="single" w:sz="4" w:space="0" w:color="auto"/>
              <w:bottom w:val="nil"/>
              <w:right w:val="single" w:sz="4" w:space="0" w:color="auto"/>
            </w:tcBorders>
            <w:shd w:val="clear" w:color="auto" w:fill="auto"/>
            <w:noWrap/>
            <w:hideMark/>
          </w:tcPr>
          <w:p w14:paraId="0F757066" w14:textId="77777777" w:rsidR="008D2B9F" w:rsidRPr="00C93000" w:rsidRDefault="008D2B9F" w:rsidP="00312E88">
            <w:pPr>
              <w:jc w:val="center"/>
              <w:rPr>
                <w:rFonts w:cs="Arial"/>
                <w:color w:val="000000"/>
                <w:sz w:val="18"/>
                <w:szCs w:val="18"/>
              </w:rPr>
            </w:pPr>
            <w:r w:rsidRPr="00C93000">
              <w:rPr>
                <w:rFonts w:cs="Arial"/>
                <w:color w:val="000000"/>
                <w:sz w:val="18"/>
                <w:szCs w:val="18"/>
              </w:rPr>
              <w:t>3.5%</w:t>
            </w:r>
          </w:p>
        </w:tc>
      </w:tr>
      <w:tr w:rsidR="008D2B9F" w:rsidRPr="00C93000" w14:paraId="62A0080E" w14:textId="77777777" w:rsidTr="008D2B9F">
        <w:trPr>
          <w:trHeight w:hRule="exact" w:val="301"/>
        </w:trPr>
        <w:tc>
          <w:tcPr>
            <w:tcW w:w="1696" w:type="dxa"/>
            <w:tcBorders>
              <w:top w:val="nil"/>
              <w:left w:val="single" w:sz="4" w:space="0" w:color="auto"/>
              <w:bottom w:val="single" w:sz="4" w:space="0" w:color="auto"/>
              <w:right w:val="nil"/>
            </w:tcBorders>
            <w:shd w:val="clear" w:color="auto" w:fill="auto"/>
            <w:noWrap/>
            <w:hideMark/>
          </w:tcPr>
          <w:p w14:paraId="00EC625A" w14:textId="77777777" w:rsidR="008D2B9F" w:rsidRPr="00C93000" w:rsidRDefault="008D2B9F" w:rsidP="00312E88">
            <w:pPr>
              <w:rPr>
                <w:rFonts w:cs="Arial"/>
                <w:color w:val="000000"/>
                <w:sz w:val="18"/>
                <w:szCs w:val="18"/>
              </w:rPr>
            </w:pPr>
            <w:r w:rsidRPr="00C93000">
              <w:rPr>
                <w:rFonts w:cs="Arial"/>
                <w:color w:val="000000"/>
                <w:sz w:val="18"/>
                <w:szCs w:val="18"/>
              </w:rPr>
              <w:t>Other supports</w:t>
            </w:r>
          </w:p>
        </w:tc>
        <w:tc>
          <w:tcPr>
            <w:tcW w:w="993" w:type="dxa"/>
            <w:tcBorders>
              <w:top w:val="nil"/>
              <w:left w:val="single" w:sz="4" w:space="0" w:color="auto"/>
              <w:bottom w:val="single" w:sz="4" w:space="0" w:color="auto"/>
              <w:right w:val="nil"/>
            </w:tcBorders>
            <w:shd w:val="clear" w:color="auto" w:fill="auto"/>
            <w:noWrap/>
            <w:hideMark/>
          </w:tcPr>
          <w:p w14:paraId="0785C9F3" w14:textId="77777777" w:rsidR="008D2B9F" w:rsidRPr="00C93000" w:rsidRDefault="008D2B9F" w:rsidP="00312E88">
            <w:pPr>
              <w:jc w:val="center"/>
              <w:rPr>
                <w:rFonts w:cs="Arial"/>
                <w:color w:val="000000"/>
                <w:sz w:val="18"/>
                <w:szCs w:val="18"/>
              </w:rPr>
            </w:pPr>
            <w:r w:rsidRPr="00C93000">
              <w:rPr>
                <w:rFonts w:cs="Arial"/>
                <w:color w:val="000000"/>
                <w:sz w:val="18"/>
                <w:szCs w:val="18"/>
              </w:rPr>
              <w:t>1.8%</w:t>
            </w:r>
          </w:p>
        </w:tc>
        <w:tc>
          <w:tcPr>
            <w:tcW w:w="1134" w:type="dxa"/>
            <w:tcBorders>
              <w:top w:val="nil"/>
              <w:left w:val="nil"/>
              <w:bottom w:val="single" w:sz="4" w:space="0" w:color="auto"/>
              <w:right w:val="nil"/>
            </w:tcBorders>
            <w:shd w:val="clear" w:color="auto" w:fill="auto"/>
            <w:noWrap/>
            <w:hideMark/>
          </w:tcPr>
          <w:p w14:paraId="32A12C0C" w14:textId="77777777" w:rsidR="008D2B9F" w:rsidRPr="00C93000" w:rsidRDefault="008D2B9F" w:rsidP="00312E88">
            <w:pPr>
              <w:jc w:val="center"/>
              <w:rPr>
                <w:rFonts w:cs="Arial"/>
                <w:color w:val="000000"/>
                <w:sz w:val="18"/>
                <w:szCs w:val="18"/>
              </w:rPr>
            </w:pPr>
            <w:r w:rsidRPr="00C93000">
              <w:rPr>
                <w:rFonts w:cs="Arial"/>
                <w:color w:val="000000"/>
                <w:sz w:val="18"/>
                <w:szCs w:val="18"/>
              </w:rPr>
              <w:t>2.3%</w:t>
            </w:r>
          </w:p>
        </w:tc>
        <w:tc>
          <w:tcPr>
            <w:tcW w:w="1134" w:type="dxa"/>
            <w:tcBorders>
              <w:top w:val="nil"/>
              <w:left w:val="nil"/>
              <w:bottom w:val="single" w:sz="4" w:space="0" w:color="auto"/>
              <w:right w:val="nil"/>
            </w:tcBorders>
            <w:shd w:val="clear" w:color="auto" w:fill="auto"/>
            <w:noWrap/>
            <w:hideMark/>
          </w:tcPr>
          <w:p w14:paraId="6C23933F" w14:textId="77777777" w:rsidR="008D2B9F" w:rsidRPr="00C93000" w:rsidRDefault="008D2B9F" w:rsidP="00312E88">
            <w:pPr>
              <w:jc w:val="center"/>
              <w:rPr>
                <w:rFonts w:cs="Arial"/>
                <w:color w:val="000000"/>
                <w:sz w:val="18"/>
                <w:szCs w:val="18"/>
              </w:rPr>
            </w:pPr>
            <w:r w:rsidRPr="00C93000">
              <w:rPr>
                <w:rFonts w:cs="Arial"/>
                <w:color w:val="000000"/>
                <w:sz w:val="18"/>
                <w:szCs w:val="18"/>
              </w:rPr>
              <w:t>2.5%</w:t>
            </w:r>
          </w:p>
        </w:tc>
        <w:tc>
          <w:tcPr>
            <w:tcW w:w="992" w:type="dxa"/>
            <w:tcBorders>
              <w:top w:val="nil"/>
              <w:left w:val="nil"/>
              <w:bottom w:val="single" w:sz="4" w:space="0" w:color="auto"/>
              <w:right w:val="nil"/>
            </w:tcBorders>
            <w:shd w:val="clear" w:color="auto" w:fill="auto"/>
            <w:noWrap/>
            <w:hideMark/>
          </w:tcPr>
          <w:p w14:paraId="2BD4DA00" w14:textId="77777777" w:rsidR="008D2B9F" w:rsidRPr="00C93000" w:rsidRDefault="008D2B9F" w:rsidP="00312E88">
            <w:pPr>
              <w:jc w:val="center"/>
              <w:rPr>
                <w:rFonts w:cs="Arial"/>
                <w:color w:val="000000"/>
                <w:sz w:val="18"/>
                <w:szCs w:val="18"/>
              </w:rPr>
            </w:pPr>
            <w:r w:rsidRPr="00C93000">
              <w:rPr>
                <w:rFonts w:cs="Arial"/>
                <w:color w:val="000000"/>
                <w:sz w:val="18"/>
                <w:szCs w:val="18"/>
              </w:rPr>
              <w:t>2.5%</w:t>
            </w:r>
          </w:p>
        </w:tc>
        <w:tc>
          <w:tcPr>
            <w:tcW w:w="992" w:type="dxa"/>
            <w:tcBorders>
              <w:top w:val="nil"/>
              <w:left w:val="nil"/>
              <w:bottom w:val="single" w:sz="4" w:space="0" w:color="auto"/>
              <w:right w:val="nil"/>
            </w:tcBorders>
            <w:shd w:val="clear" w:color="auto" w:fill="auto"/>
            <w:noWrap/>
            <w:hideMark/>
          </w:tcPr>
          <w:p w14:paraId="1FBC08D8" w14:textId="77777777" w:rsidR="008D2B9F" w:rsidRPr="00C93000" w:rsidRDefault="008D2B9F" w:rsidP="00312E88">
            <w:pPr>
              <w:jc w:val="center"/>
              <w:rPr>
                <w:rFonts w:cs="Arial"/>
                <w:color w:val="000000"/>
                <w:sz w:val="18"/>
                <w:szCs w:val="18"/>
              </w:rPr>
            </w:pPr>
            <w:r w:rsidRPr="00C93000">
              <w:rPr>
                <w:rFonts w:cs="Arial"/>
                <w:color w:val="000000"/>
                <w:sz w:val="18"/>
                <w:szCs w:val="18"/>
              </w:rPr>
              <w:t>2.5%</w:t>
            </w:r>
          </w:p>
        </w:tc>
        <w:tc>
          <w:tcPr>
            <w:tcW w:w="1276" w:type="dxa"/>
            <w:tcBorders>
              <w:top w:val="nil"/>
              <w:left w:val="single" w:sz="4" w:space="0" w:color="auto"/>
              <w:bottom w:val="single" w:sz="4" w:space="0" w:color="auto"/>
              <w:right w:val="single" w:sz="4" w:space="0" w:color="auto"/>
            </w:tcBorders>
            <w:shd w:val="clear" w:color="auto" w:fill="auto"/>
            <w:noWrap/>
            <w:hideMark/>
          </w:tcPr>
          <w:p w14:paraId="0BAC0DF4" w14:textId="77777777" w:rsidR="008D2B9F" w:rsidRPr="00C93000" w:rsidRDefault="008D2B9F" w:rsidP="00312E88">
            <w:pPr>
              <w:jc w:val="center"/>
              <w:rPr>
                <w:rFonts w:cs="Arial"/>
                <w:color w:val="000000"/>
                <w:sz w:val="18"/>
                <w:szCs w:val="18"/>
              </w:rPr>
            </w:pPr>
            <w:r w:rsidRPr="00C93000">
              <w:rPr>
                <w:rFonts w:cs="Arial"/>
                <w:color w:val="000000"/>
                <w:sz w:val="18"/>
                <w:szCs w:val="18"/>
              </w:rPr>
              <w:t>2.5%</w:t>
            </w:r>
          </w:p>
        </w:tc>
      </w:tr>
      <w:tr w:rsidR="008D2B9F" w:rsidRPr="00C93000" w14:paraId="78A352C5" w14:textId="77777777" w:rsidTr="008D2B9F">
        <w:trPr>
          <w:trHeight w:hRule="exact" w:val="301"/>
        </w:trPr>
        <w:tc>
          <w:tcPr>
            <w:tcW w:w="1696" w:type="dxa"/>
            <w:tcBorders>
              <w:top w:val="nil"/>
              <w:left w:val="single" w:sz="4" w:space="0" w:color="auto"/>
              <w:bottom w:val="single" w:sz="4" w:space="0" w:color="auto"/>
              <w:right w:val="nil"/>
            </w:tcBorders>
            <w:shd w:val="clear" w:color="auto" w:fill="auto"/>
            <w:noWrap/>
            <w:hideMark/>
          </w:tcPr>
          <w:p w14:paraId="3061E6B1" w14:textId="77777777" w:rsidR="008D2B9F" w:rsidRPr="00C93000" w:rsidRDefault="008D2B9F" w:rsidP="00312E88">
            <w:pPr>
              <w:rPr>
                <w:rFonts w:cs="Arial"/>
                <w:b/>
                <w:bCs/>
                <w:color w:val="000000"/>
                <w:sz w:val="18"/>
                <w:szCs w:val="18"/>
              </w:rPr>
            </w:pPr>
            <w:r w:rsidRPr="00C93000">
              <w:rPr>
                <w:rFonts w:cs="Arial"/>
                <w:b/>
                <w:bCs/>
                <w:color w:val="000000"/>
                <w:sz w:val="18"/>
                <w:szCs w:val="18"/>
              </w:rPr>
              <w:t>Overall</w:t>
            </w:r>
          </w:p>
        </w:tc>
        <w:tc>
          <w:tcPr>
            <w:tcW w:w="993" w:type="dxa"/>
            <w:tcBorders>
              <w:top w:val="nil"/>
              <w:left w:val="single" w:sz="4" w:space="0" w:color="auto"/>
              <w:bottom w:val="single" w:sz="4" w:space="0" w:color="auto"/>
              <w:right w:val="nil"/>
            </w:tcBorders>
            <w:shd w:val="clear" w:color="auto" w:fill="auto"/>
            <w:noWrap/>
            <w:hideMark/>
          </w:tcPr>
          <w:p w14:paraId="36DBD377" w14:textId="77777777" w:rsidR="008D2B9F" w:rsidRPr="00C93000" w:rsidRDefault="008D2B9F" w:rsidP="00312E88">
            <w:pPr>
              <w:jc w:val="center"/>
              <w:rPr>
                <w:rFonts w:cs="Arial"/>
                <w:b/>
                <w:bCs/>
                <w:color w:val="000000"/>
                <w:sz w:val="18"/>
                <w:szCs w:val="18"/>
              </w:rPr>
            </w:pPr>
            <w:r w:rsidRPr="00C93000">
              <w:rPr>
                <w:rFonts w:cs="Arial"/>
                <w:b/>
                <w:bCs/>
                <w:color w:val="000000"/>
                <w:sz w:val="18"/>
                <w:szCs w:val="18"/>
              </w:rPr>
              <w:t>3.0%</w:t>
            </w:r>
          </w:p>
        </w:tc>
        <w:tc>
          <w:tcPr>
            <w:tcW w:w="1134" w:type="dxa"/>
            <w:tcBorders>
              <w:top w:val="nil"/>
              <w:left w:val="nil"/>
              <w:bottom w:val="single" w:sz="4" w:space="0" w:color="auto"/>
              <w:right w:val="nil"/>
            </w:tcBorders>
            <w:shd w:val="clear" w:color="auto" w:fill="auto"/>
            <w:noWrap/>
            <w:hideMark/>
          </w:tcPr>
          <w:p w14:paraId="2A4C5ACB" w14:textId="77777777" w:rsidR="008D2B9F" w:rsidRPr="00C93000" w:rsidRDefault="008D2B9F" w:rsidP="00312E88">
            <w:pPr>
              <w:jc w:val="center"/>
              <w:rPr>
                <w:rFonts w:cs="Arial"/>
                <w:b/>
                <w:bCs/>
                <w:color w:val="000000"/>
                <w:sz w:val="18"/>
                <w:szCs w:val="18"/>
              </w:rPr>
            </w:pPr>
            <w:r w:rsidRPr="00C93000">
              <w:rPr>
                <w:rFonts w:cs="Arial"/>
                <w:b/>
                <w:bCs/>
                <w:color w:val="000000"/>
                <w:sz w:val="18"/>
                <w:szCs w:val="18"/>
              </w:rPr>
              <w:t>3.2%</w:t>
            </w:r>
          </w:p>
        </w:tc>
        <w:tc>
          <w:tcPr>
            <w:tcW w:w="1134" w:type="dxa"/>
            <w:tcBorders>
              <w:top w:val="nil"/>
              <w:left w:val="nil"/>
              <w:bottom w:val="single" w:sz="4" w:space="0" w:color="auto"/>
              <w:right w:val="nil"/>
            </w:tcBorders>
            <w:shd w:val="clear" w:color="auto" w:fill="auto"/>
            <w:noWrap/>
            <w:hideMark/>
          </w:tcPr>
          <w:p w14:paraId="4E43DA10" w14:textId="77777777" w:rsidR="008D2B9F" w:rsidRPr="00C93000" w:rsidRDefault="008D2B9F" w:rsidP="00312E88">
            <w:pPr>
              <w:jc w:val="center"/>
              <w:rPr>
                <w:rFonts w:cs="Arial"/>
                <w:b/>
                <w:bCs/>
                <w:color w:val="000000"/>
                <w:sz w:val="18"/>
                <w:szCs w:val="18"/>
              </w:rPr>
            </w:pPr>
            <w:r w:rsidRPr="00C93000">
              <w:rPr>
                <w:rFonts w:cs="Arial"/>
                <w:b/>
                <w:bCs/>
                <w:color w:val="000000"/>
                <w:sz w:val="18"/>
                <w:szCs w:val="18"/>
              </w:rPr>
              <w:t>3.2%</w:t>
            </w:r>
          </w:p>
        </w:tc>
        <w:tc>
          <w:tcPr>
            <w:tcW w:w="992" w:type="dxa"/>
            <w:tcBorders>
              <w:top w:val="nil"/>
              <w:left w:val="nil"/>
              <w:bottom w:val="single" w:sz="4" w:space="0" w:color="auto"/>
              <w:right w:val="nil"/>
            </w:tcBorders>
            <w:shd w:val="clear" w:color="auto" w:fill="auto"/>
            <w:noWrap/>
            <w:hideMark/>
          </w:tcPr>
          <w:p w14:paraId="1C117A1F" w14:textId="77777777" w:rsidR="008D2B9F" w:rsidRPr="00C93000" w:rsidRDefault="008D2B9F" w:rsidP="00312E88">
            <w:pPr>
              <w:jc w:val="center"/>
              <w:rPr>
                <w:rFonts w:cs="Arial"/>
                <w:b/>
                <w:bCs/>
                <w:color w:val="000000"/>
                <w:sz w:val="18"/>
                <w:szCs w:val="18"/>
              </w:rPr>
            </w:pPr>
            <w:r w:rsidRPr="00C93000">
              <w:rPr>
                <w:rFonts w:cs="Arial"/>
                <w:b/>
                <w:bCs/>
                <w:color w:val="000000"/>
                <w:sz w:val="18"/>
                <w:szCs w:val="18"/>
              </w:rPr>
              <w:t>3.2%</w:t>
            </w:r>
          </w:p>
        </w:tc>
        <w:tc>
          <w:tcPr>
            <w:tcW w:w="992" w:type="dxa"/>
            <w:tcBorders>
              <w:top w:val="nil"/>
              <w:left w:val="nil"/>
              <w:bottom w:val="single" w:sz="4" w:space="0" w:color="auto"/>
              <w:right w:val="single" w:sz="4" w:space="0" w:color="auto"/>
            </w:tcBorders>
            <w:shd w:val="clear" w:color="auto" w:fill="auto"/>
            <w:noWrap/>
            <w:hideMark/>
          </w:tcPr>
          <w:p w14:paraId="6586B6B9" w14:textId="77777777" w:rsidR="008D2B9F" w:rsidRPr="00C93000" w:rsidRDefault="008D2B9F" w:rsidP="00312E88">
            <w:pPr>
              <w:jc w:val="center"/>
              <w:rPr>
                <w:rFonts w:cs="Arial"/>
                <w:b/>
                <w:bCs/>
                <w:color w:val="000000"/>
                <w:sz w:val="18"/>
                <w:szCs w:val="18"/>
              </w:rPr>
            </w:pPr>
            <w:r w:rsidRPr="00C93000">
              <w:rPr>
                <w:rFonts w:cs="Arial"/>
                <w:b/>
                <w:bCs/>
                <w:color w:val="000000"/>
                <w:sz w:val="18"/>
                <w:szCs w:val="18"/>
              </w:rPr>
              <w:t>3.2%</w:t>
            </w:r>
          </w:p>
        </w:tc>
        <w:tc>
          <w:tcPr>
            <w:tcW w:w="1276" w:type="dxa"/>
            <w:tcBorders>
              <w:top w:val="nil"/>
              <w:left w:val="nil"/>
              <w:bottom w:val="single" w:sz="4" w:space="0" w:color="auto"/>
              <w:right w:val="single" w:sz="4" w:space="0" w:color="auto"/>
            </w:tcBorders>
            <w:shd w:val="clear" w:color="auto" w:fill="auto"/>
            <w:noWrap/>
            <w:hideMark/>
          </w:tcPr>
          <w:p w14:paraId="7C1CD1A3" w14:textId="77777777" w:rsidR="008D2B9F" w:rsidRPr="00C93000" w:rsidRDefault="008D2B9F" w:rsidP="00312E88">
            <w:pPr>
              <w:jc w:val="center"/>
              <w:rPr>
                <w:rFonts w:cs="Arial"/>
                <w:b/>
                <w:bCs/>
                <w:color w:val="000000"/>
                <w:sz w:val="18"/>
                <w:szCs w:val="18"/>
              </w:rPr>
            </w:pPr>
            <w:r w:rsidRPr="00C93000">
              <w:rPr>
                <w:rFonts w:cs="Arial"/>
                <w:b/>
                <w:bCs/>
                <w:color w:val="000000"/>
                <w:sz w:val="18"/>
                <w:szCs w:val="18"/>
              </w:rPr>
              <w:t>3.2%</w:t>
            </w:r>
          </w:p>
        </w:tc>
      </w:tr>
    </w:tbl>
    <w:p w14:paraId="4B872857" w14:textId="17D0E856" w:rsidR="00E32F5A" w:rsidRPr="00E32F5A" w:rsidRDefault="00E32F5A" w:rsidP="00E32F5A">
      <w:pPr>
        <w:pStyle w:val="FSRnormal"/>
      </w:pPr>
    </w:p>
    <w:p w14:paraId="3886E07E" w14:textId="56672B08" w:rsidR="00E32F5A" w:rsidRDefault="00E32F5A" w:rsidP="00E32F5A">
      <w:pPr>
        <w:pStyle w:val="FSRHeading4"/>
      </w:pPr>
      <w:r w:rsidRPr="001156A7">
        <w:t>Superimposed inflation</w:t>
      </w:r>
    </w:p>
    <w:p w14:paraId="1CA9A919" w14:textId="4233B06D" w:rsidR="00E32F5A" w:rsidRDefault="00E32F5A" w:rsidP="00E32F5A">
      <w:pPr>
        <w:pStyle w:val="FSRnormal"/>
        <w:rPr>
          <w:szCs w:val="22"/>
        </w:rPr>
      </w:pPr>
      <w:r w:rsidRPr="001156A7">
        <w:t>Superimposed inflation is defined as the increase in average payments above the normal inflation rate</w:t>
      </w:r>
      <w:r>
        <w:t xml:space="preserve"> (after allowing for the change in mix of participants)</w:t>
      </w:r>
      <w:r w:rsidRPr="001156A7">
        <w:t xml:space="preserve">. </w:t>
      </w:r>
      <w:r w:rsidRPr="001156A7">
        <w:rPr>
          <w:szCs w:val="22"/>
        </w:rPr>
        <w:t xml:space="preserve">In the early years of the Scheme, this inflation reflected the dynamic and rapidly changing environment of a newly established </w:t>
      </w:r>
      <w:r w:rsidR="00475322">
        <w:rPr>
          <w:szCs w:val="22"/>
        </w:rPr>
        <w:t>Scheme</w:t>
      </w:r>
      <w:r w:rsidRPr="001156A7">
        <w:rPr>
          <w:szCs w:val="22"/>
        </w:rPr>
        <w:t xml:space="preserve">. However, these high levels of superimposed inflation have persisted </w:t>
      </w:r>
      <w:r w:rsidR="00E26C6A">
        <w:rPr>
          <w:szCs w:val="22"/>
        </w:rPr>
        <w:t>each year</w:t>
      </w:r>
      <w:r w:rsidRPr="001156A7">
        <w:rPr>
          <w:szCs w:val="22"/>
        </w:rPr>
        <w:t xml:space="preserve">, despite the increasing maturity of the Scheme. This is evidenced in the observed </w:t>
      </w:r>
      <w:r w:rsidRPr="001156A7">
        <w:rPr>
          <w:szCs w:val="22"/>
        </w:rPr>
        <w:lastRenderedPageBreak/>
        <w:t xml:space="preserve">inflation </w:t>
      </w:r>
      <w:r w:rsidR="00084EDB">
        <w:rPr>
          <w:szCs w:val="22"/>
        </w:rPr>
        <w:t xml:space="preserve">rate </w:t>
      </w:r>
      <w:r w:rsidRPr="001156A7">
        <w:rPr>
          <w:szCs w:val="22"/>
        </w:rPr>
        <w:t>of 1</w:t>
      </w:r>
      <w:r>
        <w:rPr>
          <w:szCs w:val="22"/>
        </w:rPr>
        <w:t>1.8</w:t>
      </w:r>
      <w:r w:rsidR="00E26C6A">
        <w:rPr>
          <w:szCs w:val="22"/>
        </w:rPr>
        <w:t>%</w:t>
      </w:r>
      <w:r w:rsidR="00AC17A1">
        <w:rPr>
          <w:szCs w:val="22"/>
        </w:rPr>
        <w:t xml:space="preserve"> </w:t>
      </w:r>
      <w:r w:rsidR="00E26C6A">
        <w:rPr>
          <w:szCs w:val="22"/>
        </w:rPr>
        <w:t xml:space="preserve">p.a. </w:t>
      </w:r>
      <w:r w:rsidRPr="001156A7">
        <w:rPr>
          <w:szCs w:val="22"/>
        </w:rPr>
        <w:t xml:space="preserve">over the past </w:t>
      </w:r>
      <w:r>
        <w:rPr>
          <w:szCs w:val="22"/>
        </w:rPr>
        <w:t>three</w:t>
      </w:r>
      <w:r w:rsidRPr="001156A7">
        <w:rPr>
          <w:szCs w:val="22"/>
        </w:rPr>
        <w:t xml:space="preserve"> years for </w:t>
      </w:r>
      <w:r>
        <w:rPr>
          <w:szCs w:val="22"/>
        </w:rPr>
        <w:t>Scheme</w:t>
      </w:r>
      <w:r w:rsidRPr="001156A7">
        <w:rPr>
          <w:szCs w:val="22"/>
        </w:rPr>
        <w:t xml:space="preserve"> </w:t>
      </w:r>
      <w:r w:rsidRPr="00486761">
        <w:rPr>
          <w:szCs w:val="22"/>
        </w:rPr>
        <w:t>participants</w:t>
      </w:r>
      <w:r w:rsidR="00B16255" w:rsidRPr="00486761">
        <w:rPr>
          <w:szCs w:val="22"/>
        </w:rPr>
        <w:t xml:space="preserve"> (</w:t>
      </w:r>
      <w:r w:rsidR="00486761" w:rsidRPr="00486761">
        <w:rPr>
          <w:szCs w:val="22"/>
        </w:rPr>
        <w:t xml:space="preserve">or 14.9% p.a. </w:t>
      </w:r>
      <w:r w:rsidR="00486761" w:rsidRPr="00292A59">
        <w:rPr>
          <w:szCs w:val="22"/>
        </w:rPr>
        <w:t xml:space="preserve">when the effect of the </w:t>
      </w:r>
      <w:r w:rsidR="00B16255" w:rsidRPr="00486761">
        <w:rPr>
          <w:szCs w:val="22"/>
        </w:rPr>
        <w:t xml:space="preserve">change in population mix </w:t>
      </w:r>
      <w:r w:rsidR="00486761" w:rsidRPr="00486761">
        <w:rPr>
          <w:szCs w:val="22"/>
        </w:rPr>
        <w:t>has been removed</w:t>
      </w:r>
      <w:r w:rsidR="00B16255" w:rsidRPr="00486761">
        <w:rPr>
          <w:szCs w:val="22"/>
        </w:rPr>
        <w:t>)</w:t>
      </w:r>
      <w:r w:rsidR="00486761" w:rsidRPr="00486761">
        <w:rPr>
          <w:szCs w:val="22"/>
        </w:rPr>
        <w:t>.</w:t>
      </w:r>
    </w:p>
    <w:p w14:paraId="74561135" w14:textId="54040FED" w:rsidR="00844529" w:rsidRDefault="00E32F5A" w:rsidP="00844529">
      <w:pPr>
        <w:pStyle w:val="FSRnormal"/>
        <w:rPr>
          <w:szCs w:val="22"/>
        </w:rPr>
      </w:pPr>
      <w:r w:rsidRPr="001156A7">
        <w:rPr>
          <w:szCs w:val="22"/>
        </w:rPr>
        <w:t>The sustained high levels of superimposed inflation remain</w:t>
      </w:r>
      <w:r w:rsidR="00E26C6A">
        <w:rPr>
          <w:szCs w:val="22"/>
        </w:rPr>
        <w:t>s</w:t>
      </w:r>
      <w:r w:rsidRPr="001156A7">
        <w:rPr>
          <w:szCs w:val="22"/>
        </w:rPr>
        <w:t xml:space="preserve"> one of the most critical sustainability pressures for the Scheme given its material impact on projected costs. </w:t>
      </w:r>
      <w:r w:rsidR="00084EDB">
        <w:rPr>
          <w:szCs w:val="22"/>
        </w:rPr>
        <w:t xml:space="preserve">Whilst a number of specific sources of future superimposed inflation have </w:t>
      </w:r>
      <w:r w:rsidR="00844529">
        <w:rPr>
          <w:szCs w:val="22"/>
        </w:rPr>
        <w:t xml:space="preserve">previously </w:t>
      </w:r>
      <w:r w:rsidR="00084EDB">
        <w:rPr>
          <w:szCs w:val="22"/>
        </w:rPr>
        <w:t xml:space="preserve">been identified and modelled, a substantial proportion of past superimposed inflation arises from sources which are not able to be directly modelled, in particular increases in hours of care provided to participants and a shift from </w:t>
      </w:r>
      <w:r w:rsidR="00B63160">
        <w:rPr>
          <w:szCs w:val="22"/>
        </w:rPr>
        <w:t xml:space="preserve">informal (unpaid) attendant care to paid care. </w:t>
      </w:r>
      <w:r w:rsidR="00B16255">
        <w:rPr>
          <w:szCs w:val="22"/>
        </w:rPr>
        <w:t>Forward superimposed inflation a</w:t>
      </w:r>
      <w:r w:rsidR="00844529">
        <w:rPr>
          <w:szCs w:val="22"/>
        </w:rPr>
        <w:t xml:space="preserve">ssumptions have </w:t>
      </w:r>
      <w:r w:rsidR="00B16255">
        <w:rPr>
          <w:szCs w:val="22"/>
        </w:rPr>
        <w:t xml:space="preserve">therefore </w:t>
      </w:r>
      <w:r w:rsidR="00844529">
        <w:rPr>
          <w:szCs w:val="22"/>
        </w:rPr>
        <w:t xml:space="preserve">been set </w:t>
      </w:r>
      <w:r w:rsidR="00E26C6A">
        <w:rPr>
          <w:szCs w:val="22"/>
        </w:rPr>
        <w:t xml:space="preserve">at this review </w:t>
      </w:r>
      <w:r w:rsidR="00B16255">
        <w:rPr>
          <w:szCs w:val="22"/>
        </w:rPr>
        <w:t xml:space="preserve">at an </w:t>
      </w:r>
      <w:r w:rsidR="00844529">
        <w:rPr>
          <w:szCs w:val="22"/>
        </w:rPr>
        <w:t>aggregate</w:t>
      </w:r>
      <w:r w:rsidR="00B16255">
        <w:rPr>
          <w:szCs w:val="22"/>
        </w:rPr>
        <w:t>d level</w:t>
      </w:r>
      <w:r w:rsidR="00844529">
        <w:rPr>
          <w:szCs w:val="22"/>
        </w:rPr>
        <w:t>, taking into consideration</w:t>
      </w:r>
      <w:r w:rsidR="00BE5E1C">
        <w:rPr>
          <w:szCs w:val="22"/>
        </w:rPr>
        <w:t>:</w:t>
      </w:r>
      <w:r w:rsidR="00844529">
        <w:rPr>
          <w:szCs w:val="22"/>
        </w:rPr>
        <w:t xml:space="preserve"> </w:t>
      </w:r>
    </w:p>
    <w:p w14:paraId="2FBC7B59" w14:textId="0C0C136D" w:rsidR="00844529" w:rsidRDefault="00844529" w:rsidP="000D0CA3">
      <w:pPr>
        <w:pStyle w:val="FSRnormal"/>
        <w:numPr>
          <w:ilvl w:val="0"/>
          <w:numId w:val="30"/>
        </w:numPr>
        <w:rPr>
          <w:szCs w:val="22"/>
        </w:rPr>
      </w:pPr>
      <w:r>
        <w:rPr>
          <w:szCs w:val="22"/>
        </w:rPr>
        <w:t xml:space="preserve">observed high past levels of superimposed inflation and the likelihood that the forces giving rise to that growth are likely to continue (albeit at lower levels) for at least the next two-three years, </w:t>
      </w:r>
    </w:p>
    <w:p w14:paraId="542FFC7B" w14:textId="38A2F9C6" w:rsidR="00844529" w:rsidRDefault="00844529" w:rsidP="000D0CA3">
      <w:pPr>
        <w:pStyle w:val="FSRnormal"/>
        <w:numPr>
          <w:ilvl w:val="0"/>
          <w:numId w:val="29"/>
        </w:numPr>
        <w:rPr>
          <w:szCs w:val="22"/>
        </w:rPr>
      </w:pPr>
      <w:r>
        <w:rPr>
          <w:szCs w:val="22"/>
        </w:rPr>
        <w:t xml:space="preserve">the current utilisation rate (which will, in time, </w:t>
      </w:r>
      <w:r w:rsidR="001C72E3">
        <w:rPr>
          <w:szCs w:val="22"/>
        </w:rPr>
        <w:t>exert a ceiling on the total volume of supports provided</w:t>
      </w:r>
      <w:r w:rsidR="00E26C6A">
        <w:rPr>
          <w:szCs w:val="22"/>
        </w:rPr>
        <w:t>), and</w:t>
      </w:r>
    </w:p>
    <w:p w14:paraId="629F0AB9" w14:textId="61761BA9" w:rsidR="001C72E3" w:rsidRDefault="00844529" w:rsidP="000D0CA3">
      <w:pPr>
        <w:pStyle w:val="FSRnormal"/>
        <w:numPr>
          <w:ilvl w:val="0"/>
          <w:numId w:val="29"/>
        </w:numPr>
        <w:rPr>
          <w:szCs w:val="22"/>
        </w:rPr>
      </w:pPr>
      <w:proofErr w:type="gramStart"/>
      <w:r>
        <w:rPr>
          <w:szCs w:val="22"/>
        </w:rPr>
        <w:t>the</w:t>
      </w:r>
      <w:proofErr w:type="gramEnd"/>
      <w:r>
        <w:rPr>
          <w:szCs w:val="22"/>
        </w:rPr>
        <w:t xml:space="preserve"> ability of the market to </w:t>
      </w:r>
      <w:r w:rsidR="00E26C6A">
        <w:rPr>
          <w:szCs w:val="22"/>
        </w:rPr>
        <w:t xml:space="preserve">continue to </w:t>
      </w:r>
      <w:r>
        <w:rPr>
          <w:szCs w:val="22"/>
        </w:rPr>
        <w:t>expand and hence prov</w:t>
      </w:r>
      <w:r w:rsidR="001C72E3">
        <w:rPr>
          <w:szCs w:val="22"/>
        </w:rPr>
        <w:t>i</w:t>
      </w:r>
      <w:r>
        <w:rPr>
          <w:szCs w:val="22"/>
        </w:rPr>
        <w:t xml:space="preserve">de greater </w:t>
      </w:r>
      <w:r w:rsidR="00E26C6A">
        <w:rPr>
          <w:szCs w:val="22"/>
        </w:rPr>
        <w:t xml:space="preserve">future </w:t>
      </w:r>
      <w:r>
        <w:rPr>
          <w:szCs w:val="22"/>
        </w:rPr>
        <w:t>volumes of service</w:t>
      </w:r>
      <w:r w:rsidR="00E26C6A">
        <w:rPr>
          <w:szCs w:val="22"/>
        </w:rPr>
        <w:t xml:space="preserve"> to participants</w:t>
      </w:r>
      <w:r w:rsidR="001C72E3">
        <w:rPr>
          <w:szCs w:val="22"/>
        </w:rPr>
        <w:t>.</w:t>
      </w:r>
    </w:p>
    <w:p w14:paraId="0B4A8C98" w14:textId="2F3473FC" w:rsidR="00E32F5A" w:rsidRDefault="001C72E3" w:rsidP="00844529">
      <w:pPr>
        <w:pStyle w:val="FSRnormal"/>
        <w:rPr>
          <w:szCs w:val="22"/>
        </w:rPr>
      </w:pPr>
      <w:r>
        <w:rPr>
          <w:szCs w:val="22"/>
        </w:rPr>
        <w:t>It is recognised that substantial judgment is involved in the setting of these assumptions</w:t>
      </w:r>
      <w:r w:rsidR="00AC17A1">
        <w:rPr>
          <w:szCs w:val="22"/>
        </w:rPr>
        <w:t xml:space="preserve">. Alternative </w:t>
      </w:r>
      <w:r>
        <w:rPr>
          <w:szCs w:val="22"/>
        </w:rPr>
        <w:t>scenarios are considered in Section 6.1.</w:t>
      </w:r>
      <w:r w:rsidR="00B16255">
        <w:rPr>
          <w:szCs w:val="22"/>
        </w:rPr>
        <w:t xml:space="preserve"> </w:t>
      </w:r>
      <w:r w:rsidR="00844529">
        <w:rPr>
          <w:szCs w:val="22"/>
        </w:rPr>
        <w:t xml:space="preserve">The adopted superimposed inflation is shown in </w:t>
      </w:r>
      <w:r w:rsidR="00844529" w:rsidRPr="008D2B9F">
        <w:rPr>
          <w:szCs w:val="22"/>
          <w:u w:val="single"/>
        </w:rPr>
        <w:fldChar w:fldCharType="begin"/>
      </w:r>
      <w:r w:rsidR="00844529" w:rsidRPr="008D2B9F">
        <w:rPr>
          <w:szCs w:val="22"/>
          <w:u w:val="single"/>
        </w:rPr>
        <w:instrText xml:space="preserve"> REF _Ref80699879 \h </w:instrText>
      </w:r>
      <w:r w:rsidR="008D2B9F">
        <w:rPr>
          <w:szCs w:val="22"/>
          <w:u w:val="single"/>
        </w:rPr>
        <w:instrText xml:space="preserve"> \* MERGEFORMAT </w:instrText>
      </w:r>
      <w:r w:rsidR="00844529" w:rsidRPr="008D2B9F">
        <w:rPr>
          <w:szCs w:val="22"/>
          <w:u w:val="single"/>
        </w:rPr>
      </w:r>
      <w:r w:rsidR="00844529" w:rsidRPr="008D2B9F">
        <w:rPr>
          <w:szCs w:val="22"/>
          <w:u w:val="single"/>
        </w:rPr>
        <w:fldChar w:fldCharType="separate"/>
      </w:r>
      <w:r w:rsidR="00E50032" w:rsidRPr="00E50032">
        <w:rPr>
          <w:u w:val="single"/>
        </w:rPr>
        <w:t xml:space="preserve">Table </w:t>
      </w:r>
      <w:r w:rsidR="00E50032" w:rsidRPr="00E50032">
        <w:rPr>
          <w:noProof/>
          <w:u w:val="single"/>
        </w:rPr>
        <w:t>29</w:t>
      </w:r>
      <w:r w:rsidR="00844529" w:rsidRPr="008D2B9F">
        <w:rPr>
          <w:szCs w:val="22"/>
          <w:u w:val="single"/>
        </w:rPr>
        <w:fldChar w:fldCharType="end"/>
      </w:r>
      <w:r w:rsidR="00844529">
        <w:rPr>
          <w:szCs w:val="22"/>
        </w:rPr>
        <w:t xml:space="preserve">. </w:t>
      </w:r>
    </w:p>
    <w:p w14:paraId="647E9597" w14:textId="492DBA36" w:rsidR="00846125" w:rsidRDefault="00846125" w:rsidP="00846125">
      <w:pPr>
        <w:pStyle w:val="FSRnormal"/>
        <w:keepNext/>
        <w:keepLines/>
      </w:pPr>
      <w:r>
        <w:t>In particular, it is noted that the assumed rate of 9.7% in 2021</w:t>
      </w:r>
      <w:r w:rsidR="007051A5">
        <w:t>-</w:t>
      </w:r>
      <w:r>
        <w:t>22 (i.e. the increase from 2020</w:t>
      </w:r>
      <w:r w:rsidR="007051A5">
        <w:t>-</w:t>
      </w:r>
      <w:r>
        <w:t>21), whilst producing an overall inflation rate of 6.7% which is well below the level observed in recent years, is high in absolute terms, and well above the long term level assumed. In relation to the future superimposed inflation assumptions, the following should be noted:</w:t>
      </w:r>
    </w:p>
    <w:p w14:paraId="673DBB63" w14:textId="2D0949DC" w:rsidR="00846125" w:rsidRPr="00D923F3" w:rsidRDefault="00846125" w:rsidP="00846125">
      <w:pPr>
        <w:pStyle w:val="FSRlist"/>
      </w:pPr>
      <w:r w:rsidRPr="00D923F3">
        <w:rPr>
          <w:rFonts w:eastAsiaTheme="minorHAnsi"/>
          <w:bCs/>
          <w:szCs w:val="18"/>
          <w:lang w:eastAsia="en-US"/>
        </w:rPr>
        <w:t>The average</w:t>
      </w:r>
      <w:r>
        <w:rPr>
          <w:rFonts w:eastAsiaTheme="minorHAnsi"/>
          <w:bCs/>
          <w:szCs w:val="18"/>
          <w:lang w:eastAsia="en-US"/>
        </w:rPr>
        <w:t xml:space="preserve"> cost per participant for the three months to June 2021 was $57,431. This was 6.0% higher than the overall average payments for participant for the 2020</w:t>
      </w:r>
      <w:r w:rsidR="007051A5">
        <w:rPr>
          <w:rFonts w:eastAsiaTheme="minorHAnsi"/>
          <w:bCs/>
          <w:szCs w:val="18"/>
          <w:lang w:eastAsia="en-US"/>
        </w:rPr>
        <w:t>-</w:t>
      </w:r>
      <w:r>
        <w:rPr>
          <w:rFonts w:eastAsiaTheme="minorHAnsi"/>
          <w:bCs/>
          <w:szCs w:val="18"/>
          <w:lang w:eastAsia="en-US"/>
        </w:rPr>
        <w:t>21 year</w:t>
      </w:r>
    </w:p>
    <w:p w14:paraId="424D645A" w14:textId="77777777" w:rsidR="007404AC" w:rsidRPr="00263EF7" w:rsidRDefault="00846125" w:rsidP="007404AC">
      <w:pPr>
        <w:pStyle w:val="FSRlist"/>
      </w:pPr>
      <w:r>
        <w:rPr>
          <w:rFonts w:eastAsiaTheme="minorHAnsi"/>
          <w:lang w:eastAsia="en-US"/>
        </w:rPr>
        <w:t>The three months to June are typically high cost months, which would mean that higher payments would typically be expected over these three months. However the change in mix referred to above would (all else being equal) lead to lower payments per participant. Combining the effects of seasonality and change in mix with the most recent payment experience results in an increase of 5.2% relative to the average payment per participant in 2020</w:t>
      </w:r>
      <w:r w:rsidR="001A3915">
        <w:rPr>
          <w:rFonts w:eastAsiaTheme="minorHAnsi"/>
          <w:lang w:eastAsia="en-US"/>
        </w:rPr>
        <w:t>-</w:t>
      </w:r>
      <w:r>
        <w:rPr>
          <w:rFonts w:eastAsiaTheme="minorHAnsi"/>
          <w:lang w:eastAsia="en-US"/>
        </w:rPr>
        <w:t>21</w:t>
      </w:r>
    </w:p>
    <w:p w14:paraId="464AB6A2" w14:textId="0F2E5A2B" w:rsidR="00846125" w:rsidRPr="00D923F3" w:rsidRDefault="007404AC" w:rsidP="007404AC">
      <w:pPr>
        <w:pStyle w:val="FSRlist"/>
      </w:pPr>
      <w:r w:rsidRPr="007404AC">
        <w:rPr>
          <w:rFonts w:eastAsiaTheme="minorHAnsi"/>
          <w:bCs/>
          <w:szCs w:val="18"/>
          <w:lang w:eastAsia="en-US"/>
        </w:rPr>
        <w:t xml:space="preserve">The 9.7% shown in </w:t>
      </w:r>
      <w:r w:rsidRPr="006B07F6">
        <w:rPr>
          <w:rFonts w:eastAsiaTheme="minorHAnsi"/>
          <w:bCs/>
          <w:szCs w:val="18"/>
          <w:u w:val="single"/>
          <w:lang w:eastAsia="en-US"/>
        </w:rPr>
        <w:fldChar w:fldCharType="begin"/>
      </w:r>
      <w:r w:rsidRPr="006B07F6">
        <w:rPr>
          <w:rFonts w:eastAsiaTheme="minorHAnsi"/>
          <w:bCs/>
          <w:szCs w:val="18"/>
          <w:u w:val="single"/>
          <w:lang w:eastAsia="en-US"/>
        </w:rPr>
        <w:instrText xml:space="preserve"> REF _Ref84331245 \h </w:instrText>
      </w:r>
      <w:r w:rsidRPr="006B07F6">
        <w:rPr>
          <w:rFonts w:eastAsiaTheme="minorHAnsi"/>
          <w:bCs/>
          <w:szCs w:val="18"/>
          <w:u w:val="single"/>
          <w:lang w:eastAsia="en-US"/>
        </w:rPr>
      </w:r>
      <w:r w:rsidRPr="006B07F6">
        <w:rPr>
          <w:rFonts w:eastAsiaTheme="minorHAnsi"/>
          <w:bCs/>
          <w:szCs w:val="18"/>
          <w:u w:val="single"/>
          <w:lang w:eastAsia="en-US"/>
        </w:rPr>
        <w:fldChar w:fldCharType="separate"/>
      </w:r>
      <w:r w:rsidR="00E50032" w:rsidRPr="00813913">
        <w:t xml:space="preserve">Table </w:t>
      </w:r>
      <w:r w:rsidR="00E50032">
        <w:rPr>
          <w:noProof/>
        </w:rPr>
        <w:t>29</w:t>
      </w:r>
      <w:r w:rsidR="00E50032" w:rsidRPr="00813913">
        <w:t xml:space="preserve"> Impact of adopted superimposed inflation assumptions on payments</w:t>
      </w:r>
      <w:r w:rsidRPr="006B07F6">
        <w:rPr>
          <w:rFonts w:eastAsiaTheme="minorHAnsi"/>
          <w:bCs/>
          <w:szCs w:val="18"/>
          <w:u w:val="single"/>
          <w:lang w:eastAsia="en-US"/>
        </w:rPr>
        <w:fldChar w:fldCharType="end"/>
      </w:r>
      <w:r w:rsidRPr="007404AC">
        <w:rPr>
          <w:rFonts w:eastAsiaTheme="minorHAnsi"/>
          <w:bCs/>
          <w:szCs w:val="18"/>
          <w:lang w:eastAsia="en-US"/>
        </w:rPr>
        <w:t xml:space="preserve"> therefore comprises 5.2% which has already occurred and 4.3% is assumed to occur in future. This remaining (i.e. future) superimposed inflation of 4.3%, combined with inflation assumed in future years, means that there is an allowance for a total of 14.4% future superimposed inflation</w:t>
      </w:r>
    </w:p>
    <w:p w14:paraId="23FE73CB" w14:textId="626EABE2" w:rsidR="00846125" w:rsidRPr="007404AC" w:rsidRDefault="00846125" w:rsidP="00312E88">
      <w:pPr>
        <w:pStyle w:val="FSRlist"/>
        <w:rPr>
          <w:szCs w:val="22"/>
        </w:rPr>
      </w:pPr>
      <w:r w:rsidRPr="00346512">
        <w:lastRenderedPageBreak/>
        <w:t xml:space="preserve">This total future assumed superimposed inflation of 14.4% is </w:t>
      </w:r>
      <w:r w:rsidR="00AC17A1" w:rsidRPr="00346512">
        <w:t xml:space="preserve">significantly </w:t>
      </w:r>
      <w:r w:rsidRPr="00346512">
        <w:t>low</w:t>
      </w:r>
      <w:r w:rsidR="00AC17A1" w:rsidRPr="00C3143B">
        <w:t>er</w:t>
      </w:r>
      <w:r w:rsidRPr="00C3143B">
        <w:t xml:space="preserve"> in the context of </w:t>
      </w:r>
      <w:r w:rsidRPr="007404AC">
        <w:rPr>
          <w:b/>
        </w:rPr>
        <w:t xml:space="preserve">average </w:t>
      </w:r>
      <w:r w:rsidR="00AC17A1" w:rsidRPr="007404AC">
        <w:rPr>
          <w:b/>
        </w:rPr>
        <w:t>per annum</w:t>
      </w:r>
      <w:r w:rsidR="00AC17A1" w:rsidRPr="00346512">
        <w:t xml:space="preserve"> </w:t>
      </w:r>
      <w:r w:rsidRPr="00346512">
        <w:t>inflation of 14.9% in the three years to 30</w:t>
      </w:r>
      <w:r w:rsidR="00AC17A1" w:rsidRPr="00C3143B">
        <w:t> </w:t>
      </w:r>
      <w:r w:rsidRPr="00C3143B">
        <w:t>June</w:t>
      </w:r>
      <w:r w:rsidR="00AC17A1" w:rsidRPr="00346512">
        <w:t> </w:t>
      </w:r>
      <w:r w:rsidRPr="00346512">
        <w:t>2021 (the majority of which was superimposed inflation)</w:t>
      </w:r>
    </w:p>
    <w:p w14:paraId="7054A7AD" w14:textId="7F367AB6" w:rsidR="00846125" w:rsidRPr="00346512" w:rsidRDefault="00346512" w:rsidP="004B3B25">
      <w:pPr>
        <w:pStyle w:val="FSRlist"/>
        <w:rPr>
          <w:szCs w:val="22"/>
        </w:rPr>
      </w:pPr>
      <w:r>
        <w:rPr>
          <w:rFonts w:eastAsiaTheme="minorHAnsi"/>
          <w:bCs/>
          <w:szCs w:val="18"/>
          <w:lang w:eastAsia="en-US"/>
        </w:rPr>
        <w:t>H</w:t>
      </w:r>
      <w:r w:rsidR="00846125" w:rsidRPr="00C3143B">
        <w:rPr>
          <w:rFonts w:eastAsiaTheme="minorHAnsi"/>
          <w:bCs/>
          <w:szCs w:val="18"/>
          <w:lang w:eastAsia="en-US"/>
        </w:rPr>
        <w:t xml:space="preserve">owever, given that plan utilisation at 30 June 2021 was slightly below 80%, total future payment inflation of 14.4% would result in total utilisation of approximately 90% based on current plan values. </w:t>
      </w:r>
      <w:r w:rsidR="00846125" w:rsidRPr="00346512">
        <w:rPr>
          <w:rFonts w:eastAsiaTheme="minorHAnsi"/>
          <w:bCs/>
          <w:szCs w:val="18"/>
          <w:lang w:eastAsia="en-US"/>
        </w:rPr>
        <w:t>Current plan values can therefore be regarded as providing some upper bound on the level of possible future inflation</w:t>
      </w:r>
      <w:r w:rsidR="007364FD" w:rsidRPr="00292A59">
        <w:rPr>
          <w:rFonts w:eastAsiaTheme="minorHAnsi"/>
          <w:bCs/>
          <w:szCs w:val="18"/>
          <w:lang w:eastAsia="en-US"/>
        </w:rPr>
        <w:t>, noting that future inflation in plan values would increase the level of non-</w:t>
      </w:r>
      <w:r w:rsidRPr="00C3143B">
        <w:rPr>
          <w:rFonts w:eastAsiaTheme="minorHAnsi"/>
          <w:bCs/>
          <w:szCs w:val="18"/>
          <w:lang w:eastAsia="en-US"/>
        </w:rPr>
        <w:t>utilised</w:t>
      </w:r>
      <w:r w:rsidR="007364FD" w:rsidRPr="00292A59">
        <w:rPr>
          <w:rFonts w:eastAsiaTheme="minorHAnsi"/>
          <w:bCs/>
          <w:szCs w:val="18"/>
          <w:lang w:eastAsia="en-US"/>
        </w:rPr>
        <w:t xml:space="preserve"> funds and hence create capacity for further inflation</w:t>
      </w:r>
      <w:r w:rsidR="00846125" w:rsidRPr="00346512">
        <w:rPr>
          <w:rFonts w:eastAsiaTheme="minorHAnsi"/>
          <w:bCs/>
          <w:szCs w:val="18"/>
          <w:lang w:eastAsia="en-US"/>
        </w:rPr>
        <w:t>.</w:t>
      </w:r>
    </w:p>
    <w:p w14:paraId="4DE8617F" w14:textId="2977D36C" w:rsidR="00975A51" w:rsidRPr="00813913" w:rsidRDefault="00813913" w:rsidP="00975A51">
      <w:pPr>
        <w:pStyle w:val="Tables"/>
      </w:pPr>
      <w:bookmarkStart w:id="222" w:name="_Ref80699879"/>
      <w:bookmarkStart w:id="223" w:name="_Ref84331245"/>
      <w:r w:rsidRPr="00813913">
        <w:t xml:space="preserve">Table </w:t>
      </w:r>
      <w:fldSimple w:instr=" SEQ Table \* ARABIC ">
        <w:r w:rsidR="00E50032">
          <w:rPr>
            <w:noProof/>
          </w:rPr>
          <w:t>29</w:t>
        </w:r>
      </w:fldSimple>
      <w:bookmarkEnd w:id="222"/>
      <w:r w:rsidRPr="00813913">
        <w:t xml:space="preserve"> Impact of adopted superimposed inflation assumptions on </w:t>
      </w:r>
      <w:r w:rsidR="00975A51" w:rsidRPr="00813913">
        <w:t>payments</w:t>
      </w:r>
      <w:r w:rsidR="00975A51">
        <w:rPr>
          <w:rStyle w:val="FootnoteReference"/>
        </w:rPr>
        <w:footnoteReference w:id="66"/>
      </w:r>
      <w:bookmarkEnd w:id="223"/>
    </w:p>
    <w:p w14:paraId="50866DD9" w14:textId="77777777" w:rsidR="004869F7" w:rsidRDefault="00844529" w:rsidP="00975A51">
      <w:pPr>
        <w:pStyle w:val="Tables"/>
      </w:pPr>
      <w:r w:rsidRPr="00844529">
        <w:rPr>
          <w:b w:val="0"/>
          <w:bCs w:val="0"/>
        </w:rPr>
        <w:t xml:space="preserve"> </w:t>
      </w:r>
    </w:p>
    <w:tbl>
      <w:tblPr>
        <w:tblW w:w="8880" w:type="dxa"/>
        <w:tblLook w:val="04A0" w:firstRow="1" w:lastRow="0" w:firstColumn="1" w:lastColumn="0" w:noHBand="0" w:noVBand="1"/>
      </w:tblPr>
      <w:tblGrid>
        <w:gridCol w:w="2900"/>
        <w:gridCol w:w="1109"/>
        <w:gridCol w:w="1109"/>
        <w:gridCol w:w="1109"/>
        <w:gridCol w:w="1109"/>
        <w:gridCol w:w="1544"/>
      </w:tblGrid>
      <w:tr w:rsidR="004869F7" w:rsidRPr="00C93000" w14:paraId="107059AC" w14:textId="77777777" w:rsidTr="004869F7">
        <w:trPr>
          <w:trHeight w:hRule="exact" w:val="284"/>
          <w:tblHeader/>
        </w:trPr>
        <w:tc>
          <w:tcPr>
            <w:tcW w:w="2900" w:type="dxa"/>
            <w:tcBorders>
              <w:top w:val="single" w:sz="4" w:space="0" w:color="auto"/>
              <w:left w:val="single" w:sz="4" w:space="0" w:color="auto"/>
              <w:bottom w:val="nil"/>
              <w:right w:val="single" w:sz="4" w:space="0" w:color="auto"/>
            </w:tcBorders>
            <w:shd w:val="clear" w:color="000000" w:fill="6B2976"/>
            <w:hideMark/>
          </w:tcPr>
          <w:p w14:paraId="5030F367" w14:textId="77777777" w:rsidR="004869F7" w:rsidRPr="00C93000" w:rsidRDefault="004869F7" w:rsidP="00312E88">
            <w:pPr>
              <w:rPr>
                <w:rFonts w:cs="Arial"/>
                <w:b/>
                <w:bCs/>
                <w:color w:val="FFFFFF"/>
                <w:sz w:val="18"/>
                <w:szCs w:val="18"/>
              </w:rPr>
            </w:pPr>
          </w:p>
        </w:tc>
        <w:tc>
          <w:tcPr>
            <w:tcW w:w="1109" w:type="dxa"/>
            <w:tcBorders>
              <w:top w:val="nil"/>
              <w:left w:val="nil"/>
              <w:bottom w:val="nil"/>
              <w:right w:val="nil"/>
            </w:tcBorders>
            <w:shd w:val="clear" w:color="000000" w:fill="6B2976"/>
            <w:noWrap/>
            <w:hideMark/>
          </w:tcPr>
          <w:p w14:paraId="00F69189" w14:textId="77777777" w:rsidR="004869F7" w:rsidRPr="00C93000" w:rsidRDefault="004869F7" w:rsidP="00312E88">
            <w:pPr>
              <w:jc w:val="center"/>
              <w:rPr>
                <w:rFonts w:cs="Arial"/>
                <w:b/>
                <w:bCs/>
                <w:color w:val="FFFFFF"/>
                <w:sz w:val="18"/>
                <w:szCs w:val="18"/>
              </w:rPr>
            </w:pPr>
            <w:r w:rsidRPr="00C93000">
              <w:rPr>
                <w:rFonts w:cs="Arial"/>
                <w:b/>
                <w:bCs/>
                <w:color w:val="FFFFFF"/>
                <w:sz w:val="18"/>
                <w:szCs w:val="18"/>
              </w:rPr>
              <w:t>2021-22</w:t>
            </w:r>
          </w:p>
        </w:tc>
        <w:tc>
          <w:tcPr>
            <w:tcW w:w="1109" w:type="dxa"/>
            <w:tcBorders>
              <w:top w:val="nil"/>
              <w:left w:val="nil"/>
              <w:bottom w:val="nil"/>
              <w:right w:val="nil"/>
            </w:tcBorders>
            <w:shd w:val="clear" w:color="000000" w:fill="6B2976"/>
            <w:noWrap/>
            <w:hideMark/>
          </w:tcPr>
          <w:p w14:paraId="0E39E374" w14:textId="77777777" w:rsidR="004869F7" w:rsidRPr="00C93000" w:rsidRDefault="004869F7" w:rsidP="00312E88">
            <w:pPr>
              <w:jc w:val="center"/>
              <w:rPr>
                <w:rFonts w:cs="Arial"/>
                <w:b/>
                <w:bCs/>
                <w:color w:val="FFFFFF"/>
                <w:sz w:val="18"/>
                <w:szCs w:val="18"/>
              </w:rPr>
            </w:pPr>
            <w:r w:rsidRPr="00C93000">
              <w:rPr>
                <w:rFonts w:cs="Arial"/>
                <w:b/>
                <w:bCs/>
                <w:color w:val="FFFFFF"/>
                <w:sz w:val="18"/>
                <w:szCs w:val="18"/>
              </w:rPr>
              <w:t>2022-23</w:t>
            </w:r>
          </w:p>
        </w:tc>
        <w:tc>
          <w:tcPr>
            <w:tcW w:w="1109" w:type="dxa"/>
            <w:tcBorders>
              <w:top w:val="nil"/>
              <w:left w:val="nil"/>
              <w:bottom w:val="nil"/>
              <w:right w:val="nil"/>
            </w:tcBorders>
            <w:shd w:val="clear" w:color="000000" w:fill="6B2976"/>
            <w:noWrap/>
            <w:hideMark/>
          </w:tcPr>
          <w:p w14:paraId="5DD792D6" w14:textId="77777777" w:rsidR="004869F7" w:rsidRPr="00C93000" w:rsidRDefault="004869F7" w:rsidP="00312E88">
            <w:pPr>
              <w:jc w:val="center"/>
              <w:rPr>
                <w:rFonts w:cs="Arial"/>
                <w:b/>
                <w:bCs/>
                <w:color w:val="FFFFFF"/>
                <w:sz w:val="18"/>
                <w:szCs w:val="18"/>
              </w:rPr>
            </w:pPr>
            <w:r w:rsidRPr="00C93000">
              <w:rPr>
                <w:rFonts w:cs="Arial"/>
                <w:b/>
                <w:bCs/>
                <w:color w:val="FFFFFF"/>
                <w:sz w:val="18"/>
                <w:szCs w:val="18"/>
              </w:rPr>
              <w:t>2023-24</w:t>
            </w:r>
          </w:p>
        </w:tc>
        <w:tc>
          <w:tcPr>
            <w:tcW w:w="1109" w:type="dxa"/>
            <w:tcBorders>
              <w:top w:val="nil"/>
              <w:left w:val="nil"/>
              <w:bottom w:val="nil"/>
              <w:right w:val="nil"/>
            </w:tcBorders>
            <w:shd w:val="clear" w:color="000000" w:fill="6B2976"/>
            <w:noWrap/>
            <w:hideMark/>
          </w:tcPr>
          <w:p w14:paraId="3228FBD7" w14:textId="77777777" w:rsidR="004869F7" w:rsidRPr="00C93000" w:rsidRDefault="004869F7" w:rsidP="00312E88">
            <w:pPr>
              <w:jc w:val="center"/>
              <w:rPr>
                <w:rFonts w:cs="Arial"/>
                <w:b/>
                <w:bCs/>
                <w:color w:val="FFFFFF"/>
                <w:sz w:val="18"/>
                <w:szCs w:val="18"/>
              </w:rPr>
            </w:pPr>
            <w:r w:rsidRPr="00C93000">
              <w:rPr>
                <w:rFonts w:cs="Arial"/>
                <w:b/>
                <w:bCs/>
                <w:color w:val="FFFFFF"/>
                <w:sz w:val="18"/>
                <w:szCs w:val="18"/>
              </w:rPr>
              <w:t>2024-25</w:t>
            </w:r>
          </w:p>
        </w:tc>
        <w:tc>
          <w:tcPr>
            <w:tcW w:w="1544" w:type="dxa"/>
            <w:tcBorders>
              <w:top w:val="nil"/>
              <w:left w:val="single" w:sz="4" w:space="0" w:color="auto"/>
              <w:bottom w:val="nil"/>
              <w:right w:val="single" w:sz="4" w:space="0" w:color="auto"/>
            </w:tcBorders>
            <w:shd w:val="clear" w:color="000000" w:fill="6B2976"/>
            <w:hideMark/>
          </w:tcPr>
          <w:p w14:paraId="69522C0A" w14:textId="77777777" w:rsidR="004869F7" w:rsidRPr="00C93000" w:rsidRDefault="004869F7" w:rsidP="00312E88">
            <w:pPr>
              <w:jc w:val="center"/>
              <w:rPr>
                <w:rFonts w:cs="Arial"/>
                <w:b/>
                <w:bCs/>
                <w:color w:val="FFFFFF"/>
                <w:sz w:val="18"/>
                <w:szCs w:val="18"/>
              </w:rPr>
            </w:pPr>
            <w:r w:rsidRPr="00C93000">
              <w:rPr>
                <w:rFonts w:cs="Arial"/>
                <w:b/>
                <w:bCs/>
                <w:color w:val="FFFFFF"/>
                <w:sz w:val="18"/>
                <w:szCs w:val="18"/>
              </w:rPr>
              <w:t>Total after 2024-25</w:t>
            </w:r>
          </w:p>
        </w:tc>
      </w:tr>
      <w:tr w:rsidR="004869F7" w:rsidRPr="00C93000" w14:paraId="667B1AC4" w14:textId="77777777" w:rsidTr="004869F7">
        <w:trPr>
          <w:trHeight w:hRule="exact" w:val="284"/>
        </w:trPr>
        <w:tc>
          <w:tcPr>
            <w:tcW w:w="2900" w:type="dxa"/>
            <w:tcBorders>
              <w:top w:val="single" w:sz="4" w:space="0" w:color="auto"/>
              <w:left w:val="single" w:sz="4" w:space="0" w:color="auto"/>
              <w:bottom w:val="single" w:sz="4" w:space="0" w:color="auto"/>
              <w:right w:val="nil"/>
            </w:tcBorders>
            <w:shd w:val="clear" w:color="auto" w:fill="auto"/>
            <w:noWrap/>
            <w:hideMark/>
          </w:tcPr>
          <w:p w14:paraId="412CCD63" w14:textId="77777777" w:rsidR="004869F7" w:rsidRPr="00C93000" w:rsidRDefault="004869F7" w:rsidP="00312E88">
            <w:pPr>
              <w:rPr>
                <w:rFonts w:cs="Arial"/>
                <w:color w:val="000000"/>
                <w:sz w:val="18"/>
                <w:szCs w:val="18"/>
              </w:rPr>
            </w:pPr>
            <w:r w:rsidRPr="00C93000">
              <w:rPr>
                <w:rFonts w:cs="Arial"/>
                <w:color w:val="000000"/>
                <w:sz w:val="18"/>
                <w:szCs w:val="18"/>
              </w:rPr>
              <w:t>Superimposed inflation</w:t>
            </w:r>
          </w:p>
        </w:tc>
        <w:tc>
          <w:tcPr>
            <w:tcW w:w="1109" w:type="dxa"/>
            <w:tcBorders>
              <w:top w:val="single" w:sz="4" w:space="0" w:color="auto"/>
              <w:left w:val="single" w:sz="4" w:space="0" w:color="auto"/>
              <w:bottom w:val="single" w:sz="4" w:space="0" w:color="auto"/>
              <w:right w:val="nil"/>
            </w:tcBorders>
            <w:shd w:val="clear" w:color="auto" w:fill="auto"/>
            <w:noWrap/>
            <w:hideMark/>
          </w:tcPr>
          <w:p w14:paraId="6ED027C1" w14:textId="77777777" w:rsidR="004869F7" w:rsidRPr="00C93000" w:rsidRDefault="004869F7" w:rsidP="00312E88">
            <w:pPr>
              <w:jc w:val="center"/>
              <w:rPr>
                <w:rFonts w:cs="Arial"/>
                <w:color w:val="000000"/>
                <w:sz w:val="18"/>
                <w:szCs w:val="18"/>
              </w:rPr>
            </w:pPr>
            <w:r w:rsidRPr="00C93000">
              <w:rPr>
                <w:rFonts w:cs="Arial"/>
                <w:color w:val="000000"/>
                <w:sz w:val="18"/>
                <w:szCs w:val="18"/>
              </w:rPr>
              <w:t>9.7%</w:t>
            </w:r>
          </w:p>
        </w:tc>
        <w:tc>
          <w:tcPr>
            <w:tcW w:w="1109" w:type="dxa"/>
            <w:tcBorders>
              <w:top w:val="single" w:sz="4" w:space="0" w:color="auto"/>
              <w:left w:val="nil"/>
              <w:bottom w:val="single" w:sz="4" w:space="0" w:color="auto"/>
              <w:right w:val="nil"/>
            </w:tcBorders>
            <w:shd w:val="clear" w:color="auto" w:fill="auto"/>
            <w:noWrap/>
            <w:hideMark/>
          </w:tcPr>
          <w:p w14:paraId="4291FA52" w14:textId="77777777" w:rsidR="004869F7" w:rsidRPr="00C93000" w:rsidRDefault="004869F7" w:rsidP="00312E88">
            <w:pPr>
              <w:jc w:val="center"/>
              <w:rPr>
                <w:rFonts w:cs="Arial"/>
                <w:color w:val="000000"/>
                <w:sz w:val="18"/>
                <w:szCs w:val="18"/>
              </w:rPr>
            </w:pPr>
            <w:r w:rsidRPr="00C93000">
              <w:rPr>
                <w:rFonts w:cs="Arial"/>
                <w:color w:val="000000"/>
                <w:sz w:val="18"/>
                <w:szCs w:val="18"/>
              </w:rPr>
              <w:t>5.0%</w:t>
            </w:r>
          </w:p>
        </w:tc>
        <w:tc>
          <w:tcPr>
            <w:tcW w:w="1109" w:type="dxa"/>
            <w:tcBorders>
              <w:top w:val="single" w:sz="4" w:space="0" w:color="auto"/>
              <w:left w:val="nil"/>
              <w:bottom w:val="single" w:sz="4" w:space="0" w:color="auto"/>
              <w:right w:val="nil"/>
            </w:tcBorders>
            <w:shd w:val="clear" w:color="auto" w:fill="auto"/>
            <w:noWrap/>
            <w:hideMark/>
          </w:tcPr>
          <w:p w14:paraId="753CE225" w14:textId="77777777" w:rsidR="004869F7" w:rsidRPr="00C93000" w:rsidRDefault="004869F7" w:rsidP="00312E88">
            <w:pPr>
              <w:jc w:val="center"/>
              <w:rPr>
                <w:rFonts w:cs="Arial"/>
                <w:color w:val="000000"/>
                <w:sz w:val="18"/>
                <w:szCs w:val="18"/>
              </w:rPr>
            </w:pPr>
            <w:r w:rsidRPr="00C93000">
              <w:rPr>
                <w:rFonts w:cs="Arial"/>
                <w:color w:val="000000"/>
                <w:sz w:val="18"/>
                <w:szCs w:val="18"/>
              </w:rPr>
              <w:t>3.0%</w:t>
            </w:r>
          </w:p>
        </w:tc>
        <w:tc>
          <w:tcPr>
            <w:tcW w:w="1109" w:type="dxa"/>
            <w:tcBorders>
              <w:top w:val="single" w:sz="4" w:space="0" w:color="auto"/>
              <w:left w:val="nil"/>
              <w:bottom w:val="single" w:sz="4" w:space="0" w:color="auto"/>
              <w:right w:val="nil"/>
            </w:tcBorders>
            <w:shd w:val="clear" w:color="auto" w:fill="auto"/>
            <w:noWrap/>
            <w:hideMark/>
          </w:tcPr>
          <w:p w14:paraId="3BBC94C9" w14:textId="77777777" w:rsidR="004869F7" w:rsidRPr="00C93000" w:rsidRDefault="004869F7" w:rsidP="00312E88">
            <w:pPr>
              <w:jc w:val="center"/>
              <w:rPr>
                <w:rFonts w:cs="Arial"/>
                <w:color w:val="000000"/>
                <w:sz w:val="18"/>
                <w:szCs w:val="18"/>
              </w:rPr>
            </w:pPr>
            <w:r w:rsidRPr="00C93000">
              <w:rPr>
                <w:rFonts w:cs="Arial"/>
                <w:color w:val="000000"/>
                <w:sz w:val="18"/>
                <w:szCs w:val="18"/>
              </w:rPr>
              <w:t>1.1%</w:t>
            </w:r>
          </w:p>
        </w:tc>
        <w:tc>
          <w:tcPr>
            <w:tcW w:w="1544" w:type="dxa"/>
            <w:tcBorders>
              <w:top w:val="single" w:sz="4" w:space="0" w:color="auto"/>
              <w:left w:val="single" w:sz="4" w:space="0" w:color="auto"/>
              <w:bottom w:val="single" w:sz="4" w:space="0" w:color="auto"/>
              <w:right w:val="single" w:sz="4" w:space="0" w:color="auto"/>
            </w:tcBorders>
            <w:shd w:val="clear" w:color="auto" w:fill="auto"/>
            <w:noWrap/>
            <w:hideMark/>
          </w:tcPr>
          <w:p w14:paraId="4CA4B9DC" w14:textId="77777777" w:rsidR="004869F7" w:rsidRPr="00C93000" w:rsidRDefault="004869F7" w:rsidP="00312E88">
            <w:pPr>
              <w:jc w:val="right"/>
              <w:rPr>
                <w:rFonts w:cs="Arial"/>
                <w:color w:val="000000"/>
                <w:sz w:val="18"/>
                <w:szCs w:val="18"/>
              </w:rPr>
            </w:pPr>
            <w:r w:rsidRPr="00C93000">
              <w:rPr>
                <w:rFonts w:cs="Arial"/>
                <w:color w:val="000000"/>
                <w:sz w:val="18"/>
                <w:szCs w:val="18"/>
              </w:rPr>
              <w:t>0.4%</w:t>
            </w:r>
          </w:p>
        </w:tc>
      </w:tr>
    </w:tbl>
    <w:p w14:paraId="651EC4FD" w14:textId="02675076" w:rsidR="00813913" w:rsidRDefault="00813913" w:rsidP="00975A51">
      <w:pPr>
        <w:pStyle w:val="Tables"/>
      </w:pPr>
    </w:p>
    <w:p w14:paraId="1DE63C90" w14:textId="1C0F0502" w:rsidR="00813913" w:rsidRPr="001156A7" w:rsidRDefault="00813913" w:rsidP="00813913">
      <w:pPr>
        <w:pStyle w:val="FSRHeading4"/>
      </w:pPr>
      <w:r w:rsidRPr="001156A7">
        <w:t>Total inflation</w:t>
      </w:r>
      <w:r w:rsidR="00CB4913">
        <w:tab/>
      </w:r>
    </w:p>
    <w:p w14:paraId="24AE3189" w14:textId="5AA40055" w:rsidR="00813913" w:rsidRDefault="00813913" w:rsidP="00813913">
      <w:pPr>
        <w:pStyle w:val="FSRnormal"/>
      </w:pPr>
      <w:r w:rsidRPr="001156A7">
        <w:t xml:space="preserve">Normal inflation has been combined with superimposed inflation rates to calculate total inflation. </w:t>
      </w:r>
      <w:r w:rsidRPr="004869F7">
        <w:rPr>
          <w:u w:val="single"/>
        </w:rPr>
        <w:fldChar w:fldCharType="begin"/>
      </w:r>
      <w:r w:rsidRPr="004869F7">
        <w:rPr>
          <w:u w:val="single"/>
        </w:rPr>
        <w:instrText xml:space="preserve"> REF _Ref75452215 \h  \* MERGEFORMAT </w:instrText>
      </w:r>
      <w:r w:rsidRPr="004869F7">
        <w:rPr>
          <w:u w:val="single"/>
        </w:rPr>
      </w:r>
      <w:r w:rsidRPr="004869F7">
        <w:rPr>
          <w:u w:val="single"/>
        </w:rPr>
        <w:fldChar w:fldCharType="separate"/>
      </w:r>
      <w:r w:rsidR="00E50032" w:rsidRPr="00E50032">
        <w:rPr>
          <w:u w:val="single"/>
        </w:rPr>
        <w:t xml:space="preserve">Table </w:t>
      </w:r>
      <w:r w:rsidR="00E50032" w:rsidRPr="00E50032">
        <w:rPr>
          <w:noProof/>
          <w:u w:val="single"/>
        </w:rPr>
        <w:t>30</w:t>
      </w:r>
      <w:r w:rsidRPr="004869F7">
        <w:rPr>
          <w:u w:val="single"/>
        </w:rPr>
        <w:fldChar w:fldCharType="end"/>
      </w:r>
      <w:r w:rsidRPr="001156A7">
        <w:t xml:space="preserve"> and </w:t>
      </w:r>
      <w:r w:rsidRPr="004869F7">
        <w:rPr>
          <w:u w:val="single"/>
        </w:rPr>
        <w:fldChar w:fldCharType="begin"/>
      </w:r>
      <w:r w:rsidRPr="004869F7">
        <w:rPr>
          <w:u w:val="single"/>
        </w:rPr>
        <w:instrText xml:space="preserve"> REF _Ref74850773 \h  \* MERGEFORMAT </w:instrText>
      </w:r>
      <w:r w:rsidRPr="004869F7">
        <w:rPr>
          <w:u w:val="single"/>
        </w:rPr>
      </w:r>
      <w:r w:rsidRPr="004869F7">
        <w:rPr>
          <w:u w:val="single"/>
        </w:rPr>
        <w:fldChar w:fldCharType="separate"/>
      </w:r>
      <w:r w:rsidR="00E50032" w:rsidRPr="00E50032">
        <w:rPr>
          <w:u w:val="single"/>
        </w:rPr>
        <w:t xml:space="preserve">Figure </w:t>
      </w:r>
      <w:r w:rsidR="00E50032" w:rsidRPr="00E50032">
        <w:rPr>
          <w:noProof/>
          <w:u w:val="single"/>
        </w:rPr>
        <w:t>46</w:t>
      </w:r>
      <w:r w:rsidRPr="004869F7">
        <w:rPr>
          <w:u w:val="single"/>
        </w:rPr>
        <w:fldChar w:fldCharType="end"/>
      </w:r>
      <w:r w:rsidRPr="001156A7">
        <w:t xml:space="preserve"> below detail the underlying normal and superimposed inflation</w:t>
      </w:r>
      <w:r>
        <w:t xml:space="preserve"> assumptions adopted</w:t>
      </w:r>
      <w:r w:rsidRPr="001156A7">
        <w:t xml:space="preserve"> for each projection year, with a comparison made to </w:t>
      </w:r>
      <w:r w:rsidR="00A2569E">
        <w:t>historic</w:t>
      </w:r>
      <w:r w:rsidRPr="001156A7">
        <w:t xml:space="preserve"> inflation experience.</w:t>
      </w:r>
      <w:r w:rsidR="00BB2DE2">
        <w:t xml:space="preserve"> The comparison to </w:t>
      </w:r>
      <w:r w:rsidR="00A2569E">
        <w:t>historic</w:t>
      </w:r>
      <w:r w:rsidR="00BB2DE2">
        <w:t xml:space="preserve"> experience </w:t>
      </w:r>
      <w:r w:rsidR="00B16255">
        <w:t xml:space="preserve">is shown both including and excluding changes in </w:t>
      </w:r>
      <w:r w:rsidR="00BB2DE2">
        <w:t xml:space="preserve">population mix. </w:t>
      </w:r>
      <w:r w:rsidR="00C205BA">
        <w:t xml:space="preserve">Additionally, </w:t>
      </w:r>
      <w:r w:rsidR="00C205BA" w:rsidRPr="004869F7">
        <w:rPr>
          <w:u w:val="single"/>
        </w:rPr>
        <w:fldChar w:fldCharType="begin"/>
      </w:r>
      <w:r w:rsidR="00C205BA" w:rsidRPr="004869F7">
        <w:rPr>
          <w:u w:val="single"/>
        </w:rPr>
        <w:instrText xml:space="preserve"> REF _Ref80633424 \h </w:instrText>
      </w:r>
      <w:r w:rsidR="004869F7">
        <w:rPr>
          <w:u w:val="single"/>
        </w:rPr>
        <w:instrText xml:space="preserve"> \* MERGEFORMAT </w:instrText>
      </w:r>
      <w:r w:rsidR="00C205BA" w:rsidRPr="004869F7">
        <w:rPr>
          <w:u w:val="single"/>
        </w:rPr>
      </w:r>
      <w:r w:rsidR="00C205BA" w:rsidRPr="004869F7">
        <w:rPr>
          <w:u w:val="single"/>
        </w:rPr>
        <w:fldChar w:fldCharType="separate"/>
      </w:r>
      <w:r w:rsidR="00E50032" w:rsidRPr="00E50032">
        <w:rPr>
          <w:u w:val="single"/>
        </w:rPr>
        <w:t xml:space="preserve">Figure </w:t>
      </w:r>
      <w:r w:rsidR="00E50032" w:rsidRPr="00E50032">
        <w:rPr>
          <w:noProof/>
          <w:u w:val="single"/>
        </w:rPr>
        <w:t>47</w:t>
      </w:r>
      <w:r w:rsidR="00C205BA" w:rsidRPr="004869F7">
        <w:rPr>
          <w:u w:val="single"/>
        </w:rPr>
        <w:fldChar w:fldCharType="end"/>
      </w:r>
      <w:r w:rsidR="00C205BA">
        <w:t xml:space="preserve"> compares the total adopted inflation with the previous review.</w:t>
      </w:r>
    </w:p>
    <w:p w14:paraId="51867890" w14:textId="1517203E" w:rsidR="00CB6D96" w:rsidRPr="001156A7" w:rsidRDefault="00CB6D96" w:rsidP="00CB6D96">
      <w:pPr>
        <w:pStyle w:val="Tables"/>
      </w:pPr>
      <w:bookmarkStart w:id="224" w:name="_Ref75452215"/>
      <w:r w:rsidRPr="001156A7">
        <w:t xml:space="preserve">Table </w:t>
      </w:r>
      <w:fldSimple w:instr=" SEQ Table \* ARABIC ">
        <w:r w:rsidR="00E50032">
          <w:rPr>
            <w:noProof/>
          </w:rPr>
          <w:t>30</w:t>
        </w:r>
      </w:fldSimple>
      <w:bookmarkEnd w:id="224"/>
      <w:r w:rsidRPr="001156A7">
        <w:t xml:space="preserve"> Comparison of historic inflation experience and adopted total inflation</w:t>
      </w:r>
      <w:r w:rsidR="00F9363A">
        <w:rPr>
          <w:rStyle w:val="FootnoteReference"/>
        </w:rPr>
        <w:footnoteReference w:id="67"/>
      </w:r>
      <w:r w:rsidRPr="001156A7">
        <w:t xml:space="preserve"> </w:t>
      </w:r>
    </w:p>
    <w:tbl>
      <w:tblPr>
        <w:tblW w:w="9358" w:type="dxa"/>
        <w:tblLook w:val="04A0" w:firstRow="1" w:lastRow="0" w:firstColumn="1" w:lastColumn="0" w:noHBand="0" w:noVBand="1"/>
      </w:tblPr>
      <w:tblGrid>
        <w:gridCol w:w="2263"/>
        <w:gridCol w:w="1843"/>
        <w:gridCol w:w="851"/>
        <w:gridCol w:w="850"/>
        <w:gridCol w:w="851"/>
        <w:gridCol w:w="850"/>
        <w:gridCol w:w="851"/>
        <w:gridCol w:w="999"/>
      </w:tblGrid>
      <w:tr w:rsidR="002B0E78" w:rsidRPr="003D1F5E" w14:paraId="52A280B8" w14:textId="77777777" w:rsidTr="002B0E78">
        <w:trPr>
          <w:trHeight w:hRule="exact" w:val="624"/>
          <w:tblHeader/>
        </w:trPr>
        <w:tc>
          <w:tcPr>
            <w:tcW w:w="2263" w:type="dxa"/>
            <w:tcBorders>
              <w:top w:val="single" w:sz="4" w:space="0" w:color="auto"/>
              <w:left w:val="single" w:sz="4" w:space="0" w:color="auto"/>
              <w:bottom w:val="single" w:sz="4" w:space="0" w:color="000000"/>
              <w:right w:val="single" w:sz="4" w:space="0" w:color="auto"/>
            </w:tcBorders>
            <w:shd w:val="clear" w:color="000000" w:fill="6B2F76"/>
            <w:hideMark/>
          </w:tcPr>
          <w:p w14:paraId="2A4D3CB9" w14:textId="77777777" w:rsidR="002B0E78" w:rsidRPr="003D1F5E" w:rsidRDefault="002B0E78" w:rsidP="00312E88">
            <w:pPr>
              <w:jc w:val="center"/>
              <w:rPr>
                <w:rFonts w:cs="Arial"/>
                <w:b/>
                <w:bCs/>
                <w:color w:val="FFFFFF"/>
                <w:sz w:val="16"/>
                <w:szCs w:val="16"/>
              </w:rPr>
            </w:pPr>
            <w:r w:rsidRPr="003D1F5E">
              <w:rPr>
                <w:rFonts w:cs="Arial"/>
                <w:b/>
                <w:bCs/>
                <w:color w:val="FFFFFF"/>
                <w:sz w:val="16"/>
                <w:szCs w:val="16"/>
              </w:rPr>
              <w:t>Inflation on payments</w:t>
            </w:r>
          </w:p>
        </w:tc>
        <w:tc>
          <w:tcPr>
            <w:tcW w:w="1843" w:type="dxa"/>
            <w:tcBorders>
              <w:top w:val="single" w:sz="4" w:space="0" w:color="auto"/>
              <w:left w:val="single" w:sz="4" w:space="0" w:color="auto"/>
              <w:bottom w:val="single" w:sz="4" w:space="0" w:color="000000"/>
              <w:right w:val="single" w:sz="4" w:space="0" w:color="000000"/>
            </w:tcBorders>
            <w:shd w:val="clear" w:color="000000" w:fill="6B2F76"/>
            <w:hideMark/>
          </w:tcPr>
          <w:p w14:paraId="701F4977" w14:textId="77777777" w:rsidR="002B0E78" w:rsidRPr="003D1F5E" w:rsidRDefault="002B0E78" w:rsidP="00312E88">
            <w:pPr>
              <w:jc w:val="center"/>
              <w:rPr>
                <w:rFonts w:cs="Arial"/>
                <w:b/>
                <w:bCs/>
                <w:color w:val="FFFFFF"/>
                <w:sz w:val="16"/>
                <w:szCs w:val="16"/>
              </w:rPr>
            </w:pPr>
            <w:r w:rsidRPr="003D1F5E">
              <w:rPr>
                <w:rFonts w:cs="Arial"/>
                <w:b/>
                <w:bCs/>
                <w:color w:val="FFFFFF"/>
                <w:sz w:val="16"/>
                <w:szCs w:val="16"/>
              </w:rPr>
              <w:t>Average annual rate over the previous 3 years</w:t>
            </w:r>
          </w:p>
        </w:tc>
        <w:tc>
          <w:tcPr>
            <w:tcW w:w="851" w:type="dxa"/>
            <w:tcBorders>
              <w:top w:val="nil"/>
              <w:left w:val="nil"/>
              <w:bottom w:val="single" w:sz="4" w:space="0" w:color="auto"/>
              <w:right w:val="nil"/>
            </w:tcBorders>
            <w:shd w:val="clear" w:color="000000" w:fill="6B2F76"/>
            <w:noWrap/>
            <w:hideMark/>
          </w:tcPr>
          <w:p w14:paraId="7B524646" w14:textId="77777777" w:rsidR="002B0E78" w:rsidRPr="003D1F5E" w:rsidRDefault="002B0E78" w:rsidP="00312E88">
            <w:pPr>
              <w:jc w:val="center"/>
              <w:rPr>
                <w:rFonts w:cs="Arial"/>
                <w:b/>
                <w:bCs/>
                <w:color w:val="FFFFFF"/>
                <w:sz w:val="16"/>
                <w:szCs w:val="16"/>
              </w:rPr>
            </w:pPr>
            <w:r w:rsidRPr="003D1F5E">
              <w:rPr>
                <w:rFonts w:cs="Arial"/>
                <w:b/>
                <w:bCs/>
                <w:color w:val="FFFFFF"/>
                <w:sz w:val="16"/>
                <w:szCs w:val="16"/>
              </w:rPr>
              <w:t>2021-22</w:t>
            </w:r>
          </w:p>
        </w:tc>
        <w:tc>
          <w:tcPr>
            <w:tcW w:w="850" w:type="dxa"/>
            <w:tcBorders>
              <w:top w:val="nil"/>
              <w:left w:val="nil"/>
              <w:bottom w:val="single" w:sz="4" w:space="0" w:color="auto"/>
              <w:right w:val="nil"/>
            </w:tcBorders>
            <w:shd w:val="clear" w:color="000000" w:fill="6B2F76"/>
            <w:noWrap/>
            <w:hideMark/>
          </w:tcPr>
          <w:p w14:paraId="1E5EE8F0" w14:textId="77777777" w:rsidR="002B0E78" w:rsidRPr="003D1F5E" w:rsidRDefault="002B0E78" w:rsidP="00312E88">
            <w:pPr>
              <w:jc w:val="center"/>
              <w:rPr>
                <w:rFonts w:cs="Arial"/>
                <w:b/>
                <w:bCs/>
                <w:color w:val="FFFFFF"/>
                <w:sz w:val="16"/>
                <w:szCs w:val="16"/>
              </w:rPr>
            </w:pPr>
            <w:r w:rsidRPr="003D1F5E">
              <w:rPr>
                <w:rFonts w:cs="Arial"/>
                <w:b/>
                <w:bCs/>
                <w:color w:val="FFFFFF"/>
                <w:sz w:val="16"/>
                <w:szCs w:val="16"/>
              </w:rPr>
              <w:t>2022-23</w:t>
            </w:r>
          </w:p>
        </w:tc>
        <w:tc>
          <w:tcPr>
            <w:tcW w:w="851" w:type="dxa"/>
            <w:tcBorders>
              <w:top w:val="nil"/>
              <w:left w:val="nil"/>
              <w:bottom w:val="single" w:sz="4" w:space="0" w:color="auto"/>
              <w:right w:val="nil"/>
            </w:tcBorders>
            <w:shd w:val="clear" w:color="000000" w:fill="6B2F76"/>
            <w:noWrap/>
            <w:hideMark/>
          </w:tcPr>
          <w:p w14:paraId="3A1AFC41" w14:textId="77777777" w:rsidR="002B0E78" w:rsidRPr="003D1F5E" w:rsidRDefault="002B0E78" w:rsidP="00312E88">
            <w:pPr>
              <w:jc w:val="center"/>
              <w:rPr>
                <w:rFonts w:cs="Arial"/>
                <w:b/>
                <w:bCs/>
                <w:color w:val="FFFFFF"/>
                <w:sz w:val="16"/>
                <w:szCs w:val="16"/>
              </w:rPr>
            </w:pPr>
            <w:r w:rsidRPr="003D1F5E">
              <w:rPr>
                <w:rFonts w:cs="Arial"/>
                <w:b/>
                <w:bCs/>
                <w:color w:val="FFFFFF"/>
                <w:sz w:val="16"/>
                <w:szCs w:val="16"/>
              </w:rPr>
              <w:t>2023-24</w:t>
            </w:r>
          </w:p>
        </w:tc>
        <w:tc>
          <w:tcPr>
            <w:tcW w:w="850" w:type="dxa"/>
            <w:tcBorders>
              <w:top w:val="nil"/>
              <w:left w:val="nil"/>
              <w:bottom w:val="single" w:sz="4" w:space="0" w:color="auto"/>
              <w:right w:val="nil"/>
            </w:tcBorders>
            <w:shd w:val="clear" w:color="000000" w:fill="6B2F76"/>
            <w:noWrap/>
            <w:hideMark/>
          </w:tcPr>
          <w:p w14:paraId="384C24E0" w14:textId="77777777" w:rsidR="002B0E78" w:rsidRPr="003D1F5E" w:rsidRDefault="002B0E78" w:rsidP="00312E88">
            <w:pPr>
              <w:jc w:val="center"/>
              <w:rPr>
                <w:rFonts w:cs="Arial"/>
                <w:b/>
                <w:bCs/>
                <w:color w:val="FFFFFF"/>
                <w:sz w:val="16"/>
                <w:szCs w:val="16"/>
              </w:rPr>
            </w:pPr>
            <w:r w:rsidRPr="003D1F5E">
              <w:rPr>
                <w:rFonts w:cs="Arial"/>
                <w:b/>
                <w:bCs/>
                <w:color w:val="FFFFFF"/>
                <w:sz w:val="16"/>
                <w:szCs w:val="16"/>
              </w:rPr>
              <w:t>2024-25</w:t>
            </w:r>
          </w:p>
        </w:tc>
        <w:tc>
          <w:tcPr>
            <w:tcW w:w="851" w:type="dxa"/>
            <w:tcBorders>
              <w:top w:val="single" w:sz="4" w:space="0" w:color="auto"/>
              <w:left w:val="dotted" w:sz="4" w:space="0" w:color="auto"/>
              <w:bottom w:val="single" w:sz="4" w:space="0" w:color="auto"/>
              <w:right w:val="dotted" w:sz="4" w:space="0" w:color="auto"/>
            </w:tcBorders>
            <w:shd w:val="clear" w:color="000000" w:fill="6B2F76"/>
            <w:noWrap/>
            <w:hideMark/>
          </w:tcPr>
          <w:p w14:paraId="5C2F885B" w14:textId="77777777" w:rsidR="002B0E78" w:rsidRPr="003D1F5E" w:rsidRDefault="002B0E78" w:rsidP="00312E88">
            <w:pPr>
              <w:jc w:val="center"/>
              <w:rPr>
                <w:rFonts w:cs="Arial"/>
                <w:b/>
                <w:bCs/>
                <w:color w:val="FFFFFF"/>
                <w:sz w:val="16"/>
                <w:szCs w:val="16"/>
              </w:rPr>
            </w:pPr>
            <w:r w:rsidRPr="003D1F5E">
              <w:rPr>
                <w:rFonts w:cs="Arial"/>
                <w:b/>
                <w:bCs/>
                <w:color w:val="FFFFFF"/>
                <w:sz w:val="16"/>
                <w:szCs w:val="16"/>
              </w:rPr>
              <w:t>2029-30</w:t>
            </w:r>
          </w:p>
        </w:tc>
        <w:tc>
          <w:tcPr>
            <w:tcW w:w="999" w:type="dxa"/>
            <w:tcBorders>
              <w:top w:val="nil"/>
              <w:left w:val="nil"/>
              <w:bottom w:val="single" w:sz="4" w:space="0" w:color="auto"/>
              <w:right w:val="single" w:sz="4" w:space="0" w:color="auto"/>
            </w:tcBorders>
            <w:shd w:val="clear" w:color="000000" w:fill="6B2F76"/>
            <w:noWrap/>
            <w:hideMark/>
          </w:tcPr>
          <w:p w14:paraId="268EE2E0" w14:textId="77777777" w:rsidR="002B0E78" w:rsidRPr="003D1F5E" w:rsidRDefault="002B0E78" w:rsidP="00312E88">
            <w:pPr>
              <w:jc w:val="center"/>
              <w:rPr>
                <w:rFonts w:cs="Arial"/>
                <w:b/>
                <w:bCs/>
                <w:color w:val="FFFFFF"/>
                <w:sz w:val="16"/>
                <w:szCs w:val="16"/>
              </w:rPr>
            </w:pPr>
            <w:r w:rsidRPr="003D1F5E">
              <w:rPr>
                <w:rFonts w:cs="Arial"/>
                <w:b/>
                <w:bCs/>
                <w:color w:val="FFFFFF"/>
                <w:sz w:val="16"/>
                <w:szCs w:val="16"/>
              </w:rPr>
              <w:t>Thereafter</w:t>
            </w:r>
          </w:p>
        </w:tc>
      </w:tr>
      <w:tr w:rsidR="002B0E78" w:rsidRPr="003D1F5E" w14:paraId="00AB1C03" w14:textId="77777777" w:rsidTr="002B0E78">
        <w:trPr>
          <w:trHeight w:hRule="exact" w:val="340"/>
        </w:trPr>
        <w:tc>
          <w:tcPr>
            <w:tcW w:w="2263" w:type="dxa"/>
            <w:tcBorders>
              <w:top w:val="nil"/>
              <w:left w:val="single" w:sz="4" w:space="0" w:color="auto"/>
              <w:bottom w:val="single" w:sz="4" w:space="0" w:color="auto"/>
              <w:right w:val="nil"/>
            </w:tcBorders>
            <w:shd w:val="clear" w:color="auto" w:fill="auto"/>
            <w:noWrap/>
            <w:hideMark/>
          </w:tcPr>
          <w:p w14:paraId="3F30E86A" w14:textId="77777777" w:rsidR="002B0E78" w:rsidRPr="003D1F5E" w:rsidRDefault="002B0E78" w:rsidP="00312E88">
            <w:pPr>
              <w:jc w:val="center"/>
              <w:rPr>
                <w:rFonts w:cs="Arial"/>
                <w:b/>
                <w:bCs/>
                <w:sz w:val="16"/>
                <w:szCs w:val="16"/>
              </w:rPr>
            </w:pPr>
            <w:r w:rsidRPr="003D1F5E">
              <w:rPr>
                <w:rFonts w:cs="Arial"/>
                <w:b/>
                <w:bCs/>
                <w:sz w:val="16"/>
                <w:szCs w:val="16"/>
              </w:rPr>
              <w:t>2020-21 AFSR</w:t>
            </w:r>
          </w:p>
        </w:tc>
        <w:tc>
          <w:tcPr>
            <w:tcW w:w="7095" w:type="dxa"/>
            <w:gridSpan w:val="7"/>
            <w:tcBorders>
              <w:top w:val="nil"/>
              <w:left w:val="single" w:sz="4" w:space="0" w:color="auto"/>
              <w:bottom w:val="single" w:sz="4" w:space="0" w:color="auto"/>
              <w:right w:val="single" w:sz="4" w:space="0" w:color="auto"/>
            </w:tcBorders>
            <w:shd w:val="clear" w:color="auto" w:fill="auto"/>
            <w:noWrap/>
            <w:hideMark/>
          </w:tcPr>
          <w:p w14:paraId="4A001825" w14:textId="77777777" w:rsidR="002B0E78" w:rsidRPr="003D1F5E" w:rsidRDefault="002B0E78" w:rsidP="00312E88">
            <w:pPr>
              <w:jc w:val="center"/>
              <w:rPr>
                <w:rFonts w:cs="Arial"/>
                <w:b/>
                <w:bCs/>
                <w:color w:val="FFFFFF"/>
                <w:sz w:val="16"/>
                <w:szCs w:val="16"/>
              </w:rPr>
            </w:pPr>
          </w:p>
        </w:tc>
      </w:tr>
      <w:tr w:rsidR="002B0E78" w:rsidRPr="003D1F5E" w14:paraId="773B0E45" w14:textId="77777777" w:rsidTr="002B0E78">
        <w:trPr>
          <w:trHeight w:hRule="exact" w:val="340"/>
        </w:trPr>
        <w:tc>
          <w:tcPr>
            <w:tcW w:w="2263" w:type="dxa"/>
            <w:tcBorders>
              <w:top w:val="nil"/>
              <w:left w:val="single" w:sz="4" w:space="0" w:color="auto"/>
              <w:bottom w:val="nil"/>
              <w:right w:val="nil"/>
            </w:tcBorders>
            <w:shd w:val="clear" w:color="auto" w:fill="auto"/>
            <w:noWrap/>
            <w:hideMark/>
          </w:tcPr>
          <w:p w14:paraId="3F5E4707" w14:textId="77777777" w:rsidR="002B0E78" w:rsidRPr="003D1F5E" w:rsidRDefault="002B0E78" w:rsidP="00312E88">
            <w:pPr>
              <w:jc w:val="center"/>
              <w:rPr>
                <w:rFonts w:cs="Arial"/>
                <w:sz w:val="16"/>
                <w:szCs w:val="16"/>
              </w:rPr>
            </w:pPr>
            <w:r w:rsidRPr="003D1F5E">
              <w:rPr>
                <w:rFonts w:cs="Arial"/>
                <w:sz w:val="16"/>
                <w:szCs w:val="16"/>
              </w:rPr>
              <w:t>Normal inflation</w:t>
            </w:r>
          </w:p>
        </w:tc>
        <w:tc>
          <w:tcPr>
            <w:tcW w:w="1843" w:type="dxa"/>
            <w:tcBorders>
              <w:top w:val="nil"/>
              <w:left w:val="single" w:sz="4" w:space="0" w:color="auto"/>
              <w:bottom w:val="nil"/>
              <w:right w:val="single" w:sz="4" w:space="0" w:color="auto"/>
            </w:tcBorders>
            <w:shd w:val="clear" w:color="000000" w:fill="D9D9D9"/>
            <w:noWrap/>
            <w:hideMark/>
          </w:tcPr>
          <w:p w14:paraId="1ED7AA44" w14:textId="77777777" w:rsidR="002B0E78" w:rsidRPr="003D1F5E" w:rsidRDefault="002B0E78" w:rsidP="00312E88">
            <w:pPr>
              <w:jc w:val="center"/>
              <w:rPr>
                <w:rFonts w:cs="Arial"/>
                <w:sz w:val="16"/>
                <w:szCs w:val="16"/>
              </w:rPr>
            </w:pPr>
          </w:p>
        </w:tc>
        <w:tc>
          <w:tcPr>
            <w:tcW w:w="851" w:type="dxa"/>
            <w:tcBorders>
              <w:top w:val="nil"/>
              <w:left w:val="nil"/>
              <w:bottom w:val="nil"/>
              <w:right w:val="nil"/>
            </w:tcBorders>
            <w:shd w:val="clear" w:color="auto" w:fill="auto"/>
            <w:noWrap/>
            <w:hideMark/>
          </w:tcPr>
          <w:p w14:paraId="52ABC606" w14:textId="77777777" w:rsidR="002B0E78" w:rsidRPr="003D1F5E" w:rsidRDefault="002B0E78" w:rsidP="00312E88">
            <w:pPr>
              <w:jc w:val="center"/>
              <w:rPr>
                <w:rFonts w:cs="Arial"/>
                <w:color w:val="000000"/>
                <w:sz w:val="16"/>
                <w:szCs w:val="16"/>
              </w:rPr>
            </w:pPr>
            <w:r w:rsidRPr="003D1F5E">
              <w:rPr>
                <w:rFonts w:cs="Arial"/>
                <w:color w:val="000000"/>
                <w:sz w:val="16"/>
                <w:szCs w:val="16"/>
              </w:rPr>
              <w:t>3.0%</w:t>
            </w:r>
          </w:p>
        </w:tc>
        <w:tc>
          <w:tcPr>
            <w:tcW w:w="850" w:type="dxa"/>
            <w:tcBorders>
              <w:top w:val="nil"/>
              <w:left w:val="nil"/>
              <w:bottom w:val="nil"/>
              <w:right w:val="nil"/>
            </w:tcBorders>
            <w:shd w:val="clear" w:color="auto" w:fill="auto"/>
            <w:noWrap/>
            <w:hideMark/>
          </w:tcPr>
          <w:p w14:paraId="22D8AD6C" w14:textId="77777777" w:rsidR="002B0E78" w:rsidRPr="003D1F5E" w:rsidRDefault="002B0E78" w:rsidP="00312E88">
            <w:pPr>
              <w:jc w:val="center"/>
              <w:rPr>
                <w:rFonts w:cs="Arial"/>
                <w:color w:val="000000"/>
                <w:sz w:val="16"/>
                <w:szCs w:val="16"/>
              </w:rPr>
            </w:pPr>
            <w:r w:rsidRPr="003D1F5E">
              <w:rPr>
                <w:rFonts w:cs="Arial"/>
                <w:color w:val="000000"/>
                <w:sz w:val="16"/>
                <w:szCs w:val="16"/>
              </w:rPr>
              <w:t>3.2%</w:t>
            </w:r>
          </w:p>
        </w:tc>
        <w:tc>
          <w:tcPr>
            <w:tcW w:w="851" w:type="dxa"/>
            <w:tcBorders>
              <w:top w:val="nil"/>
              <w:left w:val="nil"/>
              <w:bottom w:val="nil"/>
              <w:right w:val="nil"/>
            </w:tcBorders>
            <w:shd w:val="clear" w:color="auto" w:fill="auto"/>
            <w:noWrap/>
            <w:hideMark/>
          </w:tcPr>
          <w:p w14:paraId="6D81C885" w14:textId="77777777" w:rsidR="002B0E78" w:rsidRPr="003D1F5E" w:rsidRDefault="002B0E78" w:rsidP="00312E88">
            <w:pPr>
              <w:jc w:val="center"/>
              <w:rPr>
                <w:rFonts w:cs="Arial"/>
                <w:color w:val="000000"/>
                <w:sz w:val="16"/>
                <w:szCs w:val="16"/>
              </w:rPr>
            </w:pPr>
            <w:r w:rsidRPr="003D1F5E">
              <w:rPr>
                <w:rFonts w:cs="Arial"/>
                <w:color w:val="000000"/>
                <w:sz w:val="16"/>
                <w:szCs w:val="16"/>
              </w:rPr>
              <w:t>3.2%</w:t>
            </w:r>
          </w:p>
        </w:tc>
        <w:tc>
          <w:tcPr>
            <w:tcW w:w="850" w:type="dxa"/>
            <w:tcBorders>
              <w:top w:val="nil"/>
              <w:left w:val="nil"/>
              <w:bottom w:val="nil"/>
              <w:right w:val="nil"/>
            </w:tcBorders>
            <w:shd w:val="clear" w:color="auto" w:fill="auto"/>
            <w:noWrap/>
            <w:hideMark/>
          </w:tcPr>
          <w:p w14:paraId="26F690AD" w14:textId="77777777" w:rsidR="002B0E78" w:rsidRPr="003D1F5E" w:rsidRDefault="002B0E78" w:rsidP="00312E88">
            <w:pPr>
              <w:jc w:val="center"/>
              <w:rPr>
                <w:rFonts w:cs="Arial"/>
                <w:color w:val="000000"/>
                <w:sz w:val="16"/>
                <w:szCs w:val="16"/>
              </w:rPr>
            </w:pPr>
            <w:r w:rsidRPr="003D1F5E">
              <w:rPr>
                <w:rFonts w:cs="Arial"/>
                <w:color w:val="000000"/>
                <w:sz w:val="16"/>
                <w:szCs w:val="16"/>
              </w:rPr>
              <w:t>3.2%</w:t>
            </w:r>
          </w:p>
        </w:tc>
        <w:tc>
          <w:tcPr>
            <w:tcW w:w="851" w:type="dxa"/>
            <w:tcBorders>
              <w:top w:val="nil"/>
              <w:left w:val="dotted" w:sz="4" w:space="0" w:color="auto"/>
              <w:bottom w:val="nil"/>
              <w:right w:val="nil"/>
            </w:tcBorders>
            <w:shd w:val="clear" w:color="auto" w:fill="auto"/>
            <w:noWrap/>
            <w:hideMark/>
          </w:tcPr>
          <w:p w14:paraId="5C190826" w14:textId="77777777" w:rsidR="002B0E78" w:rsidRPr="003D1F5E" w:rsidRDefault="002B0E78" w:rsidP="00312E88">
            <w:pPr>
              <w:jc w:val="center"/>
              <w:rPr>
                <w:rFonts w:cs="Arial"/>
                <w:color w:val="000000"/>
                <w:sz w:val="16"/>
                <w:szCs w:val="16"/>
              </w:rPr>
            </w:pPr>
            <w:r w:rsidRPr="003D1F5E">
              <w:rPr>
                <w:rFonts w:cs="Arial"/>
                <w:color w:val="000000"/>
                <w:sz w:val="16"/>
                <w:szCs w:val="16"/>
              </w:rPr>
              <w:t>3.2%</w:t>
            </w:r>
          </w:p>
        </w:tc>
        <w:tc>
          <w:tcPr>
            <w:tcW w:w="999" w:type="dxa"/>
            <w:tcBorders>
              <w:top w:val="nil"/>
              <w:left w:val="dotted" w:sz="4" w:space="0" w:color="auto"/>
              <w:bottom w:val="nil"/>
              <w:right w:val="single" w:sz="4" w:space="0" w:color="auto"/>
            </w:tcBorders>
            <w:shd w:val="clear" w:color="auto" w:fill="auto"/>
            <w:noWrap/>
            <w:hideMark/>
          </w:tcPr>
          <w:p w14:paraId="475A88B3" w14:textId="77777777" w:rsidR="002B0E78" w:rsidRPr="003D1F5E" w:rsidRDefault="002B0E78" w:rsidP="00312E88">
            <w:pPr>
              <w:jc w:val="center"/>
              <w:rPr>
                <w:rFonts w:cs="Arial"/>
                <w:color w:val="000000"/>
                <w:sz w:val="16"/>
                <w:szCs w:val="16"/>
              </w:rPr>
            </w:pPr>
            <w:r w:rsidRPr="003D1F5E">
              <w:rPr>
                <w:rFonts w:cs="Arial"/>
                <w:color w:val="000000"/>
                <w:sz w:val="16"/>
                <w:szCs w:val="16"/>
              </w:rPr>
              <w:t>3.2%</w:t>
            </w:r>
          </w:p>
        </w:tc>
      </w:tr>
      <w:tr w:rsidR="002B0E78" w:rsidRPr="003D1F5E" w14:paraId="36F66516" w14:textId="77777777" w:rsidTr="002B0E78">
        <w:trPr>
          <w:trHeight w:hRule="exact" w:val="340"/>
        </w:trPr>
        <w:tc>
          <w:tcPr>
            <w:tcW w:w="2263" w:type="dxa"/>
            <w:tcBorders>
              <w:top w:val="nil"/>
              <w:left w:val="single" w:sz="4" w:space="0" w:color="auto"/>
              <w:bottom w:val="nil"/>
              <w:right w:val="nil"/>
            </w:tcBorders>
            <w:shd w:val="clear" w:color="auto" w:fill="auto"/>
            <w:noWrap/>
            <w:hideMark/>
          </w:tcPr>
          <w:p w14:paraId="2F9F65B4" w14:textId="77777777" w:rsidR="002B0E78" w:rsidRPr="003D1F5E" w:rsidRDefault="002B0E78" w:rsidP="00312E88">
            <w:pPr>
              <w:jc w:val="center"/>
              <w:rPr>
                <w:rFonts w:cs="Arial"/>
                <w:sz w:val="16"/>
                <w:szCs w:val="16"/>
              </w:rPr>
            </w:pPr>
            <w:r w:rsidRPr="003D1F5E">
              <w:rPr>
                <w:rFonts w:cs="Arial"/>
                <w:sz w:val="16"/>
                <w:szCs w:val="16"/>
              </w:rPr>
              <w:t>Superimposed inflation</w:t>
            </w:r>
          </w:p>
        </w:tc>
        <w:tc>
          <w:tcPr>
            <w:tcW w:w="1843" w:type="dxa"/>
            <w:tcBorders>
              <w:top w:val="nil"/>
              <w:left w:val="single" w:sz="4" w:space="0" w:color="auto"/>
              <w:bottom w:val="nil"/>
              <w:right w:val="single" w:sz="4" w:space="0" w:color="auto"/>
            </w:tcBorders>
            <w:shd w:val="clear" w:color="000000" w:fill="D9D9D9"/>
            <w:noWrap/>
          </w:tcPr>
          <w:p w14:paraId="110D6EF4" w14:textId="77777777" w:rsidR="002B0E78" w:rsidRPr="003D1F5E" w:rsidRDefault="002B0E78" w:rsidP="00312E88">
            <w:pPr>
              <w:jc w:val="center"/>
              <w:rPr>
                <w:rFonts w:cs="Arial"/>
                <w:sz w:val="16"/>
                <w:szCs w:val="16"/>
              </w:rPr>
            </w:pPr>
          </w:p>
        </w:tc>
        <w:tc>
          <w:tcPr>
            <w:tcW w:w="851" w:type="dxa"/>
            <w:tcBorders>
              <w:top w:val="nil"/>
              <w:left w:val="nil"/>
              <w:bottom w:val="nil"/>
              <w:right w:val="nil"/>
            </w:tcBorders>
            <w:shd w:val="clear" w:color="auto" w:fill="auto"/>
            <w:noWrap/>
            <w:hideMark/>
          </w:tcPr>
          <w:p w14:paraId="4B6641D5" w14:textId="77777777" w:rsidR="002B0E78" w:rsidRPr="003D1F5E" w:rsidRDefault="002B0E78" w:rsidP="00312E88">
            <w:pPr>
              <w:jc w:val="center"/>
              <w:rPr>
                <w:rFonts w:cs="Arial"/>
                <w:color w:val="000000"/>
                <w:sz w:val="16"/>
                <w:szCs w:val="16"/>
              </w:rPr>
            </w:pPr>
            <w:r w:rsidRPr="003D1F5E">
              <w:rPr>
                <w:rFonts w:cs="Arial"/>
                <w:color w:val="000000"/>
                <w:sz w:val="16"/>
                <w:szCs w:val="16"/>
              </w:rPr>
              <w:t>9.7%</w:t>
            </w:r>
          </w:p>
        </w:tc>
        <w:tc>
          <w:tcPr>
            <w:tcW w:w="850" w:type="dxa"/>
            <w:tcBorders>
              <w:top w:val="nil"/>
              <w:left w:val="nil"/>
              <w:bottom w:val="nil"/>
              <w:right w:val="nil"/>
            </w:tcBorders>
            <w:shd w:val="clear" w:color="auto" w:fill="auto"/>
            <w:noWrap/>
            <w:hideMark/>
          </w:tcPr>
          <w:p w14:paraId="2CF87540" w14:textId="77777777" w:rsidR="002B0E78" w:rsidRPr="003D1F5E" w:rsidRDefault="002B0E78" w:rsidP="00312E88">
            <w:pPr>
              <w:jc w:val="center"/>
              <w:rPr>
                <w:rFonts w:cs="Arial"/>
                <w:color w:val="000000"/>
                <w:sz w:val="16"/>
                <w:szCs w:val="16"/>
              </w:rPr>
            </w:pPr>
            <w:r w:rsidRPr="003D1F5E">
              <w:rPr>
                <w:rFonts w:cs="Arial"/>
                <w:color w:val="000000"/>
                <w:sz w:val="16"/>
                <w:szCs w:val="16"/>
              </w:rPr>
              <w:t>5.0%</w:t>
            </w:r>
          </w:p>
        </w:tc>
        <w:tc>
          <w:tcPr>
            <w:tcW w:w="851" w:type="dxa"/>
            <w:tcBorders>
              <w:top w:val="nil"/>
              <w:left w:val="nil"/>
              <w:bottom w:val="nil"/>
              <w:right w:val="nil"/>
            </w:tcBorders>
            <w:shd w:val="clear" w:color="auto" w:fill="auto"/>
            <w:noWrap/>
            <w:hideMark/>
          </w:tcPr>
          <w:p w14:paraId="52B6EF2A" w14:textId="77777777" w:rsidR="002B0E78" w:rsidRPr="003D1F5E" w:rsidRDefault="002B0E78" w:rsidP="00312E88">
            <w:pPr>
              <w:jc w:val="center"/>
              <w:rPr>
                <w:rFonts w:cs="Arial"/>
                <w:color w:val="000000"/>
                <w:sz w:val="16"/>
                <w:szCs w:val="16"/>
              </w:rPr>
            </w:pPr>
            <w:r w:rsidRPr="003D1F5E">
              <w:rPr>
                <w:rFonts w:cs="Arial"/>
                <w:color w:val="000000"/>
                <w:sz w:val="16"/>
                <w:szCs w:val="16"/>
              </w:rPr>
              <w:t>3.0%</w:t>
            </w:r>
          </w:p>
        </w:tc>
        <w:tc>
          <w:tcPr>
            <w:tcW w:w="850" w:type="dxa"/>
            <w:tcBorders>
              <w:top w:val="nil"/>
              <w:left w:val="nil"/>
              <w:bottom w:val="nil"/>
              <w:right w:val="nil"/>
            </w:tcBorders>
            <w:shd w:val="clear" w:color="auto" w:fill="auto"/>
            <w:noWrap/>
            <w:hideMark/>
          </w:tcPr>
          <w:p w14:paraId="4F021312" w14:textId="77777777" w:rsidR="002B0E78" w:rsidRPr="003D1F5E" w:rsidRDefault="002B0E78" w:rsidP="00312E88">
            <w:pPr>
              <w:jc w:val="center"/>
              <w:rPr>
                <w:rFonts w:cs="Arial"/>
                <w:color w:val="000000"/>
                <w:sz w:val="16"/>
                <w:szCs w:val="16"/>
              </w:rPr>
            </w:pPr>
            <w:r w:rsidRPr="003D1F5E">
              <w:rPr>
                <w:rFonts w:cs="Arial"/>
                <w:color w:val="000000"/>
                <w:sz w:val="16"/>
                <w:szCs w:val="16"/>
              </w:rPr>
              <w:t>1.1%</w:t>
            </w:r>
          </w:p>
        </w:tc>
        <w:tc>
          <w:tcPr>
            <w:tcW w:w="851" w:type="dxa"/>
            <w:tcBorders>
              <w:top w:val="nil"/>
              <w:left w:val="dotted" w:sz="4" w:space="0" w:color="auto"/>
              <w:bottom w:val="nil"/>
              <w:right w:val="nil"/>
            </w:tcBorders>
            <w:shd w:val="clear" w:color="auto" w:fill="auto"/>
            <w:noWrap/>
            <w:hideMark/>
          </w:tcPr>
          <w:p w14:paraId="1DA27A33" w14:textId="77777777" w:rsidR="002B0E78" w:rsidRPr="003D1F5E" w:rsidRDefault="002B0E78" w:rsidP="00312E88">
            <w:pPr>
              <w:jc w:val="center"/>
              <w:rPr>
                <w:rFonts w:cs="Arial"/>
                <w:color w:val="000000"/>
                <w:sz w:val="16"/>
                <w:szCs w:val="16"/>
              </w:rPr>
            </w:pPr>
            <w:r w:rsidRPr="003D1F5E">
              <w:rPr>
                <w:rFonts w:cs="Arial"/>
                <w:color w:val="000000"/>
                <w:sz w:val="16"/>
                <w:szCs w:val="16"/>
              </w:rPr>
              <w:t>0.0%</w:t>
            </w:r>
          </w:p>
        </w:tc>
        <w:tc>
          <w:tcPr>
            <w:tcW w:w="999" w:type="dxa"/>
            <w:tcBorders>
              <w:top w:val="nil"/>
              <w:left w:val="dotted" w:sz="4" w:space="0" w:color="auto"/>
              <w:bottom w:val="nil"/>
              <w:right w:val="single" w:sz="4" w:space="0" w:color="auto"/>
            </w:tcBorders>
            <w:shd w:val="clear" w:color="auto" w:fill="auto"/>
            <w:noWrap/>
            <w:hideMark/>
          </w:tcPr>
          <w:p w14:paraId="7D36B623" w14:textId="77777777" w:rsidR="002B0E78" w:rsidRPr="003D1F5E" w:rsidRDefault="002B0E78" w:rsidP="00312E88">
            <w:pPr>
              <w:jc w:val="center"/>
              <w:rPr>
                <w:rFonts w:cs="Arial"/>
                <w:color w:val="000000"/>
                <w:sz w:val="16"/>
                <w:szCs w:val="16"/>
              </w:rPr>
            </w:pPr>
            <w:r w:rsidRPr="003D1F5E">
              <w:rPr>
                <w:rFonts w:cs="Arial"/>
                <w:color w:val="000000"/>
                <w:sz w:val="16"/>
                <w:szCs w:val="16"/>
              </w:rPr>
              <w:t>0.0%</w:t>
            </w:r>
          </w:p>
        </w:tc>
      </w:tr>
      <w:tr w:rsidR="002B0E78" w:rsidRPr="003D1F5E" w14:paraId="11844B3F" w14:textId="77777777" w:rsidTr="002B0E78">
        <w:trPr>
          <w:trHeight w:hRule="exact" w:val="340"/>
        </w:trPr>
        <w:tc>
          <w:tcPr>
            <w:tcW w:w="2263" w:type="dxa"/>
            <w:tcBorders>
              <w:top w:val="single" w:sz="4" w:space="0" w:color="auto"/>
              <w:left w:val="single" w:sz="4" w:space="0" w:color="auto"/>
              <w:bottom w:val="single" w:sz="4" w:space="0" w:color="auto"/>
              <w:right w:val="nil"/>
            </w:tcBorders>
            <w:shd w:val="clear" w:color="000000" w:fill="F7EEF7"/>
            <w:noWrap/>
            <w:hideMark/>
          </w:tcPr>
          <w:p w14:paraId="2590C6F3"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Total (excl change in mix)</w:t>
            </w:r>
          </w:p>
        </w:tc>
        <w:tc>
          <w:tcPr>
            <w:tcW w:w="1843" w:type="dxa"/>
            <w:tcBorders>
              <w:top w:val="single" w:sz="4" w:space="0" w:color="auto"/>
              <w:left w:val="single" w:sz="4" w:space="0" w:color="auto"/>
              <w:bottom w:val="single" w:sz="4" w:space="0" w:color="auto"/>
              <w:right w:val="single" w:sz="4" w:space="0" w:color="000000"/>
            </w:tcBorders>
            <w:shd w:val="clear" w:color="000000" w:fill="F7EEF7"/>
            <w:noWrap/>
            <w:hideMark/>
          </w:tcPr>
          <w:p w14:paraId="3E2D1678"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14.9%</w:t>
            </w:r>
          </w:p>
        </w:tc>
        <w:tc>
          <w:tcPr>
            <w:tcW w:w="851" w:type="dxa"/>
            <w:tcBorders>
              <w:top w:val="single" w:sz="4" w:space="0" w:color="auto"/>
              <w:left w:val="nil"/>
              <w:bottom w:val="single" w:sz="4" w:space="0" w:color="auto"/>
              <w:right w:val="nil"/>
            </w:tcBorders>
            <w:shd w:val="clear" w:color="000000" w:fill="F7EEF7"/>
            <w:noWrap/>
            <w:hideMark/>
          </w:tcPr>
          <w:p w14:paraId="62C3CA4A"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12.7%</w:t>
            </w:r>
          </w:p>
        </w:tc>
        <w:tc>
          <w:tcPr>
            <w:tcW w:w="850" w:type="dxa"/>
            <w:tcBorders>
              <w:top w:val="single" w:sz="4" w:space="0" w:color="auto"/>
              <w:left w:val="nil"/>
              <w:bottom w:val="single" w:sz="4" w:space="0" w:color="auto"/>
              <w:right w:val="nil"/>
            </w:tcBorders>
            <w:shd w:val="clear" w:color="000000" w:fill="F7EEF7"/>
            <w:noWrap/>
            <w:hideMark/>
          </w:tcPr>
          <w:p w14:paraId="0C346AC7"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8.1%</w:t>
            </w:r>
          </w:p>
        </w:tc>
        <w:tc>
          <w:tcPr>
            <w:tcW w:w="851" w:type="dxa"/>
            <w:tcBorders>
              <w:top w:val="single" w:sz="4" w:space="0" w:color="auto"/>
              <w:left w:val="nil"/>
              <w:bottom w:val="single" w:sz="4" w:space="0" w:color="auto"/>
              <w:right w:val="nil"/>
            </w:tcBorders>
            <w:shd w:val="clear" w:color="000000" w:fill="F7EEF7"/>
            <w:noWrap/>
            <w:hideMark/>
          </w:tcPr>
          <w:p w14:paraId="51F10B5D"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6.2%</w:t>
            </w:r>
          </w:p>
        </w:tc>
        <w:tc>
          <w:tcPr>
            <w:tcW w:w="850" w:type="dxa"/>
            <w:tcBorders>
              <w:top w:val="single" w:sz="4" w:space="0" w:color="auto"/>
              <w:left w:val="nil"/>
              <w:bottom w:val="single" w:sz="4" w:space="0" w:color="auto"/>
              <w:right w:val="nil"/>
            </w:tcBorders>
            <w:shd w:val="clear" w:color="000000" w:fill="F7EEF7"/>
            <w:noWrap/>
            <w:hideMark/>
          </w:tcPr>
          <w:p w14:paraId="274DDC08"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4.3%</w:t>
            </w:r>
          </w:p>
        </w:tc>
        <w:tc>
          <w:tcPr>
            <w:tcW w:w="851" w:type="dxa"/>
            <w:tcBorders>
              <w:top w:val="single" w:sz="4" w:space="0" w:color="auto"/>
              <w:left w:val="dotted" w:sz="4" w:space="0" w:color="auto"/>
              <w:bottom w:val="single" w:sz="4" w:space="0" w:color="auto"/>
              <w:right w:val="nil"/>
            </w:tcBorders>
            <w:shd w:val="clear" w:color="000000" w:fill="F7EEF7"/>
            <w:noWrap/>
            <w:hideMark/>
          </w:tcPr>
          <w:p w14:paraId="70FEF24C"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3.3%</w:t>
            </w:r>
          </w:p>
        </w:tc>
        <w:tc>
          <w:tcPr>
            <w:tcW w:w="999" w:type="dxa"/>
            <w:tcBorders>
              <w:top w:val="single" w:sz="4" w:space="0" w:color="auto"/>
              <w:left w:val="dotted" w:sz="4" w:space="0" w:color="auto"/>
              <w:bottom w:val="single" w:sz="4" w:space="0" w:color="auto"/>
              <w:right w:val="single" w:sz="4" w:space="0" w:color="auto"/>
            </w:tcBorders>
            <w:shd w:val="clear" w:color="000000" w:fill="F7EEF7"/>
            <w:noWrap/>
            <w:hideMark/>
          </w:tcPr>
          <w:p w14:paraId="7FA2542D"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3.3%</w:t>
            </w:r>
          </w:p>
        </w:tc>
      </w:tr>
      <w:tr w:rsidR="002B0E78" w:rsidRPr="003D1F5E" w14:paraId="494768BF" w14:textId="77777777" w:rsidTr="002B0E78">
        <w:trPr>
          <w:trHeight w:hRule="exact" w:val="340"/>
        </w:trPr>
        <w:tc>
          <w:tcPr>
            <w:tcW w:w="2263" w:type="dxa"/>
            <w:tcBorders>
              <w:top w:val="nil"/>
              <w:left w:val="single" w:sz="4" w:space="0" w:color="auto"/>
              <w:bottom w:val="nil"/>
              <w:right w:val="nil"/>
            </w:tcBorders>
            <w:shd w:val="clear" w:color="auto" w:fill="auto"/>
            <w:noWrap/>
            <w:hideMark/>
          </w:tcPr>
          <w:p w14:paraId="1B475DF8" w14:textId="77777777" w:rsidR="002B0E78" w:rsidRPr="003D1F5E" w:rsidRDefault="002B0E78" w:rsidP="00312E88">
            <w:pPr>
              <w:jc w:val="center"/>
              <w:rPr>
                <w:rFonts w:cs="Arial"/>
                <w:sz w:val="16"/>
                <w:szCs w:val="16"/>
              </w:rPr>
            </w:pPr>
            <w:r w:rsidRPr="003D1F5E">
              <w:rPr>
                <w:rFonts w:cs="Arial"/>
                <w:sz w:val="16"/>
                <w:szCs w:val="16"/>
              </w:rPr>
              <w:t>Change in mix</w:t>
            </w:r>
          </w:p>
        </w:tc>
        <w:tc>
          <w:tcPr>
            <w:tcW w:w="1843" w:type="dxa"/>
            <w:tcBorders>
              <w:top w:val="single" w:sz="4" w:space="0" w:color="auto"/>
              <w:left w:val="single" w:sz="4" w:space="0" w:color="auto"/>
              <w:bottom w:val="single" w:sz="4" w:space="0" w:color="auto"/>
              <w:right w:val="single" w:sz="4" w:space="0" w:color="000000"/>
            </w:tcBorders>
            <w:shd w:val="clear" w:color="auto" w:fill="auto"/>
            <w:noWrap/>
            <w:hideMark/>
          </w:tcPr>
          <w:p w14:paraId="1BECC1C5" w14:textId="77777777" w:rsidR="002B0E78" w:rsidRPr="003D1F5E" w:rsidRDefault="002B0E78" w:rsidP="00312E88">
            <w:pPr>
              <w:jc w:val="center"/>
              <w:rPr>
                <w:rFonts w:cs="Arial"/>
                <w:color w:val="000000"/>
                <w:sz w:val="16"/>
                <w:szCs w:val="16"/>
              </w:rPr>
            </w:pPr>
            <w:r w:rsidRPr="003D1F5E">
              <w:rPr>
                <w:rFonts w:cs="Arial"/>
                <w:color w:val="000000"/>
                <w:sz w:val="16"/>
                <w:szCs w:val="16"/>
              </w:rPr>
              <w:t>-3.1%</w:t>
            </w:r>
          </w:p>
        </w:tc>
        <w:tc>
          <w:tcPr>
            <w:tcW w:w="851" w:type="dxa"/>
            <w:tcBorders>
              <w:top w:val="nil"/>
              <w:left w:val="nil"/>
              <w:bottom w:val="nil"/>
              <w:right w:val="nil"/>
            </w:tcBorders>
            <w:shd w:val="clear" w:color="auto" w:fill="auto"/>
            <w:noWrap/>
            <w:hideMark/>
          </w:tcPr>
          <w:p w14:paraId="64D271C4" w14:textId="77777777" w:rsidR="002B0E78" w:rsidRPr="003D1F5E" w:rsidRDefault="002B0E78" w:rsidP="00312E88">
            <w:pPr>
              <w:jc w:val="center"/>
              <w:rPr>
                <w:rFonts w:cs="Arial"/>
                <w:color w:val="000000"/>
                <w:sz w:val="16"/>
                <w:szCs w:val="16"/>
              </w:rPr>
            </w:pPr>
            <w:r w:rsidRPr="003D1F5E">
              <w:rPr>
                <w:rFonts w:cs="Arial"/>
                <w:color w:val="000000"/>
                <w:sz w:val="16"/>
                <w:szCs w:val="16"/>
              </w:rPr>
              <w:t>-5.6%</w:t>
            </w:r>
          </w:p>
        </w:tc>
        <w:tc>
          <w:tcPr>
            <w:tcW w:w="850" w:type="dxa"/>
            <w:tcBorders>
              <w:top w:val="nil"/>
              <w:left w:val="nil"/>
              <w:bottom w:val="nil"/>
              <w:right w:val="nil"/>
            </w:tcBorders>
            <w:shd w:val="clear" w:color="auto" w:fill="auto"/>
            <w:noWrap/>
            <w:hideMark/>
          </w:tcPr>
          <w:p w14:paraId="786345D0" w14:textId="77777777" w:rsidR="002B0E78" w:rsidRPr="003D1F5E" w:rsidRDefault="002B0E78" w:rsidP="00312E88">
            <w:pPr>
              <w:jc w:val="center"/>
              <w:rPr>
                <w:rFonts w:cs="Arial"/>
                <w:color w:val="000000"/>
                <w:sz w:val="16"/>
                <w:szCs w:val="16"/>
              </w:rPr>
            </w:pPr>
            <w:r w:rsidRPr="003D1F5E">
              <w:rPr>
                <w:rFonts w:cs="Arial"/>
                <w:color w:val="000000"/>
                <w:sz w:val="16"/>
                <w:szCs w:val="16"/>
              </w:rPr>
              <w:t>-4.4%</w:t>
            </w:r>
          </w:p>
        </w:tc>
        <w:tc>
          <w:tcPr>
            <w:tcW w:w="851" w:type="dxa"/>
            <w:tcBorders>
              <w:top w:val="nil"/>
              <w:left w:val="nil"/>
              <w:bottom w:val="nil"/>
              <w:right w:val="nil"/>
            </w:tcBorders>
            <w:shd w:val="clear" w:color="auto" w:fill="auto"/>
            <w:noWrap/>
            <w:hideMark/>
          </w:tcPr>
          <w:p w14:paraId="137A460F" w14:textId="77777777" w:rsidR="002B0E78" w:rsidRPr="003D1F5E" w:rsidRDefault="002B0E78" w:rsidP="00312E88">
            <w:pPr>
              <w:jc w:val="center"/>
              <w:rPr>
                <w:rFonts w:cs="Arial"/>
                <w:color w:val="000000"/>
                <w:sz w:val="16"/>
                <w:szCs w:val="16"/>
              </w:rPr>
            </w:pPr>
            <w:r w:rsidRPr="003D1F5E">
              <w:rPr>
                <w:rFonts w:cs="Arial"/>
                <w:color w:val="000000"/>
                <w:sz w:val="16"/>
                <w:szCs w:val="16"/>
              </w:rPr>
              <w:t>-3.2%</w:t>
            </w:r>
          </w:p>
        </w:tc>
        <w:tc>
          <w:tcPr>
            <w:tcW w:w="850" w:type="dxa"/>
            <w:tcBorders>
              <w:top w:val="nil"/>
              <w:left w:val="nil"/>
              <w:bottom w:val="nil"/>
              <w:right w:val="nil"/>
            </w:tcBorders>
            <w:shd w:val="clear" w:color="auto" w:fill="auto"/>
            <w:noWrap/>
            <w:hideMark/>
          </w:tcPr>
          <w:p w14:paraId="54DE6CEA" w14:textId="77777777" w:rsidR="002B0E78" w:rsidRPr="003D1F5E" w:rsidRDefault="002B0E78" w:rsidP="00312E88">
            <w:pPr>
              <w:jc w:val="center"/>
              <w:rPr>
                <w:rFonts w:cs="Arial"/>
                <w:color w:val="000000"/>
                <w:sz w:val="16"/>
                <w:szCs w:val="16"/>
              </w:rPr>
            </w:pPr>
            <w:r w:rsidRPr="003D1F5E">
              <w:rPr>
                <w:rFonts w:cs="Arial"/>
                <w:color w:val="000000"/>
                <w:sz w:val="16"/>
                <w:szCs w:val="16"/>
              </w:rPr>
              <w:t>-2.3%</w:t>
            </w:r>
          </w:p>
        </w:tc>
        <w:tc>
          <w:tcPr>
            <w:tcW w:w="851" w:type="dxa"/>
            <w:tcBorders>
              <w:top w:val="nil"/>
              <w:left w:val="dotted" w:sz="4" w:space="0" w:color="auto"/>
              <w:bottom w:val="nil"/>
              <w:right w:val="nil"/>
            </w:tcBorders>
            <w:shd w:val="clear" w:color="auto" w:fill="auto"/>
            <w:noWrap/>
            <w:hideMark/>
          </w:tcPr>
          <w:p w14:paraId="74052113" w14:textId="77777777" w:rsidR="002B0E78" w:rsidRPr="003D1F5E" w:rsidRDefault="002B0E78" w:rsidP="00312E88">
            <w:pPr>
              <w:jc w:val="center"/>
              <w:rPr>
                <w:rFonts w:cs="Arial"/>
                <w:color w:val="000000"/>
                <w:sz w:val="16"/>
                <w:szCs w:val="16"/>
              </w:rPr>
            </w:pPr>
            <w:r w:rsidRPr="003D1F5E">
              <w:rPr>
                <w:rFonts w:cs="Arial"/>
                <w:color w:val="000000"/>
                <w:sz w:val="16"/>
                <w:szCs w:val="16"/>
              </w:rPr>
              <w:t>-0.7%</w:t>
            </w:r>
          </w:p>
        </w:tc>
        <w:tc>
          <w:tcPr>
            <w:tcW w:w="999" w:type="dxa"/>
            <w:tcBorders>
              <w:top w:val="nil"/>
              <w:left w:val="dotted" w:sz="4" w:space="0" w:color="auto"/>
              <w:bottom w:val="nil"/>
              <w:right w:val="single" w:sz="4" w:space="0" w:color="auto"/>
            </w:tcBorders>
            <w:shd w:val="clear" w:color="auto" w:fill="auto"/>
            <w:noWrap/>
            <w:hideMark/>
          </w:tcPr>
          <w:p w14:paraId="03D2CE77" w14:textId="77777777" w:rsidR="002B0E78" w:rsidRPr="003D1F5E" w:rsidRDefault="002B0E78" w:rsidP="00312E88">
            <w:pPr>
              <w:jc w:val="center"/>
              <w:rPr>
                <w:rFonts w:cs="Arial"/>
                <w:color w:val="D9D9D9"/>
                <w:sz w:val="16"/>
                <w:szCs w:val="16"/>
              </w:rPr>
            </w:pPr>
          </w:p>
        </w:tc>
      </w:tr>
      <w:tr w:rsidR="002B0E78" w:rsidRPr="003D1F5E" w14:paraId="12939893" w14:textId="77777777" w:rsidTr="002B0E78">
        <w:trPr>
          <w:trHeight w:hRule="exact" w:val="340"/>
        </w:trPr>
        <w:tc>
          <w:tcPr>
            <w:tcW w:w="2263" w:type="dxa"/>
            <w:tcBorders>
              <w:top w:val="single" w:sz="4" w:space="0" w:color="auto"/>
              <w:left w:val="single" w:sz="4" w:space="0" w:color="auto"/>
              <w:bottom w:val="single" w:sz="4" w:space="0" w:color="auto"/>
              <w:right w:val="nil"/>
            </w:tcBorders>
            <w:shd w:val="clear" w:color="000000" w:fill="F7EEF7"/>
            <w:noWrap/>
            <w:hideMark/>
          </w:tcPr>
          <w:p w14:paraId="538A4618"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Total (incl change in mix)</w:t>
            </w:r>
          </w:p>
        </w:tc>
        <w:tc>
          <w:tcPr>
            <w:tcW w:w="1843" w:type="dxa"/>
            <w:tcBorders>
              <w:top w:val="single" w:sz="4" w:space="0" w:color="auto"/>
              <w:left w:val="single" w:sz="4" w:space="0" w:color="auto"/>
              <w:bottom w:val="single" w:sz="4" w:space="0" w:color="auto"/>
              <w:right w:val="single" w:sz="4" w:space="0" w:color="000000"/>
            </w:tcBorders>
            <w:shd w:val="clear" w:color="000000" w:fill="F7EEF7"/>
            <w:noWrap/>
            <w:hideMark/>
          </w:tcPr>
          <w:p w14:paraId="7AAFF755"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11.8%</w:t>
            </w:r>
          </w:p>
        </w:tc>
        <w:tc>
          <w:tcPr>
            <w:tcW w:w="851" w:type="dxa"/>
            <w:tcBorders>
              <w:top w:val="single" w:sz="4" w:space="0" w:color="auto"/>
              <w:left w:val="nil"/>
              <w:bottom w:val="single" w:sz="4" w:space="0" w:color="auto"/>
              <w:right w:val="nil"/>
            </w:tcBorders>
            <w:shd w:val="clear" w:color="000000" w:fill="F7EEF7"/>
            <w:noWrap/>
            <w:hideMark/>
          </w:tcPr>
          <w:p w14:paraId="4BB0784E"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6.7%</w:t>
            </w:r>
          </w:p>
        </w:tc>
        <w:tc>
          <w:tcPr>
            <w:tcW w:w="850" w:type="dxa"/>
            <w:tcBorders>
              <w:top w:val="single" w:sz="4" w:space="0" w:color="auto"/>
              <w:left w:val="nil"/>
              <w:bottom w:val="single" w:sz="4" w:space="0" w:color="auto"/>
              <w:right w:val="nil"/>
            </w:tcBorders>
            <w:shd w:val="clear" w:color="000000" w:fill="F7EEF7"/>
            <w:noWrap/>
            <w:hideMark/>
          </w:tcPr>
          <w:p w14:paraId="4C042F10"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3.5%</w:t>
            </w:r>
          </w:p>
        </w:tc>
        <w:tc>
          <w:tcPr>
            <w:tcW w:w="851" w:type="dxa"/>
            <w:tcBorders>
              <w:top w:val="single" w:sz="4" w:space="0" w:color="auto"/>
              <w:left w:val="nil"/>
              <w:bottom w:val="single" w:sz="4" w:space="0" w:color="auto"/>
              <w:right w:val="nil"/>
            </w:tcBorders>
            <w:shd w:val="clear" w:color="000000" w:fill="F7EEF7"/>
            <w:noWrap/>
            <w:hideMark/>
          </w:tcPr>
          <w:p w14:paraId="578E53C6"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2.9%</w:t>
            </w:r>
          </w:p>
        </w:tc>
        <w:tc>
          <w:tcPr>
            <w:tcW w:w="850" w:type="dxa"/>
            <w:tcBorders>
              <w:top w:val="single" w:sz="4" w:space="0" w:color="auto"/>
              <w:left w:val="nil"/>
              <w:bottom w:val="single" w:sz="4" w:space="0" w:color="auto"/>
              <w:right w:val="nil"/>
            </w:tcBorders>
            <w:shd w:val="clear" w:color="000000" w:fill="F7EEF7"/>
            <w:noWrap/>
            <w:hideMark/>
          </w:tcPr>
          <w:p w14:paraId="0A30C067"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1.9%</w:t>
            </w:r>
          </w:p>
        </w:tc>
        <w:tc>
          <w:tcPr>
            <w:tcW w:w="851" w:type="dxa"/>
            <w:tcBorders>
              <w:top w:val="single" w:sz="4" w:space="0" w:color="auto"/>
              <w:left w:val="dotted" w:sz="4" w:space="0" w:color="auto"/>
              <w:bottom w:val="single" w:sz="4" w:space="0" w:color="auto"/>
              <w:right w:val="nil"/>
            </w:tcBorders>
            <w:shd w:val="clear" w:color="000000" w:fill="F7EEF7"/>
            <w:noWrap/>
            <w:hideMark/>
          </w:tcPr>
          <w:p w14:paraId="0B51F15C" w14:textId="77777777" w:rsidR="002B0E78" w:rsidRPr="003D1F5E" w:rsidRDefault="002B0E78" w:rsidP="00312E88">
            <w:pPr>
              <w:jc w:val="center"/>
              <w:rPr>
                <w:rFonts w:cs="Arial"/>
                <w:b/>
                <w:bCs/>
                <w:color w:val="000000"/>
                <w:sz w:val="16"/>
                <w:szCs w:val="16"/>
              </w:rPr>
            </w:pPr>
            <w:r w:rsidRPr="003D1F5E">
              <w:rPr>
                <w:rFonts w:cs="Arial"/>
                <w:b/>
                <w:bCs/>
                <w:color w:val="000000"/>
                <w:sz w:val="16"/>
                <w:szCs w:val="16"/>
              </w:rPr>
              <w:t>2.6%</w:t>
            </w:r>
          </w:p>
        </w:tc>
        <w:tc>
          <w:tcPr>
            <w:tcW w:w="999" w:type="dxa"/>
            <w:tcBorders>
              <w:top w:val="single" w:sz="4" w:space="0" w:color="auto"/>
              <w:left w:val="dotted" w:sz="4" w:space="0" w:color="auto"/>
              <w:bottom w:val="single" w:sz="4" w:space="0" w:color="auto"/>
              <w:right w:val="single" w:sz="4" w:space="0" w:color="auto"/>
            </w:tcBorders>
            <w:shd w:val="clear" w:color="000000" w:fill="F7EEF7"/>
            <w:noWrap/>
            <w:hideMark/>
          </w:tcPr>
          <w:p w14:paraId="61A503E7" w14:textId="77777777" w:rsidR="002B0E78" w:rsidRPr="003D1F5E" w:rsidRDefault="002B0E78" w:rsidP="00312E88">
            <w:pPr>
              <w:jc w:val="center"/>
              <w:rPr>
                <w:rFonts w:cs="Arial"/>
                <w:b/>
                <w:bCs/>
                <w:color w:val="D9D9D9"/>
                <w:sz w:val="16"/>
                <w:szCs w:val="16"/>
              </w:rPr>
            </w:pPr>
          </w:p>
        </w:tc>
      </w:tr>
    </w:tbl>
    <w:p w14:paraId="626B6AFA" w14:textId="7910DEF9" w:rsidR="00CB6D96" w:rsidRPr="001156A7" w:rsidRDefault="00CB6D96" w:rsidP="00CB6D96">
      <w:pPr>
        <w:pStyle w:val="FSRnormal"/>
      </w:pPr>
      <w:r w:rsidRPr="001156A7">
        <w:t xml:space="preserve">It is evident that the Scheme has experienced high levels of </w:t>
      </w:r>
      <w:r w:rsidR="00A2569E">
        <w:t>historic</w:t>
      </w:r>
      <w:r w:rsidRPr="001156A7">
        <w:t xml:space="preserve"> inflation, and these levels substantially exceed the adopted total inflation assumptions in the projections. </w:t>
      </w:r>
      <w:r w:rsidR="00C1597E">
        <w:t xml:space="preserve">Given that a proportion of past superimposed inflation arose from price increases in excess of normal inflation, and that future such increases are less likely, a lower rate of future </w:t>
      </w:r>
      <w:r w:rsidR="00C1597E">
        <w:lastRenderedPageBreak/>
        <w:t xml:space="preserve">superimposed inflation is regarded as reasonable, although this assumption remains highly uncertain. </w:t>
      </w:r>
    </w:p>
    <w:p w14:paraId="1E15DDEF" w14:textId="0FEA783E" w:rsidR="00314FCF" w:rsidRPr="00794F2C" w:rsidRDefault="00CB6D96" w:rsidP="00314FCF">
      <w:pPr>
        <w:pStyle w:val="Figures"/>
      </w:pPr>
      <w:bookmarkStart w:id="225" w:name="_Ref74850773"/>
      <w:r w:rsidRPr="001156A7">
        <w:t xml:space="preserve">Figure </w:t>
      </w:r>
      <w:fldSimple w:instr=" SEQ Figure \* ARABIC ">
        <w:r w:rsidR="00E50032">
          <w:rPr>
            <w:noProof/>
          </w:rPr>
          <w:t>46</w:t>
        </w:r>
      </w:fldSimple>
      <w:bookmarkEnd w:id="225"/>
      <w:r w:rsidRPr="001156A7">
        <w:t xml:space="preserve"> Comparison of </w:t>
      </w:r>
      <w:r w:rsidR="00A2569E">
        <w:t>historic</w:t>
      </w:r>
      <w:r w:rsidRPr="001156A7">
        <w:t xml:space="preserve"> inflation experience and adopted total inflation</w:t>
      </w:r>
      <w:r w:rsidR="00314FCF" w:rsidRPr="00794F2C">
        <w:rPr>
          <w:rStyle w:val="FootnoteReference"/>
        </w:rPr>
        <w:footnoteReference w:id="68"/>
      </w:r>
    </w:p>
    <w:p w14:paraId="6A30626F" w14:textId="782960F6" w:rsidR="00CB6D96" w:rsidRPr="001156A7" w:rsidRDefault="00CB6D96" w:rsidP="00CB6D96">
      <w:pPr>
        <w:pStyle w:val="Figures"/>
      </w:pPr>
      <w:r w:rsidRPr="001156A7" w:rsidDel="00775C63">
        <w:t xml:space="preserve"> </w:t>
      </w:r>
    </w:p>
    <w:p w14:paraId="5D3D1F74" w14:textId="6169361C" w:rsidR="00CB6D96" w:rsidRDefault="00180009" w:rsidP="00CB6D96">
      <w:pPr>
        <w:pStyle w:val="FSRnormal"/>
      </w:pPr>
      <w:r>
        <w:rPr>
          <w:noProof/>
          <w:lang w:eastAsia="en-AU"/>
        </w:rPr>
        <w:drawing>
          <wp:inline distT="0" distB="0" distL="0" distR="0" wp14:anchorId="1C4DBFE4" wp14:editId="6DC760FF">
            <wp:extent cx="5438422" cy="2785533"/>
            <wp:effectExtent l="0" t="0" r="0" b="0"/>
            <wp:docPr id="509" name="Picture 509" descr="Line and bar chart showing comparison of historical inflation experience and adopted total inflation. The average annual rate over the past 3 years for total inflation excluding change in mix is 14,9%, the total including change in mix stands at 11.8%. Superimposed inflation for the years 2021-22 is at 12.7%, for 2022-23 its at 8.1%, for 2023-24 its at 6.2%, and for 2024-25 its at 4.3%. The total inluding change in mix for the years 2021-22 is 6.7%, 2022-23 its at 3,.5%, for 2023-24 its at 2.9%, 1.9% for 2024-25 and 2.6% for 20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descr="Line and bar chart showing comparison of historical inflation experience and adopted total inflation. The average annual rate over the past 3 years for total inflation excluding change in mix is 14,9%, the total including change in mix stands at 11.8%. Superimposed inflation for the years 2021-22 is at 12.7%, for 2022-23 its at 8.1%, for 2023-24 its at 6.2%, and for 2024-25 its at 4.3%. The total inluding change in mix for the years 2021-22 is 6.7%, 2022-23 its at 3,.5%, for 2023-24 its at 2.9%, 1.9% for 2024-25 and 2.6% for 2029-30"/>
                    <pic:cNvPicPr/>
                  </pic:nvPicPr>
                  <pic:blipFill>
                    <a:blip r:embed="rId64">
                      <a:extLst>
                        <a:ext uri="{28A0092B-C50C-407E-A947-70E740481C1C}">
                          <a14:useLocalDpi xmlns:a14="http://schemas.microsoft.com/office/drawing/2010/main" val="0"/>
                        </a:ext>
                      </a:extLst>
                    </a:blip>
                    <a:stretch>
                      <a:fillRect/>
                    </a:stretch>
                  </pic:blipFill>
                  <pic:spPr>
                    <a:xfrm>
                      <a:off x="0" y="0"/>
                      <a:ext cx="5464609" cy="2798946"/>
                    </a:xfrm>
                    <a:prstGeom prst="rect">
                      <a:avLst/>
                    </a:prstGeom>
                  </pic:spPr>
                </pic:pic>
              </a:graphicData>
            </a:graphic>
          </wp:inline>
        </w:drawing>
      </w:r>
    </w:p>
    <w:p w14:paraId="6A4348C8" w14:textId="505778A7" w:rsidR="009351C9" w:rsidRDefault="009351C9" w:rsidP="009351C9">
      <w:pPr>
        <w:pStyle w:val="FSRnormal"/>
      </w:pPr>
    </w:p>
    <w:p w14:paraId="689A8450" w14:textId="7300F872" w:rsidR="00C205BA" w:rsidRPr="00794F2C" w:rsidRDefault="00C205BA" w:rsidP="00C205BA">
      <w:pPr>
        <w:pStyle w:val="Figures"/>
      </w:pPr>
      <w:bookmarkStart w:id="226" w:name="_Ref80633424"/>
      <w:r w:rsidRPr="00794F2C">
        <w:t xml:space="preserve">Figure </w:t>
      </w:r>
      <w:fldSimple w:instr=" SEQ Figure \* ARABIC ">
        <w:r w:rsidR="00E50032">
          <w:rPr>
            <w:noProof/>
          </w:rPr>
          <w:t>47</w:t>
        </w:r>
      </w:fldSimple>
      <w:bookmarkEnd w:id="226"/>
      <w:r w:rsidRPr="00794F2C">
        <w:t xml:space="preserve"> Comparison of adopted total inflation with previous review</w:t>
      </w:r>
    </w:p>
    <w:p w14:paraId="5343EA7E" w14:textId="7EE9E1E6" w:rsidR="00C205BA" w:rsidRPr="001156A7" w:rsidRDefault="00083CB2" w:rsidP="00C205BA">
      <w:pPr>
        <w:pStyle w:val="FSRnormal"/>
      </w:pPr>
      <w:r>
        <w:rPr>
          <w:noProof/>
          <w:lang w:eastAsia="en-AU"/>
        </w:rPr>
        <w:drawing>
          <wp:inline distT="0" distB="0" distL="0" distR="0" wp14:anchorId="6D8C2D69" wp14:editId="35B714E6">
            <wp:extent cx="5496543" cy="2734733"/>
            <wp:effectExtent l="0" t="0" r="3175" b="0"/>
            <wp:docPr id="510" name="Picture 510" descr="A bar and line chart showing a comparison of adopted total inflation with previous review. The graph details a drop for 2020-21 AFSR (excluding change in mix) from a high of 12.7% in 2021-22 to 3.3% in 2029-30, a similar story for Dec20 AFSR (excluding change in mix) from 9.9% in 2021-22 to 3.5% in 2029-30. Dec20 AFSR (including change in mix) drops from 5.2% to 3.2% in the same period of time and the same trend is true for 2020-21 AFSR (including change in mix) which drops from 6.7% in 2021-22 to 2.6% in 20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510" descr="A bar and line chart showing a comparison of adopted total inflation with previous review. The graph details a drop for 2020-21 AFSR (excluding change in mix) from a high of 12.7% in 2021-22 to 3.3% in 2029-30, a similar story for Dec20 AFSR (excluding change in mix) from 9.9% in 2021-22 to 3.5% in 2029-30. Dec20 AFSR (including change in mix) drops from 5.2% to 3.2% in the same period of time and the same trend is true for 2020-21 AFSR (including change in mix) which drops from 6.7% in 2021-22 to 2.6% in 2029-30"/>
                    <pic:cNvPicPr/>
                  </pic:nvPicPr>
                  <pic:blipFill>
                    <a:blip r:embed="rId65">
                      <a:extLst>
                        <a:ext uri="{28A0092B-C50C-407E-A947-70E740481C1C}">
                          <a14:useLocalDpi xmlns:a14="http://schemas.microsoft.com/office/drawing/2010/main" val="0"/>
                        </a:ext>
                      </a:extLst>
                    </a:blip>
                    <a:stretch>
                      <a:fillRect/>
                    </a:stretch>
                  </pic:blipFill>
                  <pic:spPr>
                    <a:xfrm>
                      <a:off x="0" y="0"/>
                      <a:ext cx="5566219" cy="2769399"/>
                    </a:xfrm>
                    <a:prstGeom prst="rect">
                      <a:avLst/>
                    </a:prstGeom>
                  </pic:spPr>
                </pic:pic>
              </a:graphicData>
            </a:graphic>
          </wp:inline>
        </w:drawing>
      </w:r>
    </w:p>
    <w:p w14:paraId="7B07A0B1" w14:textId="77777777" w:rsidR="00CB6D96" w:rsidRPr="00CB6D96" w:rsidRDefault="00CB6D96" w:rsidP="00CB6D96">
      <w:pPr>
        <w:pStyle w:val="FSRHeading4"/>
      </w:pPr>
      <w:r w:rsidRPr="00CB6D96">
        <w:lastRenderedPageBreak/>
        <w:t>Average payment per participant assumptions after inflation</w:t>
      </w:r>
    </w:p>
    <w:p w14:paraId="6EAC8D66" w14:textId="6749DB32" w:rsidR="00CB6D96" w:rsidRPr="008F4095" w:rsidRDefault="008F4095" w:rsidP="008F4095">
      <w:pPr>
        <w:pStyle w:val="FSRnormal"/>
      </w:pPr>
      <w:r w:rsidRPr="008F4095">
        <w:fldChar w:fldCharType="begin"/>
      </w:r>
      <w:r w:rsidRPr="008F4095">
        <w:instrText xml:space="preserve"> REF _Ref80218179 \h  \* MERGEFORMAT </w:instrText>
      </w:r>
      <w:r w:rsidRPr="008F4095">
        <w:fldChar w:fldCharType="separate"/>
      </w:r>
      <w:r w:rsidR="00E50032" w:rsidRPr="00472FB3">
        <w:t xml:space="preserve">Table </w:t>
      </w:r>
      <w:r w:rsidR="00E50032">
        <w:t>31</w:t>
      </w:r>
      <w:r w:rsidRPr="008F4095">
        <w:fldChar w:fldCharType="end"/>
      </w:r>
      <w:r w:rsidRPr="008F4095">
        <w:t xml:space="preserve"> </w:t>
      </w:r>
      <w:r w:rsidR="00CB6D96" w:rsidRPr="008F4095">
        <w:t xml:space="preserve">shows the projected average </w:t>
      </w:r>
      <w:r w:rsidR="006D5D2E">
        <w:t xml:space="preserve">payment </w:t>
      </w:r>
      <w:r w:rsidR="00CB6D96" w:rsidRPr="008F4095">
        <w:t xml:space="preserve">by SIL status and the growth in average </w:t>
      </w:r>
      <w:r w:rsidR="006D5D2E">
        <w:t xml:space="preserve">payment </w:t>
      </w:r>
      <w:r w:rsidR="00CB6D96" w:rsidRPr="008F4095">
        <w:t>by year, as well as the components of this growth, split between base inflation, superimposed inflation, and change in mix.</w:t>
      </w:r>
    </w:p>
    <w:p w14:paraId="3EB41066" w14:textId="166B32EA" w:rsidR="008F4095" w:rsidRDefault="008F4095" w:rsidP="008F4095">
      <w:pPr>
        <w:pStyle w:val="Tables"/>
      </w:pPr>
      <w:bookmarkStart w:id="227" w:name="_Ref80218179"/>
      <w:r w:rsidRPr="00472FB3">
        <w:t xml:space="preserve">Table </w:t>
      </w:r>
      <w:fldSimple w:instr=" SEQ Table \* ARABIC ">
        <w:r w:rsidR="00E50032">
          <w:rPr>
            <w:noProof/>
          </w:rPr>
          <w:t>31</w:t>
        </w:r>
      </w:fldSimple>
      <w:bookmarkEnd w:id="227"/>
      <w:r w:rsidRPr="00472FB3">
        <w:t xml:space="preserve"> Average annual payments ($) by </w:t>
      </w:r>
      <w:r>
        <w:t>SIL status</w:t>
      </w:r>
      <w:r w:rsidR="008F195E">
        <w:t xml:space="preserve"> and inflation components</w:t>
      </w:r>
    </w:p>
    <w:tbl>
      <w:tblPr>
        <w:tblW w:w="0" w:type="auto"/>
        <w:tblLayout w:type="fixed"/>
        <w:tblLook w:val="04A0" w:firstRow="1" w:lastRow="0" w:firstColumn="1" w:lastColumn="0" w:noHBand="0" w:noVBand="1"/>
      </w:tblPr>
      <w:tblGrid>
        <w:gridCol w:w="2967"/>
        <w:gridCol w:w="877"/>
        <w:gridCol w:w="877"/>
        <w:gridCol w:w="877"/>
        <w:gridCol w:w="877"/>
        <w:gridCol w:w="877"/>
        <w:gridCol w:w="877"/>
      </w:tblGrid>
      <w:tr w:rsidR="00E1567E" w:rsidRPr="00162AFD" w14:paraId="1B7BC0DA" w14:textId="77777777" w:rsidTr="00E1567E">
        <w:trPr>
          <w:trHeight w:hRule="exact" w:val="301"/>
          <w:tblHeader/>
        </w:trPr>
        <w:tc>
          <w:tcPr>
            <w:tcW w:w="2967" w:type="dxa"/>
            <w:tcBorders>
              <w:top w:val="single" w:sz="4" w:space="0" w:color="auto"/>
              <w:left w:val="single" w:sz="4" w:space="0" w:color="auto"/>
              <w:bottom w:val="single" w:sz="4" w:space="0" w:color="000000"/>
              <w:right w:val="single" w:sz="4" w:space="0" w:color="auto"/>
            </w:tcBorders>
            <w:shd w:val="clear" w:color="000000" w:fill="6B2F76"/>
            <w:hideMark/>
          </w:tcPr>
          <w:p w14:paraId="7D979C10" w14:textId="77777777" w:rsidR="00E1567E" w:rsidRPr="00162AFD" w:rsidRDefault="00E1567E" w:rsidP="00312E88">
            <w:pPr>
              <w:rPr>
                <w:rFonts w:cs="Arial"/>
                <w:b/>
                <w:bCs/>
                <w:color w:val="FFFFFF"/>
                <w:sz w:val="18"/>
                <w:szCs w:val="18"/>
              </w:rPr>
            </w:pPr>
            <w:r w:rsidRPr="00162AFD">
              <w:rPr>
                <w:rFonts w:cs="Arial"/>
                <w:b/>
                <w:bCs/>
                <w:color w:val="FFFFFF"/>
                <w:sz w:val="18"/>
                <w:szCs w:val="18"/>
              </w:rPr>
              <w:t>Average Cost Per Participant ($)</w:t>
            </w:r>
          </w:p>
        </w:tc>
        <w:tc>
          <w:tcPr>
            <w:tcW w:w="877" w:type="dxa"/>
            <w:tcBorders>
              <w:top w:val="nil"/>
              <w:left w:val="nil"/>
              <w:bottom w:val="single" w:sz="4" w:space="0" w:color="auto"/>
              <w:right w:val="nil"/>
            </w:tcBorders>
            <w:shd w:val="clear" w:color="000000" w:fill="6B2F76"/>
            <w:hideMark/>
          </w:tcPr>
          <w:p w14:paraId="3C4B0A73" w14:textId="77777777" w:rsidR="00E1567E" w:rsidRPr="00162AFD" w:rsidRDefault="00E1567E" w:rsidP="00312E88">
            <w:pPr>
              <w:jc w:val="right"/>
              <w:rPr>
                <w:rFonts w:cs="Arial"/>
                <w:b/>
                <w:bCs/>
                <w:color w:val="FFFFFF"/>
                <w:sz w:val="18"/>
                <w:szCs w:val="18"/>
              </w:rPr>
            </w:pPr>
            <w:r w:rsidRPr="00162AFD">
              <w:rPr>
                <w:rFonts w:cs="Arial"/>
                <w:b/>
                <w:bCs/>
                <w:color w:val="FFFFFF"/>
                <w:sz w:val="18"/>
                <w:szCs w:val="18"/>
              </w:rPr>
              <w:t>2020-21</w:t>
            </w:r>
          </w:p>
        </w:tc>
        <w:tc>
          <w:tcPr>
            <w:tcW w:w="877" w:type="dxa"/>
            <w:tcBorders>
              <w:top w:val="nil"/>
              <w:left w:val="nil"/>
              <w:bottom w:val="single" w:sz="4" w:space="0" w:color="auto"/>
              <w:right w:val="nil"/>
            </w:tcBorders>
            <w:shd w:val="clear" w:color="000000" w:fill="6B2F76"/>
            <w:noWrap/>
            <w:hideMark/>
          </w:tcPr>
          <w:p w14:paraId="25DCA257" w14:textId="77777777" w:rsidR="00E1567E" w:rsidRPr="00162AFD" w:rsidRDefault="00E1567E" w:rsidP="00312E88">
            <w:pPr>
              <w:jc w:val="right"/>
              <w:rPr>
                <w:rFonts w:cs="Arial"/>
                <w:b/>
                <w:bCs/>
                <w:color w:val="FFFFFF"/>
                <w:sz w:val="18"/>
                <w:szCs w:val="18"/>
              </w:rPr>
            </w:pPr>
            <w:r w:rsidRPr="00162AFD">
              <w:rPr>
                <w:rFonts w:cs="Arial"/>
                <w:b/>
                <w:bCs/>
                <w:color w:val="FFFFFF"/>
                <w:sz w:val="18"/>
                <w:szCs w:val="18"/>
              </w:rPr>
              <w:t>2021-22</w:t>
            </w:r>
          </w:p>
        </w:tc>
        <w:tc>
          <w:tcPr>
            <w:tcW w:w="877" w:type="dxa"/>
            <w:tcBorders>
              <w:top w:val="nil"/>
              <w:left w:val="nil"/>
              <w:bottom w:val="single" w:sz="4" w:space="0" w:color="auto"/>
              <w:right w:val="nil"/>
            </w:tcBorders>
            <w:shd w:val="clear" w:color="000000" w:fill="6B2F76"/>
            <w:noWrap/>
            <w:hideMark/>
          </w:tcPr>
          <w:p w14:paraId="1C4C9ECD" w14:textId="77777777" w:rsidR="00E1567E" w:rsidRPr="00162AFD" w:rsidRDefault="00E1567E" w:rsidP="00312E88">
            <w:pPr>
              <w:jc w:val="right"/>
              <w:rPr>
                <w:rFonts w:cs="Arial"/>
                <w:b/>
                <w:bCs/>
                <w:color w:val="FFFFFF"/>
                <w:sz w:val="18"/>
                <w:szCs w:val="18"/>
              </w:rPr>
            </w:pPr>
            <w:r w:rsidRPr="00162AFD">
              <w:rPr>
                <w:rFonts w:cs="Arial"/>
                <w:b/>
                <w:bCs/>
                <w:color w:val="FFFFFF"/>
                <w:sz w:val="18"/>
                <w:szCs w:val="18"/>
              </w:rPr>
              <w:t>2022-23</w:t>
            </w:r>
          </w:p>
        </w:tc>
        <w:tc>
          <w:tcPr>
            <w:tcW w:w="877" w:type="dxa"/>
            <w:tcBorders>
              <w:top w:val="nil"/>
              <w:left w:val="nil"/>
              <w:bottom w:val="single" w:sz="4" w:space="0" w:color="auto"/>
              <w:right w:val="nil"/>
            </w:tcBorders>
            <w:shd w:val="clear" w:color="000000" w:fill="6B2F76"/>
            <w:noWrap/>
            <w:hideMark/>
          </w:tcPr>
          <w:p w14:paraId="4274E4FB" w14:textId="77777777" w:rsidR="00E1567E" w:rsidRPr="00162AFD" w:rsidRDefault="00E1567E" w:rsidP="00312E88">
            <w:pPr>
              <w:jc w:val="right"/>
              <w:rPr>
                <w:rFonts w:cs="Arial"/>
                <w:b/>
                <w:bCs/>
                <w:color w:val="FFFFFF"/>
                <w:sz w:val="18"/>
                <w:szCs w:val="18"/>
              </w:rPr>
            </w:pPr>
            <w:r w:rsidRPr="00162AFD">
              <w:rPr>
                <w:rFonts w:cs="Arial"/>
                <w:b/>
                <w:bCs/>
                <w:color w:val="FFFFFF"/>
                <w:sz w:val="18"/>
                <w:szCs w:val="18"/>
              </w:rPr>
              <w:t>2023-24</w:t>
            </w:r>
          </w:p>
        </w:tc>
        <w:tc>
          <w:tcPr>
            <w:tcW w:w="877" w:type="dxa"/>
            <w:tcBorders>
              <w:top w:val="nil"/>
              <w:left w:val="nil"/>
              <w:bottom w:val="single" w:sz="4" w:space="0" w:color="auto"/>
              <w:right w:val="nil"/>
            </w:tcBorders>
            <w:shd w:val="clear" w:color="000000" w:fill="6B2F76"/>
            <w:noWrap/>
            <w:hideMark/>
          </w:tcPr>
          <w:p w14:paraId="1981481A" w14:textId="77777777" w:rsidR="00E1567E" w:rsidRPr="00162AFD" w:rsidRDefault="00E1567E" w:rsidP="00312E88">
            <w:pPr>
              <w:jc w:val="right"/>
              <w:rPr>
                <w:rFonts w:cs="Arial"/>
                <w:b/>
                <w:bCs/>
                <w:color w:val="FFFFFF"/>
                <w:sz w:val="18"/>
                <w:szCs w:val="18"/>
              </w:rPr>
            </w:pPr>
            <w:r w:rsidRPr="00162AFD">
              <w:rPr>
                <w:rFonts w:cs="Arial"/>
                <w:b/>
                <w:bCs/>
                <w:color w:val="FFFFFF"/>
                <w:sz w:val="18"/>
                <w:szCs w:val="18"/>
              </w:rPr>
              <w:t>2024-25</w:t>
            </w:r>
          </w:p>
        </w:tc>
        <w:tc>
          <w:tcPr>
            <w:tcW w:w="877" w:type="dxa"/>
            <w:tcBorders>
              <w:top w:val="nil"/>
              <w:left w:val="dotted" w:sz="4" w:space="0" w:color="auto"/>
              <w:bottom w:val="single" w:sz="4" w:space="0" w:color="auto"/>
              <w:right w:val="single" w:sz="4" w:space="0" w:color="auto"/>
            </w:tcBorders>
            <w:shd w:val="clear" w:color="000000" w:fill="6B2F76"/>
            <w:noWrap/>
            <w:hideMark/>
          </w:tcPr>
          <w:p w14:paraId="0FB7DBE6" w14:textId="77777777" w:rsidR="00E1567E" w:rsidRPr="00162AFD" w:rsidRDefault="00E1567E" w:rsidP="00312E88">
            <w:pPr>
              <w:jc w:val="right"/>
              <w:rPr>
                <w:rFonts w:cs="Arial"/>
                <w:b/>
                <w:bCs/>
                <w:color w:val="FFFFFF"/>
                <w:sz w:val="18"/>
                <w:szCs w:val="18"/>
              </w:rPr>
            </w:pPr>
            <w:r w:rsidRPr="00162AFD">
              <w:rPr>
                <w:rFonts w:cs="Arial"/>
                <w:b/>
                <w:bCs/>
                <w:color w:val="FFFFFF"/>
                <w:sz w:val="18"/>
                <w:szCs w:val="18"/>
              </w:rPr>
              <w:t>2029-30</w:t>
            </w:r>
          </w:p>
        </w:tc>
      </w:tr>
      <w:tr w:rsidR="00E1567E" w:rsidRPr="00162AFD" w14:paraId="699F330E" w14:textId="77777777" w:rsidTr="00E1567E">
        <w:trPr>
          <w:trHeight w:hRule="exact" w:val="301"/>
        </w:trPr>
        <w:tc>
          <w:tcPr>
            <w:tcW w:w="2967" w:type="dxa"/>
            <w:tcBorders>
              <w:top w:val="nil"/>
              <w:left w:val="single" w:sz="4" w:space="0" w:color="auto"/>
              <w:bottom w:val="single" w:sz="4" w:space="0" w:color="auto"/>
              <w:right w:val="nil"/>
            </w:tcBorders>
            <w:shd w:val="clear" w:color="000000" w:fill="F7EEF7"/>
            <w:noWrap/>
            <w:hideMark/>
          </w:tcPr>
          <w:p w14:paraId="75A22ACE" w14:textId="77777777" w:rsidR="00E1567E" w:rsidRPr="00162AFD" w:rsidRDefault="00E1567E" w:rsidP="00312E88">
            <w:pPr>
              <w:rPr>
                <w:rFonts w:cs="Arial"/>
                <w:b/>
                <w:bCs/>
                <w:color w:val="000000"/>
                <w:sz w:val="18"/>
                <w:szCs w:val="18"/>
              </w:rPr>
            </w:pPr>
            <w:r w:rsidRPr="00162AFD">
              <w:rPr>
                <w:rFonts w:cs="Arial"/>
                <w:b/>
                <w:bCs/>
                <w:color w:val="000000"/>
                <w:sz w:val="18"/>
                <w:szCs w:val="18"/>
              </w:rPr>
              <w:t>June 2021 Projection</w:t>
            </w:r>
          </w:p>
        </w:tc>
        <w:tc>
          <w:tcPr>
            <w:tcW w:w="877" w:type="dxa"/>
            <w:tcBorders>
              <w:top w:val="nil"/>
              <w:left w:val="nil"/>
              <w:bottom w:val="single" w:sz="4" w:space="0" w:color="auto"/>
              <w:right w:val="nil"/>
            </w:tcBorders>
            <w:shd w:val="clear" w:color="000000" w:fill="F7EEF7"/>
            <w:noWrap/>
            <w:hideMark/>
          </w:tcPr>
          <w:p w14:paraId="69512934"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69A6A035"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385CF5CF"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614ED6E5"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28970116"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dotted" w:sz="4" w:space="0" w:color="auto"/>
              <w:bottom w:val="single" w:sz="4" w:space="0" w:color="auto"/>
              <w:right w:val="single" w:sz="4" w:space="0" w:color="auto"/>
            </w:tcBorders>
            <w:shd w:val="clear" w:color="000000" w:fill="F7EEF7"/>
            <w:noWrap/>
            <w:hideMark/>
          </w:tcPr>
          <w:p w14:paraId="44116011"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r>
      <w:tr w:rsidR="00E1567E" w:rsidRPr="00162AFD" w14:paraId="0476B280" w14:textId="77777777" w:rsidTr="00E1567E">
        <w:trPr>
          <w:trHeight w:hRule="exact" w:val="301"/>
        </w:trPr>
        <w:tc>
          <w:tcPr>
            <w:tcW w:w="2967" w:type="dxa"/>
            <w:tcBorders>
              <w:top w:val="nil"/>
              <w:left w:val="single" w:sz="4" w:space="0" w:color="auto"/>
              <w:bottom w:val="nil"/>
              <w:right w:val="single" w:sz="4" w:space="0" w:color="auto"/>
            </w:tcBorders>
            <w:shd w:val="clear" w:color="auto" w:fill="auto"/>
            <w:noWrap/>
            <w:hideMark/>
          </w:tcPr>
          <w:p w14:paraId="1B7699D9" w14:textId="77777777" w:rsidR="00E1567E" w:rsidRPr="00162AFD" w:rsidRDefault="00E1567E" w:rsidP="00312E88">
            <w:pPr>
              <w:rPr>
                <w:rFonts w:cs="Arial"/>
                <w:sz w:val="18"/>
                <w:szCs w:val="18"/>
              </w:rPr>
            </w:pPr>
            <w:r w:rsidRPr="00162AFD">
              <w:rPr>
                <w:rFonts w:cs="Arial"/>
                <w:sz w:val="18"/>
                <w:szCs w:val="18"/>
              </w:rPr>
              <w:t>Non-SIL</w:t>
            </w:r>
          </w:p>
        </w:tc>
        <w:tc>
          <w:tcPr>
            <w:tcW w:w="877" w:type="dxa"/>
            <w:tcBorders>
              <w:top w:val="nil"/>
              <w:left w:val="nil"/>
              <w:bottom w:val="nil"/>
              <w:right w:val="nil"/>
            </w:tcBorders>
            <w:shd w:val="clear" w:color="auto" w:fill="auto"/>
            <w:noWrap/>
            <w:hideMark/>
          </w:tcPr>
          <w:p w14:paraId="2FF8D3AE" w14:textId="77777777" w:rsidR="00E1567E" w:rsidRPr="00162AFD" w:rsidRDefault="00E1567E" w:rsidP="00312E88">
            <w:pPr>
              <w:jc w:val="right"/>
              <w:rPr>
                <w:rFonts w:cs="Arial"/>
                <w:sz w:val="18"/>
                <w:szCs w:val="18"/>
              </w:rPr>
            </w:pPr>
            <w:r w:rsidRPr="00162AFD">
              <w:rPr>
                <w:rFonts w:cs="Arial"/>
                <w:sz w:val="18"/>
                <w:szCs w:val="18"/>
              </w:rPr>
              <w:t>38,000</w:t>
            </w:r>
          </w:p>
        </w:tc>
        <w:tc>
          <w:tcPr>
            <w:tcW w:w="877" w:type="dxa"/>
            <w:tcBorders>
              <w:top w:val="nil"/>
              <w:left w:val="nil"/>
              <w:bottom w:val="nil"/>
              <w:right w:val="nil"/>
            </w:tcBorders>
            <w:shd w:val="clear" w:color="auto" w:fill="auto"/>
            <w:noWrap/>
            <w:hideMark/>
          </w:tcPr>
          <w:p w14:paraId="77DD7660" w14:textId="77777777" w:rsidR="00E1567E" w:rsidRPr="00162AFD" w:rsidRDefault="00E1567E" w:rsidP="00312E88">
            <w:pPr>
              <w:jc w:val="right"/>
              <w:rPr>
                <w:rFonts w:cs="Arial"/>
                <w:color w:val="000000"/>
                <w:sz w:val="18"/>
                <w:szCs w:val="18"/>
              </w:rPr>
            </w:pPr>
            <w:r w:rsidRPr="00162AFD">
              <w:rPr>
                <w:rFonts w:cs="Arial"/>
                <w:color w:val="000000"/>
                <w:sz w:val="18"/>
                <w:szCs w:val="18"/>
              </w:rPr>
              <w:t>42,200</w:t>
            </w:r>
          </w:p>
        </w:tc>
        <w:tc>
          <w:tcPr>
            <w:tcW w:w="877" w:type="dxa"/>
            <w:tcBorders>
              <w:top w:val="nil"/>
              <w:left w:val="nil"/>
              <w:bottom w:val="nil"/>
              <w:right w:val="nil"/>
            </w:tcBorders>
            <w:shd w:val="clear" w:color="auto" w:fill="auto"/>
            <w:noWrap/>
            <w:hideMark/>
          </w:tcPr>
          <w:p w14:paraId="06133B9D" w14:textId="77777777" w:rsidR="00E1567E" w:rsidRPr="00162AFD" w:rsidRDefault="00E1567E" w:rsidP="00312E88">
            <w:pPr>
              <w:jc w:val="right"/>
              <w:rPr>
                <w:rFonts w:cs="Arial"/>
                <w:color w:val="000000"/>
                <w:sz w:val="18"/>
                <w:szCs w:val="18"/>
              </w:rPr>
            </w:pPr>
            <w:r w:rsidRPr="00162AFD">
              <w:rPr>
                <w:rFonts w:cs="Arial"/>
                <w:color w:val="000000"/>
                <w:sz w:val="18"/>
                <w:szCs w:val="18"/>
              </w:rPr>
              <w:t>44,900</w:t>
            </w:r>
          </w:p>
        </w:tc>
        <w:tc>
          <w:tcPr>
            <w:tcW w:w="877" w:type="dxa"/>
            <w:tcBorders>
              <w:top w:val="nil"/>
              <w:left w:val="nil"/>
              <w:bottom w:val="nil"/>
              <w:right w:val="nil"/>
            </w:tcBorders>
            <w:shd w:val="clear" w:color="auto" w:fill="auto"/>
            <w:noWrap/>
            <w:hideMark/>
          </w:tcPr>
          <w:p w14:paraId="2AE29788" w14:textId="77777777" w:rsidR="00E1567E" w:rsidRPr="00162AFD" w:rsidRDefault="00E1567E" w:rsidP="00312E88">
            <w:pPr>
              <w:jc w:val="right"/>
              <w:rPr>
                <w:rFonts w:cs="Arial"/>
                <w:color w:val="000000"/>
                <w:sz w:val="18"/>
                <w:szCs w:val="18"/>
              </w:rPr>
            </w:pPr>
            <w:r w:rsidRPr="00162AFD">
              <w:rPr>
                <w:rFonts w:cs="Arial"/>
                <w:color w:val="000000"/>
                <w:sz w:val="18"/>
                <w:szCs w:val="18"/>
              </w:rPr>
              <w:t>46,800</w:t>
            </w:r>
          </w:p>
        </w:tc>
        <w:tc>
          <w:tcPr>
            <w:tcW w:w="877" w:type="dxa"/>
            <w:tcBorders>
              <w:top w:val="nil"/>
              <w:left w:val="nil"/>
              <w:bottom w:val="nil"/>
              <w:right w:val="nil"/>
            </w:tcBorders>
            <w:shd w:val="clear" w:color="auto" w:fill="auto"/>
            <w:noWrap/>
            <w:hideMark/>
          </w:tcPr>
          <w:p w14:paraId="51DBF74D" w14:textId="77777777" w:rsidR="00E1567E" w:rsidRPr="00162AFD" w:rsidRDefault="00E1567E" w:rsidP="00312E88">
            <w:pPr>
              <w:jc w:val="right"/>
              <w:rPr>
                <w:rFonts w:cs="Arial"/>
                <w:color w:val="000000"/>
                <w:sz w:val="18"/>
                <w:szCs w:val="18"/>
              </w:rPr>
            </w:pPr>
            <w:r w:rsidRPr="00162AFD">
              <w:rPr>
                <w:rFonts w:cs="Arial"/>
                <w:color w:val="000000"/>
                <w:sz w:val="18"/>
                <w:szCs w:val="18"/>
              </w:rPr>
              <w:t>48,000</w:t>
            </w:r>
          </w:p>
        </w:tc>
        <w:tc>
          <w:tcPr>
            <w:tcW w:w="877" w:type="dxa"/>
            <w:tcBorders>
              <w:top w:val="nil"/>
              <w:left w:val="dotted" w:sz="4" w:space="0" w:color="auto"/>
              <w:bottom w:val="nil"/>
              <w:right w:val="single" w:sz="4" w:space="0" w:color="auto"/>
            </w:tcBorders>
            <w:shd w:val="clear" w:color="auto" w:fill="auto"/>
            <w:noWrap/>
            <w:hideMark/>
          </w:tcPr>
          <w:p w14:paraId="7EAB15F7" w14:textId="77777777" w:rsidR="00E1567E" w:rsidRPr="00162AFD" w:rsidRDefault="00E1567E" w:rsidP="00312E88">
            <w:pPr>
              <w:jc w:val="right"/>
              <w:rPr>
                <w:rFonts w:cs="Arial"/>
                <w:color w:val="000000"/>
                <w:sz w:val="18"/>
                <w:szCs w:val="18"/>
              </w:rPr>
            </w:pPr>
            <w:r w:rsidRPr="00162AFD">
              <w:rPr>
                <w:rFonts w:cs="Arial"/>
                <w:color w:val="000000"/>
                <w:sz w:val="18"/>
                <w:szCs w:val="18"/>
              </w:rPr>
              <w:t>53,100</w:t>
            </w:r>
          </w:p>
        </w:tc>
      </w:tr>
      <w:tr w:rsidR="00E1567E" w:rsidRPr="00162AFD" w14:paraId="5997A023" w14:textId="77777777" w:rsidTr="00E1567E">
        <w:trPr>
          <w:trHeight w:hRule="exact" w:val="301"/>
        </w:trPr>
        <w:tc>
          <w:tcPr>
            <w:tcW w:w="2967" w:type="dxa"/>
            <w:tcBorders>
              <w:top w:val="nil"/>
              <w:left w:val="single" w:sz="4" w:space="0" w:color="auto"/>
              <w:bottom w:val="nil"/>
              <w:right w:val="single" w:sz="4" w:space="0" w:color="auto"/>
            </w:tcBorders>
            <w:shd w:val="clear" w:color="auto" w:fill="auto"/>
            <w:noWrap/>
            <w:hideMark/>
          </w:tcPr>
          <w:p w14:paraId="58AA7F16" w14:textId="77777777" w:rsidR="00E1567E" w:rsidRPr="00162AFD" w:rsidRDefault="00E1567E" w:rsidP="00312E88">
            <w:pPr>
              <w:rPr>
                <w:rFonts w:cs="Arial"/>
                <w:sz w:val="18"/>
                <w:szCs w:val="18"/>
              </w:rPr>
            </w:pPr>
            <w:r w:rsidRPr="00162AFD">
              <w:rPr>
                <w:rFonts w:cs="Arial"/>
                <w:sz w:val="18"/>
                <w:szCs w:val="18"/>
              </w:rPr>
              <w:t>SIL</w:t>
            </w:r>
          </w:p>
        </w:tc>
        <w:tc>
          <w:tcPr>
            <w:tcW w:w="877" w:type="dxa"/>
            <w:tcBorders>
              <w:top w:val="nil"/>
              <w:left w:val="nil"/>
              <w:bottom w:val="nil"/>
              <w:right w:val="nil"/>
            </w:tcBorders>
            <w:shd w:val="clear" w:color="auto" w:fill="auto"/>
            <w:noWrap/>
            <w:hideMark/>
          </w:tcPr>
          <w:p w14:paraId="1FDA5DBD" w14:textId="77777777" w:rsidR="00E1567E" w:rsidRPr="00162AFD" w:rsidRDefault="00E1567E" w:rsidP="00312E88">
            <w:pPr>
              <w:jc w:val="right"/>
              <w:rPr>
                <w:rFonts w:cs="Arial"/>
                <w:sz w:val="18"/>
                <w:szCs w:val="18"/>
              </w:rPr>
            </w:pPr>
            <w:r w:rsidRPr="00162AFD">
              <w:rPr>
                <w:rFonts w:cs="Arial"/>
                <w:sz w:val="18"/>
                <w:szCs w:val="18"/>
              </w:rPr>
              <w:t>321,500</w:t>
            </w:r>
          </w:p>
        </w:tc>
        <w:tc>
          <w:tcPr>
            <w:tcW w:w="877" w:type="dxa"/>
            <w:tcBorders>
              <w:top w:val="nil"/>
              <w:left w:val="nil"/>
              <w:bottom w:val="nil"/>
              <w:right w:val="nil"/>
            </w:tcBorders>
            <w:shd w:val="clear" w:color="auto" w:fill="auto"/>
            <w:noWrap/>
            <w:hideMark/>
          </w:tcPr>
          <w:p w14:paraId="174AE0F9" w14:textId="77777777" w:rsidR="00E1567E" w:rsidRPr="00162AFD" w:rsidRDefault="00E1567E" w:rsidP="00312E88">
            <w:pPr>
              <w:jc w:val="right"/>
              <w:rPr>
                <w:rFonts w:cs="Arial"/>
                <w:color w:val="000000"/>
                <w:sz w:val="18"/>
                <w:szCs w:val="18"/>
              </w:rPr>
            </w:pPr>
            <w:r w:rsidRPr="00162AFD">
              <w:rPr>
                <w:rFonts w:cs="Arial"/>
                <w:color w:val="000000"/>
                <w:sz w:val="18"/>
                <w:szCs w:val="18"/>
              </w:rPr>
              <w:t>343,000</w:t>
            </w:r>
          </w:p>
        </w:tc>
        <w:tc>
          <w:tcPr>
            <w:tcW w:w="877" w:type="dxa"/>
            <w:tcBorders>
              <w:top w:val="nil"/>
              <w:left w:val="nil"/>
              <w:bottom w:val="nil"/>
              <w:right w:val="nil"/>
            </w:tcBorders>
            <w:shd w:val="clear" w:color="auto" w:fill="auto"/>
            <w:noWrap/>
            <w:hideMark/>
          </w:tcPr>
          <w:p w14:paraId="2EA5649C" w14:textId="77777777" w:rsidR="00E1567E" w:rsidRPr="00162AFD" w:rsidRDefault="00E1567E" w:rsidP="00312E88">
            <w:pPr>
              <w:jc w:val="right"/>
              <w:rPr>
                <w:rFonts w:cs="Arial"/>
                <w:color w:val="000000"/>
                <w:sz w:val="18"/>
                <w:szCs w:val="18"/>
              </w:rPr>
            </w:pPr>
            <w:r w:rsidRPr="00162AFD">
              <w:rPr>
                <w:rFonts w:cs="Arial"/>
                <w:color w:val="000000"/>
                <w:sz w:val="18"/>
                <w:szCs w:val="18"/>
              </w:rPr>
              <w:t>355,900</w:t>
            </w:r>
          </w:p>
        </w:tc>
        <w:tc>
          <w:tcPr>
            <w:tcW w:w="877" w:type="dxa"/>
            <w:tcBorders>
              <w:top w:val="nil"/>
              <w:left w:val="nil"/>
              <w:bottom w:val="nil"/>
              <w:right w:val="nil"/>
            </w:tcBorders>
            <w:shd w:val="clear" w:color="auto" w:fill="auto"/>
            <w:noWrap/>
            <w:hideMark/>
          </w:tcPr>
          <w:p w14:paraId="1A117856" w14:textId="77777777" w:rsidR="00E1567E" w:rsidRPr="00162AFD" w:rsidRDefault="00E1567E" w:rsidP="00312E88">
            <w:pPr>
              <w:jc w:val="right"/>
              <w:rPr>
                <w:rFonts w:cs="Arial"/>
                <w:color w:val="000000"/>
                <w:sz w:val="18"/>
                <w:szCs w:val="18"/>
              </w:rPr>
            </w:pPr>
            <w:r w:rsidRPr="00162AFD">
              <w:rPr>
                <w:rFonts w:cs="Arial"/>
                <w:color w:val="000000"/>
                <w:sz w:val="18"/>
                <w:szCs w:val="18"/>
              </w:rPr>
              <w:t>368,800</w:t>
            </w:r>
          </w:p>
        </w:tc>
        <w:tc>
          <w:tcPr>
            <w:tcW w:w="877" w:type="dxa"/>
            <w:tcBorders>
              <w:top w:val="nil"/>
              <w:left w:val="nil"/>
              <w:bottom w:val="nil"/>
              <w:right w:val="nil"/>
            </w:tcBorders>
            <w:shd w:val="clear" w:color="auto" w:fill="auto"/>
            <w:noWrap/>
            <w:hideMark/>
          </w:tcPr>
          <w:p w14:paraId="2B422F8B" w14:textId="77777777" w:rsidR="00E1567E" w:rsidRPr="00162AFD" w:rsidRDefault="00E1567E" w:rsidP="00312E88">
            <w:pPr>
              <w:jc w:val="right"/>
              <w:rPr>
                <w:rFonts w:cs="Arial"/>
                <w:color w:val="000000"/>
                <w:sz w:val="18"/>
                <w:szCs w:val="18"/>
              </w:rPr>
            </w:pPr>
            <w:r w:rsidRPr="00162AFD">
              <w:rPr>
                <w:rFonts w:cs="Arial"/>
                <w:color w:val="000000"/>
                <w:sz w:val="18"/>
                <w:szCs w:val="18"/>
              </w:rPr>
              <w:t>381,500</w:t>
            </w:r>
          </w:p>
        </w:tc>
        <w:tc>
          <w:tcPr>
            <w:tcW w:w="877" w:type="dxa"/>
            <w:tcBorders>
              <w:top w:val="nil"/>
              <w:left w:val="dotted" w:sz="4" w:space="0" w:color="auto"/>
              <w:bottom w:val="nil"/>
              <w:right w:val="single" w:sz="4" w:space="0" w:color="auto"/>
            </w:tcBorders>
            <w:shd w:val="clear" w:color="auto" w:fill="auto"/>
            <w:noWrap/>
            <w:hideMark/>
          </w:tcPr>
          <w:p w14:paraId="2526B918" w14:textId="77777777" w:rsidR="00E1567E" w:rsidRPr="00162AFD" w:rsidRDefault="00E1567E" w:rsidP="00312E88">
            <w:pPr>
              <w:jc w:val="right"/>
              <w:rPr>
                <w:rFonts w:cs="Arial"/>
                <w:color w:val="000000"/>
                <w:sz w:val="18"/>
                <w:szCs w:val="18"/>
              </w:rPr>
            </w:pPr>
            <w:r w:rsidRPr="00162AFD">
              <w:rPr>
                <w:rFonts w:cs="Arial"/>
                <w:color w:val="000000"/>
                <w:sz w:val="18"/>
                <w:szCs w:val="18"/>
              </w:rPr>
              <w:t>453,200</w:t>
            </w:r>
          </w:p>
        </w:tc>
      </w:tr>
      <w:tr w:rsidR="00E1567E" w:rsidRPr="00162AFD" w14:paraId="6195EF5F" w14:textId="77777777" w:rsidTr="00E1567E">
        <w:trPr>
          <w:trHeight w:hRule="exact" w:val="301"/>
        </w:trPr>
        <w:tc>
          <w:tcPr>
            <w:tcW w:w="2967" w:type="dxa"/>
            <w:tcBorders>
              <w:top w:val="single" w:sz="4" w:space="0" w:color="auto"/>
              <w:left w:val="single" w:sz="4" w:space="0" w:color="auto"/>
              <w:bottom w:val="single" w:sz="4" w:space="0" w:color="auto"/>
              <w:right w:val="single" w:sz="4" w:space="0" w:color="auto"/>
            </w:tcBorders>
            <w:shd w:val="clear" w:color="auto" w:fill="auto"/>
            <w:noWrap/>
            <w:hideMark/>
          </w:tcPr>
          <w:p w14:paraId="28E7576D" w14:textId="77777777" w:rsidR="00E1567E" w:rsidRPr="00162AFD" w:rsidRDefault="00E1567E" w:rsidP="00312E88">
            <w:pPr>
              <w:rPr>
                <w:rFonts w:cs="Arial"/>
                <w:b/>
                <w:bCs/>
                <w:color w:val="000000"/>
                <w:sz w:val="18"/>
                <w:szCs w:val="18"/>
              </w:rPr>
            </w:pPr>
            <w:r w:rsidRPr="00162AFD">
              <w:rPr>
                <w:rFonts w:cs="Arial"/>
                <w:b/>
                <w:bCs/>
                <w:color w:val="000000"/>
                <w:sz w:val="18"/>
                <w:szCs w:val="18"/>
              </w:rPr>
              <w:t>Total</w:t>
            </w:r>
          </w:p>
        </w:tc>
        <w:tc>
          <w:tcPr>
            <w:tcW w:w="877" w:type="dxa"/>
            <w:tcBorders>
              <w:top w:val="single" w:sz="4" w:space="0" w:color="auto"/>
              <w:left w:val="nil"/>
              <w:bottom w:val="single" w:sz="4" w:space="0" w:color="auto"/>
              <w:right w:val="nil"/>
            </w:tcBorders>
            <w:shd w:val="clear" w:color="auto" w:fill="auto"/>
            <w:noWrap/>
            <w:hideMark/>
          </w:tcPr>
          <w:p w14:paraId="4E11BBFA" w14:textId="77777777" w:rsidR="00E1567E" w:rsidRPr="00162AFD" w:rsidRDefault="00E1567E" w:rsidP="00312E88">
            <w:pPr>
              <w:jc w:val="right"/>
              <w:rPr>
                <w:rFonts w:cs="Arial"/>
                <w:b/>
                <w:bCs/>
                <w:color w:val="000000"/>
                <w:sz w:val="18"/>
                <w:szCs w:val="18"/>
              </w:rPr>
            </w:pPr>
            <w:r w:rsidRPr="00162AFD">
              <w:rPr>
                <w:rFonts w:cs="Arial"/>
                <w:b/>
                <w:bCs/>
                <w:color w:val="000000"/>
                <w:sz w:val="18"/>
                <w:szCs w:val="18"/>
              </w:rPr>
              <w:t>54,200</w:t>
            </w:r>
          </w:p>
        </w:tc>
        <w:tc>
          <w:tcPr>
            <w:tcW w:w="877" w:type="dxa"/>
            <w:tcBorders>
              <w:top w:val="single" w:sz="4" w:space="0" w:color="auto"/>
              <w:left w:val="nil"/>
              <w:bottom w:val="single" w:sz="4" w:space="0" w:color="auto"/>
              <w:right w:val="nil"/>
            </w:tcBorders>
            <w:shd w:val="clear" w:color="auto" w:fill="auto"/>
            <w:noWrap/>
            <w:hideMark/>
          </w:tcPr>
          <w:p w14:paraId="19653552" w14:textId="77777777" w:rsidR="00E1567E" w:rsidRPr="00162AFD" w:rsidRDefault="00E1567E" w:rsidP="00312E88">
            <w:pPr>
              <w:jc w:val="right"/>
              <w:rPr>
                <w:rFonts w:cs="Arial"/>
                <w:b/>
                <w:bCs/>
                <w:color w:val="000000"/>
                <w:sz w:val="18"/>
                <w:szCs w:val="18"/>
              </w:rPr>
            </w:pPr>
            <w:r w:rsidRPr="00162AFD">
              <w:rPr>
                <w:rFonts w:cs="Arial"/>
                <w:b/>
                <w:bCs/>
                <w:color w:val="000000"/>
                <w:sz w:val="18"/>
                <w:szCs w:val="18"/>
              </w:rPr>
              <w:t>57,800</w:t>
            </w:r>
          </w:p>
        </w:tc>
        <w:tc>
          <w:tcPr>
            <w:tcW w:w="877" w:type="dxa"/>
            <w:tcBorders>
              <w:top w:val="single" w:sz="4" w:space="0" w:color="auto"/>
              <w:left w:val="nil"/>
              <w:bottom w:val="single" w:sz="4" w:space="0" w:color="auto"/>
              <w:right w:val="nil"/>
            </w:tcBorders>
            <w:shd w:val="clear" w:color="auto" w:fill="auto"/>
            <w:noWrap/>
            <w:hideMark/>
          </w:tcPr>
          <w:p w14:paraId="5ABB59E9" w14:textId="77777777" w:rsidR="00E1567E" w:rsidRPr="00162AFD" w:rsidRDefault="00E1567E" w:rsidP="00312E88">
            <w:pPr>
              <w:jc w:val="right"/>
              <w:rPr>
                <w:rFonts w:cs="Arial"/>
                <w:b/>
                <w:bCs/>
                <w:color w:val="000000"/>
                <w:sz w:val="18"/>
                <w:szCs w:val="18"/>
              </w:rPr>
            </w:pPr>
            <w:r w:rsidRPr="00162AFD">
              <w:rPr>
                <w:rFonts w:cs="Arial"/>
                <w:b/>
                <w:bCs/>
                <w:color w:val="000000"/>
                <w:sz w:val="18"/>
                <w:szCs w:val="18"/>
              </w:rPr>
              <w:t>59,900</w:t>
            </w:r>
          </w:p>
        </w:tc>
        <w:tc>
          <w:tcPr>
            <w:tcW w:w="877" w:type="dxa"/>
            <w:tcBorders>
              <w:top w:val="single" w:sz="4" w:space="0" w:color="auto"/>
              <w:left w:val="nil"/>
              <w:bottom w:val="single" w:sz="4" w:space="0" w:color="auto"/>
              <w:right w:val="nil"/>
            </w:tcBorders>
            <w:shd w:val="clear" w:color="auto" w:fill="auto"/>
            <w:noWrap/>
            <w:hideMark/>
          </w:tcPr>
          <w:p w14:paraId="607538A7" w14:textId="77777777" w:rsidR="00E1567E" w:rsidRPr="00162AFD" w:rsidRDefault="00E1567E" w:rsidP="00312E88">
            <w:pPr>
              <w:jc w:val="right"/>
              <w:rPr>
                <w:rFonts w:cs="Arial"/>
                <w:b/>
                <w:bCs/>
                <w:color w:val="000000"/>
                <w:sz w:val="18"/>
                <w:szCs w:val="18"/>
              </w:rPr>
            </w:pPr>
            <w:r w:rsidRPr="00162AFD">
              <w:rPr>
                <w:rFonts w:cs="Arial"/>
                <w:b/>
                <w:bCs/>
                <w:color w:val="000000"/>
                <w:sz w:val="18"/>
                <w:szCs w:val="18"/>
              </w:rPr>
              <w:t>61,600</w:t>
            </w:r>
          </w:p>
        </w:tc>
        <w:tc>
          <w:tcPr>
            <w:tcW w:w="877" w:type="dxa"/>
            <w:tcBorders>
              <w:top w:val="single" w:sz="4" w:space="0" w:color="auto"/>
              <w:left w:val="nil"/>
              <w:bottom w:val="single" w:sz="4" w:space="0" w:color="auto"/>
              <w:right w:val="nil"/>
            </w:tcBorders>
            <w:shd w:val="clear" w:color="auto" w:fill="auto"/>
            <w:noWrap/>
            <w:hideMark/>
          </w:tcPr>
          <w:p w14:paraId="0C0B45EC" w14:textId="77777777" w:rsidR="00E1567E" w:rsidRPr="00162AFD" w:rsidRDefault="00E1567E" w:rsidP="00312E88">
            <w:pPr>
              <w:jc w:val="right"/>
              <w:rPr>
                <w:rFonts w:cs="Arial"/>
                <w:b/>
                <w:bCs/>
                <w:color w:val="000000"/>
                <w:sz w:val="18"/>
                <w:szCs w:val="18"/>
              </w:rPr>
            </w:pPr>
            <w:r w:rsidRPr="00162AFD">
              <w:rPr>
                <w:rFonts w:cs="Arial"/>
                <w:b/>
                <w:bCs/>
                <w:color w:val="000000"/>
                <w:sz w:val="18"/>
                <w:szCs w:val="18"/>
              </w:rPr>
              <w:t>62,800</w:t>
            </w:r>
          </w:p>
        </w:tc>
        <w:tc>
          <w:tcPr>
            <w:tcW w:w="877" w:type="dxa"/>
            <w:tcBorders>
              <w:top w:val="single" w:sz="4" w:space="0" w:color="auto"/>
              <w:left w:val="dotted" w:sz="4" w:space="0" w:color="auto"/>
              <w:bottom w:val="single" w:sz="4" w:space="0" w:color="auto"/>
              <w:right w:val="single" w:sz="4" w:space="0" w:color="auto"/>
            </w:tcBorders>
            <w:shd w:val="clear" w:color="auto" w:fill="auto"/>
            <w:noWrap/>
            <w:hideMark/>
          </w:tcPr>
          <w:p w14:paraId="27862DC0" w14:textId="77777777" w:rsidR="00E1567E" w:rsidRPr="00162AFD" w:rsidRDefault="00E1567E" w:rsidP="00312E88">
            <w:pPr>
              <w:jc w:val="right"/>
              <w:rPr>
                <w:rFonts w:cs="Arial"/>
                <w:b/>
                <w:bCs/>
                <w:color w:val="000000"/>
                <w:sz w:val="18"/>
                <w:szCs w:val="18"/>
              </w:rPr>
            </w:pPr>
            <w:r w:rsidRPr="00162AFD">
              <w:rPr>
                <w:rFonts w:cs="Arial"/>
                <w:b/>
                <w:bCs/>
                <w:color w:val="000000"/>
                <w:sz w:val="18"/>
                <w:szCs w:val="18"/>
              </w:rPr>
              <w:t>69,500</w:t>
            </w:r>
          </w:p>
        </w:tc>
      </w:tr>
      <w:tr w:rsidR="00E1567E" w:rsidRPr="00162AFD" w14:paraId="463E8426" w14:textId="77777777" w:rsidTr="00E1567E">
        <w:trPr>
          <w:trHeight w:hRule="exact" w:val="301"/>
        </w:trPr>
        <w:tc>
          <w:tcPr>
            <w:tcW w:w="2967" w:type="dxa"/>
            <w:tcBorders>
              <w:top w:val="nil"/>
              <w:left w:val="single" w:sz="4" w:space="0" w:color="auto"/>
              <w:bottom w:val="single" w:sz="4" w:space="0" w:color="auto"/>
              <w:right w:val="nil"/>
            </w:tcBorders>
            <w:shd w:val="clear" w:color="000000" w:fill="F7EEF7"/>
            <w:noWrap/>
            <w:hideMark/>
          </w:tcPr>
          <w:p w14:paraId="500CFA6F" w14:textId="77777777" w:rsidR="00E1567E" w:rsidRPr="00162AFD" w:rsidRDefault="00E1567E" w:rsidP="00312E88">
            <w:pPr>
              <w:rPr>
                <w:rFonts w:cs="Arial"/>
                <w:b/>
                <w:bCs/>
                <w:color w:val="000000"/>
                <w:sz w:val="18"/>
                <w:szCs w:val="18"/>
              </w:rPr>
            </w:pPr>
            <w:r w:rsidRPr="00162AFD">
              <w:rPr>
                <w:rFonts w:cs="Arial"/>
                <w:b/>
                <w:bCs/>
                <w:color w:val="000000"/>
                <w:sz w:val="18"/>
                <w:szCs w:val="18"/>
              </w:rPr>
              <w:t>Total Growth</w:t>
            </w:r>
          </w:p>
        </w:tc>
        <w:tc>
          <w:tcPr>
            <w:tcW w:w="877" w:type="dxa"/>
            <w:tcBorders>
              <w:top w:val="nil"/>
              <w:left w:val="nil"/>
              <w:bottom w:val="single" w:sz="4" w:space="0" w:color="auto"/>
              <w:right w:val="nil"/>
            </w:tcBorders>
            <w:shd w:val="clear" w:color="000000" w:fill="F7EEF7"/>
            <w:noWrap/>
            <w:hideMark/>
          </w:tcPr>
          <w:p w14:paraId="1CF055E2"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4B1B859C"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79E18896"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5C41D74E"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64EDAC11"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dotted" w:sz="4" w:space="0" w:color="auto"/>
              <w:bottom w:val="single" w:sz="4" w:space="0" w:color="auto"/>
              <w:right w:val="single" w:sz="4" w:space="0" w:color="auto"/>
            </w:tcBorders>
            <w:shd w:val="clear" w:color="000000" w:fill="F7EEF7"/>
            <w:noWrap/>
            <w:hideMark/>
          </w:tcPr>
          <w:p w14:paraId="0CEEF520"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r>
      <w:tr w:rsidR="00E1567E" w:rsidRPr="00162AFD" w14:paraId="37536C99" w14:textId="77777777" w:rsidTr="00E1567E">
        <w:trPr>
          <w:trHeight w:hRule="exact" w:val="301"/>
        </w:trPr>
        <w:tc>
          <w:tcPr>
            <w:tcW w:w="2967" w:type="dxa"/>
            <w:tcBorders>
              <w:top w:val="nil"/>
              <w:left w:val="single" w:sz="4" w:space="0" w:color="auto"/>
              <w:bottom w:val="nil"/>
              <w:right w:val="single" w:sz="4" w:space="0" w:color="auto"/>
            </w:tcBorders>
            <w:shd w:val="clear" w:color="auto" w:fill="auto"/>
            <w:noWrap/>
            <w:hideMark/>
          </w:tcPr>
          <w:p w14:paraId="67607022" w14:textId="77777777" w:rsidR="00E1567E" w:rsidRPr="00162AFD" w:rsidRDefault="00E1567E" w:rsidP="00312E88">
            <w:pPr>
              <w:rPr>
                <w:rFonts w:cs="Arial"/>
                <w:sz w:val="18"/>
                <w:szCs w:val="18"/>
              </w:rPr>
            </w:pPr>
            <w:r w:rsidRPr="00162AFD">
              <w:rPr>
                <w:rFonts w:cs="Arial"/>
                <w:sz w:val="18"/>
                <w:szCs w:val="18"/>
              </w:rPr>
              <w:t>Non-SIL</w:t>
            </w:r>
          </w:p>
        </w:tc>
        <w:tc>
          <w:tcPr>
            <w:tcW w:w="877" w:type="dxa"/>
            <w:tcBorders>
              <w:top w:val="nil"/>
              <w:left w:val="nil"/>
              <w:bottom w:val="nil"/>
              <w:right w:val="nil"/>
            </w:tcBorders>
            <w:shd w:val="clear" w:color="auto" w:fill="auto"/>
            <w:noWrap/>
            <w:hideMark/>
          </w:tcPr>
          <w:p w14:paraId="79BAA961" w14:textId="77777777" w:rsidR="00E1567E" w:rsidRPr="00162AFD" w:rsidRDefault="00E1567E" w:rsidP="00312E88">
            <w:pPr>
              <w:rPr>
                <w:rFonts w:cs="Arial"/>
                <w:sz w:val="18"/>
                <w:szCs w:val="18"/>
              </w:rPr>
            </w:pPr>
          </w:p>
        </w:tc>
        <w:tc>
          <w:tcPr>
            <w:tcW w:w="877" w:type="dxa"/>
            <w:tcBorders>
              <w:top w:val="nil"/>
              <w:left w:val="nil"/>
              <w:bottom w:val="nil"/>
              <w:right w:val="nil"/>
            </w:tcBorders>
            <w:shd w:val="clear" w:color="auto" w:fill="auto"/>
            <w:noWrap/>
            <w:hideMark/>
          </w:tcPr>
          <w:p w14:paraId="0900F710" w14:textId="77777777" w:rsidR="00E1567E" w:rsidRPr="00162AFD" w:rsidRDefault="00E1567E" w:rsidP="00312E88">
            <w:pPr>
              <w:jc w:val="right"/>
              <w:rPr>
                <w:rFonts w:cs="Arial"/>
                <w:color w:val="000000"/>
                <w:sz w:val="18"/>
                <w:szCs w:val="18"/>
              </w:rPr>
            </w:pPr>
            <w:r w:rsidRPr="00162AFD">
              <w:rPr>
                <w:rFonts w:cs="Arial"/>
                <w:color w:val="000000"/>
                <w:sz w:val="18"/>
                <w:szCs w:val="18"/>
              </w:rPr>
              <w:t>11.2%</w:t>
            </w:r>
          </w:p>
        </w:tc>
        <w:tc>
          <w:tcPr>
            <w:tcW w:w="877" w:type="dxa"/>
            <w:tcBorders>
              <w:top w:val="nil"/>
              <w:left w:val="nil"/>
              <w:bottom w:val="nil"/>
              <w:right w:val="nil"/>
            </w:tcBorders>
            <w:shd w:val="clear" w:color="auto" w:fill="auto"/>
            <w:noWrap/>
            <w:hideMark/>
          </w:tcPr>
          <w:p w14:paraId="0512C801" w14:textId="77777777" w:rsidR="00E1567E" w:rsidRPr="00162AFD" w:rsidRDefault="00E1567E" w:rsidP="00312E88">
            <w:pPr>
              <w:jc w:val="right"/>
              <w:rPr>
                <w:rFonts w:cs="Arial"/>
                <w:color w:val="000000"/>
                <w:sz w:val="18"/>
                <w:szCs w:val="18"/>
              </w:rPr>
            </w:pPr>
            <w:r w:rsidRPr="00162AFD">
              <w:rPr>
                <w:rFonts w:cs="Arial"/>
                <w:color w:val="000000"/>
                <w:sz w:val="18"/>
                <w:szCs w:val="18"/>
              </w:rPr>
              <w:t>6.3%</w:t>
            </w:r>
          </w:p>
        </w:tc>
        <w:tc>
          <w:tcPr>
            <w:tcW w:w="877" w:type="dxa"/>
            <w:tcBorders>
              <w:top w:val="nil"/>
              <w:left w:val="nil"/>
              <w:bottom w:val="nil"/>
              <w:right w:val="nil"/>
            </w:tcBorders>
            <w:shd w:val="clear" w:color="auto" w:fill="auto"/>
            <w:noWrap/>
            <w:hideMark/>
          </w:tcPr>
          <w:p w14:paraId="3C8F81C4" w14:textId="77777777" w:rsidR="00E1567E" w:rsidRPr="00162AFD" w:rsidRDefault="00E1567E" w:rsidP="00312E88">
            <w:pPr>
              <w:jc w:val="right"/>
              <w:rPr>
                <w:rFonts w:cs="Arial"/>
                <w:color w:val="000000"/>
                <w:sz w:val="18"/>
                <w:szCs w:val="18"/>
              </w:rPr>
            </w:pPr>
            <w:r w:rsidRPr="00162AFD">
              <w:rPr>
                <w:rFonts w:cs="Arial"/>
                <w:color w:val="000000"/>
                <w:sz w:val="18"/>
                <w:szCs w:val="18"/>
              </w:rPr>
              <w:t>4.4%</w:t>
            </w:r>
          </w:p>
        </w:tc>
        <w:tc>
          <w:tcPr>
            <w:tcW w:w="877" w:type="dxa"/>
            <w:tcBorders>
              <w:top w:val="nil"/>
              <w:left w:val="nil"/>
              <w:bottom w:val="nil"/>
              <w:right w:val="nil"/>
            </w:tcBorders>
            <w:shd w:val="clear" w:color="auto" w:fill="auto"/>
            <w:noWrap/>
            <w:hideMark/>
          </w:tcPr>
          <w:p w14:paraId="687206E8" w14:textId="77777777" w:rsidR="00E1567E" w:rsidRPr="00162AFD" w:rsidRDefault="00E1567E" w:rsidP="00312E88">
            <w:pPr>
              <w:jc w:val="right"/>
              <w:rPr>
                <w:rFonts w:cs="Arial"/>
                <w:color w:val="000000"/>
                <w:sz w:val="18"/>
                <w:szCs w:val="18"/>
              </w:rPr>
            </w:pPr>
            <w:r w:rsidRPr="00162AFD">
              <w:rPr>
                <w:rFonts w:cs="Arial"/>
                <w:color w:val="000000"/>
                <w:sz w:val="18"/>
                <w:szCs w:val="18"/>
              </w:rPr>
              <w:t>2.4%</w:t>
            </w:r>
          </w:p>
        </w:tc>
        <w:tc>
          <w:tcPr>
            <w:tcW w:w="877" w:type="dxa"/>
            <w:tcBorders>
              <w:top w:val="nil"/>
              <w:left w:val="dotted" w:sz="4" w:space="0" w:color="auto"/>
              <w:bottom w:val="nil"/>
              <w:right w:val="single" w:sz="4" w:space="0" w:color="auto"/>
            </w:tcBorders>
            <w:shd w:val="clear" w:color="auto" w:fill="auto"/>
            <w:noWrap/>
            <w:hideMark/>
          </w:tcPr>
          <w:p w14:paraId="797FCFCA" w14:textId="77777777" w:rsidR="00E1567E" w:rsidRPr="00162AFD" w:rsidRDefault="00E1567E" w:rsidP="00312E88">
            <w:pPr>
              <w:jc w:val="right"/>
              <w:rPr>
                <w:rFonts w:cs="Arial"/>
                <w:color w:val="000000"/>
                <w:sz w:val="18"/>
                <w:szCs w:val="18"/>
              </w:rPr>
            </w:pPr>
            <w:r w:rsidRPr="00162AFD">
              <w:rPr>
                <w:rFonts w:cs="Arial"/>
                <w:color w:val="000000"/>
                <w:sz w:val="18"/>
                <w:szCs w:val="18"/>
              </w:rPr>
              <w:t>2.5%</w:t>
            </w:r>
          </w:p>
        </w:tc>
      </w:tr>
      <w:tr w:rsidR="00E1567E" w:rsidRPr="00162AFD" w14:paraId="4E6E381B" w14:textId="77777777" w:rsidTr="00E1567E">
        <w:trPr>
          <w:trHeight w:hRule="exact" w:val="301"/>
        </w:trPr>
        <w:tc>
          <w:tcPr>
            <w:tcW w:w="2967" w:type="dxa"/>
            <w:tcBorders>
              <w:top w:val="nil"/>
              <w:left w:val="single" w:sz="4" w:space="0" w:color="auto"/>
              <w:bottom w:val="nil"/>
              <w:right w:val="single" w:sz="4" w:space="0" w:color="auto"/>
            </w:tcBorders>
            <w:shd w:val="clear" w:color="auto" w:fill="auto"/>
            <w:noWrap/>
            <w:hideMark/>
          </w:tcPr>
          <w:p w14:paraId="1679F8EF" w14:textId="77777777" w:rsidR="00E1567E" w:rsidRPr="00162AFD" w:rsidRDefault="00E1567E" w:rsidP="00312E88">
            <w:pPr>
              <w:rPr>
                <w:rFonts w:cs="Arial"/>
                <w:sz w:val="18"/>
                <w:szCs w:val="18"/>
              </w:rPr>
            </w:pPr>
            <w:r w:rsidRPr="00162AFD">
              <w:rPr>
                <w:rFonts w:cs="Arial"/>
                <w:sz w:val="18"/>
                <w:szCs w:val="18"/>
              </w:rPr>
              <w:t>SIL</w:t>
            </w:r>
          </w:p>
        </w:tc>
        <w:tc>
          <w:tcPr>
            <w:tcW w:w="877" w:type="dxa"/>
            <w:tcBorders>
              <w:top w:val="nil"/>
              <w:left w:val="nil"/>
              <w:bottom w:val="nil"/>
              <w:right w:val="nil"/>
            </w:tcBorders>
            <w:shd w:val="clear" w:color="auto" w:fill="auto"/>
            <w:noWrap/>
            <w:hideMark/>
          </w:tcPr>
          <w:p w14:paraId="604FAA03" w14:textId="77777777" w:rsidR="00E1567E" w:rsidRPr="00162AFD" w:rsidRDefault="00E1567E" w:rsidP="00312E88">
            <w:pPr>
              <w:rPr>
                <w:rFonts w:cs="Arial"/>
                <w:sz w:val="18"/>
                <w:szCs w:val="18"/>
              </w:rPr>
            </w:pPr>
          </w:p>
        </w:tc>
        <w:tc>
          <w:tcPr>
            <w:tcW w:w="877" w:type="dxa"/>
            <w:tcBorders>
              <w:top w:val="nil"/>
              <w:left w:val="nil"/>
              <w:bottom w:val="nil"/>
              <w:right w:val="nil"/>
            </w:tcBorders>
            <w:shd w:val="clear" w:color="auto" w:fill="auto"/>
            <w:noWrap/>
            <w:hideMark/>
          </w:tcPr>
          <w:p w14:paraId="6B3A0FFA" w14:textId="77777777" w:rsidR="00E1567E" w:rsidRPr="00162AFD" w:rsidRDefault="00E1567E" w:rsidP="00312E88">
            <w:pPr>
              <w:jc w:val="right"/>
              <w:rPr>
                <w:rFonts w:cs="Arial"/>
                <w:color w:val="000000"/>
                <w:sz w:val="18"/>
                <w:szCs w:val="18"/>
              </w:rPr>
            </w:pPr>
            <w:r w:rsidRPr="00162AFD">
              <w:rPr>
                <w:rFonts w:cs="Arial"/>
                <w:color w:val="000000"/>
                <w:sz w:val="18"/>
                <w:szCs w:val="18"/>
              </w:rPr>
              <w:t>6.7%</w:t>
            </w:r>
          </w:p>
        </w:tc>
        <w:tc>
          <w:tcPr>
            <w:tcW w:w="877" w:type="dxa"/>
            <w:tcBorders>
              <w:top w:val="nil"/>
              <w:left w:val="nil"/>
              <w:bottom w:val="nil"/>
              <w:right w:val="nil"/>
            </w:tcBorders>
            <w:shd w:val="clear" w:color="auto" w:fill="auto"/>
            <w:noWrap/>
            <w:hideMark/>
          </w:tcPr>
          <w:p w14:paraId="2D83D053" w14:textId="77777777" w:rsidR="00E1567E" w:rsidRPr="00162AFD" w:rsidRDefault="00E1567E" w:rsidP="00312E88">
            <w:pPr>
              <w:jc w:val="right"/>
              <w:rPr>
                <w:rFonts w:cs="Arial"/>
                <w:color w:val="000000"/>
                <w:sz w:val="18"/>
                <w:szCs w:val="18"/>
              </w:rPr>
            </w:pPr>
            <w:r w:rsidRPr="00162AFD">
              <w:rPr>
                <w:rFonts w:cs="Arial"/>
                <w:color w:val="000000"/>
                <w:sz w:val="18"/>
                <w:szCs w:val="18"/>
              </w:rPr>
              <w:t>3.8%</w:t>
            </w:r>
          </w:p>
        </w:tc>
        <w:tc>
          <w:tcPr>
            <w:tcW w:w="877" w:type="dxa"/>
            <w:tcBorders>
              <w:top w:val="nil"/>
              <w:left w:val="nil"/>
              <w:bottom w:val="nil"/>
              <w:right w:val="nil"/>
            </w:tcBorders>
            <w:shd w:val="clear" w:color="auto" w:fill="auto"/>
            <w:noWrap/>
            <w:hideMark/>
          </w:tcPr>
          <w:p w14:paraId="34DBC636" w14:textId="77777777" w:rsidR="00E1567E" w:rsidRPr="00162AFD" w:rsidRDefault="00E1567E" w:rsidP="00312E88">
            <w:pPr>
              <w:jc w:val="right"/>
              <w:rPr>
                <w:rFonts w:cs="Arial"/>
                <w:color w:val="000000"/>
                <w:sz w:val="18"/>
                <w:szCs w:val="18"/>
              </w:rPr>
            </w:pPr>
            <w:r w:rsidRPr="00162AFD">
              <w:rPr>
                <w:rFonts w:cs="Arial"/>
                <w:color w:val="000000"/>
                <w:sz w:val="18"/>
                <w:szCs w:val="18"/>
              </w:rPr>
              <w:t>3.6%</w:t>
            </w:r>
          </w:p>
        </w:tc>
        <w:tc>
          <w:tcPr>
            <w:tcW w:w="877" w:type="dxa"/>
            <w:tcBorders>
              <w:top w:val="nil"/>
              <w:left w:val="nil"/>
              <w:bottom w:val="nil"/>
              <w:right w:val="nil"/>
            </w:tcBorders>
            <w:shd w:val="clear" w:color="auto" w:fill="auto"/>
            <w:noWrap/>
            <w:hideMark/>
          </w:tcPr>
          <w:p w14:paraId="6E4FD916" w14:textId="77777777" w:rsidR="00E1567E" w:rsidRPr="00162AFD" w:rsidRDefault="00E1567E" w:rsidP="00312E88">
            <w:pPr>
              <w:jc w:val="right"/>
              <w:rPr>
                <w:rFonts w:cs="Arial"/>
                <w:color w:val="000000"/>
                <w:sz w:val="18"/>
                <w:szCs w:val="18"/>
              </w:rPr>
            </w:pPr>
            <w:r w:rsidRPr="00162AFD">
              <w:rPr>
                <w:rFonts w:cs="Arial"/>
                <w:color w:val="000000"/>
                <w:sz w:val="18"/>
                <w:szCs w:val="18"/>
              </w:rPr>
              <w:t>3.5%</w:t>
            </w:r>
          </w:p>
        </w:tc>
        <w:tc>
          <w:tcPr>
            <w:tcW w:w="877" w:type="dxa"/>
            <w:tcBorders>
              <w:top w:val="nil"/>
              <w:left w:val="dotted" w:sz="4" w:space="0" w:color="auto"/>
              <w:bottom w:val="nil"/>
              <w:right w:val="single" w:sz="4" w:space="0" w:color="auto"/>
            </w:tcBorders>
            <w:shd w:val="clear" w:color="auto" w:fill="auto"/>
            <w:noWrap/>
            <w:hideMark/>
          </w:tcPr>
          <w:p w14:paraId="0848082C" w14:textId="77777777" w:rsidR="00E1567E" w:rsidRPr="00162AFD" w:rsidRDefault="00E1567E" w:rsidP="00312E88">
            <w:pPr>
              <w:jc w:val="right"/>
              <w:rPr>
                <w:rFonts w:cs="Arial"/>
                <w:color w:val="000000"/>
                <w:sz w:val="18"/>
                <w:szCs w:val="18"/>
              </w:rPr>
            </w:pPr>
            <w:r w:rsidRPr="00162AFD">
              <w:rPr>
                <w:rFonts w:cs="Arial"/>
                <w:color w:val="000000"/>
                <w:sz w:val="18"/>
                <w:szCs w:val="18"/>
              </w:rPr>
              <w:t>3.5%</w:t>
            </w:r>
          </w:p>
        </w:tc>
      </w:tr>
      <w:tr w:rsidR="00E1567E" w:rsidRPr="00162AFD" w14:paraId="19B09C16" w14:textId="77777777" w:rsidTr="00E1567E">
        <w:trPr>
          <w:trHeight w:hRule="exact" w:val="301"/>
        </w:trPr>
        <w:tc>
          <w:tcPr>
            <w:tcW w:w="2967" w:type="dxa"/>
            <w:tcBorders>
              <w:top w:val="single" w:sz="4" w:space="0" w:color="auto"/>
              <w:left w:val="single" w:sz="4" w:space="0" w:color="auto"/>
              <w:bottom w:val="single" w:sz="4" w:space="0" w:color="auto"/>
              <w:right w:val="single" w:sz="4" w:space="0" w:color="auto"/>
            </w:tcBorders>
            <w:shd w:val="clear" w:color="auto" w:fill="auto"/>
            <w:noWrap/>
            <w:hideMark/>
          </w:tcPr>
          <w:p w14:paraId="756B3F85" w14:textId="77777777" w:rsidR="00E1567E" w:rsidRPr="00162AFD" w:rsidRDefault="00E1567E" w:rsidP="00312E88">
            <w:pPr>
              <w:rPr>
                <w:rFonts w:cs="Arial"/>
                <w:b/>
                <w:bCs/>
                <w:color w:val="000000"/>
                <w:sz w:val="18"/>
                <w:szCs w:val="18"/>
              </w:rPr>
            </w:pPr>
            <w:r w:rsidRPr="00162AFD">
              <w:rPr>
                <w:rFonts w:cs="Arial"/>
                <w:b/>
                <w:bCs/>
                <w:color w:val="000000"/>
                <w:sz w:val="18"/>
                <w:szCs w:val="18"/>
              </w:rPr>
              <w:t>Total</w:t>
            </w:r>
          </w:p>
        </w:tc>
        <w:tc>
          <w:tcPr>
            <w:tcW w:w="877" w:type="dxa"/>
            <w:tcBorders>
              <w:top w:val="single" w:sz="4" w:space="0" w:color="auto"/>
              <w:left w:val="nil"/>
              <w:bottom w:val="single" w:sz="4" w:space="0" w:color="auto"/>
              <w:right w:val="nil"/>
            </w:tcBorders>
            <w:shd w:val="clear" w:color="auto" w:fill="auto"/>
            <w:noWrap/>
            <w:hideMark/>
          </w:tcPr>
          <w:p w14:paraId="2E70B7BF"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single" w:sz="4" w:space="0" w:color="auto"/>
              <w:left w:val="nil"/>
              <w:bottom w:val="single" w:sz="4" w:space="0" w:color="auto"/>
              <w:right w:val="nil"/>
            </w:tcBorders>
            <w:shd w:val="clear" w:color="auto" w:fill="auto"/>
            <w:noWrap/>
            <w:hideMark/>
          </w:tcPr>
          <w:p w14:paraId="3545D98D" w14:textId="77777777" w:rsidR="00E1567E" w:rsidRPr="00162AFD" w:rsidRDefault="00E1567E" w:rsidP="00312E88">
            <w:pPr>
              <w:jc w:val="right"/>
              <w:rPr>
                <w:rFonts w:cs="Arial"/>
                <w:color w:val="000000"/>
                <w:sz w:val="18"/>
                <w:szCs w:val="18"/>
              </w:rPr>
            </w:pPr>
            <w:r w:rsidRPr="00162AFD">
              <w:rPr>
                <w:rFonts w:cs="Arial"/>
                <w:color w:val="000000"/>
                <w:sz w:val="18"/>
                <w:szCs w:val="18"/>
              </w:rPr>
              <w:t>6.7%</w:t>
            </w:r>
          </w:p>
        </w:tc>
        <w:tc>
          <w:tcPr>
            <w:tcW w:w="877" w:type="dxa"/>
            <w:tcBorders>
              <w:top w:val="single" w:sz="4" w:space="0" w:color="auto"/>
              <w:left w:val="nil"/>
              <w:bottom w:val="single" w:sz="4" w:space="0" w:color="auto"/>
              <w:right w:val="nil"/>
            </w:tcBorders>
            <w:shd w:val="clear" w:color="auto" w:fill="auto"/>
            <w:noWrap/>
            <w:hideMark/>
          </w:tcPr>
          <w:p w14:paraId="53B7D4C8" w14:textId="77777777" w:rsidR="00E1567E" w:rsidRPr="00162AFD" w:rsidRDefault="00E1567E" w:rsidP="00312E88">
            <w:pPr>
              <w:jc w:val="right"/>
              <w:rPr>
                <w:rFonts w:cs="Arial"/>
                <w:color w:val="000000"/>
                <w:sz w:val="18"/>
                <w:szCs w:val="18"/>
              </w:rPr>
            </w:pPr>
            <w:r w:rsidRPr="00162AFD">
              <w:rPr>
                <w:rFonts w:cs="Arial"/>
                <w:color w:val="000000"/>
                <w:sz w:val="18"/>
                <w:szCs w:val="18"/>
              </w:rPr>
              <w:t>3.5%</w:t>
            </w:r>
          </w:p>
        </w:tc>
        <w:tc>
          <w:tcPr>
            <w:tcW w:w="877" w:type="dxa"/>
            <w:tcBorders>
              <w:top w:val="single" w:sz="4" w:space="0" w:color="auto"/>
              <w:left w:val="nil"/>
              <w:bottom w:val="single" w:sz="4" w:space="0" w:color="auto"/>
              <w:right w:val="nil"/>
            </w:tcBorders>
            <w:shd w:val="clear" w:color="auto" w:fill="auto"/>
            <w:noWrap/>
            <w:hideMark/>
          </w:tcPr>
          <w:p w14:paraId="4E6ADF56" w14:textId="77777777" w:rsidR="00E1567E" w:rsidRPr="00162AFD" w:rsidRDefault="00E1567E" w:rsidP="00312E88">
            <w:pPr>
              <w:jc w:val="right"/>
              <w:rPr>
                <w:rFonts w:cs="Arial"/>
                <w:color w:val="000000"/>
                <w:sz w:val="18"/>
                <w:szCs w:val="18"/>
              </w:rPr>
            </w:pPr>
            <w:r w:rsidRPr="00162AFD">
              <w:rPr>
                <w:rFonts w:cs="Arial"/>
                <w:color w:val="000000"/>
                <w:sz w:val="18"/>
                <w:szCs w:val="18"/>
              </w:rPr>
              <w:t>2.9%</w:t>
            </w:r>
          </w:p>
        </w:tc>
        <w:tc>
          <w:tcPr>
            <w:tcW w:w="877" w:type="dxa"/>
            <w:tcBorders>
              <w:top w:val="single" w:sz="4" w:space="0" w:color="auto"/>
              <w:left w:val="nil"/>
              <w:bottom w:val="single" w:sz="4" w:space="0" w:color="auto"/>
              <w:right w:val="nil"/>
            </w:tcBorders>
            <w:shd w:val="clear" w:color="auto" w:fill="auto"/>
            <w:noWrap/>
            <w:hideMark/>
          </w:tcPr>
          <w:p w14:paraId="7506C88C" w14:textId="77777777" w:rsidR="00E1567E" w:rsidRPr="00162AFD" w:rsidRDefault="00E1567E" w:rsidP="00312E88">
            <w:pPr>
              <w:jc w:val="right"/>
              <w:rPr>
                <w:rFonts w:cs="Arial"/>
                <w:color w:val="000000"/>
                <w:sz w:val="18"/>
                <w:szCs w:val="18"/>
              </w:rPr>
            </w:pPr>
            <w:r w:rsidRPr="00162AFD">
              <w:rPr>
                <w:rFonts w:cs="Arial"/>
                <w:color w:val="000000"/>
                <w:sz w:val="18"/>
                <w:szCs w:val="18"/>
              </w:rPr>
              <w:t>1.9%</w:t>
            </w:r>
          </w:p>
        </w:tc>
        <w:tc>
          <w:tcPr>
            <w:tcW w:w="877" w:type="dxa"/>
            <w:tcBorders>
              <w:top w:val="single" w:sz="4" w:space="0" w:color="auto"/>
              <w:left w:val="dotted" w:sz="4" w:space="0" w:color="auto"/>
              <w:bottom w:val="single" w:sz="4" w:space="0" w:color="auto"/>
              <w:right w:val="single" w:sz="4" w:space="0" w:color="auto"/>
            </w:tcBorders>
            <w:shd w:val="clear" w:color="auto" w:fill="auto"/>
            <w:noWrap/>
            <w:hideMark/>
          </w:tcPr>
          <w:p w14:paraId="204888B0" w14:textId="77777777" w:rsidR="00E1567E" w:rsidRPr="00162AFD" w:rsidRDefault="00E1567E" w:rsidP="00312E88">
            <w:pPr>
              <w:jc w:val="right"/>
              <w:rPr>
                <w:rFonts w:cs="Arial"/>
                <w:color w:val="000000"/>
                <w:sz w:val="18"/>
                <w:szCs w:val="18"/>
              </w:rPr>
            </w:pPr>
            <w:r w:rsidRPr="00162AFD">
              <w:rPr>
                <w:rFonts w:cs="Arial"/>
                <w:color w:val="000000"/>
                <w:sz w:val="18"/>
                <w:szCs w:val="18"/>
              </w:rPr>
              <w:t>2.6%</w:t>
            </w:r>
          </w:p>
        </w:tc>
      </w:tr>
      <w:tr w:rsidR="00E1567E" w:rsidRPr="00162AFD" w14:paraId="16C805BA" w14:textId="77777777" w:rsidTr="00E1567E">
        <w:trPr>
          <w:trHeight w:hRule="exact" w:val="301"/>
        </w:trPr>
        <w:tc>
          <w:tcPr>
            <w:tcW w:w="2967" w:type="dxa"/>
            <w:tcBorders>
              <w:top w:val="nil"/>
              <w:left w:val="single" w:sz="4" w:space="0" w:color="auto"/>
              <w:bottom w:val="single" w:sz="4" w:space="0" w:color="auto"/>
              <w:right w:val="nil"/>
            </w:tcBorders>
            <w:shd w:val="clear" w:color="000000" w:fill="F7EEF7"/>
            <w:noWrap/>
            <w:hideMark/>
          </w:tcPr>
          <w:p w14:paraId="2760AACC" w14:textId="77777777" w:rsidR="00E1567E" w:rsidRPr="00162AFD" w:rsidRDefault="00E1567E" w:rsidP="00312E88">
            <w:pPr>
              <w:rPr>
                <w:rFonts w:cs="Arial"/>
                <w:b/>
                <w:bCs/>
                <w:color w:val="000000"/>
                <w:sz w:val="18"/>
                <w:szCs w:val="18"/>
              </w:rPr>
            </w:pPr>
            <w:r w:rsidRPr="00162AFD">
              <w:rPr>
                <w:rFonts w:cs="Arial"/>
                <w:b/>
                <w:bCs/>
                <w:color w:val="000000"/>
                <w:sz w:val="18"/>
                <w:szCs w:val="18"/>
              </w:rPr>
              <w:t>Change in Mix</w:t>
            </w:r>
          </w:p>
        </w:tc>
        <w:tc>
          <w:tcPr>
            <w:tcW w:w="877" w:type="dxa"/>
            <w:tcBorders>
              <w:top w:val="nil"/>
              <w:left w:val="nil"/>
              <w:bottom w:val="single" w:sz="4" w:space="0" w:color="auto"/>
              <w:right w:val="nil"/>
            </w:tcBorders>
            <w:shd w:val="clear" w:color="000000" w:fill="F7EEF7"/>
            <w:noWrap/>
            <w:hideMark/>
          </w:tcPr>
          <w:p w14:paraId="42850D6E"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05610D15"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773F831E"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5A960158"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47BE7917"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dotted" w:sz="4" w:space="0" w:color="auto"/>
              <w:bottom w:val="single" w:sz="4" w:space="0" w:color="auto"/>
              <w:right w:val="single" w:sz="4" w:space="0" w:color="auto"/>
            </w:tcBorders>
            <w:shd w:val="clear" w:color="000000" w:fill="F7EEF7"/>
            <w:noWrap/>
            <w:hideMark/>
          </w:tcPr>
          <w:p w14:paraId="71384550"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r>
      <w:tr w:rsidR="00E1567E" w:rsidRPr="00162AFD" w14:paraId="37D31591" w14:textId="77777777" w:rsidTr="00E1567E">
        <w:trPr>
          <w:trHeight w:hRule="exact" w:val="301"/>
        </w:trPr>
        <w:tc>
          <w:tcPr>
            <w:tcW w:w="2967" w:type="dxa"/>
            <w:tcBorders>
              <w:top w:val="nil"/>
              <w:left w:val="single" w:sz="4" w:space="0" w:color="auto"/>
              <w:bottom w:val="nil"/>
              <w:right w:val="single" w:sz="4" w:space="0" w:color="auto"/>
            </w:tcBorders>
            <w:shd w:val="clear" w:color="auto" w:fill="auto"/>
            <w:noWrap/>
            <w:hideMark/>
          </w:tcPr>
          <w:p w14:paraId="12906732" w14:textId="77777777" w:rsidR="00E1567E" w:rsidRPr="00162AFD" w:rsidRDefault="00E1567E" w:rsidP="00312E88">
            <w:pPr>
              <w:rPr>
                <w:rFonts w:cs="Arial"/>
                <w:sz w:val="18"/>
                <w:szCs w:val="18"/>
              </w:rPr>
            </w:pPr>
            <w:r w:rsidRPr="00162AFD">
              <w:rPr>
                <w:rFonts w:cs="Arial"/>
                <w:sz w:val="18"/>
                <w:szCs w:val="18"/>
              </w:rPr>
              <w:t>Non-SIL</w:t>
            </w:r>
          </w:p>
        </w:tc>
        <w:tc>
          <w:tcPr>
            <w:tcW w:w="877" w:type="dxa"/>
            <w:tcBorders>
              <w:top w:val="nil"/>
              <w:left w:val="nil"/>
              <w:bottom w:val="nil"/>
              <w:right w:val="nil"/>
            </w:tcBorders>
            <w:shd w:val="clear" w:color="auto" w:fill="auto"/>
            <w:noWrap/>
            <w:hideMark/>
          </w:tcPr>
          <w:p w14:paraId="48D3AC99" w14:textId="77777777" w:rsidR="00E1567E" w:rsidRPr="00162AFD" w:rsidRDefault="00E1567E" w:rsidP="00312E88">
            <w:pPr>
              <w:rPr>
                <w:rFonts w:cs="Arial"/>
                <w:sz w:val="18"/>
                <w:szCs w:val="18"/>
              </w:rPr>
            </w:pPr>
          </w:p>
        </w:tc>
        <w:tc>
          <w:tcPr>
            <w:tcW w:w="877" w:type="dxa"/>
            <w:tcBorders>
              <w:top w:val="nil"/>
              <w:left w:val="nil"/>
              <w:bottom w:val="nil"/>
              <w:right w:val="nil"/>
            </w:tcBorders>
            <w:shd w:val="clear" w:color="auto" w:fill="auto"/>
            <w:noWrap/>
            <w:hideMark/>
          </w:tcPr>
          <w:p w14:paraId="7B9155B3" w14:textId="77777777" w:rsidR="00E1567E" w:rsidRPr="00162AFD" w:rsidRDefault="00E1567E" w:rsidP="00312E88">
            <w:pPr>
              <w:jc w:val="right"/>
              <w:rPr>
                <w:rFonts w:cs="Arial"/>
                <w:color w:val="000000"/>
                <w:sz w:val="18"/>
                <w:szCs w:val="18"/>
              </w:rPr>
            </w:pPr>
            <w:r w:rsidRPr="00162AFD">
              <w:rPr>
                <w:rFonts w:cs="Arial"/>
                <w:color w:val="000000"/>
                <w:sz w:val="18"/>
                <w:szCs w:val="18"/>
              </w:rPr>
              <w:t>-4.1%</w:t>
            </w:r>
          </w:p>
        </w:tc>
        <w:tc>
          <w:tcPr>
            <w:tcW w:w="877" w:type="dxa"/>
            <w:tcBorders>
              <w:top w:val="nil"/>
              <w:left w:val="nil"/>
              <w:bottom w:val="nil"/>
              <w:right w:val="nil"/>
            </w:tcBorders>
            <w:shd w:val="clear" w:color="auto" w:fill="auto"/>
            <w:noWrap/>
            <w:hideMark/>
          </w:tcPr>
          <w:p w14:paraId="1191B85B" w14:textId="77777777" w:rsidR="00E1567E" w:rsidRPr="00162AFD" w:rsidRDefault="00E1567E" w:rsidP="00312E88">
            <w:pPr>
              <w:jc w:val="right"/>
              <w:rPr>
                <w:rFonts w:cs="Arial"/>
                <w:color w:val="000000"/>
                <w:sz w:val="18"/>
                <w:szCs w:val="18"/>
              </w:rPr>
            </w:pPr>
            <w:r w:rsidRPr="00162AFD">
              <w:rPr>
                <w:rFonts w:cs="Arial"/>
                <w:color w:val="000000"/>
                <w:sz w:val="18"/>
                <w:szCs w:val="18"/>
              </w:rPr>
              <w:t>-3.4%</w:t>
            </w:r>
          </w:p>
        </w:tc>
        <w:tc>
          <w:tcPr>
            <w:tcW w:w="877" w:type="dxa"/>
            <w:tcBorders>
              <w:top w:val="nil"/>
              <w:left w:val="nil"/>
              <w:bottom w:val="nil"/>
              <w:right w:val="nil"/>
            </w:tcBorders>
            <w:shd w:val="clear" w:color="auto" w:fill="auto"/>
            <w:noWrap/>
            <w:hideMark/>
          </w:tcPr>
          <w:p w14:paraId="1E5A2625" w14:textId="77777777" w:rsidR="00E1567E" w:rsidRPr="00162AFD" w:rsidRDefault="00E1567E" w:rsidP="00312E88">
            <w:pPr>
              <w:jc w:val="right"/>
              <w:rPr>
                <w:rFonts w:cs="Arial"/>
                <w:color w:val="000000"/>
                <w:sz w:val="18"/>
                <w:szCs w:val="18"/>
              </w:rPr>
            </w:pPr>
            <w:r w:rsidRPr="00162AFD">
              <w:rPr>
                <w:rFonts w:cs="Arial"/>
                <w:color w:val="000000"/>
                <w:sz w:val="18"/>
                <w:szCs w:val="18"/>
              </w:rPr>
              <w:t>-2.6%</w:t>
            </w:r>
          </w:p>
        </w:tc>
        <w:tc>
          <w:tcPr>
            <w:tcW w:w="877" w:type="dxa"/>
            <w:tcBorders>
              <w:top w:val="nil"/>
              <w:left w:val="nil"/>
              <w:bottom w:val="nil"/>
              <w:right w:val="nil"/>
            </w:tcBorders>
            <w:shd w:val="clear" w:color="auto" w:fill="auto"/>
            <w:noWrap/>
            <w:hideMark/>
          </w:tcPr>
          <w:p w14:paraId="03761DEE" w14:textId="77777777" w:rsidR="00E1567E" w:rsidRPr="00162AFD" w:rsidRDefault="00E1567E" w:rsidP="00312E88">
            <w:pPr>
              <w:jc w:val="right"/>
              <w:rPr>
                <w:rFonts w:cs="Arial"/>
                <w:color w:val="000000"/>
                <w:sz w:val="18"/>
                <w:szCs w:val="18"/>
              </w:rPr>
            </w:pPr>
            <w:r w:rsidRPr="00162AFD">
              <w:rPr>
                <w:rFonts w:cs="Arial"/>
                <w:color w:val="000000"/>
                <w:sz w:val="18"/>
                <w:szCs w:val="18"/>
              </w:rPr>
              <w:t>-2.1%</w:t>
            </w:r>
          </w:p>
        </w:tc>
        <w:tc>
          <w:tcPr>
            <w:tcW w:w="877" w:type="dxa"/>
            <w:tcBorders>
              <w:top w:val="nil"/>
              <w:left w:val="dotted" w:sz="4" w:space="0" w:color="auto"/>
              <w:bottom w:val="nil"/>
              <w:right w:val="single" w:sz="4" w:space="0" w:color="auto"/>
            </w:tcBorders>
            <w:shd w:val="clear" w:color="auto" w:fill="auto"/>
            <w:noWrap/>
            <w:hideMark/>
          </w:tcPr>
          <w:p w14:paraId="6566E7AF" w14:textId="77777777" w:rsidR="00E1567E" w:rsidRPr="00162AFD" w:rsidRDefault="00E1567E" w:rsidP="00312E88">
            <w:pPr>
              <w:jc w:val="right"/>
              <w:rPr>
                <w:rFonts w:cs="Arial"/>
                <w:color w:val="000000"/>
                <w:sz w:val="18"/>
                <w:szCs w:val="18"/>
              </w:rPr>
            </w:pPr>
            <w:r w:rsidRPr="00162AFD">
              <w:rPr>
                <w:rFonts w:cs="Arial"/>
                <w:color w:val="000000"/>
                <w:sz w:val="18"/>
                <w:szCs w:val="18"/>
              </w:rPr>
              <w:t>-0.7%</w:t>
            </w:r>
          </w:p>
        </w:tc>
      </w:tr>
      <w:tr w:rsidR="00E1567E" w:rsidRPr="00162AFD" w14:paraId="48026BFC" w14:textId="77777777" w:rsidTr="00E1567E">
        <w:trPr>
          <w:trHeight w:hRule="exact" w:val="301"/>
        </w:trPr>
        <w:tc>
          <w:tcPr>
            <w:tcW w:w="2967" w:type="dxa"/>
            <w:tcBorders>
              <w:top w:val="nil"/>
              <w:left w:val="single" w:sz="4" w:space="0" w:color="auto"/>
              <w:bottom w:val="nil"/>
              <w:right w:val="single" w:sz="4" w:space="0" w:color="auto"/>
            </w:tcBorders>
            <w:shd w:val="clear" w:color="auto" w:fill="auto"/>
            <w:noWrap/>
            <w:hideMark/>
          </w:tcPr>
          <w:p w14:paraId="37EF3238" w14:textId="77777777" w:rsidR="00E1567E" w:rsidRPr="00162AFD" w:rsidRDefault="00E1567E" w:rsidP="00312E88">
            <w:pPr>
              <w:rPr>
                <w:rFonts w:cs="Arial"/>
                <w:sz w:val="18"/>
                <w:szCs w:val="18"/>
              </w:rPr>
            </w:pPr>
            <w:r w:rsidRPr="00162AFD">
              <w:rPr>
                <w:rFonts w:cs="Arial"/>
                <w:sz w:val="18"/>
                <w:szCs w:val="18"/>
              </w:rPr>
              <w:t>SIL</w:t>
            </w:r>
          </w:p>
        </w:tc>
        <w:tc>
          <w:tcPr>
            <w:tcW w:w="877" w:type="dxa"/>
            <w:tcBorders>
              <w:top w:val="nil"/>
              <w:left w:val="nil"/>
              <w:bottom w:val="nil"/>
              <w:right w:val="nil"/>
            </w:tcBorders>
            <w:shd w:val="clear" w:color="auto" w:fill="auto"/>
            <w:noWrap/>
            <w:hideMark/>
          </w:tcPr>
          <w:p w14:paraId="6E666050" w14:textId="77777777" w:rsidR="00E1567E" w:rsidRPr="00162AFD" w:rsidRDefault="00E1567E" w:rsidP="00312E88">
            <w:pPr>
              <w:rPr>
                <w:rFonts w:cs="Arial"/>
                <w:sz w:val="18"/>
                <w:szCs w:val="18"/>
              </w:rPr>
            </w:pPr>
          </w:p>
        </w:tc>
        <w:tc>
          <w:tcPr>
            <w:tcW w:w="877" w:type="dxa"/>
            <w:tcBorders>
              <w:top w:val="nil"/>
              <w:left w:val="nil"/>
              <w:bottom w:val="nil"/>
              <w:right w:val="nil"/>
            </w:tcBorders>
            <w:shd w:val="clear" w:color="auto" w:fill="auto"/>
            <w:noWrap/>
            <w:hideMark/>
          </w:tcPr>
          <w:p w14:paraId="6889D253" w14:textId="77777777" w:rsidR="00E1567E" w:rsidRPr="00162AFD" w:rsidRDefault="00E1567E" w:rsidP="00312E88">
            <w:pPr>
              <w:jc w:val="right"/>
              <w:rPr>
                <w:rFonts w:cs="Arial"/>
                <w:color w:val="000000"/>
                <w:sz w:val="18"/>
                <w:szCs w:val="18"/>
              </w:rPr>
            </w:pPr>
            <w:r w:rsidRPr="00162AFD">
              <w:rPr>
                <w:rFonts w:cs="Arial"/>
                <w:color w:val="000000"/>
                <w:sz w:val="18"/>
                <w:szCs w:val="18"/>
              </w:rPr>
              <w:t>-0.4%</w:t>
            </w:r>
          </w:p>
        </w:tc>
        <w:tc>
          <w:tcPr>
            <w:tcW w:w="877" w:type="dxa"/>
            <w:tcBorders>
              <w:top w:val="nil"/>
              <w:left w:val="nil"/>
              <w:bottom w:val="nil"/>
              <w:right w:val="nil"/>
            </w:tcBorders>
            <w:shd w:val="clear" w:color="auto" w:fill="auto"/>
            <w:noWrap/>
            <w:hideMark/>
          </w:tcPr>
          <w:p w14:paraId="0A569E56" w14:textId="77777777" w:rsidR="00E1567E" w:rsidRPr="00162AFD" w:rsidRDefault="00E1567E" w:rsidP="00312E88">
            <w:pPr>
              <w:jc w:val="right"/>
              <w:rPr>
                <w:rFonts w:cs="Arial"/>
                <w:color w:val="000000"/>
                <w:sz w:val="18"/>
                <w:szCs w:val="18"/>
              </w:rPr>
            </w:pPr>
            <w:r w:rsidRPr="00162AFD">
              <w:rPr>
                <w:rFonts w:cs="Arial"/>
                <w:color w:val="000000"/>
                <w:sz w:val="18"/>
                <w:szCs w:val="18"/>
              </w:rPr>
              <w:t>-0.3%</w:t>
            </w:r>
          </w:p>
        </w:tc>
        <w:tc>
          <w:tcPr>
            <w:tcW w:w="877" w:type="dxa"/>
            <w:tcBorders>
              <w:top w:val="nil"/>
              <w:left w:val="nil"/>
              <w:bottom w:val="nil"/>
              <w:right w:val="nil"/>
            </w:tcBorders>
            <w:shd w:val="clear" w:color="auto" w:fill="auto"/>
            <w:noWrap/>
            <w:hideMark/>
          </w:tcPr>
          <w:p w14:paraId="3804F719" w14:textId="77777777" w:rsidR="00E1567E" w:rsidRPr="00162AFD" w:rsidRDefault="00E1567E" w:rsidP="00312E88">
            <w:pPr>
              <w:jc w:val="right"/>
              <w:rPr>
                <w:rFonts w:cs="Arial"/>
                <w:color w:val="000000"/>
                <w:sz w:val="18"/>
                <w:szCs w:val="18"/>
              </w:rPr>
            </w:pPr>
            <w:r w:rsidRPr="00162AFD">
              <w:rPr>
                <w:rFonts w:cs="Arial"/>
                <w:color w:val="000000"/>
                <w:sz w:val="18"/>
                <w:szCs w:val="18"/>
              </w:rPr>
              <w:t>-0.2%</w:t>
            </w:r>
          </w:p>
        </w:tc>
        <w:tc>
          <w:tcPr>
            <w:tcW w:w="877" w:type="dxa"/>
            <w:tcBorders>
              <w:top w:val="nil"/>
              <w:left w:val="nil"/>
              <w:bottom w:val="nil"/>
              <w:right w:val="nil"/>
            </w:tcBorders>
            <w:shd w:val="clear" w:color="auto" w:fill="auto"/>
            <w:noWrap/>
            <w:hideMark/>
          </w:tcPr>
          <w:p w14:paraId="31885A37" w14:textId="77777777" w:rsidR="00E1567E" w:rsidRPr="00162AFD" w:rsidRDefault="00E1567E" w:rsidP="00312E88">
            <w:pPr>
              <w:jc w:val="right"/>
              <w:rPr>
                <w:rFonts w:cs="Arial"/>
                <w:color w:val="000000"/>
                <w:sz w:val="18"/>
                <w:szCs w:val="18"/>
              </w:rPr>
            </w:pPr>
            <w:r w:rsidRPr="00162AFD">
              <w:rPr>
                <w:rFonts w:cs="Arial"/>
                <w:color w:val="000000"/>
                <w:sz w:val="18"/>
                <w:szCs w:val="18"/>
              </w:rPr>
              <w:t>-0.1%</w:t>
            </w:r>
          </w:p>
        </w:tc>
        <w:tc>
          <w:tcPr>
            <w:tcW w:w="877" w:type="dxa"/>
            <w:tcBorders>
              <w:top w:val="nil"/>
              <w:left w:val="dotted" w:sz="4" w:space="0" w:color="auto"/>
              <w:bottom w:val="nil"/>
              <w:right w:val="single" w:sz="4" w:space="0" w:color="auto"/>
            </w:tcBorders>
            <w:shd w:val="clear" w:color="auto" w:fill="auto"/>
            <w:noWrap/>
            <w:hideMark/>
          </w:tcPr>
          <w:p w14:paraId="56F9CB8B" w14:textId="77777777" w:rsidR="00E1567E" w:rsidRPr="00162AFD" w:rsidRDefault="00E1567E" w:rsidP="00312E88">
            <w:pPr>
              <w:jc w:val="right"/>
              <w:rPr>
                <w:rFonts w:cs="Arial"/>
                <w:color w:val="000000"/>
                <w:sz w:val="18"/>
                <w:szCs w:val="18"/>
              </w:rPr>
            </w:pPr>
            <w:r w:rsidRPr="00162AFD">
              <w:rPr>
                <w:rFonts w:cs="Arial"/>
                <w:color w:val="000000"/>
                <w:sz w:val="18"/>
                <w:szCs w:val="18"/>
              </w:rPr>
              <w:t>0.1%</w:t>
            </w:r>
          </w:p>
        </w:tc>
      </w:tr>
      <w:tr w:rsidR="00E1567E" w:rsidRPr="00162AFD" w14:paraId="7A2FEF25" w14:textId="77777777" w:rsidTr="00E1567E">
        <w:trPr>
          <w:trHeight w:hRule="exact" w:val="301"/>
        </w:trPr>
        <w:tc>
          <w:tcPr>
            <w:tcW w:w="2967" w:type="dxa"/>
            <w:tcBorders>
              <w:top w:val="single" w:sz="4" w:space="0" w:color="auto"/>
              <w:left w:val="single" w:sz="4" w:space="0" w:color="auto"/>
              <w:bottom w:val="single" w:sz="4" w:space="0" w:color="auto"/>
              <w:right w:val="single" w:sz="4" w:space="0" w:color="auto"/>
            </w:tcBorders>
            <w:shd w:val="clear" w:color="auto" w:fill="auto"/>
            <w:noWrap/>
            <w:hideMark/>
          </w:tcPr>
          <w:p w14:paraId="1FF5903F" w14:textId="77777777" w:rsidR="00E1567E" w:rsidRPr="00162AFD" w:rsidRDefault="00E1567E" w:rsidP="00312E88">
            <w:pPr>
              <w:rPr>
                <w:rFonts w:cs="Arial"/>
                <w:b/>
                <w:bCs/>
                <w:color w:val="000000"/>
                <w:sz w:val="18"/>
                <w:szCs w:val="18"/>
              </w:rPr>
            </w:pPr>
            <w:r w:rsidRPr="00162AFD">
              <w:rPr>
                <w:rFonts w:cs="Arial"/>
                <w:b/>
                <w:bCs/>
                <w:color w:val="000000"/>
                <w:sz w:val="18"/>
                <w:szCs w:val="18"/>
              </w:rPr>
              <w:t>Total</w:t>
            </w:r>
          </w:p>
        </w:tc>
        <w:tc>
          <w:tcPr>
            <w:tcW w:w="877" w:type="dxa"/>
            <w:tcBorders>
              <w:top w:val="single" w:sz="4" w:space="0" w:color="auto"/>
              <w:left w:val="nil"/>
              <w:bottom w:val="single" w:sz="4" w:space="0" w:color="auto"/>
              <w:right w:val="nil"/>
            </w:tcBorders>
            <w:shd w:val="clear" w:color="auto" w:fill="auto"/>
            <w:noWrap/>
            <w:hideMark/>
          </w:tcPr>
          <w:p w14:paraId="2AAB715E"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single" w:sz="4" w:space="0" w:color="auto"/>
              <w:left w:val="nil"/>
              <w:bottom w:val="single" w:sz="4" w:space="0" w:color="auto"/>
              <w:right w:val="nil"/>
            </w:tcBorders>
            <w:shd w:val="clear" w:color="auto" w:fill="auto"/>
            <w:noWrap/>
            <w:hideMark/>
          </w:tcPr>
          <w:p w14:paraId="0E28EAA2" w14:textId="77777777" w:rsidR="00E1567E" w:rsidRPr="00162AFD" w:rsidRDefault="00E1567E" w:rsidP="00312E88">
            <w:pPr>
              <w:jc w:val="right"/>
              <w:rPr>
                <w:rFonts w:cs="Arial"/>
                <w:color w:val="000000"/>
                <w:sz w:val="18"/>
                <w:szCs w:val="18"/>
              </w:rPr>
            </w:pPr>
            <w:r w:rsidRPr="00162AFD">
              <w:rPr>
                <w:rFonts w:cs="Arial"/>
                <w:color w:val="000000"/>
                <w:sz w:val="18"/>
                <w:szCs w:val="18"/>
              </w:rPr>
              <w:t>-5.6%</w:t>
            </w:r>
          </w:p>
        </w:tc>
        <w:tc>
          <w:tcPr>
            <w:tcW w:w="877" w:type="dxa"/>
            <w:tcBorders>
              <w:top w:val="single" w:sz="4" w:space="0" w:color="auto"/>
              <w:left w:val="nil"/>
              <w:bottom w:val="single" w:sz="4" w:space="0" w:color="auto"/>
              <w:right w:val="nil"/>
            </w:tcBorders>
            <w:shd w:val="clear" w:color="auto" w:fill="auto"/>
            <w:noWrap/>
            <w:hideMark/>
          </w:tcPr>
          <w:p w14:paraId="52BE0744" w14:textId="77777777" w:rsidR="00E1567E" w:rsidRPr="00162AFD" w:rsidRDefault="00E1567E" w:rsidP="00312E88">
            <w:pPr>
              <w:jc w:val="right"/>
              <w:rPr>
                <w:rFonts w:cs="Arial"/>
                <w:color w:val="000000"/>
                <w:sz w:val="18"/>
                <w:szCs w:val="18"/>
              </w:rPr>
            </w:pPr>
            <w:r w:rsidRPr="00162AFD">
              <w:rPr>
                <w:rFonts w:cs="Arial"/>
                <w:color w:val="000000"/>
                <w:sz w:val="18"/>
                <w:szCs w:val="18"/>
              </w:rPr>
              <w:t>-4.4%</w:t>
            </w:r>
          </w:p>
        </w:tc>
        <w:tc>
          <w:tcPr>
            <w:tcW w:w="877" w:type="dxa"/>
            <w:tcBorders>
              <w:top w:val="single" w:sz="4" w:space="0" w:color="auto"/>
              <w:left w:val="nil"/>
              <w:bottom w:val="single" w:sz="4" w:space="0" w:color="auto"/>
              <w:right w:val="nil"/>
            </w:tcBorders>
            <w:shd w:val="clear" w:color="auto" w:fill="auto"/>
            <w:noWrap/>
            <w:hideMark/>
          </w:tcPr>
          <w:p w14:paraId="5F29A14E" w14:textId="77777777" w:rsidR="00E1567E" w:rsidRPr="00162AFD" w:rsidRDefault="00E1567E" w:rsidP="00312E88">
            <w:pPr>
              <w:jc w:val="right"/>
              <w:rPr>
                <w:rFonts w:cs="Arial"/>
                <w:color w:val="000000"/>
                <w:sz w:val="18"/>
                <w:szCs w:val="18"/>
              </w:rPr>
            </w:pPr>
            <w:r w:rsidRPr="00162AFD">
              <w:rPr>
                <w:rFonts w:cs="Arial"/>
                <w:color w:val="000000"/>
                <w:sz w:val="18"/>
                <w:szCs w:val="18"/>
              </w:rPr>
              <w:t>-3.2%</w:t>
            </w:r>
          </w:p>
        </w:tc>
        <w:tc>
          <w:tcPr>
            <w:tcW w:w="877" w:type="dxa"/>
            <w:tcBorders>
              <w:top w:val="single" w:sz="4" w:space="0" w:color="auto"/>
              <w:left w:val="nil"/>
              <w:bottom w:val="single" w:sz="4" w:space="0" w:color="auto"/>
              <w:right w:val="nil"/>
            </w:tcBorders>
            <w:shd w:val="clear" w:color="auto" w:fill="auto"/>
            <w:noWrap/>
            <w:hideMark/>
          </w:tcPr>
          <w:p w14:paraId="5B1E12DD" w14:textId="77777777" w:rsidR="00E1567E" w:rsidRPr="00162AFD" w:rsidRDefault="00E1567E" w:rsidP="00312E88">
            <w:pPr>
              <w:jc w:val="right"/>
              <w:rPr>
                <w:rFonts w:cs="Arial"/>
                <w:color w:val="000000"/>
                <w:sz w:val="18"/>
                <w:szCs w:val="18"/>
              </w:rPr>
            </w:pPr>
            <w:r w:rsidRPr="00162AFD">
              <w:rPr>
                <w:rFonts w:cs="Arial"/>
                <w:color w:val="000000"/>
                <w:sz w:val="18"/>
                <w:szCs w:val="18"/>
              </w:rPr>
              <w:t>-2.3%</w:t>
            </w:r>
          </w:p>
        </w:tc>
        <w:tc>
          <w:tcPr>
            <w:tcW w:w="877" w:type="dxa"/>
            <w:tcBorders>
              <w:top w:val="single" w:sz="4" w:space="0" w:color="auto"/>
              <w:left w:val="dotted" w:sz="4" w:space="0" w:color="auto"/>
              <w:bottom w:val="single" w:sz="4" w:space="0" w:color="auto"/>
              <w:right w:val="single" w:sz="4" w:space="0" w:color="auto"/>
            </w:tcBorders>
            <w:shd w:val="clear" w:color="auto" w:fill="auto"/>
            <w:noWrap/>
            <w:hideMark/>
          </w:tcPr>
          <w:p w14:paraId="2BC686D9" w14:textId="77777777" w:rsidR="00E1567E" w:rsidRPr="00162AFD" w:rsidRDefault="00E1567E" w:rsidP="00312E88">
            <w:pPr>
              <w:jc w:val="right"/>
              <w:rPr>
                <w:rFonts w:cs="Arial"/>
                <w:color w:val="000000"/>
                <w:sz w:val="18"/>
                <w:szCs w:val="18"/>
              </w:rPr>
            </w:pPr>
            <w:r w:rsidRPr="00162AFD">
              <w:rPr>
                <w:rFonts w:cs="Arial"/>
                <w:color w:val="000000"/>
                <w:sz w:val="18"/>
                <w:szCs w:val="18"/>
              </w:rPr>
              <w:t>-0.7%</w:t>
            </w:r>
          </w:p>
        </w:tc>
      </w:tr>
      <w:tr w:rsidR="00E1567E" w:rsidRPr="00162AFD" w14:paraId="0DC63041" w14:textId="77777777" w:rsidTr="00E1567E">
        <w:trPr>
          <w:trHeight w:hRule="exact" w:val="301"/>
        </w:trPr>
        <w:tc>
          <w:tcPr>
            <w:tcW w:w="2967" w:type="dxa"/>
            <w:tcBorders>
              <w:top w:val="nil"/>
              <w:left w:val="single" w:sz="4" w:space="0" w:color="auto"/>
              <w:bottom w:val="single" w:sz="4" w:space="0" w:color="auto"/>
              <w:right w:val="nil"/>
            </w:tcBorders>
            <w:shd w:val="clear" w:color="000000" w:fill="F7EEF7"/>
            <w:noWrap/>
            <w:hideMark/>
          </w:tcPr>
          <w:p w14:paraId="1BF6671D" w14:textId="77777777" w:rsidR="00E1567E" w:rsidRPr="00162AFD" w:rsidRDefault="00E1567E" w:rsidP="00312E88">
            <w:pPr>
              <w:rPr>
                <w:rFonts w:cs="Arial"/>
                <w:b/>
                <w:bCs/>
                <w:color w:val="000000"/>
                <w:sz w:val="18"/>
                <w:szCs w:val="18"/>
              </w:rPr>
            </w:pPr>
            <w:r w:rsidRPr="00162AFD">
              <w:rPr>
                <w:rFonts w:cs="Arial"/>
                <w:b/>
                <w:bCs/>
                <w:color w:val="000000"/>
                <w:sz w:val="18"/>
                <w:szCs w:val="18"/>
              </w:rPr>
              <w:t>Normal inflation</w:t>
            </w:r>
          </w:p>
        </w:tc>
        <w:tc>
          <w:tcPr>
            <w:tcW w:w="877" w:type="dxa"/>
            <w:tcBorders>
              <w:top w:val="nil"/>
              <w:left w:val="nil"/>
              <w:bottom w:val="single" w:sz="4" w:space="0" w:color="auto"/>
              <w:right w:val="nil"/>
            </w:tcBorders>
            <w:shd w:val="clear" w:color="000000" w:fill="F7EEF7"/>
            <w:noWrap/>
            <w:hideMark/>
          </w:tcPr>
          <w:p w14:paraId="56DE8300"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31546B12"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0E9C63BD"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20AB071B"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5C3C482F"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dotted" w:sz="4" w:space="0" w:color="auto"/>
              <w:bottom w:val="single" w:sz="4" w:space="0" w:color="auto"/>
              <w:right w:val="single" w:sz="4" w:space="0" w:color="auto"/>
            </w:tcBorders>
            <w:shd w:val="clear" w:color="000000" w:fill="F7EEF7"/>
            <w:noWrap/>
            <w:hideMark/>
          </w:tcPr>
          <w:p w14:paraId="0FAA27D1"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r>
      <w:tr w:rsidR="00E1567E" w:rsidRPr="00162AFD" w14:paraId="6C9B519B" w14:textId="77777777" w:rsidTr="00E1567E">
        <w:trPr>
          <w:trHeight w:hRule="exact" w:val="301"/>
        </w:trPr>
        <w:tc>
          <w:tcPr>
            <w:tcW w:w="2967" w:type="dxa"/>
            <w:tcBorders>
              <w:top w:val="nil"/>
              <w:left w:val="single" w:sz="4" w:space="0" w:color="auto"/>
              <w:bottom w:val="nil"/>
              <w:right w:val="single" w:sz="4" w:space="0" w:color="auto"/>
            </w:tcBorders>
            <w:shd w:val="clear" w:color="auto" w:fill="auto"/>
            <w:noWrap/>
            <w:hideMark/>
          </w:tcPr>
          <w:p w14:paraId="0735F15A" w14:textId="77777777" w:rsidR="00E1567E" w:rsidRPr="00162AFD" w:rsidRDefault="00E1567E" w:rsidP="00312E88">
            <w:pPr>
              <w:rPr>
                <w:rFonts w:cs="Arial"/>
                <w:sz w:val="18"/>
                <w:szCs w:val="18"/>
              </w:rPr>
            </w:pPr>
            <w:r w:rsidRPr="00162AFD">
              <w:rPr>
                <w:rFonts w:cs="Arial"/>
                <w:sz w:val="18"/>
                <w:szCs w:val="18"/>
              </w:rPr>
              <w:t>Non-SIL</w:t>
            </w:r>
          </w:p>
        </w:tc>
        <w:tc>
          <w:tcPr>
            <w:tcW w:w="877" w:type="dxa"/>
            <w:tcBorders>
              <w:top w:val="nil"/>
              <w:left w:val="nil"/>
              <w:bottom w:val="nil"/>
              <w:right w:val="nil"/>
            </w:tcBorders>
            <w:shd w:val="clear" w:color="auto" w:fill="auto"/>
            <w:noWrap/>
            <w:hideMark/>
          </w:tcPr>
          <w:p w14:paraId="3B78C4F7" w14:textId="77777777" w:rsidR="00E1567E" w:rsidRPr="00162AFD" w:rsidRDefault="00E1567E" w:rsidP="00312E88">
            <w:pPr>
              <w:rPr>
                <w:rFonts w:cs="Arial"/>
                <w:sz w:val="18"/>
                <w:szCs w:val="18"/>
              </w:rPr>
            </w:pPr>
          </w:p>
        </w:tc>
        <w:tc>
          <w:tcPr>
            <w:tcW w:w="877" w:type="dxa"/>
            <w:tcBorders>
              <w:top w:val="nil"/>
              <w:left w:val="nil"/>
              <w:bottom w:val="nil"/>
              <w:right w:val="nil"/>
            </w:tcBorders>
            <w:shd w:val="clear" w:color="auto" w:fill="auto"/>
            <w:noWrap/>
            <w:hideMark/>
          </w:tcPr>
          <w:p w14:paraId="23290535" w14:textId="77777777" w:rsidR="00E1567E" w:rsidRPr="00162AFD" w:rsidRDefault="00E1567E" w:rsidP="00312E88">
            <w:pPr>
              <w:jc w:val="right"/>
              <w:rPr>
                <w:rFonts w:cs="Arial"/>
                <w:color w:val="000000"/>
                <w:sz w:val="18"/>
                <w:szCs w:val="18"/>
              </w:rPr>
            </w:pPr>
            <w:r w:rsidRPr="00162AFD">
              <w:rPr>
                <w:rFonts w:cs="Arial"/>
                <w:color w:val="000000"/>
                <w:sz w:val="18"/>
                <w:szCs w:val="18"/>
              </w:rPr>
              <w:t>2.9%</w:t>
            </w:r>
          </w:p>
        </w:tc>
        <w:tc>
          <w:tcPr>
            <w:tcW w:w="877" w:type="dxa"/>
            <w:tcBorders>
              <w:top w:val="nil"/>
              <w:left w:val="nil"/>
              <w:bottom w:val="nil"/>
              <w:right w:val="nil"/>
            </w:tcBorders>
            <w:shd w:val="clear" w:color="auto" w:fill="auto"/>
            <w:noWrap/>
            <w:hideMark/>
          </w:tcPr>
          <w:p w14:paraId="77B9950C" w14:textId="77777777" w:rsidR="00E1567E" w:rsidRPr="00162AFD" w:rsidRDefault="00E1567E" w:rsidP="00312E88">
            <w:pPr>
              <w:jc w:val="right"/>
              <w:rPr>
                <w:rFonts w:cs="Arial"/>
                <w:color w:val="000000"/>
                <w:sz w:val="18"/>
                <w:szCs w:val="18"/>
              </w:rPr>
            </w:pPr>
            <w:r w:rsidRPr="00162AFD">
              <w:rPr>
                <w:rFonts w:cs="Arial"/>
                <w:color w:val="000000"/>
                <w:sz w:val="18"/>
                <w:szCs w:val="18"/>
              </w:rPr>
              <w:t>3.1%</w:t>
            </w:r>
          </w:p>
        </w:tc>
        <w:tc>
          <w:tcPr>
            <w:tcW w:w="877" w:type="dxa"/>
            <w:tcBorders>
              <w:top w:val="nil"/>
              <w:left w:val="nil"/>
              <w:bottom w:val="nil"/>
              <w:right w:val="nil"/>
            </w:tcBorders>
            <w:shd w:val="clear" w:color="auto" w:fill="auto"/>
            <w:noWrap/>
            <w:hideMark/>
          </w:tcPr>
          <w:p w14:paraId="2597E28D" w14:textId="77777777" w:rsidR="00E1567E" w:rsidRPr="00162AFD" w:rsidRDefault="00E1567E" w:rsidP="00312E88">
            <w:pPr>
              <w:jc w:val="right"/>
              <w:rPr>
                <w:rFonts w:cs="Arial"/>
                <w:color w:val="000000"/>
                <w:sz w:val="18"/>
                <w:szCs w:val="18"/>
              </w:rPr>
            </w:pPr>
            <w:r w:rsidRPr="00162AFD">
              <w:rPr>
                <w:rFonts w:cs="Arial"/>
                <w:color w:val="000000"/>
                <w:sz w:val="18"/>
                <w:szCs w:val="18"/>
              </w:rPr>
              <w:t>3.1%</w:t>
            </w:r>
          </w:p>
        </w:tc>
        <w:tc>
          <w:tcPr>
            <w:tcW w:w="877" w:type="dxa"/>
            <w:tcBorders>
              <w:top w:val="nil"/>
              <w:left w:val="nil"/>
              <w:bottom w:val="nil"/>
              <w:right w:val="nil"/>
            </w:tcBorders>
            <w:shd w:val="clear" w:color="auto" w:fill="auto"/>
            <w:noWrap/>
            <w:hideMark/>
          </w:tcPr>
          <w:p w14:paraId="4EDAF1FF" w14:textId="77777777" w:rsidR="00E1567E" w:rsidRPr="00162AFD" w:rsidRDefault="00E1567E" w:rsidP="00312E88">
            <w:pPr>
              <w:jc w:val="right"/>
              <w:rPr>
                <w:rFonts w:cs="Arial"/>
                <w:color w:val="000000"/>
                <w:sz w:val="18"/>
                <w:szCs w:val="18"/>
              </w:rPr>
            </w:pPr>
            <w:r w:rsidRPr="00162AFD">
              <w:rPr>
                <w:rFonts w:cs="Arial"/>
                <w:color w:val="000000"/>
                <w:sz w:val="18"/>
                <w:szCs w:val="18"/>
              </w:rPr>
              <w:t>3.1%</w:t>
            </w:r>
          </w:p>
        </w:tc>
        <w:tc>
          <w:tcPr>
            <w:tcW w:w="877" w:type="dxa"/>
            <w:tcBorders>
              <w:top w:val="nil"/>
              <w:left w:val="dotted" w:sz="4" w:space="0" w:color="auto"/>
              <w:bottom w:val="nil"/>
              <w:right w:val="single" w:sz="4" w:space="0" w:color="auto"/>
            </w:tcBorders>
            <w:shd w:val="clear" w:color="auto" w:fill="auto"/>
            <w:noWrap/>
            <w:hideMark/>
          </w:tcPr>
          <w:p w14:paraId="40829502" w14:textId="77777777" w:rsidR="00E1567E" w:rsidRPr="00162AFD" w:rsidRDefault="00E1567E" w:rsidP="00312E88">
            <w:pPr>
              <w:jc w:val="right"/>
              <w:rPr>
                <w:rFonts w:cs="Arial"/>
                <w:color w:val="000000"/>
                <w:sz w:val="18"/>
                <w:szCs w:val="18"/>
              </w:rPr>
            </w:pPr>
            <w:r w:rsidRPr="00162AFD">
              <w:rPr>
                <w:rFonts w:cs="Arial"/>
                <w:color w:val="000000"/>
                <w:sz w:val="18"/>
                <w:szCs w:val="18"/>
              </w:rPr>
              <w:t>3.2%</w:t>
            </w:r>
          </w:p>
        </w:tc>
      </w:tr>
      <w:tr w:rsidR="00E1567E" w:rsidRPr="00162AFD" w14:paraId="711E6786" w14:textId="77777777" w:rsidTr="00E1567E">
        <w:trPr>
          <w:trHeight w:hRule="exact" w:val="301"/>
        </w:trPr>
        <w:tc>
          <w:tcPr>
            <w:tcW w:w="2967" w:type="dxa"/>
            <w:tcBorders>
              <w:top w:val="nil"/>
              <w:left w:val="single" w:sz="4" w:space="0" w:color="auto"/>
              <w:bottom w:val="nil"/>
              <w:right w:val="single" w:sz="4" w:space="0" w:color="auto"/>
            </w:tcBorders>
            <w:shd w:val="clear" w:color="auto" w:fill="auto"/>
            <w:noWrap/>
            <w:hideMark/>
          </w:tcPr>
          <w:p w14:paraId="1D968605" w14:textId="77777777" w:rsidR="00E1567E" w:rsidRPr="00162AFD" w:rsidRDefault="00E1567E" w:rsidP="00312E88">
            <w:pPr>
              <w:rPr>
                <w:rFonts w:cs="Arial"/>
                <w:sz w:val="18"/>
                <w:szCs w:val="18"/>
              </w:rPr>
            </w:pPr>
            <w:r w:rsidRPr="00162AFD">
              <w:rPr>
                <w:rFonts w:cs="Arial"/>
                <w:sz w:val="18"/>
                <w:szCs w:val="18"/>
              </w:rPr>
              <w:t>SIL</w:t>
            </w:r>
          </w:p>
        </w:tc>
        <w:tc>
          <w:tcPr>
            <w:tcW w:w="877" w:type="dxa"/>
            <w:tcBorders>
              <w:top w:val="nil"/>
              <w:left w:val="nil"/>
              <w:bottom w:val="nil"/>
              <w:right w:val="nil"/>
            </w:tcBorders>
            <w:shd w:val="clear" w:color="auto" w:fill="auto"/>
            <w:noWrap/>
            <w:hideMark/>
          </w:tcPr>
          <w:p w14:paraId="32A03812" w14:textId="77777777" w:rsidR="00E1567E" w:rsidRPr="00162AFD" w:rsidRDefault="00E1567E" w:rsidP="00312E88">
            <w:pPr>
              <w:rPr>
                <w:rFonts w:cs="Arial"/>
                <w:sz w:val="18"/>
                <w:szCs w:val="18"/>
              </w:rPr>
            </w:pPr>
          </w:p>
        </w:tc>
        <w:tc>
          <w:tcPr>
            <w:tcW w:w="877" w:type="dxa"/>
            <w:tcBorders>
              <w:top w:val="nil"/>
              <w:left w:val="nil"/>
              <w:bottom w:val="nil"/>
              <w:right w:val="nil"/>
            </w:tcBorders>
            <w:shd w:val="clear" w:color="auto" w:fill="auto"/>
            <w:noWrap/>
            <w:hideMark/>
          </w:tcPr>
          <w:p w14:paraId="4793E49A" w14:textId="77777777" w:rsidR="00E1567E" w:rsidRPr="00162AFD" w:rsidRDefault="00E1567E" w:rsidP="00312E88">
            <w:pPr>
              <w:jc w:val="right"/>
              <w:rPr>
                <w:rFonts w:cs="Arial"/>
                <w:color w:val="000000"/>
                <w:sz w:val="18"/>
                <w:szCs w:val="18"/>
              </w:rPr>
            </w:pPr>
            <w:r w:rsidRPr="00162AFD">
              <w:rPr>
                <w:rFonts w:cs="Arial"/>
                <w:color w:val="000000"/>
                <w:sz w:val="18"/>
                <w:szCs w:val="18"/>
              </w:rPr>
              <w:t>3.4%</w:t>
            </w:r>
          </w:p>
        </w:tc>
        <w:tc>
          <w:tcPr>
            <w:tcW w:w="877" w:type="dxa"/>
            <w:tcBorders>
              <w:top w:val="nil"/>
              <w:left w:val="nil"/>
              <w:bottom w:val="nil"/>
              <w:right w:val="nil"/>
            </w:tcBorders>
            <w:shd w:val="clear" w:color="auto" w:fill="auto"/>
            <w:noWrap/>
            <w:hideMark/>
          </w:tcPr>
          <w:p w14:paraId="0FB5CE87" w14:textId="77777777" w:rsidR="00E1567E" w:rsidRPr="00162AFD" w:rsidRDefault="00E1567E" w:rsidP="00312E88">
            <w:pPr>
              <w:jc w:val="right"/>
              <w:rPr>
                <w:rFonts w:cs="Arial"/>
                <w:color w:val="000000"/>
                <w:sz w:val="18"/>
                <w:szCs w:val="18"/>
              </w:rPr>
            </w:pPr>
            <w:r w:rsidRPr="00162AFD">
              <w:rPr>
                <w:rFonts w:cs="Arial"/>
                <w:color w:val="000000"/>
                <w:sz w:val="18"/>
                <w:szCs w:val="18"/>
              </w:rPr>
              <w:t>3.4%</w:t>
            </w:r>
          </w:p>
        </w:tc>
        <w:tc>
          <w:tcPr>
            <w:tcW w:w="877" w:type="dxa"/>
            <w:tcBorders>
              <w:top w:val="nil"/>
              <w:left w:val="nil"/>
              <w:bottom w:val="nil"/>
              <w:right w:val="nil"/>
            </w:tcBorders>
            <w:shd w:val="clear" w:color="auto" w:fill="auto"/>
            <w:noWrap/>
            <w:hideMark/>
          </w:tcPr>
          <w:p w14:paraId="4CC0B7B5" w14:textId="77777777" w:rsidR="00E1567E" w:rsidRPr="00162AFD" w:rsidRDefault="00E1567E" w:rsidP="00312E88">
            <w:pPr>
              <w:jc w:val="right"/>
              <w:rPr>
                <w:rFonts w:cs="Arial"/>
                <w:color w:val="000000"/>
                <w:sz w:val="18"/>
                <w:szCs w:val="18"/>
              </w:rPr>
            </w:pPr>
            <w:r w:rsidRPr="00162AFD">
              <w:rPr>
                <w:rFonts w:cs="Arial"/>
                <w:color w:val="000000"/>
                <w:sz w:val="18"/>
                <w:szCs w:val="18"/>
              </w:rPr>
              <w:t>3.4%</w:t>
            </w:r>
          </w:p>
        </w:tc>
        <w:tc>
          <w:tcPr>
            <w:tcW w:w="877" w:type="dxa"/>
            <w:tcBorders>
              <w:top w:val="nil"/>
              <w:left w:val="nil"/>
              <w:bottom w:val="nil"/>
              <w:right w:val="nil"/>
            </w:tcBorders>
            <w:shd w:val="clear" w:color="auto" w:fill="auto"/>
            <w:noWrap/>
            <w:hideMark/>
          </w:tcPr>
          <w:p w14:paraId="18546A1B" w14:textId="77777777" w:rsidR="00E1567E" w:rsidRPr="00162AFD" w:rsidRDefault="00E1567E" w:rsidP="00312E88">
            <w:pPr>
              <w:jc w:val="right"/>
              <w:rPr>
                <w:rFonts w:cs="Arial"/>
                <w:color w:val="000000"/>
                <w:sz w:val="18"/>
                <w:szCs w:val="18"/>
              </w:rPr>
            </w:pPr>
            <w:r w:rsidRPr="00162AFD">
              <w:rPr>
                <w:rFonts w:cs="Arial"/>
                <w:color w:val="000000"/>
                <w:sz w:val="18"/>
                <w:szCs w:val="18"/>
              </w:rPr>
              <w:t>3.4%</w:t>
            </w:r>
          </w:p>
        </w:tc>
        <w:tc>
          <w:tcPr>
            <w:tcW w:w="877" w:type="dxa"/>
            <w:tcBorders>
              <w:top w:val="nil"/>
              <w:left w:val="dotted" w:sz="4" w:space="0" w:color="auto"/>
              <w:bottom w:val="nil"/>
              <w:right w:val="single" w:sz="4" w:space="0" w:color="auto"/>
            </w:tcBorders>
            <w:shd w:val="clear" w:color="auto" w:fill="auto"/>
            <w:noWrap/>
            <w:hideMark/>
          </w:tcPr>
          <w:p w14:paraId="79774EFE" w14:textId="77777777" w:rsidR="00E1567E" w:rsidRPr="00162AFD" w:rsidRDefault="00E1567E" w:rsidP="00312E88">
            <w:pPr>
              <w:jc w:val="right"/>
              <w:rPr>
                <w:rFonts w:cs="Arial"/>
                <w:color w:val="000000"/>
                <w:sz w:val="18"/>
                <w:szCs w:val="18"/>
              </w:rPr>
            </w:pPr>
            <w:r w:rsidRPr="00162AFD">
              <w:rPr>
                <w:rFonts w:cs="Arial"/>
                <w:color w:val="000000"/>
                <w:sz w:val="18"/>
                <w:szCs w:val="18"/>
              </w:rPr>
              <w:t>3.4%</w:t>
            </w:r>
          </w:p>
        </w:tc>
      </w:tr>
      <w:tr w:rsidR="00E1567E" w:rsidRPr="00162AFD" w14:paraId="16CFF92F" w14:textId="77777777" w:rsidTr="00E1567E">
        <w:trPr>
          <w:trHeight w:hRule="exact" w:val="301"/>
        </w:trPr>
        <w:tc>
          <w:tcPr>
            <w:tcW w:w="2967" w:type="dxa"/>
            <w:tcBorders>
              <w:top w:val="single" w:sz="4" w:space="0" w:color="auto"/>
              <w:left w:val="single" w:sz="4" w:space="0" w:color="auto"/>
              <w:bottom w:val="single" w:sz="4" w:space="0" w:color="auto"/>
              <w:right w:val="single" w:sz="4" w:space="0" w:color="auto"/>
            </w:tcBorders>
            <w:shd w:val="clear" w:color="auto" w:fill="auto"/>
            <w:noWrap/>
            <w:hideMark/>
          </w:tcPr>
          <w:p w14:paraId="36766642" w14:textId="77777777" w:rsidR="00E1567E" w:rsidRPr="00162AFD" w:rsidRDefault="00E1567E" w:rsidP="00312E88">
            <w:pPr>
              <w:rPr>
                <w:rFonts w:cs="Arial"/>
                <w:b/>
                <w:bCs/>
                <w:color w:val="000000"/>
                <w:sz w:val="18"/>
                <w:szCs w:val="18"/>
              </w:rPr>
            </w:pPr>
            <w:r w:rsidRPr="00162AFD">
              <w:rPr>
                <w:rFonts w:cs="Arial"/>
                <w:b/>
                <w:bCs/>
                <w:color w:val="000000"/>
                <w:sz w:val="18"/>
                <w:szCs w:val="18"/>
              </w:rPr>
              <w:t>Total</w:t>
            </w:r>
          </w:p>
        </w:tc>
        <w:tc>
          <w:tcPr>
            <w:tcW w:w="877" w:type="dxa"/>
            <w:tcBorders>
              <w:top w:val="single" w:sz="4" w:space="0" w:color="auto"/>
              <w:left w:val="nil"/>
              <w:bottom w:val="single" w:sz="4" w:space="0" w:color="auto"/>
              <w:right w:val="nil"/>
            </w:tcBorders>
            <w:shd w:val="clear" w:color="auto" w:fill="auto"/>
            <w:noWrap/>
            <w:hideMark/>
          </w:tcPr>
          <w:p w14:paraId="773DBF13"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single" w:sz="4" w:space="0" w:color="auto"/>
              <w:left w:val="nil"/>
              <w:bottom w:val="single" w:sz="4" w:space="0" w:color="auto"/>
              <w:right w:val="nil"/>
            </w:tcBorders>
            <w:shd w:val="clear" w:color="auto" w:fill="auto"/>
            <w:noWrap/>
            <w:hideMark/>
          </w:tcPr>
          <w:p w14:paraId="16D83896" w14:textId="77777777" w:rsidR="00E1567E" w:rsidRPr="00162AFD" w:rsidRDefault="00E1567E" w:rsidP="00312E88">
            <w:pPr>
              <w:jc w:val="right"/>
              <w:rPr>
                <w:rFonts w:cs="Arial"/>
                <w:color w:val="000000"/>
                <w:sz w:val="18"/>
                <w:szCs w:val="18"/>
              </w:rPr>
            </w:pPr>
            <w:r w:rsidRPr="00162AFD">
              <w:rPr>
                <w:rFonts w:cs="Arial"/>
                <w:color w:val="000000"/>
                <w:sz w:val="18"/>
                <w:szCs w:val="18"/>
              </w:rPr>
              <w:t>3.0%</w:t>
            </w:r>
          </w:p>
        </w:tc>
        <w:tc>
          <w:tcPr>
            <w:tcW w:w="877" w:type="dxa"/>
            <w:tcBorders>
              <w:top w:val="single" w:sz="4" w:space="0" w:color="auto"/>
              <w:left w:val="nil"/>
              <w:bottom w:val="single" w:sz="4" w:space="0" w:color="auto"/>
              <w:right w:val="nil"/>
            </w:tcBorders>
            <w:shd w:val="clear" w:color="auto" w:fill="auto"/>
            <w:noWrap/>
            <w:hideMark/>
          </w:tcPr>
          <w:p w14:paraId="7FFF8F8E" w14:textId="77777777" w:rsidR="00E1567E" w:rsidRPr="00162AFD" w:rsidRDefault="00E1567E" w:rsidP="00312E88">
            <w:pPr>
              <w:jc w:val="right"/>
              <w:rPr>
                <w:rFonts w:cs="Arial"/>
                <w:color w:val="000000"/>
                <w:sz w:val="18"/>
                <w:szCs w:val="18"/>
              </w:rPr>
            </w:pPr>
            <w:r w:rsidRPr="00162AFD">
              <w:rPr>
                <w:rFonts w:cs="Arial"/>
                <w:color w:val="000000"/>
                <w:sz w:val="18"/>
                <w:szCs w:val="18"/>
              </w:rPr>
              <w:t>3.2%</w:t>
            </w:r>
          </w:p>
        </w:tc>
        <w:tc>
          <w:tcPr>
            <w:tcW w:w="877" w:type="dxa"/>
            <w:tcBorders>
              <w:top w:val="single" w:sz="4" w:space="0" w:color="auto"/>
              <w:left w:val="nil"/>
              <w:bottom w:val="single" w:sz="4" w:space="0" w:color="auto"/>
              <w:right w:val="nil"/>
            </w:tcBorders>
            <w:shd w:val="clear" w:color="auto" w:fill="auto"/>
            <w:noWrap/>
            <w:hideMark/>
          </w:tcPr>
          <w:p w14:paraId="0A333C37" w14:textId="77777777" w:rsidR="00E1567E" w:rsidRPr="00162AFD" w:rsidRDefault="00E1567E" w:rsidP="00312E88">
            <w:pPr>
              <w:jc w:val="right"/>
              <w:rPr>
                <w:rFonts w:cs="Arial"/>
                <w:color w:val="000000"/>
                <w:sz w:val="18"/>
                <w:szCs w:val="18"/>
              </w:rPr>
            </w:pPr>
            <w:r w:rsidRPr="00162AFD">
              <w:rPr>
                <w:rFonts w:cs="Arial"/>
                <w:color w:val="000000"/>
                <w:sz w:val="18"/>
                <w:szCs w:val="18"/>
              </w:rPr>
              <w:t>3.2%</w:t>
            </w:r>
          </w:p>
        </w:tc>
        <w:tc>
          <w:tcPr>
            <w:tcW w:w="877" w:type="dxa"/>
            <w:tcBorders>
              <w:top w:val="single" w:sz="4" w:space="0" w:color="auto"/>
              <w:left w:val="nil"/>
              <w:bottom w:val="single" w:sz="4" w:space="0" w:color="auto"/>
              <w:right w:val="nil"/>
            </w:tcBorders>
            <w:shd w:val="clear" w:color="auto" w:fill="auto"/>
            <w:noWrap/>
            <w:hideMark/>
          </w:tcPr>
          <w:p w14:paraId="6A99C6BF" w14:textId="77777777" w:rsidR="00E1567E" w:rsidRPr="00162AFD" w:rsidRDefault="00E1567E" w:rsidP="00312E88">
            <w:pPr>
              <w:jc w:val="right"/>
              <w:rPr>
                <w:rFonts w:cs="Arial"/>
                <w:color w:val="000000"/>
                <w:sz w:val="18"/>
                <w:szCs w:val="18"/>
              </w:rPr>
            </w:pPr>
            <w:r w:rsidRPr="00162AFD">
              <w:rPr>
                <w:rFonts w:cs="Arial"/>
                <w:color w:val="000000"/>
                <w:sz w:val="18"/>
                <w:szCs w:val="18"/>
              </w:rPr>
              <w:t>3.2%</w:t>
            </w:r>
          </w:p>
        </w:tc>
        <w:tc>
          <w:tcPr>
            <w:tcW w:w="877" w:type="dxa"/>
            <w:tcBorders>
              <w:top w:val="single" w:sz="4" w:space="0" w:color="auto"/>
              <w:left w:val="dotted" w:sz="4" w:space="0" w:color="auto"/>
              <w:bottom w:val="single" w:sz="4" w:space="0" w:color="auto"/>
              <w:right w:val="single" w:sz="4" w:space="0" w:color="auto"/>
            </w:tcBorders>
            <w:shd w:val="clear" w:color="auto" w:fill="auto"/>
            <w:noWrap/>
            <w:hideMark/>
          </w:tcPr>
          <w:p w14:paraId="286A7324" w14:textId="77777777" w:rsidR="00E1567E" w:rsidRPr="00162AFD" w:rsidRDefault="00E1567E" w:rsidP="00312E88">
            <w:pPr>
              <w:jc w:val="right"/>
              <w:rPr>
                <w:rFonts w:cs="Arial"/>
                <w:color w:val="000000"/>
                <w:sz w:val="18"/>
                <w:szCs w:val="18"/>
              </w:rPr>
            </w:pPr>
            <w:r w:rsidRPr="00162AFD">
              <w:rPr>
                <w:rFonts w:cs="Arial"/>
                <w:color w:val="000000"/>
                <w:sz w:val="18"/>
                <w:szCs w:val="18"/>
              </w:rPr>
              <w:t>3.2%</w:t>
            </w:r>
          </w:p>
        </w:tc>
      </w:tr>
      <w:tr w:rsidR="00E1567E" w:rsidRPr="00162AFD" w14:paraId="09F474DD" w14:textId="77777777" w:rsidTr="00E1567E">
        <w:trPr>
          <w:trHeight w:hRule="exact" w:val="301"/>
        </w:trPr>
        <w:tc>
          <w:tcPr>
            <w:tcW w:w="2967" w:type="dxa"/>
            <w:tcBorders>
              <w:top w:val="nil"/>
              <w:left w:val="single" w:sz="4" w:space="0" w:color="auto"/>
              <w:bottom w:val="single" w:sz="4" w:space="0" w:color="auto"/>
              <w:right w:val="nil"/>
            </w:tcBorders>
            <w:shd w:val="clear" w:color="000000" w:fill="F7EEF7"/>
            <w:noWrap/>
            <w:hideMark/>
          </w:tcPr>
          <w:p w14:paraId="43973007" w14:textId="77777777" w:rsidR="00E1567E" w:rsidRPr="00162AFD" w:rsidRDefault="00E1567E" w:rsidP="00312E88">
            <w:pPr>
              <w:rPr>
                <w:rFonts w:cs="Arial"/>
                <w:b/>
                <w:bCs/>
                <w:color w:val="000000"/>
                <w:sz w:val="18"/>
                <w:szCs w:val="18"/>
              </w:rPr>
            </w:pPr>
            <w:r w:rsidRPr="00162AFD">
              <w:rPr>
                <w:rFonts w:cs="Arial"/>
                <w:b/>
                <w:bCs/>
                <w:color w:val="000000"/>
                <w:sz w:val="18"/>
                <w:szCs w:val="18"/>
              </w:rPr>
              <w:t>Superimposed inflation</w:t>
            </w:r>
          </w:p>
        </w:tc>
        <w:tc>
          <w:tcPr>
            <w:tcW w:w="877" w:type="dxa"/>
            <w:tcBorders>
              <w:top w:val="nil"/>
              <w:left w:val="nil"/>
              <w:bottom w:val="single" w:sz="4" w:space="0" w:color="auto"/>
              <w:right w:val="nil"/>
            </w:tcBorders>
            <w:shd w:val="clear" w:color="000000" w:fill="F7EEF7"/>
            <w:noWrap/>
            <w:hideMark/>
          </w:tcPr>
          <w:p w14:paraId="1A1A5FFA"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00E0AEB9"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469BABD3"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5D1B9578"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nil"/>
              <w:bottom w:val="single" w:sz="4" w:space="0" w:color="auto"/>
              <w:right w:val="nil"/>
            </w:tcBorders>
            <w:shd w:val="clear" w:color="000000" w:fill="F7EEF7"/>
            <w:noWrap/>
            <w:hideMark/>
          </w:tcPr>
          <w:p w14:paraId="0641FD68"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nil"/>
              <w:left w:val="dotted" w:sz="4" w:space="0" w:color="auto"/>
              <w:bottom w:val="single" w:sz="4" w:space="0" w:color="auto"/>
              <w:right w:val="single" w:sz="4" w:space="0" w:color="auto"/>
            </w:tcBorders>
            <w:shd w:val="clear" w:color="000000" w:fill="F7EEF7"/>
            <w:noWrap/>
            <w:hideMark/>
          </w:tcPr>
          <w:p w14:paraId="2CA325F8"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r>
      <w:tr w:rsidR="00E1567E" w:rsidRPr="00162AFD" w14:paraId="66113716" w14:textId="77777777" w:rsidTr="00E1567E">
        <w:trPr>
          <w:trHeight w:hRule="exact" w:val="301"/>
        </w:trPr>
        <w:tc>
          <w:tcPr>
            <w:tcW w:w="2967" w:type="dxa"/>
            <w:tcBorders>
              <w:top w:val="nil"/>
              <w:left w:val="single" w:sz="4" w:space="0" w:color="auto"/>
              <w:bottom w:val="nil"/>
              <w:right w:val="single" w:sz="4" w:space="0" w:color="auto"/>
            </w:tcBorders>
            <w:shd w:val="clear" w:color="auto" w:fill="auto"/>
            <w:noWrap/>
            <w:hideMark/>
          </w:tcPr>
          <w:p w14:paraId="0233E6A1" w14:textId="77777777" w:rsidR="00E1567E" w:rsidRPr="00162AFD" w:rsidRDefault="00E1567E" w:rsidP="00312E88">
            <w:pPr>
              <w:rPr>
                <w:rFonts w:cs="Arial"/>
                <w:sz w:val="18"/>
                <w:szCs w:val="18"/>
              </w:rPr>
            </w:pPr>
            <w:r w:rsidRPr="00162AFD">
              <w:rPr>
                <w:rFonts w:cs="Arial"/>
                <w:sz w:val="18"/>
                <w:szCs w:val="18"/>
              </w:rPr>
              <w:t>Non-SIL</w:t>
            </w:r>
          </w:p>
        </w:tc>
        <w:tc>
          <w:tcPr>
            <w:tcW w:w="877" w:type="dxa"/>
            <w:tcBorders>
              <w:top w:val="nil"/>
              <w:left w:val="nil"/>
              <w:bottom w:val="nil"/>
              <w:right w:val="nil"/>
            </w:tcBorders>
            <w:shd w:val="clear" w:color="auto" w:fill="auto"/>
            <w:noWrap/>
            <w:hideMark/>
          </w:tcPr>
          <w:p w14:paraId="1C2365A3" w14:textId="77777777" w:rsidR="00E1567E" w:rsidRPr="00162AFD" w:rsidRDefault="00E1567E" w:rsidP="00312E88">
            <w:pPr>
              <w:rPr>
                <w:rFonts w:cs="Arial"/>
                <w:sz w:val="18"/>
                <w:szCs w:val="18"/>
              </w:rPr>
            </w:pPr>
          </w:p>
        </w:tc>
        <w:tc>
          <w:tcPr>
            <w:tcW w:w="877" w:type="dxa"/>
            <w:tcBorders>
              <w:top w:val="nil"/>
              <w:left w:val="nil"/>
              <w:bottom w:val="nil"/>
              <w:right w:val="nil"/>
            </w:tcBorders>
            <w:shd w:val="clear" w:color="auto" w:fill="auto"/>
            <w:noWrap/>
            <w:hideMark/>
          </w:tcPr>
          <w:p w14:paraId="14FEEC12" w14:textId="77777777" w:rsidR="00E1567E" w:rsidRPr="00162AFD" w:rsidRDefault="00E1567E" w:rsidP="00312E88">
            <w:pPr>
              <w:jc w:val="right"/>
              <w:rPr>
                <w:rFonts w:cs="Arial"/>
                <w:color w:val="000000"/>
                <w:sz w:val="18"/>
                <w:szCs w:val="18"/>
              </w:rPr>
            </w:pPr>
            <w:r w:rsidRPr="00162AFD">
              <w:rPr>
                <w:rFonts w:cs="Arial"/>
                <w:color w:val="000000"/>
                <w:sz w:val="18"/>
                <w:szCs w:val="18"/>
              </w:rPr>
              <w:t>12.7%</w:t>
            </w:r>
          </w:p>
        </w:tc>
        <w:tc>
          <w:tcPr>
            <w:tcW w:w="877" w:type="dxa"/>
            <w:tcBorders>
              <w:top w:val="nil"/>
              <w:left w:val="nil"/>
              <w:bottom w:val="nil"/>
              <w:right w:val="nil"/>
            </w:tcBorders>
            <w:shd w:val="clear" w:color="auto" w:fill="auto"/>
            <w:noWrap/>
            <w:hideMark/>
          </w:tcPr>
          <w:p w14:paraId="12B32E75" w14:textId="77777777" w:rsidR="00E1567E" w:rsidRPr="00162AFD" w:rsidRDefault="00E1567E" w:rsidP="00312E88">
            <w:pPr>
              <w:jc w:val="right"/>
              <w:rPr>
                <w:rFonts w:cs="Arial"/>
                <w:color w:val="000000"/>
                <w:sz w:val="18"/>
                <w:szCs w:val="18"/>
              </w:rPr>
            </w:pPr>
            <w:r w:rsidRPr="00162AFD">
              <w:rPr>
                <w:rFonts w:cs="Arial"/>
                <w:color w:val="000000"/>
                <w:sz w:val="18"/>
                <w:szCs w:val="18"/>
              </w:rPr>
              <w:t>6.8%</w:t>
            </w:r>
          </w:p>
        </w:tc>
        <w:tc>
          <w:tcPr>
            <w:tcW w:w="877" w:type="dxa"/>
            <w:tcBorders>
              <w:top w:val="nil"/>
              <w:left w:val="nil"/>
              <w:bottom w:val="nil"/>
              <w:right w:val="nil"/>
            </w:tcBorders>
            <w:shd w:val="clear" w:color="auto" w:fill="auto"/>
            <w:noWrap/>
            <w:hideMark/>
          </w:tcPr>
          <w:p w14:paraId="7F09EFA7" w14:textId="77777777" w:rsidR="00E1567E" w:rsidRPr="00162AFD" w:rsidRDefault="00E1567E" w:rsidP="00312E88">
            <w:pPr>
              <w:jc w:val="right"/>
              <w:rPr>
                <w:rFonts w:cs="Arial"/>
                <w:color w:val="000000"/>
                <w:sz w:val="18"/>
                <w:szCs w:val="18"/>
              </w:rPr>
            </w:pPr>
            <w:r w:rsidRPr="00162AFD">
              <w:rPr>
                <w:rFonts w:cs="Arial"/>
                <w:color w:val="000000"/>
                <w:sz w:val="18"/>
                <w:szCs w:val="18"/>
              </w:rPr>
              <w:t>3.9%</w:t>
            </w:r>
          </w:p>
        </w:tc>
        <w:tc>
          <w:tcPr>
            <w:tcW w:w="877" w:type="dxa"/>
            <w:tcBorders>
              <w:top w:val="nil"/>
              <w:left w:val="nil"/>
              <w:bottom w:val="nil"/>
              <w:right w:val="nil"/>
            </w:tcBorders>
            <w:shd w:val="clear" w:color="auto" w:fill="auto"/>
            <w:noWrap/>
            <w:hideMark/>
          </w:tcPr>
          <w:p w14:paraId="3B3BDFDD" w14:textId="77777777" w:rsidR="00E1567E" w:rsidRPr="00162AFD" w:rsidRDefault="00E1567E" w:rsidP="00312E88">
            <w:pPr>
              <w:jc w:val="right"/>
              <w:rPr>
                <w:rFonts w:cs="Arial"/>
                <w:color w:val="000000"/>
                <w:sz w:val="18"/>
                <w:szCs w:val="18"/>
              </w:rPr>
            </w:pPr>
            <w:r w:rsidRPr="00162AFD">
              <w:rPr>
                <w:rFonts w:cs="Arial"/>
                <w:color w:val="000000"/>
                <w:sz w:val="18"/>
                <w:szCs w:val="18"/>
              </w:rPr>
              <w:t>1.4%</w:t>
            </w:r>
          </w:p>
        </w:tc>
        <w:tc>
          <w:tcPr>
            <w:tcW w:w="877" w:type="dxa"/>
            <w:tcBorders>
              <w:top w:val="nil"/>
              <w:left w:val="dotted" w:sz="4" w:space="0" w:color="auto"/>
              <w:bottom w:val="nil"/>
              <w:right w:val="single" w:sz="4" w:space="0" w:color="auto"/>
            </w:tcBorders>
            <w:shd w:val="clear" w:color="auto" w:fill="auto"/>
            <w:noWrap/>
            <w:hideMark/>
          </w:tcPr>
          <w:p w14:paraId="0308076B" w14:textId="77777777" w:rsidR="00E1567E" w:rsidRPr="00162AFD" w:rsidRDefault="00E1567E" w:rsidP="00312E88">
            <w:pPr>
              <w:jc w:val="right"/>
              <w:rPr>
                <w:rFonts w:cs="Arial"/>
                <w:color w:val="000000"/>
                <w:sz w:val="18"/>
                <w:szCs w:val="18"/>
              </w:rPr>
            </w:pPr>
            <w:r w:rsidRPr="00162AFD">
              <w:rPr>
                <w:rFonts w:cs="Arial"/>
                <w:color w:val="000000"/>
                <w:sz w:val="18"/>
                <w:szCs w:val="18"/>
              </w:rPr>
              <w:t>0.0%</w:t>
            </w:r>
          </w:p>
        </w:tc>
      </w:tr>
      <w:tr w:rsidR="00E1567E" w:rsidRPr="00162AFD" w14:paraId="3B3060B0" w14:textId="77777777" w:rsidTr="00E1567E">
        <w:trPr>
          <w:trHeight w:hRule="exact" w:val="301"/>
        </w:trPr>
        <w:tc>
          <w:tcPr>
            <w:tcW w:w="2967" w:type="dxa"/>
            <w:tcBorders>
              <w:top w:val="nil"/>
              <w:left w:val="single" w:sz="4" w:space="0" w:color="auto"/>
              <w:bottom w:val="nil"/>
              <w:right w:val="single" w:sz="4" w:space="0" w:color="auto"/>
            </w:tcBorders>
            <w:shd w:val="clear" w:color="auto" w:fill="auto"/>
            <w:noWrap/>
            <w:hideMark/>
          </w:tcPr>
          <w:p w14:paraId="3D7B2F12" w14:textId="77777777" w:rsidR="00E1567E" w:rsidRPr="00162AFD" w:rsidRDefault="00E1567E" w:rsidP="00312E88">
            <w:pPr>
              <w:rPr>
                <w:rFonts w:cs="Arial"/>
                <w:sz w:val="18"/>
                <w:szCs w:val="18"/>
              </w:rPr>
            </w:pPr>
            <w:r w:rsidRPr="00162AFD">
              <w:rPr>
                <w:rFonts w:cs="Arial"/>
                <w:sz w:val="18"/>
                <w:szCs w:val="18"/>
              </w:rPr>
              <w:t>SIL</w:t>
            </w:r>
          </w:p>
        </w:tc>
        <w:tc>
          <w:tcPr>
            <w:tcW w:w="877" w:type="dxa"/>
            <w:tcBorders>
              <w:top w:val="nil"/>
              <w:left w:val="nil"/>
              <w:bottom w:val="nil"/>
              <w:right w:val="nil"/>
            </w:tcBorders>
            <w:shd w:val="clear" w:color="auto" w:fill="auto"/>
            <w:noWrap/>
            <w:hideMark/>
          </w:tcPr>
          <w:p w14:paraId="39C99B7C" w14:textId="77777777" w:rsidR="00E1567E" w:rsidRPr="00162AFD" w:rsidRDefault="00E1567E" w:rsidP="00312E88">
            <w:pPr>
              <w:rPr>
                <w:rFonts w:cs="Arial"/>
                <w:sz w:val="18"/>
                <w:szCs w:val="18"/>
              </w:rPr>
            </w:pPr>
          </w:p>
        </w:tc>
        <w:tc>
          <w:tcPr>
            <w:tcW w:w="877" w:type="dxa"/>
            <w:tcBorders>
              <w:top w:val="nil"/>
              <w:left w:val="nil"/>
              <w:bottom w:val="nil"/>
              <w:right w:val="nil"/>
            </w:tcBorders>
            <w:shd w:val="clear" w:color="auto" w:fill="auto"/>
            <w:noWrap/>
            <w:hideMark/>
          </w:tcPr>
          <w:p w14:paraId="065EA4A4" w14:textId="77777777" w:rsidR="00E1567E" w:rsidRPr="00162AFD" w:rsidRDefault="00E1567E" w:rsidP="00312E88">
            <w:pPr>
              <w:jc w:val="right"/>
              <w:rPr>
                <w:rFonts w:cs="Arial"/>
                <w:color w:val="000000"/>
                <w:sz w:val="18"/>
                <w:szCs w:val="18"/>
              </w:rPr>
            </w:pPr>
            <w:r w:rsidRPr="00162AFD">
              <w:rPr>
                <w:rFonts w:cs="Arial"/>
                <w:color w:val="000000"/>
                <w:sz w:val="18"/>
                <w:szCs w:val="18"/>
              </w:rPr>
              <w:t>3.6%</w:t>
            </w:r>
          </w:p>
        </w:tc>
        <w:tc>
          <w:tcPr>
            <w:tcW w:w="877" w:type="dxa"/>
            <w:tcBorders>
              <w:top w:val="nil"/>
              <w:left w:val="nil"/>
              <w:bottom w:val="nil"/>
              <w:right w:val="nil"/>
            </w:tcBorders>
            <w:shd w:val="clear" w:color="auto" w:fill="auto"/>
            <w:noWrap/>
            <w:hideMark/>
          </w:tcPr>
          <w:p w14:paraId="77DECAB7" w14:textId="77777777" w:rsidR="00E1567E" w:rsidRPr="00162AFD" w:rsidRDefault="00E1567E" w:rsidP="00312E88">
            <w:pPr>
              <w:jc w:val="right"/>
              <w:rPr>
                <w:rFonts w:cs="Arial"/>
                <w:color w:val="000000"/>
                <w:sz w:val="18"/>
                <w:szCs w:val="18"/>
              </w:rPr>
            </w:pPr>
            <w:r w:rsidRPr="00162AFD">
              <w:rPr>
                <w:rFonts w:cs="Arial"/>
                <w:color w:val="000000"/>
                <w:sz w:val="18"/>
                <w:szCs w:val="18"/>
              </w:rPr>
              <w:t>0.7%</w:t>
            </w:r>
          </w:p>
        </w:tc>
        <w:tc>
          <w:tcPr>
            <w:tcW w:w="877" w:type="dxa"/>
            <w:tcBorders>
              <w:top w:val="nil"/>
              <w:left w:val="nil"/>
              <w:bottom w:val="nil"/>
              <w:right w:val="nil"/>
            </w:tcBorders>
            <w:shd w:val="clear" w:color="auto" w:fill="auto"/>
            <w:noWrap/>
            <w:hideMark/>
          </w:tcPr>
          <w:p w14:paraId="3913D5F4" w14:textId="77777777" w:rsidR="00E1567E" w:rsidRPr="00162AFD" w:rsidRDefault="00E1567E" w:rsidP="00312E88">
            <w:pPr>
              <w:jc w:val="right"/>
              <w:rPr>
                <w:rFonts w:cs="Arial"/>
                <w:color w:val="000000"/>
                <w:sz w:val="18"/>
                <w:szCs w:val="18"/>
              </w:rPr>
            </w:pPr>
            <w:r w:rsidRPr="00162AFD">
              <w:rPr>
                <w:rFonts w:cs="Arial"/>
                <w:color w:val="000000"/>
                <w:sz w:val="18"/>
                <w:szCs w:val="18"/>
              </w:rPr>
              <w:t>0.4%</w:t>
            </w:r>
          </w:p>
        </w:tc>
        <w:tc>
          <w:tcPr>
            <w:tcW w:w="877" w:type="dxa"/>
            <w:tcBorders>
              <w:top w:val="nil"/>
              <w:left w:val="nil"/>
              <w:bottom w:val="nil"/>
              <w:right w:val="nil"/>
            </w:tcBorders>
            <w:shd w:val="clear" w:color="auto" w:fill="auto"/>
            <w:noWrap/>
            <w:hideMark/>
          </w:tcPr>
          <w:p w14:paraId="4903B4B4" w14:textId="77777777" w:rsidR="00E1567E" w:rsidRPr="00162AFD" w:rsidRDefault="00E1567E" w:rsidP="00312E88">
            <w:pPr>
              <w:jc w:val="right"/>
              <w:rPr>
                <w:rFonts w:cs="Arial"/>
                <w:color w:val="000000"/>
                <w:sz w:val="18"/>
                <w:szCs w:val="18"/>
              </w:rPr>
            </w:pPr>
            <w:r w:rsidRPr="00162AFD">
              <w:rPr>
                <w:rFonts w:cs="Arial"/>
                <w:color w:val="000000"/>
                <w:sz w:val="18"/>
                <w:szCs w:val="18"/>
              </w:rPr>
              <w:t>0.1%</w:t>
            </w:r>
          </w:p>
        </w:tc>
        <w:tc>
          <w:tcPr>
            <w:tcW w:w="877" w:type="dxa"/>
            <w:tcBorders>
              <w:top w:val="nil"/>
              <w:left w:val="dotted" w:sz="4" w:space="0" w:color="auto"/>
              <w:bottom w:val="nil"/>
              <w:right w:val="single" w:sz="4" w:space="0" w:color="auto"/>
            </w:tcBorders>
            <w:shd w:val="clear" w:color="auto" w:fill="auto"/>
            <w:noWrap/>
            <w:hideMark/>
          </w:tcPr>
          <w:p w14:paraId="2E3826AC" w14:textId="77777777" w:rsidR="00E1567E" w:rsidRPr="00162AFD" w:rsidRDefault="00E1567E" w:rsidP="00312E88">
            <w:pPr>
              <w:jc w:val="right"/>
              <w:rPr>
                <w:rFonts w:cs="Arial"/>
                <w:color w:val="000000"/>
                <w:sz w:val="18"/>
                <w:szCs w:val="18"/>
              </w:rPr>
            </w:pPr>
            <w:r w:rsidRPr="00162AFD">
              <w:rPr>
                <w:rFonts w:cs="Arial"/>
                <w:color w:val="000000"/>
                <w:sz w:val="18"/>
                <w:szCs w:val="18"/>
              </w:rPr>
              <w:t>0.0%</w:t>
            </w:r>
          </w:p>
        </w:tc>
      </w:tr>
      <w:tr w:rsidR="00E1567E" w:rsidRPr="00162AFD" w14:paraId="1A65CF6C" w14:textId="77777777" w:rsidTr="00E1567E">
        <w:trPr>
          <w:trHeight w:hRule="exact" w:val="301"/>
        </w:trPr>
        <w:tc>
          <w:tcPr>
            <w:tcW w:w="2967" w:type="dxa"/>
            <w:tcBorders>
              <w:top w:val="single" w:sz="4" w:space="0" w:color="auto"/>
              <w:left w:val="single" w:sz="4" w:space="0" w:color="auto"/>
              <w:bottom w:val="single" w:sz="4" w:space="0" w:color="auto"/>
              <w:right w:val="single" w:sz="4" w:space="0" w:color="auto"/>
            </w:tcBorders>
            <w:shd w:val="clear" w:color="auto" w:fill="auto"/>
            <w:noWrap/>
            <w:hideMark/>
          </w:tcPr>
          <w:p w14:paraId="49FA0F5C" w14:textId="77777777" w:rsidR="00E1567E" w:rsidRPr="00162AFD" w:rsidRDefault="00E1567E" w:rsidP="00312E88">
            <w:pPr>
              <w:rPr>
                <w:rFonts w:cs="Arial"/>
                <w:b/>
                <w:bCs/>
                <w:color w:val="000000"/>
                <w:sz w:val="18"/>
                <w:szCs w:val="18"/>
              </w:rPr>
            </w:pPr>
            <w:r w:rsidRPr="00162AFD">
              <w:rPr>
                <w:rFonts w:cs="Arial"/>
                <w:b/>
                <w:bCs/>
                <w:color w:val="000000"/>
                <w:sz w:val="18"/>
                <w:szCs w:val="18"/>
              </w:rPr>
              <w:t>Total</w:t>
            </w:r>
          </w:p>
        </w:tc>
        <w:tc>
          <w:tcPr>
            <w:tcW w:w="877" w:type="dxa"/>
            <w:tcBorders>
              <w:top w:val="single" w:sz="4" w:space="0" w:color="auto"/>
              <w:left w:val="nil"/>
              <w:bottom w:val="single" w:sz="4" w:space="0" w:color="auto"/>
              <w:right w:val="nil"/>
            </w:tcBorders>
            <w:shd w:val="clear" w:color="auto" w:fill="auto"/>
            <w:noWrap/>
            <w:hideMark/>
          </w:tcPr>
          <w:p w14:paraId="192C2AF2" w14:textId="77777777" w:rsidR="00E1567E" w:rsidRPr="00162AFD" w:rsidRDefault="00E1567E" w:rsidP="00312E88">
            <w:pPr>
              <w:rPr>
                <w:rFonts w:cs="Arial"/>
                <w:b/>
                <w:bCs/>
                <w:color w:val="000000"/>
                <w:sz w:val="18"/>
                <w:szCs w:val="18"/>
              </w:rPr>
            </w:pPr>
            <w:r w:rsidRPr="00162AFD">
              <w:rPr>
                <w:rFonts w:cs="Arial"/>
                <w:b/>
                <w:bCs/>
                <w:color w:val="000000"/>
                <w:sz w:val="18"/>
                <w:szCs w:val="18"/>
              </w:rPr>
              <w:t> </w:t>
            </w:r>
          </w:p>
        </w:tc>
        <w:tc>
          <w:tcPr>
            <w:tcW w:w="877" w:type="dxa"/>
            <w:tcBorders>
              <w:top w:val="single" w:sz="4" w:space="0" w:color="auto"/>
              <w:left w:val="nil"/>
              <w:bottom w:val="single" w:sz="4" w:space="0" w:color="auto"/>
              <w:right w:val="nil"/>
            </w:tcBorders>
            <w:shd w:val="clear" w:color="auto" w:fill="auto"/>
            <w:noWrap/>
            <w:hideMark/>
          </w:tcPr>
          <w:p w14:paraId="4E783651" w14:textId="77777777" w:rsidR="00E1567E" w:rsidRPr="00162AFD" w:rsidRDefault="00E1567E" w:rsidP="00312E88">
            <w:pPr>
              <w:jc w:val="right"/>
              <w:rPr>
                <w:rFonts w:cs="Arial"/>
                <w:color w:val="000000"/>
                <w:sz w:val="18"/>
                <w:szCs w:val="18"/>
              </w:rPr>
            </w:pPr>
            <w:r w:rsidRPr="00162AFD">
              <w:rPr>
                <w:rFonts w:cs="Arial"/>
                <w:color w:val="000000"/>
                <w:sz w:val="18"/>
                <w:szCs w:val="18"/>
              </w:rPr>
              <w:t>9.7%</w:t>
            </w:r>
          </w:p>
        </w:tc>
        <w:tc>
          <w:tcPr>
            <w:tcW w:w="877" w:type="dxa"/>
            <w:tcBorders>
              <w:top w:val="single" w:sz="4" w:space="0" w:color="auto"/>
              <w:left w:val="nil"/>
              <w:bottom w:val="single" w:sz="4" w:space="0" w:color="auto"/>
              <w:right w:val="nil"/>
            </w:tcBorders>
            <w:shd w:val="clear" w:color="auto" w:fill="auto"/>
            <w:noWrap/>
            <w:hideMark/>
          </w:tcPr>
          <w:p w14:paraId="74C8A84D" w14:textId="77777777" w:rsidR="00E1567E" w:rsidRPr="00162AFD" w:rsidRDefault="00E1567E" w:rsidP="00312E88">
            <w:pPr>
              <w:jc w:val="right"/>
              <w:rPr>
                <w:rFonts w:cs="Arial"/>
                <w:color w:val="000000"/>
                <w:sz w:val="18"/>
                <w:szCs w:val="18"/>
              </w:rPr>
            </w:pPr>
            <w:r w:rsidRPr="00162AFD">
              <w:rPr>
                <w:rFonts w:cs="Arial"/>
                <w:color w:val="000000"/>
                <w:sz w:val="18"/>
                <w:szCs w:val="18"/>
              </w:rPr>
              <w:t>5.0%</w:t>
            </w:r>
          </w:p>
        </w:tc>
        <w:tc>
          <w:tcPr>
            <w:tcW w:w="877" w:type="dxa"/>
            <w:tcBorders>
              <w:top w:val="single" w:sz="4" w:space="0" w:color="auto"/>
              <w:left w:val="nil"/>
              <w:bottom w:val="single" w:sz="4" w:space="0" w:color="auto"/>
              <w:right w:val="nil"/>
            </w:tcBorders>
            <w:shd w:val="clear" w:color="auto" w:fill="auto"/>
            <w:noWrap/>
            <w:hideMark/>
          </w:tcPr>
          <w:p w14:paraId="50ED7ADF" w14:textId="77777777" w:rsidR="00E1567E" w:rsidRPr="00162AFD" w:rsidRDefault="00E1567E" w:rsidP="00312E88">
            <w:pPr>
              <w:jc w:val="right"/>
              <w:rPr>
                <w:rFonts w:cs="Arial"/>
                <w:color w:val="000000"/>
                <w:sz w:val="18"/>
                <w:szCs w:val="18"/>
              </w:rPr>
            </w:pPr>
            <w:r w:rsidRPr="00162AFD">
              <w:rPr>
                <w:rFonts w:cs="Arial"/>
                <w:color w:val="000000"/>
                <w:sz w:val="18"/>
                <w:szCs w:val="18"/>
              </w:rPr>
              <w:t>3.0%</w:t>
            </w:r>
          </w:p>
        </w:tc>
        <w:tc>
          <w:tcPr>
            <w:tcW w:w="877" w:type="dxa"/>
            <w:tcBorders>
              <w:top w:val="single" w:sz="4" w:space="0" w:color="auto"/>
              <w:left w:val="nil"/>
              <w:bottom w:val="single" w:sz="4" w:space="0" w:color="auto"/>
              <w:right w:val="nil"/>
            </w:tcBorders>
            <w:shd w:val="clear" w:color="auto" w:fill="auto"/>
            <w:noWrap/>
            <w:hideMark/>
          </w:tcPr>
          <w:p w14:paraId="418FA23D" w14:textId="77777777" w:rsidR="00E1567E" w:rsidRPr="00162AFD" w:rsidRDefault="00E1567E" w:rsidP="00312E88">
            <w:pPr>
              <w:jc w:val="right"/>
              <w:rPr>
                <w:rFonts w:cs="Arial"/>
                <w:color w:val="000000"/>
                <w:sz w:val="18"/>
                <w:szCs w:val="18"/>
              </w:rPr>
            </w:pPr>
            <w:r w:rsidRPr="00162AFD">
              <w:rPr>
                <w:rFonts w:cs="Arial"/>
                <w:color w:val="000000"/>
                <w:sz w:val="18"/>
                <w:szCs w:val="18"/>
              </w:rPr>
              <w:t>1.1%</w:t>
            </w:r>
          </w:p>
        </w:tc>
        <w:tc>
          <w:tcPr>
            <w:tcW w:w="877" w:type="dxa"/>
            <w:tcBorders>
              <w:top w:val="single" w:sz="4" w:space="0" w:color="auto"/>
              <w:left w:val="dotted" w:sz="4" w:space="0" w:color="auto"/>
              <w:bottom w:val="single" w:sz="4" w:space="0" w:color="auto"/>
              <w:right w:val="single" w:sz="4" w:space="0" w:color="auto"/>
            </w:tcBorders>
            <w:shd w:val="clear" w:color="auto" w:fill="auto"/>
            <w:noWrap/>
            <w:hideMark/>
          </w:tcPr>
          <w:p w14:paraId="3E4FE736" w14:textId="77777777" w:rsidR="00E1567E" w:rsidRPr="00162AFD" w:rsidRDefault="00E1567E" w:rsidP="00312E88">
            <w:pPr>
              <w:jc w:val="right"/>
              <w:rPr>
                <w:rFonts w:cs="Arial"/>
                <w:color w:val="000000"/>
                <w:sz w:val="18"/>
                <w:szCs w:val="18"/>
              </w:rPr>
            </w:pPr>
            <w:r w:rsidRPr="00162AFD">
              <w:rPr>
                <w:rFonts w:cs="Arial"/>
                <w:color w:val="000000"/>
                <w:sz w:val="18"/>
                <w:szCs w:val="18"/>
              </w:rPr>
              <w:t>0.0%</w:t>
            </w:r>
          </w:p>
        </w:tc>
      </w:tr>
    </w:tbl>
    <w:p w14:paraId="1CE5E15D" w14:textId="34C17AFA" w:rsidR="008F4095" w:rsidRPr="008F4095" w:rsidRDefault="008F4095" w:rsidP="008F4095">
      <w:pPr>
        <w:pStyle w:val="FSRnormal"/>
      </w:pPr>
    </w:p>
    <w:p w14:paraId="51125745" w14:textId="21905EA4" w:rsidR="008F4095" w:rsidRPr="00472FB3" w:rsidRDefault="008F4095" w:rsidP="008F4095">
      <w:pPr>
        <w:pStyle w:val="FSRnormal"/>
      </w:pPr>
      <w:r w:rsidRPr="008F4095">
        <w:fldChar w:fldCharType="begin"/>
      </w:r>
      <w:r w:rsidRPr="008F4095">
        <w:instrText xml:space="preserve"> REF _Ref75033356 \h  \* MERGEFORMAT </w:instrText>
      </w:r>
      <w:r w:rsidRPr="008F4095">
        <w:fldChar w:fldCharType="separate"/>
      </w:r>
      <w:r w:rsidR="00E50032" w:rsidRPr="00E50032">
        <w:rPr>
          <w:rFonts w:eastAsiaTheme="minorHAnsi"/>
          <w:bCs/>
          <w:szCs w:val="18"/>
          <w:lang w:eastAsia="en-US"/>
        </w:rPr>
        <w:t xml:space="preserve">Table </w:t>
      </w:r>
      <w:r w:rsidR="00E50032" w:rsidRPr="00E50032">
        <w:rPr>
          <w:rFonts w:eastAsiaTheme="minorHAnsi"/>
          <w:bCs/>
          <w:noProof/>
          <w:szCs w:val="18"/>
          <w:lang w:eastAsia="en-US"/>
        </w:rPr>
        <w:t>32</w:t>
      </w:r>
      <w:r w:rsidRPr="008F4095">
        <w:fldChar w:fldCharType="end"/>
      </w:r>
      <w:r w:rsidRPr="008F4095">
        <w:t xml:space="preserve"> details the resulting average annual payments by age group in each projection</w:t>
      </w:r>
      <w:r w:rsidRPr="00472FB3">
        <w:t xml:space="preserve"> year after total inflation has been applied to the base average cost assumptions. Actual average annual payments for 2020-21 </w:t>
      </w:r>
      <w:r w:rsidR="00FB600A">
        <w:t xml:space="preserve">are </w:t>
      </w:r>
      <w:r w:rsidRPr="00472FB3">
        <w:t>also included for comparison.</w:t>
      </w:r>
    </w:p>
    <w:p w14:paraId="47AAD50C" w14:textId="000E41F7" w:rsidR="008F4095" w:rsidRPr="00472FB3" w:rsidRDefault="008F4095" w:rsidP="008F4095">
      <w:pPr>
        <w:pStyle w:val="Tables"/>
      </w:pPr>
      <w:bookmarkStart w:id="228" w:name="_Ref75033356"/>
      <w:r w:rsidRPr="00472FB3">
        <w:t xml:space="preserve">Table </w:t>
      </w:r>
      <w:fldSimple w:instr=" SEQ Table \* ARABIC ">
        <w:r w:rsidR="00E50032">
          <w:rPr>
            <w:noProof/>
          </w:rPr>
          <w:t>32</w:t>
        </w:r>
      </w:fldSimple>
      <w:bookmarkEnd w:id="228"/>
      <w:r w:rsidRPr="00472FB3">
        <w:t xml:space="preserve"> Average annual payments ($) by age group and projection year</w:t>
      </w:r>
    </w:p>
    <w:tbl>
      <w:tblPr>
        <w:tblW w:w="5000" w:type="pct"/>
        <w:tblLook w:val="04A0" w:firstRow="1" w:lastRow="0" w:firstColumn="1" w:lastColumn="0" w:noHBand="0" w:noVBand="1"/>
      </w:tblPr>
      <w:tblGrid>
        <w:gridCol w:w="2911"/>
        <w:gridCol w:w="1221"/>
        <w:gridCol w:w="1221"/>
        <w:gridCol w:w="1221"/>
        <w:gridCol w:w="1221"/>
        <w:gridCol w:w="1221"/>
      </w:tblGrid>
      <w:tr w:rsidR="002045B3" w:rsidRPr="001A4D4E" w14:paraId="3C761A5D" w14:textId="77777777" w:rsidTr="002045B3">
        <w:trPr>
          <w:trHeight w:hRule="exact" w:val="284"/>
          <w:tblHeader/>
        </w:trPr>
        <w:tc>
          <w:tcPr>
            <w:tcW w:w="1613" w:type="pct"/>
            <w:tcBorders>
              <w:top w:val="single" w:sz="4" w:space="0" w:color="auto"/>
              <w:left w:val="single" w:sz="4" w:space="0" w:color="auto"/>
              <w:bottom w:val="nil"/>
              <w:right w:val="single" w:sz="4" w:space="0" w:color="auto"/>
            </w:tcBorders>
            <w:shd w:val="clear" w:color="000000" w:fill="6B2976"/>
            <w:hideMark/>
          </w:tcPr>
          <w:p w14:paraId="2E5AC195" w14:textId="77777777" w:rsidR="002045B3" w:rsidRPr="001A4D4E" w:rsidRDefault="002045B3" w:rsidP="00312E88">
            <w:pPr>
              <w:rPr>
                <w:rFonts w:cs="Arial"/>
                <w:b/>
                <w:bCs/>
                <w:color w:val="FFFFFF"/>
                <w:sz w:val="18"/>
                <w:szCs w:val="18"/>
              </w:rPr>
            </w:pPr>
            <w:r w:rsidRPr="001A4D4E">
              <w:rPr>
                <w:rFonts w:cs="Arial"/>
                <w:b/>
                <w:bCs/>
                <w:color w:val="FFFFFF"/>
                <w:sz w:val="18"/>
                <w:szCs w:val="18"/>
              </w:rPr>
              <w:t>Age group</w:t>
            </w:r>
          </w:p>
        </w:tc>
        <w:tc>
          <w:tcPr>
            <w:tcW w:w="677" w:type="pct"/>
            <w:tcBorders>
              <w:top w:val="nil"/>
              <w:left w:val="nil"/>
              <w:bottom w:val="nil"/>
              <w:right w:val="nil"/>
            </w:tcBorders>
            <w:shd w:val="clear" w:color="000000" w:fill="6B2976"/>
            <w:noWrap/>
            <w:hideMark/>
          </w:tcPr>
          <w:p w14:paraId="6AC137EF" w14:textId="77777777" w:rsidR="002045B3" w:rsidRPr="001A4D4E" w:rsidRDefault="002045B3" w:rsidP="00312E88">
            <w:pPr>
              <w:jc w:val="right"/>
              <w:rPr>
                <w:rFonts w:cs="Arial"/>
                <w:b/>
                <w:bCs/>
                <w:color w:val="FFFFFF"/>
                <w:sz w:val="18"/>
                <w:szCs w:val="18"/>
              </w:rPr>
            </w:pPr>
            <w:r w:rsidRPr="001A4D4E">
              <w:rPr>
                <w:rFonts w:cs="Arial"/>
                <w:b/>
                <w:bCs/>
                <w:color w:val="FFFFFF"/>
                <w:sz w:val="18"/>
                <w:szCs w:val="18"/>
              </w:rPr>
              <w:t>2021-22</w:t>
            </w:r>
          </w:p>
        </w:tc>
        <w:tc>
          <w:tcPr>
            <w:tcW w:w="677" w:type="pct"/>
            <w:tcBorders>
              <w:top w:val="nil"/>
              <w:left w:val="nil"/>
              <w:bottom w:val="nil"/>
              <w:right w:val="nil"/>
            </w:tcBorders>
            <w:shd w:val="clear" w:color="000000" w:fill="6B2976"/>
            <w:noWrap/>
            <w:hideMark/>
          </w:tcPr>
          <w:p w14:paraId="118BBE9E" w14:textId="77777777" w:rsidR="002045B3" w:rsidRPr="001A4D4E" w:rsidRDefault="002045B3" w:rsidP="00312E88">
            <w:pPr>
              <w:jc w:val="right"/>
              <w:rPr>
                <w:rFonts w:cs="Arial"/>
                <w:b/>
                <w:bCs/>
                <w:color w:val="FFFFFF"/>
                <w:sz w:val="18"/>
                <w:szCs w:val="18"/>
              </w:rPr>
            </w:pPr>
            <w:r w:rsidRPr="001A4D4E">
              <w:rPr>
                <w:rFonts w:cs="Arial"/>
                <w:b/>
                <w:bCs/>
                <w:color w:val="FFFFFF"/>
                <w:sz w:val="18"/>
                <w:szCs w:val="18"/>
              </w:rPr>
              <w:t>2022-23</w:t>
            </w:r>
          </w:p>
        </w:tc>
        <w:tc>
          <w:tcPr>
            <w:tcW w:w="677" w:type="pct"/>
            <w:tcBorders>
              <w:top w:val="nil"/>
              <w:left w:val="nil"/>
              <w:bottom w:val="nil"/>
              <w:right w:val="nil"/>
            </w:tcBorders>
            <w:shd w:val="clear" w:color="000000" w:fill="6B2976"/>
            <w:noWrap/>
            <w:hideMark/>
          </w:tcPr>
          <w:p w14:paraId="391C715D" w14:textId="77777777" w:rsidR="002045B3" w:rsidRPr="001A4D4E" w:rsidRDefault="002045B3" w:rsidP="00312E88">
            <w:pPr>
              <w:jc w:val="right"/>
              <w:rPr>
                <w:rFonts w:cs="Arial"/>
                <w:b/>
                <w:bCs/>
                <w:color w:val="FFFFFF"/>
                <w:sz w:val="18"/>
                <w:szCs w:val="18"/>
              </w:rPr>
            </w:pPr>
            <w:r w:rsidRPr="001A4D4E">
              <w:rPr>
                <w:rFonts w:cs="Arial"/>
                <w:b/>
                <w:bCs/>
                <w:color w:val="FFFFFF"/>
                <w:sz w:val="18"/>
                <w:szCs w:val="18"/>
              </w:rPr>
              <w:t>2023-24</w:t>
            </w:r>
          </w:p>
        </w:tc>
        <w:tc>
          <w:tcPr>
            <w:tcW w:w="677" w:type="pct"/>
            <w:tcBorders>
              <w:top w:val="nil"/>
              <w:left w:val="nil"/>
              <w:bottom w:val="nil"/>
              <w:right w:val="nil"/>
            </w:tcBorders>
            <w:shd w:val="clear" w:color="000000" w:fill="6B2976"/>
            <w:noWrap/>
            <w:hideMark/>
          </w:tcPr>
          <w:p w14:paraId="1335DEF2" w14:textId="77777777" w:rsidR="002045B3" w:rsidRPr="001A4D4E" w:rsidRDefault="002045B3" w:rsidP="00312E88">
            <w:pPr>
              <w:jc w:val="right"/>
              <w:rPr>
                <w:rFonts w:cs="Arial"/>
                <w:b/>
                <w:bCs/>
                <w:color w:val="FFFFFF"/>
                <w:sz w:val="18"/>
                <w:szCs w:val="18"/>
              </w:rPr>
            </w:pPr>
            <w:r w:rsidRPr="001A4D4E">
              <w:rPr>
                <w:rFonts w:cs="Arial"/>
                <w:b/>
                <w:bCs/>
                <w:color w:val="FFFFFF"/>
                <w:sz w:val="18"/>
                <w:szCs w:val="18"/>
              </w:rPr>
              <w:t>2024-25</w:t>
            </w:r>
          </w:p>
        </w:tc>
        <w:tc>
          <w:tcPr>
            <w:tcW w:w="677" w:type="pct"/>
            <w:tcBorders>
              <w:top w:val="nil"/>
              <w:left w:val="dotted" w:sz="4" w:space="0" w:color="auto"/>
              <w:bottom w:val="nil"/>
              <w:right w:val="single" w:sz="4" w:space="0" w:color="auto"/>
            </w:tcBorders>
            <w:shd w:val="clear" w:color="000000" w:fill="6B2976"/>
            <w:noWrap/>
            <w:hideMark/>
          </w:tcPr>
          <w:p w14:paraId="14B69B72" w14:textId="77777777" w:rsidR="002045B3" w:rsidRPr="001A4D4E" w:rsidRDefault="002045B3" w:rsidP="00312E88">
            <w:pPr>
              <w:jc w:val="right"/>
              <w:rPr>
                <w:rFonts w:cs="Arial"/>
                <w:b/>
                <w:bCs/>
                <w:color w:val="FFFFFF"/>
                <w:sz w:val="18"/>
                <w:szCs w:val="18"/>
              </w:rPr>
            </w:pPr>
            <w:r w:rsidRPr="001A4D4E">
              <w:rPr>
                <w:rFonts w:cs="Arial"/>
                <w:b/>
                <w:bCs/>
                <w:color w:val="FFFFFF"/>
                <w:sz w:val="18"/>
                <w:szCs w:val="18"/>
              </w:rPr>
              <w:t>2029-30</w:t>
            </w:r>
          </w:p>
        </w:tc>
      </w:tr>
      <w:tr w:rsidR="002045B3" w:rsidRPr="001A4D4E" w14:paraId="675119C6" w14:textId="77777777" w:rsidTr="002045B3">
        <w:trPr>
          <w:trHeight w:hRule="exact" w:val="284"/>
        </w:trPr>
        <w:tc>
          <w:tcPr>
            <w:tcW w:w="1613" w:type="pct"/>
            <w:tcBorders>
              <w:top w:val="single" w:sz="4" w:space="0" w:color="auto"/>
              <w:left w:val="single" w:sz="4" w:space="0" w:color="auto"/>
              <w:bottom w:val="nil"/>
              <w:right w:val="single" w:sz="4" w:space="0" w:color="auto"/>
            </w:tcBorders>
            <w:shd w:val="clear" w:color="auto" w:fill="auto"/>
            <w:noWrap/>
            <w:hideMark/>
          </w:tcPr>
          <w:p w14:paraId="19DE333C" w14:textId="77777777" w:rsidR="002045B3" w:rsidRPr="001A4D4E" w:rsidRDefault="002045B3" w:rsidP="00312E88">
            <w:pPr>
              <w:rPr>
                <w:rFonts w:cs="Arial"/>
                <w:color w:val="000000"/>
                <w:sz w:val="18"/>
                <w:szCs w:val="18"/>
              </w:rPr>
            </w:pPr>
            <w:r w:rsidRPr="001A4D4E">
              <w:rPr>
                <w:rFonts w:cs="Arial"/>
                <w:color w:val="000000"/>
                <w:sz w:val="18"/>
                <w:szCs w:val="18"/>
              </w:rPr>
              <w:t>Children (0 to 14)</w:t>
            </w:r>
          </w:p>
        </w:tc>
        <w:tc>
          <w:tcPr>
            <w:tcW w:w="677" w:type="pct"/>
            <w:tcBorders>
              <w:top w:val="nil"/>
              <w:left w:val="nil"/>
              <w:bottom w:val="nil"/>
              <w:right w:val="nil"/>
            </w:tcBorders>
            <w:shd w:val="clear" w:color="auto" w:fill="auto"/>
            <w:noWrap/>
            <w:hideMark/>
          </w:tcPr>
          <w:p w14:paraId="7C604947" w14:textId="77777777" w:rsidR="002045B3" w:rsidRPr="001A4D4E" w:rsidRDefault="002045B3" w:rsidP="00312E88">
            <w:pPr>
              <w:jc w:val="right"/>
              <w:rPr>
                <w:rFonts w:cs="Arial"/>
                <w:color w:val="000000"/>
                <w:sz w:val="18"/>
                <w:szCs w:val="18"/>
              </w:rPr>
            </w:pPr>
            <w:r>
              <w:rPr>
                <w:rFonts w:cs="Arial"/>
                <w:color w:val="000000"/>
                <w:sz w:val="18"/>
                <w:szCs w:val="18"/>
              </w:rPr>
              <w:t>18</w:t>
            </w:r>
            <w:r w:rsidRPr="001A4D4E">
              <w:rPr>
                <w:rFonts w:cs="Arial"/>
                <w:color w:val="000000"/>
                <w:sz w:val="18"/>
                <w:szCs w:val="18"/>
              </w:rPr>
              <w:t>,</w:t>
            </w:r>
            <w:r>
              <w:rPr>
                <w:rFonts w:cs="Arial"/>
                <w:color w:val="000000"/>
                <w:sz w:val="18"/>
                <w:szCs w:val="18"/>
              </w:rPr>
              <w:t>5</w:t>
            </w:r>
            <w:r w:rsidRPr="001A4D4E">
              <w:rPr>
                <w:rFonts w:cs="Arial"/>
                <w:color w:val="000000"/>
                <w:sz w:val="18"/>
                <w:szCs w:val="18"/>
              </w:rPr>
              <w:t>00</w:t>
            </w:r>
          </w:p>
        </w:tc>
        <w:tc>
          <w:tcPr>
            <w:tcW w:w="677" w:type="pct"/>
            <w:tcBorders>
              <w:top w:val="nil"/>
              <w:left w:val="nil"/>
              <w:bottom w:val="nil"/>
              <w:right w:val="nil"/>
            </w:tcBorders>
            <w:shd w:val="clear" w:color="auto" w:fill="auto"/>
            <w:noWrap/>
            <w:hideMark/>
          </w:tcPr>
          <w:p w14:paraId="14E829BF" w14:textId="77777777" w:rsidR="002045B3" w:rsidRPr="001A4D4E" w:rsidRDefault="002045B3" w:rsidP="00312E88">
            <w:pPr>
              <w:jc w:val="right"/>
              <w:rPr>
                <w:rFonts w:cs="Arial"/>
                <w:color w:val="000000"/>
                <w:sz w:val="18"/>
                <w:szCs w:val="18"/>
              </w:rPr>
            </w:pPr>
            <w:r w:rsidRPr="001A4D4E">
              <w:rPr>
                <w:rFonts w:cs="Arial"/>
                <w:color w:val="000000"/>
                <w:sz w:val="18"/>
                <w:szCs w:val="18"/>
              </w:rPr>
              <w:t>2</w:t>
            </w:r>
            <w:r>
              <w:rPr>
                <w:rFonts w:cs="Arial"/>
                <w:color w:val="000000"/>
                <w:sz w:val="18"/>
                <w:szCs w:val="18"/>
              </w:rPr>
              <w:t>0</w:t>
            </w:r>
            <w:r w:rsidRPr="001A4D4E">
              <w:rPr>
                <w:rFonts w:cs="Arial"/>
                <w:color w:val="000000"/>
                <w:sz w:val="18"/>
                <w:szCs w:val="18"/>
              </w:rPr>
              <w:t>,</w:t>
            </w:r>
            <w:r>
              <w:rPr>
                <w:rFonts w:cs="Arial"/>
                <w:color w:val="000000"/>
                <w:sz w:val="18"/>
                <w:szCs w:val="18"/>
              </w:rPr>
              <w:t>8</w:t>
            </w:r>
            <w:r w:rsidRPr="001A4D4E">
              <w:rPr>
                <w:rFonts w:cs="Arial"/>
                <w:color w:val="000000"/>
                <w:sz w:val="18"/>
                <w:szCs w:val="18"/>
              </w:rPr>
              <w:t>00</w:t>
            </w:r>
          </w:p>
        </w:tc>
        <w:tc>
          <w:tcPr>
            <w:tcW w:w="677" w:type="pct"/>
            <w:tcBorders>
              <w:top w:val="nil"/>
              <w:left w:val="nil"/>
              <w:bottom w:val="nil"/>
              <w:right w:val="nil"/>
            </w:tcBorders>
            <w:shd w:val="clear" w:color="auto" w:fill="auto"/>
            <w:noWrap/>
            <w:hideMark/>
          </w:tcPr>
          <w:p w14:paraId="29964F18" w14:textId="77777777" w:rsidR="002045B3" w:rsidRPr="001A4D4E" w:rsidRDefault="002045B3" w:rsidP="00312E88">
            <w:pPr>
              <w:jc w:val="right"/>
              <w:rPr>
                <w:rFonts w:cs="Arial"/>
                <w:color w:val="000000"/>
                <w:sz w:val="18"/>
                <w:szCs w:val="18"/>
              </w:rPr>
            </w:pPr>
            <w:r w:rsidRPr="001A4D4E">
              <w:rPr>
                <w:rFonts w:cs="Arial"/>
                <w:color w:val="000000"/>
                <w:sz w:val="18"/>
                <w:szCs w:val="18"/>
              </w:rPr>
              <w:t>23,000</w:t>
            </w:r>
          </w:p>
        </w:tc>
        <w:tc>
          <w:tcPr>
            <w:tcW w:w="677" w:type="pct"/>
            <w:tcBorders>
              <w:top w:val="nil"/>
              <w:left w:val="nil"/>
              <w:bottom w:val="nil"/>
              <w:right w:val="nil"/>
            </w:tcBorders>
            <w:shd w:val="clear" w:color="auto" w:fill="auto"/>
            <w:noWrap/>
            <w:hideMark/>
          </w:tcPr>
          <w:p w14:paraId="066502DF" w14:textId="77777777" w:rsidR="002045B3" w:rsidRPr="001A4D4E" w:rsidRDefault="002045B3" w:rsidP="00312E88">
            <w:pPr>
              <w:jc w:val="right"/>
              <w:rPr>
                <w:rFonts w:cs="Arial"/>
                <w:color w:val="000000"/>
                <w:sz w:val="18"/>
                <w:szCs w:val="18"/>
              </w:rPr>
            </w:pPr>
            <w:r w:rsidRPr="001A4D4E">
              <w:rPr>
                <w:rFonts w:cs="Arial"/>
                <w:color w:val="000000"/>
                <w:sz w:val="18"/>
                <w:szCs w:val="18"/>
              </w:rPr>
              <w:t>23,700</w:t>
            </w:r>
          </w:p>
        </w:tc>
        <w:tc>
          <w:tcPr>
            <w:tcW w:w="677" w:type="pct"/>
            <w:tcBorders>
              <w:top w:val="nil"/>
              <w:left w:val="dotted" w:sz="4" w:space="0" w:color="auto"/>
              <w:bottom w:val="nil"/>
              <w:right w:val="single" w:sz="4" w:space="0" w:color="auto"/>
            </w:tcBorders>
            <w:shd w:val="clear" w:color="auto" w:fill="auto"/>
            <w:noWrap/>
            <w:hideMark/>
          </w:tcPr>
          <w:p w14:paraId="6C2BCC7F" w14:textId="77777777" w:rsidR="002045B3" w:rsidRPr="001A4D4E" w:rsidRDefault="002045B3" w:rsidP="00312E88">
            <w:pPr>
              <w:jc w:val="right"/>
              <w:rPr>
                <w:rFonts w:cs="Arial"/>
                <w:color w:val="000000"/>
                <w:sz w:val="18"/>
                <w:szCs w:val="18"/>
              </w:rPr>
            </w:pPr>
            <w:r w:rsidRPr="001A4D4E">
              <w:rPr>
                <w:rFonts w:cs="Arial"/>
                <w:color w:val="000000"/>
                <w:sz w:val="18"/>
                <w:szCs w:val="18"/>
              </w:rPr>
              <w:t>26,200</w:t>
            </w:r>
          </w:p>
        </w:tc>
      </w:tr>
      <w:tr w:rsidR="002045B3" w:rsidRPr="001A4D4E" w14:paraId="1A2293E6" w14:textId="77777777" w:rsidTr="002045B3">
        <w:trPr>
          <w:trHeight w:hRule="exact" w:val="284"/>
        </w:trPr>
        <w:tc>
          <w:tcPr>
            <w:tcW w:w="1613" w:type="pct"/>
            <w:tcBorders>
              <w:top w:val="nil"/>
              <w:left w:val="single" w:sz="4" w:space="0" w:color="auto"/>
              <w:bottom w:val="nil"/>
              <w:right w:val="single" w:sz="4" w:space="0" w:color="auto"/>
            </w:tcBorders>
            <w:shd w:val="clear" w:color="auto" w:fill="auto"/>
            <w:noWrap/>
            <w:hideMark/>
          </w:tcPr>
          <w:p w14:paraId="2D56A1AA" w14:textId="77777777" w:rsidR="002045B3" w:rsidRPr="001A4D4E" w:rsidRDefault="002045B3" w:rsidP="00312E88">
            <w:pPr>
              <w:rPr>
                <w:rFonts w:cs="Arial"/>
                <w:color w:val="000000"/>
                <w:sz w:val="18"/>
                <w:szCs w:val="18"/>
              </w:rPr>
            </w:pPr>
            <w:r w:rsidRPr="001A4D4E">
              <w:rPr>
                <w:rFonts w:cs="Arial"/>
                <w:color w:val="000000"/>
                <w:sz w:val="18"/>
                <w:szCs w:val="18"/>
              </w:rPr>
              <w:t>Young adults (15 to 24)</w:t>
            </w:r>
          </w:p>
        </w:tc>
        <w:tc>
          <w:tcPr>
            <w:tcW w:w="677" w:type="pct"/>
            <w:tcBorders>
              <w:top w:val="nil"/>
              <w:left w:val="nil"/>
              <w:bottom w:val="nil"/>
              <w:right w:val="nil"/>
            </w:tcBorders>
            <w:shd w:val="clear" w:color="auto" w:fill="auto"/>
            <w:noWrap/>
            <w:hideMark/>
          </w:tcPr>
          <w:p w14:paraId="6F84BD56" w14:textId="77777777" w:rsidR="002045B3" w:rsidRPr="001A4D4E" w:rsidRDefault="002045B3" w:rsidP="00312E88">
            <w:pPr>
              <w:jc w:val="right"/>
              <w:rPr>
                <w:rFonts w:cs="Arial"/>
                <w:color w:val="000000"/>
                <w:sz w:val="18"/>
                <w:szCs w:val="18"/>
              </w:rPr>
            </w:pPr>
            <w:r w:rsidRPr="001A4D4E">
              <w:rPr>
                <w:rFonts w:cs="Arial"/>
                <w:color w:val="000000"/>
                <w:sz w:val="18"/>
                <w:szCs w:val="18"/>
              </w:rPr>
              <w:t>5</w:t>
            </w:r>
            <w:r>
              <w:rPr>
                <w:rFonts w:cs="Arial"/>
                <w:color w:val="000000"/>
                <w:sz w:val="18"/>
                <w:szCs w:val="18"/>
              </w:rPr>
              <w:t>3</w:t>
            </w:r>
            <w:r w:rsidRPr="001A4D4E">
              <w:rPr>
                <w:rFonts w:cs="Arial"/>
                <w:color w:val="000000"/>
                <w:sz w:val="18"/>
                <w:szCs w:val="18"/>
              </w:rPr>
              <w:t>,</w:t>
            </w:r>
            <w:r>
              <w:rPr>
                <w:rFonts w:cs="Arial"/>
                <w:color w:val="000000"/>
                <w:sz w:val="18"/>
                <w:szCs w:val="18"/>
              </w:rPr>
              <w:t>300</w:t>
            </w:r>
          </w:p>
        </w:tc>
        <w:tc>
          <w:tcPr>
            <w:tcW w:w="677" w:type="pct"/>
            <w:tcBorders>
              <w:top w:val="nil"/>
              <w:left w:val="nil"/>
              <w:bottom w:val="nil"/>
              <w:right w:val="nil"/>
            </w:tcBorders>
            <w:shd w:val="clear" w:color="auto" w:fill="auto"/>
            <w:noWrap/>
            <w:hideMark/>
          </w:tcPr>
          <w:p w14:paraId="5260907D" w14:textId="77777777" w:rsidR="002045B3" w:rsidRPr="001A4D4E" w:rsidRDefault="002045B3" w:rsidP="00312E88">
            <w:pPr>
              <w:jc w:val="right"/>
              <w:rPr>
                <w:rFonts w:cs="Arial"/>
                <w:color w:val="000000"/>
                <w:sz w:val="18"/>
                <w:szCs w:val="18"/>
              </w:rPr>
            </w:pPr>
            <w:r>
              <w:rPr>
                <w:rFonts w:cs="Arial"/>
                <w:color w:val="000000"/>
                <w:sz w:val="18"/>
                <w:szCs w:val="18"/>
              </w:rPr>
              <w:t>58</w:t>
            </w:r>
            <w:r w:rsidRPr="001A4D4E">
              <w:rPr>
                <w:rFonts w:cs="Arial"/>
                <w:color w:val="000000"/>
                <w:sz w:val="18"/>
                <w:szCs w:val="18"/>
              </w:rPr>
              <w:t>,800</w:t>
            </w:r>
          </w:p>
        </w:tc>
        <w:tc>
          <w:tcPr>
            <w:tcW w:w="677" w:type="pct"/>
            <w:tcBorders>
              <w:top w:val="nil"/>
              <w:left w:val="nil"/>
              <w:bottom w:val="nil"/>
              <w:right w:val="nil"/>
            </w:tcBorders>
            <w:shd w:val="clear" w:color="auto" w:fill="auto"/>
            <w:noWrap/>
            <w:hideMark/>
          </w:tcPr>
          <w:p w14:paraId="5D93FC2D" w14:textId="77777777" w:rsidR="002045B3" w:rsidRPr="001A4D4E" w:rsidRDefault="002045B3" w:rsidP="00312E88">
            <w:pPr>
              <w:jc w:val="right"/>
              <w:rPr>
                <w:rFonts w:cs="Arial"/>
                <w:color w:val="000000"/>
                <w:sz w:val="18"/>
                <w:szCs w:val="18"/>
              </w:rPr>
            </w:pPr>
            <w:r w:rsidRPr="001A4D4E">
              <w:rPr>
                <w:rFonts w:cs="Arial"/>
                <w:color w:val="000000"/>
                <w:sz w:val="18"/>
                <w:szCs w:val="18"/>
              </w:rPr>
              <w:t>61,800</w:t>
            </w:r>
          </w:p>
        </w:tc>
        <w:tc>
          <w:tcPr>
            <w:tcW w:w="677" w:type="pct"/>
            <w:tcBorders>
              <w:top w:val="nil"/>
              <w:left w:val="nil"/>
              <w:bottom w:val="nil"/>
              <w:right w:val="nil"/>
            </w:tcBorders>
            <w:shd w:val="clear" w:color="auto" w:fill="auto"/>
            <w:noWrap/>
            <w:hideMark/>
          </w:tcPr>
          <w:p w14:paraId="113E325A" w14:textId="77777777" w:rsidR="002045B3" w:rsidRPr="001A4D4E" w:rsidRDefault="002045B3" w:rsidP="00312E88">
            <w:pPr>
              <w:jc w:val="right"/>
              <w:rPr>
                <w:rFonts w:cs="Arial"/>
                <w:color w:val="000000"/>
                <w:sz w:val="18"/>
                <w:szCs w:val="18"/>
              </w:rPr>
            </w:pPr>
            <w:r w:rsidRPr="001A4D4E">
              <w:rPr>
                <w:rFonts w:cs="Arial"/>
                <w:color w:val="000000"/>
                <w:sz w:val="18"/>
                <w:szCs w:val="18"/>
              </w:rPr>
              <w:t>61,900</w:t>
            </w:r>
          </w:p>
        </w:tc>
        <w:tc>
          <w:tcPr>
            <w:tcW w:w="677" w:type="pct"/>
            <w:tcBorders>
              <w:top w:val="nil"/>
              <w:left w:val="dotted" w:sz="4" w:space="0" w:color="auto"/>
              <w:bottom w:val="nil"/>
              <w:right w:val="single" w:sz="4" w:space="0" w:color="auto"/>
            </w:tcBorders>
            <w:shd w:val="clear" w:color="auto" w:fill="auto"/>
            <w:noWrap/>
            <w:hideMark/>
          </w:tcPr>
          <w:p w14:paraId="1A1E5EAB" w14:textId="77777777" w:rsidR="002045B3" w:rsidRPr="001A4D4E" w:rsidRDefault="002045B3" w:rsidP="00312E88">
            <w:pPr>
              <w:jc w:val="right"/>
              <w:rPr>
                <w:rFonts w:cs="Arial"/>
                <w:color w:val="000000"/>
                <w:sz w:val="18"/>
                <w:szCs w:val="18"/>
              </w:rPr>
            </w:pPr>
            <w:r w:rsidRPr="001A4D4E">
              <w:rPr>
                <w:rFonts w:cs="Arial"/>
                <w:color w:val="000000"/>
                <w:sz w:val="18"/>
                <w:szCs w:val="18"/>
              </w:rPr>
              <w:t>63,900</w:t>
            </w:r>
          </w:p>
        </w:tc>
      </w:tr>
      <w:tr w:rsidR="002045B3" w:rsidRPr="001A4D4E" w14:paraId="5A4875F7" w14:textId="77777777" w:rsidTr="002045B3">
        <w:trPr>
          <w:trHeight w:hRule="exact" w:val="284"/>
        </w:trPr>
        <w:tc>
          <w:tcPr>
            <w:tcW w:w="1613" w:type="pct"/>
            <w:tcBorders>
              <w:top w:val="nil"/>
              <w:left w:val="single" w:sz="4" w:space="0" w:color="auto"/>
              <w:bottom w:val="nil"/>
              <w:right w:val="single" w:sz="4" w:space="0" w:color="auto"/>
            </w:tcBorders>
            <w:shd w:val="clear" w:color="auto" w:fill="auto"/>
            <w:noWrap/>
            <w:hideMark/>
          </w:tcPr>
          <w:p w14:paraId="3B90A6DC" w14:textId="77777777" w:rsidR="002045B3" w:rsidRPr="001A4D4E" w:rsidRDefault="002045B3" w:rsidP="00312E88">
            <w:pPr>
              <w:rPr>
                <w:rFonts w:cs="Arial"/>
                <w:color w:val="000000"/>
                <w:sz w:val="18"/>
                <w:szCs w:val="18"/>
              </w:rPr>
            </w:pPr>
            <w:r w:rsidRPr="001A4D4E">
              <w:rPr>
                <w:rFonts w:cs="Arial"/>
                <w:color w:val="000000"/>
                <w:sz w:val="18"/>
                <w:szCs w:val="18"/>
              </w:rPr>
              <w:t>Adults (25 to 64)</w:t>
            </w:r>
          </w:p>
        </w:tc>
        <w:tc>
          <w:tcPr>
            <w:tcW w:w="677" w:type="pct"/>
            <w:tcBorders>
              <w:top w:val="nil"/>
              <w:left w:val="nil"/>
              <w:bottom w:val="nil"/>
              <w:right w:val="nil"/>
            </w:tcBorders>
            <w:shd w:val="clear" w:color="auto" w:fill="auto"/>
            <w:noWrap/>
            <w:hideMark/>
          </w:tcPr>
          <w:p w14:paraId="375E2AA0" w14:textId="77777777" w:rsidR="002045B3" w:rsidRPr="001A4D4E" w:rsidRDefault="002045B3" w:rsidP="00312E88">
            <w:pPr>
              <w:jc w:val="right"/>
              <w:rPr>
                <w:rFonts w:cs="Arial"/>
                <w:color w:val="000000"/>
                <w:sz w:val="18"/>
                <w:szCs w:val="18"/>
              </w:rPr>
            </w:pPr>
            <w:r>
              <w:rPr>
                <w:rFonts w:cs="Arial"/>
                <w:color w:val="000000"/>
                <w:sz w:val="18"/>
                <w:szCs w:val="18"/>
              </w:rPr>
              <w:t>88</w:t>
            </w:r>
            <w:r w:rsidRPr="001A4D4E">
              <w:rPr>
                <w:rFonts w:cs="Arial"/>
                <w:color w:val="000000"/>
                <w:sz w:val="18"/>
                <w:szCs w:val="18"/>
              </w:rPr>
              <w:t>,</w:t>
            </w:r>
            <w:r>
              <w:rPr>
                <w:rFonts w:cs="Arial"/>
                <w:color w:val="000000"/>
                <w:sz w:val="18"/>
                <w:szCs w:val="18"/>
              </w:rPr>
              <w:t>8</w:t>
            </w:r>
            <w:r w:rsidRPr="001A4D4E">
              <w:rPr>
                <w:rFonts w:cs="Arial"/>
                <w:color w:val="000000"/>
                <w:sz w:val="18"/>
                <w:szCs w:val="18"/>
              </w:rPr>
              <w:t>00</w:t>
            </w:r>
          </w:p>
        </w:tc>
        <w:tc>
          <w:tcPr>
            <w:tcW w:w="677" w:type="pct"/>
            <w:tcBorders>
              <w:top w:val="nil"/>
              <w:left w:val="nil"/>
              <w:bottom w:val="nil"/>
              <w:right w:val="nil"/>
            </w:tcBorders>
            <w:shd w:val="clear" w:color="auto" w:fill="auto"/>
            <w:noWrap/>
            <w:hideMark/>
          </w:tcPr>
          <w:p w14:paraId="32961AC3" w14:textId="77777777" w:rsidR="002045B3" w:rsidRPr="001A4D4E" w:rsidRDefault="002045B3" w:rsidP="00312E88">
            <w:pPr>
              <w:jc w:val="right"/>
              <w:rPr>
                <w:rFonts w:cs="Arial"/>
                <w:color w:val="000000"/>
                <w:sz w:val="18"/>
                <w:szCs w:val="18"/>
              </w:rPr>
            </w:pPr>
            <w:r w:rsidRPr="001A4D4E">
              <w:rPr>
                <w:rFonts w:cs="Arial"/>
                <w:color w:val="000000"/>
                <w:sz w:val="18"/>
                <w:szCs w:val="18"/>
              </w:rPr>
              <w:t>9</w:t>
            </w:r>
            <w:r>
              <w:rPr>
                <w:rFonts w:cs="Arial"/>
                <w:color w:val="000000"/>
                <w:sz w:val="18"/>
                <w:szCs w:val="18"/>
              </w:rPr>
              <w:t>3</w:t>
            </w:r>
            <w:r w:rsidRPr="001A4D4E">
              <w:rPr>
                <w:rFonts w:cs="Arial"/>
                <w:color w:val="000000"/>
                <w:sz w:val="18"/>
                <w:szCs w:val="18"/>
              </w:rPr>
              <w:t>,</w:t>
            </w:r>
            <w:r>
              <w:rPr>
                <w:rFonts w:cs="Arial"/>
                <w:color w:val="000000"/>
                <w:sz w:val="18"/>
                <w:szCs w:val="18"/>
              </w:rPr>
              <w:t>7</w:t>
            </w:r>
            <w:r w:rsidRPr="001A4D4E">
              <w:rPr>
                <w:rFonts w:cs="Arial"/>
                <w:color w:val="000000"/>
                <w:sz w:val="18"/>
                <w:szCs w:val="18"/>
              </w:rPr>
              <w:t>00</w:t>
            </w:r>
          </w:p>
        </w:tc>
        <w:tc>
          <w:tcPr>
            <w:tcW w:w="677" w:type="pct"/>
            <w:tcBorders>
              <w:top w:val="nil"/>
              <w:left w:val="nil"/>
              <w:bottom w:val="nil"/>
              <w:right w:val="nil"/>
            </w:tcBorders>
            <w:shd w:val="clear" w:color="auto" w:fill="auto"/>
            <w:noWrap/>
            <w:hideMark/>
          </w:tcPr>
          <w:p w14:paraId="438D6E20" w14:textId="77777777" w:rsidR="002045B3" w:rsidRPr="001A4D4E" w:rsidRDefault="002045B3" w:rsidP="00312E88">
            <w:pPr>
              <w:jc w:val="right"/>
              <w:rPr>
                <w:rFonts w:cs="Arial"/>
                <w:color w:val="000000"/>
                <w:sz w:val="18"/>
                <w:szCs w:val="18"/>
              </w:rPr>
            </w:pPr>
            <w:r w:rsidRPr="001A4D4E">
              <w:rPr>
                <w:rFonts w:cs="Arial"/>
                <w:color w:val="000000"/>
                <w:sz w:val="18"/>
                <w:szCs w:val="18"/>
              </w:rPr>
              <w:t>100,000</w:t>
            </w:r>
          </w:p>
        </w:tc>
        <w:tc>
          <w:tcPr>
            <w:tcW w:w="677" w:type="pct"/>
            <w:tcBorders>
              <w:top w:val="nil"/>
              <w:left w:val="nil"/>
              <w:bottom w:val="nil"/>
              <w:right w:val="nil"/>
            </w:tcBorders>
            <w:shd w:val="clear" w:color="auto" w:fill="auto"/>
            <w:noWrap/>
            <w:hideMark/>
          </w:tcPr>
          <w:p w14:paraId="23C69FD0" w14:textId="77777777" w:rsidR="002045B3" w:rsidRPr="001A4D4E" w:rsidRDefault="002045B3" w:rsidP="00312E88">
            <w:pPr>
              <w:jc w:val="right"/>
              <w:rPr>
                <w:rFonts w:cs="Arial"/>
                <w:color w:val="000000"/>
                <w:sz w:val="18"/>
                <w:szCs w:val="18"/>
              </w:rPr>
            </w:pPr>
            <w:r w:rsidRPr="001A4D4E">
              <w:rPr>
                <w:rFonts w:cs="Arial"/>
                <w:color w:val="000000"/>
                <w:sz w:val="18"/>
                <w:szCs w:val="18"/>
              </w:rPr>
              <w:t>101,800</w:t>
            </w:r>
          </w:p>
        </w:tc>
        <w:tc>
          <w:tcPr>
            <w:tcW w:w="677" w:type="pct"/>
            <w:tcBorders>
              <w:top w:val="nil"/>
              <w:left w:val="dotted" w:sz="4" w:space="0" w:color="auto"/>
              <w:bottom w:val="nil"/>
              <w:right w:val="single" w:sz="4" w:space="0" w:color="auto"/>
            </w:tcBorders>
            <w:shd w:val="clear" w:color="auto" w:fill="auto"/>
            <w:noWrap/>
            <w:hideMark/>
          </w:tcPr>
          <w:p w14:paraId="15EDAE68" w14:textId="77777777" w:rsidR="002045B3" w:rsidRPr="001A4D4E" w:rsidRDefault="002045B3" w:rsidP="00312E88">
            <w:pPr>
              <w:jc w:val="right"/>
              <w:rPr>
                <w:rFonts w:cs="Arial"/>
                <w:color w:val="000000"/>
                <w:sz w:val="18"/>
                <w:szCs w:val="18"/>
              </w:rPr>
            </w:pPr>
            <w:r w:rsidRPr="001A4D4E">
              <w:rPr>
                <w:rFonts w:cs="Arial"/>
                <w:color w:val="000000"/>
                <w:sz w:val="18"/>
                <w:szCs w:val="18"/>
              </w:rPr>
              <w:t>110,500</w:t>
            </w:r>
          </w:p>
        </w:tc>
      </w:tr>
      <w:tr w:rsidR="002045B3" w:rsidRPr="001A4D4E" w14:paraId="7890395A" w14:textId="77777777" w:rsidTr="002045B3">
        <w:trPr>
          <w:trHeight w:hRule="exact" w:val="284"/>
        </w:trPr>
        <w:tc>
          <w:tcPr>
            <w:tcW w:w="1613" w:type="pct"/>
            <w:tcBorders>
              <w:top w:val="nil"/>
              <w:left w:val="single" w:sz="4" w:space="0" w:color="auto"/>
              <w:bottom w:val="nil"/>
              <w:right w:val="single" w:sz="4" w:space="0" w:color="auto"/>
            </w:tcBorders>
            <w:shd w:val="clear" w:color="auto" w:fill="auto"/>
            <w:noWrap/>
            <w:hideMark/>
          </w:tcPr>
          <w:p w14:paraId="28E268B0" w14:textId="77777777" w:rsidR="002045B3" w:rsidRPr="001A4D4E" w:rsidRDefault="002045B3" w:rsidP="00312E88">
            <w:pPr>
              <w:rPr>
                <w:rFonts w:cs="Arial"/>
                <w:color w:val="000000"/>
                <w:sz w:val="18"/>
                <w:szCs w:val="18"/>
              </w:rPr>
            </w:pPr>
            <w:r w:rsidRPr="001A4D4E">
              <w:rPr>
                <w:rFonts w:cs="Arial"/>
                <w:color w:val="000000"/>
                <w:sz w:val="18"/>
                <w:szCs w:val="18"/>
              </w:rPr>
              <w:t>Older adults (65+)</w:t>
            </w:r>
          </w:p>
        </w:tc>
        <w:tc>
          <w:tcPr>
            <w:tcW w:w="677" w:type="pct"/>
            <w:tcBorders>
              <w:top w:val="nil"/>
              <w:left w:val="nil"/>
              <w:bottom w:val="nil"/>
              <w:right w:val="nil"/>
            </w:tcBorders>
            <w:shd w:val="clear" w:color="auto" w:fill="auto"/>
            <w:noWrap/>
            <w:hideMark/>
          </w:tcPr>
          <w:p w14:paraId="10D6E741" w14:textId="77777777" w:rsidR="002045B3" w:rsidRPr="001A4D4E" w:rsidRDefault="002045B3" w:rsidP="00312E88">
            <w:pPr>
              <w:jc w:val="right"/>
              <w:rPr>
                <w:rFonts w:cs="Arial"/>
                <w:color w:val="000000"/>
                <w:sz w:val="18"/>
                <w:szCs w:val="18"/>
              </w:rPr>
            </w:pPr>
            <w:r>
              <w:rPr>
                <w:rFonts w:cs="Arial"/>
                <w:color w:val="000000"/>
                <w:sz w:val="18"/>
                <w:szCs w:val="18"/>
              </w:rPr>
              <w:t>89</w:t>
            </w:r>
            <w:r w:rsidRPr="001A4D4E">
              <w:rPr>
                <w:rFonts w:cs="Arial"/>
                <w:color w:val="000000"/>
                <w:sz w:val="18"/>
                <w:szCs w:val="18"/>
              </w:rPr>
              <w:t>,</w:t>
            </w:r>
            <w:r>
              <w:rPr>
                <w:rFonts w:cs="Arial"/>
                <w:color w:val="000000"/>
                <w:sz w:val="18"/>
                <w:szCs w:val="18"/>
              </w:rPr>
              <w:t>4</w:t>
            </w:r>
            <w:r w:rsidRPr="001A4D4E">
              <w:rPr>
                <w:rFonts w:cs="Arial"/>
                <w:color w:val="000000"/>
                <w:sz w:val="18"/>
                <w:szCs w:val="18"/>
              </w:rPr>
              <w:t>00</w:t>
            </w:r>
          </w:p>
        </w:tc>
        <w:tc>
          <w:tcPr>
            <w:tcW w:w="677" w:type="pct"/>
            <w:tcBorders>
              <w:top w:val="nil"/>
              <w:left w:val="nil"/>
              <w:bottom w:val="nil"/>
              <w:right w:val="nil"/>
            </w:tcBorders>
            <w:shd w:val="clear" w:color="auto" w:fill="auto"/>
            <w:noWrap/>
            <w:hideMark/>
          </w:tcPr>
          <w:p w14:paraId="1F726EC0" w14:textId="77777777" w:rsidR="002045B3" w:rsidRPr="001A4D4E" w:rsidRDefault="002045B3" w:rsidP="00312E88">
            <w:pPr>
              <w:jc w:val="right"/>
              <w:rPr>
                <w:rFonts w:cs="Arial"/>
                <w:color w:val="000000"/>
                <w:sz w:val="18"/>
                <w:szCs w:val="18"/>
              </w:rPr>
            </w:pPr>
            <w:r>
              <w:rPr>
                <w:rFonts w:cs="Arial"/>
                <w:color w:val="000000"/>
                <w:sz w:val="18"/>
                <w:szCs w:val="18"/>
              </w:rPr>
              <w:t>96</w:t>
            </w:r>
            <w:r w:rsidRPr="001A4D4E">
              <w:rPr>
                <w:rFonts w:cs="Arial"/>
                <w:color w:val="000000"/>
                <w:sz w:val="18"/>
                <w:szCs w:val="18"/>
              </w:rPr>
              <w:t>,500</w:t>
            </w:r>
          </w:p>
        </w:tc>
        <w:tc>
          <w:tcPr>
            <w:tcW w:w="677" w:type="pct"/>
            <w:tcBorders>
              <w:top w:val="nil"/>
              <w:left w:val="nil"/>
              <w:bottom w:val="nil"/>
              <w:right w:val="nil"/>
            </w:tcBorders>
            <w:shd w:val="clear" w:color="auto" w:fill="auto"/>
            <w:noWrap/>
            <w:hideMark/>
          </w:tcPr>
          <w:p w14:paraId="040F6FD4" w14:textId="77777777" w:rsidR="002045B3" w:rsidRPr="001A4D4E" w:rsidRDefault="002045B3" w:rsidP="00312E88">
            <w:pPr>
              <w:jc w:val="right"/>
              <w:rPr>
                <w:rFonts w:cs="Arial"/>
                <w:color w:val="000000"/>
                <w:sz w:val="18"/>
                <w:szCs w:val="18"/>
              </w:rPr>
            </w:pPr>
            <w:r w:rsidRPr="001A4D4E">
              <w:rPr>
                <w:rFonts w:cs="Arial"/>
                <w:color w:val="000000"/>
                <w:sz w:val="18"/>
                <w:szCs w:val="18"/>
              </w:rPr>
              <w:t>106,600</w:t>
            </w:r>
          </w:p>
        </w:tc>
        <w:tc>
          <w:tcPr>
            <w:tcW w:w="677" w:type="pct"/>
            <w:tcBorders>
              <w:top w:val="nil"/>
              <w:left w:val="nil"/>
              <w:bottom w:val="nil"/>
              <w:right w:val="nil"/>
            </w:tcBorders>
            <w:shd w:val="clear" w:color="auto" w:fill="auto"/>
            <w:noWrap/>
            <w:hideMark/>
          </w:tcPr>
          <w:p w14:paraId="5F41D4B5" w14:textId="77777777" w:rsidR="002045B3" w:rsidRPr="001A4D4E" w:rsidRDefault="002045B3" w:rsidP="00312E88">
            <w:pPr>
              <w:jc w:val="right"/>
              <w:rPr>
                <w:rFonts w:cs="Arial"/>
                <w:color w:val="000000"/>
                <w:sz w:val="18"/>
                <w:szCs w:val="18"/>
              </w:rPr>
            </w:pPr>
            <w:r w:rsidRPr="001A4D4E">
              <w:rPr>
                <w:rFonts w:cs="Arial"/>
                <w:color w:val="000000"/>
                <w:sz w:val="18"/>
                <w:szCs w:val="18"/>
              </w:rPr>
              <w:t>109,200</w:t>
            </w:r>
          </w:p>
        </w:tc>
        <w:tc>
          <w:tcPr>
            <w:tcW w:w="677" w:type="pct"/>
            <w:tcBorders>
              <w:top w:val="nil"/>
              <w:left w:val="dotted" w:sz="4" w:space="0" w:color="auto"/>
              <w:bottom w:val="nil"/>
              <w:right w:val="single" w:sz="4" w:space="0" w:color="auto"/>
            </w:tcBorders>
            <w:shd w:val="clear" w:color="auto" w:fill="auto"/>
            <w:noWrap/>
            <w:hideMark/>
          </w:tcPr>
          <w:p w14:paraId="7B8A0289" w14:textId="77777777" w:rsidR="002045B3" w:rsidRPr="001A4D4E" w:rsidRDefault="002045B3" w:rsidP="00312E88">
            <w:pPr>
              <w:jc w:val="right"/>
              <w:rPr>
                <w:rFonts w:cs="Arial"/>
                <w:color w:val="000000"/>
                <w:sz w:val="18"/>
                <w:szCs w:val="18"/>
              </w:rPr>
            </w:pPr>
            <w:r w:rsidRPr="001A4D4E">
              <w:rPr>
                <w:rFonts w:cs="Arial"/>
                <w:color w:val="000000"/>
                <w:sz w:val="18"/>
                <w:szCs w:val="18"/>
              </w:rPr>
              <w:t>119,400</w:t>
            </w:r>
          </w:p>
        </w:tc>
      </w:tr>
      <w:tr w:rsidR="002045B3" w:rsidRPr="001A4D4E" w14:paraId="1E436C79" w14:textId="77777777" w:rsidTr="002045B3">
        <w:trPr>
          <w:trHeight w:hRule="exact" w:val="284"/>
        </w:trPr>
        <w:tc>
          <w:tcPr>
            <w:tcW w:w="1613" w:type="pct"/>
            <w:tcBorders>
              <w:top w:val="single" w:sz="4" w:space="0" w:color="auto"/>
              <w:left w:val="single" w:sz="4" w:space="0" w:color="auto"/>
              <w:bottom w:val="single" w:sz="4" w:space="0" w:color="auto"/>
              <w:right w:val="single" w:sz="4" w:space="0" w:color="auto"/>
            </w:tcBorders>
            <w:shd w:val="clear" w:color="000000" w:fill="F7EEF7"/>
            <w:noWrap/>
            <w:hideMark/>
          </w:tcPr>
          <w:p w14:paraId="4FF52E00" w14:textId="77777777" w:rsidR="002045B3" w:rsidRPr="001A4D4E" w:rsidRDefault="002045B3" w:rsidP="00312E88">
            <w:pPr>
              <w:rPr>
                <w:rFonts w:cs="Arial"/>
                <w:b/>
                <w:bCs/>
                <w:color w:val="000000"/>
                <w:sz w:val="18"/>
                <w:szCs w:val="18"/>
              </w:rPr>
            </w:pPr>
            <w:r w:rsidRPr="001A4D4E">
              <w:rPr>
                <w:rFonts w:cs="Arial"/>
                <w:b/>
                <w:bCs/>
                <w:color w:val="000000"/>
                <w:sz w:val="18"/>
                <w:szCs w:val="18"/>
              </w:rPr>
              <w:t>Total</w:t>
            </w:r>
          </w:p>
        </w:tc>
        <w:tc>
          <w:tcPr>
            <w:tcW w:w="677" w:type="pct"/>
            <w:tcBorders>
              <w:top w:val="single" w:sz="4" w:space="0" w:color="auto"/>
              <w:left w:val="nil"/>
              <w:bottom w:val="single" w:sz="4" w:space="0" w:color="auto"/>
              <w:right w:val="nil"/>
            </w:tcBorders>
            <w:shd w:val="clear" w:color="000000" w:fill="F7EEF7"/>
            <w:noWrap/>
            <w:hideMark/>
          </w:tcPr>
          <w:p w14:paraId="0BF29D08" w14:textId="77777777" w:rsidR="002045B3" w:rsidRPr="001A4D4E" w:rsidRDefault="002045B3" w:rsidP="00312E88">
            <w:pPr>
              <w:jc w:val="right"/>
              <w:rPr>
                <w:rFonts w:cs="Arial"/>
                <w:b/>
                <w:bCs/>
                <w:color w:val="000000"/>
                <w:sz w:val="18"/>
                <w:szCs w:val="18"/>
              </w:rPr>
            </w:pPr>
            <w:r w:rsidRPr="001A4D4E">
              <w:rPr>
                <w:rFonts w:cs="Arial"/>
                <w:b/>
                <w:bCs/>
                <w:color w:val="000000"/>
                <w:sz w:val="18"/>
                <w:szCs w:val="18"/>
              </w:rPr>
              <w:t>5</w:t>
            </w:r>
            <w:r>
              <w:rPr>
                <w:rFonts w:cs="Arial"/>
                <w:b/>
                <w:bCs/>
                <w:color w:val="000000"/>
                <w:sz w:val="18"/>
                <w:szCs w:val="18"/>
              </w:rPr>
              <w:t>4</w:t>
            </w:r>
            <w:r w:rsidRPr="001A4D4E">
              <w:rPr>
                <w:rFonts w:cs="Arial"/>
                <w:b/>
                <w:bCs/>
                <w:color w:val="000000"/>
                <w:sz w:val="18"/>
                <w:szCs w:val="18"/>
              </w:rPr>
              <w:t>,</w:t>
            </w:r>
            <w:r>
              <w:rPr>
                <w:rFonts w:cs="Arial"/>
                <w:b/>
                <w:bCs/>
                <w:color w:val="000000"/>
                <w:sz w:val="18"/>
                <w:szCs w:val="18"/>
              </w:rPr>
              <w:t>2</w:t>
            </w:r>
            <w:r w:rsidRPr="001A4D4E">
              <w:rPr>
                <w:rFonts w:cs="Arial"/>
                <w:b/>
                <w:bCs/>
                <w:color w:val="000000"/>
                <w:sz w:val="18"/>
                <w:szCs w:val="18"/>
              </w:rPr>
              <w:t>00</w:t>
            </w:r>
          </w:p>
        </w:tc>
        <w:tc>
          <w:tcPr>
            <w:tcW w:w="677" w:type="pct"/>
            <w:tcBorders>
              <w:top w:val="single" w:sz="4" w:space="0" w:color="auto"/>
              <w:left w:val="nil"/>
              <w:bottom w:val="single" w:sz="4" w:space="0" w:color="auto"/>
              <w:right w:val="nil"/>
            </w:tcBorders>
            <w:shd w:val="clear" w:color="000000" w:fill="F7EEF7"/>
            <w:noWrap/>
            <w:hideMark/>
          </w:tcPr>
          <w:p w14:paraId="757EE603" w14:textId="77777777" w:rsidR="002045B3" w:rsidRPr="001A4D4E" w:rsidRDefault="002045B3" w:rsidP="00312E88">
            <w:pPr>
              <w:jc w:val="right"/>
              <w:rPr>
                <w:rFonts w:cs="Arial"/>
                <w:b/>
                <w:bCs/>
                <w:color w:val="000000"/>
                <w:sz w:val="18"/>
                <w:szCs w:val="18"/>
              </w:rPr>
            </w:pPr>
            <w:r w:rsidRPr="001A4D4E">
              <w:rPr>
                <w:rFonts w:cs="Arial"/>
                <w:b/>
                <w:bCs/>
                <w:color w:val="000000"/>
                <w:sz w:val="18"/>
                <w:szCs w:val="18"/>
              </w:rPr>
              <w:t>5</w:t>
            </w:r>
            <w:r>
              <w:rPr>
                <w:rFonts w:cs="Arial"/>
                <w:b/>
                <w:bCs/>
                <w:color w:val="000000"/>
                <w:sz w:val="18"/>
                <w:szCs w:val="18"/>
              </w:rPr>
              <w:t>7</w:t>
            </w:r>
            <w:r w:rsidRPr="001A4D4E">
              <w:rPr>
                <w:rFonts w:cs="Arial"/>
                <w:b/>
                <w:bCs/>
                <w:color w:val="000000"/>
                <w:sz w:val="18"/>
                <w:szCs w:val="18"/>
              </w:rPr>
              <w:t>,</w:t>
            </w:r>
            <w:r>
              <w:rPr>
                <w:rFonts w:cs="Arial"/>
                <w:b/>
                <w:bCs/>
                <w:color w:val="000000"/>
                <w:sz w:val="18"/>
                <w:szCs w:val="18"/>
              </w:rPr>
              <w:t>8</w:t>
            </w:r>
            <w:r w:rsidRPr="001A4D4E">
              <w:rPr>
                <w:rFonts w:cs="Arial"/>
                <w:b/>
                <w:bCs/>
                <w:color w:val="000000"/>
                <w:sz w:val="18"/>
                <w:szCs w:val="18"/>
              </w:rPr>
              <w:t>00</w:t>
            </w:r>
          </w:p>
        </w:tc>
        <w:tc>
          <w:tcPr>
            <w:tcW w:w="677" w:type="pct"/>
            <w:tcBorders>
              <w:top w:val="single" w:sz="4" w:space="0" w:color="auto"/>
              <w:left w:val="nil"/>
              <w:bottom w:val="single" w:sz="4" w:space="0" w:color="auto"/>
              <w:right w:val="nil"/>
            </w:tcBorders>
            <w:shd w:val="clear" w:color="000000" w:fill="F7EEF7"/>
            <w:noWrap/>
            <w:hideMark/>
          </w:tcPr>
          <w:p w14:paraId="204B0471" w14:textId="77777777" w:rsidR="002045B3" w:rsidRPr="001A4D4E" w:rsidRDefault="002045B3" w:rsidP="00312E88">
            <w:pPr>
              <w:jc w:val="right"/>
              <w:rPr>
                <w:rFonts w:cs="Arial"/>
                <w:b/>
                <w:bCs/>
                <w:color w:val="000000"/>
                <w:sz w:val="18"/>
                <w:szCs w:val="18"/>
              </w:rPr>
            </w:pPr>
            <w:r w:rsidRPr="001A4D4E">
              <w:rPr>
                <w:rFonts w:cs="Arial"/>
                <w:b/>
                <w:bCs/>
                <w:color w:val="000000"/>
                <w:sz w:val="18"/>
                <w:szCs w:val="18"/>
              </w:rPr>
              <w:t>61,600</w:t>
            </w:r>
          </w:p>
        </w:tc>
        <w:tc>
          <w:tcPr>
            <w:tcW w:w="677" w:type="pct"/>
            <w:tcBorders>
              <w:top w:val="single" w:sz="4" w:space="0" w:color="auto"/>
              <w:left w:val="nil"/>
              <w:bottom w:val="single" w:sz="4" w:space="0" w:color="auto"/>
              <w:right w:val="nil"/>
            </w:tcBorders>
            <w:shd w:val="clear" w:color="000000" w:fill="F7EEF7"/>
            <w:noWrap/>
            <w:hideMark/>
          </w:tcPr>
          <w:p w14:paraId="78F6268F" w14:textId="77777777" w:rsidR="002045B3" w:rsidRPr="001A4D4E" w:rsidRDefault="002045B3" w:rsidP="00312E88">
            <w:pPr>
              <w:jc w:val="right"/>
              <w:rPr>
                <w:rFonts w:cs="Arial"/>
                <w:b/>
                <w:bCs/>
                <w:color w:val="000000"/>
                <w:sz w:val="18"/>
                <w:szCs w:val="18"/>
              </w:rPr>
            </w:pPr>
            <w:r w:rsidRPr="001A4D4E">
              <w:rPr>
                <w:rFonts w:cs="Arial"/>
                <w:b/>
                <w:bCs/>
                <w:color w:val="000000"/>
                <w:sz w:val="18"/>
                <w:szCs w:val="18"/>
              </w:rPr>
              <w:t>62,800</w:t>
            </w:r>
          </w:p>
        </w:tc>
        <w:tc>
          <w:tcPr>
            <w:tcW w:w="677" w:type="pct"/>
            <w:tcBorders>
              <w:top w:val="single" w:sz="4" w:space="0" w:color="auto"/>
              <w:left w:val="dotted" w:sz="4" w:space="0" w:color="auto"/>
              <w:bottom w:val="single" w:sz="4" w:space="0" w:color="auto"/>
              <w:right w:val="single" w:sz="4" w:space="0" w:color="auto"/>
            </w:tcBorders>
            <w:shd w:val="clear" w:color="000000" w:fill="F7EEF7"/>
            <w:noWrap/>
            <w:hideMark/>
          </w:tcPr>
          <w:p w14:paraId="16322F0B" w14:textId="77777777" w:rsidR="002045B3" w:rsidRPr="001A4D4E" w:rsidRDefault="002045B3" w:rsidP="00312E88">
            <w:pPr>
              <w:jc w:val="right"/>
              <w:rPr>
                <w:rFonts w:cs="Arial"/>
                <w:b/>
                <w:bCs/>
                <w:color w:val="000000"/>
                <w:sz w:val="18"/>
                <w:szCs w:val="18"/>
              </w:rPr>
            </w:pPr>
            <w:r w:rsidRPr="001A4D4E">
              <w:rPr>
                <w:rFonts w:cs="Arial"/>
                <w:b/>
                <w:bCs/>
                <w:color w:val="000000"/>
                <w:sz w:val="18"/>
                <w:szCs w:val="18"/>
              </w:rPr>
              <w:t>69,500</w:t>
            </w:r>
          </w:p>
        </w:tc>
      </w:tr>
      <w:tr w:rsidR="00A914AC" w:rsidRPr="001A4D4E" w14:paraId="40CC0094" w14:textId="77777777" w:rsidTr="002045B3">
        <w:trPr>
          <w:trHeight w:hRule="exact" w:val="284"/>
        </w:trPr>
        <w:tc>
          <w:tcPr>
            <w:tcW w:w="1613" w:type="pct"/>
            <w:tcBorders>
              <w:top w:val="single" w:sz="4" w:space="0" w:color="auto"/>
              <w:left w:val="single" w:sz="4" w:space="0" w:color="auto"/>
              <w:bottom w:val="single" w:sz="4" w:space="0" w:color="auto"/>
              <w:right w:val="single" w:sz="4" w:space="0" w:color="auto"/>
            </w:tcBorders>
            <w:shd w:val="clear" w:color="000000" w:fill="F7EEF7"/>
            <w:noWrap/>
          </w:tcPr>
          <w:p w14:paraId="3E5B4D29" w14:textId="77777777" w:rsidR="00A914AC" w:rsidRPr="001A4D4E" w:rsidRDefault="00A914AC" w:rsidP="00312E88">
            <w:pPr>
              <w:rPr>
                <w:rFonts w:cs="Arial"/>
                <w:b/>
                <w:bCs/>
                <w:color w:val="000000"/>
                <w:sz w:val="18"/>
                <w:szCs w:val="18"/>
              </w:rPr>
            </w:pPr>
          </w:p>
        </w:tc>
        <w:tc>
          <w:tcPr>
            <w:tcW w:w="677" w:type="pct"/>
            <w:tcBorders>
              <w:top w:val="single" w:sz="4" w:space="0" w:color="auto"/>
              <w:left w:val="nil"/>
              <w:bottom w:val="single" w:sz="4" w:space="0" w:color="auto"/>
              <w:right w:val="nil"/>
            </w:tcBorders>
            <w:shd w:val="clear" w:color="000000" w:fill="F7EEF7"/>
            <w:noWrap/>
          </w:tcPr>
          <w:p w14:paraId="4FAC0286" w14:textId="77777777" w:rsidR="00A914AC" w:rsidRPr="001A4D4E" w:rsidRDefault="00A914AC" w:rsidP="00312E88">
            <w:pPr>
              <w:jc w:val="right"/>
              <w:rPr>
                <w:rFonts w:cs="Arial"/>
                <w:b/>
                <w:bCs/>
                <w:color w:val="000000"/>
                <w:sz w:val="18"/>
                <w:szCs w:val="18"/>
              </w:rPr>
            </w:pPr>
          </w:p>
        </w:tc>
        <w:tc>
          <w:tcPr>
            <w:tcW w:w="677" w:type="pct"/>
            <w:tcBorders>
              <w:top w:val="single" w:sz="4" w:space="0" w:color="auto"/>
              <w:left w:val="nil"/>
              <w:bottom w:val="single" w:sz="4" w:space="0" w:color="auto"/>
              <w:right w:val="nil"/>
            </w:tcBorders>
            <w:shd w:val="clear" w:color="000000" w:fill="F7EEF7"/>
            <w:noWrap/>
          </w:tcPr>
          <w:p w14:paraId="14E9A659" w14:textId="77777777" w:rsidR="00A914AC" w:rsidRPr="001A4D4E" w:rsidRDefault="00A914AC" w:rsidP="00312E88">
            <w:pPr>
              <w:jc w:val="right"/>
              <w:rPr>
                <w:rFonts w:cs="Arial"/>
                <w:b/>
                <w:bCs/>
                <w:color w:val="000000"/>
                <w:sz w:val="18"/>
                <w:szCs w:val="18"/>
              </w:rPr>
            </w:pPr>
          </w:p>
        </w:tc>
        <w:tc>
          <w:tcPr>
            <w:tcW w:w="677" w:type="pct"/>
            <w:tcBorders>
              <w:top w:val="single" w:sz="4" w:space="0" w:color="auto"/>
              <w:left w:val="nil"/>
              <w:bottom w:val="single" w:sz="4" w:space="0" w:color="auto"/>
              <w:right w:val="nil"/>
            </w:tcBorders>
            <w:shd w:val="clear" w:color="000000" w:fill="F7EEF7"/>
            <w:noWrap/>
          </w:tcPr>
          <w:p w14:paraId="629F6BBD" w14:textId="77777777" w:rsidR="00A914AC" w:rsidRPr="001A4D4E" w:rsidRDefault="00A914AC" w:rsidP="00312E88">
            <w:pPr>
              <w:jc w:val="right"/>
              <w:rPr>
                <w:rFonts w:cs="Arial"/>
                <w:b/>
                <w:bCs/>
                <w:color w:val="000000"/>
                <w:sz w:val="18"/>
                <w:szCs w:val="18"/>
              </w:rPr>
            </w:pPr>
          </w:p>
        </w:tc>
        <w:tc>
          <w:tcPr>
            <w:tcW w:w="677" w:type="pct"/>
            <w:tcBorders>
              <w:top w:val="single" w:sz="4" w:space="0" w:color="auto"/>
              <w:left w:val="nil"/>
              <w:bottom w:val="single" w:sz="4" w:space="0" w:color="auto"/>
              <w:right w:val="nil"/>
            </w:tcBorders>
            <w:shd w:val="clear" w:color="000000" w:fill="F7EEF7"/>
            <w:noWrap/>
          </w:tcPr>
          <w:p w14:paraId="18F50F79" w14:textId="77777777" w:rsidR="00A914AC" w:rsidRPr="001A4D4E" w:rsidRDefault="00A914AC" w:rsidP="00312E88">
            <w:pPr>
              <w:jc w:val="right"/>
              <w:rPr>
                <w:rFonts w:cs="Arial"/>
                <w:b/>
                <w:bCs/>
                <w:color w:val="000000"/>
                <w:sz w:val="18"/>
                <w:szCs w:val="18"/>
              </w:rPr>
            </w:pPr>
          </w:p>
        </w:tc>
        <w:tc>
          <w:tcPr>
            <w:tcW w:w="677" w:type="pct"/>
            <w:tcBorders>
              <w:top w:val="single" w:sz="4" w:space="0" w:color="auto"/>
              <w:left w:val="dotted" w:sz="4" w:space="0" w:color="auto"/>
              <w:bottom w:val="single" w:sz="4" w:space="0" w:color="auto"/>
              <w:right w:val="single" w:sz="4" w:space="0" w:color="auto"/>
            </w:tcBorders>
            <w:shd w:val="clear" w:color="000000" w:fill="F7EEF7"/>
            <w:noWrap/>
          </w:tcPr>
          <w:p w14:paraId="0C5F5852" w14:textId="77777777" w:rsidR="00A914AC" w:rsidRPr="001A4D4E" w:rsidRDefault="00A914AC" w:rsidP="00312E88">
            <w:pPr>
              <w:jc w:val="right"/>
              <w:rPr>
                <w:rFonts w:cs="Arial"/>
                <w:b/>
                <w:bCs/>
                <w:color w:val="000000"/>
                <w:sz w:val="18"/>
                <w:szCs w:val="18"/>
              </w:rPr>
            </w:pPr>
          </w:p>
        </w:tc>
      </w:tr>
    </w:tbl>
    <w:p w14:paraId="7FBC052C" w14:textId="17DA577B" w:rsidR="008F4095" w:rsidRPr="00472FB3" w:rsidRDefault="008F4095" w:rsidP="008F4095">
      <w:pPr>
        <w:pStyle w:val="FSRnormal"/>
      </w:pPr>
    </w:p>
    <w:p w14:paraId="5A747DAA" w14:textId="16DABC67" w:rsidR="008F4095" w:rsidRPr="00472FB3" w:rsidRDefault="008F4095" w:rsidP="008F4095">
      <w:pPr>
        <w:pStyle w:val="FSRnormal"/>
      </w:pPr>
      <w:r w:rsidRPr="00472FB3">
        <w:lastRenderedPageBreak/>
        <w:t xml:space="preserve">Average annual payments increases each year across all age </w:t>
      </w:r>
      <w:r w:rsidRPr="008F4095">
        <w:t xml:space="preserve">groups. </w:t>
      </w:r>
      <w:r w:rsidRPr="002045B3">
        <w:rPr>
          <w:u w:val="single"/>
        </w:rPr>
        <w:fldChar w:fldCharType="begin"/>
      </w:r>
      <w:r w:rsidRPr="002045B3">
        <w:rPr>
          <w:u w:val="single"/>
        </w:rPr>
        <w:instrText xml:space="preserve"> REF _Ref75033427 \h  \* MERGEFORMAT </w:instrText>
      </w:r>
      <w:r w:rsidRPr="002045B3">
        <w:rPr>
          <w:u w:val="single"/>
        </w:rPr>
      </w:r>
      <w:r w:rsidRPr="002045B3">
        <w:rPr>
          <w:u w:val="single"/>
        </w:rPr>
        <w:fldChar w:fldCharType="separate"/>
      </w:r>
      <w:r w:rsidR="00E50032" w:rsidRPr="00E50032">
        <w:rPr>
          <w:rFonts w:eastAsiaTheme="minorHAnsi"/>
          <w:bCs/>
          <w:u w:val="single"/>
        </w:rPr>
        <w:t xml:space="preserve">Table </w:t>
      </w:r>
      <w:r w:rsidR="00E50032" w:rsidRPr="00E50032">
        <w:rPr>
          <w:noProof/>
          <w:u w:val="single"/>
        </w:rPr>
        <w:t>33</w:t>
      </w:r>
      <w:r w:rsidRPr="002045B3">
        <w:rPr>
          <w:u w:val="single"/>
        </w:rPr>
        <w:fldChar w:fldCharType="end"/>
      </w:r>
      <w:r w:rsidRPr="008F4095">
        <w:t xml:space="preserve"> illustrate the percentage change in average annual payments by age group and projection</w:t>
      </w:r>
      <w:r w:rsidRPr="00472FB3">
        <w:t xml:space="preserve"> year. The average annual </w:t>
      </w:r>
      <w:r w:rsidR="006D5D2E">
        <w:t>payment</w:t>
      </w:r>
      <w:r w:rsidRPr="00472FB3">
        <w:t xml:space="preserve">s, and therefore percentage change each year is impacted by the change in the </w:t>
      </w:r>
      <w:r w:rsidR="00CB4913">
        <w:t xml:space="preserve">mix </w:t>
      </w:r>
      <w:r w:rsidRPr="00472FB3">
        <w:t>of participants.</w:t>
      </w:r>
    </w:p>
    <w:p w14:paraId="40ABD8DD" w14:textId="25313712" w:rsidR="008F4095" w:rsidRPr="00472FB3" w:rsidRDefault="008F4095" w:rsidP="008F4095">
      <w:pPr>
        <w:pStyle w:val="Tables"/>
      </w:pPr>
      <w:bookmarkStart w:id="229" w:name="_Ref75033427"/>
      <w:r w:rsidRPr="00472FB3">
        <w:t xml:space="preserve">Table </w:t>
      </w:r>
      <w:fldSimple w:instr=" SEQ Table \* ARABIC ">
        <w:r w:rsidR="00E50032">
          <w:rPr>
            <w:noProof/>
          </w:rPr>
          <w:t>33</w:t>
        </w:r>
      </w:fldSimple>
      <w:bookmarkEnd w:id="229"/>
      <w:r w:rsidRPr="00472FB3">
        <w:t xml:space="preserve"> Change in average annual payments ($) by age group and projection year</w:t>
      </w:r>
    </w:p>
    <w:tbl>
      <w:tblPr>
        <w:tblW w:w="5000" w:type="pct"/>
        <w:tblLook w:val="04A0" w:firstRow="1" w:lastRow="0" w:firstColumn="1" w:lastColumn="0" w:noHBand="0" w:noVBand="1"/>
      </w:tblPr>
      <w:tblGrid>
        <w:gridCol w:w="2878"/>
        <w:gridCol w:w="1208"/>
        <w:gridCol w:w="1208"/>
        <w:gridCol w:w="1208"/>
        <w:gridCol w:w="1208"/>
        <w:gridCol w:w="1306"/>
      </w:tblGrid>
      <w:tr w:rsidR="003B1DA7" w:rsidRPr="001A4D4E" w14:paraId="4D19E498" w14:textId="77777777" w:rsidTr="003B1DA7">
        <w:trPr>
          <w:trHeight w:hRule="exact" w:val="284"/>
          <w:tblHeader/>
        </w:trPr>
        <w:tc>
          <w:tcPr>
            <w:tcW w:w="1596" w:type="pct"/>
            <w:tcBorders>
              <w:top w:val="single" w:sz="4" w:space="0" w:color="auto"/>
              <w:left w:val="single" w:sz="4" w:space="0" w:color="auto"/>
              <w:bottom w:val="nil"/>
              <w:right w:val="single" w:sz="4" w:space="0" w:color="auto"/>
            </w:tcBorders>
            <w:shd w:val="clear" w:color="000000" w:fill="6B2976"/>
            <w:hideMark/>
          </w:tcPr>
          <w:p w14:paraId="0E012E80" w14:textId="77777777" w:rsidR="003B1DA7" w:rsidRPr="001A4D4E" w:rsidRDefault="003B1DA7" w:rsidP="00312E88">
            <w:pPr>
              <w:rPr>
                <w:rFonts w:cs="Arial"/>
                <w:b/>
                <w:bCs/>
                <w:color w:val="FFFFFF"/>
                <w:sz w:val="18"/>
                <w:szCs w:val="18"/>
              </w:rPr>
            </w:pPr>
            <w:r w:rsidRPr="001A4D4E">
              <w:rPr>
                <w:rFonts w:cs="Arial"/>
                <w:b/>
                <w:bCs/>
                <w:color w:val="FFFFFF"/>
                <w:sz w:val="18"/>
                <w:szCs w:val="18"/>
              </w:rPr>
              <w:t>Age group</w:t>
            </w:r>
          </w:p>
        </w:tc>
        <w:tc>
          <w:tcPr>
            <w:tcW w:w="670" w:type="pct"/>
            <w:tcBorders>
              <w:top w:val="nil"/>
              <w:left w:val="single" w:sz="4" w:space="0" w:color="auto"/>
              <w:bottom w:val="single" w:sz="4" w:space="0" w:color="auto"/>
              <w:right w:val="nil"/>
            </w:tcBorders>
            <w:shd w:val="clear" w:color="000000" w:fill="6B2976"/>
            <w:noWrap/>
            <w:hideMark/>
          </w:tcPr>
          <w:p w14:paraId="5E61AB15" w14:textId="77777777" w:rsidR="003B1DA7" w:rsidRPr="001A4D4E" w:rsidRDefault="003B1DA7" w:rsidP="00312E88">
            <w:pPr>
              <w:jc w:val="right"/>
              <w:rPr>
                <w:rFonts w:cs="Arial"/>
                <w:b/>
                <w:bCs/>
                <w:color w:val="FFFFFF"/>
                <w:sz w:val="18"/>
                <w:szCs w:val="18"/>
              </w:rPr>
            </w:pPr>
            <w:r w:rsidRPr="001A4D4E">
              <w:rPr>
                <w:rFonts w:cs="Arial"/>
                <w:b/>
                <w:bCs/>
                <w:color w:val="FFFFFF"/>
                <w:sz w:val="18"/>
                <w:szCs w:val="18"/>
              </w:rPr>
              <w:t>2021-22</w:t>
            </w:r>
          </w:p>
        </w:tc>
        <w:tc>
          <w:tcPr>
            <w:tcW w:w="670" w:type="pct"/>
            <w:tcBorders>
              <w:top w:val="nil"/>
              <w:left w:val="nil"/>
              <w:bottom w:val="single" w:sz="4" w:space="0" w:color="auto"/>
              <w:right w:val="nil"/>
            </w:tcBorders>
            <w:shd w:val="clear" w:color="000000" w:fill="6B2976"/>
            <w:noWrap/>
            <w:hideMark/>
          </w:tcPr>
          <w:p w14:paraId="63ED2283" w14:textId="77777777" w:rsidR="003B1DA7" w:rsidRPr="001A4D4E" w:rsidRDefault="003B1DA7" w:rsidP="00312E88">
            <w:pPr>
              <w:jc w:val="right"/>
              <w:rPr>
                <w:rFonts w:cs="Arial"/>
                <w:b/>
                <w:bCs/>
                <w:color w:val="FFFFFF"/>
                <w:sz w:val="18"/>
                <w:szCs w:val="18"/>
              </w:rPr>
            </w:pPr>
            <w:r w:rsidRPr="001A4D4E">
              <w:rPr>
                <w:rFonts w:cs="Arial"/>
                <w:b/>
                <w:bCs/>
                <w:color w:val="FFFFFF"/>
                <w:sz w:val="18"/>
                <w:szCs w:val="18"/>
              </w:rPr>
              <w:t>2022-23</w:t>
            </w:r>
          </w:p>
        </w:tc>
        <w:tc>
          <w:tcPr>
            <w:tcW w:w="670" w:type="pct"/>
            <w:tcBorders>
              <w:top w:val="nil"/>
              <w:left w:val="nil"/>
              <w:bottom w:val="single" w:sz="4" w:space="0" w:color="auto"/>
              <w:right w:val="nil"/>
            </w:tcBorders>
            <w:shd w:val="clear" w:color="000000" w:fill="6B2976"/>
            <w:noWrap/>
            <w:hideMark/>
          </w:tcPr>
          <w:p w14:paraId="1B51EC49" w14:textId="77777777" w:rsidR="003B1DA7" w:rsidRPr="001A4D4E" w:rsidRDefault="003B1DA7" w:rsidP="00312E88">
            <w:pPr>
              <w:jc w:val="right"/>
              <w:rPr>
                <w:rFonts w:cs="Arial"/>
                <w:b/>
                <w:bCs/>
                <w:color w:val="FFFFFF"/>
                <w:sz w:val="18"/>
                <w:szCs w:val="18"/>
              </w:rPr>
            </w:pPr>
            <w:r w:rsidRPr="001A4D4E">
              <w:rPr>
                <w:rFonts w:cs="Arial"/>
                <w:b/>
                <w:bCs/>
                <w:color w:val="FFFFFF"/>
                <w:sz w:val="18"/>
                <w:szCs w:val="18"/>
              </w:rPr>
              <w:t>2023-24</w:t>
            </w:r>
          </w:p>
        </w:tc>
        <w:tc>
          <w:tcPr>
            <w:tcW w:w="670" w:type="pct"/>
            <w:tcBorders>
              <w:top w:val="nil"/>
              <w:left w:val="nil"/>
              <w:bottom w:val="single" w:sz="4" w:space="0" w:color="auto"/>
              <w:right w:val="nil"/>
            </w:tcBorders>
            <w:shd w:val="clear" w:color="000000" w:fill="6B2976"/>
            <w:noWrap/>
            <w:hideMark/>
          </w:tcPr>
          <w:p w14:paraId="30E26731" w14:textId="77777777" w:rsidR="003B1DA7" w:rsidRPr="001A4D4E" w:rsidRDefault="003B1DA7" w:rsidP="00312E88">
            <w:pPr>
              <w:jc w:val="right"/>
              <w:rPr>
                <w:rFonts w:cs="Arial"/>
                <w:b/>
                <w:bCs/>
                <w:color w:val="FFFFFF"/>
                <w:sz w:val="18"/>
                <w:szCs w:val="18"/>
              </w:rPr>
            </w:pPr>
            <w:r w:rsidRPr="001A4D4E">
              <w:rPr>
                <w:rFonts w:cs="Arial"/>
                <w:b/>
                <w:bCs/>
                <w:color w:val="FFFFFF"/>
                <w:sz w:val="18"/>
                <w:szCs w:val="18"/>
              </w:rPr>
              <w:t>2024-25</w:t>
            </w:r>
          </w:p>
        </w:tc>
        <w:tc>
          <w:tcPr>
            <w:tcW w:w="724" w:type="pct"/>
            <w:tcBorders>
              <w:top w:val="nil"/>
              <w:left w:val="dotted" w:sz="4" w:space="0" w:color="auto"/>
              <w:bottom w:val="single" w:sz="4" w:space="0" w:color="auto"/>
              <w:right w:val="single" w:sz="4" w:space="0" w:color="auto"/>
            </w:tcBorders>
            <w:shd w:val="clear" w:color="000000" w:fill="6B2976"/>
            <w:noWrap/>
            <w:hideMark/>
          </w:tcPr>
          <w:p w14:paraId="789D7EE4" w14:textId="77777777" w:rsidR="003B1DA7" w:rsidRPr="001A4D4E" w:rsidRDefault="003B1DA7" w:rsidP="00312E88">
            <w:pPr>
              <w:jc w:val="right"/>
              <w:rPr>
                <w:rFonts w:cs="Arial"/>
                <w:b/>
                <w:bCs/>
                <w:color w:val="FFFFFF"/>
                <w:sz w:val="18"/>
                <w:szCs w:val="18"/>
              </w:rPr>
            </w:pPr>
            <w:r w:rsidRPr="001A4D4E">
              <w:rPr>
                <w:rFonts w:cs="Arial"/>
                <w:b/>
                <w:bCs/>
                <w:color w:val="FFFFFF"/>
                <w:sz w:val="18"/>
                <w:szCs w:val="18"/>
              </w:rPr>
              <w:t>2029-30*</w:t>
            </w:r>
          </w:p>
        </w:tc>
      </w:tr>
      <w:tr w:rsidR="003B1DA7" w:rsidRPr="001A4D4E" w14:paraId="1FB8BD25" w14:textId="77777777" w:rsidTr="003B1DA7">
        <w:trPr>
          <w:trHeight w:hRule="exact" w:val="284"/>
        </w:trPr>
        <w:tc>
          <w:tcPr>
            <w:tcW w:w="1596" w:type="pct"/>
            <w:tcBorders>
              <w:top w:val="single" w:sz="4" w:space="0" w:color="auto"/>
              <w:left w:val="single" w:sz="4" w:space="0" w:color="auto"/>
              <w:bottom w:val="nil"/>
              <w:right w:val="single" w:sz="4" w:space="0" w:color="auto"/>
            </w:tcBorders>
            <w:shd w:val="clear" w:color="auto" w:fill="auto"/>
            <w:noWrap/>
            <w:hideMark/>
          </w:tcPr>
          <w:p w14:paraId="7563671E" w14:textId="77777777" w:rsidR="003B1DA7" w:rsidRPr="001A4D4E" w:rsidRDefault="003B1DA7" w:rsidP="00312E88">
            <w:pPr>
              <w:rPr>
                <w:rFonts w:cs="Arial"/>
                <w:color w:val="000000"/>
                <w:sz w:val="18"/>
                <w:szCs w:val="18"/>
              </w:rPr>
            </w:pPr>
            <w:r w:rsidRPr="001A4D4E">
              <w:rPr>
                <w:rFonts w:cs="Arial"/>
                <w:color w:val="000000"/>
                <w:sz w:val="18"/>
                <w:szCs w:val="18"/>
              </w:rPr>
              <w:t>Children (0 to 14)</w:t>
            </w:r>
          </w:p>
        </w:tc>
        <w:tc>
          <w:tcPr>
            <w:tcW w:w="670" w:type="pct"/>
            <w:tcBorders>
              <w:top w:val="nil"/>
              <w:left w:val="nil"/>
              <w:bottom w:val="nil"/>
              <w:right w:val="nil"/>
            </w:tcBorders>
            <w:shd w:val="clear" w:color="000000" w:fill="E7E6E6"/>
            <w:noWrap/>
            <w:hideMark/>
          </w:tcPr>
          <w:p w14:paraId="0177EA2E" w14:textId="77777777" w:rsidR="003B1DA7" w:rsidRPr="001A4D4E" w:rsidRDefault="003B1DA7" w:rsidP="00312E88">
            <w:pPr>
              <w:rPr>
                <w:rFonts w:cs="Arial"/>
                <w:color w:val="000000"/>
                <w:sz w:val="18"/>
                <w:szCs w:val="18"/>
              </w:rPr>
            </w:pPr>
            <w:r w:rsidRPr="001A4D4E">
              <w:rPr>
                <w:rFonts w:cs="Arial"/>
                <w:color w:val="000000"/>
                <w:sz w:val="18"/>
                <w:szCs w:val="18"/>
              </w:rPr>
              <w:t> </w:t>
            </w:r>
          </w:p>
        </w:tc>
        <w:tc>
          <w:tcPr>
            <w:tcW w:w="670" w:type="pct"/>
            <w:tcBorders>
              <w:top w:val="nil"/>
              <w:left w:val="nil"/>
              <w:bottom w:val="nil"/>
              <w:right w:val="nil"/>
            </w:tcBorders>
            <w:shd w:val="clear" w:color="auto" w:fill="auto"/>
            <w:noWrap/>
            <w:hideMark/>
          </w:tcPr>
          <w:p w14:paraId="705F98FC" w14:textId="77777777" w:rsidR="003B1DA7" w:rsidRPr="001A4D4E" w:rsidRDefault="003B1DA7" w:rsidP="00312E88">
            <w:pPr>
              <w:jc w:val="right"/>
              <w:rPr>
                <w:rFonts w:cs="Arial"/>
                <w:color w:val="000000"/>
                <w:sz w:val="18"/>
                <w:szCs w:val="18"/>
              </w:rPr>
            </w:pPr>
            <w:r w:rsidRPr="001A4D4E">
              <w:rPr>
                <w:rFonts w:cs="Arial"/>
                <w:color w:val="000000"/>
                <w:sz w:val="18"/>
                <w:szCs w:val="18"/>
              </w:rPr>
              <w:t>5.6%</w:t>
            </w:r>
          </w:p>
        </w:tc>
        <w:tc>
          <w:tcPr>
            <w:tcW w:w="670" w:type="pct"/>
            <w:tcBorders>
              <w:top w:val="nil"/>
              <w:left w:val="nil"/>
              <w:bottom w:val="nil"/>
              <w:right w:val="nil"/>
            </w:tcBorders>
            <w:shd w:val="clear" w:color="auto" w:fill="auto"/>
            <w:noWrap/>
            <w:hideMark/>
          </w:tcPr>
          <w:p w14:paraId="1E7CF72F" w14:textId="77777777" w:rsidR="003B1DA7" w:rsidRPr="001A4D4E" w:rsidRDefault="003B1DA7" w:rsidP="00312E88">
            <w:pPr>
              <w:jc w:val="right"/>
              <w:rPr>
                <w:rFonts w:cs="Arial"/>
                <w:color w:val="000000"/>
                <w:sz w:val="18"/>
                <w:szCs w:val="18"/>
              </w:rPr>
            </w:pPr>
            <w:r w:rsidRPr="001A4D4E">
              <w:rPr>
                <w:rFonts w:cs="Arial"/>
                <w:color w:val="000000"/>
                <w:sz w:val="18"/>
                <w:szCs w:val="18"/>
              </w:rPr>
              <w:t>4.7%</w:t>
            </w:r>
          </w:p>
        </w:tc>
        <w:tc>
          <w:tcPr>
            <w:tcW w:w="670" w:type="pct"/>
            <w:tcBorders>
              <w:top w:val="nil"/>
              <w:left w:val="nil"/>
              <w:bottom w:val="nil"/>
              <w:right w:val="nil"/>
            </w:tcBorders>
            <w:shd w:val="clear" w:color="auto" w:fill="auto"/>
            <w:noWrap/>
            <w:hideMark/>
          </w:tcPr>
          <w:p w14:paraId="3B2379DA" w14:textId="77777777" w:rsidR="003B1DA7" w:rsidRPr="001A4D4E" w:rsidRDefault="003B1DA7" w:rsidP="00312E88">
            <w:pPr>
              <w:jc w:val="right"/>
              <w:rPr>
                <w:rFonts w:cs="Arial"/>
                <w:color w:val="000000"/>
                <w:sz w:val="18"/>
                <w:szCs w:val="18"/>
              </w:rPr>
            </w:pPr>
            <w:r w:rsidRPr="001A4D4E">
              <w:rPr>
                <w:rFonts w:cs="Arial"/>
                <w:color w:val="000000"/>
                <w:sz w:val="18"/>
                <w:szCs w:val="18"/>
              </w:rPr>
              <w:t>3.0%</w:t>
            </w:r>
          </w:p>
        </w:tc>
        <w:tc>
          <w:tcPr>
            <w:tcW w:w="724" w:type="pct"/>
            <w:tcBorders>
              <w:top w:val="nil"/>
              <w:left w:val="dotted" w:sz="4" w:space="0" w:color="auto"/>
              <w:bottom w:val="nil"/>
              <w:right w:val="single" w:sz="4" w:space="0" w:color="auto"/>
            </w:tcBorders>
            <w:shd w:val="clear" w:color="000000" w:fill="FFE9CC"/>
            <w:noWrap/>
            <w:hideMark/>
          </w:tcPr>
          <w:p w14:paraId="5B066760" w14:textId="77777777" w:rsidR="003B1DA7" w:rsidRPr="001A4D4E" w:rsidRDefault="003B1DA7" w:rsidP="00312E88">
            <w:pPr>
              <w:jc w:val="right"/>
              <w:rPr>
                <w:rFonts w:cs="Arial"/>
                <w:color w:val="000000"/>
                <w:sz w:val="18"/>
                <w:szCs w:val="18"/>
              </w:rPr>
            </w:pPr>
            <w:r w:rsidRPr="001A4D4E">
              <w:rPr>
                <w:rFonts w:cs="Arial"/>
                <w:color w:val="000000"/>
                <w:sz w:val="18"/>
                <w:szCs w:val="18"/>
              </w:rPr>
              <w:t>2.0%</w:t>
            </w:r>
          </w:p>
        </w:tc>
      </w:tr>
      <w:tr w:rsidR="003B1DA7" w:rsidRPr="001A4D4E" w14:paraId="7C7338D4" w14:textId="77777777" w:rsidTr="003B1DA7">
        <w:trPr>
          <w:trHeight w:hRule="exact" w:val="284"/>
        </w:trPr>
        <w:tc>
          <w:tcPr>
            <w:tcW w:w="1596" w:type="pct"/>
            <w:tcBorders>
              <w:top w:val="nil"/>
              <w:left w:val="single" w:sz="4" w:space="0" w:color="auto"/>
              <w:bottom w:val="nil"/>
              <w:right w:val="single" w:sz="4" w:space="0" w:color="auto"/>
            </w:tcBorders>
            <w:shd w:val="clear" w:color="auto" w:fill="auto"/>
            <w:noWrap/>
            <w:hideMark/>
          </w:tcPr>
          <w:p w14:paraId="0D3D042B" w14:textId="77777777" w:rsidR="003B1DA7" w:rsidRPr="001A4D4E" w:rsidRDefault="003B1DA7" w:rsidP="00312E88">
            <w:pPr>
              <w:rPr>
                <w:rFonts w:cs="Arial"/>
                <w:color w:val="000000"/>
                <w:sz w:val="18"/>
                <w:szCs w:val="18"/>
              </w:rPr>
            </w:pPr>
            <w:r w:rsidRPr="001A4D4E">
              <w:rPr>
                <w:rFonts w:cs="Arial"/>
                <w:color w:val="000000"/>
                <w:sz w:val="18"/>
                <w:szCs w:val="18"/>
              </w:rPr>
              <w:t>Young adults (15 to 24)</w:t>
            </w:r>
          </w:p>
        </w:tc>
        <w:tc>
          <w:tcPr>
            <w:tcW w:w="670" w:type="pct"/>
            <w:tcBorders>
              <w:top w:val="nil"/>
              <w:left w:val="nil"/>
              <w:bottom w:val="nil"/>
              <w:right w:val="nil"/>
            </w:tcBorders>
            <w:shd w:val="clear" w:color="000000" w:fill="E7E6E6"/>
            <w:noWrap/>
            <w:hideMark/>
          </w:tcPr>
          <w:p w14:paraId="78D5A349" w14:textId="77777777" w:rsidR="003B1DA7" w:rsidRPr="001A4D4E" w:rsidRDefault="003B1DA7" w:rsidP="00312E88">
            <w:pPr>
              <w:rPr>
                <w:rFonts w:cs="Arial"/>
                <w:color w:val="000000"/>
                <w:sz w:val="18"/>
                <w:szCs w:val="18"/>
              </w:rPr>
            </w:pPr>
            <w:r w:rsidRPr="001A4D4E">
              <w:rPr>
                <w:rFonts w:cs="Arial"/>
                <w:color w:val="000000"/>
                <w:sz w:val="18"/>
                <w:szCs w:val="18"/>
              </w:rPr>
              <w:t> </w:t>
            </w:r>
          </w:p>
        </w:tc>
        <w:tc>
          <w:tcPr>
            <w:tcW w:w="670" w:type="pct"/>
            <w:tcBorders>
              <w:top w:val="nil"/>
              <w:left w:val="nil"/>
              <w:bottom w:val="nil"/>
              <w:right w:val="nil"/>
            </w:tcBorders>
            <w:shd w:val="clear" w:color="auto" w:fill="auto"/>
            <w:noWrap/>
            <w:hideMark/>
          </w:tcPr>
          <w:p w14:paraId="36E6142B" w14:textId="77777777" w:rsidR="003B1DA7" w:rsidRPr="001A4D4E" w:rsidRDefault="003B1DA7" w:rsidP="00312E88">
            <w:pPr>
              <w:jc w:val="right"/>
              <w:rPr>
                <w:rFonts w:cs="Arial"/>
                <w:color w:val="000000"/>
                <w:sz w:val="18"/>
                <w:szCs w:val="18"/>
              </w:rPr>
            </w:pPr>
            <w:r w:rsidRPr="001A4D4E">
              <w:rPr>
                <w:rFonts w:cs="Arial"/>
                <w:color w:val="000000"/>
                <w:sz w:val="18"/>
                <w:szCs w:val="18"/>
              </w:rPr>
              <w:t>3.5%</w:t>
            </w:r>
          </w:p>
        </w:tc>
        <w:tc>
          <w:tcPr>
            <w:tcW w:w="670" w:type="pct"/>
            <w:tcBorders>
              <w:top w:val="nil"/>
              <w:left w:val="nil"/>
              <w:bottom w:val="nil"/>
              <w:right w:val="nil"/>
            </w:tcBorders>
            <w:shd w:val="clear" w:color="auto" w:fill="auto"/>
            <w:noWrap/>
            <w:hideMark/>
          </w:tcPr>
          <w:p w14:paraId="33A077C9" w14:textId="77777777" w:rsidR="003B1DA7" w:rsidRPr="001A4D4E" w:rsidRDefault="003B1DA7" w:rsidP="00312E88">
            <w:pPr>
              <w:jc w:val="right"/>
              <w:rPr>
                <w:rFonts w:cs="Arial"/>
                <w:color w:val="000000"/>
                <w:sz w:val="18"/>
                <w:szCs w:val="18"/>
              </w:rPr>
            </w:pPr>
            <w:r w:rsidRPr="001A4D4E">
              <w:rPr>
                <w:rFonts w:cs="Arial"/>
                <w:color w:val="000000"/>
                <w:sz w:val="18"/>
                <w:szCs w:val="18"/>
              </w:rPr>
              <w:t>1.6%</w:t>
            </w:r>
          </w:p>
        </w:tc>
        <w:tc>
          <w:tcPr>
            <w:tcW w:w="670" w:type="pct"/>
            <w:tcBorders>
              <w:top w:val="nil"/>
              <w:left w:val="nil"/>
              <w:bottom w:val="nil"/>
              <w:right w:val="nil"/>
            </w:tcBorders>
            <w:shd w:val="clear" w:color="auto" w:fill="auto"/>
            <w:noWrap/>
            <w:hideMark/>
          </w:tcPr>
          <w:p w14:paraId="2E201C68" w14:textId="77777777" w:rsidR="003B1DA7" w:rsidRPr="001A4D4E" w:rsidRDefault="003B1DA7" w:rsidP="00312E88">
            <w:pPr>
              <w:jc w:val="right"/>
              <w:rPr>
                <w:rFonts w:cs="Arial"/>
                <w:color w:val="000000"/>
                <w:sz w:val="18"/>
                <w:szCs w:val="18"/>
              </w:rPr>
            </w:pPr>
            <w:r w:rsidRPr="001A4D4E">
              <w:rPr>
                <w:rFonts w:cs="Arial"/>
                <w:color w:val="000000"/>
                <w:sz w:val="18"/>
                <w:szCs w:val="18"/>
              </w:rPr>
              <w:t>0.1%</w:t>
            </w:r>
          </w:p>
        </w:tc>
        <w:tc>
          <w:tcPr>
            <w:tcW w:w="724" w:type="pct"/>
            <w:tcBorders>
              <w:top w:val="nil"/>
              <w:left w:val="dotted" w:sz="4" w:space="0" w:color="auto"/>
              <w:bottom w:val="nil"/>
              <w:right w:val="single" w:sz="4" w:space="0" w:color="auto"/>
            </w:tcBorders>
            <w:shd w:val="clear" w:color="000000" w:fill="FFE9CC"/>
            <w:noWrap/>
            <w:hideMark/>
          </w:tcPr>
          <w:p w14:paraId="20EE9913" w14:textId="77777777" w:rsidR="003B1DA7" w:rsidRPr="001A4D4E" w:rsidRDefault="003B1DA7" w:rsidP="00312E88">
            <w:pPr>
              <w:jc w:val="right"/>
              <w:rPr>
                <w:rFonts w:cs="Arial"/>
                <w:color w:val="000000"/>
                <w:sz w:val="18"/>
                <w:szCs w:val="18"/>
              </w:rPr>
            </w:pPr>
            <w:r w:rsidRPr="001A4D4E">
              <w:rPr>
                <w:rFonts w:cs="Arial"/>
                <w:color w:val="000000"/>
                <w:sz w:val="18"/>
                <w:szCs w:val="18"/>
              </w:rPr>
              <w:t>0.7%</w:t>
            </w:r>
          </w:p>
        </w:tc>
      </w:tr>
      <w:tr w:rsidR="003B1DA7" w:rsidRPr="001A4D4E" w14:paraId="65606091" w14:textId="77777777" w:rsidTr="003B1DA7">
        <w:trPr>
          <w:trHeight w:hRule="exact" w:val="284"/>
        </w:trPr>
        <w:tc>
          <w:tcPr>
            <w:tcW w:w="1596" w:type="pct"/>
            <w:tcBorders>
              <w:top w:val="nil"/>
              <w:left w:val="single" w:sz="4" w:space="0" w:color="auto"/>
              <w:bottom w:val="nil"/>
              <w:right w:val="single" w:sz="4" w:space="0" w:color="auto"/>
            </w:tcBorders>
            <w:shd w:val="clear" w:color="auto" w:fill="auto"/>
            <w:noWrap/>
            <w:hideMark/>
          </w:tcPr>
          <w:p w14:paraId="6B580F6E" w14:textId="77777777" w:rsidR="003B1DA7" w:rsidRPr="001A4D4E" w:rsidRDefault="003B1DA7" w:rsidP="00312E88">
            <w:pPr>
              <w:rPr>
                <w:rFonts w:cs="Arial"/>
                <w:color w:val="000000"/>
                <w:sz w:val="18"/>
                <w:szCs w:val="18"/>
              </w:rPr>
            </w:pPr>
            <w:r w:rsidRPr="001A4D4E">
              <w:rPr>
                <w:rFonts w:cs="Arial"/>
                <w:color w:val="000000"/>
                <w:sz w:val="18"/>
                <w:szCs w:val="18"/>
              </w:rPr>
              <w:t>Adults (25 to 64)</w:t>
            </w:r>
          </w:p>
        </w:tc>
        <w:tc>
          <w:tcPr>
            <w:tcW w:w="670" w:type="pct"/>
            <w:tcBorders>
              <w:top w:val="nil"/>
              <w:left w:val="nil"/>
              <w:bottom w:val="nil"/>
              <w:right w:val="nil"/>
            </w:tcBorders>
            <w:shd w:val="clear" w:color="000000" w:fill="E7E6E6"/>
            <w:noWrap/>
            <w:hideMark/>
          </w:tcPr>
          <w:p w14:paraId="2C54D6E3" w14:textId="77777777" w:rsidR="003B1DA7" w:rsidRPr="001A4D4E" w:rsidRDefault="003B1DA7" w:rsidP="00312E88">
            <w:pPr>
              <w:rPr>
                <w:rFonts w:cs="Arial"/>
                <w:color w:val="000000"/>
                <w:sz w:val="18"/>
                <w:szCs w:val="18"/>
              </w:rPr>
            </w:pPr>
            <w:r w:rsidRPr="001A4D4E">
              <w:rPr>
                <w:rFonts w:cs="Arial"/>
                <w:color w:val="000000"/>
                <w:sz w:val="18"/>
                <w:szCs w:val="18"/>
              </w:rPr>
              <w:t> </w:t>
            </w:r>
          </w:p>
        </w:tc>
        <w:tc>
          <w:tcPr>
            <w:tcW w:w="670" w:type="pct"/>
            <w:tcBorders>
              <w:top w:val="nil"/>
              <w:left w:val="nil"/>
              <w:bottom w:val="nil"/>
              <w:right w:val="nil"/>
            </w:tcBorders>
            <w:shd w:val="clear" w:color="auto" w:fill="auto"/>
            <w:noWrap/>
            <w:hideMark/>
          </w:tcPr>
          <w:p w14:paraId="4DC499E8" w14:textId="77777777" w:rsidR="003B1DA7" w:rsidRPr="001A4D4E" w:rsidRDefault="003B1DA7" w:rsidP="00312E88">
            <w:pPr>
              <w:jc w:val="right"/>
              <w:rPr>
                <w:rFonts w:cs="Arial"/>
                <w:color w:val="000000"/>
                <w:sz w:val="18"/>
                <w:szCs w:val="18"/>
              </w:rPr>
            </w:pPr>
            <w:r w:rsidRPr="001A4D4E">
              <w:rPr>
                <w:rFonts w:cs="Arial"/>
                <w:color w:val="000000"/>
                <w:sz w:val="18"/>
                <w:szCs w:val="18"/>
              </w:rPr>
              <w:t>3.7%</w:t>
            </w:r>
          </w:p>
        </w:tc>
        <w:tc>
          <w:tcPr>
            <w:tcW w:w="670" w:type="pct"/>
            <w:tcBorders>
              <w:top w:val="nil"/>
              <w:left w:val="nil"/>
              <w:bottom w:val="nil"/>
              <w:right w:val="nil"/>
            </w:tcBorders>
            <w:shd w:val="clear" w:color="auto" w:fill="auto"/>
            <w:noWrap/>
            <w:hideMark/>
          </w:tcPr>
          <w:p w14:paraId="0A513226" w14:textId="77777777" w:rsidR="003B1DA7" w:rsidRPr="001A4D4E" w:rsidRDefault="003B1DA7" w:rsidP="00312E88">
            <w:pPr>
              <w:jc w:val="right"/>
              <w:rPr>
                <w:rFonts w:cs="Arial"/>
                <w:color w:val="000000"/>
                <w:sz w:val="18"/>
                <w:szCs w:val="18"/>
              </w:rPr>
            </w:pPr>
            <w:r w:rsidRPr="001A4D4E">
              <w:rPr>
                <w:rFonts w:cs="Arial"/>
                <w:color w:val="000000"/>
                <w:sz w:val="18"/>
                <w:szCs w:val="18"/>
              </w:rPr>
              <w:t>2.9%</w:t>
            </w:r>
          </w:p>
        </w:tc>
        <w:tc>
          <w:tcPr>
            <w:tcW w:w="670" w:type="pct"/>
            <w:tcBorders>
              <w:top w:val="nil"/>
              <w:left w:val="nil"/>
              <w:bottom w:val="nil"/>
              <w:right w:val="nil"/>
            </w:tcBorders>
            <w:shd w:val="clear" w:color="auto" w:fill="auto"/>
            <w:noWrap/>
            <w:hideMark/>
          </w:tcPr>
          <w:p w14:paraId="67FD9F9D" w14:textId="77777777" w:rsidR="003B1DA7" w:rsidRPr="001A4D4E" w:rsidRDefault="003B1DA7" w:rsidP="00312E88">
            <w:pPr>
              <w:jc w:val="right"/>
              <w:rPr>
                <w:rFonts w:cs="Arial"/>
                <w:color w:val="000000"/>
                <w:sz w:val="18"/>
                <w:szCs w:val="18"/>
              </w:rPr>
            </w:pPr>
            <w:r w:rsidRPr="001A4D4E">
              <w:rPr>
                <w:rFonts w:cs="Arial"/>
                <w:color w:val="000000"/>
                <w:sz w:val="18"/>
                <w:szCs w:val="18"/>
              </w:rPr>
              <w:t>1.9%</w:t>
            </w:r>
          </w:p>
        </w:tc>
        <w:tc>
          <w:tcPr>
            <w:tcW w:w="724" w:type="pct"/>
            <w:tcBorders>
              <w:top w:val="nil"/>
              <w:left w:val="dotted" w:sz="4" w:space="0" w:color="auto"/>
              <w:bottom w:val="nil"/>
              <w:right w:val="single" w:sz="4" w:space="0" w:color="auto"/>
            </w:tcBorders>
            <w:shd w:val="clear" w:color="000000" w:fill="FFE9CC"/>
            <w:noWrap/>
            <w:hideMark/>
          </w:tcPr>
          <w:p w14:paraId="07E132A4" w14:textId="77777777" w:rsidR="003B1DA7" w:rsidRPr="001A4D4E" w:rsidRDefault="003B1DA7" w:rsidP="00312E88">
            <w:pPr>
              <w:jc w:val="right"/>
              <w:rPr>
                <w:rFonts w:cs="Arial"/>
                <w:color w:val="000000"/>
                <w:sz w:val="18"/>
                <w:szCs w:val="18"/>
              </w:rPr>
            </w:pPr>
            <w:r w:rsidRPr="001A4D4E">
              <w:rPr>
                <w:rFonts w:cs="Arial"/>
                <w:color w:val="000000"/>
                <w:sz w:val="18"/>
                <w:szCs w:val="18"/>
              </w:rPr>
              <w:t>1.6%</w:t>
            </w:r>
          </w:p>
        </w:tc>
      </w:tr>
      <w:tr w:rsidR="003B1DA7" w:rsidRPr="001A4D4E" w14:paraId="3149EA37" w14:textId="77777777" w:rsidTr="003B1DA7">
        <w:trPr>
          <w:trHeight w:hRule="exact" w:val="284"/>
        </w:trPr>
        <w:tc>
          <w:tcPr>
            <w:tcW w:w="1596" w:type="pct"/>
            <w:tcBorders>
              <w:top w:val="nil"/>
              <w:left w:val="single" w:sz="4" w:space="0" w:color="auto"/>
              <w:bottom w:val="nil"/>
              <w:right w:val="single" w:sz="4" w:space="0" w:color="auto"/>
            </w:tcBorders>
            <w:shd w:val="clear" w:color="auto" w:fill="auto"/>
            <w:noWrap/>
            <w:hideMark/>
          </w:tcPr>
          <w:p w14:paraId="3D659436" w14:textId="77777777" w:rsidR="003B1DA7" w:rsidRPr="001A4D4E" w:rsidRDefault="003B1DA7" w:rsidP="00312E88">
            <w:pPr>
              <w:rPr>
                <w:rFonts w:cs="Arial"/>
                <w:color w:val="000000"/>
                <w:sz w:val="18"/>
                <w:szCs w:val="18"/>
              </w:rPr>
            </w:pPr>
            <w:r w:rsidRPr="001A4D4E">
              <w:rPr>
                <w:rFonts w:cs="Arial"/>
                <w:color w:val="000000"/>
                <w:sz w:val="18"/>
                <w:szCs w:val="18"/>
              </w:rPr>
              <w:t>Older adults (65+)</w:t>
            </w:r>
          </w:p>
        </w:tc>
        <w:tc>
          <w:tcPr>
            <w:tcW w:w="670" w:type="pct"/>
            <w:tcBorders>
              <w:top w:val="nil"/>
              <w:left w:val="nil"/>
              <w:bottom w:val="nil"/>
              <w:right w:val="nil"/>
            </w:tcBorders>
            <w:shd w:val="clear" w:color="000000" w:fill="E7E6E6"/>
            <w:noWrap/>
            <w:hideMark/>
          </w:tcPr>
          <w:p w14:paraId="7CF3A6EB" w14:textId="77777777" w:rsidR="003B1DA7" w:rsidRPr="001A4D4E" w:rsidRDefault="003B1DA7" w:rsidP="00312E88">
            <w:pPr>
              <w:rPr>
                <w:rFonts w:cs="Arial"/>
                <w:color w:val="000000"/>
                <w:sz w:val="18"/>
                <w:szCs w:val="18"/>
              </w:rPr>
            </w:pPr>
            <w:r w:rsidRPr="001A4D4E">
              <w:rPr>
                <w:rFonts w:cs="Arial"/>
                <w:color w:val="000000"/>
                <w:sz w:val="18"/>
                <w:szCs w:val="18"/>
              </w:rPr>
              <w:t> </w:t>
            </w:r>
          </w:p>
        </w:tc>
        <w:tc>
          <w:tcPr>
            <w:tcW w:w="670" w:type="pct"/>
            <w:tcBorders>
              <w:top w:val="nil"/>
              <w:left w:val="nil"/>
              <w:bottom w:val="nil"/>
              <w:right w:val="nil"/>
            </w:tcBorders>
            <w:shd w:val="clear" w:color="auto" w:fill="auto"/>
            <w:noWrap/>
            <w:hideMark/>
          </w:tcPr>
          <w:p w14:paraId="2A577444" w14:textId="77777777" w:rsidR="003B1DA7" w:rsidRPr="001A4D4E" w:rsidRDefault="003B1DA7" w:rsidP="00312E88">
            <w:pPr>
              <w:jc w:val="right"/>
              <w:rPr>
                <w:rFonts w:cs="Arial"/>
                <w:color w:val="000000"/>
                <w:sz w:val="18"/>
                <w:szCs w:val="18"/>
              </w:rPr>
            </w:pPr>
            <w:r w:rsidRPr="001A4D4E">
              <w:rPr>
                <w:rFonts w:cs="Arial"/>
                <w:color w:val="000000"/>
                <w:sz w:val="18"/>
                <w:szCs w:val="18"/>
              </w:rPr>
              <w:t>6.2%</w:t>
            </w:r>
          </w:p>
        </w:tc>
        <w:tc>
          <w:tcPr>
            <w:tcW w:w="670" w:type="pct"/>
            <w:tcBorders>
              <w:top w:val="nil"/>
              <w:left w:val="nil"/>
              <w:bottom w:val="nil"/>
              <w:right w:val="nil"/>
            </w:tcBorders>
            <w:shd w:val="clear" w:color="auto" w:fill="auto"/>
            <w:noWrap/>
            <w:hideMark/>
          </w:tcPr>
          <w:p w14:paraId="781427F2" w14:textId="77777777" w:rsidR="003B1DA7" w:rsidRPr="001A4D4E" w:rsidRDefault="003B1DA7" w:rsidP="00312E88">
            <w:pPr>
              <w:jc w:val="right"/>
              <w:rPr>
                <w:rFonts w:cs="Arial"/>
                <w:color w:val="000000"/>
                <w:sz w:val="18"/>
                <w:szCs w:val="18"/>
              </w:rPr>
            </w:pPr>
            <w:r w:rsidRPr="001A4D4E">
              <w:rPr>
                <w:rFonts w:cs="Arial"/>
                <w:color w:val="000000"/>
                <w:sz w:val="18"/>
                <w:szCs w:val="18"/>
              </w:rPr>
              <w:t>4.0%</w:t>
            </w:r>
          </w:p>
        </w:tc>
        <w:tc>
          <w:tcPr>
            <w:tcW w:w="670" w:type="pct"/>
            <w:tcBorders>
              <w:top w:val="nil"/>
              <w:left w:val="nil"/>
              <w:bottom w:val="nil"/>
              <w:right w:val="nil"/>
            </w:tcBorders>
            <w:shd w:val="clear" w:color="auto" w:fill="auto"/>
            <w:noWrap/>
            <w:hideMark/>
          </w:tcPr>
          <w:p w14:paraId="384D678D" w14:textId="77777777" w:rsidR="003B1DA7" w:rsidRPr="001A4D4E" w:rsidRDefault="003B1DA7" w:rsidP="00312E88">
            <w:pPr>
              <w:jc w:val="right"/>
              <w:rPr>
                <w:rFonts w:cs="Arial"/>
                <w:color w:val="000000"/>
                <w:sz w:val="18"/>
                <w:szCs w:val="18"/>
              </w:rPr>
            </w:pPr>
            <w:r w:rsidRPr="001A4D4E">
              <w:rPr>
                <w:rFonts w:cs="Arial"/>
                <w:color w:val="000000"/>
                <w:sz w:val="18"/>
                <w:szCs w:val="18"/>
              </w:rPr>
              <w:t>2.4%</w:t>
            </w:r>
          </w:p>
        </w:tc>
        <w:tc>
          <w:tcPr>
            <w:tcW w:w="724" w:type="pct"/>
            <w:tcBorders>
              <w:top w:val="nil"/>
              <w:left w:val="dotted" w:sz="4" w:space="0" w:color="auto"/>
              <w:bottom w:val="nil"/>
              <w:right w:val="single" w:sz="4" w:space="0" w:color="auto"/>
            </w:tcBorders>
            <w:shd w:val="clear" w:color="000000" w:fill="FFE9CC"/>
            <w:noWrap/>
            <w:hideMark/>
          </w:tcPr>
          <w:p w14:paraId="0C8A50C9" w14:textId="77777777" w:rsidR="003B1DA7" w:rsidRPr="001A4D4E" w:rsidRDefault="003B1DA7" w:rsidP="00312E88">
            <w:pPr>
              <w:jc w:val="right"/>
              <w:rPr>
                <w:rFonts w:cs="Arial"/>
                <w:color w:val="000000"/>
                <w:sz w:val="18"/>
                <w:szCs w:val="18"/>
              </w:rPr>
            </w:pPr>
            <w:r w:rsidRPr="001A4D4E">
              <w:rPr>
                <w:rFonts w:cs="Arial"/>
                <w:color w:val="000000"/>
                <w:sz w:val="18"/>
                <w:szCs w:val="18"/>
              </w:rPr>
              <w:t>1.8%</w:t>
            </w:r>
          </w:p>
        </w:tc>
      </w:tr>
      <w:tr w:rsidR="003B1DA7" w:rsidRPr="001A4D4E" w14:paraId="6D463FFF" w14:textId="77777777" w:rsidTr="003B1DA7">
        <w:trPr>
          <w:trHeight w:hRule="exact" w:val="284"/>
        </w:trPr>
        <w:tc>
          <w:tcPr>
            <w:tcW w:w="1596" w:type="pct"/>
            <w:tcBorders>
              <w:top w:val="single" w:sz="4" w:space="0" w:color="auto"/>
              <w:left w:val="single" w:sz="4" w:space="0" w:color="auto"/>
              <w:bottom w:val="single" w:sz="4" w:space="0" w:color="auto"/>
              <w:right w:val="single" w:sz="4" w:space="0" w:color="auto"/>
            </w:tcBorders>
            <w:shd w:val="clear" w:color="000000" w:fill="F7EEF7"/>
            <w:noWrap/>
            <w:hideMark/>
          </w:tcPr>
          <w:p w14:paraId="7BAB067C" w14:textId="77777777" w:rsidR="003B1DA7" w:rsidRPr="001A4D4E" w:rsidRDefault="003B1DA7" w:rsidP="00312E88">
            <w:pPr>
              <w:rPr>
                <w:rFonts w:cs="Arial"/>
                <w:b/>
                <w:bCs/>
                <w:color w:val="000000"/>
                <w:sz w:val="18"/>
                <w:szCs w:val="18"/>
              </w:rPr>
            </w:pPr>
            <w:r w:rsidRPr="001A4D4E">
              <w:rPr>
                <w:rFonts w:cs="Arial"/>
                <w:b/>
                <w:bCs/>
                <w:color w:val="000000"/>
                <w:sz w:val="18"/>
                <w:szCs w:val="18"/>
              </w:rPr>
              <w:t>Total</w:t>
            </w:r>
          </w:p>
        </w:tc>
        <w:tc>
          <w:tcPr>
            <w:tcW w:w="670" w:type="pct"/>
            <w:tcBorders>
              <w:top w:val="single" w:sz="4" w:space="0" w:color="auto"/>
              <w:left w:val="nil"/>
              <w:bottom w:val="single" w:sz="4" w:space="0" w:color="auto"/>
              <w:right w:val="nil"/>
            </w:tcBorders>
            <w:shd w:val="clear" w:color="000000" w:fill="E7E6E6"/>
            <w:noWrap/>
            <w:hideMark/>
          </w:tcPr>
          <w:p w14:paraId="6B24C053" w14:textId="77777777" w:rsidR="003B1DA7" w:rsidRPr="001A4D4E" w:rsidRDefault="003B1DA7" w:rsidP="00312E88">
            <w:pPr>
              <w:rPr>
                <w:rFonts w:cs="Arial"/>
                <w:b/>
                <w:bCs/>
                <w:color w:val="000000"/>
                <w:sz w:val="18"/>
                <w:szCs w:val="18"/>
              </w:rPr>
            </w:pPr>
            <w:r w:rsidRPr="001A4D4E">
              <w:rPr>
                <w:rFonts w:cs="Arial"/>
                <w:b/>
                <w:bCs/>
                <w:color w:val="000000"/>
                <w:sz w:val="18"/>
                <w:szCs w:val="18"/>
              </w:rPr>
              <w:t> </w:t>
            </w:r>
          </w:p>
        </w:tc>
        <w:tc>
          <w:tcPr>
            <w:tcW w:w="670" w:type="pct"/>
            <w:tcBorders>
              <w:top w:val="single" w:sz="4" w:space="0" w:color="auto"/>
              <w:left w:val="nil"/>
              <w:bottom w:val="single" w:sz="4" w:space="0" w:color="auto"/>
              <w:right w:val="nil"/>
            </w:tcBorders>
            <w:shd w:val="clear" w:color="000000" w:fill="F7EEF7"/>
            <w:noWrap/>
            <w:hideMark/>
          </w:tcPr>
          <w:p w14:paraId="7BF324F6" w14:textId="77777777" w:rsidR="003B1DA7" w:rsidRPr="001A4D4E" w:rsidRDefault="003B1DA7" w:rsidP="00312E88">
            <w:pPr>
              <w:jc w:val="right"/>
              <w:rPr>
                <w:rFonts w:cs="Arial"/>
                <w:b/>
                <w:bCs/>
                <w:color w:val="000000"/>
                <w:sz w:val="18"/>
                <w:szCs w:val="18"/>
              </w:rPr>
            </w:pPr>
            <w:r w:rsidRPr="001A4D4E">
              <w:rPr>
                <w:rFonts w:cs="Arial"/>
                <w:b/>
                <w:bCs/>
                <w:color w:val="000000"/>
                <w:sz w:val="18"/>
                <w:szCs w:val="18"/>
              </w:rPr>
              <w:t>3.5%</w:t>
            </w:r>
          </w:p>
        </w:tc>
        <w:tc>
          <w:tcPr>
            <w:tcW w:w="670" w:type="pct"/>
            <w:tcBorders>
              <w:top w:val="single" w:sz="4" w:space="0" w:color="auto"/>
              <w:left w:val="nil"/>
              <w:bottom w:val="single" w:sz="4" w:space="0" w:color="auto"/>
              <w:right w:val="nil"/>
            </w:tcBorders>
            <w:shd w:val="clear" w:color="000000" w:fill="F7EEF7"/>
            <w:noWrap/>
            <w:hideMark/>
          </w:tcPr>
          <w:p w14:paraId="39DDF877" w14:textId="77777777" w:rsidR="003B1DA7" w:rsidRPr="001A4D4E" w:rsidRDefault="003B1DA7" w:rsidP="00312E88">
            <w:pPr>
              <w:jc w:val="right"/>
              <w:rPr>
                <w:rFonts w:cs="Arial"/>
                <w:b/>
                <w:bCs/>
                <w:color w:val="000000"/>
                <w:sz w:val="18"/>
                <w:szCs w:val="18"/>
              </w:rPr>
            </w:pPr>
            <w:r w:rsidRPr="001A4D4E">
              <w:rPr>
                <w:rFonts w:cs="Arial"/>
                <w:b/>
                <w:bCs/>
                <w:color w:val="000000"/>
                <w:sz w:val="18"/>
                <w:szCs w:val="18"/>
              </w:rPr>
              <w:t>2.9%</w:t>
            </w:r>
          </w:p>
        </w:tc>
        <w:tc>
          <w:tcPr>
            <w:tcW w:w="670" w:type="pct"/>
            <w:tcBorders>
              <w:top w:val="single" w:sz="4" w:space="0" w:color="auto"/>
              <w:left w:val="nil"/>
              <w:bottom w:val="single" w:sz="4" w:space="0" w:color="auto"/>
              <w:right w:val="nil"/>
            </w:tcBorders>
            <w:shd w:val="clear" w:color="000000" w:fill="F7EEF7"/>
            <w:noWrap/>
            <w:hideMark/>
          </w:tcPr>
          <w:p w14:paraId="1391B3E4" w14:textId="77777777" w:rsidR="003B1DA7" w:rsidRPr="001A4D4E" w:rsidRDefault="003B1DA7" w:rsidP="00312E88">
            <w:pPr>
              <w:jc w:val="right"/>
              <w:rPr>
                <w:rFonts w:cs="Arial"/>
                <w:b/>
                <w:bCs/>
                <w:color w:val="000000"/>
                <w:sz w:val="18"/>
                <w:szCs w:val="18"/>
              </w:rPr>
            </w:pPr>
            <w:r w:rsidRPr="001A4D4E">
              <w:rPr>
                <w:rFonts w:cs="Arial"/>
                <w:b/>
                <w:bCs/>
                <w:color w:val="000000"/>
                <w:sz w:val="18"/>
                <w:szCs w:val="18"/>
              </w:rPr>
              <w:t>1.9%</w:t>
            </w:r>
          </w:p>
        </w:tc>
        <w:tc>
          <w:tcPr>
            <w:tcW w:w="724" w:type="pct"/>
            <w:tcBorders>
              <w:top w:val="single" w:sz="4" w:space="0" w:color="auto"/>
              <w:left w:val="dotted" w:sz="4" w:space="0" w:color="auto"/>
              <w:bottom w:val="single" w:sz="4" w:space="0" w:color="auto"/>
              <w:right w:val="single" w:sz="4" w:space="0" w:color="auto"/>
            </w:tcBorders>
            <w:shd w:val="clear" w:color="000000" w:fill="D3C5D7"/>
            <w:noWrap/>
            <w:hideMark/>
          </w:tcPr>
          <w:p w14:paraId="57AEF051" w14:textId="77777777" w:rsidR="003B1DA7" w:rsidRPr="001A4D4E" w:rsidRDefault="003B1DA7" w:rsidP="00312E88">
            <w:pPr>
              <w:jc w:val="right"/>
              <w:rPr>
                <w:rFonts w:cs="Arial"/>
                <w:b/>
                <w:bCs/>
                <w:color w:val="000000"/>
                <w:sz w:val="18"/>
                <w:szCs w:val="18"/>
              </w:rPr>
            </w:pPr>
            <w:r w:rsidRPr="001A4D4E">
              <w:rPr>
                <w:rFonts w:cs="Arial"/>
                <w:b/>
                <w:bCs/>
                <w:color w:val="000000"/>
                <w:sz w:val="18"/>
                <w:szCs w:val="18"/>
              </w:rPr>
              <w:t>2.1%</w:t>
            </w:r>
          </w:p>
        </w:tc>
      </w:tr>
    </w:tbl>
    <w:p w14:paraId="7A0D5BD0" w14:textId="06106604" w:rsidR="00D13572" w:rsidRPr="00472FB3" w:rsidRDefault="00D13572" w:rsidP="00D13572">
      <w:pPr>
        <w:pStyle w:val="FSRnormal"/>
      </w:pPr>
      <w:r w:rsidRPr="00472FB3">
        <w:t>The greatest growth in average annual payments occurs for participants aged 0 to 14 and over 65.</w:t>
      </w:r>
    </w:p>
    <w:p w14:paraId="6D8834EB" w14:textId="4C469DBE" w:rsidR="00D13572" w:rsidRPr="00472FB3" w:rsidRDefault="00D13572" w:rsidP="00D13572">
      <w:pPr>
        <w:pStyle w:val="FSRnormal"/>
      </w:pPr>
      <w:r w:rsidRPr="003B1DA7">
        <w:rPr>
          <w:rFonts w:eastAsiaTheme="minorHAnsi"/>
          <w:b/>
          <w:bCs/>
          <w:szCs w:val="18"/>
          <w:u w:val="single"/>
          <w:lang w:eastAsia="en-US"/>
        </w:rPr>
        <w:fldChar w:fldCharType="begin"/>
      </w:r>
      <w:r w:rsidRPr="003B1DA7">
        <w:rPr>
          <w:u w:val="single"/>
        </w:rPr>
        <w:instrText xml:space="preserve"> REF _Ref75033661 \h </w:instrText>
      </w:r>
      <w:r w:rsidR="003B1DA7">
        <w:rPr>
          <w:rFonts w:eastAsiaTheme="minorHAnsi"/>
          <w:b/>
          <w:bCs/>
          <w:szCs w:val="18"/>
          <w:u w:val="single"/>
          <w:lang w:eastAsia="en-US"/>
        </w:rPr>
        <w:instrText xml:space="preserve"> \* MERGEFORMAT </w:instrText>
      </w:r>
      <w:r w:rsidRPr="003B1DA7">
        <w:rPr>
          <w:rFonts w:eastAsiaTheme="minorHAnsi"/>
          <w:b/>
          <w:bCs/>
          <w:szCs w:val="18"/>
          <w:u w:val="single"/>
          <w:lang w:eastAsia="en-US"/>
        </w:rPr>
      </w:r>
      <w:r w:rsidRPr="003B1DA7">
        <w:rPr>
          <w:rFonts w:eastAsiaTheme="minorHAnsi"/>
          <w:b/>
          <w:bCs/>
          <w:szCs w:val="18"/>
          <w:u w:val="single"/>
          <w:lang w:eastAsia="en-US"/>
        </w:rPr>
        <w:fldChar w:fldCharType="separate"/>
      </w:r>
      <w:r w:rsidR="00E50032" w:rsidRPr="00E50032">
        <w:rPr>
          <w:u w:val="single"/>
        </w:rPr>
        <w:t xml:space="preserve">Table </w:t>
      </w:r>
      <w:r w:rsidR="00E50032" w:rsidRPr="00E50032">
        <w:rPr>
          <w:noProof/>
          <w:u w:val="single"/>
        </w:rPr>
        <w:t>34</w:t>
      </w:r>
      <w:r w:rsidRPr="003B1DA7">
        <w:rPr>
          <w:u w:val="single"/>
        </w:rPr>
        <w:fldChar w:fldCharType="end"/>
      </w:r>
      <w:r>
        <w:t xml:space="preserve"> </w:t>
      </w:r>
      <w:r w:rsidRPr="00472FB3">
        <w:t>below displays the projected average annual payments (in 2024-25 dollars) by grouped disability and age band for the 2024-25 financial year. The following table shows that:</w:t>
      </w:r>
    </w:p>
    <w:p w14:paraId="1D630D0A" w14:textId="6C0A7E40" w:rsidR="00D13572" w:rsidRPr="00472FB3" w:rsidRDefault="00D13572" w:rsidP="00D13572">
      <w:pPr>
        <w:pStyle w:val="FSRlist"/>
      </w:pPr>
      <w:r w:rsidRPr="00472FB3">
        <w:t>The average annualised payment amount for all Scheme participants in 2024-25 is $6</w:t>
      </w:r>
      <w:r>
        <w:t>2</w:t>
      </w:r>
      <w:r w:rsidRPr="00472FB3">
        <w:t>,</w:t>
      </w:r>
      <w:r w:rsidR="00E63631">
        <w:t>800</w:t>
      </w:r>
      <w:r w:rsidRPr="00472FB3">
        <w:t xml:space="preserve"> in 2024-2025 dollars. </w:t>
      </w:r>
    </w:p>
    <w:p w14:paraId="7BF8013C" w14:textId="77777777" w:rsidR="00D13572" w:rsidRPr="00472FB3" w:rsidRDefault="00D13572" w:rsidP="00D13572">
      <w:pPr>
        <w:pStyle w:val="FSRlist"/>
      </w:pPr>
      <w:r w:rsidRPr="00472FB3">
        <w:t>Children have lower average annualised payments than adults, reflecting a higher proportion of early intervention participants, less usage of SIL arrangements and more informal supports, primarily provided by parents.</w:t>
      </w:r>
    </w:p>
    <w:p w14:paraId="74545B5F" w14:textId="57DEA2E6" w:rsidR="00D13572" w:rsidRPr="00472FB3" w:rsidRDefault="00D13572" w:rsidP="00D13572">
      <w:pPr>
        <w:pStyle w:val="FSRlist"/>
      </w:pPr>
      <w:r w:rsidRPr="00472FB3">
        <w:t>Participants with intellectual disability and other disabilities</w:t>
      </w:r>
      <w:r w:rsidRPr="00472FB3">
        <w:rPr>
          <w:vertAlign w:val="superscript"/>
        </w:rPr>
        <w:footnoteReference w:id="69"/>
      </w:r>
      <w:r w:rsidRPr="00472FB3">
        <w:t xml:space="preserve"> have the largest average </w:t>
      </w:r>
      <w:r w:rsidR="006D5D2E">
        <w:t>payment</w:t>
      </w:r>
      <w:r w:rsidRPr="00472FB3">
        <w:t>s.</w:t>
      </w:r>
    </w:p>
    <w:p w14:paraId="63424006" w14:textId="7260EB96" w:rsidR="00D13572" w:rsidRPr="00472FB3" w:rsidRDefault="00D13572" w:rsidP="00D13572">
      <w:pPr>
        <w:pStyle w:val="FSRlist"/>
      </w:pPr>
      <w:r w:rsidRPr="00472FB3">
        <w:t>Participants with sensory disabilities</w:t>
      </w:r>
      <w:r w:rsidRPr="00472FB3">
        <w:rPr>
          <w:vertAlign w:val="superscript"/>
        </w:rPr>
        <w:footnoteReference w:id="70"/>
      </w:r>
      <w:r w:rsidRPr="00472FB3">
        <w:t xml:space="preserve"> and developmental delay have the lowest average </w:t>
      </w:r>
      <w:r w:rsidR="006D5D2E">
        <w:t>payment</w:t>
      </w:r>
      <w:r w:rsidRPr="00472FB3">
        <w:t>s.</w:t>
      </w:r>
    </w:p>
    <w:p w14:paraId="481F9ABC" w14:textId="5647CADD" w:rsidR="00D13572" w:rsidRPr="00472FB3" w:rsidRDefault="00D13572" w:rsidP="00D13572">
      <w:pPr>
        <w:pStyle w:val="Tables"/>
      </w:pPr>
      <w:bookmarkStart w:id="230" w:name="_Ref75033661"/>
      <w:r w:rsidRPr="00472FB3">
        <w:t xml:space="preserve">Table </w:t>
      </w:r>
      <w:fldSimple w:instr=" SEQ Table \* ARABIC ">
        <w:r w:rsidR="00E50032">
          <w:rPr>
            <w:noProof/>
          </w:rPr>
          <w:t>34</w:t>
        </w:r>
      </w:fldSimple>
      <w:bookmarkEnd w:id="230"/>
      <w:r w:rsidRPr="00472FB3">
        <w:t xml:space="preserve"> Average annual payments ($) by age band and disability group in 2024-25 (2024-25 dollars)</w:t>
      </w:r>
    </w:p>
    <w:tbl>
      <w:tblPr>
        <w:tblW w:w="5000" w:type="pct"/>
        <w:tblLook w:val="04A0" w:firstRow="1" w:lastRow="0" w:firstColumn="1" w:lastColumn="0" w:noHBand="0" w:noVBand="1"/>
      </w:tblPr>
      <w:tblGrid>
        <w:gridCol w:w="2596"/>
        <w:gridCol w:w="1370"/>
        <w:gridCol w:w="1210"/>
        <w:gridCol w:w="1136"/>
        <w:gridCol w:w="1444"/>
        <w:gridCol w:w="1260"/>
      </w:tblGrid>
      <w:tr w:rsidR="00286BED" w:rsidRPr="001A4D4E" w14:paraId="681078CD" w14:textId="77777777" w:rsidTr="00311C55">
        <w:trPr>
          <w:trHeight w:hRule="exact" w:val="284"/>
          <w:tblHeader/>
        </w:trPr>
        <w:tc>
          <w:tcPr>
            <w:tcW w:w="1439" w:type="pct"/>
            <w:tcBorders>
              <w:top w:val="single" w:sz="4" w:space="0" w:color="auto"/>
              <w:left w:val="single" w:sz="4" w:space="0" w:color="auto"/>
              <w:bottom w:val="single" w:sz="4" w:space="0" w:color="auto"/>
              <w:right w:val="single" w:sz="4" w:space="0" w:color="auto"/>
            </w:tcBorders>
            <w:shd w:val="clear" w:color="000000" w:fill="6B2976"/>
            <w:noWrap/>
            <w:hideMark/>
          </w:tcPr>
          <w:p w14:paraId="25187A82" w14:textId="77777777" w:rsidR="00286BED" w:rsidRPr="001A4D4E" w:rsidRDefault="00286BED" w:rsidP="00312E88">
            <w:pPr>
              <w:rPr>
                <w:rFonts w:cs="Arial"/>
                <w:b/>
                <w:bCs/>
                <w:color w:val="FFFFFF"/>
                <w:sz w:val="18"/>
                <w:szCs w:val="18"/>
              </w:rPr>
            </w:pPr>
            <w:r w:rsidRPr="001A4D4E">
              <w:rPr>
                <w:rFonts w:cs="Arial"/>
                <w:b/>
                <w:bCs/>
                <w:color w:val="FFFFFF"/>
                <w:sz w:val="18"/>
                <w:szCs w:val="18"/>
              </w:rPr>
              <w:t>Disability Group</w:t>
            </w:r>
          </w:p>
        </w:tc>
        <w:tc>
          <w:tcPr>
            <w:tcW w:w="760" w:type="pct"/>
            <w:tcBorders>
              <w:top w:val="single" w:sz="4" w:space="0" w:color="auto"/>
              <w:left w:val="nil"/>
              <w:bottom w:val="single" w:sz="4" w:space="0" w:color="auto"/>
              <w:right w:val="nil"/>
            </w:tcBorders>
            <w:shd w:val="clear" w:color="000000" w:fill="6B2976"/>
            <w:noWrap/>
            <w:hideMark/>
          </w:tcPr>
          <w:p w14:paraId="37209BC1" w14:textId="77777777" w:rsidR="00286BED" w:rsidRPr="001A4D4E" w:rsidRDefault="00286BED" w:rsidP="00312E88">
            <w:pPr>
              <w:jc w:val="center"/>
              <w:rPr>
                <w:rFonts w:cs="Arial"/>
                <w:b/>
                <w:bCs/>
                <w:color w:val="FFFFFF"/>
                <w:sz w:val="18"/>
                <w:szCs w:val="18"/>
              </w:rPr>
            </w:pPr>
            <w:r w:rsidRPr="001A4D4E">
              <w:rPr>
                <w:rFonts w:cs="Arial"/>
                <w:b/>
                <w:bCs/>
                <w:color w:val="FFFFFF"/>
                <w:sz w:val="18"/>
                <w:szCs w:val="18"/>
              </w:rPr>
              <w:t>0 to 6</w:t>
            </w:r>
          </w:p>
        </w:tc>
        <w:tc>
          <w:tcPr>
            <w:tcW w:w="671" w:type="pct"/>
            <w:tcBorders>
              <w:top w:val="single" w:sz="4" w:space="0" w:color="auto"/>
              <w:left w:val="nil"/>
              <w:bottom w:val="single" w:sz="4" w:space="0" w:color="auto"/>
              <w:right w:val="nil"/>
            </w:tcBorders>
            <w:shd w:val="clear" w:color="000000" w:fill="6B2976"/>
            <w:noWrap/>
            <w:hideMark/>
          </w:tcPr>
          <w:p w14:paraId="7903FC5F" w14:textId="77777777" w:rsidR="00286BED" w:rsidRPr="001A4D4E" w:rsidRDefault="00286BED" w:rsidP="00312E88">
            <w:pPr>
              <w:jc w:val="center"/>
              <w:rPr>
                <w:rFonts w:cs="Arial"/>
                <w:b/>
                <w:bCs/>
                <w:color w:val="FFFFFF"/>
                <w:sz w:val="18"/>
                <w:szCs w:val="18"/>
              </w:rPr>
            </w:pPr>
            <w:r w:rsidRPr="001A4D4E">
              <w:rPr>
                <w:rFonts w:cs="Arial"/>
                <w:b/>
                <w:bCs/>
                <w:color w:val="FFFFFF"/>
                <w:sz w:val="18"/>
                <w:szCs w:val="18"/>
              </w:rPr>
              <w:t>7 to 14</w:t>
            </w:r>
          </w:p>
        </w:tc>
        <w:tc>
          <w:tcPr>
            <w:tcW w:w="630" w:type="pct"/>
            <w:tcBorders>
              <w:top w:val="single" w:sz="4" w:space="0" w:color="auto"/>
              <w:left w:val="nil"/>
              <w:bottom w:val="single" w:sz="4" w:space="0" w:color="auto"/>
              <w:right w:val="nil"/>
            </w:tcBorders>
            <w:shd w:val="clear" w:color="000000" w:fill="6B2976"/>
            <w:noWrap/>
            <w:hideMark/>
          </w:tcPr>
          <w:p w14:paraId="28F5D0BC" w14:textId="77777777" w:rsidR="00286BED" w:rsidRPr="001A4D4E" w:rsidRDefault="00286BED" w:rsidP="00312E88">
            <w:pPr>
              <w:jc w:val="center"/>
              <w:rPr>
                <w:rFonts w:cs="Arial"/>
                <w:b/>
                <w:bCs/>
                <w:color w:val="FFFFFF"/>
                <w:sz w:val="18"/>
                <w:szCs w:val="18"/>
              </w:rPr>
            </w:pPr>
            <w:r w:rsidRPr="001A4D4E">
              <w:rPr>
                <w:rFonts w:cs="Arial"/>
                <w:b/>
                <w:bCs/>
                <w:color w:val="FFFFFF"/>
                <w:sz w:val="18"/>
                <w:szCs w:val="18"/>
              </w:rPr>
              <w:t>15 to 18</w:t>
            </w:r>
          </w:p>
        </w:tc>
        <w:tc>
          <w:tcPr>
            <w:tcW w:w="801" w:type="pct"/>
            <w:tcBorders>
              <w:top w:val="single" w:sz="4" w:space="0" w:color="auto"/>
              <w:left w:val="nil"/>
              <w:bottom w:val="single" w:sz="4" w:space="0" w:color="auto"/>
              <w:right w:val="nil"/>
            </w:tcBorders>
            <w:shd w:val="clear" w:color="000000" w:fill="6B2976"/>
            <w:noWrap/>
            <w:hideMark/>
          </w:tcPr>
          <w:p w14:paraId="79557876" w14:textId="77777777" w:rsidR="00286BED" w:rsidRPr="001A4D4E" w:rsidRDefault="00286BED" w:rsidP="00312E88">
            <w:pPr>
              <w:jc w:val="center"/>
              <w:rPr>
                <w:rFonts w:cs="Arial"/>
                <w:b/>
                <w:bCs/>
                <w:color w:val="FFFFFF"/>
                <w:sz w:val="18"/>
                <w:szCs w:val="18"/>
              </w:rPr>
            </w:pPr>
            <w:r w:rsidRPr="001A4D4E">
              <w:rPr>
                <w:rFonts w:cs="Arial"/>
                <w:b/>
                <w:bCs/>
                <w:color w:val="FFFFFF"/>
                <w:sz w:val="18"/>
                <w:szCs w:val="18"/>
              </w:rPr>
              <w:t>19 to 24</w:t>
            </w:r>
          </w:p>
        </w:tc>
        <w:tc>
          <w:tcPr>
            <w:tcW w:w="700" w:type="pct"/>
            <w:tcBorders>
              <w:top w:val="single" w:sz="4" w:space="0" w:color="auto"/>
              <w:left w:val="nil"/>
              <w:bottom w:val="single" w:sz="4" w:space="0" w:color="auto"/>
              <w:right w:val="single" w:sz="4" w:space="0" w:color="auto"/>
            </w:tcBorders>
            <w:shd w:val="clear" w:color="000000" w:fill="6B2976"/>
            <w:noWrap/>
            <w:hideMark/>
          </w:tcPr>
          <w:p w14:paraId="5EFB4199" w14:textId="77777777" w:rsidR="00286BED" w:rsidRPr="001A4D4E" w:rsidRDefault="00286BED" w:rsidP="00312E88">
            <w:pPr>
              <w:jc w:val="center"/>
              <w:rPr>
                <w:rFonts w:cs="Arial"/>
                <w:b/>
                <w:bCs/>
                <w:color w:val="FFFFFF"/>
                <w:sz w:val="18"/>
                <w:szCs w:val="18"/>
              </w:rPr>
            </w:pPr>
            <w:r w:rsidRPr="001A4D4E">
              <w:rPr>
                <w:rFonts w:cs="Arial"/>
                <w:b/>
                <w:bCs/>
                <w:color w:val="FFFFFF"/>
                <w:sz w:val="18"/>
                <w:szCs w:val="18"/>
              </w:rPr>
              <w:t>25 to 34</w:t>
            </w:r>
          </w:p>
        </w:tc>
      </w:tr>
      <w:tr w:rsidR="00286BED" w:rsidRPr="001A4D4E" w14:paraId="385FF1A6" w14:textId="77777777" w:rsidTr="00311C55">
        <w:trPr>
          <w:trHeight w:hRule="exact" w:val="284"/>
        </w:trPr>
        <w:tc>
          <w:tcPr>
            <w:tcW w:w="1439" w:type="pct"/>
            <w:tcBorders>
              <w:top w:val="nil"/>
              <w:left w:val="single" w:sz="4" w:space="0" w:color="auto"/>
              <w:bottom w:val="nil"/>
              <w:right w:val="single" w:sz="4" w:space="0" w:color="auto"/>
            </w:tcBorders>
            <w:shd w:val="clear" w:color="auto" w:fill="auto"/>
            <w:noWrap/>
            <w:hideMark/>
          </w:tcPr>
          <w:p w14:paraId="5AF731BA" w14:textId="77777777" w:rsidR="00286BED" w:rsidRPr="001A4D4E" w:rsidRDefault="00286BED" w:rsidP="00312E88">
            <w:pPr>
              <w:rPr>
                <w:rFonts w:cs="Arial"/>
                <w:color w:val="000000"/>
                <w:sz w:val="18"/>
                <w:szCs w:val="18"/>
              </w:rPr>
            </w:pPr>
            <w:r w:rsidRPr="001A4D4E">
              <w:rPr>
                <w:rFonts w:cs="Arial"/>
                <w:color w:val="000000"/>
                <w:sz w:val="18"/>
                <w:szCs w:val="18"/>
              </w:rPr>
              <w:t>Autism</w:t>
            </w:r>
          </w:p>
        </w:tc>
        <w:tc>
          <w:tcPr>
            <w:tcW w:w="760" w:type="pct"/>
            <w:tcBorders>
              <w:top w:val="nil"/>
              <w:left w:val="nil"/>
              <w:bottom w:val="nil"/>
              <w:right w:val="nil"/>
            </w:tcBorders>
            <w:shd w:val="clear" w:color="auto" w:fill="auto"/>
            <w:noWrap/>
            <w:hideMark/>
          </w:tcPr>
          <w:p w14:paraId="583BA3EE" w14:textId="77777777" w:rsidR="00286BED" w:rsidRPr="001A4D4E" w:rsidRDefault="00286BED" w:rsidP="00312E88">
            <w:pPr>
              <w:jc w:val="center"/>
              <w:rPr>
                <w:rFonts w:cs="Arial"/>
                <w:color w:val="000000"/>
                <w:sz w:val="18"/>
                <w:szCs w:val="18"/>
              </w:rPr>
            </w:pPr>
            <w:r w:rsidRPr="001A4D4E">
              <w:rPr>
                <w:rFonts w:cs="Arial"/>
                <w:color w:val="000000"/>
                <w:sz w:val="18"/>
                <w:szCs w:val="18"/>
              </w:rPr>
              <w:t>27,000</w:t>
            </w:r>
          </w:p>
        </w:tc>
        <w:tc>
          <w:tcPr>
            <w:tcW w:w="671" w:type="pct"/>
            <w:tcBorders>
              <w:top w:val="nil"/>
              <w:left w:val="nil"/>
              <w:bottom w:val="nil"/>
              <w:right w:val="nil"/>
            </w:tcBorders>
            <w:shd w:val="clear" w:color="auto" w:fill="auto"/>
            <w:noWrap/>
            <w:hideMark/>
          </w:tcPr>
          <w:p w14:paraId="030CC8DE" w14:textId="77777777" w:rsidR="00286BED" w:rsidRPr="001A4D4E" w:rsidRDefault="00286BED" w:rsidP="00312E88">
            <w:pPr>
              <w:jc w:val="center"/>
              <w:rPr>
                <w:rFonts w:cs="Arial"/>
                <w:color w:val="000000"/>
                <w:sz w:val="18"/>
                <w:szCs w:val="18"/>
              </w:rPr>
            </w:pPr>
            <w:r w:rsidRPr="001A4D4E">
              <w:rPr>
                <w:rFonts w:cs="Arial"/>
                <w:color w:val="000000"/>
                <w:sz w:val="18"/>
                <w:szCs w:val="18"/>
              </w:rPr>
              <w:t>25,400</w:t>
            </w:r>
          </w:p>
        </w:tc>
        <w:tc>
          <w:tcPr>
            <w:tcW w:w="630" w:type="pct"/>
            <w:tcBorders>
              <w:top w:val="nil"/>
              <w:left w:val="nil"/>
              <w:bottom w:val="nil"/>
              <w:right w:val="nil"/>
            </w:tcBorders>
            <w:shd w:val="clear" w:color="auto" w:fill="auto"/>
            <w:noWrap/>
            <w:hideMark/>
          </w:tcPr>
          <w:p w14:paraId="1C82933D" w14:textId="77777777" w:rsidR="00286BED" w:rsidRPr="001A4D4E" w:rsidRDefault="00286BED" w:rsidP="00312E88">
            <w:pPr>
              <w:jc w:val="center"/>
              <w:rPr>
                <w:rFonts w:cs="Arial"/>
                <w:color w:val="000000"/>
                <w:sz w:val="18"/>
                <w:szCs w:val="18"/>
              </w:rPr>
            </w:pPr>
            <w:r w:rsidRPr="001A4D4E">
              <w:rPr>
                <w:rFonts w:cs="Arial"/>
                <w:color w:val="000000"/>
                <w:sz w:val="18"/>
                <w:szCs w:val="18"/>
              </w:rPr>
              <w:t>40,600</w:t>
            </w:r>
          </w:p>
        </w:tc>
        <w:tc>
          <w:tcPr>
            <w:tcW w:w="801" w:type="pct"/>
            <w:tcBorders>
              <w:top w:val="nil"/>
              <w:left w:val="nil"/>
              <w:bottom w:val="nil"/>
              <w:right w:val="nil"/>
            </w:tcBorders>
            <w:shd w:val="clear" w:color="auto" w:fill="auto"/>
            <w:noWrap/>
            <w:hideMark/>
          </w:tcPr>
          <w:p w14:paraId="5857538B" w14:textId="77777777" w:rsidR="00286BED" w:rsidRPr="001A4D4E" w:rsidRDefault="00286BED" w:rsidP="00312E88">
            <w:pPr>
              <w:jc w:val="center"/>
              <w:rPr>
                <w:rFonts w:cs="Arial"/>
                <w:color w:val="000000"/>
                <w:sz w:val="18"/>
                <w:szCs w:val="18"/>
              </w:rPr>
            </w:pPr>
            <w:r w:rsidRPr="001A4D4E">
              <w:rPr>
                <w:rFonts w:cs="Arial"/>
                <w:color w:val="000000"/>
                <w:sz w:val="18"/>
                <w:szCs w:val="18"/>
              </w:rPr>
              <w:t>72,900</w:t>
            </w:r>
          </w:p>
        </w:tc>
        <w:tc>
          <w:tcPr>
            <w:tcW w:w="700" w:type="pct"/>
            <w:tcBorders>
              <w:top w:val="nil"/>
              <w:left w:val="nil"/>
              <w:bottom w:val="nil"/>
              <w:right w:val="single" w:sz="4" w:space="0" w:color="auto"/>
            </w:tcBorders>
            <w:shd w:val="clear" w:color="auto" w:fill="auto"/>
            <w:noWrap/>
            <w:hideMark/>
          </w:tcPr>
          <w:p w14:paraId="292CD7CF" w14:textId="77777777" w:rsidR="00286BED" w:rsidRPr="001A4D4E" w:rsidRDefault="00286BED" w:rsidP="00312E88">
            <w:pPr>
              <w:jc w:val="center"/>
              <w:rPr>
                <w:rFonts w:cs="Arial"/>
                <w:color w:val="000000"/>
                <w:sz w:val="18"/>
                <w:szCs w:val="18"/>
              </w:rPr>
            </w:pPr>
            <w:r w:rsidRPr="001A4D4E">
              <w:rPr>
                <w:rFonts w:cs="Arial"/>
                <w:color w:val="000000"/>
                <w:sz w:val="18"/>
                <w:szCs w:val="18"/>
              </w:rPr>
              <w:t>99,400</w:t>
            </w:r>
          </w:p>
        </w:tc>
      </w:tr>
      <w:tr w:rsidR="00286BED" w:rsidRPr="001A4D4E" w14:paraId="601D1ED6" w14:textId="77777777" w:rsidTr="00311C55">
        <w:trPr>
          <w:trHeight w:hRule="exact" w:val="284"/>
        </w:trPr>
        <w:tc>
          <w:tcPr>
            <w:tcW w:w="1439" w:type="pct"/>
            <w:tcBorders>
              <w:top w:val="nil"/>
              <w:left w:val="single" w:sz="4" w:space="0" w:color="auto"/>
              <w:bottom w:val="nil"/>
              <w:right w:val="single" w:sz="4" w:space="0" w:color="auto"/>
            </w:tcBorders>
            <w:shd w:val="clear" w:color="auto" w:fill="auto"/>
            <w:noWrap/>
            <w:hideMark/>
          </w:tcPr>
          <w:p w14:paraId="53C631CA" w14:textId="77777777" w:rsidR="00286BED" w:rsidRPr="001A4D4E" w:rsidRDefault="00286BED" w:rsidP="00312E88">
            <w:pPr>
              <w:rPr>
                <w:rFonts w:cs="Arial"/>
                <w:color w:val="000000"/>
                <w:sz w:val="18"/>
                <w:szCs w:val="18"/>
              </w:rPr>
            </w:pPr>
            <w:r w:rsidRPr="001A4D4E">
              <w:rPr>
                <w:rFonts w:cs="Arial"/>
                <w:color w:val="000000"/>
                <w:sz w:val="18"/>
                <w:szCs w:val="18"/>
              </w:rPr>
              <w:t>Intellectual Disability</w:t>
            </w:r>
          </w:p>
        </w:tc>
        <w:tc>
          <w:tcPr>
            <w:tcW w:w="760" w:type="pct"/>
            <w:tcBorders>
              <w:top w:val="nil"/>
              <w:left w:val="nil"/>
              <w:bottom w:val="nil"/>
              <w:right w:val="nil"/>
            </w:tcBorders>
            <w:shd w:val="clear" w:color="auto" w:fill="auto"/>
            <w:noWrap/>
            <w:hideMark/>
          </w:tcPr>
          <w:p w14:paraId="7570ECF8" w14:textId="77777777" w:rsidR="00286BED" w:rsidRPr="001A4D4E" w:rsidRDefault="00286BED" w:rsidP="00312E88">
            <w:pPr>
              <w:jc w:val="center"/>
              <w:rPr>
                <w:rFonts w:cs="Arial"/>
                <w:color w:val="000000"/>
                <w:sz w:val="18"/>
                <w:szCs w:val="18"/>
              </w:rPr>
            </w:pPr>
            <w:r w:rsidRPr="001A4D4E">
              <w:rPr>
                <w:rFonts w:cs="Arial"/>
                <w:color w:val="000000"/>
                <w:sz w:val="18"/>
                <w:szCs w:val="18"/>
              </w:rPr>
              <w:t>37,000</w:t>
            </w:r>
          </w:p>
        </w:tc>
        <w:tc>
          <w:tcPr>
            <w:tcW w:w="671" w:type="pct"/>
            <w:tcBorders>
              <w:top w:val="nil"/>
              <w:left w:val="nil"/>
              <w:bottom w:val="nil"/>
              <w:right w:val="nil"/>
            </w:tcBorders>
            <w:shd w:val="clear" w:color="auto" w:fill="auto"/>
            <w:noWrap/>
            <w:hideMark/>
          </w:tcPr>
          <w:p w14:paraId="083FD717" w14:textId="77777777" w:rsidR="00286BED" w:rsidRPr="001A4D4E" w:rsidRDefault="00286BED" w:rsidP="00312E88">
            <w:pPr>
              <w:jc w:val="center"/>
              <w:rPr>
                <w:rFonts w:cs="Arial"/>
                <w:color w:val="000000"/>
                <w:sz w:val="18"/>
                <w:szCs w:val="18"/>
              </w:rPr>
            </w:pPr>
            <w:r w:rsidRPr="001A4D4E">
              <w:rPr>
                <w:rFonts w:cs="Arial"/>
                <w:color w:val="000000"/>
                <w:sz w:val="18"/>
                <w:szCs w:val="18"/>
              </w:rPr>
              <w:t>33,500</w:t>
            </w:r>
          </w:p>
        </w:tc>
        <w:tc>
          <w:tcPr>
            <w:tcW w:w="630" w:type="pct"/>
            <w:tcBorders>
              <w:top w:val="nil"/>
              <w:left w:val="nil"/>
              <w:bottom w:val="nil"/>
              <w:right w:val="nil"/>
            </w:tcBorders>
            <w:shd w:val="clear" w:color="auto" w:fill="auto"/>
            <w:noWrap/>
            <w:hideMark/>
          </w:tcPr>
          <w:p w14:paraId="142B3D8A" w14:textId="77777777" w:rsidR="00286BED" w:rsidRPr="001A4D4E" w:rsidRDefault="00286BED" w:rsidP="00312E88">
            <w:pPr>
              <w:jc w:val="center"/>
              <w:rPr>
                <w:rFonts w:cs="Arial"/>
                <w:color w:val="000000"/>
                <w:sz w:val="18"/>
                <w:szCs w:val="18"/>
              </w:rPr>
            </w:pPr>
            <w:r w:rsidRPr="001A4D4E">
              <w:rPr>
                <w:rFonts w:cs="Arial"/>
                <w:color w:val="000000"/>
                <w:sz w:val="18"/>
                <w:szCs w:val="18"/>
              </w:rPr>
              <w:t>59,300</w:t>
            </w:r>
          </w:p>
        </w:tc>
        <w:tc>
          <w:tcPr>
            <w:tcW w:w="801" w:type="pct"/>
            <w:tcBorders>
              <w:top w:val="nil"/>
              <w:left w:val="nil"/>
              <w:bottom w:val="nil"/>
              <w:right w:val="nil"/>
            </w:tcBorders>
            <w:shd w:val="clear" w:color="auto" w:fill="auto"/>
            <w:noWrap/>
            <w:hideMark/>
          </w:tcPr>
          <w:p w14:paraId="59E482BD" w14:textId="77777777" w:rsidR="00286BED" w:rsidRPr="001A4D4E" w:rsidRDefault="00286BED" w:rsidP="00312E88">
            <w:pPr>
              <w:jc w:val="center"/>
              <w:rPr>
                <w:rFonts w:cs="Arial"/>
                <w:color w:val="000000"/>
                <w:sz w:val="18"/>
                <w:szCs w:val="18"/>
              </w:rPr>
            </w:pPr>
            <w:r w:rsidRPr="001A4D4E">
              <w:rPr>
                <w:rFonts w:cs="Arial"/>
                <w:color w:val="000000"/>
                <w:sz w:val="18"/>
                <w:szCs w:val="18"/>
              </w:rPr>
              <w:t>95,500</w:t>
            </w:r>
          </w:p>
        </w:tc>
        <w:tc>
          <w:tcPr>
            <w:tcW w:w="700" w:type="pct"/>
            <w:tcBorders>
              <w:top w:val="nil"/>
              <w:left w:val="nil"/>
              <w:bottom w:val="nil"/>
              <w:right w:val="single" w:sz="4" w:space="0" w:color="auto"/>
            </w:tcBorders>
            <w:shd w:val="clear" w:color="auto" w:fill="auto"/>
            <w:noWrap/>
            <w:hideMark/>
          </w:tcPr>
          <w:p w14:paraId="2E7881ED" w14:textId="77777777" w:rsidR="00286BED" w:rsidRPr="001A4D4E" w:rsidRDefault="00286BED" w:rsidP="00312E88">
            <w:pPr>
              <w:jc w:val="center"/>
              <w:rPr>
                <w:rFonts w:cs="Arial"/>
                <w:color w:val="000000"/>
                <w:sz w:val="18"/>
                <w:szCs w:val="18"/>
              </w:rPr>
            </w:pPr>
            <w:r w:rsidRPr="001A4D4E">
              <w:rPr>
                <w:rFonts w:cs="Arial"/>
                <w:color w:val="000000"/>
                <w:sz w:val="18"/>
                <w:szCs w:val="18"/>
              </w:rPr>
              <w:t>116,300</w:t>
            </w:r>
          </w:p>
        </w:tc>
      </w:tr>
      <w:tr w:rsidR="00286BED" w:rsidRPr="001A4D4E" w14:paraId="54CC92F4" w14:textId="77777777" w:rsidTr="00311C55">
        <w:trPr>
          <w:trHeight w:hRule="exact" w:val="284"/>
        </w:trPr>
        <w:tc>
          <w:tcPr>
            <w:tcW w:w="1439" w:type="pct"/>
            <w:tcBorders>
              <w:top w:val="nil"/>
              <w:left w:val="single" w:sz="4" w:space="0" w:color="auto"/>
              <w:bottom w:val="nil"/>
              <w:right w:val="single" w:sz="4" w:space="0" w:color="auto"/>
            </w:tcBorders>
            <w:shd w:val="clear" w:color="auto" w:fill="auto"/>
            <w:noWrap/>
            <w:hideMark/>
          </w:tcPr>
          <w:p w14:paraId="5834EB5B" w14:textId="77777777" w:rsidR="00286BED" w:rsidRPr="001A4D4E" w:rsidRDefault="00286BED" w:rsidP="00312E88">
            <w:pPr>
              <w:rPr>
                <w:rFonts w:cs="Arial"/>
                <w:color w:val="000000"/>
                <w:sz w:val="18"/>
                <w:szCs w:val="18"/>
              </w:rPr>
            </w:pPr>
            <w:r w:rsidRPr="001A4D4E">
              <w:rPr>
                <w:rFonts w:cs="Arial"/>
                <w:color w:val="000000"/>
                <w:sz w:val="18"/>
                <w:szCs w:val="18"/>
              </w:rPr>
              <w:t>Psychosocial Disability</w:t>
            </w:r>
          </w:p>
        </w:tc>
        <w:tc>
          <w:tcPr>
            <w:tcW w:w="760" w:type="pct"/>
            <w:tcBorders>
              <w:top w:val="nil"/>
              <w:left w:val="nil"/>
              <w:bottom w:val="nil"/>
              <w:right w:val="nil"/>
            </w:tcBorders>
            <w:shd w:val="clear" w:color="auto" w:fill="auto"/>
            <w:noWrap/>
            <w:hideMark/>
          </w:tcPr>
          <w:p w14:paraId="0135E651" w14:textId="77777777" w:rsidR="00286BED" w:rsidRPr="001A4D4E" w:rsidRDefault="00286BED" w:rsidP="00312E88">
            <w:pPr>
              <w:jc w:val="center"/>
              <w:rPr>
                <w:rFonts w:cs="Arial"/>
                <w:color w:val="000000"/>
                <w:sz w:val="18"/>
                <w:szCs w:val="18"/>
              </w:rPr>
            </w:pPr>
            <w:r w:rsidRPr="001A4D4E">
              <w:rPr>
                <w:rFonts w:cs="Arial"/>
                <w:color w:val="000000"/>
                <w:sz w:val="18"/>
                <w:szCs w:val="18"/>
              </w:rPr>
              <w:t>8,300</w:t>
            </w:r>
          </w:p>
        </w:tc>
        <w:tc>
          <w:tcPr>
            <w:tcW w:w="671" w:type="pct"/>
            <w:tcBorders>
              <w:top w:val="nil"/>
              <w:left w:val="nil"/>
              <w:bottom w:val="nil"/>
              <w:right w:val="nil"/>
            </w:tcBorders>
            <w:shd w:val="clear" w:color="auto" w:fill="auto"/>
            <w:noWrap/>
            <w:hideMark/>
          </w:tcPr>
          <w:p w14:paraId="0BD16641" w14:textId="77777777" w:rsidR="00286BED" w:rsidRPr="001A4D4E" w:rsidRDefault="00286BED" w:rsidP="00312E88">
            <w:pPr>
              <w:jc w:val="center"/>
              <w:rPr>
                <w:rFonts w:cs="Arial"/>
                <w:color w:val="000000"/>
                <w:sz w:val="18"/>
                <w:szCs w:val="18"/>
              </w:rPr>
            </w:pPr>
            <w:r w:rsidRPr="001A4D4E">
              <w:rPr>
                <w:rFonts w:cs="Arial"/>
                <w:color w:val="000000"/>
                <w:sz w:val="18"/>
                <w:szCs w:val="18"/>
              </w:rPr>
              <w:t>31,200</w:t>
            </w:r>
          </w:p>
        </w:tc>
        <w:tc>
          <w:tcPr>
            <w:tcW w:w="630" w:type="pct"/>
            <w:tcBorders>
              <w:top w:val="nil"/>
              <w:left w:val="nil"/>
              <w:bottom w:val="nil"/>
              <w:right w:val="nil"/>
            </w:tcBorders>
            <w:shd w:val="clear" w:color="auto" w:fill="auto"/>
            <w:noWrap/>
            <w:hideMark/>
          </w:tcPr>
          <w:p w14:paraId="7B4C8143" w14:textId="77777777" w:rsidR="00286BED" w:rsidRPr="001A4D4E" w:rsidRDefault="00286BED" w:rsidP="00312E88">
            <w:pPr>
              <w:jc w:val="center"/>
              <w:rPr>
                <w:rFonts w:cs="Arial"/>
                <w:color w:val="000000"/>
                <w:sz w:val="18"/>
                <w:szCs w:val="18"/>
              </w:rPr>
            </w:pPr>
            <w:r w:rsidRPr="001A4D4E">
              <w:rPr>
                <w:rFonts w:cs="Arial"/>
                <w:color w:val="000000"/>
                <w:sz w:val="18"/>
                <w:szCs w:val="18"/>
              </w:rPr>
              <w:t>48,300</w:t>
            </w:r>
          </w:p>
        </w:tc>
        <w:tc>
          <w:tcPr>
            <w:tcW w:w="801" w:type="pct"/>
            <w:tcBorders>
              <w:top w:val="nil"/>
              <w:left w:val="nil"/>
              <w:bottom w:val="nil"/>
              <w:right w:val="nil"/>
            </w:tcBorders>
            <w:shd w:val="clear" w:color="auto" w:fill="auto"/>
            <w:noWrap/>
            <w:hideMark/>
          </w:tcPr>
          <w:p w14:paraId="4107CEC7" w14:textId="77777777" w:rsidR="00286BED" w:rsidRPr="001A4D4E" w:rsidRDefault="00286BED" w:rsidP="00312E88">
            <w:pPr>
              <w:jc w:val="center"/>
              <w:rPr>
                <w:rFonts w:cs="Arial"/>
                <w:color w:val="000000"/>
                <w:sz w:val="18"/>
                <w:szCs w:val="18"/>
              </w:rPr>
            </w:pPr>
            <w:r w:rsidRPr="001A4D4E">
              <w:rPr>
                <w:rFonts w:cs="Arial"/>
                <w:color w:val="000000"/>
                <w:sz w:val="18"/>
                <w:szCs w:val="18"/>
              </w:rPr>
              <w:t>71,700</w:t>
            </w:r>
          </w:p>
        </w:tc>
        <w:tc>
          <w:tcPr>
            <w:tcW w:w="700" w:type="pct"/>
            <w:tcBorders>
              <w:top w:val="nil"/>
              <w:left w:val="nil"/>
              <w:bottom w:val="nil"/>
              <w:right w:val="single" w:sz="4" w:space="0" w:color="auto"/>
            </w:tcBorders>
            <w:shd w:val="clear" w:color="auto" w:fill="auto"/>
            <w:noWrap/>
            <w:hideMark/>
          </w:tcPr>
          <w:p w14:paraId="63948C05" w14:textId="77777777" w:rsidR="00286BED" w:rsidRPr="001A4D4E" w:rsidRDefault="00286BED" w:rsidP="00312E88">
            <w:pPr>
              <w:jc w:val="center"/>
              <w:rPr>
                <w:rFonts w:cs="Arial"/>
                <w:color w:val="000000"/>
                <w:sz w:val="18"/>
                <w:szCs w:val="18"/>
              </w:rPr>
            </w:pPr>
            <w:r w:rsidRPr="001A4D4E">
              <w:rPr>
                <w:rFonts w:cs="Arial"/>
                <w:color w:val="000000"/>
                <w:sz w:val="18"/>
                <w:szCs w:val="18"/>
              </w:rPr>
              <w:t>67,000</w:t>
            </w:r>
          </w:p>
        </w:tc>
      </w:tr>
      <w:tr w:rsidR="00286BED" w:rsidRPr="001A4D4E" w14:paraId="47F5C91F" w14:textId="77777777" w:rsidTr="00311C55">
        <w:trPr>
          <w:trHeight w:hRule="exact" w:val="284"/>
        </w:trPr>
        <w:tc>
          <w:tcPr>
            <w:tcW w:w="1439" w:type="pct"/>
            <w:tcBorders>
              <w:top w:val="nil"/>
              <w:left w:val="single" w:sz="4" w:space="0" w:color="auto"/>
              <w:bottom w:val="nil"/>
              <w:right w:val="single" w:sz="4" w:space="0" w:color="auto"/>
            </w:tcBorders>
            <w:shd w:val="clear" w:color="auto" w:fill="auto"/>
            <w:noWrap/>
            <w:hideMark/>
          </w:tcPr>
          <w:p w14:paraId="472E6D23" w14:textId="77777777" w:rsidR="00286BED" w:rsidRPr="001A4D4E" w:rsidRDefault="00286BED" w:rsidP="00312E88">
            <w:pPr>
              <w:rPr>
                <w:rFonts w:cs="Arial"/>
                <w:color w:val="000000"/>
                <w:sz w:val="18"/>
                <w:szCs w:val="18"/>
              </w:rPr>
            </w:pPr>
            <w:r w:rsidRPr="001A4D4E">
              <w:rPr>
                <w:rFonts w:cs="Arial"/>
                <w:color w:val="000000"/>
                <w:sz w:val="18"/>
                <w:szCs w:val="18"/>
              </w:rPr>
              <w:t>Developmental Delay</w:t>
            </w:r>
          </w:p>
        </w:tc>
        <w:tc>
          <w:tcPr>
            <w:tcW w:w="760" w:type="pct"/>
            <w:tcBorders>
              <w:top w:val="nil"/>
              <w:left w:val="nil"/>
              <w:bottom w:val="nil"/>
              <w:right w:val="nil"/>
            </w:tcBorders>
            <w:shd w:val="clear" w:color="auto" w:fill="auto"/>
            <w:noWrap/>
            <w:hideMark/>
          </w:tcPr>
          <w:p w14:paraId="5B1DB107" w14:textId="77777777" w:rsidR="00286BED" w:rsidRPr="001A4D4E" w:rsidRDefault="00286BED" w:rsidP="00312E88">
            <w:pPr>
              <w:jc w:val="center"/>
              <w:rPr>
                <w:rFonts w:cs="Arial"/>
                <w:color w:val="000000"/>
                <w:sz w:val="18"/>
                <w:szCs w:val="18"/>
              </w:rPr>
            </w:pPr>
            <w:r w:rsidRPr="001A4D4E">
              <w:rPr>
                <w:rFonts w:cs="Arial"/>
                <w:color w:val="000000"/>
                <w:sz w:val="18"/>
                <w:szCs w:val="18"/>
              </w:rPr>
              <w:t>14,400</w:t>
            </w:r>
          </w:p>
        </w:tc>
        <w:tc>
          <w:tcPr>
            <w:tcW w:w="671" w:type="pct"/>
            <w:tcBorders>
              <w:top w:val="nil"/>
              <w:left w:val="nil"/>
              <w:bottom w:val="nil"/>
              <w:right w:val="nil"/>
            </w:tcBorders>
            <w:shd w:val="clear" w:color="auto" w:fill="auto"/>
            <w:noWrap/>
            <w:hideMark/>
          </w:tcPr>
          <w:p w14:paraId="1D1D472A" w14:textId="77777777" w:rsidR="00286BED" w:rsidRPr="001A4D4E" w:rsidRDefault="00286BED" w:rsidP="00312E88">
            <w:pPr>
              <w:jc w:val="center"/>
              <w:rPr>
                <w:rFonts w:cs="Arial"/>
                <w:color w:val="000000"/>
                <w:sz w:val="18"/>
                <w:szCs w:val="18"/>
              </w:rPr>
            </w:pPr>
            <w:r w:rsidRPr="001A4D4E">
              <w:rPr>
                <w:rFonts w:cs="Arial"/>
                <w:color w:val="000000"/>
                <w:sz w:val="18"/>
                <w:szCs w:val="18"/>
              </w:rPr>
              <w:t>12,300</w:t>
            </w:r>
          </w:p>
        </w:tc>
        <w:tc>
          <w:tcPr>
            <w:tcW w:w="630" w:type="pct"/>
            <w:tcBorders>
              <w:top w:val="nil"/>
              <w:left w:val="nil"/>
              <w:bottom w:val="nil"/>
              <w:right w:val="nil"/>
            </w:tcBorders>
            <w:shd w:val="clear" w:color="auto" w:fill="auto"/>
            <w:noWrap/>
            <w:hideMark/>
          </w:tcPr>
          <w:p w14:paraId="073FE623" w14:textId="77777777" w:rsidR="00286BED" w:rsidRPr="001A4D4E" w:rsidRDefault="00286BED" w:rsidP="00312E88">
            <w:pPr>
              <w:jc w:val="center"/>
              <w:rPr>
                <w:rFonts w:cs="Arial"/>
                <w:color w:val="000000"/>
                <w:sz w:val="18"/>
                <w:szCs w:val="18"/>
              </w:rPr>
            </w:pPr>
          </w:p>
        </w:tc>
        <w:tc>
          <w:tcPr>
            <w:tcW w:w="801" w:type="pct"/>
            <w:tcBorders>
              <w:top w:val="nil"/>
              <w:left w:val="nil"/>
              <w:bottom w:val="nil"/>
              <w:right w:val="nil"/>
            </w:tcBorders>
            <w:shd w:val="clear" w:color="auto" w:fill="auto"/>
            <w:noWrap/>
            <w:hideMark/>
          </w:tcPr>
          <w:p w14:paraId="396C71F4" w14:textId="77777777" w:rsidR="00286BED" w:rsidRPr="001A4D4E" w:rsidRDefault="00286BED" w:rsidP="00312E88">
            <w:pPr>
              <w:jc w:val="center"/>
              <w:rPr>
                <w:sz w:val="18"/>
                <w:szCs w:val="18"/>
              </w:rPr>
            </w:pPr>
          </w:p>
        </w:tc>
        <w:tc>
          <w:tcPr>
            <w:tcW w:w="700" w:type="pct"/>
            <w:tcBorders>
              <w:top w:val="nil"/>
              <w:left w:val="nil"/>
              <w:bottom w:val="nil"/>
              <w:right w:val="single" w:sz="4" w:space="0" w:color="auto"/>
            </w:tcBorders>
            <w:shd w:val="clear" w:color="auto" w:fill="auto"/>
            <w:noWrap/>
            <w:hideMark/>
          </w:tcPr>
          <w:p w14:paraId="105C820C" w14:textId="77777777" w:rsidR="00286BED" w:rsidRPr="001A4D4E" w:rsidRDefault="00286BED" w:rsidP="00312E88">
            <w:pPr>
              <w:jc w:val="center"/>
              <w:rPr>
                <w:sz w:val="18"/>
                <w:szCs w:val="18"/>
              </w:rPr>
            </w:pPr>
          </w:p>
        </w:tc>
      </w:tr>
      <w:tr w:rsidR="00286BED" w:rsidRPr="001A4D4E" w14:paraId="16EF4247" w14:textId="77777777" w:rsidTr="00311C55">
        <w:trPr>
          <w:trHeight w:hRule="exact" w:val="284"/>
        </w:trPr>
        <w:tc>
          <w:tcPr>
            <w:tcW w:w="1439" w:type="pct"/>
            <w:tcBorders>
              <w:top w:val="nil"/>
              <w:left w:val="single" w:sz="4" w:space="0" w:color="auto"/>
              <w:bottom w:val="nil"/>
              <w:right w:val="single" w:sz="4" w:space="0" w:color="auto"/>
            </w:tcBorders>
            <w:shd w:val="clear" w:color="auto" w:fill="auto"/>
            <w:noWrap/>
            <w:hideMark/>
          </w:tcPr>
          <w:p w14:paraId="3B317E08" w14:textId="77777777" w:rsidR="00286BED" w:rsidRPr="001A4D4E" w:rsidRDefault="00286BED" w:rsidP="00312E88">
            <w:pPr>
              <w:rPr>
                <w:rFonts w:cs="Arial"/>
                <w:color w:val="000000"/>
                <w:sz w:val="18"/>
                <w:szCs w:val="18"/>
              </w:rPr>
            </w:pPr>
            <w:r w:rsidRPr="001A4D4E">
              <w:rPr>
                <w:rFonts w:cs="Arial"/>
                <w:color w:val="000000"/>
                <w:sz w:val="18"/>
                <w:szCs w:val="18"/>
              </w:rPr>
              <w:t>Sensory</w:t>
            </w:r>
          </w:p>
        </w:tc>
        <w:tc>
          <w:tcPr>
            <w:tcW w:w="760" w:type="pct"/>
            <w:tcBorders>
              <w:top w:val="nil"/>
              <w:left w:val="nil"/>
              <w:bottom w:val="nil"/>
              <w:right w:val="nil"/>
            </w:tcBorders>
            <w:shd w:val="clear" w:color="auto" w:fill="auto"/>
            <w:noWrap/>
            <w:hideMark/>
          </w:tcPr>
          <w:p w14:paraId="74BCD597" w14:textId="77777777" w:rsidR="00286BED" w:rsidRPr="001A4D4E" w:rsidRDefault="00286BED" w:rsidP="00312E88">
            <w:pPr>
              <w:jc w:val="center"/>
              <w:rPr>
                <w:rFonts w:cs="Arial"/>
                <w:color w:val="000000"/>
                <w:sz w:val="18"/>
                <w:szCs w:val="18"/>
              </w:rPr>
            </w:pPr>
            <w:r w:rsidRPr="001A4D4E">
              <w:rPr>
                <w:rFonts w:cs="Arial"/>
                <w:color w:val="000000"/>
                <w:sz w:val="18"/>
                <w:szCs w:val="18"/>
              </w:rPr>
              <w:t>12,500</w:t>
            </w:r>
          </w:p>
        </w:tc>
        <w:tc>
          <w:tcPr>
            <w:tcW w:w="671" w:type="pct"/>
            <w:tcBorders>
              <w:top w:val="nil"/>
              <w:left w:val="nil"/>
              <w:bottom w:val="nil"/>
              <w:right w:val="nil"/>
            </w:tcBorders>
            <w:shd w:val="clear" w:color="auto" w:fill="auto"/>
            <w:noWrap/>
            <w:hideMark/>
          </w:tcPr>
          <w:p w14:paraId="0B5AF626" w14:textId="77777777" w:rsidR="00286BED" w:rsidRPr="001A4D4E" w:rsidRDefault="00286BED" w:rsidP="00312E88">
            <w:pPr>
              <w:jc w:val="center"/>
              <w:rPr>
                <w:rFonts w:cs="Arial"/>
                <w:color w:val="000000"/>
                <w:sz w:val="18"/>
                <w:szCs w:val="18"/>
              </w:rPr>
            </w:pPr>
            <w:r w:rsidRPr="001A4D4E">
              <w:rPr>
                <w:rFonts w:cs="Arial"/>
                <w:color w:val="000000"/>
                <w:sz w:val="18"/>
                <w:szCs w:val="18"/>
              </w:rPr>
              <w:t>9,300</w:t>
            </w:r>
          </w:p>
        </w:tc>
        <w:tc>
          <w:tcPr>
            <w:tcW w:w="630" w:type="pct"/>
            <w:tcBorders>
              <w:top w:val="nil"/>
              <w:left w:val="nil"/>
              <w:bottom w:val="nil"/>
              <w:right w:val="nil"/>
            </w:tcBorders>
            <w:shd w:val="clear" w:color="auto" w:fill="auto"/>
            <w:noWrap/>
            <w:hideMark/>
          </w:tcPr>
          <w:p w14:paraId="3BA1BFAF" w14:textId="77777777" w:rsidR="00286BED" w:rsidRPr="001A4D4E" w:rsidRDefault="00286BED" w:rsidP="00312E88">
            <w:pPr>
              <w:jc w:val="center"/>
              <w:rPr>
                <w:rFonts w:cs="Arial"/>
                <w:color w:val="000000"/>
                <w:sz w:val="18"/>
                <w:szCs w:val="18"/>
              </w:rPr>
            </w:pPr>
            <w:r w:rsidRPr="001A4D4E">
              <w:rPr>
                <w:rFonts w:cs="Arial"/>
                <w:color w:val="000000"/>
                <w:sz w:val="18"/>
                <w:szCs w:val="18"/>
              </w:rPr>
              <w:t>9,800</w:t>
            </w:r>
          </w:p>
        </w:tc>
        <w:tc>
          <w:tcPr>
            <w:tcW w:w="801" w:type="pct"/>
            <w:tcBorders>
              <w:top w:val="nil"/>
              <w:left w:val="nil"/>
              <w:bottom w:val="nil"/>
              <w:right w:val="nil"/>
            </w:tcBorders>
            <w:shd w:val="clear" w:color="auto" w:fill="auto"/>
            <w:noWrap/>
            <w:hideMark/>
          </w:tcPr>
          <w:p w14:paraId="47437909" w14:textId="77777777" w:rsidR="00286BED" w:rsidRPr="001A4D4E" w:rsidRDefault="00286BED" w:rsidP="00312E88">
            <w:pPr>
              <w:jc w:val="center"/>
              <w:rPr>
                <w:rFonts w:cs="Arial"/>
                <w:color w:val="000000"/>
                <w:sz w:val="18"/>
                <w:szCs w:val="18"/>
              </w:rPr>
            </w:pPr>
            <w:r w:rsidRPr="001A4D4E">
              <w:rPr>
                <w:rFonts w:cs="Arial"/>
                <w:color w:val="000000"/>
                <w:sz w:val="18"/>
                <w:szCs w:val="18"/>
              </w:rPr>
              <w:t>13,800</w:t>
            </w:r>
          </w:p>
        </w:tc>
        <w:tc>
          <w:tcPr>
            <w:tcW w:w="700" w:type="pct"/>
            <w:tcBorders>
              <w:top w:val="nil"/>
              <w:left w:val="nil"/>
              <w:bottom w:val="nil"/>
              <w:right w:val="single" w:sz="4" w:space="0" w:color="auto"/>
            </w:tcBorders>
            <w:shd w:val="clear" w:color="auto" w:fill="auto"/>
            <w:noWrap/>
            <w:hideMark/>
          </w:tcPr>
          <w:p w14:paraId="02872DA8" w14:textId="77777777" w:rsidR="00286BED" w:rsidRPr="001A4D4E" w:rsidRDefault="00286BED" w:rsidP="00312E88">
            <w:pPr>
              <w:jc w:val="center"/>
              <w:rPr>
                <w:rFonts w:cs="Arial"/>
                <w:color w:val="000000"/>
                <w:sz w:val="18"/>
                <w:szCs w:val="18"/>
              </w:rPr>
            </w:pPr>
            <w:r w:rsidRPr="001A4D4E">
              <w:rPr>
                <w:rFonts w:cs="Arial"/>
                <w:color w:val="000000"/>
                <w:sz w:val="18"/>
                <w:szCs w:val="18"/>
              </w:rPr>
              <w:t>17,700</w:t>
            </w:r>
          </w:p>
        </w:tc>
      </w:tr>
      <w:tr w:rsidR="00286BED" w:rsidRPr="001A4D4E" w14:paraId="48BC2A2F" w14:textId="77777777" w:rsidTr="00311C55">
        <w:trPr>
          <w:trHeight w:hRule="exact" w:val="284"/>
        </w:trPr>
        <w:tc>
          <w:tcPr>
            <w:tcW w:w="1439" w:type="pct"/>
            <w:tcBorders>
              <w:top w:val="nil"/>
              <w:left w:val="single" w:sz="4" w:space="0" w:color="auto"/>
              <w:bottom w:val="nil"/>
              <w:right w:val="single" w:sz="4" w:space="0" w:color="auto"/>
            </w:tcBorders>
            <w:shd w:val="clear" w:color="auto" w:fill="auto"/>
            <w:noWrap/>
            <w:hideMark/>
          </w:tcPr>
          <w:p w14:paraId="73CE52C4" w14:textId="77777777" w:rsidR="00286BED" w:rsidRPr="001A4D4E" w:rsidRDefault="00286BED" w:rsidP="00312E88">
            <w:pPr>
              <w:rPr>
                <w:rFonts w:cs="Arial"/>
                <w:color w:val="000000"/>
                <w:sz w:val="18"/>
                <w:szCs w:val="18"/>
              </w:rPr>
            </w:pPr>
            <w:r w:rsidRPr="001A4D4E">
              <w:rPr>
                <w:rFonts w:cs="Arial"/>
                <w:color w:val="000000"/>
                <w:sz w:val="18"/>
                <w:szCs w:val="18"/>
              </w:rPr>
              <w:t>Other</w:t>
            </w:r>
          </w:p>
        </w:tc>
        <w:tc>
          <w:tcPr>
            <w:tcW w:w="760" w:type="pct"/>
            <w:tcBorders>
              <w:top w:val="nil"/>
              <w:left w:val="nil"/>
              <w:bottom w:val="nil"/>
              <w:right w:val="nil"/>
            </w:tcBorders>
            <w:shd w:val="clear" w:color="auto" w:fill="auto"/>
            <w:noWrap/>
            <w:hideMark/>
          </w:tcPr>
          <w:p w14:paraId="4D4A2A27" w14:textId="77777777" w:rsidR="00286BED" w:rsidRPr="001A4D4E" w:rsidRDefault="00286BED" w:rsidP="00312E88">
            <w:pPr>
              <w:jc w:val="center"/>
              <w:rPr>
                <w:rFonts w:cs="Arial"/>
                <w:color w:val="000000"/>
                <w:sz w:val="18"/>
                <w:szCs w:val="18"/>
              </w:rPr>
            </w:pPr>
            <w:r w:rsidRPr="001A4D4E">
              <w:rPr>
                <w:rFonts w:cs="Arial"/>
                <w:color w:val="000000"/>
                <w:sz w:val="18"/>
                <w:szCs w:val="18"/>
              </w:rPr>
              <w:t>53,600</w:t>
            </w:r>
          </w:p>
        </w:tc>
        <w:tc>
          <w:tcPr>
            <w:tcW w:w="671" w:type="pct"/>
            <w:tcBorders>
              <w:top w:val="nil"/>
              <w:left w:val="nil"/>
              <w:bottom w:val="nil"/>
              <w:right w:val="nil"/>
            </w:tcBorders>
            <w:shd w:val="clear" w:color="auto" w:fill="auto"/>
            <w:noWrap/>
            <w:hideMark/>
          </w:tcPr>
          <w:p w14:paraId="31400B3C" w14:textId="77777777" w:rsidR="00286BED" w:rsidRPr="001A4D4E" w:rsidRDefault="00286BED" w:rsidP="00312E88">
            <w:pPr>
              <w:jc w:val="center"/>
              <w:rPr>
                <w:rFonts w:cs="Arial"/>
                <w:color w:val="000000"/>
                <w:sz w:val="18"/>
                <w:szCs w:val="18"/>
              </w:rPr>
            </w:pPr>
            <w:r w:rsidRPr="001A4D4E">
              <w:rPr>
                <w:rFonts w:cs="Arial"/>
                <w:color w:val="000000"/>
                <w:sz w:val="18"/>
                <w:szCs w:val="18"/>
              </w:rPr>
              <w:t>55,200</w:t>
            </w:r>
          </w:p>
        </w:tc>
        <w:tc>
          <w:tcPr>
            <w:tcW w:w="630" w:type="pct"/>
            <w:tcBorders>
              <w:top w:val="nil"/>
              <w:left w:val="nil"/>
              <w:bottom w:val="nil"/>
              <w:right w:val="nil"/>
            </w:tcBorders>
            <w:shd w:val="clear" w:color="auto" w:fill="auto"/>
            <w:noWrap/>
            <w:hideMark/>
          </w:tcPr>
          <w:p w14:paraId="00FBDA50" w14:textId="77777777" w:rsidR="00286BED" w:rsidRPr="001A4D4E" w:rsidRDefault="00286BED" w:rsidP="00312E88">
            <w:pPr>
              <w:jc w:val="center"/>
              <w:rPr>
                <w:rFonts w:cs="Arial"/>
                <w:color w:val="000000"/>
                <w:sz w:val="18"/>
                <w:szCs w:val="18"/>
              </w:rPr>
            </w:pPr>
            <w:r w:rsidRPr="001A4D4E">
              <w:rPr>
                <w:rFonts w:cs="Arial"/>
                <w:color w:val="000000"/>
                <w:sz w:val="18"/>
                <w:szCs w:val="18"/>
              </w:rPr>
              <w:t>81,600</w:t>
            </w:r>
          </w:p>
        </w:tc>
        <w:tc>
          <w:tcPr>
            <w:tcW w:w="801" w:type="pct"/>
            <w:tcBorders>
              <w:top w:val="nil"/>
              <w:left w:val="nil"/>
              <w:bottom w:val="nil"/>
              <w:right w:val="nil"/>
            </w:tcBorders>
            <w:shd w:val="clear" w:color="auto" w:fill="auto"/>
            <w:noWrap/>
            <w:hideMark/>
          </w:tcPr>
          <w:p w14:paraId="58F2D68C" w14:textId="77777777" w:rsidR="00286BED" w:rsidRPr="001A4D4E" w:rsidRDefault="00286BED" w:rsidP="00312E88">
            <w:pPr>
              <w:jc w:val="center"/>
              <w:rPr>
                <w:rFonts w:cs="Arial"/>
                <w:color w:val="000000"/>
                <w:sz w:val="18"/>
                <w:szCs w:val="18"/>
              </w:rPr>
            </w:pPr>
            <w:r w:rsidRPr="001A4D4E">
              <w:rPr>
                <w:rFonts w:cs="Arial"/>
                <w:color w:val="000000"/>
                <w:sz w:val="18"/>
                <w:szCs w:val="18"/>
              </w:rPr>
              <w:t>121,800</w:t>
            </w:r>
          </w:p>
        </w:tc>
        <w:tc>
          <w:tcPr>
            <w:tcW w:w="700" w:type="pct"/>
            <w:tcBorders>
              <w:top w:val="nil"/>
              <w:left w:val="nil"/>
              <w:bottom w:val="nil"/>
              <w:right w:val="single" w:sz="4" w:space="0" w:color="auto"/>
            </w:tcBorders>
            <w:shd w:val="clear" w:color="auto" w:fill="auto"/>
            <w:noWrap/>
            <w:hideMark/>
          </w:tcPr>
          <w:p w14:paraId="771DAE7F" w14:textId="77777777" w:rsidR="00286BED" w:rsidRPr="001A4D4E" w:rsidRDefault="00286BED" w:rsidP="00312E88">
            <w:pPr>
              <w:jc w:val="center"/>
              <w:rPr>
                <w:rFonts w:cs="Arial"/>
                <w:color w:val="000000"/>
                <w:sz w:val="18"/>
                <w:szCs w:val="18"/>
              </w:rPr>
            </w:pPr>
            <w:r w:rsidRPr="001A4D4E">
              <w:rPr>
                <w:rFonts w:cs="Arial"/>
                <w:color w:val="000000"/>
                <w:sz w:val="18"/>
                <w:szCs w:val="18"/>
              </w:rPr>
              <w:t>143,400</w:t>
            </w:r>
          </w:p>
        </w:tc>
      </w:tr>
      <w:tr w:rsidR="00286BED" w:rsidRPr="001A4D4E" w14:paraId="27137E26" w14:textId="77777777" w:rsidTr="00311C55">
        <w:trPr>
          <w:trHeight w:hRule="exact" w:val="284"/>
        </w:trPr>
        <w:tc>
          <w:tcPr>
            <w:tcW w:w="1439" w:type="pct"/>
            <w:tcBorders>
              <w:top w:val="single" w:sz="4" w:space="0" w:color="auto"/>
              <w:left w:val="single" w:sz="4" w:space="0" w:color="auto"/>
              <w:bottom w:val="single" w:sz="4" w:space="0" w:color="auto"/>
              <w:right w:val="single" w:sz="4" w:space="0" w:color="auto"/>
            </w:tcBorders>
            <w:shd w:val="clear" w:color="000000" w:fill="F7EEF7"/>
            <w:noWrap/>
            <w:hideMark/>
          </w:tcPr>
          <w:p w14:paraId="75AB2436" w14:textId="77777777" w:rsidR="00286BED" w:rsidRPr="001A4D4E" w:rsidRDefault="00286BED" w:rsidP="00312E88">
            <w:pPr>
              <w:rPr>
                <w:rFonts w:cs="Arial"/>
                <w:b/>
                <w:bCs/>
                <w:color w:val="000000"/>
                <w:sz w:val="18"/>
                <w:szCs w:val="18"/>
              </w:rPr>
            </w:pPr>
            <w:r w:rsidRPr="001A4D4E">
              <w:rPr>
                <w:rFonts w:cs="Arial"/>
                <w:b/>
                <w:bCs/>
                <w:color w:val="000000"/>
                <w:sz w:val="18"/>
                <w:szCs w:val="18"/>
              </w:rPr>
              <w:t>Total</w:t>
            </w:r>
          </w:p>
        </w:tc>
        <w:tc>
          <w:tcPr>
            <w:tcW w:w="760" w:type="pct"/>
            <w:tcBorders>
              <w:top w:val="single" w:sz="4" w:space="0" w:color="auto"/>
              <w:left w:val="nil"/>
              <w:bottom w:val="single" w:sz="4" w:space="0" w:color="auto"/>
              <w:right w:val="nil"/>
            </w:tcBorders>
            <w:shd w:val="clear" w:color="000000" w:fill="F7EEF7"/>
            <w:noWrap/>
            <w:hideMark/>
          </w:tcPr>
          <w:p w14:paraId="41993556" w14:textId="77777777" w:rsidR="00286BED" w:rsidRPr="001A4D4E" w:rsidRDefault="00286BED" w:rsidP="00312E88">
            <w:pPr>
              <w:jc w:val="center"/>
              <w:rPr>
                <w:rFonts w:cs="Arial"/>
                <w:b/>
                <w:bCs/>
                <w:color w:val="000000"/>
                <w:sz w:val="18"/>
                <w:szCs w:val="18"/>
              </w:rPr>
            </w:pPr>
            <w:r w:rsidRPr="001A4D4E">
              <w:rPr>
                <w:rFonts w:cs="Arial"/>
                <w:b/>
                <w:bCs/>
                <w:color w:val="000000"/>
                <w:sz w:val="18"/>
                <w:szCs w:val="18"/>
              </w:rPr>
              <w:t>19,300</w:t>
            </w:r>
          </w:p>
        </w:tc>
        <w:tc>
          <w:tcPr>
            <w:tcW w:w="671" w:type="pct"/>
            <w:tcBorders>
              <w:top w:val="single" w:sz="4" w:space="0" w:color="auto"/>
              <w:left w:val="nil"/>
              <w:bottom w:val="single" w:sz="4" w:space="0" w:color="auto"/>
              <w:right w:val="nil"/>
            </w:tcBorders>
            <w:shd w:val="clear" w:color="000000" w:fill="F7EEF7"/>
            <w:noWrap/>
            <w:hideMark/>
          </w:tcPr>
          <w:p w14:paraId="2D9FF8B0" w14:textId="77777777" w:rsidR="00286BED" w:rsidRPr="001A4D4E" w:rsidRDefault="00286BED" w:rsidP="00312E88">
            <w:pPr>
              <w:jc w:val="center"/>
              <w:rPr>
                <w:rFonts w:cs="Arial"/>
                <w:b/>
                <w:bCs/>
                <w:color w:val="000000"/>
                <w:sz w:val="18"/>
                <w:szCs w:val="18"/>
              </w:rPr>
            </w:pPr>
            <w:r w:rsidRPr="001A4D4E">
              <w:rPr>
                <w:rFonts w:cs="Arial"/>
                <w:b/>
                <w:bCs/>
                <w:color w:val="000000"/>
                <w:sz w:val="18"/>
                <w:szCs w:val="18"/>
              </w:rPr>
              <w:t>26,500</w:t>
            </w:r>
          </w:p>
        </w:tc>
        <w:tc>
          <w:tcPr>
            <w:tcW w:w="630" w:type="pct"/>
            <w:tcBorders>
              <w:top w:val="single" w:sz="4" w:space="0" w:color="auto"/>
              <w:left w:val="nil"/>
              <w:bottom w:val="single" w:sz="4" w:space="0" w:color="auto"/>
              <w:right w:val="nil"/>
            </w:tcBorders>
            <w:shd w:val="clear" w:color="000000" w:fill="F7EEF7"/>
            <w:noWrap/>
            <w:hideMark/>
          </w:tcPr>
          <w:p w14:paraId="6D14469C" w14:textId="77777777" w:rsidR="00286BED" w:rsidRPr="001A4D4E" w:rsidRDefault="00286BED" w:rsidP="00312E88">
            <w:pPr>
              <w:jc w:val="center"/>
              <w:rPr>
                <w:rFonts w:cs="Arial"/>
                <w:b/>
                <w:bCs/>
                <w:color w:val="000000"/>
                <w:sz w:val="18"/>
                <w:szCs w:val="18"/>
              </w:rPr>
            </w:pPr>
            <w:r w:rsidRPr="001A4D4E">
              <w:rPr>
                <w:rFonts w:cs="Arial"/>
                <w:b/>
                <w:bCs/>
                <w:color w:val="000000"/>
                <w:sz w:val="18"/>
                <w:szCs w:val="18"/>
              </w:rPr>
              <w:t>45,100</w:t>
            </w:r>
          </w:p>
        </w:tc>
        <w:tc>
          <w:tcPr>
            <w:tcW w:w="801" w:type="pct"/>
            <w:tcBorders>
              <w:top w:val="single" w:sz="4" w:space="0" w:color="auto"/>
              <w:left w:val="nil"/>
              <w:bottom w:val="single" w:sz="4" w:space="0" w:color="auto"/>
              <w:right w:val="nil"/>
            </w:tcBorders>
            <w:shd w:val="clear" w:color="000000" w:fill="F7EEF7"/>
            <w:noWrap/>
            <w:hideMark/>
          </w:tcPr>
          <w:p w14:paraId="3DE5C43C" w14:textId="77777777" w:rsidR="00286BED" w:rsidRPr="001A4D4E" w:rsidRDefault="00286BED" w:rsidP="00312E88">
            <w:pPr>
              <w:jc w:val="center"/>
              <w:rPr>
                <w:rFonts w:cs="Arial"/>
                <w:b/>
                <w:bCs/>
                <w:color w:val="000000"/>
                <w:sz w:val="18"/>
                <w:szCs w:val="18"/>
              </w:rPr>
            </w:pPr>
            <w:r w:rsidRPr="001A4D4E">
              <w:rPr>
                <w:rFonts w:cs="Arial"/>
                <w:b/>
                <w:bCs/>
                <w:color w:val="000000"/>
                <w:sz w:val="18"/>
                <w:szCs w:val="18"/>
              </w:rPr>
              <w:t>79,900</w:t>
            </w:r>
          </w:p>
        </w:tc>
        <w:tc>
          <w:tcPr>
            <w:tcW w:w="700" w:type="pct"/>
            <w:tcBorders>
              <w:top w:val="single" w:sz="4" w:space="0" w:color="auto"/>
              <w:left w:val="nil"/>
              <w:bottom w:val="single" w:sz="4" w:space="0" w:color="auto"/>
              <w:right w:val="single" w:sz="4" w:space="0" w:color="auto"/>
            </w:tcBorders>
            <w:shd w:val="clear" w:color="000000" w:fill="F7EEF7"/>
            <w:noWrap/>
            <w:hideMark/>
          </w:tcPr>
          <w:p w14:paraId="32A60B7D" w14:textId="77777777" w:rsidR="00286BED" w:rsidRPr="001A4D4E" w:rsidRDefault="00286BED" w:rsidP="00312E88">
            <w:pPr>
              <w:jc w:val="center"/>
              <w:rPr>
                <w:rFonts w:cs="Arial"/>
                <w:b/>
                <w:bCs/>
                <w:color w:val="000000"/>
                <w:sz w:val="18"/>
                <w:szCs w:val="18"/>
              </w:rPr>
            </w:pPr>
            <w:r w:rsidRPr="001A4D4E">
              <w:rPr>
                <w:rFonts w:cs="Arial"/>
                <w:b/>
                <w:bCs/>
                <w:color w:val="000000"/>
                <w:sz w:val="18"/>
                <w:szCs w:val="18"/>
              </w:rPr>
              <w:t>101,100</w:t>
            </w:r>
          </w:p>
        </w:tc>
      </w:tr>
    </w:tbl>
    <w:p w14:paraId="55AFB086" w14:textId="3E87B9FE" w:rsidR="00311C55" w:rsidRDefault="00311C55"/>
    <w:p w14:paraId="77F7275A" w14:textId="0E861B6C" w:rsidR="00604441" w:rsidRDefault="00604441"/>
    <w:p w14:paraId="49D6B382" w14:textId="77777777" w:rsidR="00604441" w:rsidRDefault="00604441"/>
    <w:tbl>
      <w:tblPr>
        <w:tblW w:w="5000" w:type="pct"/>
        <w:tblLook w:val="04A0" w:firstRow="1" w:lastRow="0" w:firstColumn="1" w:lastColumn="0" w:noHBand="0" w:noVBand="1"/>
      </w:tblPr>
      <w:tblGrid>
        <w:gridCol w:w="2597"/>
        <w:gridCol w:w="1370"/>
        <w:gridCol w:w="1210"/>
        <w:gridCol w:w="1136"/>
        <w:gridCol w:w="1444"/>
        <w:gridCol w:w="1259"/>
      </w:tblGrid>
      <w:tr w:rsidR="00286BED" w:rsidRPr="001A4D4E" w14:paraId="7A3DB235" w14:textId="77777777" w:rsidTr="00604441">
        <w:trPr>
          <w:trHeight w:hRule="exact" w:val="284"/>
        </w:trPr>
        <w:tc>
          <w:tcPr>
            <w:tcW w:w="1440" w:type="pct"/>
            <w:tcBorders>
              <w:top w:val="single" w:sz="4" w:space="0" w:color="auto"/>
              <w:left w:val="single" w:sz="4" w:space="0" w:color="auto"/>
              <w:bottom w:val="single" w:sz="4" w:space="0" w:color="auto"/>
              <w:right w:val="single" w:sz="4" w:space="0" w:color="auto"/>
            </w:tcBorders>
            <w:shd w:val="clear" w:color="auto" w:fill="6B2E76"/>
            <w:noWrap/>
            <w:hideMark/>
          </w:tcPr>
          <w:p w14:paraId="31DB3313" w14:textId="77777777" w:rsidR="00286BED" w:rsidRPr="001A4D4E" w:rsidRDefault="00286BED" w:rsidP="00312E88">
            <w:pPr>
              <w:rPr>
                <w:rFonts w:cs="Arial"/>
                <w:b/>
                <w:bCs/>
                <w:color w:val="FFFFFF"/>
                <w:sz w:val="18"/>
                <w:szCs w:val="18"/>
              </w:rPr>
            </w:pPr>
            <w:r w:rsidRPr="001A4D4E">
              <w:rPr>
                <w:rFonts w:cs="Arial"/>
                <w:b/>
                <w:bCs/>
                <w:color w:val="FFFFFF"/>
                <w:sz w:val="18"/>
                <w:szCs w:val="18"/>
              </w:rPr>
              <w:t>Disability Group</w:t>
            </w:r>
          </w:p>
        </w:tc>
        <w:tc>
          <w:tcPr>
            <w:tcW w:w="760" w:type="pct"/>
            <w:tcBorders>
              <w:bottom w:val="single" w:sz="4" w:space="0" w:color="auto"/>
            </w:tcBorders>
            <w:shd w:val="clear" w:color="auto" w:fill="6B2E76"/>
          </w:tcPr>
          <w:p w14:paraId="41432D61" w14:textId="77777777" w:rsidR="00286BED" w:rsidRPr="00667947" w:rsidRDefault="00286BED" w:rsidP="00312E88">
            <w:pPr>
              <w:spacing w:after="160" w:line="259" w:lineRule="auto"/>
              <w:jc w:val="center"/>
              <w:rPr>
                <w:sz w:val="18"/>
                <w:szCs w:val="18"/>
              </w:rPr>
            </w:pPr>
            <w:r w:rsidRPr="00667947">
              <w:rPr>
                <w:rFonts w:cs="Arial"/>
                <w:b/>
                <w:bCs/>
                <w:color w:val="FFFFFF"/>
                <w:sz w:val="18"/>
                <w:szCs w:val="18"/>
              </w:rPr>
              <w:t>35 to 44</w:t>
            </w:r>
          </w:p>
        </w:tc>
        <w:tc>
          <w:tcPr>
            <w:tcW w:w="671" w:type="pct"/>
            <w:tcBorders>
              <w:bottom w:val="single" w:sz="4" w:space="0" w:color="auto"/>
            </w:tcBorders>
            <w:shd w:val="clear" w:color="auto" w:fill="6B2E76"/>
          </w:tcPr>
          <w:p w14:paraId="4930B509" w14:textId="77777777" w:rsidR="00286BED" w:rsidRPr="00667947" w:rsidRDefault="00286BED" w:rsidP="00312E88">
            <w:pPr>
              <w:spacing w:after="160" w:line="259" w:lineRule="auto"/>
              <w:jc w:val="center"/>
              <w:rPr>
                <w:sz w:val="18"/>
                <w:szCs w:val="18"/>
              </w:rPr>
            </w:pPr>
            <w:r w:rsidRPr="00667947">
              <w:rPr>
                <w:rFonts w:cs="Arial"/>
                <w:b/>
                <w:bCs/>
                <w:color w:val="FFFFFF"/>
                <w:sz w:val="18"/>
                <w:szCs w:val="18"/>
              </w:rPr>
              <w:t>45 to 54</w:t>
            </w:r>
          </w:p>
        </w:tc>
        <w:tc>
          <w:tcPr>
            <w:tcW w:w="630" w:type="pct"/>
            <w:tcBorders>
              <w:bottom w:val="single" w:sz="4" w:space="0" w:color="auto"/>
            </w:tcBorders>
            <w:shd w:val="clear" w:color="auto" w:fill="6B2E76"/>
          </w:tcPr>
          <w:p w14:paraId="6C9DE917" w14:textId="77777777" w:rsidR="00286BED" w:rsidRPr="00667947" w:rsidRDefault="00286BED" w:rsidP="00312E88">
            <w:pPr>
              <w:spacing w:after="160" w:line="259" w:lineRule="auto"/>
              <w:jc w:val="center"/>
              <w:rPr>
                <w:sz w:val="18"/>
                <w:szCs w:val="18"/>
              </w:rPr>
            </w:pPr>
            <w:r w:rsidRPr="00667947">
              <w:rPr>
                <w:rFonts w:cs="Arial"/>
                <w:b/>
                <w:bCs/>
                <w:color w:val="FFFFFF"/>
                <w:sz w:val="18"/>
                <w:szCs w:val="18"/>
              </w:rPr>
              <w:t>55 to 64</w:t>
            </w:r>
          </w:p>
        </w:tc>
        <w:tc>
          <w:tcPr>
            <w:tcW w:w="801" w:type="pct"/>
            <w:tcBorders>
              <w:bottom w:val="single" w:sz="4" w:space="0" w:color="auto"/>
            </w:tcBorders>
            <w:shd w:val="clear" w:color="auto" w:fill="6B2E76"/>
          </w:tcPr>
          <w:p w14:paraId="01041ADC" w14:textId="77777777" w:rsidR="00286BED" w:rsidRPr="00667947" w:rsidRDefault="00286BED" w:rsidP="00312E88">
            <w:pPr>
              <w:spacing w:after="160" w:line="259" w:lineRule="auto"/>
              <w:jc w:val="center"/>
              <w:rPr>
                <w:sz w:val="18"/>
                <w:szCs w:val="18"/>
              </w:rPr>
            </w:pPr>
            <w:r w:rsidRPr="00667947">
              <w:rPr>
                <w:rFonts w:cs="Arial"/>
                <w:b/>
                <w:bCs/>
                <w:color w:val="FFFFFF"/>
                <w:sz w:val="18"/>
                <w:szCs w:val="18"/>
              </w:rPr>
              <w:t>65+</w:t>
            </w:r>
          </w:p>
        </w:tc>
        <w:tc>
          <w:tcPr>
            <w:tcW w:w="698" w:type="pct"/>
            <w:tcBorders>
              <w:bottom w:val="single" w:sz="4" w:space="0" w:color="auto"/>
              <w:right w:val="single" w:sz="4" w:space="0" w:color="auto"/>
            </w:tcBorders>
            <w:shd w:val="clear" w:color="auto" w:fill="6B2E76"/>
          </w:tcPr>
          <w:p w14:paraId="15871502" w14:textId="77777777" w:rsidR="00286BED" w:rsidRPr="00667947" w:rsidRDefault="00286BED" w:rsidP="00312E88">
            <w:pPr>
              <w:spacing w:after="160" w:line="259" w:lineRule="auto"/>
              <w:jc w:val="center"/>
              <w:rPr>
                <w:sz w:val="18"/>
                <w:szCs w:val="18"/>
              </w:rPr>
            </w:pPr>
            <w:r w:rsidRPr="00667947">
              <w:rPr>
                <w:rFonts w:cs="Arial"/>
                <w:b/>
                <w:bCs/>
                <w:color w:val="FFFFFF"/>
                <w:sz w:val="18"/>
                <w:szCs w:val="18"/>
              </w:rPr>
              <w:t>Total</w:t>
            </w:r>
          </w:p>
        </w:tc>
      </w:tr>
      <w:tr w:rsidR="00286BED" w:rsidRPr="001A4D4E" w14:paraId="1C2E644A" w14:textId="77777777" w:rsidTr="00604441">
        <w:trPr>
          <w:trHeight w:hRule="exact" w:val="284"/>
        </w:trPr>
        <w:tc>
          <w:tcPr>
            <w:tcW w:w="1440" w:type="pct"/>
            <w:tcBorders>
              <w:top w:val="single" w:sz="4" w:space="0" w:color="auto"/>
              <w:left w:val="single" w:sz="4" w:space="0" w:color="auto"/>
              <w:bottom w:val="nil"/>
              <w:right w:val="single" w:sz="4" w:space="0" w:color="auto"/>
            </w:tcBorders>
            <w:shd w:val="clear" w:color="auto" w:fill="auto"/>
            <w:noWrap/>
            <w:hideMark/>
          </w:tcPr>
          <w:p w14:paraId="2BEAA7B5" w14:textId="77777777" w:rsidR="00286BED" w:rsidRPr="001A4D4E" w:rsidRDefault="00286BED" w:rsidP="00312E88">
            <w:pPr>
              <w:rPr>
                <w:rFonts w:cs="Arial"/>
                <w:color w:val="000000"/>
                <w:sz w:val="18"/>
                <w:szCs w:val="18"/>
              </w:rPr>
            </w:pPr>
            <w:r w:rsidRPr="001A4D4E">
              <w:rPr>
                <w:rFonts w:cs="Arial"/>
                <w:color w:val="000000"/>
                <w:sz w:val="18"/>
                <w:szCs w:val="18"/>
              </w:rPr>
              <w:t>Autism</w:t>
            </w:r>
          </w:p>
        </w:tc>
        <w:tc>
          <w:tcPr>
            <w:tcW w:w="760" w:type="pct"/>
            <w:tcBorders>
              <w:top w:val="single" w:sz="4" w:space="0" w:color="auto"/>
            </w:tcBorders>
          </w:tcPr>
          <w:p w14:paraId="6430A424"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123,500</w:t>
            </w:r>
          </w:p>
        </w:tc>
        <w:tc>
          <w:tcPr>
            <w:tcW w:w="671" w:type="pct"/>
            <w:tcBorders>
              <w:top w:val="single" w:sz="4" w:space="0" w:color="auto"/>
            </w:tcBorders>
          </w:tcPr>
          <w:p w14:paraId="3915EDAB"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131,600</w:t>
            </w:r>
          </w:p>
        </w:tc>
        <w:tc>
          <w:tcPr>
            <w:tcW w:w="630" w:type="pct"/>
            <w:tcBorders>
              <w:top w:val="single" w:sz="4" w:space="0" w:color="auto"/>
            </w:tcBorders>
          </w:tcPr>
          <w:p w14:paraId="194B84E0"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150,900</w:t>
            </w:r>
          </w:p>
        </w:tc>
        <w:tc>
          <w:tcPr>
            <w:tcW w:w="801" w:type="pct"/>
            <w:tcBorders>
              <w:top w:val="single" w:sz="4" w:space="0" w:color="auto"/>
            </w:tcBorders>
          </w:tcPr>
          <w:p w14:paraId="0135515B"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190,300</w:t>
            </w:r>
          </w:p>
        </w:tc>
        <w:tc>
          <w:tcPr>
            <w:tcW w:w="698" w:type="pct"/>
            <w:tcBorders>
              <w:top w:val="single" w:sz="4" w:space="0" w:color="auto"/>
              <w:right w:val="single" w:sz="4" w:space="0" w:color="auto"/>
            </w:tcBorders>
          </w:tcPr>
          <w:p w14:paraId="757ECA93"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43,100</w:t>
            </w:r>
          </w:p>
        </w:tc>
      </w:tr>
      <w:tr w:rsidR="00286BED" w:rsidRPr="001A4D4E" w14:paraId="594A5E4F" w14:textId="77777777" w:rsidTr="00604441">
        <w:trPr>
          <w:trHeight w:hRule="exact" w:val="284"/>
        </w:trPr>
        <w:tc>
          <w:tcPr>
            <w:tcW w:w="1440" w:type="pct"/>
            <w:tcBorders>
              <w:top w:val="nil"/>
              <w:left w:val="single" w:sz="4" w:space="0" w:color="auto"/>
              <w:bottom w:val="nil"/>
              <w:right w:val="single" w:sz="4" w:space="0" w:color="auto"/>
            </w:tcBorders>
            <w:shd w:val="clear" w:color="auto" w:fill="auto"/>
            <w:noWrap/>
            <w:hideMark/>
          </w:tcPr>
          <w:p w14:paraId="3ACA25B4" w14:textId="77777777" w:rsidR="00286BED" w:rsidRPr="001A4D4E" w:rsidRDefault="00286BED" w:rsidP="00312E88">
            <w:pPr>
              <w:rPr>
                <w:rFonts w:cs="Arial"/>
                <w:color w:val="000000"/>
                <w:sz w:val="18"/>
                <w:szCs w:val="18"/>
              </w:rPr>
            </w:pPr>
            <w:r w:rsidRPr="001A4D4E">
              <w:rPr>
                <w:rFonts w:cs="Arial"/>
                <w:color w:val="000000"/>
                <w:sz w:val="18"/>
                <w:szCs w:val="18"/>
              </w:rPr>
              <w:t>Intellectual Disability</w:t>
            </w:r>
          </w:p>
        </w:tc>
        <w:tc>
          <w:tcPr>
            <w:tcW w:w="760" w:type="pct"/>
          </w:tcPr>
          <w:p w14:paraId="7815346B"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136,100</w:t>
            </w:r>
          </w:p>
        </w:tc>
        <w:tc>
          <w:tcPr>
            <w:tcW w:w="671" w:type="pct"/>
          </w:tcPr>
          <w:p w14:paraId="6088D864"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157,800</w:t>
            </w:r>
          </w:p>
        </w:tc>
        <w:tc>
          <w:tcPr>
            <w:tcW w:w="630" w:type="pct"/>
          </w:tcPr>
          <w:p w14:paraId="7CE26757"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170,500</w:t>
            </w:r>
          </w:p>
        </w:tc>
        <w:tc>
          <w:tcPr>
            <w:tcW w:w="801" w:type="pct"/>
          </w:tcPr>
          <w:p w14:paraId="14A36DD8"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193,400</w:t>
            </w:r>
          </w:p>
        </w:tc>
        <w:tc>
          <w:tcPr>
            <w:tcW w:w="698" w:type="pct"/>
            <w:tcBorders>
              <w:right w:val="single" w:sz="4" w:space="0" w:color="auto"/>
            </w:tcBorders>
          </w:tcPr>
          <w:p w14:paraId="5CB9A70C"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100,800</w:t>
            </w:r>
          </w:p>
        </w:tc>
      </w:tr>
      <w:tr w:rsidR="00286BED" w:rsidRPr="001A4D4E" w14:paraId="3051A901" w14:textId="77777777" w:rsidTr="00604441">
        <w:trPr>
          <w:trHeight w:hRule="exact" w:val="284"/>
        </w:trPr>
        <w:tc>
          <w:tcPr>
            <w:tcW w:w="1440" w:type="pct"/>
            <w:tcBorders>
              <w:top w:val="nil"/>
              <w:left w:val="single" w:sz="4" w:space="0" w:color="auto"/>
              <w:bottom w:val="nil"/>
              <w:right w:val="single" w:sz="4" w:space="0" w:color="auto"/>
            </w:tcBorders>
            <w:shd w:val="clear" w:color="auto" w:fill="auto"/>
            <w:noWrap/>
            <w:hideMark/>
          </w:tcPr>
          <w:p w14:paraId="1510EC92" w14:textId="77777777" w:rsidR="00286BED" w:rsidRPr="001A4D4E" w:rsidRDefault="00286BED" w:rsidP="00312E88">
            <w:pPr>
              <w:rPr>
                <w:rFonts w:cs="Arial"/>
                <w:color w:val="000000"/>
                <w:sz w:val="18"/>
                <w:szCs w:val="18"/>
              </w:rPr>
            </w:pPr>
            <w:r w:rsidRPr="001A4D4E">
              <w:rPr>
                <w:rFonts w:cs="Arial"/>
                <w:color w:val="000000"/>
                <w:sz w:val="18"/>
                <w:szCs w:val="18"/>
              </w:rPr>
              <w:t>Psychosocial Disability</w:t>
            </w:r>
          </w:p>
        </w:tc>
        <w:tc>
          <w:tcPr>
            <w:tcW w:w="760" w:type="pct"/>
          </w:tcPr>
          <w:p w14:paraId="455057C8"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67,300</w:t>
            </w:r>
          </w:p>
        </w:tc>
        <w:tc>
          <w:tcPr>
            <w:tcW w:w="671" w:type="pct"/>
          </w:tcPr>
          <w:p w14:paraId="36447D15"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67,900</w:t>
            </w:r>
          </w:p>
        </w:tc>
        <w:tc>
          <w:tcPr>
            <w:tcW w:w="630" w:type="pct"/>
          </w:tcPr>
          <w:p w14:paraId="7C7F57E8"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72,500</w:t>
            </w:r>
          </w:p>
        </w:tc>
        <w:tc>
          <w:tcPr>
            <w:tcW w:w="801" w:type="pct"/>
          </w:tcPr>
          <w:p w14:paraId="3C5C51D9"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78,700</w:t>
            </w:r>
          </w:p>
        </w:tc>
        <w:tc>
          <w:tcPr>
            <w:tcW w:w="698" w:type="pct"/>
            <w:tcBorders>
              <w:right w:val="single" w:sz="4" w:space="0" w:color="auto"/>
            </w:tcBorders>
            <w:shd w:val="clear" w:color="auto" w:fill="auto"/>
          </w:tcPr>
          <w:p w14:paraId="3CBCC155"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69,600</w:t>
            </w:r>
          </w:p>
        </w:tc>
      </w:tr>
      <w:tr w:rsidR="00286BED" w:rsidRPr="001A4D4E" w14:paraId="6D581B7E" w14:textId="77777777" w:rsidTr="00604441">
        <w:trPr>
          <w:trHeight w:hRule="exact" w:val="284"/>
        </w:trPr>
        <w:tc>
          <w:tcPr>
            <w:tcW w:w="1440" w:type="pct"/>
            <w:tcBorders>
              <w:top w:val="nil"/>
              <w:left w:val="single" w:sz="4" w:space="0" w:color="auto"/>
              <w:bottom w:val="nil"/>
              <w:right w:val="single" w:sz="4" w:space="0" w:color="auto"/>
            </w:tcBorders>
            <w:shd w:val="clear" w:color="auto" w:fill="auto"/>
            <w:noWrap/>
            <w:hideMark/>
          </w:tcPr>
          <w:p w14:paraId="47CD5E02" w14:textId="77777777" w:rsidR="00286BED" w:rsidRPr="001A4D4E" w:rsidRDefault="00286BED" w:rsidP="00312E88">
            <w:pPr>
              <w:rPr>
                <w:rFonts w:cs="Arial"/>
                <w:color w:val="000000"/>
                <w:sz w:val="18"/>
                <w:szCs w:val="18"/>
              </w:rPr>
            </w:pPr>
            <w:r w:rsidRPr="001A4D4E">
              <w:rPr>
                <w:rFonts w:cs="Arial"/>
                <w:color w:val="000000"/>
                <w:sz w:val="18"/>
                <w:szCs w:val="18"/>
              </w:rPr>
              <w:t>Developmental Delay</w:t>
            </w:r>
          </w:p>
        </w:tc>
        <w:tc>
          <w:tcPr>
            <w:tcW w:w="760" w:type="pct"/>
          </w:tcPr>
          <w:p w14:paraId="2C9C59FB" w14:textId="7F73FE74" w:rsidR="00286BED" w:rsidRPr="00667947" w:rsidRDefault="00286BED" w:rsidP="00604441">
            <w:pPr>
              <w:spacing w:after="160" w:line="259" w:lineRule="auto"/>
              <w:jc w:val="center"/>
              <w:rPr>
                <w:sz w:val="18"/>
                <w:szCs w:val="18"/>
              </w:rPr>
            </w:pPr>
          </w:p>
        </w:tc>
        <w:tc>
          <w:tcPr>
            <w:tcW w:w="671" w:type="pct"/>
          </w:tcPr>
          <w:p w14:paraId="0534B134" w14:textId="77777777" w:rsidR="00286BED" w:rsidRPr="00667947" w:rsidRDefault="00286BED" w:rsidP="00604441">
            <w:pPr>
              <w:spacing w:after="160" w:line="259" w:lineRule="auto"/>
              <w:jc w:val="center"/>
              <w:rPr>
                <w:sz w:val="18"/>
                <w:szCs w:val="18"/>
              </w:rPr>
            </w:pPr>
          </w:p>
        </w:tc>
        <w:tc>
          <w:tcPr>
            <w:tcW w:w="630" w:type="pct"/>
          </w:tcPr>
          <w:p w14:paraId="517EC226" w14:textId="77777777" w:rsidR="00286BED" w:rsidRPr="00667947" w:rsidRDefault="00286BED" w:rsidP="00604441">
            <w:pPr>
              <w:spacing w:after="160" w:line="259" w:lineRule="auto"/>
              <w:jc w:val="center"/>
              <w:rPr>
                <w:sz w:val="18"/>
                <w:szCs w:val="18"/>
              </w:rPr>
            </w:pPr>
          </w:p>
        </w:tc>
        <w:tc>
          <w:tcPr>
            <w:tcW w:w="801" w:type="pct"/>
          </w:tcPr>
          <w:p w14:paraId="06EB16BB" w14:textId="77777777" w:rsidR="00286BED" w:rsidRPr="00667947" w:rsidRDefault="00286BED" w:rsidP="00604441">
            <w:pPr>
              <w:spacing w:after="160" w:line="259" w:lineRule="auto"/>
              <w:jc w:val="center"/>
              <w:rPr>
                <w:sz w:val="18"/>
                <w:szCs w:val="18"/>
              </w:rPr>
            </w:pPr>
          </w:p>
        </w:tc>
        <w:tc>
          <w:tcPr>
            <w:tcW w:w="698" w:type="pct"/>
            <w:tcBorders>
              <w:right w:val="single" w:sz="4" w:space="0" w:color="auto"/>
            </w:tcBorders>
          </w:tcPr>
          <w:p w14:paraId="03D3BF22"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14,100</w:t>
            </w:r>
          </w:p>
        </w:tc>
      </w:tr>
      <w:tr w:rsidR="00286BED" w:rsidRPr="001A4D4E" w14:paraId="40D32AA3" w14:textId="77777777" w:rsidTr="00604441">
        <w:trPr>
          <w:trHeight w:hRule="exact" w:val="284"/>
        </w:trPr>
        <w:tc>
          <w:tcPr>
            <w:tcW w:w="1440" w:type="pct"/>
            <w:tcBorders>
              <w:top w:val="nil"/>
              <w:left w:val="single" w:sz="4" w:space="0" w:color="auto"/>
              <w:bottom w:val="nil"/>
              <w:right w:val="single" w:sz="4" w:space="0" w:color="auto"/>
            </w:tcBorders>
            <w:shd w:val="clear" w:color="auto" w:fill="auto"/>
            <w:noWrap/>
            <w:hideMark/>
          </w:tcPr>
          <w:p w14:paraId="6823AE0D" w14:textId="77777777" w:rsidR="00286BED" w:rsidRPr="001A4D4E" w:rsidRDefault="00286BED" w:rsidP="00312E88">
            <w:pPr>
              <w:rPr>
                <w:rFonts w:cs="Arial"/>
                <w:color w:val="000000"/>
                <w:sz w:val="18"/>
                <w:szCs w:val="18"/>
              </w:rPr>
            </w:pPr>
            <w:r w:rsidRPr="001A4D4E">
              <w:rPr>
                <w:rFonts w:cs="Arial"/>
                <w:color w:val="000000"/>
                <w:sz w:val="18"/>
                <w:szCs w:val="18"/>
              </w:rPr>
              <w:t>Sensory</w:t>
            </w:r>
          </w:p>
        </w:tc>
        <w:tc>
          <w:tcPr>
            <w:tcW w:w="760" w:type="pct"/>
          </w:tcPr>
          <w:p w14:paraId="3BD91D89"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24,500</w:t>
            </w:r>
          </w:p>
        </w:tc>
        <w:tc>
          <w:tcPr>
            <w:tcW w:w="671" w:type="pct"/>
          </w:tcPr>
          <w:p w14:paraId="134EF16E"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25,600</w:t>
            </w:r>
          </w:p>
        </w:tc>
        <w:tc>
          <w:tcPr>
            <w:tcW w:w="630" w:type="pct"/>
          </w:tcPr>
          <w:p w14:paraId="5690C893"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25,800</w:t>
            </w:r>
          </w:p>
        </w:tc>
        <w:tc>
          <w:tcPr>
            <w:tcW w:w="801" w:type="pct"/>
          </w:tcPr>
          <w:p w14:paraId="0B6B9169"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27,300</w:t>
            </w:r>
          </w:p>
        </w:tc>
        <w:tc>
          <w:tcPr>
            <w:tcW w:w="698" w:type="pct"/>
            <w:tcBorders>
              <w:right w:val="single" w:sz="4" w:space="0" w:color="auto"/>
            </w:tcBorders>
          </w:tcPr>
          <w:p w14:paraId="38B63319"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17,700</w:t>
            </w:r>
          </w:p>
        </w:tc>
      </w:tr>
      <w:tr w:rsidR="00286BED" w:rsidRPr="001A4D4E" w14:paraId="5A1E3CD2" w14:textId="77777777" w:rsidTr="00604441">
        <w:trPr>
          <w:trHeight w:hRule="exact" w:val="284"/>
        </w:trPr>
        <w:tc>
          <w:tcPr>
            <w:tcW w:w="1440" w:type="pct"/>
            <w:tcBorders>
              <w:top w:val="nil"/>
              <w:left w:val="single" w:sz="4" w:space="0" w:color="auto"/>
              <w:bottom w:val="single" w:sz="4" w:space="0" w:color="auto"/>
              <w:right w:val="single" w:sz="4" w:space="0" w:color="auto"/>
            </w:tcBorders>
            <w:shd w:val="clear" w:color="auto" w:fill="auto"/>
            <w:noWrap/>
            <w:hideMark/>
          </w:tcPr>
          <w:p w14:paraId="00177FEB" w14:textId="77777777" w:rsidR="00286BED" w:rsidRPr="001A4D4E" w:rsidRDefault="00286BED" w:rsidP="00312E88">
            <w:pPr>
              <w:rPr>
                <w:rFonts w:cs="Arial"/>
                <w:color w:val="000000"/>
                <w:sz w:val="18"/>
                <w:szCs w:val="18"/>
              </w:rPr>
            </w:pPr>
            <w:r w:rsidRPr="001A4D4E">
              <w:rPr>
                <w:rFonts w:cs="Arial"/>
                <w:color w:val="000000"/>
                <w:sz w:val="18"/>
                <w:szCs w:val="18"/>
              </w:rPr>
              <w:t>Other</w:t>
            </w:r>
          </w:p>
        </w:tc>
        <w:tc>
          <w:tcPr>
            <w:tcW w:w="760" w:type="pct"/>
            <w:tcBorders>
              <w:bottom w:val="single" w:sz="4" w:space="0" w:color="auto"/>
            </w:tcBorders>
          </w:tcPr>
          <w:p w14:paraId="2092FF8A"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129,200</w:t>
            </w:r>
          </w:p>
        </w:tc>
        <w:tc>
          <w:tcPr>
            <w:tcW w:w="671" w:type="pct"/>
            <w:tcBorders>
              <w:bottom w:val="single" w:sz="4" w:space="0" w:color="auto"/>
            </w:tcBorders>
          </w:tcPr>
          <w:p w14:paraId="42620835"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117,200</w:t>
            </w:r>
          </w:p>
        </w:tc>
        <w:tc>
          <w:tcPr>
            <w:tcW w:w="630" w:type="pct"/>
            <w:tcBorders>
              <w:bottom w:val="single" w:sz="4" w:space="0" w:color="auto"/>
            </w:tcBorders>
          </w:tcPr>
          <w:p w14:paraId="45E1ADC6"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108,200</w:t>
            </w:r>
          </w:p>
        </w:tc>
        <w:tc>
          <w:tcPr>
            <w:tcW w:w="801" w:type="pct"/>
            <w:tcBorders>
              <w:bottom w:val="single" w:sz="4" w:space="0" w:color="auto"/>
            </w:tcBorders>
          </w:tcPr>
          <w:p w14:paraId="7DD45A92"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114,100</w:t>
            </w:r>
          </w:p>
        </w:tc>
        <w:tc>
          <w:tcPr>
            <w:tcW w:w="698" w:type="pct"/>
            <w:tcBorders>
              <w:bottom w:val="single" w:sz="4" w:space="0" w:color="auto"/>
              <w:right w:val="single" w:sz="4" w:space="0" w:color="auto"/>
            </w:tcBorders>
          </w:tcPr>
          <w:p w14:paraId="56A3847B" w14:textId="77777777" w:rsidR="00286BED" w:rsidRPr="00667947" w:rsidRDefault="00286BED" w:rsidP="00604441">
            <w:pPr>
              <w:spacing w:after="160" w:line="259" w:lineRule="auto"/>
              <w:jc w:val="center"/>
              <w:rPr>
                <w:sz w:val="18"/>
                <w:szCs w:val="18"/>
              </w:rPr>
            </w:pPr>
            <w:r w:rsidRPr="00667947">
              <w:rPr>
                <w:rFonts w:cs="Arial"/>
                <w:color w:val="000000"/>
                <w:sz w:val="18"/>
                <w:szCs w:val="18"/>
              </w:rPr>
              <w:t>109,700</w:t>
            </w:r>
          </w:p>
        </w:tc>
      </w:tr>
      <w:tr w:rsidR="00286BED" w:rsidRPr="001A4D4E" w14:paraId="669D9BFB" w14:textId="77777777" w:rsidTr="00604441">
        <w:trPr>
          <w:trHeight w:hRule="exact" w:val="284"/>
        </w:trPr>
        <w:tc>
          <w:tcPr>
            <w:tcW w:w="1440" w:type="pct"/>
            <w:tcBorders>
              <w:top w:val="single" w:sz="4" w:space="0" w:color="auto"/>
              <w:left w:val="single" w:sz="4" w:space="0" w:color="auto"/>
              <w:bottom w:val="single" w:sz="4" w:space="0" w:color="auto"/>
              <w:right w:val="single" w:sz="4" w:space="0" w:color="auto"/>
            </w:tcBorders>
            <w:shd w:val="clear" w:color="auto" w:fill="F8EFF7"/>
            <w:noWrap/>
          </w:tcPr>
          <w:p w14:paraId="551031D5" w14:textId="77777777" w:rsidR="00286BED" w:rsidRPr="00667947" w:rsidRDefault="00286BED" w:rsidP="00312E88">
            <w:pPr>
              <w:rPr>
                <w:rFonts w:cs="Arial"/>
                <w:b/>
                <w:bCs/>
                <w:color w:val="000000"/>
                <w:sz w:val="18"/>
                <w:szCs w:val="18"/>
              </w:rPr>
            </w:pPr>
            <w:r w:rsidRPr="00667947">
              <w:rPr>
                <w:rFonts w:cs="Arial"/>
                <w:b/>
                <w:bCs/>
                <w:color w:val="000000"/>
                <w:sz w:val="18"/>
                <w:szCs w:val="18"/>
              </w:rPr>
              <w:t>Total</w:t>
            </w:r>
          </w:p>
        </w:tc>
        <w:tc>
          <w:tcPr>
            <w:tcW w:w="760" w:type="pct"/>
            <w:tcBorders>
              <w:top w:val="single" w:sz="4" w:space="0" w:color="auto"/>
              <w:bottom w:val="single" w:sz="4" w:space="0" w:color="auto"/>
            </w:tcBorders>
            <w:shd w:val="clear" w:color="auto" w:fill="F8EFF7"/>
          </w:tcPr>
          <w:p w14:paraId="6954A7A5" w14:textId="77777777" w:rsidR="00286BED" w:rsidRPr="00667947" w:rsidRDefault="00286BED" w:rsidP="00312E88">
            <w:pPr>
              <w:spacing w:after="160" w:line="259" w:lineRule="auto"/>
              <w:jc w:val="center"/>
              <w:rPr>
                <w:rFonts w:cs="Arial"/>
                <w:b/>
                <w:bCs/>
                <w:color w:val="000000"/>
                <w:sz w:val="18"/>
                <w:szCs w:val="18"/>
              </w:rPr>
            </w:pPr>
            <w:r w:rsidRPr="00667947">
              <w:rPr>
                <w:rFonts w:cs="Arial"/>
                <w:b/>
                <w:bCs/>
                <w:color w:val="000000"/>
                <w:sz w:val="18"/>
                <w:szCs w:val="18"/>
              </w:rPr>
              <w:t>104,300</w:t>
            </w:r>
          </w:p>
        </w:tc>
        <w:tc>
          <w:tcPr>
            <w:tcW w:w="671" w:type="pct"/>
            <w:tcBorders>
              <w:top w:val="single" w:sz="4" w:space="0" w:color="auto"/>
              <w:bottom w:val="single" w:sz="4" w:space="0" w:color="auto"/>
            </w:tcBorders>
            <w:shd w:val="clear" w:color="auto" w:fill="F8EFF7"/>
          </w:tcPr>
          <w:p w14:paraId="6FB05B07" w14:textId="77777777" w:rsidR="00286BED" w:rsidRPr="00667947" w:rsidRDefault="00286BED" w:rsidP="00312E88">
            <w:pPr>
              <w:spacing w:after="160" w:line="259" w:lineRule="auto"/>
              <w:jc w:val="center"/>
              <w:rPr>
                <w:rFonts w:cs="Arial"/>
                <w:b/>
                <w:bCs/>
                <w:color w:val="000000"/>
                <w:sz w:val="18"/>
                <w:szCs w:val="18"/>
              </w:rPr>
            </w:pPr>
            <w:r w:rsidRPr="00667947">
              <w:rPr>
                <w:rFonts w:cs="Arial"/>
                <w:b/>
                <w:bCs/>
                <w:color w:val="000000"/>
                <w:sz w:val="18"/>
                <w:szCs w:val="18"/>
              </w:rPr>
              <w:t>101,700</w:t>
            </w:r>
          </w:p>
        </w:tc>
        <w:tc>
          <w:tcPr>
            <w:tcW w:w="630" w:type="pct"/>
            <w:tcBorders>
              <w:top w:val="single" w:sz="4" w:space="0" w:color="auto"/>
              <w:bottom w:val="single" w:sz="4" w:space="0" w:color="auto"/>
            </w:tcBorders>
            <w:shd w:val="clear" w:color="auto" w:fill="F8EFF7"/>
          </w:tcPr>
          <w:p w14:paraId="5BA0FF92" w14:textId="77777777" w:rsidR="00286BED" w:rsidRPr="00667947" w:rsidRDefault="00286BED" w:rsidP="00312E88">
            <w:pPr>
              <w:spacing w:after="160" w:line="259" w:lineRule="auto"/>
              <w:jc w:val="center"/>
              <w:rPr>
                <w:rFonts w:cs="Arial"/>
                <w:b/>
                <w:bCs/>
                <w:color w:val="000000"/>
                <w:sz w:val="18"/>
                <w:szCs w:val="18"/>
              </w:rPr>
            </w:pPr>
            <w:r w:rsidRPr="00667947">
              <w:rPr>
                <w:rFonts w:cs="Arial"/>
                <w:b/>
                <w:bCs/>
                <w:color w:val="000000"/>
                <w:sz w:val="18"/>
                <w:szCs w:val="18"/>
              </w:rPr>
              <w:t>100,900</w:t>
            </w:r>
          </w:p>
        </w:tc>
        <w:tc>
          <w:tcPr>
            <w:tcW w:w="801" w:type="pct"/>
            <w:tcBorders>
              <w:top w:val="single" w:sz="4" w:space="0" w:color="auto"/>
              <w:bottom w:val="single" w:sz="4" w:space="0" w:color="auto"/>
            </w:tcBorders>
            <w:shd w:val="clear" w:color="auto" w:fill="F8EFF7"/>
          </w:tcPr>
          <w:p w14:paraId="4A7970C2" w14:textId="77777777" w:rsidR="00286BED" w:rsidRPr="00667947" w:rsidRDefault="00286BED" w:rsidP="00312E88">
            <w:pPr>
              <w:spacing w:after="160" w:line="259" w:lineRule="auto"/>
              <w:jc w:val="center"/>
              <w:rPr>
                <w:rFonts w:cs="Arial"/>
                <w:b/>
                <w:bCs/>
                <w:color w:val="000000"/>
                <w:sz w:val="18"/>
                <w:szCs w:val="18"/>
              </w:rPr>
            </w:pPr>
            <w:r w:rsidRPr="00667947">
              <w:rPr>
                <w:rFonts w:cs="Arial"/>
                <w:b/>
                <w:bCs/>
                <w:color w:val="000000"/>
                <w:sz w:val="18"/>
                <w:szCs w:val="18"/>
              </w:rPr>
              <w:t>109,200</w:t>
            </w:r>
          </w:p>
        </w:tc>
        <w:tc>
          <w:tcPr>
            <w:tcW w:w="698" w:type="pct"/>
            <w:tcBorders>
              <w:top w:val="single" w:sz="4" w:space="0" w:color="auto"/>
              <w:bottom w:val="single" w:sz="4" w:space="0" w:color="auto"/>
              <w:right w:val="single" w:sz="4" w:space="0" w:color="auto"/>
            </w:tcBorders>
            <w:shd w:val="clear" w:color="auto" w:fill="F8EFF7"/>
          </w:tcPr>
          <w:p w14:paraId="2FE7B1D2" w14:textId="77777777" w:rsidR="00286BED" w:rsidRPr="00667947" w:rsidRDefault="00286BED" w:rsidP="00312E88">
            <w:pPr>
              <w:spacing w:after="160" w:line="259" w:lineRule="auto"/>
              <w:jc w:val="center"/>
              <w:rPr>
                <w:rFonts w:cs="Arial"/>
                <w:b/>
                <w:bCs/>
                <w:color w:val="000000"/>
                <w:sz w:val="18"/>
                <w:szCs w:val="18"/>
              </w:rPr>
            </w:pPr>
            <w:r w:rsidRPr="00667947">
              <w:rPr>
                <w:rFonts w:cs="Arial"/>
                <w:b/>
                <w:bCs/>
                <w:color w:val="000000"/>
                <w:sz w:val="18"/>
                <w:szCs w:val="18"/>
              </w:rPr>
              <w:t>62,800</w:t>
            </w:r>
          </w:p>
        </w:tc>
      </w:tr>
    </w:tbl>
    <w:p w14:paraId="77132CE7" w14:textId="7B426975" w:rsidR="00D13572" w:rsidRPr="00472FB3" w:rsidRDefault="00D13572" w:rsidP="00D13572">
      <w:pPr>
        <w:pStyle w:val="FSRnormal"/>
      </w:pPr>
      <w:r w:rsidRPr="00472FB3">
        <w:t>Similarly, the expected average annual payment assumptions (in 2024-25 dollars) in 202</w:t>
      </w:r>
      <w:r w:rsidR="00E63631">
        <w:t>4</w:t>
      </w:r>
      <w:r w:rsidRPr="00472FB3">
        <w:t>-2</w:t>
      </w:r>
      <w:r w:rsidR="00E63631">
        <w:t>5</w:t>
      </w:r>
      <w:r w:rsidRPr="00472FB3">
        <w:t>, split by support category and age band, are shown in</w:t>
      </w:r>
      <w:r>
        <w:t xml:space="preserve"> </w:t>
      </w:r>
      <w:r>
        <w:fldChar w:fldCharType="begin"/>
      </w:r>
      <w:r>
        <w:instrText xml:space="preserve"> REF _Ref75033748 \h </w:instrText>
      </w:r>
      <w:r>
        <w:fldChar w:fldCharType="separate"/>
      </w:r>
      <w:r w:rsidR="00E50032" w:rsidRPr="00D13572">
        <w:t xml:space="preserve">Table </w:t>
      </w:r>
      <w:r w:rsidR="00E50032">
        <w:rPr>
          <w:noProof/>
        </w:rPr>
        <w:t>35</w:t>
      </w:r>
      <w:r>
        <w:fldChar w:fldCharType="end"/>
      </w:r>
      <w:r w:rsidRPr="00472FB3">
        <w:t xml:space="preserve">. The averages presented in the tables below are a weighted combination of the assumptions by </w:t>
      </w:r>
      <w:r w:rsidR="00CD3984">
        <w:t>cohort</w:t>
      </w:r>
      <w:r w:rsidRPr="00472FB3">
        <w:t xml:space="preserve"> for each support category. </w:t>
      </w:r>
    </w:p>
    <w:p w14:paraId="03930234" w14:textId="05FA4598" w:rsidR="00D13572" w:rsidRDefault="00D13572" w:rsidP="00D13572">
      <w:pPr>
        <w:pStyle w:val="Tables"/>
      </w:pPr>
      <w:bookmarkStart w:id="231" w:name="_Ref75033748"/>
      <w:r w:rsidRPr="00D13572">
        <w:t xml:space="preserve">Table </w:t>
      </w:r>
      <w:fldSimple w:instr=" SEQ Table \* ARABIC ">
        <w:r w:rsidR="00E50032">
          <w:rPr>
            <w:noProof/>
          </w:rPr>
          <w:t>35</w:t>
        </w:r>
      </w:fldSimple>
      <w:bookmarkEnd w:id="231"/>
      <w:r w:rsidRPr="00D13572">
        <w:t xml:space="preserve"> Average annual payments ($) by age band and support category in 2024-25 (2024-25 dollars)</w:t>
      </w:r>
    </w:p>
    <w:tbl>
      <w:tblPr>
        <w:tblW w:w="5000" w:type="pct"/>
        <w:tblLook w:val="04A0" w:firstRow="1" w:lastRow="0" w:firstColumn="1" w:lastColumn="0" w:noHBand="0" w:noVBand="1"/>
      </w:tblPr>
      <w:tblGrid>
        <w:gridCol w:w="2902"/>
        <w:gridCol w:w="1222"/>
        <w:gridCol w:w="1223"/>
        <w:gridCol w:w="1223"/>
        <w:gridCol w:w="1223"/>
        <w:gridCol w:w="1223"/>
      </w:tblGrid>
      <w:tr w:rsidR="00F258B7" w:rsidRPr="00667947" w14:paraId="4FF48F23" w14:textId="77777777" w:rsidTr="00F258B7">
        <w:trPr>
          <w:trHeight w:hRule="exact" w:val="301"/>
          <w:tblHeader/>
        </w:trPr>
        <w:tc>
          <w:tcPr>
            <w:tcW w:w="1610" w:type="pct"/>
            <w:tcBorders>
              <w:top w:val="single" w:sz="4" w:space="0" w:color="auto"/>
              <w:left w:val="single" w:sz="4" w:space="0" w:color="auto"/>
              <w:bottom w:val="single" w:sz="4" w:space="0" w:color="auto"/>
              <w:right w:val="single" w:sz="4" w:space="0" w:color="auto"/>
            </w:tcBorders>
            <w:shd w:val="clear" w:color="000000" w:fill="6B2F76"/>
            <w:noWrap/>
            <w:vAlign w:val="bottom"/>
            <w:hideMark/>
          </w:tcPr>
          <w:p w14:paraId="554DD5BE" w14:textId="77777777" w:rsidR="00F258B7" w:rsidRPr="00667947" w:rsidRDefault="00F258B7" w:rsidP="00312E88">
            <w:pPr>
              <w:rPr>
                <w:rFonts w:cs="Arial"/>
                <w:b/>
                <w:bCs/>
                <w:color w:val="FFFFFF"/>
                <w:sz w:val="18"/>
                <w:szCs w:val="18"/>
              </w:rPr>
            </w:pPr>
            <w:r w:rsidRPr="00667947">
              <w:rPr>
                <w:rFonts w:cs="Arial"/>
                <w:b/>
                <w:bCs/>
                <w:color w:val="FFFFFF"/>
                <w:sz w:val="18"/>
                <w:szCs w:val="18"/>
              </w:rPr>
              <w:t>Support Category</w:t>
            </w:r>
          </w:p>
        </w:tc>
        <w:tc>
          <w:tcPr>
            <w:tcW w:w="678" w:type="pct"/>
            <w:tcBorders>
              <w:top w:val="single" w:sz="4" w:space="0" w:color="auto"/>
              <w:left w:val="nil"/>
              <w:bottom w:val="single" w:sz="4" w:space="0" w:color="auto"/>
              <w:right w:val="nil"/>
            </w:tcBorders>
            <w:shd w:val="clear" w:color="000000" w:fill="6B2F76"/>
            <w:noWrap/>
            <w:vAlign w:val="bottom"/>
            <w:hideMark/>
          </w:tcPr>
          <w:p w14:paraId="260DCF5D" w14:textId="77777777" w:rsidR="00F258B7" w:rsidRPr="00667947" w:rsidRDefault="00F258B7" w:rsidP="00312E88">
            <w:pPr>
              <w:jc w:val="center"/>
              <w:rPr>
                <w:rFonts w:cs="Arial"/>
                <w:b/>
                <w:bCs/>
                <w:color w:val="FFFFFF"/>
                <w:sz w:val="18"/>
                <w:szCs w:val="18"/>
              </w:rPr>
            </w:pPr>
            <w:r w:rsidRPr="00667947">
              <w:rPr>
                <w:rFonts w:cs="Arial"/>
                <w:b/>
                <w:bCs/>
                <w:color w:val="FFFFFF"/>
                <w:sz w:val="18"/>
                <w:szCs w:val="18"/>
              </w:rPr>
              <w:t>0 to 6</w:t>
            </w:r>
          </w:p>
        </w:tc>
        <w:tc>
          <w:tcPr>
            <w:tcW w:w="678" w:type="pct"/>
            <w:tcBorders>
              <w:top w:val="single" w:sz="4" w:space="0" w:color="auto"/>
              <w:left w:val="nil"/>
              <w:bottom w:val="single" w:sz="4" w:space="0" w:color="auto"/>
              <w:right w:val="nil"/>
            </w:tcBorders>
            <w:shd w:val="clear" w:color="000000" w:fill="6B2F76"/>
            <w:noWrap/>
            <w:vAlign w:val="bottom"/>
            <w:hideMark/>
          </w:tcPr>
          <w:p w14:paraId="7AD8E77E" w14:textId="77777777" w:rsidR="00F258B7" w:rsidRPr="00667947" w:rsidRDefault="00F258B7" w:rsidP="00312E88">
            <w:pPr>
              <w:jc w:val="center"/>
              <w:rPr>
                <w:rFonts w:cs="Arial"/>
                <w:b/>
                <w:bCs/>
                <w:color w:val="FFFFFF"/>
                <w:sz w:val="18"/>
                <w:szCs w:val="18"/>
              </w:rPr>
            </w:pPr>
            <w:r w:rsidRPr="00667947">
              <w:rPr>
                <w:rFonts w:cs="Arial"/>
                <w:b/>
                <w:bCs/>
                <w:color w:val="FFFFFF"/>
                <w:sz w:val="18"/>
                <w:szCs w:val="18"/>
              </w:rPr>
              <w:t>7 to 14</w:t>
            </w:r>
          </w:p>
        </w:tc>
        <w:tc>
          <w:tcPr>
            <w:tcW w:w="678" w:type="pct"/>
            <w:tcBorders>
              <w:top w:val="single" w:sz="4" w:space="0" w:color="auto"/>
              <w:left w:val="nil"/>
              <w:bottom w:val="single" w:sz="4" w:space="0" w:color="auto"/>
              <w:right w:val="nil"/>
            </w:tcBorders>
            <w:shd w:val="clear" w:color="000000" w:fill="6B2F76"/>
            <w:noWrap/>
            <w:vAlign w:val="bottom"/>
            <w:hideMark/>
          </w:tcPr>
          <w:p w14:paraId="6E35BC44" w14:textId="77777777" w:rsidR="00F258B7" w:rsidRPr="00667947" w:rsidRDefault="00F258B7" w:rsidP="00312E88">
            <w:pPr>
              <w:jc w:val="center"/>
              <w:rPr>
                <w:rFonts w:cs="Arial"/>
                <w:b/>
                <w:bCs/>
                <w:color w:val="FFFFFF"/>
                <w:sz w:val="18"/>
                <w:szCs w:val="18"/>
              </w:rPr>
            </w:pPr>
            <w:r w:rsidRPr="00667947">
              <w:rPr>
                <w:rFonts w:cs="Arial"/>
                <w:b/>
                <w:bCs/>
                <w:color w:val="FFFFFF"/>
                <w:sz w:val="18"/>
                <w:szCs w:val="18"/>
              </w:rPr>
              <w:t>15 to 18</w:t>
            </w:r>
          </w:p>
        </w:tc>
        <w:tc>
          <w:tcPr>
            <w:tcW w:w="678" w:type="pct"/>
            <w:tcBorders>
              <w:top w:val="single" w:sz="4" w:space="0" w:color="auto"/>
              <w:left w:val="nil"/>
              <w:bottom w:val="single" w:sz="4" w:space="0" w:color="auto"/>
              <w:right w:val="nil"/>
            </w:tcBorders>
            <w:shd w:val="clear" w:color="000000" w:fill="6B2F76"/>
            <w:noWrap/>
            <w:vAlign w:val="bottom"/>
            <w:hideMark/>
          </w:tcPr>
          <w:p w14:paraId="1E846156" w14:textId="77777777" w:rsidR="00F258B7" w:rsidRPr="00667947" w:rsidRDefault="00F258B7" w:rsidP="00312E88">
            <w:pPr>
              <w:jc w:val="center"/>
              <w:rPr>
                <w:rFonts w:cs="Arial"/>
                <w:b/>
                <w:bCs/>
                <w:color w:val="FFFFFF"/>
                <w:sz w:val="18"/>
                <w:szCs w:val="18"/>
              </w:rPr>
            </w:pPr>
            <w:r w:rsidRPr="00667947">
              <w:rPr>
                <w:rFonts w:cs="Arial"/>
                <w:b/>
                <w:bCs/>
                <w:color w:val="FFFFFF"/>
                <w:sz w:val="18"/>
                <w:szCs w:val="18"/>
              </w:rPr>
              <w:t>19 to 24</w:t>
            </w:r>
          </w:p>
        </w:tc>
        <w:tc>
          <w:tcPr>
            <w:tcW w:w="678" w:type="pct"/>
            <w:tcBorders>
              <w:top w:val="single" w:sz="4" w:space="0" w:color="auto"/>
              <w:left w:val="nil"/>
              <w:bottom w:val="single" w:sz="4" w:space="0" w:color="auto"/>
              <w:right w:val="single" w:sz="4" w:space="0" w:color="auto"/>
            </w:tcBorders>
            <w:shd w:val="clear" w:color="000000" w:fill="6B2F76"/>
            <w:noWrap/>
            <w:vAlign w:val="bottom"/>
            <w:hideMark/>
          </w:tcPr>
          <w:p w14:paraId="5796D19E" w14:textId="77777777" w:rsidR="00F258B7" w:rsidRPr="00667947" w:rsidRDefault="00F258B7" w:rsidP="00312E88">
            <w:pPr>
              <w:jc w:val="center"/>
              <w:rPr>
                <w:rFonts w:cs="Arial"/>
                <w:b/>
                <w:bCs/>
                <w:color w:val="FFFFFF"/>
                <w:sz w:val="18"/>
                <w:szCs w:val="18"/>
              </w:rPr>
            </w:pPr>
            <w:r w:rsidRPr="00667947">
              <w:rPr>
                <w:rFonts w:cs="Arial"/>
                <w:b/>
                <w:bCs/>
                <w:color w:val="FFFFFF"/>
                <w:sz w:val="18"/>
                <w:szCs w:val="18"/>
              </w:rPr>
              <w:t>25 to 34</w:t>
            </w:r>
          </w:p>
        </w:tc>
      </w:tr>
      <w:tr w:rsidR="00F258B7" w:rsidRPr="00667947" w14:paraId="7F5AE8BF" w14:textId="77777777" w:rsidTr="00F258B7">
        <w:trPr>
          <w:trHeight w:hRule="exact" w:val="301"/>
        </w:trPr>
        <w:tc>
          <w:tcPr>
            <w:tcW w:w="1610" w:type="pct"/>
            <w:tcBorders>
              <w:top w:val="nil"/>
              <w:left w:val="single" w:sz="4" w:space="0" w:color="auto"/>
              <w:bottom w:val="nil"/>
              <w:right w:val="single" w:sz="4" w:space="0" w:color="auto"/>
            </w:tcBorders>
            <w:shd w:val="clear" w:color="auto" w:fill="auto"/>
            <w:noWrap/>
            <w:vAlign w:val="bottom"/>
            <w:hideMark/>
          </w:tcPr>
          <w:p w14:paraId="74240B67" w14:textId="77777777" w:rsidR="00F258B7" w:rsidRPr="00667947" w:rsidRDefault="00F258B7" w:rsidP="00312E88">
            <w:pPr>
              <w:rPr>
                <w:rFonts w:cs="Arial"/>
                <w:color w:val="000000"/>
                <w:sz w:val="18"/>
                <w:szCs w:val="18"/>
              </w:rPr>
            </w:pPr>
            <w:r w:rsidRPr="00667947">
              <w:rPr>
                <w:rFonts w:cs="Arial"/>
                <w:color w:val="000000"/>
                <w:sz w:val="18"/>
                <w:szCs w:val="18"/>
              </w:rPr>
              <w:t>Consumables</w:t>
            </w:r>
          </w:p>
        </w:tc>
        <w:tc>
          <w:tcPr>
            <w:tcW w:w="678" w:type="pct"/>
            <w:tcBorders>
              <w:top w:val="nil"/>
              <w:left w:val="nil"/>
              <w:bottom w:val="nil"/>
              <w:right w:val="nil"/>
            </w:tcBorders>
            <w:shd w:val="clear" w:color="auto" w:fill="auto"/>
            <w:noWrap/>
            <w:vAlign w:val="bottom"/>
            <w:hideMark/>
          </w:tcPr>
          <w:p w14:paraId="25D65885" w14:textId="77777777" w:rsidR="00F258B7" w:rsidRPr="00667947" w:rsidRDefault="00F258B7" w:rsidP="00312E88">
            <w:pPr>
              <w:jc w:val="center"/>
              <w:rPr>
                <w:rFonts w:cs="Arial"/>
                <w:color w:val="000000"/>
                <w:sz w:val="18"/>
                <w:szCs w:val="18"/>
              </w:rPr>
            </w:pPr>
            <w:r w:rsidRPr="00667947">
              <w:rPr>
                <w:rFonts w:cs="Arial"/>
                <w:color w:val="000000"/>
                <w:sz w:val="18"/>
                <w:szCs w:val="18"/>
              </w:rPr>
              <w:t>700</w:t>
            </w:r>
          </w:p>
        </w:tc>
        <w:tc>
          <w:tcPr>
            <w:tcW w:w="678" w:type="pct"/>
            <w:tcBorders>
              <w:top w:val="nil"/>
              <w:left w:val="nil"/>
              <w:bottom w:val="nil"/>
              <w:right w:val="nil"/>
            </w:tcBorders>
            <w:shd w:val="clear" w:color="auto" w:fill="auto"/>
            <w:noWrap/>
            <w:vAlign w:val="bottom"/>
            <w:hideMark/>
          </w:tcPr>
          <w:p w14:paraId="2B0EA196" w14:textId="77777777" w:rsidR="00F258B7" w:rsidRPr="00667947" w:rsidRDefault="00F258B7" w:rsidP="00312E88">
            <w:pPr>
              <w:jc w:val="center"/>
              <w:rPr>
                <w:rFonts w:cs="Arial"/>
                <w:color w:val="000000"/>
                <w:sz w:val="18"/>
                <w:szCs w:val="18"/>
              </w:rPr>
            </w:pPr>
            <w:r w:rsidRPr="00667947">
              <w:rPr>
                <w:rFonts w:cs="Arial"/>
                <w:color w:val="000000"/>
                <w:sz w:val="18"/>
                <w:szCs w:val="18"/>
              </w:rPr>
              <w:t>800</w:t>
            </w:r>
          </w:p>
        </w:tc>
        <w:tc>
          <w:tcPr>
            <w:tcW w:w="678" w:type="pct"/>
            <w:tcBorders>
              <w:top w:val="nil"/>
              <w:left w:val="nil"/>
              <w:bottom w:val="nil"/>
              <w:right w:val="nil"/>
            </w:tcBorders>
            <w:shd w:val="clear" w:color="auto" w:fill="auto"/>
            <w:noWrap/>
            <w:vAlign w:val="bottom"/>
            <w:hideMark/>
          </w:tcPr>
          <w:p w14:paraId="6B59C4F7" w14:textId="77777777" w:rsidR="00F258B7" w:rsidRPr="00667947" w:rsidRDefault="00F258B7" w:rsidP="00312E88">
            <w:pPr>
              <w:jc w:val="center"/>
              <w:rPr>
                <w:rFonts w:cs="Arial"/>
                <w:color w:val="000000"/>
                <w:sz w:val="18"/>
                <w:szCs w:val="18"/>
              </w:rPr>
            </w:pPr>
            <w:r w:rsidRPr="00667947">
              <w:rPr>
                <w:rFonts w:cs="Arial"/>
                <w:color w:val="000000"/>
                <w:sz w:val="18"/>
                <w:szCs w:val="18"/>
              </w:rPr>
              <w:t>700</w:t>
            </w:r>
          </w:p>
        </w:tc>
        <w:tc>
          <w:tcPr>
            <w:tcW w:w="678" w:type="pct"/>
            <w:tcBorders>
              <w:top w:val="nil"/>
              <w:left w:val="nil"/>
              <w:bottom w:val="nil"/>
              <w:right w:val="nil"/>
            </w:tcBorders>
            <w:shd w:val="clear" w:color="auto" w:fill="auto"/>
            <w:noWrap/>
            <w:vAlign w:val="bottom"/>
            <w:hideMark/>
          </w:tcPr>
          <w:p w14:paraId="6DE630E3" w14:textId="77777777" w:rsidR="00F258B7" w:rsidRPr="00667947" w:rsidRDefault="00F258B7" w:rsidP="00312E88">
            <w:pPr>
              <w:jc w:val="center"/>
              <w:rPr>
                <w:rFonts w:cs="Arial"/>
                <w:color w:val="000000"/>
                <w:sz w:val="18"/>
                <w:szCs w:val="18"/>
              </w:rPr>
            </w:pPr>
            <w:r w:rsidRPr="00667947">
              <w:rPr>
                <w:rFonts w:cs="Arial"/>
                <w:color w:val="000000"/>
                <w:sz w:val="18"/>
                <w:szCs w:val="18"/>
              </w:rPr>
              <w:t>900</w:t>
            </w:r>
          </w:p>
        </w:tc>
        <w:tc>
          <w:tcPr>
            <w:tcW w:w="678" w:type="pct"/>
            <w:tcBorders>
              <w:top w:val="nil"/>
              <w:left w:val="nil"/>
              <w:bottom w:val="nil"/>
              <w:right w:val="single" w:sz="4" w:space="0" w:color="auto"/>
            </w:tcBorders>
            <w:shd w:val="clear" w:color="auto" w:fill="auto"/>
            <w:noWrap/>
            <w:vAlign w:val="bottom"/>
            <w:hideMark/>
          </w:tcPr>
          <w:p w14:paraId="32EE69BB" w14:textId="77777777" w:rsidR="00F258B7" w:rsidRPr="00667947" w:rsidRDefault="00F258B7" w:rsidP="00312E88">
            <w:pPr>
              <w:jc w:val="center"/>
              <w:rPr>
                <w:rFonts w:cs="Arial"/>
                <w:color w:val="000000"/>
                <w:sz w:val="18"/>
                <w:szCs w:val="18"/>
              </w:rPr>
            </w:pPr>
            <w:r w:rsidRPr="00667947">
              <w:rPr>
                <w:rFonts w:cs="Arial"/>
                <w:color w:val="000000"/>
                <w:sz w:val="18"/>
                <w:szCs w:val="18"/>
              </w:rPr>
              <w:t>1,200</w:t>
            </w:r>
          </w:p>
        </w:tc>
      </w:tr>
      <w:tr w:rsidR="00F258B7" w:rsidRPr="00667947" w14:paraId="52FA0A68" w14:textId="77777777" w:rsidTr="00F258B7">
        <w:trPr>
          <w:trHeight w:hRule="exact" w:val="301"/>
        </w:trPr>
        <w:tc>
          <w:tcPr>
            <w:tcW w:w="1610" w:type="pct"/>
            <w:tcBorders>
              <w:top w:val="nil"/>
              <w:left w:val="single" w:sz="4" w:space="0" w:color="auto"/>
              <w:bottom w:val="nil"/>
              <w:right w:val="single" w:sz="4" w:space="0" w:color="auto"/>
            </w:tcBorders>
            <w:shd w:val="clear" w:color="auto" w:fill="auto"/>
            <w:noWrap/>
            <w:vAlign w:val="bottom"/>
            <w:hideMark/>
          </w:tcPr>
          <w:p w14:paraId="5D9FE1F8" w14:textId="77777777" w:rsidR="00F258B7" w:rsidRPr="00667947" w:rsidRDefault="00F258B7" w:rsidP="00312E88">
            <w:pPr>
              <w:rPr>
                <w:rFonts w:cs="Arial"/>
                <w:color w:val="000000"/>
                <w:sz w:val="18"/>
                <w:szCs w:val="18"/>
              </w:rPr>
            </w:pPr>
            <w:r w:rsidRPr="00667947">
              <w:rPr>
                <w:rFonts w:cs="Arial"/>
                <w:color w:val="000000"/>
                <w:sz w:val="18"/>
                <w:szCs w:val="18"/>
              </w:rPr>
              <w:t>Daily Activities</w:t>
            </w:r>
          </w:p>
        </w:tc>
        <w:tc>
          <w:tcPr>
            <w:tcW w:w="678" w:type="pct"/>
            <w:tcBorders>
              <w:top w:val="nil"/>
              <w:left w:val="nil"/>
              <w:bottom w:val="nil"/>
              <w:right w:val="nil"/>
            </w:tcBorders>
            <w:shd w:val="clear" w:color="auto" w:fill="auto"/>
            <w:noWrap/>
            <w:vAlign w:val="bottom"/>
            <w:hideMark/>
          </w:tcPr>
          <w:p w14:paraId="59ACC73A" w14:textId="77777777" w:rsidR="00F258B7" w:rsidRPr="00667947" w:rsidRDefault="00F258B7" w:rsidP="00312E88">
            <w:pPr>
              <w:jc w:val="center"/>
              <w:rPr>
                <w:rFonts w:cs="Arial"/>
                <w:color w:val="000000"/>
                <w:sz w:val="18"/>
                <w:szCs w:val="18"/>
              </w:rPr>
            </w:pPr>
            <w:r w:rsidRPr="00667947">
              <w:rPr>
                <w:rFonts w:cs="Arial"/>
                <w:color w:val="000000"/>
                <w:sz w:val="18"/>
                <w:szCs w:val="18"/>
              </w:rPr>
              <w:t>2,700</w:t>
            </w:r>
          </w:p>
        </w:tc>
        <w:tc>
          <w:tcPr>
            <w:tcW w:w="678" w:type="pct"/>
            <w:tcBorders>
              <w:top w:val="nil"/>
              <w:left w:val="nil"/>
              <w:bottom w:val="nil"/>
              <w:right w:val="nil"/>
            </w:tcBorders>
            <w:shd w:val="clear" w:color="auto" w:fill="auto"/>
            <w:noWrap/>
            <w:vAlign w:val="bottom"/>
            <w:hideMark/>
          </w:tcPr>
          <w:p w14:paraId="5463D7A2" w14:textId="77777777" w:rsidR="00F258B7" w:rsidRPr="00667947" w:rsidRDefault="00F258B7" w:rsidP="00312E88">
            <w:pPr>
              <w:jc w:val="center"/>
              <w:rPr>
                <w:rFonts w:cs="Arial"/>
                <w:color w:val="000000"/>
                <w:sz w:val="18"/>
                <w:szCs w:val="18"/>
              </w:rPr>
            </w:pPr>
            <w:r w:rsidRPr="00667947">
              <w:rPr>
                <w:rFonts w:cs="Arial"/>
                <w:color w:val="000000"/>
                <w:sz w:val="18"/>
                <w:szCs w:val="18"/>
              </w:rPr>
              <w:t>8,300</w:t>
            </w:r>
          </w:p>
        </w:tc>
        <w:tc>
          <w:tcPr>
            <w:tcW w:w="678" w:type="pct"/>
            <w:tcBorders>
              <w:top w:val="nil"/>
              <w:left w:val="nil"/>
              <w:bottom w:val="nil"/>
              <w:right w:val="nil"/>
            </w:tcBorders>
            <w:shd w:val="clear" w:color="auto" w:fill="auto"/>
            <w:noWrap/>
            <w:vAlign w:val="bottom"/>
            <w:hideMark/>
          </w:tcPr>
          <w:p w14:paraId="15543A58" w14:textId="77777777" w:rsidR="00F258B7" w:rsidRPr="00667947" w:rsidRDefault="00F258B7" w:rsidP="00312E88">
            <w:pPr>
              <w:jc w:val="center"/>
              <w:rPr>
                <w:rFonts w:cs="Arial"/>
                <w:color w:val="000000"/>
                <w:sz w:val="18"/>
                <w:szCs w:val="18"/>
              </w:rPr>
            </w:pPr>
            <w:r w:rsidRPr="00667947">
              <w:rPr>
                <w:rFonts w:cs="Arial"/>
                <w:color w:val="000000"/>
                <w:sz w:val="18"/>
                <w:szCs w:val="18"/>
              </w:rPr>
              <w:t>20,200</w:t>
            </w:r>
          </w:p>
        </w:tc>
        <w:tc>
          <w:tcPr>
            <w:tcW w:w="678" w:type="pct"/>
            <w:tcBorders>
              <w:top w:val="nil"/>
              <w:left w:val="nil"/>
              <w:bottom w:val="nil"/>
              <w:right w:val="nil"/>
            </w:tcBorders>
            <w:shd w:val="clear" w:color="auto" w:fill="auto"/>
            <w:noWrap/>
            <w:vAlign w:val="bottom"/>
            <w:hideMark/>
          </w:tcPr>
          <w:p w14:paraId="5B4F094D" w14:textId="77777777" w:rsidR="00F258B7" w:rsidRPr="00667947" w:rsidRDefault="00F258B7" w:rsidP="00312E88">
            <w:pPr>
              <w:jc w:val="center"/>
              <w:rPr>
                <w:rFonts w:cs="Arial"/>
                <w:color w:val="000000"/>
                <w:sz w:val="18"/>
                <w:szCs w:val="18"/>
              </w:rPr>
            </w:pPr>
            <w:r w:rsidRPr="00667947">
              <w:rPr>
                <w:rFonts w:cs="Arial"/>
                <w:color w:val="000000"/>
                <w:sz w:val="18"/>
                <w:szCs w:val="18"/>
              </w:rPr>
              <w:t>39,400</w:t>
            </w:r>
          </w:p>
        </w:tc>
        <w:tc>
          <w:tcPr>
            <w:tcW w:w="678" w:type="pct"/>
            <w:tcBorders>
              <w:top w:val="nil"/>
              <w:left w:val="nil"/>
              <w:bottom w:val="nil"/>
              <w:right w:val="single" w:sz="4" w:space="0" w:color="auto"/>
            </w:tcBorders>
            <w:shd w:val="clear" w:color="auto" w:fill="auto"/>
            <w:noWrap/>
            <w:vAlign w:val="bottom"/>
            <w:hideMark/>
          </w:tcPr>
          <w:p w14:paraId="0224A5D2" w14:textId="77777777" w:rsidR="00F258B7" w:rsidRPr="00667947" w:rsidRDefault="00F258B7" w:rsidP="00312E88">
            <w:pPr>
              <w:jc w:val="center"/>
              <w:rPr>
                <w:rFonts w:cs="Arial"/>
                <w:color w:val="000000"/>
                <w:sz w:val="18"/>
                <w:szCs w:val="18"/>
              </w:rPr>
            </w:pPr>
            <w:r w:rsidRPr="00667947">
              <w:rPr>
                <w:rFonts w:cs="Arial"/>
                <w:color w:val="000000"/>
                <w:sz w:val="18"/>
                <w:szCs w:val="18"/>
              </w:rPr>
              <w:t>56,700</w:t>
            </w:r>
          </w:p>
        </w:tc>
      </w:tr>
      <w:tr w:rsidR="00F258B7" w:rsidRPr="00667947" w14:paraId="19F6C39B" w14:textId="77777777" w:rsidTr="00F258B7">
        <w:trPr>
          <w:trHeight w:hRule="exact" w:val="301"/>
        </w:trPr>
        <w:tc>
          <w:tcPr>
            <w:tcW w:w="1610" w:type="pct"/>
            <w:tcBorders>
              <w:top w:val="nil"/>
              <w:left w:val="single" w:sz="4" w:space="0" w:color="auto"/>
              <w:bottom w:val="nil"/>
              <w:right w:val="single" w:sz="4" w:space="0" w:color="auto"/>
            </w:tcBorders>
            <w:shd w:val="clear" w:color="auto" w:fill="auto"/>
            <w:noWrap/>
            <w:vAlign w:val="bottom"/>
            <w:hideMark/>
          </w:tcPr>
          <w:p w14:paraId="5D6E1C90" w14:textId="77777777" w:rsidR="00F258B7" w:rsidRPr="00667947" w:rsidRDefault="00F258B7" w:rsidP="00312E88">
            <w:pPr>
              <w:rPr>
                <w:rFonts w:cs="Arial"/>
                <w:color w:val="000000"/>
                <w:sz w:val="18"/>
                <w:szCs w:val="18"/>
              </w:rPr>
            </w:pPr>
            <w:r w:rsidRPr="00667947">
              <w:rPr>
                <w:rFonts w:cs="Arial"/>
                <w:color w:val="000000"/>
                <w:sz w:val="18"/>
                <w:szCs w:val="18"/>
              </w:rPr>
              <w:t>Social Community Civic</w:t>
            </w:r>
          </w:p>
        </w:tc>
        <w:tc>
          <w:tcPr>
            <w:tcW w:w="678" w:type="pct"/>
            <w:tcBorders>
              <w:top w:val="nil"/>
              <w:left w:val="nil"/>
              <w:bottom w:val="nil"/>
              <w:right w:val="nil"/>
            </w:tcBorders>
            <w:shd w:val="clear" w:color="auto" w:fill="auto"/>
            <w:noWrap/>
            <w:vAlign w:val="bottom"/>
            <w:hideMark/>
          </w:tcPr>
          <w:p w14:paraId="644A968E" w14:textId="77777777" w:rsidR="00F258B7" w:rsidRPr="00667947" w:rsidRDefault="00F258B7" w:rsidP="00312E88">
            <w:pPr>
              <w:jc w:val="center"/>
              <w:rPr>
                <w:rFonts w:cs="Arial"/>
                <w:color w:val="000000"/>
                <w:sz w:val="18"/>
                <w:szCs w:val="18"/>
              </w:rPr>
            </w:pPr>
            <w:r w:rsidRPr="00667947">
              <w:rPr>
                <w:rFonts w:cs="Arial"/>
                <w:color w:val="000000"/>
                <w:sz w:val="18"/>
                <w:szCs w:val="18"/>
              </w:rPr>
              <w:t>300</w:t>
            </w:r>
          </w:p>
        </w:tc>
        <w:tc>
          <w:tcPr>
            <w:tcW w:w="678" w:type="pct"/>
            <w:tcBorders>
              <w:top w:val="nil"/>
              <w:left w:val="nil"/>
              <w:bottom w:val="nil"/>
              <w:right w:val="nil"/>
            </w:tcBorders>
            <w:shd w:val="clear" w:color="auto" w:fill="auto"/>
            <w:noWrap/>
            <w:vAlign w:val="bottom"/>
            <w:hideMark/>
          </w:tcPr>
          <w:p w14:paraId="1C7EA20D" w14:textId="77777777" w:rsidR="00F258B7" w:rsidRPr="00667947" w:rsidRDefault="00F258B7" w:rsidP="00312E88">
            <w:pPr>
              <w:jc w:val="center"/>
              <w:rPr>
                <w:rFonts w:cs="Arial"/>
                <w:color w:val="000000"/>
                <w:sz w:val="18"/>
                <w:szCs w:val="18"/>
              </w:rPr>
            </w:pPr>
            <w:r w:rsidRPr="00667947">
              <w:rPr>
                <w:rFonts w:cs="Arial"/>
                <w:color w:val="000000"/>
                <w:sz w:val="18"/>
                <w:szCs w:val="18"/>
              </w:rPr>
              <w:t>2,200</w:t>
            </w:r>
          </w:p>
        </w:tc>
        <w:tc>
          <w:tcPr>
            <w:tcW w:w="678" w:type="pct"/>
            <w:tcBorders>
              <w:top w:val="nil"/>
              <w:left w:val="nil"/>
              <w:bottom w:val="nil"/>
              <w:right w:val="nil"/>
            </w:tcBorders>
            <w:shd w:val="clear" w:color="auto" w:fill="auto"/>
            <w:noWrap/>
            <w:vAlign w:val="bottom"/>
            <w:hideMark/>
          </w:tcPr>
          <w:p w14:paraId="411B85BE" w14:textId="77777777" w:rsidR="00F258B7" w:rsidRPr="00667947" w:rsidRDefault="00F258B7" w:rsidP="00312E88">
            <w:pPr>
              <w:jc w:val="center"/>
              <w:rPr>
                <w:rFonts w:cs="Arial"/>
                <w:color w:val="000000"/>
                <w:sz w:val="18"/>
                <w:szCs w:val="18"/>
              </w:rPr>
            </w:pPr>
            <w:r w:rsidRPr="00667947">
              <w:rPr>
                <w:rFonts w:cs="Arial"/>
                <w:color w:val="000000"/>
                <w:sz w:val="18"/>
                <w:szCs w:val="18"/>
              </w:rPr>
              <w:t>7,600</w:t>
            </w:r>
          </w:p>
        </w:tc>
        <w:tc>
          <w:tcPr>
            <w:tcW w:w="678" w:type="pct"/>
            <w:tcBorders>
              <w:top w:val="nil"/>
              <w:left w:val="nil"/>
              <w:bottom w:val="nil"/>
              <w:right w:val="nil"/>
            </w:tcBorders>
            <w:shd w:val="clear" w:color="auto" w:fill="auto"/>
            <w:noWrap/>
            <w:vAlign w:val="bottom"/>
            <w:hideMark/>
          </w:tcPr>
          <w:p w14:paraId="57E6ACA1" w14:textId="77777777" w:rsidR="00F258B7" w:rsidRPr="00667947" w:rsidRDefault="00F258B7" w:rsidP="00312E88">
            <w:pPr>
              <w:jc w:val="center"/>
              <w:rPr>
                <w:rFonts w:cs="Arial"/>
                <w:color w:val="000000"/>
                <w:sz w:val="18"/>
                <w:szCs w:val="18"/>
              </w:rPr>
            </w:pPr>
            <w:r w:rsidRPr="00667947">
              <w:rPr>
                <w:rFonts w:cs="Arial"/>
                <w:color w:val="000000"/>
                <w:sz w:val="18"/>
                <w:szCs w:val="18"/>
              </w:rPr>
              <w:t>21,800</w:t>
            </w:r>
          </w:p>
        </w:tc>
        <w:tc>
          <w:tcPr>
            <w:tcW w:w="678" w:type="pct"/>
            <w:tcBorders>
              <w:top w:val="nil"/>
              <w:left w:val="nil"/>
              <w:bottom w:val="nil"/>
              <w:right w:val="single" w:sz="4" w:space="0" w:color="auto"/>
            </w:tcBorders>
            <w:shd w:val="clear" w:color="auto" w:fill="auto"/>
            <w:noWrap/>
            <w:vAlign w:val="bottom"/>
            <w:hideMark/>
          </w:tcPr>
          <w:p w14:paraId="477977D3" w14:textId="77777777" w:rsidR="00F258B7" w:rsidRPr="00667947" w:rsidRDefault="00F258B7" w:rsidP="00312E88">
            <w:pPr>
              <w:jc w:val="center"/>
              <w:rPr>
                <w:rFonts w:cs="Arial"/>
                <w:color w:val="000000"/>
                <w:sz w:val="18"/>
                <w:szCs w:val="18"/>
              </w:rPr>
            </w:pPr>
            <w:r w:rsidRPr="00667947">
              <w:rPr>
                <w:rFonts w:cs="Arial"/>
                <w:color w:val="000000"/>
                <w:sz w:val="18"/>
                <w:szCs w:val="18"/>
              </w:rPr>
              <w:t>26,100</w:t>
            </w:r>
          </w:p>
        </w:tc>
      </w:tr>
      <w:tr w:rsidR="00F258B7" w:rsidRPr="00667947" w14:paraId="13BB0336" w14:textId="77777777" w:rsidTr="00F258B7">
        <w:trPr>
          <w:trHeight w:hRule="exact" w:val="301"/>
        </w:trPr>
        <w:tc>
          <w:tcPr>
            <w:tcW w:w="1610" w:type="pct"/>
            <w:tcBorders>
              <w:top w:val="nil"/>
              <w:left w:val="single" w:sz="4" w:space="0" w:color="auto"/>
              <w:bottom w:val="nil"/>
              <w:right w:val="single" w:sz="4" w:space="0" w:color="auto"/>
            </w:tcBorders>
            <w:shd w:val="clear" w:color="auto" w:fill="auto"/>
            <w:noWrap/>
            <w:vAlign w:val="bottom"/>
            <w:hideMark/>
          </w:tcPr>
          <w:p w14:paraId="2ABABEA4" w14:textId="77777777" w:rsidR="00F258B7" w:rsidRPr="00667947" w:rsidRDefault="00F258B7" w:rsidP="00312E88">
            <w:pPr>
              <w:rPr>
                <w:rFonts w:cs="Arial"/>
                <w:color w:val="000000"/>
                <w:sz w:val="18"/>
                <w:szCs w:val="18"/>
              </w:rPr>
            </w:pPr>
            <w:r w:rsidRPr="00667947">
              <w:rPr>
                <w:rFonts w:cs="Arial"/>
                <w:color w:val="000000"/>
                <w:sz w:val="18"/>
                <w:szCs w:val="18"/>
              </w:rPr>
              <w:t>Transport</w:t>
            </w:r>
          </w:p>
        </w:tc>
        <w:tc>
          <w:tcPr>
            <w:tcW w:w="678" w:type="pct"/>
            <w:tcBorders>
              <w:top w:val="nil"/>
              <w:left w:val="nil"/>
              <w:bottom w:val="nil"/>
              <w:right w:val="nil"/>
            </w:tcBorders>
            <w:shd w:val="clear" w:color="auto" w:fill="auto"/>
            <w:noWrap/>
            <w:vAlign w:val="bottom"/>
            <w:hideMark/>
          </w:tcPr>
          <w:p w14:paraId="59306F4B" w14:textId="77777777" w:rsidR="00F258B7" w:rsidRPr="00667947" w:rsidRDefault="00F258B7" w:rsidP="00312E88">
            <w:pPr>
              <w:jc w:val="center"/>
              <w:rPr>
                <w:rFonts w:cs="Arial"/>
                <w:color w:val="000000"/>
                <w:sz w:val="18"/>
                <w:szCs w:val="18"/>
              </w:rPr>
            </w:pPr>
            <w:r w:rsidRPr="00667947">
              <w:rPr>
                <w:rFonts w:cs="Arial"/>
                <w:color w:val="000000"/>
                <w:sz w:val="18"/>
                <w:szCs w:val="18"/>
              </w:rPr>
              <w:t>700</w:t>
            </w:r>
          </w:p>
        </w:tc>
        <w:tc>
          <w:tcPr>
            <w:tcW w:w="678" w:type="pct"/>
            <w:tcBorders>
              <w:top w:val="nil"/>
              <w:left w:val="nil"/>
              <w:bottom w:val="nil"/>
              <w:right w:val="nil"/>
            </w:tcBorders>
            <w:shd w:val="clear" w:color="auto" w:fill="auto"/>
            <w:noWrap/>
            <w:vAlign w:val="bottom"/>
            <w:hideMark/>
          </w:tcPr>
          <w:p w14:paraId="322A88A8" w14:textId="77777777" w:rsidR="00F258B7" w:rsidRPr="00667947" w:rsidRDefault="00F258B7" w:rsidP="00312E88">
            <w:pPr>
              <w:jc w:val="center"/>
              <w:rPr>
                <w:rFonts w:cs="Arial"/>
                <w:color w:val="000000"/>
                <w:sz w:val="18"/>
                <w:szCs w:val="18"/>
              </w:rPr>
            </w:pPr>
            <w:r w:rsidRPr="00667947">
              <w:rPr>
                <w:rFonts w:cs="Arial"/>
                <w:color w:val="000000"/>
                <w:sz w:val="18"/>
                <w:szCs w:val="18"/>
              </w:rPr>
              <w:t>2,200</w:t>
            </w:r>
          </w:p>
        </w:tc>
        <w:tc>
          <w:tcPr>
            <w:tcW w:w="678" w:type="pct"/>
            <w:tcBorders>
              <w:top w:val="nil"/>
              <w:left w:val="nil"/>
              <w:bottom w:val="nil"/>
              <w:right w:val="nil"/>
            </w:tcBorders>
            <w:shd w:val="clear" w:color="auto" w:fill="auto"/>
            <w:noWrap/>
            <w:vAlign w:val="bottom"/>
            <w:hideMark/>
          </w:tcPr>
          <w:p w14:paraId="24C96AE7" w14:textId="77777777" w:rsidR="00F258B7" w:rsidRPr="00667947" w:rsidRDefault="00F258B7" w:rsidP="00312E88">
            <w:pPr>
              <w:jc w:val="center"/>
              <w:rPr>
                <w:rFonts w:cs="Arial"/>
                <w:color w:val="000000"/>
                <w:sz w:val="18"/>
                <w:szCs w:val="18"/>
              </w:rPr>
            </w:pPr>
            <w:r w:rsidRPr="00667947">
              <w:rPr>
                <w:rFonts w:cs="Arial"/>
                <w:color w:val="000000"/>
                <w:sz w:val="18"/>
                <w:szCs w:val="18"/>
              </w:rPr>
              <w:t>3,300</w:t>
            </w:r>
          </w:p>
        </w:tc>
        <w:tc>
          <w:tcPr>
            <w:tcW w:w="678" w:type="pct"/>
            <w:tcBorders>
              <w:top w:val="nil"/>
              <w:left w:val="nil"/>
              <w:bottom w:val="nil"/>
              <w:right w:val="nil"/>
            </w:tcBorders>
            <w:shd w:val="clear" w:color="auto" w:fill="auto"/>
            <w:noWrap/>
            <w:vAlign w:val="bottom"/>
            <w:hideMark/>
          </w:tcPr>
          <w:p w14:paraId="5E16D989" w14:textId="77777777" w:rsidR="00F258B7" w:rsidRPr="00667947" w:rsidRDefault="00F258B7" w:rsidP="00312E88">
            <w:pPr>
              <w:jc w:val="center"/>
              <w:rPr>
                <w:rFonts w:cs="Arial"/>
                <w:color w:val="000000"/>
                <w:sz w:val="18"/>
                <w:szCs w:val="18"/>
              </w:rPr>
            </w:pPr>
            <w:r w:rsidRPr="00667947">
              <w:rPr>
                <w:rFonts w:cs="Arial"/>
                <w:color w:val="000000"/>
                <w:sz w:val="18"/>
                <w:szCs w:val="18"/>
              </w:rPr>
              <w:t>2,400</w:t>
            </w:r>
          </w:p>
        </w:tc>
        <w:tc>
          <w:tcPr>
            <w:tcW w:w="678" w:type="pct"/>
            <w:tcBorders>
              <w:top w:val="nil"/>
              <w:left w:val="nil"/>
              <w:bottom w:val="nil"/>
              <w:right w:val="single" w:sz="4" w:space="0" w:color="auto"/>
            </w:tcBorders>
            <w:shd w:val="clear" w:color="auto" w:fill="auto"/>
            <w:noWrap/>
            <w:vAlign w:val="bottom"/>
            <w:hideMark/>
          </w:tcPr>
          <w:p w14:paraId="2DA450C3" w14:textId="77777777" w:rsidR="00F258B7" w:rsidRPr="00667947" w:rsidRDefault="00F258B7" w:rsidP="00312E88">
            <w:pPr>
              <w:jc w:val="center"/>
              <w:rPr>
                <w:rFonts w:cs="Arial"/>
                <w:color w:val="000000"/>
                <w:sz w:val="18"/>
                <w:szCs w:val="18"/>
              </w:rPr>
            </w:pPr>
            <w:r w:rsidRPr="00667947">
              <w:rPr>
                <w:rFonts w:cs="Arial"/>
                <w:color w:val="000000"/>
                <w:sz w:val="18"/>
                <w:szCs w:val="18"/>
              </w:rPr>
              <w:t>2,300</w:t>
            </w:r>
          </w:p>
        </w:tc>
      </w:tr>
      <w:tr w:rsidR="00F258B7" w:rsidRPr="00667947" w14:paraId="474603FA" w14:textId="77777777" w:rsidTr="00F258B7">
        <w:trPr>
          <w:trHeight w:hRule="exact" w:val="301"/>
        </w:trPr>
        <w:tc>
          <w:tcPr>
            <w:tcW w:w="1610" w:type="pct"/>
            <w:tcBorders>
              <w:top w:val="nil"/>
              <w:left w:val="single" w:sz="4" w:space="0" w:color="auto"/>
              <w:bottom w:val="nil"/>
              <w:right w:val="single" w:sz="4" w:space="0" w:color="auto"/>
            </w:tcBorders>
            <w:shd w:val="clear" w:color="auto" w:fill="auto"/>
            <w:noWrap/>
            <w:vAlign w:val="bottom"/>
            <w:hideMark/>
          </w:tcPr>
          <w:p w14:paraId="0876F534" w14:textId="77777777" w:rsidR="00F258B7" w:rsidRPr="00667947" w:rsidRDefault="00F258B7" w:rsidP="00312E88">
            <w:pPr>
              <w:rPr>
                <w:rFonts w:cs="Arial"/>
                <w:color w:val="000000"/>
                <w:sz w:val="18"/>
                <w:szCs w:val="18"/>
              </w:rPr>
            </w:pPr>
            <w:r w:rsidRPr="00667947">
              <w:rPr>
                <w:rFonts w:cs="Arial"/>
                <w:color w:val="000000"/>
                <w:sz w:val="18"/>
                <w:szCs w:val="18"/>
              </w:rPr>
              <w:t>Assistive Technology</w:t>
            </w:r>
          </w:p>
        </w:tc>
        <w:tc>
          <w:tcPr>
            <w:tcW w:w="678" w:type="pct"/>
            <w:tcBorders>
              <w:top w:val="nil"/>
              <w:left w:val="nil"/>
              <w:bottom w:val="nil"/>
              <w:right w:val="nil"/>
            </w:tcBorders>
            <w:shd w:val="clear" w:color="auto" w:fill="auto"/>
            <w:noWrap/>
            <w:vAlign w:val="bottom"/>
            <w:hideMark/>
          </w:tcPr>
          <w:p w14:paraId="56A98369" w14:textId="77777777" w:rsidR="00F258B7" w:rsidRPr="00667947" w:rsidRDefault="00F258B7" w:rsidP="00312E88">
            <w:pPr>
              <w:jc w:val="center"/>
              <w:rPr>
                <w:rFonts w:cs="Arial"/>
                <w:color w:val="000000"/>
                <w:sz w:val="18"/>
                <w:szCs w:val="18"/>
              </w:rPr>
            </w:pPr>
            <w:r w:rsidRPr="00667947">
              <w:rPr>
                <w:rFonts w:cs="Arial"/>
                <w:color w:val="000000"/>
                <w:sz w:val="18"/>
                <w:szCs w:val="18"/>
              </w:rPr>
              <w:t>600</w:t>
            </w:r>
          </w:p>
        </w:tc>
        <w:tc>
          <w:tcPr>
            <w:tcW w:w="678" w:type="pct"/>
            <w:tcBorders>
              <w:top w:val="nil"/>
              <w:left w:val="nil"/>
              <w:bottom w:val="nil"/>
              <w:right w:val="nil"/>
            </w:tcBorders>
            <w:shd w:val="clear" w:color="auto" w:fill="auto"/>
            <w:noWrap/>
            <w:vAlign w:val="bottom"/>
            <w:hideMark/>
          </w:tcPr>
          <w:p w14:paraId="402343D6" w14:textId="77777777" w:rsidR="00F258B7" w:rsidRPr="00667947" w:rsidRDefault="00F258B7" w:rsidP="00312E88">
            <w:pPr>
              <w:jc w:val="center"/>
              <w:rPr>
                <w:rFonts w:cs="Arial"/>
                <w:color w:val="000000"/>
                <w:sz w:val="18"/>
                <w:szCs w:val="18"/>
              </w:rPr>
            </w:pPr>
            <w:r w:rsidRPr="00667947">
              <w:rPr>
                <w:rFonts w:cs="Arial"/>
                <w:color w:val="000000"/>
                <w:sz w:val="18"/>
                <w:szCs w:val="18"/>
              </w:rPr>
              <w:t>500</w:t>
            </w:r>
          </w:p>
        </w:tc>
        <w:tc>
          <w:tcPr>
            <w:tcW w:w="678" w:type="pct"/>
            <w:tcBorders>
              <w:top w:val="nil"/>
              <w:left w:val="nil"/>
              <w:bottom w:val="nil"/>
              <w:right w:val="nil"/>
            </w:tcBorders>
            <w:shd w:val="clear" w:color="auto" w:fill="auto"/>
            <w:noWrap/>
            <w:vAlign w:val="bottom"/>
            <w:hideMark/>
          </w:tcPr>
          <w:p w14:paraId="23EE49C7" w14:textId="77777777" w:rsidR="00F258B7" w:rsidRPr="00667947" w:rsidRDefault="00F258B7" w:rsidP="00312E88">
            <w:pPr>
              <w:jc w:val="center"/>
              <w:rPr>
                <w:rFonts w:cs="Arial"/>
                <w:color w:val="000000"/>
                <w:sz w:val="18"/>
                <w:szCs w:val="18"/>
              </w:rPr>
            </w:pPr>
            <w:r w:rsidRPr="00667947">
              <w:rPr>
                <w:rFonts w:cs="Arial"/>
                <w:color w:val="000000"/>
                <w:sz w:val="18"/>
                <w:szCs w:val="18"/>
              </w:rPr>
              <w:t>500</w:t>
            </w:r>
          </w:p>
        </w:tc>
        <w:tc>
          <w:tcPr>
            <w:tcW w:w="678" w:type="pct"/>
            <w:tcBorders>
              <w:top w:val="nil"/>
              <w:left w:val="nil"/>
              <w:bottom w:val="nil"/>
              <w:right w:val="nil"/>
            </w:tcBorders>
            <w:shd w:val="clear" w:color="auto" w:fill="auto"/>
            <w:noWrap/>
            <w:vAlign w:val="bottom"/>
            <w:hideMark/>
          </w:tcPr>
          <w:p w14:paraId="07911364" w14:textId="77777777" w:rsidR="00F258B7" w:rsidRPr="00667947" w:rsidRDefault="00F258B7" w:rsidP="00312E88">
            <w:pPr>
              <w:jc w:val="center"/>
              <w:rPr>
                <w:rFonts w:cs="Arial"/>
                <w:color w:val="000000"/>
                <w:sz w:val="18"/>
                <w:szCs w:val="18"/>
              </w:rPr>
            </w:pPr>
            <w:r w:rsidRPr="00667947">
              <w:rPr>
                <w:rFonts w:cs="Arial"/>
                <w:color w:val="000000"/>
                <w:sz w:val="18"/>
                <w:szCs w:val="18"/>
              </w:rPr>
              <w:t>700</w:t>
            </w:r>
          </w:p>
        </w:tc>
        <w:tc>
          <w:tcPr>
            <w:tcW w:w="678" w:type="pct"/>
            <w:tcBorders>
              <w:top w:val="nil"/>
              <w:left w:val="nil"/>
              <w:bottom w:val="nil"/>
              <w:right w:val="single" w:sz="4" w:space="0" w:color="auto"/>
            </w:tcBorders>
            <w:shd w:val="clear" w:color="auto" w:fill="auto"/>
            <w:noWrap/>
            <w:vAlign w:val="bottom"/>
            <w:hideMark/>
          </w:tcPr>
          <w:p w14:paraId="63A18A5D" w14:textId="77777777" w:rsidR="00F258B7" w:rsidRPr="00667947" w:rsidRDefault="00F258B7" w:rsidP="00312E88">
            <w:pPr>
              <w:jc w:val="center"/>
              <w:rPr>
                <w:rFonts w:cs="Arial"/>
                <w:color w:val="000000"/>
                <w:sz w:val="18"/>
                <w:szCs w:val="18"/>
              </w:rPr>
            </w:pPr>
            <w:r w:rsidRPr="00667947">
              <w:rPr>
                <w:rFonts w:cs="Arial"/>
                <w:color w:val="000000"/>
                <w:sz w:val="18"/>
                <w:szCs w:val="18"/>
              </w:rPr>
              <w:t>1,100</w:t>
            </w:r>
          </w:p>
        </w:tc>
      </w:tr>
      <w:tr w:rsidR="00F258B7" w:rsidRPr="00667947" w14:paraId="0149698B" w14:textId="77777777" w:rsidTr="00F258B7">
        <w:trPr>
          <w:trHeight w:hRule="exact" w:val="301"/>
        </w:trPr>
        <w:tc>
          <w:tcPr>
            <w:tcW w:w="1610" w:type="pct"/>
            <w:tcBorders>
              <w:top w:val="nil"/>
              <w:left w:val="single" w:sz="4" w:space="0" w:color="auto"/>
              <w:bottom w:val="nil"/>
              <w:right w:val="single" w:sz="4" w:space="0" w:color="auto"/>
            </w:tcBorders>
            <w:shd w:val="clear" w:color="auto" w:fill="auto"/>
            <w:noWrap/>
            <w:vAlign w:val="bottom"/>
            <w:hideMark/>
          </w:tcPr>
          <w:p w14:paraId="641360C4" w14:textId="77777777" w:rsidR="00F258B7" w:rsidRPr="00667947" w:rsidRDefault="00F258B7" w:rsidP="00312E88">
            <w:pPr>
              <w:rPr>
                <w:rFonts w:cs="Arial"/>
                <w:color w:val="000000"/>
                <w:sz w:val="18"/>
                <w:szCs w:val="18"/>
              </w:rPr>
            </w:pPr>
            <w:r w:rsidRPr="00667947">
              <w:rPr>
                <w:rFonts w:cs="Arial"/>
                <w:color w:val="000000"/>
                <w:sz w:val="18"/>
                <w:szCs w:val="18"/>
              </w:rPr>
              <w:t>Home Modifications</w:t>
            </w:r>
          </w:p>
        </w:tc>
        <w:tc>
          <w:tcPr>
            <w:tcW w:w="678" w:type="pct"/>
            <w:tcBorders>
              <w:top w:val="nil"/>
              <w:left w:val="nil"/>
              <w:bottom w:val="nil"/>
              <w:right w:val="nil"/>
            </w:tcBorders>
            <w:shd w:val="clear" w:color="auto" w:fill="auto"/>
            <w:noWrap/>
            <w:vAlign w:val="bottom"/>
            <w:hideMark/>
          </w:tcPr>
          <w:p w14:paraId="56741BF7" w14:textId="77777777" w:rsidR="00F258B7" w:rsidRPr="00667947" w:rsidRDefault="00F258B7" w:rsidP="00312E88">
            <w:pPr>
              <w:jc w:val="center"/>
              <w:rPr>
                <w:rFonts w:cs="Arial"/>
                <w:color w:val="000000"/>
                <w:sz w:val="18"/>
                <w:szCs w:val="18"/>
              </w:rPr>
            </w:pPr>
            <w:r w:rsidRPr="00667947">
              <w:rPr>
                <w:rFonts w:cs="Arial"/>
                <w:color w:val="000000"/>
                <w:sz w:val="18"/>
                <w:szCs w:val="18"/>
              </w:rPr>
              <w:t>0</w:t>
            </w:r>
          </w:p>
        </w:tc>
        <w:tc>
          <w:tcPr>
            <w:tcW w:w="678" w:type="pct"/>
            <w:tcBorders>
              <w:top w:val="nil"/>
              <w:left w:val="nil"/>
              <w:bottom w:val="nil"/>
              <w:right w:val="nil"/>
            </w:tcBorders>
            <w:shd w:val="clear" w:color="auto" w:fill="auto"/>
            <w:noWrap/>
            <w:vAlign w:val="bottom"/>
            <w:hideMark/>
          </w:tcPr>
          <w:p w14:paraId="3F61A7A0" w14:textId="77777777" w:rsidR="00F258B7" w:rsidRPr="00667947" w:rsidRDefault="00F258B7" w:rsidP="00312E88">
            <w:pPr>
              <w:jc w:val="center"/>
              <w:rPr>
                <w:rFonts w:cs="Arial"/>
                <w:color w:val="000000"/>
                <w:sz w:val="18"/>
                <w:szCs w:val="18"/>
              </w:rPr>
            </w:pPr>
            <w:r w:rsidRPr="00667947">
              <w:rPr>
                <w:rFonts w:cs="Arial"/>
                <w:color w:val="000000"/>
                <w:sz w:val="18"/>
                <w:szCs w:val="18"/>
              </w:rPr>
              <w:t>100</w:t>
            </w:r>
          </w:p>
        </w:tc>
        <w:tc>
          <w:tcPr>
            <w:tcW w:w="678" w:type="pct"/>
            <w:tcBorders>
              <w:top w:val="nil"/>
              <w:left w:val="nil"/>
              <w:bottom w:val="nil"/>
              <w:right w:val="nil"/>
            </w:tcBorders>
            <w:shd w:val="clear" w:color="auto" w:fill="auto"/>
            <w:noWrap/>
            <w:vAlign w:val="bottom"/>
            <w:hideMark/>
          </w:tcPr>
          <w:p w14:paraId="20687740" w14:textId="77777777" w:rsidR="00F258B7" w:rsidRPr="00667947" w:rsidRDefault="00F258B7" w:rsidP="00312E88">
            <w:pPr>
              <w:jc w:val="center"/>
              <w:rPr>
                <w:rFonts w:cs="Arial"/>
                <w:color w:val="000000"/>
                <w:sz w:val="18"/>
                <w:szCs w:val="18"/>
              </w:rPr>
            </w:pPr>
            <w:r w:rsidRPr="00667947">
              <w:rPr>
                <w:rFonts w:cs="Arial"/>
                <w:color w:val="000000"/>
                <w:sz w:val="18"/>
                <w:szCs w:val="18"/>
              </w:rPr>
              <w:t>100</w:t>
            </w:r>
          </w:p>
        </w:tc>
        <w:tc>
          <w:tcPr>
            <w:tcW w:w="678" w:type="pct"/>
            <w:tcBorders>
              <w:top w:val="nil"/>
              <w:left w:val="nil"/>
              <w:bottom w:val="nil"/>
              <w:right w:val="nil"/>
            </w:tcBorders>
            <w:shd w:val="clear" w:color="auto" w:fill="auto"/>
            <w:noWrap/>
            <w:vAlign w:val="bottom"/>
            <w:hideMark/>
          </w:tcPr>
          <w:p w14:paraId="62B388B9" w14:textId="77777777" w:rsidR="00F258B7" w:rsidRPr="00667947" w:rsidRDefault="00F258B7" w:rsidP="00312E88">
            <w:pPr>
              <w:jc w:val="center"/>
              <w:rPr>
                <w:rFonts w:cs="Arial"/>
                <w:color w:val="000000"/>
                <w:sz w:val="18"/>
                <w:szCs w:val="18"/>
              </w:rPr>
            </w:pPr>
            <w:r w:rsidRPr="00667947">
              <w:rPr>
                <w:rFonts w:cs="Arial"/>
                <w:color w:val="000000"/>
                <w:sz w:val="18"/>
                <w:szCs w:val="18"/>
              </w:rPr>
              <w:t>300</w:t>
            </w:r>
          </w:p>
        </w:tc>
        <w:tc>
          <w:tcPr>
            <w:tcW w:w="678" w:type="pct"/>
            <w:tcBorders>
              <w:top w:val="nil"/>
              <w:left w:val="nil"/>
              <w:bottom w:val="nil"/>
              <w:right w:val="single" w:sz="4" w:space="0" w:color="auto"/>
            </w:tcBorders>
            <w:shd w:val="clear" w:color="auto" w:fill="auto"/>
            <w:noWrap/>
            <w:vAlign w:val="bottom"/>
            <w:hideMark/>
          </w:tcPr>
          <w:p w14:paraId="1C90FD12" w14:textId="77777777" w:rsidR="00F258B7" w:rsidRPr="00667947" w:rsidRDefault="00F258B7" w:rsidP="00312E88">
            <w:pPr>
              <w:jc w:val="center"/>
              <w:rPr>
                <w:rFonts w:cs="Arial"/>
                <w:color w:val="000000"/>
                <w:sz w:val="18"/>
                <w:szCs w:val="18"/>
              </w:rPr>
            </w:pPr>
            <w:r w:rsidRPr="00667947">
              <w:rPr>
                <w:rFonts w:cs="Arial"/>
                <w:color w:val="000000"/>
                <w:sz w:val="18"/>
                <w:szCs w:val="18"/>
              </w:rPr>
              <w:t>1,000</w:t>
            </w:r>
          </w:p>
        </w:tc>
      </w:tr>
      <w:tr w:rsidR="00F258B7" w:rsidRPr="00667947" w14:paraId="1024325C" w14:textId="77777777" w:rsidTr="00F258B7">
        <w:trPr>
          <w:trHeight w:hRule="exact" w:val="301"/>
        </w:trPr>
        <w:tc>
          <w:tcPr>
            <w:tcW w:w="1610" w:type="pct"/>
            <w:tcBorders>
              <w:top w:val="nil"/>
              <w:left w:val="single" w:sz="4" w:space="0" w:color="auto"/>
              <w:bottom w:val="nil"/>
              <w:right w:val="single" w:sz="4" w:space="0" w:color="auto"/>
            </w:tcBorders>
            <w:shd w:val="clear" w:color="auto" w:fill="auto"/>
            <w:noWrap/>
            <w:vAlign w:val="bottom"/>
            <w:hideMark/>
          </w:tcPr>
          <w:p w14:paraId="7862B057" w14:textId="77777777" w:rsidR="00F258B7" w:rsidRPr="00667947" w:rsidRDefault="00F258B7" w:rsidP="00312E88">
            <w:pPr>
              <w:rPr>
                <w:rFonts w:cs="Arial"/>
                <w:color w:val="000000"/>
                <w:sz w:val="18"/>
                <w:szCs w:val="18"/>
              </w:rPr>
            </w:pPr>
            <w:r w:rsidRPr="00667947">
              <w:rPr>
                <w:rFonts w:cs="Arial"/>
                <w:color w:val="000000"/>
                <w:sz w:val="18"/>
                <w:szCs w:val="18"/>
              </w:rPr>
              <w:t>CB Daily Activities</w:t>
            </w:r>
          </w:p>
        </w:tc>
        <w:tc>
          <w:tcPr>
            <w:tcW w:w="678" w:type="pct"/>
            <w:tcBorders>
              <w:top w:val="nil"/>
              <w:left w:val="nil"/>
              <w:bottom w:val="nil"/>
              <w:right w:val="nil"/>
            </w:tcBorders>
            <w:shd w:val="clear" w:color="auto" w:fill="auto"/>
            <w:noWrap/>
            <w:vAlign w:val="bottom"/>
            <w:hideMark/>
          </w:tcPr>
          <w:p w14:paraId="7D13F84F" w14:textId="77777777" w:rsidR="00F258B7" w:rsidRPr="00667947" w:rsidRDefault="00F258B7" w:rsidP="00312E88">
            <w:pPr>
              <w:jc w:val="center"/>
              <w:rPr>
                <w:rFonts w:cs="Arial"/>
                <w:color w:val="000000"/>
                <w:sz w:val="18"/>
                <w:szCs w:val="18"/>
              </w:rPr>
            </w:pPr>
            <w:r w:rsidRPr="00667947">
              <w:rPr>
                <w:rFonts w:cs="Arial"/>
                <w:color w:val="000000"/>
                <w:sz w:val="18"/>
                <w:szCs w:val="18"/>
              </w:rPr>
              <w:t>13,200</w:t>
            </w:r>
          </w:p>
        </w:tc>
        <w:tc>
          <w:tcPr>
            <w:tcW w:w="678" w:type="pct"/>
            <w:tcBorders>
              <w:top w:val="nil"/>
              <w:left w:val="nil"/>
              <w:bottom w:val="nil"/>
              <w:right w:val="nil"/>
            </w:tcBorders>
            <w:shd w:val="clear" w:color="auto" w:fill="auto"/>
            <w:noWrap/>
            <w:vAlign w:val="bottom"/>
            <w:hideMark/>
          </w:tcPr>
          <w:p w14:paraId="0229DA13" w14:textId="77777777" w:rsidR="00F258B7" w:rsidRPr="00667947" w:rsidRDefault="00F258B7" w:rsidP="00312E88">
            <w:pPr>
              <w:jc w:val="center"/>
              <w:rPr>
                <w:rFonts w:cs="Arial"/>
                <w:color w:val="000000"/>
                <w:sz w:val="18"/>
                <w:szCs w:val="18"/>
              </w:rPr>
            </w:pPr>
            <w:r w:rsidRPr="00667947">
              <w:rPr>
                <w:rFonts w:cs="Arial"/>
                <w:color w:val="000000"/>
                <w:sz w:val="18"/>
                <w:szCs w:val="18"/>
              </w:rPr>
              <w:t>9,900</w:t>
            </w:r>
          </w:p>
        </w:tc>
        <w:tc>
          <w:tcPr>
            <w:tcW w:w="678" w:type="pct"/>
            <w:tcBorders>
              <w:top w:val="nil"/>
              <w:left w:val="nil"/>
              <w:bottom w:val="nil"/>
              <w:right w:val="nil"/>
            </w:tcBorders>
            <w:shd w:val="clear" w:color="auto" w:fill="auto"/>
            <w:noWrap/>
            <w:vAlign w:val="bottom"/>
            <w:hideMark/>
          </w:tcPr>
          <w:p w14:paraId="1A9FC99F" w14:textId="77777777" w:rsidR="00F258B7" w:rsidRPr="00667947" w:rsidRDefault="00F258B7" w:rsidP="00312E88">
            <w:pPr>
              <w:jc w:val="center"/>
              <w:rPr>
                <w:rFonts w:cs="Arial"/>
                <w:color w:val="000000"/>
                <w:sz w:val="18"/>
                <w:szCs w:val="18"/>
              </w:rPr>
            </w:pPr>
            <w:r w:rsidRPr="00667947">
              <w:rPr>
                <w:rFonts w:cs="Arial"/>
                <w:color w:val="000000"/>
                <w:sz w:val="18"/>
                <w:szCs w:val="18"/>
              </w:rPr>
              <w:t>7,100</w:t>
            </w:r>
          </w:p>
        </w:tc>
        <w:tc>
          <w:tcPr>
            <w:tcW w:w="678" w:type="pct"/>
            <w:tcBorders>
              <w:top w:val="nil"/>
              <w:left w:val="nil"/>
              <w:bottom w:val="nil"/>
              <w:right w:val="nil"/>
            </w:tcBorders>
            <w:shd w:val="clear" w:color="auto" w:fill="auto"/>
            <w:noWrap/>
            <w:vAlign w:val="bottom"/>
            <w:hideMark/>
          </w:tcPr>
          <w:p w14:paraId="7F068D83" w14:textId="77777777" w:rsidR="00F258B7" w:rsidRPr="00667947" w:rsidRDefault="00F258B7" w:rsidP="00312E88">
            <w:pPr>
              <w:jc w:val="center"/>
              <w:rPr>
                <w:rFonts w:cs="Arial"/>
                <w:color w:val="000000"/>
                <w:sz w:val="18"/>
                <w:szCs w:val="18"/>
              </w:rPr>
            </w:pPr>
            <w:r w:rsidRPr="00667947">
              <w:rPr>
                <w:rFonts w:cs="Arial"/>
                <w:color w:val="000000"/>
                <w:sz w:val="18"/>
                <w:szCs w:val="18"/>
              </w:rPr>
              <w:t>5,300</w:t>
            </w:r>
          </w:p>
        </w:tc>
        <w:tc>
          <w:tcPr>
            <w:tcW w:w="678" w:type="pct"/>
            <w:tcBorders>
              <w:top w:val="nil"/>
              <w:left w:val="nil"/>
              <w:bottom w:val="nil"/>
              <w:right w:val="single" w:sz="4" w:space="0" w:color="auto"/>
            </w:tcBorders>
            <w:shd w:val="clear" w:color="auto" w:fill="auto"/>
            <w:noWrap/>
            <w:vAlign w:val="bottom"/>
            <w:hideMark/>
          </w:tcPr>
          <w:p w14:paraId="396FC6A3" w14:textId="77777777" w:rsidR="00F258B7" w:rsidRPr="00667947" w:rsidRDefault="00F258B7" w:rsidP="00312E88">
            <w:pPr>
              <w:jc w:val="center"/>
              <w:rPr>
                <w:rFonts w:cs="Arial"/>
                <w:color w:val="000000"/>
                <w:sz w:val="18"/>
                <w:szCs w:val="18"/>
              </w:rPr>
            </w:pPr>
            <w:r w:rsidRPr="00667947">
              <w:rPr>
                <w:rFonts w:cs="Arial"/>
                <w:color w:val="000000"/>
                <w:sz w:val="18"/>
                <w:szCs w:val="18"/>
              </w:rPr>
              <w:t>5,100</w:t>
            </w:r>
          </w:p>
        </w:tc>
      </w:tr>
      <w:tr w:rsidR="00F258B7" w:rsidRPr="00667947" w14:paraId="10138853" w14:textId="77777777" w:rsidTr="00F258B7">
        <w:trPr>
          <w:trHeight w:hRule="exact" w:val="301"/>
        </w:trPr>
        <w:tc>
          <w:tcPr>
            <w:tcW w:w="1610" w:type="pct"/>
            <w:tcBorders>
              <w:top w:val="nil"/>
              <w:left w:val="single" w:sz="4" w:space="0" w:color="auto"/>
              <w:bottom w:val="nil"/>
              <w:right w:val="single" w:sz="4" w:space="0" w:color="auto"/>
            </w:tcBorders>
            <w:shd w:val="clear" w:color="auto" w:fill="auto"/>
            <w:noWrap/>
            <w:vAlign w:val="bottom"/>
            <w:hideMark/>
          </w:tcPr>
          <w:p w14:paraId="57ACB06A" w14:textId="77777777" w:rsidR="00F258B7" w:rsidRPr="00667947" w:rsidRDefault="00F258B7" w:rsidP="00312E88">
            <w:pPr>
              <w:rPr>
                <w:rFonts w:cs="Arial"/>
                <w:color w:val="000000"/>
                <w:sz w:val="18"/>
                <w:szCs w:val="18"/>
              </w:rPr>
            </w:pPr>
            <w:r w:rsidRPr="00667947">
              <w:rPr>
                <w:rFonts w:cs="Arial"/>
                <w:color w:val="000000"/>
                <w:sz w:val="18"/>
                <w:szCs w:val="18"/>
              </w:rPr>
              <w:t>CB Employment</w:t>
            </w:r>
          </w:p>
        </w:tc>
        <w:tc>
          <w:tcPr>
            <w:tcW w:w="678" w:type="pct"/>
            <w:tcBorders>
              <w:top w:val="nil"/>
              <w:left w:val="nil"/>
              <w:bottom w:val="nil"/>
              <w:right w:val="nil"/>
            </w:tcBorders>
            <w:shd w:val="clear" w:color="auto" w:fill="auto"/>
            <w:noWrap/>
            <w:vAlign w:val="bottom"/>
            <w:hideMark/>
          </w:tcPr>
          <w:p w14:paraId="16F8A6CE" w14:textId="77777777" w:rsidR="00F258B7" w:rsidRPr="00667947" w:rsidRDefault="00F258B7" w:rsidP="00312E88">
            <w:pPr>
              <w:jc w:val="center"/>
              <w:rPr>
                <w:rFonts w:cs="Arial"/>
                <w:color w:val="000000"/>
                <w:sz w:val="18"/>
                <w:szCs w:val="18"/>
              </w:rPr>
            </w:pPr>
            <w:r w:rsidRPr="00667947">
              <w:rPr>
                <w:rFonts w:cs="Arial"/>
                <w:color w:val="000000"/>
                <w:sz w:val="18"/>
                <w:szCs w:val="18"/>
              </w:rPr>
              <w:t>0</w:t>
            </w:r>
          </w:p>
        </w:tc>
        <w:tc>
          <w:tcPr>
            <w:tcW w:w="678" w:type="pct"/>
            <w:tcBorders>
              <w:top w:val="nil"/>
              <w:left w:val="nil"/>
              <w:bottom w:val="nil"/>
              <w:right w:val="nil"/>
            </w:tcBorders>
            <w:shd w:val="clear" w:color="auto" w:fill="auto"/>
            <w:noWrap/>
            <w:vAlign w:val="bottom"/>
            <w:hideMark/>
          </w:tcPr>
          <w:p w14:paraId="5C23ED93" w14:textId="77777777" w:rsidR="00F258B7" w:rsidRPr="00667947" w:rsidRDefault="00F258B7" w:rsidP="00312E88">
            <w:pPr>
              <w:jc w:val="center"/>
              <w:rPr>
                <w:rFonts w:cs="Arial"/>
                <w:color w:val="000000"/>
                <w:sz w:val="18"/>
                <w:szCs w:val="18"/>
              </w:rPr>
            </w:pPr>
            <w:r w:rsidRPr="00667947">
              <w:rPr>
                <w:rFonts w:cs="Arial"/>
                <w:color w:val="000000"/>
                <w:sz w:val="18"/>
                <w:szCs w:val="18"/>
              </w:rPr>
              <w:t>0</w:t>
            </w:r>
          </w:p>
        </w:tc>
        <w:tc>
          <w:tcPr>
            <w:tcW w:w="678" w:type="pct"/>
            <w:tcBorders>
              <w:top w:val="nil"/>
              <w:left w:val="nil"/>
              <w:bottom w:val="nil"/>
              <w:right w:val="nil"/>
            </w:tcBorders>
            <w:shd w:val="clear" w:color="auto" w:fill="auto"/>
            <w:noWrap/>
            <w:vAlign w:val="bottom"/>
            <w:hideMark/>
          </w:tcPr>
          <w:p w14:paraId="695DF7D7" w14:textId="77777777" w:rsidR="00F258B7" w:rsidRPr="00667947" w:rsidRDefault="00F258B7" w:rsidP="00312E88">
            <w:pPr>
              <w:jc w:val="center"/>
              <w:rPr>
                <w:rFonts w:cs="Arial"/>
                <w:color w:val="000000"/>
                <w:sz w:val="18"/>
                <w:szCs w:val="18"/>
              </w:rPr>
            </w:pPr>
            <w:r w:rsidRPr="00667947">
              <w:rPr>
                <w:rFonts w:cs="Arial"/>
                <w:color w:val="000000"/>
                <w:sz w:val="18"/>
                <w:szCs w:val="18"/>
              </w:rPr>
              <w:t>1,400</w:t>
            </w:r>
          </w:p>
        </w:tc>
        <w:tc>
          <w:tcPr>
            <w:tcW w:w="678" w:type="pct"/>
            <w:tcBorders>
              <w:top w:val="nil"/>
              <w:left w:val="nil"/>
              <w:bottom w:val="nil"/>
              <w:right w:val="nil"/>
            </w:tcBorders>
            <w:shd w:val="clear" w:color="auto" w:fill="auto"/>
            <w:noWrap/>
            <w:vAlign w:val="bottom"/>
            <w:hideMark/>
          </w:tcPr>
          <w:p w14:paraId="54F9F255" w14:textId="77777777" w:rsidR="00F258B7" w:rsidRPr="00667947" w:rsidRDefault="00F258B7" w:rsidP="00312E88">
            <w:pPr>
              <w:jc w:val="center"/>
              <w:rPr>
                <w:rFonts w:cs="Arial"/>
                <w:color w:val="000000"/>
                <w:sz w:val="18"/>
                <w:szCs w:val="18"/>
              </w:rPr>
            </w:pPr>
            <w:r w:rsidRPr="00667947">
              <w:rPr>
                <w:rFonts w:cs="Arial"/>
                <w:color w:val="000000"/>
                <w:sz w:val="18"/>
                <w:szCs w:val="18"/>
              </w:rPr>
              <w:t>4,300</w:t>
            </w:r>
          </w:p>
        </w:tc>
        <w:tc>
          <w:tcPr>
            <w:tcW w:w="678" w:type="pct"/>
            <w:tcBorders>
              <w:top w:val="nil"/>
              <w:left w:val="nil"/>
              <w:bottom w:val="nil"/>
              <w:right w:val="single" w:sz="4" w:space="0" w:color="auto"/>
            </w:tcBorders>
            <w:shd w:val="clear" w:color="auto" w:fill="auto"/>
            <w:noWrap/>
            <w:vAlign w:val="bottom"/>
            <w:hideMark/>
          </w:tcPr>
          <w:p w14:paraId="13D2910E" w14:textId="77777777" w:rsidR="00F258B7" w:rsidRPr="00667947" w:rsidRDefault="00F258B7" w:rsidP="00312E88">
            <w:pPr>
              <w:jc w:val="center"/>
              <w:rPr>
                <w:rFonts w:cs="Arial"/>
                <w:color w:val="000000"/>
                <w:sz w:val="18"/>
                <w:szCs w:val="18"/>
              </w:rPr>
            </w:pPr>
            <w:r w:rsidRPr="00667947">
              <w:rPr>
                <w:rFonts w:cs="Arial"/>
                <w:color w:val="000000"/>
                <w:sz w:val="18"/>
                <w:szCs w:val="18"/>
              </w:rPr>
              <w:t>2,100</w:t>
            </w:r>
          </w:p>
        </w:tc>
      </w:tr>
      <w:tr w:rsidR="00F258B7" w:rsidRPr="00667947" w14:paraId="491CA838" w14:textId="77777777" w:rsidTr="00F258B7">
        <w:trPr>
          <w:trHeight w:hRule="exact" w:val="301"/>
        </w:trPr>
        <w:tc>
          <w:tcPr>
            <w:tcW w:w="1610" w:type="pct"/>
            <w:tcBorders>
              <w:top w:val="nil"/>
              <w:left w:val="single" w:sz="4" w:space="0" w:color="auto"/>
              <w:bottom w:val="nil"/>
              <w:right w:val="single" w:sz="4" w:space="0" w:color="auto"/>
            </w:tcBorders>
            <w:shd w:val="clear" w:color="auto" w:fill="auto"/>
            <w:noWrap/>
            <w:vAlign w:val="bottom"/>
            <w:hideMark/>
          </w:tcPr>
          <w:p w14:paraId="5861A182" w14:textId="77777777" w:rsidR="00F258B7" w:rsidRPr="00667947" w:rsidRDefault="00F258B7" w:rsidP="00312E88">
            <w:pPr>
              <w:rPr>
                <w:rFonts w:cs="Arial"/>
                <w:color w:val="000000"/>
                <w:sz w:val="18"/>
                <w:szCs w:val="18"/>
              </w:rPr>
            </w:pPr>
            <w:r w:rsidRPr="00667947">
              <w:rPr>
                <w:rFonts w:cs="Arial"/>
                <w:color w:val="000000"/>
                <w:sz w:val="18"/>
                <w:szCs w:val="18"/>
              </w:rPr>
              <w:t>Support Coordination</w:t>
            </w:r>
          </w:p>
        </w:tc>
        <w:tc>
          <w:tcPr>
            <w:tcW w:w="678" w:type="pct"/>
            <w:tcBorders>
              <w:top w:val="nil"/>
              <w:left w:val="nil"/>
              <w:bottom w:val="nil"/>
              <w:right w:val="nil"/>
            </w:tcBorders>
            <w:shd w:val="clear" w:color="auto" w:fill="auto"/>
            <w:noWrap/>
            <w:vAlign w:val="bottom"/>
            <w:hideMark/>
          </w:tcPr>
          <w:p w14:paraId="347DCB66" w14:textId="77777777" w:rsidR="00F258B7" w:rsidRPr="00667947" w:rsidRDefault="00F258B7" w:rsidP="00312E88">
            <w:pPr>
              <w:jc w:val="center"/>
              <w:rPr>
                <w:rFonts w:cs="Arial"/>
                <w:color w:val="000000"/>
                <w:sz w:val="18"/>
                <w:szCs w:val="18"/>
              </w:rPr>
            </w:pPr>
            <w:r w:rsidRPr="00667947">
              <w:rPr>
                <w:rFonts w:cs="Arial"/>
                <w:color w:val="000000"/>
                <w:sz w:val="18"/>
                <w:szCs w:val="18"/>
              </w:rPr>
              <w:t>300</w:t>
            </w:r>
          </w:p>
        </w:tc>
        <w:tc>
          <w:tcPr>
            <w:tcW w:w="678" w:type="pct"/>
            <w:tcBorders>
              <w:top w:val="nil"/>
              <w:left w:val="nil"/>
              <w:bottom w:val="nil"/>
              <w:right w:val="nil"/>
            </w:tcBorders>
            <w:shd w:val="clear" w:color="auto" w:fill="auto"/>
            <w:noWrap/>
            <w:vAlign w:val="bottom"/>
            <w:hideMark/>
          </w:tcPr>
          <w:p w14:paraId="58F0D35B" w14:textId="77777777" w:rsidR="00F258B7" w:rsidRPr="00667947" w:rsidRDefault="00F258B7" w:rsidP="00312E88">
            <w:pPr>
              <w:jc w:val="center"/>
              <w:rPr>
                <w:rFonts w:cs="Arial"/>
                <w:color w:val="000000"/>
                <w:sz w:val="18"/>
                <w:szCs w:val="18"/>
              </w:rPr>
            </w:pPr>
            <w:r w:rsidRPr="00667947">
              <w:rPr>
                <w:rFonts w:cs="Arial"/>
                <w:color w:val="000000"/>
                <w:sz w:val="18"/>
                <w:szCs w:val="18"/>
              </w:rPr>
              <w:t>700</w:t>
            </w:r>
          </w:p>
        </w:tc>
        <w:tc>
          <w:tcPr>
            <w:tcW w:w="678" w:type="pct"/>
            <w:tcBorders>
              <w:top w:val="nil"/>
              <w:left w:val="nil"/>
              <w:bottom w:val="nil"/>
              <w:right w:val="nil"/>
            </w:tcBorders>
            <w:shd w:val="clear" w:color="auto" w:fill="auto"/>
            <w:noWrap/>
            <w:vAlign w:val="bottom"/>
            <w:hideMark/>
          </w:tcPr>
          <w:p w14:paraId="29E938F4" w14:textId="77777777" w:rsidR="00F258B7" w:rsidRPr="00667947" w:rsidRDefault="00F258B7" w:rsidP="00312E88">
            <w:pPr>
              <w:jc w:val="center"/>
              <w:rPr>
                <w:rFonts w:cs="Arial"/>
                <w:color w:val="000000"/>
                <w:sz w:val="18"/>
                <w:szCs w:val="18"/>
              </w:rPr>
            </w:pPr>
            <w:r w:rsidRPr="00667947">
              <w:rPr>
                <w:rFonts w:cs="Arial"/>
                <w:color w:val="000000"/>
                <w:sz w:val="18"/>
                <w:szCs w:val="18"/>
              </w:rPr>
              <w:t>1,600</w:t>
            </w:r>
          </w:p>
        </w:tc>
        <w:tc>
          <w:tcPr>
            <w:tcW w:w="678" w:type="pct"/>
            <w:tcBorders>
              <w:top w:val="nil"/>
              <w:left w:val="nil"/>
              <w:bottom w:val="nil"/>
              <w:right w:val="nil"/>
            </w:tcBorders>
            <w:shd w:val="clear" w:color="auto" w:fill="auto"/>
            <w:noWrap/>
            <w:vAlign w:val="bottom"/>
            <w:hideMark/>
          </w:tcPr>
          <w:p w14:paraId="733ABBE2" w14:textId="77777777" w:rsidR="00F258B7" w:rsidRPr="00667947" w:rsidRDefault="00F258B7" w:rsidP="00312E88">
            <w:pPr>
              <w:jc w:val="center"/>
              <w:rPr>
                <w:rFonts w:cs="Arial"/>
                <w:color w:val="000000"/>
                <w:sz w:val="18"/>
                <w:szCs w:val="18"/>
              </w:rPr>
            </w:pPr>
            <w:r w:rsidRPr="00667947">
              <w:rPr>
                <w:rFonts w:cs="Arial"/>
                <w:color w:val="000000"/>
                <w:sz w:val="18"/>
                <w:szCs w:val="18"/>
              </w:rPr>
              <w:t>2,000</w:t>
            </w:r>
          </w:p>
        </w:tc>
        <w:tc>
          <w:tcPr>
            <w:tcW w:w="678" w:type="pct"/>
            <w:tcBorders>
              <w:top w:val="nil"/>
              <w:left w:val="nil"/>
              <w:bottom w:val="nil"/>
              <w:right w:val="single" w:sz="4" w:space="0" w:color="auto"/>
            </w:tcBorders>
            <w:shd w:val="clear" w:color="auto" w:fill="auto"/>
            <w:noWrap/>
            <w:vAlign w:val="bottom"/>
            <w:hideMark/>
          </w:tcPr>
          <w:p w14:paraId="2F46C5BD" w14:textId="77777777" w:rsidR="00F258B7" w:rsidRPr="00667947" w:rsidRDefault="00F258B7" w:rsidP="00312E88">
            <w:pPr>
              <w:jc w:val="center"/>
              <w:rPr>
                <w:rFonts w:cs="Arial"/>
                <w:color w:val="000000"/>
                <w:sz w:val="18"/>
                <w:szCs w:val="18"/>
              </w:rPr>
            </w:pPr>
            <w:r w:rsidRPr="00667947">
              <w:rPr>
                <w:rFonts w:cs="Arial"/>
                <w:color w:val="000000"/>
                <w:sz w:val="18"/>
                <w:szCs w:val="18"/>
              </w:rPr>
              <w:t>2,700</w:t>
            </w:r>
          </w:p>
        </w:tc>
      </w:tr>
      <w:tr w:rsidR="00F258B7" w:rsidRPr="00667947" w14:paraId="7779F649" w14:textId="77777777" w:rsidTr="00F258B7">
        <w:trPr>
          <w:trHeight w:hRule="exact" w:val="301"/>
        </w:trPr>
        <w:tc>
          <w:tcPr>
            <w:tcW w:w="1610" w:type="pct"/>
            <w:tcBorders>
              <w:top w:val="nil"/>
              <w:left w:val="single" w:sz="4" w:space="0" w:color="auto"/>
              <w:bottom w:val="nil"/>
              <w:right w:val="single" w:sz="4" w:space="0" w:color="auto"/>
            </w:tcBorders>
            <w:shd w:val="clear" w:color="auto" w:fill="auto"/>
            <w:noWrap/>
            <w:vAlign w:val="bottom"/>
            <w:hideMark/>
          </w:tcPr>
          <w:p w14:paraId="6B6E4DE6" w14:textId="77777777" w:rsidR="00F258B7" w:rsidRPr="00667947" w:rsidRDefault="00F258B7" w:rsidP="00312E88">
            <w:pPr>
              <w:rPr>
                <w:rFonts w:cs="Arial"/>
                <w:color w:val="000000"/>
                <w:sz w:val="18"/>
                <w:szCs w:val="18"/>
              </w:rPr>
            </w:pPr>
            <w:r w:rsidRPr="00667947">
              <w:rPr>
                <w:rFonts w:cs="Arial"/>
                <w:color w:val="000000"/>
                <w:sz w:val="18"/>
                <w:szCs w:val="18"/>
              </w:rPr>
              <w:t>Remaining CB</w:t>
            </w:r>
          </w:p>
        </w:tc>
        <w:tc>
          <w:tcPr>
            <w:tcW w:w="678" w:type="pct"/>
            <w:tcBorders>
              <w:top w:val="nil"/>
              <w:left w:val="nil"/>
              <w:bottom w:val="nil"/>
              <w:right w:val="nil"/>
            </w:tcBorders>
            <w:shd w:val="clear" w:color="auto" w:fill="auto"/>
            <w:noWrap/>
            <w:vAlign w:val="bottom"/>
            <w:hideMark/>
          </w:tcPr>
          <w:p w14:paraId="01AF5D6E" w14:textId="77777777" w:rsidR="00F258B7" w:rsidRPr="00667947" w:rsidRDefault="00F258B7" w:rsidP="00312E88">
            <w:pPr>
              <w:jc w:val="center"/>
              <w:rPr>
                <w:rFonts w:cs="Arial"/>
                <w:color w:val="000000"/>
                <w:sz w:val="18"/>
                <w:szCs w:val="18"/>
              </w:rPr>
            </w:pPr>
            <w:r w:rsidRPr="00667947">
              <w:rPr>
                <w:rFonts w:cs="Arial"/>
                <w:color w:val="000000"/>
                <w:sz w:val="18"/>
                <w:szCs w:val="18"/>
              </w:rPr>
              <w:t>800</w:t>
            </w:r>
          </w:p>
        </w:tc>
        <w:tc>
          <w:tcPr>
            <w:tcW w:w="678" w:type="pct"/>
            <w:tcBorders>
              <w:top w:val="nil"/>
              <w:left w:val="nil"/>
              <w:bottom w:val="nil"/>
              <w:right w:val="nil"/>
            </w:tcBorders>
            <w:shd w:val="clear" w:color="auto" w:fill="auto"/>
            <w:noWrap/>
            <w:vAlign w:val="bottom"/>
            <w:hideMark/>
          </w:tcPr>
          <w:p w14:paraId="3F9FF597" w14:textId="77777777" w:rsidR="00F258B7" w:rsidRPr="00667947" w:rsidRDefault="00F258B7" w:rsidP="00312E88">
            <w:pPr>
              <w:jc w:val="center"/>
              <w:rPr>
                <w:rFonts w:cs="Arial"/>
                <w:color w:val="000000"/>
                <w:sz w:val="18"/>
                <w:szCs w:val="18"/>
              </w:rPr>
            </w:pPr>
            <w:r w:rsidRPr="00667947">
              <w:rPr>
                <w:rFonts w:cs="Arial"/>
                <w:color w:val="000000"/>
                <w:sz w:val="18"/>
                <w:szCs w:val="18"/>
              </w:rPr>
              <w:t>1,800</w:t>
            </w:r>
          </w:p>
        </w:tc>
        <w:tc>
          <w:tcPr>
            <w:tcW w:w="678" w:type="pct"/>
            <w:tcBorders>
              <w:top w:val="nil"/>
              <w:left w:val="nil"/>
              <w:bottom w:val="nil"/>
              <w:right w:val="nil"/>
            </w:tcBorders>
            <w:shd w:val="clear" w:color="auto" w:fill="auto"/>
            <w:noWrap/>
            <w:vAlign w:val="bottom"/>
            <w:hideMark/>
          </w:tcPr>
          <w:p w14:paraId="769D7746" w14:textId="77777777" w:rsidR="00F258B7" w:rsidRPr="00667947" w:rsidRDefault="00F258B7" w:rsidP="00312E88">
            <w:pPr>
              <w:jc w:val="center"/>
              <w:rPr>
                <w:rFonts w:cs="Arial"/>
                <w:color w:val="000000"/>
                <w:sz w:val="18"/>
                <w:szCs w:val="18"/>
              </w:rPr>
            </w:pPr>
            <w:r w:rsidRPr="00667947">
              <w:rPr>
                <w:rFonts w:cs="Arial"/>
                <w:color w:val="000000"/>
                <w:sz w:val="18"/>
                <w:szCs w:val="18"/>
              </w:rPr>
              <w:t>2,600</w:t>
            </w:r>
          </w:p>
        </w:tc>
        <w:tc>
          <w:tcPr>
            <w:tcW w:w="678" w:type="pct"/>
            <w:tcBorders>
              <w:top w:val="nil"/>
              <w:left w:val="nil"/>
              <w:bottom w:val="nil"/>
              <w:right w:val="nil"/>
            </w:tcBorders>
            <w:shd w:val="clear" w:color="auto" w:fill="auto"/>
            <w:noWrap/>
            <w:vAlign w:val="bottom"/>
            <w:hideMark/>
          </w:tcPr>
          <w:p w14:paraId="11F5ABF9" w14:textId="77777777" w:rsidR="00F258B7" w:rsidRPr="00667947" w:rsidRDefault="00F258B7" w:rsidP="00312E88">
            <w:pPr>
              <w:jc w:val="center"/>
              <w:rPr>
                <w:rFonts w:cs="Arial"/>
                <w:color w:val="000000"/>
                <w:sz w:val="18"/>
                <w:szCs w:val="18"/>
              </w:rPr>
            </w:pPr>
            <w:r w:rsidRPr="00667947">
              <w:rPr>
                <w:rFonts w:cs="Arial"/>
                <w:color w:val="000000"/>
                <w:sz w:val="18"/>
                <w:szCs w:val="18"/>
              </w:rPr>
              <w:t>2,800</w:t>
            </w:r>
          </w:p>
        </w:tc>
        <w:tc>
          <w:tcPr>
            <w:tcW w:w="678" w:type="pct"/>
            <w:tcBorders>
              <w:top w:val="nil"/>
              <w:left w:val="nil"/>
              <w:bottom w:val="nil"/>
              <w:right w:val="single" w:sz="4" w:space="0" w:color="auto"/>
            </w:tcBorders>
            <w:shd w:val="clear" w:color="auto" w:fill="auto"/>
            <w:noWrap/>
            <w:vAlign w:val="bottom"/>
            <w:hideMark/>
          </w:tcPr>
          <w:p w14:paraId="18D32688" w14:textId="77777777" w:rsidR="00F258B7" w:rsidRPr="00667947" w:rsidRDefault="00F258B7" w:rsidP="00312E88">
            <w:pPr>
              <w:jc w:val="center"/>
              <w:rPr>
                <w:rFonts w:cs="Arial"/>
                <w:color w:val="000000"/>
                <w:sz w:val="18"/>
                <w:szCs w:val="18"/>
              </w:rPr>
            </w:pPr>
            <w:r w:rsidRPr="00667947">
              <w:rPr>
                <w:rFonts w:cs="Arial"/>
                <w:color w:val="000000"/>
                <w:sz w:val="18"/>
                <w:szCs w:val="18"/>
              </w:rPr>
              <w:t>2,800</w:t>
            </w:r>
          </w:p>
        </w:tc>
      </w:tr>
      <w:tr w:rsidR="00F258B7" w:rsidRPr="00667947" w14:paraId="2035BDF0" w14:textId="77777777" w:rsidTr="00F258B7">
        <w:trPr>
          <w:trHeight w:hRule="exact" w:val="301"/>
        </w:trPr>
        <w:tc>
          <w:tcPr>
            <w:tcW w:w="1610" w:type="pct"/>
            <w:tcBorders>
              <w:top w:val="single" w:sz="4" w:space="0" w:color="auto"/>
              <w:left w:val="single" w:sz="4" w:space="0" w:color="auto"/>
              <w:bottom w:val="single" w:sz="4" w:space="0" w:color="auto"/>
              <w:right w:val="single" w:sz="4" w:space="0" w:color="auto"/>
            </w:tcBorders>
            <w:shd w:val="clear" w:color="000000" w:fill="F7EEF7"/>
            <w:noWrap/>
            <w:vAlign w:val="bottom"/>
            <w:hideMark/>
          </w:tcPr>
          <w:p w14:paraId="1CEA4848" w14:textId="77777777" w:rsidR="00F258B7" w:rsidRPr="00667947" w:rsidRDefault="00F258B7" w:rsidP="00312E88">
            <w:pPr>
              <w:rPr>
                <w:rFonts w:cs="Arial"/>
                <w:b/>
                <w:bCs/>
                <w:color w:val="000000"/>
                <w:sz w:val="18"/>
                <w:szCs w:val="18"/>
              </w:rPr>
            </w:pPr>
            <w:r w:rsidRPr="00667947">
              <w:rPr>
                <w:rFonts w:cs="Arial"/>
                <w:b/>
                <w:bCs/>
                <w:color w:val="000000"/>
                <w:sz w:val="18"/>
                <w:szCs w:val="18"/>
              </w:rPr>
              <w:t>Total</w:t>
            </w:r>
          </w:p>
        </w:tc>
        <w:tc>
          <w:tcPr>
            <w:tcW w:w="678" w:type="pct"/>
            <w:tcBorders>
              <w:top w:val="single" w:sz="4" w:space="0" w:color="auto"/>
              <w:left w:val="nil"/>
              <w:bottom w:val="single" w:sz="4" w:space="0" w:color="auto"/>
              <w:right w:val="nil"/>
            </w:tcBorders>
            <w:shd w:val="clear" w:color="000000" w:fill="F7EEF7"/>
            <w:noWrap/>
            <w:vAlign w:val="bottom"/>
            <w:hideMark/>
          </w:tcPr>
          <w:p w14:paraId="62E3AC13" w14:textId="77777777" w:rsidR="00F258B7" w:rsidRPr="00667947" w:rsidRDefault="00F258B7" w:rsidP="00312E88">
            <w:pPr>
              <w:jc w:val="center"/>
              <w:rPr>
                <w:rFonts w:cs="Arial"/>
                <w:b/>
                <w:bCs/>
                <w:color w:val="000000"/>
                <w:sz w:val="18"/>
                <w:szCs w:val="18"/>
              </w:rPr>
            </w:pPr>
            <w:r w:rsidRPr="00667947">
              <w:rPr>
                <w:rFonts w:cs="Arial"/>
                <w:b/>
                <w:bCs/>
                <w:color w:val="000000"/>
                <w:sz w:val="18"/>
                <w:szCs w:val="18"/>
              </w:rPr>
              <w:t>19,300</w:t>
            </w:r>
          </w:p>
        </w:tc>
        <w:tc>
          <w:tcPr>
            <w:tcW w:w="678" w:type="pct"/>
            <w:tcBorders>
              <w:top w:val="single" w:sz="4" w:space="0" w:color="auto"/>
              <w:left w:val="nil"/>
              <w:bottom w:val="single" w:sz="4" w:space="0" w:color="auto"/>
              <w:right w:val="nil"/>
            </w:tcBorders>
            <w:shd w:val="clear" w:color="000000" w:fill="F7EEF7"/>
            <w:noWrap/>
            <w:vAlign w:val="bottom"/>
            <w:hideMark/>
          </w:tcPr>
          <w:p w14:paraId="534D3E67" w14:textId="77777777" w:rsidR="00F258B7" w:rsidRPr="00667947" w:rsidRDefault="00F258B7" w:rsidP="00312E88">
            <w:pPr>
              <w:jc w:val="center"/>
              <w:rPr>
                <w:rFonts w:cs="Arial"/>
                <w:b/>
                <w:bCs/>
                <w:color w:val="000000"/>
                <w:sz w:val="18"/>
                <w:szCs w:val="18"/>
              </w:rPr>
            </w:pPr>
            <w:r w:rsidRPr="00667947">
              <w:rPr>
                <w:rFonts w:cs="Arial"/>
                <w:b/>
                <w:bCs/>
                <w:color w:val="000000"/>
                <w:sz w:val="18"/>
                <w:szCs w:val="18"/>
              </w:rPr>
              <w:t>26,500</w:t>
            </w:r>
          </w:p>
        </w:tc>
        <w:tc>
          <w:tcPr>
            <w:tcW w:w="678" w:type="pct"/>
            <w:tcBorders>
              <w:top w:val="single" w:sz="4" w:space="0" w:color="auto"/>
              <w:left w:val="nil"/>
              <w:bottom w:val="single" w:sz="4" w:space="0" w:color="auto"/>
              <w:right w:val="nil"/>
            </w:tcBorders>
            <w:shd w:val="clear" w:color="000000" w:fill="F7EEF7"/>
            <w:noWrap/>
            <w:vAlign w:val="bottom"/>
            <w:hideMark/>
          </w:tcPr>
          <w:p w14:paraId="555FC5AA" w14:textId="77777777" w:rsidR="00F258B7" w:rsidRPr="00667947" w:rsidRDefault="00F258B7" w:rsidP="00312E88">
            <w:pPr>
              <w:jc w:val="center"/>
              <w:rPr>
                <w:rFonts w:cs="Arial"/>
                <w:b/>
                <w:bCs/>
                <w:color w:val="000000"/>
                <w:sz w:val="18"/>
                <w:szCs w:val="18"/>
              </w:rPr>
            </w:pPr>
            <w:r w:rsidRPr="00667947">
              <w:rPr>
                <w:rFonts w:cs="Arial"/>
                <w:b/>
                <w:bCs/>
                <w:color w:val="000000"/>
                <w:sz w:val="18"/>
                <w:szCs w:val="18"/>
              </w:rPr>
              <w:t>45,100</w:t>
            </w:r>
          </w:p>
        </w:tc>
        <w:tc>
          <w:tcPr>
            <w:tcW w:w="678" w:type="pct"/>
            <w:tcBorders>
              <w:top w:val="single" w:sz="4" w:space="0" w:color="auto"/>
              <w:left w:val="nil"/>
              <w:bottom w:val="single" w:sz="4" w:space="0" w:color="auto"/>
              <w:right w:val="nil"/>
            </w:tcBorders>
            <w:shd w:val="clear" w:color="000000" w:fill="F7EEF7"/>
            <w:noWrap/>
            <w:vAlign w:val="bottom"/>
            <w:hideMark/>
          </w:tcPr>
          <w:p w14:paraId="562EF933" w14:textId="77777777" w:rsidR="00F258B7" w:rsidRPr="00667947" w:rsidRDefault="00F258B7" w:rsidP="00312E88">
            <w:pPr>
              <w:jc w:val="center"/>
              <w:rPr>
                <w:rFonts w:cs="Arial"/>
                <w:b/>
                <w:bCs/>
                <w:color w:val="000000"/>
                <w:sz w:val="18"/>
                <w:szCs w:val="18"/>
              </w:rPr>
            </w:pPr>
            <w:r w:rsidRPr="00667947">
              <w:rPr>
                <w:rFonts w:cs="Arial"/>
                <w:b/>
                <w:bCs/>
                <w:color w:val="000000"/>
                <w:sz w:val="18"/>
                <w:szCs w:val="18"/>
              </w:rPr>
              <w:t>79,900</w:t>
            </w:r>
          </w:p>
        </w:tc>
        <w:tc>
          <w:tcPr>
            <w:tcW w:w="678" w:type="pct"/>
            <w:tcBorders>
              <w:top w:val="single" w:sz="4" w:space="0" w:color="auto"/>
              <w:left w:val="nil"/>
              <w:bottom w:val="single" w:sz="4" w:space="0" w:color="auto"/>
              <w:right w:val="single" w:sz="4" w:space="0" w:color="auto"/>
            </w:tcBorders>
            <w:shd w:val="clear" w:color="000000" w:fill="F7EEF7"/>
            <w:noWrap/>
            <w:vAlign w:val="bottom"/>
            <w:hideMark/>
          </w:tcPr>
          <w:p w14:paraId="631B0FB0" w14:textId="77777777" w:rsidR="00F258B7" w:rsidRPr="00667947" w:rsidRDefault="00F258B7" w:rsidP="00312E88">
            <w:pPr>
              <w:jc w:val="center"/>
              <w:rPr>
                <w:rFonts w:cs="Arial"/>
                <w:b/>
                <w:bCs/>
                <w:color w:val="000000"/>
                <w:sz w:val="18"/>
                <w:szCs w:val="18"/>
              </w:rPr>
            </w:pPr>
            <w:r w:rsidRPr="00667947">
              <w:rPr>
                <w:rFonts w:cs="Arial"/>
                <w:b/>
                <w:bCs/>
                <w:color w:val="000000"/>
                <w:sz w:val="18"/>
                <w:szCs w:val="18"/>
              </w:rPr>
              <w:t>101,100</w:t>
            </w:r>
          </w:p>
        </w:tc>
      </w:tr>
      <w:tr w:rsidR="00F258B7" w:rsidRPr="00667947" w14:paraId="762E721E" w14:textId="77777777" w:rsidTr="00E003C0">
        <w:trPr>
          <w:trHeight w:hRule="exact" w:val="301"/>
        </w:trPr>
        <w:tc>
          <w:tcPr>
            <w:tcW w:w="1610" w:type="pct"/>
            <w:tcBorders>
              <w:top w:val="single" w:sz="4" w:space="0" w:color="auto"/>
              <w:left w:val="single" w:sz="4" w:space="0" w:color="auto"/>
              <w:bottom w:val="single" w:sz="4" w:space="0" w:color="auto"/>
              <w:right w:val="single" w:sz="4" w:space="0" w:color="auto"/>
            </w:tcBorders>
            <w:shd w:val="clear" w:color="auto" w:fill="6B2E76"/>
            <w:noWrap/>
            <w:vAlign w:val="bottom"/>
            <w:hideMark/>
          </w:tcPr>
          <w:p w14:paraId="48C46259" w14:textId="77777777" w:rsidR="00F258B7" w:rsidRPr="00667947" w:rsidRDefault="00F258B7" w:rsidP="00312E88">
            <w:pPr>
              <w:rPr>
                <w:rFonts w:cs="Arial"/>
                <w:b/>
                <w:bCs/>
                <w:color w:val="000000"/>
                <w:sz w:val="18"/>
                <w:szCs w:val="18"/>
              </w:rPr>
            </w:pPr>
            <w:r w:rsidRPr="00667947">
              <w:rPr>
                <w:rFonts w:cs="Arial"/>
                <w:b/>
                <w:bCs/>
                <w:color w:val="FFFFFF" w:themeColor="background1"/>
                <w:sz w:val="18"/>
                <w:szCs w:val="18"/>
              </w:rPr>
              <w:t>Support Category</w:t>
            </w:r>
          </w:p>
        </w:tc>
        <w:tc>
          <w:tcPr>
            <w:tcW w:w="678" w:type="pct"/>
            <w:tcBorders>
              <w:top w:val="single" w:sz="4" w:space="0" w:color="auto"/>
              <w:left w:val="nil"/>
              <w:bottom w:val="single" w:sz="4" w:space="0" w:color="auto"/>
              <w:right w:val="nil"/>
            </w:tcBorders>
            <w:shd w:val="clear" w:color="auto" w:fill="6B2E76"/>
            <w:noWrap/>
            <w:vAlign w:val="bottom"/>
            <w:hideMark/>
          </w:tcPr>
          <w:p w14:paraId="30FDD915" w14:textId="77777777" w:rsidR="00F258B7" w:rsidRPr="00667947" w:rsidRDefault="00F258B7" w:rsidP="00312E88">
            <w:pPr>
              <w:jc w:val="center"/>
              <w:rPr>
                <w:rFonts w:cs="Arial"/>
                <w:b/>
                <w:bCs/>
                <w:color w:val="000000"/>
                <w:sz w:val="18"/>
                <w:szCs w:val="18"/>
              </w:rPr>
            </w:pPr>
            <w:r w:rsidRPr="00667947">
              <w:rPr>
                <w:rFonts w:cs="Arial"/>
                <w:b/>
                <w:bCs/>
                <w:color w:val="FFFFFF"/>
                <w:sz w:val="18"/>
                <w:szCs w:val="18"/>
              </w:rPr>
              <w:t>35 to 44</w:t>
            </w:r>
          </w:p>
        </w:tc>
        <w:tc>
          <w:tcPr>
            <w:tcW w:w="678" w:type="pct"/>
            <w:tcBorders>
              <w:top w:val="single" w:sz="4" w:space="0" w:color="auto"/>
              <w:left w:val="nil"/>
              <w:bottom w:val="single" w:sz="4" w:space="0" w:color="auto"/>
              <w:right w:val="nil"/>
            </w:tcBorders>
            <w:shd w:val="clear" w:color="auto" w:fill="6B2E76"/>
            <w:noWrap/>
            <w:vAlign w:val="bottom"/>
            <w:hideMark/>
          </w:tcPr>
          <w:p w14:paraId="157DD1EC" w14:textId="77777777" w:rsidR="00F258B7" w:rsidRPr="00667947" w:rsidRDefault="00F258B7" w:rsidP="00312E88">
            <w:pPr>
              <w:jc w:val="center"/>
              <w:rPr>
                <w:rFonts w:cs="Arial"/>
                <w:b/>
                <w:bCs/>
                <w:color w:val="000000"/>
                <w:sz w:val="18"/>
                <w:szCs w:val="18"/>
              </w:rPr>
            </w:pPr>
            <w:r w:rsidRPr="00667947">
              <w:rPr>
                <w:rFonts w:cs="Arial"/>
                <w:b/>
                <w:bCs/>
                <w:color w:val="FFFFFF"/>
                <w:sz w:val="18"/>
                <w:szCs w:val="18"/>
              </w:rPr>
              <w:t>45 to 54</w:t>
            </w:r>
          </w:p>
        </w:tc>
        <w:tc>
          <w:tcPr>
            <w:tcW w:w="678" w:type="pct"/>
            <w:tcBorders>
              <w:top w:val="single" w:sz="4" w:space="0" w:color="auto"/>
              <w:left w:val="nil"/>
              <w:bottom w:val="single" w:sz="4" w:space="0" w:color="auto"/>
              <w:right w:val="nil"/>
            </w:tcBorders>
            <w:shd w:val="clear" w:color="auto" w:fill="6B2E76"/>
            <w:noWrap/>
            <w:vAlign w:val="bottom"/>
            <w:hideMark/>
          </w:tcPr>
          <w:p w14:paraId="16EB15AA" w14:textId="77777777" w:rsidR="00F258B7" w:rsidRPr="00667947" w:rsidRDefault="00F258B7" w:rsidP="00312E88">
            <w:pPr>
              <w:jc w:val="center"/>
              <w:rPr>
                <w:rFonts w:cs="Arial"/>
                <w:b/>
                <w:bCs/>
                <w:color w:val="000000"/>
                <w:sz w:val="18"/>
                <w:szCs w:val="18"/>
              </w:rPr>
            </w:pPr>
            <w:r w:rsidRPr="00667947">
              <w:rPr>
                <w:rFonts w:cs="Arial"/>
                <w:b/>
                <w:bCs/>
                <w:color w:val="FFFFFF"/>
                <w:sz w:val="18"/>
                <w:szCs w:val="18"/>
              </w:rPr>
              <w:t>55 to 64</w:t>
            </w:r>
          </w:p>
        </w:tc>
        <w:tc>
          <w:tcPr>
            <w:tcW w:w="678" w:type="pct"/>
            <w:tcBorders>
              <w:top w:val="single" w:sz="4" w:space="0" w:color="auto"/>
              <w:left w:val="nil"/>
              <w:bottom w:val="single" w:sz="4" w:space="0" w:color="auto"/>
              <w:right w:val="nil"/>
            </w:tcBorders>
            <w:shd w:val="clear" w:color="auto" w:fill="6B2E76"/>
            <w:noWrap/>
            <w:vAlign w:val="bottom"/>
            <w:hideMark/>
          </w:tcPr>
          <w:p w14:paraId="53AAE6CF" w14:textId="77777777" w:rsidR="00F258B7" w:rsidRPr="00667947" w:rsidRDefault="00F258B7" w:rsidP="00312E88">
            <w:pPr>
              <w:jc w:val="center"/>
              <w:rPr>
                <w:rFonts w:cs="Arial"/>
                <w:b/>
                <w:bCs/>
                <w:color w:val="000000"/>
                <w:sz w:val="18"/>
                <w:szCs w:val="18"/>
              </w:rPr>
            </w:pPr>
            <w:r w:rsidRPr="00667947">
              <w:rPr>
                <w:rFonts w:cs="Arial"/>
                <w:b/>
                <w:bCs/>
                <w:color w:val="FFFFFF"/>
                <w:sz w:val="18"/>
                <w:szCs w:val="18"/>
              </w:rPr>
              <w:t>65+</w:t>
            </w:r>
          </w:p>
        </w:tc>
        <w:tc>
          <w:tcPr>
            <w:tcW w:w="678" w:type="pct"/>
            <w:tcBorders>
              <w:top w:val="single" w:sz="4" w:space="0" w:color="auto"/>
              <w:left w:val="nil"/>
              <w:bottom w:val="single" w:sz="4" w:space="0" w:color="auto"/>
              <w:right w:val="single" w:sz="4" w:space="0" w:color="auto"/>
            </w:tcBorders>
            <w:shd w:val="clear" w:color="auto" w:fill="6B2E76"/>
            <w:noWrap/>
            <w:vAlign w:val="bottom"/>
            <w:hideMark/>
          </w:tcPr>
          <w:p w14:paraId="5E657B0C" w14:textId="77777777" w:rsidR="00F258B7" w:rsidRPr="00667947" w:rsidRDefault="00F258B7" w:rsidP="00312E88">
            <w:pPr>
              <w:jc w:val="center"/>
              <w:rPr>
                <w:rFonts w:cs="Arial"/>
                <w:b/>
                <w:bCs/>
                <w:color w:val="000000"/>
                <w:sz w:val="18"/>
                <w:szCs w:val="18"/>
              </w:rPr>
            </w:pPr>
            <w:r w:rsidRPr="00667947">
              <w:rPr>
                <w:rFonts w:cs="Arial"/>
                <w:b/>
                <w:bCs/>
                <w:color w:val="FFFFFF"/>
                <w:sz w:val="18"/>
                <w:szCs w:val="18"/>
              </w:rPr>
              <w:t>Total</w:t>
            </w:r>
          </w:p>
        </w:tc>
      </w:tr>
      <w:tr w:rsidR="00F258B7" w:rsidRPr="00667947" w14:paraId="2D584F0F" w14:textId="77777777" w:rsidTr="00E003C0">
        <w:trPr>
          <w:trHeight w:hRule="exact" w:val="301"/>
        </w:trPr>
        <w:tc>
          <w:tcPr>
            <w:tcW w:w="1610" w:type="pct"/>
            <w:tcBorders>
              <w:top w:val="single" w:sz="4" w:space="0" w:color="auto"/>
              <w:left w:val="single" w:sz="4" w:space="0" w:color="auto"/>
              <w:right w:val="single" w:sz="4" w:space="0" w:color="auto"/>
            </w:tcBorders>
            <w:shd w:val="clear" w:color="auto" w:fill="FFFFFF" w:themeFill="background1"/>
            <w:noWrap/>
            <w:vAlign w:val="bottom"/>
            <w:hideMark/>
          </w:tcPr>
          <w:p w14:paraId="6EDCE547" w14:textId="77777777" w:rsidR="00F258B7" w:rsidRPr="00667947" w:rsidRDefault="00F258B7" w:rsidP="00312E88">
            <w:pPr>
              <w:rPr>
                <w:rFonts w:cs="Arial"/>
                <w:color w:val="000000"/>
                <w:sz w:val="18"/>
                <w:szCs w:val="18"/>
              </w:rPr>
            </w:pPr>
            <w:r w:rsidRPr="00667947">
              <w:rPr>
                <w:rFonts w:cs="Arial"/>
                <w:color w:val="000000"/>
                <w:sz w:val="18"/>
                <w:szCs w:val="18"/>
              </w:rPr>
              <w:t>Consumables</w:t>
            </w:r>
          </w:p>
        </w:tc>
        <w:tc>
          <w:tcPr>
            <w:tcW w:w="678" w:type="pct"/>
            <w:tcBorders>
              <w:top w:val="single" w:sz="4" w:space="0" w:color="auto"/>
              <w:left w:val="nil"/>
              <w:right w:val="nil"/>
            </w:tcBorders>
            <w:shd w:val="clear" w:color="auto" w:fill="FFFFFF" w:themeFill="background1"/>
            <w:noWrap/>
            <w:vAlign w:val="bottom"/>
            <w:hideMark/>
          </w:tcPr>
          <w:p w14:paraId="2B54C2B7" w14:textId="77777777" w:rsidR="00F258B7" w:rsidRPr="00667947" w:rsidRDefault="00F258B7" w:rsidP="00312E88">
            <w:pPr>
              <w:jc w:val="center"/>
              <w:rPr>
                <w:rFonts w:cs="Arial"/>
                <w:color w:val="000000"/>
                <w:sz w:val="18"/>
                <w:szCs w:val="18"/>
              </w:rPr>
            </w:pPr>
            <w:r w:rsidRPr="00667947">
              <w:rPr>
                <w:rFonts w:cs="Arial"/>
                <w:color w:val="000000"/>
                <w:sz w:val="18"/>
                <w:szCs w:val="18"/>
              </w:rPr>
              <w:t>1,500</w:t>
            </w:r>
          </w:p>
        </w:tc>
        <w:tc>
          <w:tcPr>
            <w:tcW w:w="678" w:type="pct"/>
            <w:tcBorders>
              <w:top w:val="single" w:sz="4" w:space="0" w:color="auto"/>
              <w:left w:val="nil"/>
              <w:right w:val="nil"/>
            </w:tcBorders>
            <w:shd w:val="clear" w:color="auto" w:fill="FFFFFF" w:themeFill="background1"/>
            <w:noWrap/>
            <w:vAlign w:val="bottom"/>
            <w:hideMark/>
          </w:tcPr>
          <w:p w14:paraId="6DBEABF0" w14:textId="77777777" w:rsidR="00F258B7" w:rsidRPr="00667947" w:rsidRDefault="00F258B7" w:rsidP="00312E88">
            <w:pPr>
              <w:jc w:val="center"/>
              <w:rPr>
                <w:rFonts w:cs="Arial"/>
                <w:color w:val="000000"/>
                <w:sz w:val="18"/>
                <w:szCs w:val="18"/>
              </w:rPr>
            </w:pPr>
            <w:r w:rsidRPr="00667947">
              <w:rPr>
                <w:rFonts w:cs="Arial"/>
                <w:color w:val="000000"/>
                <w:sz w:val="18"/>
                <w:szCs w:val="18"/>
              </w:rPr>
              <w:t>1,700</w:t>
            </w:r>
          </w:p>
        </w:tc>
        <w:tc>
          <w:tcPr>
            <w:tcW w:w="678" w:type="pct"/>
            <w:tcBorders>
              <w:top w:val="single" w:sz="4" w:space="0" w:color="auto"/>
              <w:left w:val="nil"/>
              <w:right w:val="nil"/>
            </w:tcBorders>
            <w:shd w:val="clear" w:color="auto" w:fill="FFFFFF" w:themeFill="background1"/>
            <w:noWrap/>
            <w:vAlign w:val="bottom"/>
            <w:hideMark/>
          </w:tcPr>
          <w:p w14:paraId="46D6FEA3" w14:textId="77777777" w:rsidR="00F258B7" w:rsidRPr="00667947" w:rsidRDefault="00F258B7" w:rsidP="00312E88">
            <w:pPr>
              <w:jc w:val="center"/>
              <w:rPr>
                <w:rFonts w:cs="Arial"/>
                <w:color w:val="000000"/>
                <w:sz w:val="18"/>
                <w:szCs w:val="18"/>
              </w:rPr>
            </w:pPr>
            <w:r w:rsidRPr="00667947">
              <w:rPr>
                <w:rFonts w:cs="Arial"/>
                <w:color w:val="000000"/>
                <w:sz w:val="18"/>
                <w:szCs w:val="18"/>
              </w:rPr>
              <w:t>1,900</w:t>
            </w:r>
          </w:p>
        </w:tc>
        <w:tc>
          <w:tcPr>
            <w:tcW w:w="678" w:type="pct"/>
            <w:tcBorders>
              <w:top w:val="single" w:sz="4" w:space="0" w:color="auto"/>
              <w:left w:val="nil"/>
              <w:right w:val="nil"/>
            </w:tcBorders>
            <w:shd w:val="clear" w:color="auto" w:fill="FFFFFF" w:themeFill="background1"/>
            <w:noWrap/>
            <w:vAlign w:val="bottom"/>
            <w:hideMark/>
          </w:tcPr>
          <w:p w14:paraId="40F39525" w14:textId="77777777" w:rsidR="00F258B7" w:rsidRPr="00667947" w:rsidRDefault="00F258B7" w:rsidP="00312E88">
            <w:pPr>
              <w:jc w:val="center"/>
              <w:rPr>
                <w:rFonts w:cs="Arial"/>
                <w:color w:val="000000"/>
                <w:sz w:val="18"/>
                <w:szCs w:val="18"/>
              </w:rPr>
            </w:pPr>
            <w:r w:rsidRPr="00667947">
              <w:rPr>
                <w:rFonts w:cs="Arial"/>
                <w:color w:val="000000"/>
                <w:sz w:val="18"/>
                <w:szCs w:val="18"/>
              </w:rPr>
              <w:t>2,200</w:t>
            </w:r>
          </w:p>
        </w:tc>
        <w:tc>
          <w:tcPr>
            <w:tcW w:w="678" w:type="pct"/>
            <w:tcBorders>
              <w:top w:val="single" w:sz="4" w:space="0" w:color="auto"/>
              <w:left w:val="nil"/>
              <w:right w:val="single" w:sz="4" w:space="0" w:color="auto"/>
            </w:tcBorders>
            <w:shd w:val="clear" w:color="auto" w:fill="FFFFFF" w:themeFill="background1"/>
            <w:noWrap/>
            <w:vAlign w:val="bottom"/>
            <w:hideMark/>
          </w:tcPr>
          <w:p w14:paraId="5BAD95CA" w14:textId="77777777" w:rsidR="00F258B7" w:rsidRPr="00667947" w:rsidRDefault="00F258B7" w:rsidP="00312E88">
            <w:pPr>
              <w:jc w:val="center"/>
              <w:rPr>
                <w:rFonts w:cs="Arial"/>
                <w:color w:val="000000"/>
                <w:sz w:val="18"/>
                <w:szCs w:val="18"/>
              </w:rPr>
            </w:pPr>
            <w:r w:rsidRPr="00667947">
              <w:rPr>
                <w:rFonts w:cs="Arial"/>
                <w:color w:val="000000"/>
                <w:sz w:val="18"/>
                <w:szCs w:val="18"/>
              </w:rPr>
              <w:t>1,100</w:t>
            </w:r>
          </w:p>
        </w:tc>
      </w:tr>
      <w:tr w:rsidR="00F258B7" w:rsidRPr="00667947" w14:paraId="199EC7DC" w14:textId="77777777" w:rsidTr="00E003C0">
        <w:trPr>
          <w:trHeight w:hRule="exact" w:val="301"/>
        </w:trPr>
        <w:tc>
          <w:tcPr>
            <w:tcW w:w="1610" w:type="pct"/>
            <w:tcBorders>
              <w:left w:val="single" w:sz="4" w:space="0" w:color="auto"/>
              <w:right w:val="single" w:sz="4" w:space="0" w:color="auto"/>
            </w:tcBorders>
            <w:shd w:val="clear" w:color="auto" w:fill="FFFFFF" w:themeFill="background1"/>
            <w:noWrap/>
            <w:vAlign w:val="bottom"/>
            <w:hideMark/>
          </w:tcPr>
          <w:p w14:paraId="2FDDC2C6" w14:textId="77777777" w:rsidR="00F258B7" w:rsidRPr="00667947" w:rsidRDefault="00F258B7" w:rsidP="00312E88">
            <w:pPr>
              <w:rPr>
                <w:rFonts w:cs="Arial"/>
                <w:color w:val="000000"/>
                <w:sz w:val="18"/>
                <w:szCs w:val="18"/>
              </w:rPr>
            </w:pPr>
            <w:r w:rsidRPr="00667947">
              <w:rPr>
                <w:rFonts w:cs="Arial"/>
                <w:color w:val="000000"/>
                <w:sz w:val="18"/>
                <w:szCs w:val="18"/>
              </w:rPr>
              <w:t>Daily Activities</w:t>
            </w:r>
          </w:p>
        </w:tc>
        <w:tc>
          <w:tcPr>
            <w:tcW w:w="678" w:type="pct"/>
            <w:tcBorders>
              <w:left w:val="nil"/>
              <w:right w:val="nil"/>
            </w:tcBorders>
            <w:shd w:val="clear" w:color="auto" w:fill="FFFFFF" w:themeFill="background1"/>
            <w:noWrap/>
            <w:vAlign w:val="bottom"/>
            <w:hideMark/>
          </w:tcPr>
          <w:p w14:paraId="6985F4FA" w14:textId="77777777" w:rsidR="00F258B7" w:rsidRPr="00667947" w:rsidRDefault="00F258B7" w:rsidP="00312E88">
            <w:pPr>
              <w:jc w:val="center"/>
              <w:rPr>
                <w:rFonts w:cs="Arial"/>
                <w:color w:val="000000"/>
                <w:sz w:val="18"/>
                <w:szCs w:val="18"/>
              </w:rPr>
            </w:pPr>
            <w:r w:rsidRPr="00667947">
              <w:rPr>
                <w:rFonts w:cs="Arial"/>
                <w:color w:val="000000"/>
                <w:sz w:val="18"/>
                <w:szCs w:val="18"/>
              </w:rPr>
              <w:t>61,700</w:t>
            </w:r>
          </w:p>
        </w:tc>
        <w:tc>
          <w:tcPr>
            <w:tcW w:w="678" w:type="pct"/>
            <w:tcBorders>
              <w:left w:val="nil"/>
              <w:right w:val="nil"/>
            </w:tcBorders>
            <w:shd w:val="clear" w:color="auto" w:fill="FFFFFF" w:themeFill="background1"/>
            <w:noWrap/>
            <w:vAlign w:val="bottom"/>
            <w:hideMark/>
          </w:tcPr>
          <w:p w14:paraId="53140CDC" w14:textId="77777777" w:rsidR="00F258B7" w:rsidRPr="00667947" w:rsidRDefault="00F258B7" w:rsidP="00312E88">
            <w:pPr>
              <w:jc w:val="center"/>
              <w:rPr>
                <w:rFonts w:cs="Arial"/>
                <w:color w:val="000000"/>
                <w:sz w:val="18"/>
                <w:szCs w:val="18"/>
              </w:rPr>
            </w:pPr>
            <w:r w:rsidRPr="00667947">
              <w:rPr>
                <w:rFonts w:cs="Arial"/>
                <w:color w:val="000000"/>
                <w:sz w:val="18"/>
                <w:szCs w:val="18"/>
              </w:rPr>
              <w:t>62,400</w:t>
            </w:r>
          </w:p>
        </w:tc>
        <w:tc>
          <w:tcPr>
            <w:tcW w:w="678" w:type="pct"/>
            <w:tcBorders>
              <w:left w:val="nil"/>
              <w:right w:val="nil"/>
            </w:tcBorders>
            <w:shd w:val="clear" w:color="auto" w:fill="FFFFFF" w:themeFill="background1"/>
            <w:noWrap/>
            <w:vAlign w:val="bottom"/>
            <w:hideMark/>
          </w:tcPr>
          <w:p w14:paraId="433E3F4B" w14:textId="77777777" w:rsidR="00F258B7" w:rsidRPr="00667947" w:rsidRDefault="00F258B7" w:rsidP="00312E88">
            <w:pPr>
              <w:jc w:val="center"/>
              <w:rPr>
                <w:rFonts w:cs="Arial"/>
                <w:color w:val="000000"/>
                <w:sz w:val="18"/>
                <w:szCs w:val="18"/>
              </w:rPr>
            </w:pPr>
            <w:r w:rsidRPr="00667947">
              <w:rPr>
                <w:rFonts w:cs="Arial"/>
                <w:color w:val="000000"/>
                <w:sz w:val="18"/>
                <w:szCs w:val="18"/>
              </w:rPr>
              <w:t>62,000</w:t>
            </w:r>
          </w:p>
        </w:tc>
        <w:tc>
          <w:tcPr>
            <w:tcW w:w="678" w:type="pct"/>
            <w:tcBorders>
              <w:left w:val="nil"/>
              <w:right w:val="nil"/>
            </w:tcBorders>
            <w:shd w:val="clear" w:color="auto" w:fill="FFFFFF" w:themeFill="background1"/>
            <w:noWrap/>
            <w:vAlign w:val="bottom"/>
            <w:hideMark/>
          </w:tcPr>
          <w:p w14:paraId="460F0540" w14:textId="77777777" w:rsidR="00F258B7" w:rsidRPr="00667947" w:rsidRDefault="00F258B7" w:rsidP="00312E88">
            <w:pPr>
              <w:jc w:val="center"/>
              <w:rPr>
                <w:rFonts w:cs="Arial"/>
                <w:color w:val="000000"/>
                <w:sz w:val="18"/>
                <w:szCs w:val="18"/>
              </w:rPr>
            </w:pPr>
            <w:r w:rsidRPr="00667947">
              <w:rPr>
                <w:rFonts w:cs="Arial"/>
                <w:color w:val="000000"/>
                <w:sz w:val="18"/>
                <w:szCs w:val="18"/>
              </w:rPr>
              <w:t>67,400</w:t>
            </w:r>
          </w:p>
        </w:tc>
        <w:tc>
          <w:tcPr>
            <w:tcW w:w="678" w:type="pct"/>
            <w:tcBorders>
              <w:left w:val="nil"/>
              <w:right w:val="single" w:sz="4" w:space="0" w:color="auto"/>
            </w:tcBorders>
            <w:shd w:val="clear" w:color="auto" w:fill="FFFFFF" w:themeFill="background1"/>
            <w:noWrap/>
            <w:vAlign w:val="bottom"/>
            <w:hideMark/>
          </w:tcPr>
          <w:p w14:paraId="49493C65" w14:textId="77777777" w:rsidR="00F258B7" w:rsidRPr="00667947" w:rsidRDefault="00F258B7" w:rsidP="00312E88">
            <w:pPr>
              <w:jc w:val="center"/>
              <w:rPr>
                <w:rFonts w:cs="Arial"/>
                <w:color w:val="000000"/>
                <w:sz w:val="18"/>
                <w:szCs w:val="18"/>
              </w:rPr>
            </w:pPr>
            <w:r w:rsidRPr="00667947">
              <w:rPr>
                <w:rFonts w:cs="Arial"/>
                <w:color w:val="000000"/>
                <w:sz w:val="18"/>
                <w:szCs w:val="18"/>
              </w:rPr>
              <w:t>32,900</w:t>
            </w:r>
          </w:p>
        </w:tc>
      </w:tr>
      <w:tr w:rsidR="00F258B7" w:rsidRPr="00667947" w14:paraId="38D85830" w14:textId="77777777" w:rsidTr="00E003C0">
        <w:trPr>
          <w:trHeight w:hRule="exact" w:val="301"/>
        </w:trPr>
        <w:tc>
          <w:tcPr>
            <w:tcW w:w="1610" w:type="pct"/>
            <w:tcBorders>
              <w:left w:val="single" w:sz="4" w:space="0" w:color="auto"/>
              <w:right w:val="single" w:sz="4" w:space="0" w:color="auto"/>
            </w:tcBorders>
            <w:shd w:val="clear" w:color="auto" w:fill="FFFFFF" w:themeFill="background1"/>
            <w:noWrap/>
            <w:vAlign w:val="bottom"/>
            <w:hideMark/>
          </w:tcPr>
          <w:p w14:paraId="7B65FC3D" w14:textId="77777777" w:rsidR="00F258B7" w:rsidRPr="00667947" w:rsidRDefault="00F258B7" w:rsidP="00312E88">
            <w:pPr>
              <w:rPr>
                <w:rFonts w:cs="Arial"/>
                <w:color w:val="000000"/>
                <w:sz w:val="18"/>
                <w:szCs w:val="18"/>
              </w:rPr>
            </w:pPr>
            <w:r w:rsidRPr="00667947">
              <w:rPr>
                <w:rFonts w:cs="Arial"/>
                <w:color w:val="000000"/>
                <w:sz w:val="18"/>
                <w:szCs w:val="18"/>
              </w:rPr>
              <w:t>Social Community Civic</w:t>
            </w:r>
          </w:p>
        </w:tc>
        <w:tc>
          <w:tcPr>
            <w:tcW w:w="678" w:type="pct"/>
            <w:tcBorders>
              <w:left w:val="nil"/>
              <w:right w:val="nil"/>
            </w:tcBorders>
            <w:shd w:val="clear" w:color="auto" w:fill="FFFFFF" w:themeFill="background1"/>
            <w:noWrap/>
            <w:vAlign w:val="bottom"/>
            <w:hideMark/>
          </w:tcPr>
          <w:p w14:paraId="128AAEA4" w14:textId="77777777" w:rsidR="00F258B7" w:rsidRPr="00667947" w:rsidRDefault="00F258B7" w:rsidP="00312E88">
            <w:pPr>
              <w:jc w:val="center"/>
              <w:rPr>
                <w:rFonts w:cs="Arial"/>
                <w:color w:val="000000"/>
                <w:sz w:val="18"/>
                <w:szCs w:val="18"/>
              </w:rPr>
            </w:pPr>
            <w:r w:rsidRPr="00667947">
              <w:rPr>
                <w:rFonts w:cs="Arial"/>
                <w:color w:val="000000"/>
                <w:sz w:val="18"/>
                <w:szCs w:val="18"/>
              </w:rPr>
              <w:t>23,500</w:t>
            </w:r>
          </w:p>
        </w:tc>
        <w:tc>
          <w:tcPr>
            <w:tcW w:w="678" w:type="pct"/>
            <w:tcBorders>
              <w:left w:val="nil"/>
              <w:right w:val="nil"/>
            </w:tcBorders>
            <w:shd w:val="clear" w:color="auto" w:fill="FFFFFF" w:themeFill="background1"/>
            <w:noWrap/>
            <w:vAlign w:val="bottom"/>
            <w:hideMark/>
          </w:tcPr>
          <w:p w14:paraId="6D5A946E" w14:textId="77777777" w:rsidR="00F258B7" w:rsidRPr="00667947" w:rsidRDefault="00F258B7" w:rsidP="00312E88">
            <w:pPr>
              <w:jc w:val="center"/>
              <w:rPr>
                <w:rFonts w:cs="Arial"/>
                <w:color w:val="000000"/>
                <w:sz w:val="18"/>
                <w:szCs w:val="18"/>
              </w:rPr>
            </w:pPr>
            <w:r w:rsidRPr="00667947">
              <w:rPr>
                <w:rFonts w:cs="Arial"/>
                <w:color w:val="000000"/>
                <w:sz w:val="18"/>
                <w:szCs w:val="18"/>
              </w:rPr>
              <w:t>19,500</w:t>
            </w:r>
          </w:p>
        </w:tc>
        <w:tc>
          <w:tcPr>
            <w:tcW w:w="678" w:type="pct"/>
            <w:tcBorders>
              <w:left w:val="nil"/>
              <w:right w:val="nil"/>
            </w:tcBorders>
            <w:shd w:val="clear" w:color="auto" w:fill="FFFFFF" w:themeFill="background1"/>
            <w:noWrap/>
            <w:vAlign w:val="bottom"/>
            <w:hideMark/>
          </w:tcPr>
          <w:p w14:paraId="46FD2B68" w14:textId="77777777" w:rsidR="00F258B7" w:rsidRPr="00667947" w:rsidRDefault="00F258B7" w:rsidP="00312E88">
            <w:pPr>
              <w:jc w:val="center"/>
              <w:rPr>
                <w:rFonts w:cs="Arial"/>
                <w:color w:val="000000"/>
                <w:sz w:val="18"/>
                <w:szCs w:val="18"/>
              </w:rPr>
            </w:pPr>
            <w:r w:rsidRPr="00667947">
              <w:rPr>
                <w:rFonts w:cs="Arial"/>
                <w:color w:val="000000"/>
                <w:sz w:val="18"/>
                <w:szCs w:val="18"/>
              </w:rPr>
              <w:t>18,100</w:t>
            </w:r>
          </w:p>
        </w:tc>
        <w:tc>
          <w:tcPr>
            <w:tcW w:w="678" w:type="pct"/>
            <w:tcBorders>
              <w:left w:val="nil"/>
              <w:right w:val="nil"/>
            </w:tcBorders>
            <w:shd w:val="clear" w:color="auto" w:fill="FFFFFF" w:themeFill="background1"/>
            <w:noWrap/>
            <w:vAlign w:val="bottom"/>
            <w:hideMark/>
          </w:tcPr>
          <w:p w14:paraId="797720E6" w14:textId="77777777" w:rsidR="00F258B7" w:rsidRPr="00667947" w:rsidRDefault="00F258B7" w:rsidP="00312E88">
            <w:pPr>
              <w:jc w:val="center"/>
              <w:rPr>
                <w:rFonts w:cs="Arial"/>
                <w:color w:val="000000"/>
                <w:sz w:val="18"/>
                <w:szCs w:val="18"/>
              </w:rPr>
            </w:pPr>
            <w:r w:rsidRPr="00667947">
              <w:rPr>
                <w:rFonts w:cs="Arial"/>
                <w:color w:val="000000"/>
                <w:sz w:val="18"/>
                <w:szCs w:val="18"/>
              </w:rPr>
              <w:t>18,800</w:t>
            </w:r>
          </w:p>
        </w:tc>
        <w:tc>
          <w:tcPr>
            <w:tcW w:w="678" w:type="pct"/>
            <w:tcBorders>
              <w:left w:val="nil"/>
              <w:right w:val="single" w:sz="4" w:space="0" w:color="auto"/>
            </w:tcBorders>
            <w:shd w:val="clear" w:color="auto" w:fill="FFFFFF" w:themeFill="background1"/>
            <w:noWrap/>
            <w:vAlign w:val="bottom"/>
            <w:hideMark/>
          </w:tcPr>
          <w:p w14:paraId="6A361BE0" w14:textId="77777777" w:rsidR="00F258B7" w:rsidRPr="00667947" w:rsidRDefault="00F258B7" w:rsidP="00312E88">
            <w:pPr>
              <w:jc w:val="center"/>
              <w:rPr>
                <w:rFonts w:cs="Arial"/>
                <w:color w:val="000000"/>
                <w:sz w:val="18"/>
                <w:szCs w:val="18"/>
              </w:rPr>
            </w:pPr>
            <w:r w:rsidRPr="00667947">
              <w:rPr>
                <w:rFonts w:cs="Arial"/>
                <w:color w:val="000000"/>
                <w:sz w:val="18"/>
                <w:szCs w:val="18"/>
              </w:rPr>
              <w:t>11,800</w:t>
            </w:r>
          </w:p>
        </w:tc>
      </w:tr>
      <w:tr w:rsidR="00F258B7" w:rsidRPr="00667947" w14:paraId="70A7DDF9" w14:textId="77777777" w:rsidTr="00E003C0">
        <w:trPr>
          <w:trHeight w:hRule="exact" w:val="301"/>
        </w:trPr>
        <w:tc>
          <w:tcPr>
            <w:tcW w:w="1610" w:type="pct"/>
            <w:tcBorders>
              <w:left w:val="single" w:sz="4" w:space="0" w:color="auto"/>
              <w:right w:val="single" w:sz="4" w:space="0" w:color="auto"/>
            </w:tcBorders>
            <w:shd w:val="clear" w:color="auto" w:fill="FFFFFF" w:themeFill="background1"/>
            <w:noWrap/>
            <w:vAlign w:val="bottom"/>
            <w:hideMark/>
          </w:tcPr>
          <w:p w14:paraId="5EBBEDEC" w14:textId="77777777" w:rsidR="00F258B7" w:rsidRPr="00667947" w:rsidRDefault="00F258B7" w:rsidP="00312E88">
            <w:pPr>
              <w:rPr>
                <w:rFonts w:cs="Arial"/>
                <w:color w:val="000000"/>
                <w:sz w:val="18"/>
                <w:szCs w:val="18"/>
              </w:rPr>
            </w:pPr>
            <w:r w:rsidRPr="00667947">
              <w:rPr>
                <w:rFonts w:cs="Arial"/>
                <w:color w:val="000000"/>
                <w:sz w:val="18"/>
                <w:szCs w:val="18"/>
              </w:rPr>
              <w:t>Transport</w:t>
            </w:r>
          </w:p>
        </w:tc>
        <w:tc>
          <w:tcPr>
            <w:tcW w:w="678" w:type="pct"/>
            <w:tcBorders>
              <w:left w:val="nil"/>
              <w:right w:val="nil"/>
            </w:tcBorders>
            <w:shd w:val="clear" w:color="auto" w:fill="FFFFFF" w:themeFill="background1"/>
            <w:noWrap/>
            <w:vAlign w:val="bottom"/>
            <w:hideMark/>
          </w:tcPr>
          <w:p w14:paraId="6AA35152" w14:textId="77777777" w:rsidR="00F258B7" w:rsidRPr="00667947" w:rsidRDefault="00F258B7" w:rsidP="00312E88">
            <w:pPr>
              <w:jc w:val="center"/>
              <w:rPr>
                <w:rFonts w:cs="Arial"/>
                <w:color w:val="000000"/>
                <w:sz w:val="18"/>
                <w:szCs w:val="18"/>
              </w:rPr>
            </w:pPr>
            <w:r w:rsidRPr="00667947">
              <w:rPr>
                <w:rFonts w:cs="Arial"/>
                <w:color w:val="000000"/>
                <w:sz w:val="18"/>
                <w:szCs w:val="18"/>
              </w:rPr>
              <w:t>2,100</w:t>
            </w:r>
          </w:p>
        </w:tc>
        <w:tc>
          <w:tcPr>
            <w:tcW w:w="678" w:type="pct"/>
            <w:tcBorders>
              <w:left w:val="nil"/>
              <w:right w:val="nil"/>
            </w:tcBorders>
            <w:shd w:val="clear" w:color="auto" w:fill="FFFFFF" w:themeFill="background1"/>
            <w:noWrap/>
            <w:vAlign w:val="bottom"/>
            <w:hideMark/>
          </w:tcPr>
          <w:p w14:paraId="1673A7C9" w14:textId="77777777" w:rsidR="00F258B7" w:rsidRPr="00667947" w:rsidRDefault="00F258B7" w:rsidP="00312E88">
            <w:pPr>
              <w:jc w:val="center"/>
              <w:rPr>
                <w:rFonts w:cs="Arial"/>
                <w:color w:val="000000"/>
                <w:sz w:val="18"/>
                <w:szCs w:val="18"/>
              </w:rPr>
            </w:pPr>
            <w:r w:rsidRPr="00667947">
              <w:rPr>
                <w:rFonts w:cs="Arial"/>
                <w:color w:val="000000"/>
                <w:sz w:val="18"/>
                <w:szCs w:val="18"/>
              </w:rPr>
              <w:t>2,000</w:t>
            </w:r>
          </w:p>
        </w:tc>
        <w:tc>
          <w:tcPr>
            <w:tcW w:w="678" w:type="pct"/>
            <w:tcBorders>
              <w:left w:val="nil"/>
              <w:right w:val="nil"/>
            </w:tcBorders>
            <w:shd w:val="clear" w:color="auto" w:fill="FFFFFF" w:themeFill="background1"/>
            <w:noWrap/>
            <w:vAlign w:val="bottom"/>
            <w:hideMark/>
          </w:tcPr>
          <w:p w14:paraId="6DF87A32" w14:textId="77777777" w:rsidR="00F258B7" w:rsidRPr="00667947" w:rsidRDefault="00F258B7" w:rsidP="00312E88">
            <w:pPr>
              <w:jc w:val="center"/>
              <w:rPr>
                <w:rFonts w:cs="Arial"/>
                <w:color w:val="000000"/>
                <w:sz w:val="18"/>
                <w:szCs w:val="18"/>
              </w:rPr>
            </w:pPr>
            <w:r w:rsidRPr="00667947">
              <w:rPr>
                <w:rFonts w:cs="Arial"/>
                <w:color w:val="000000"/>
                <w:sz w:val="18"/>
                <w:szCs w:val="18"/>
              </w:rPr>
              <w:t>2,000</w:t>
            </w:r>
          </w:p>
        </w:tc>
        <w:tc>
          <w:tcPr>
            <w:tcW w:w="678" w:type="pct"/>
            <w:tcBorders>
              <w:left w:val="nil"/>
              <w:right w:val="nil"/>
            </w:tcBorders>
            <w:shd w:val="clear" w:color="auto" w:fill="FFFFFF" w:themeFill="background1"/>
            <w:noWrap/>
            <w:vAlign w:val="bottom"/>
            <w:hideMark/>
          </w:tcPr>
          <w:p w14:paraId="7074C87F" w14:textId="77777777" w:rsidR="00F258B7" w:rsidRPr="00667947" w:rsidRDefault="00F258B7" w:rsidP="00312E88">
            <w:pPr>
              <w:jc w:val="center"/>
              <w:rPr>
                <w:rFonts w:cs="Arial"/>
                <w:color w:val="000000"/>
                <w:sz w:val="18"/>
                <w:szCs w:val="18"/>
              </w:rPr>
            </w:pPr>
            <w:r w:rsidRPr="00667947">
              <w:rPr>
                <w:rFonts w:cs="Arial"/>
                <w:color w:val="000000"/>
                <w:sz w:val="18"/>
                <w:szCs w:val="18"/>
              </w:rPr>
              <w:t>2,100</w:t>
            </w:r>
          </w:p>
        </w:tc>
        <w:tc>
          <w:tcPr>
            <w:tcW w:w="678" w:type="pct"/>
            <w:tcBorders>
              <w:left w:val="nil"/>
              <w:right w:val="single" w:sz="4" w:space="0" w:color="auto"/>
            </w:tcBorders>
            <w:shd w:val="clear" w:color="auto" w:fill="FFFFFF" w:themeFill="background1"/>
            <w:noWrap/>
            <w:vAlign w:val="bottom"/>
            <w:hideMark/>
          </w:tcPr>
          <w:p w14:paraId="4B3CA58D" w14:textId="77777777" w:rsidR="00F258B7" w:rsidRPr="00667947" w:rsidRDefault="00F258B7" w:rsidP="00312E88">
            <w:pPr>
              <w:jc w:val="center"/>
              <w:rPr>
                <w:rFonts w:cs="Arial"/>
                <w:color w:val="000000"/>
                <w:sz w:val="18"/>
                <w:szCs w:val="18"/>
              </w:rPr>
            </w:pPr>
            <w:r w:rsidRPr="00667947">
              <w:rPr>
                <w:rFonts w:cs="Arial"/>
                <w:color w:val="000000"/>
                <w:sz w:val="18"/>
                <w:szCs w:val="18"/>
              </w:rPr>
              <w:t>2,100</w:t>
            </w:r>
          </w:p>
        </w:tc>
      </w:tr>
      <w:tr w:rsidR="00F258B7" w:rsidRPr="00667947" w14:paraId="7979DA5B" w14:textId="77777777" w:rsidTr="00E003C0">
        <w:trPr>
          <w:trHeight w:hRule="exact" w:val="301"/>
        </w:trPr>
        <w:tc>
          <w:tcPr>
            <w:tcW w:w="1610" w:type="pct"/>
            <w:tcBorders>
              <w:left w:val="single" w:sz="4" w:space="0" w:color="auto"/>
              <w:right w:val="single" w:sz="4" w:space="0" w:color="auto"/>
            </w:tcBorders>
            <w:shd w:val="clear" w:color="auto" w:fill="FFFFFF" w:themeFill="background1"/>
            <w:noWrap/>
            <w:vAlign w:val="bottom"/>
            <w:hideMark/>
          </w:tcPr>
          <w:p w14:paraId="72FB8BCB" w14:textId="77777777" w:rsidR="00F258B7" w:rsidRPr="00667947" w:rsidRDefault="00F258B7" w:rsidP="00312E88">
            <w:pPr>
              <w:rPr>
                <w:rFonts w:cs="Arial"/>
                <w:color w:val="000000"/>
                <w:sz w:val="18"/>
                <w:szCs w:val="18"/>
              </w:rPr>
            </w:pPr>
            <w:r w:rsidRPr="00667947">
              <w:rPr>
                <w:rFonts w:cs="Arial"/>
                <w:color w:val="000000"/>
                <w:sz w:val="18"/>
                <w:szCs w:val="18"/>
              </w:rPr>
              <w:t>Assistive Technology</w:t>
            </w:r>
          </w:p>
        </w:tc>
        <w:tc>
          <w:tcPr>
            <w:tcW w:w="678" w:type="pct"/>
            <w:tcBorders>
              <w:left w:val="nil"/>
              <w:right w:val="nil"/>
            </w:tcBorders>
            <w:shd w:val="clear" w:color="auto" w:fill="FFFFFF" w:themeFill="background1"/>
            <w:noWrap/>
            <w:vAlign w:val="bottom"/>
            <w:hideMark/>
          </w:tcPr>
          <w:p w14:paraId="372EF224" w14:textId="77777777" w:rsidR="00F258B7" w:rsidRPr="00667947" w:rsidRDefault="00F258B7" w:rsidP="00312E88">
            <w:pPr>
              <w:jc w:val="center"/>
              <w:rPr>
                <w:rFonts w:cs="Arial"/>
                <w:color w:val="000000"/>
                <w:sz w:val="18"/>
                <w:szCs w:val="18"/>
              </w:rPr>
            </w:pPr>
            <w:r w:rsidRPr="00667947">
              <w:rPr>
                <w:rFonts w:cs="Arial"/>
                <w:color w:val="000000"/>
                <w:sz w:val="18"/>
                <w:szCs w:val="18"/>
              </w:rPr>
              <w:t>1,600</w:t>
            </w:r>
          </w:p>
        </w:tc>
        <w:tc>
          <w:tcPr>
            <w:tcW w:w="678" w:type="pct"/>
            <w:tcBorders>
              <w:left w:val="nil"/>
              <w:right w:val="nil"/>
            </w:tcBorders>
            <w:shd w:val="clear" w:color="auto" w:fill="FFFFFF" w:themeFill="background1"/>
            <w:noWrap/>
            <w:vAlign w:val="bottom"/>
            <w:hideMark/>
          </w:tcPr>
          <w:p w14:paraId="1F0C319C" w14:textId="77777777" w:rsidR="00F258B7" w:rsidRPr="00667947" w:rsidRDefault="00F258B7" w:rsidP="00312E88">
            <w:pPr>
              <w:jc w:val="center"/>
              <w:rPr>
                <w:rFonts w:cs="Arial"/>
                <w:color w:val="000000"/>
                <w:sz w:val="18"/>
                <w:szCs w:val="18"/>
              </w:rPr>
            </w:pPr>
            <w:r w:rsidRPr="00667947">
              <w:rPr>
                <w:rFonts w:cs="Arial"/>
                <w:color w:val="000000"/>
                <w:sz w:val="18"/>
                <w:szCs w:val="18"/>
              </w:rPr>
              <w:t>2,000</w:t>
            </w:r>
          </w:p>
        </w:tc>
        <w:tc>
          <w:tcPr>
            <w:tcW w:w="678" w:type="pct"/>
            <w:tcBorders>
              <w:left w:val="nil"/>
              <w:right w:val="nil"/>
            </w:tcBorders>
            <w:shd w:val="clear" w:color="auto" w:fill="FFFFFF" w:themeFill="background1"/>
            <w:noWrap/>
            <w:vAlign w:val="bottom"/>
            <w:hideMark/>
          </w:tcPr>
          <w:p w14:paraId="31D8020B" w14:textId="77777777" w:rsidR="00F258B7" w:rsidRPr="00667947" w:rsidRDefault="00F258B7" w:rsidP="00312E88">
            <w:pPr>
              <w:jc w:val="center"/>
              <w:rPr>
                <w:rFonts w:cs="Arial"/>
                <w:color w:val="000000"/>
                <w:sz w:val="18"/>
                <w:szCs w:val="18"/>
              </w:rPr>
            </w:pPr>
            <w:r w:rsidRPr="00667947">
              <w:rPr>
                <w:rFonts w:cs="Arial"/>
                <w:color w:val="000000"/>
                <w:sz w:val="18"/>
                <w:szCs w:val="18"/>
              </w:rPr>
              <w:t>2,600</w:t>
            </w:r>
          </w:p>
        </w:tc>
        <w:tc>
          <w:tcPr>
            <w:tcW w:w="678" w:type="pct"/>
            <w:tcBorders>
              <w:left w:val="nil"/>
              <w:right w:val="nil"/>
            </w:tcBorders>
            <w:shd w:val="clear" w:color="auto" w:fill="FFFFFF" w:themeFill="background1"/>
            <w:noWrap/>
            <w:vAlign w:val="bottom"/>
            <w:hideMark/>
          </w:tcPr>
          <w:p w14:paraId="46D327B4" w14:textId="77777777" w:rsidR="00F258B7" w:rsidRPr="00667947" w:rsidRDefault="00F258B7" w:rsidP="00312E88">
            <w:pPr>
              <w:jc w:val="center"/>
              <w:rPr>
                <w:rFonts w:cs="Arial"/>
                <w:color w:val="000000"/>
                <w:sz w:val="18"/>
                <w:szCs w:val="18"/>
              </w:rPr>
            </w:pPr>
            <w:r w:rsidRPr="00667947">
              <w:rPr>
                <w:rFonts w:cs="Arial"/>
                <w:color w:val="000000"/>
                <w:sz w:val="18"/>
                <w:szCs w:val="18"/>
              </w:rPr>
              <w:t>3,300</w:t>
            </w:r>
          </w:p>
        </w:tc>
        <w:tc>
          <w:tcPr>
            <w:tcW w:w="678" w:type="pct"/>
            <w:tcBorders>
              <w:left w:val="nil"/>
              <w:right w:val="single" w:sz="4" w:space="0" w:color="auto"/>
            </w:tcBorders>
            <w:shd w:val="clear" w:color="auto" w:fill="FFFFFF" w:themeFill="background1"/>
            <w:noWrap/>
            <w:vAlign w:val="bottom"/>
            <w:hideMark/>
          </w:tcPr>
          <w:p w14:paraId="2DA6F7B6" w14:textId="77777777" w:rsidR="00F258B7" w:rsidRPr="00667947" w:rsidRDefault="00F258B7" w:rsidP="00312E88">
            <w:pPr>
              <w:jc w:val="center"/>
              <w:rPr>
                <w:rFonts w:cs="Arial"/>
                <w:color w:val="000000"/>
                <w:sz w:val="18"/>
                <w:szCs w:val="18"/>
              </w:rPr>
            </w:pPr>
            <w:r w:rsidRPr="00667947">
              <w:rPr>
                <w:rFonts w:cs="Arial"/>
                <w:color w:val="000000"/>
                <w:sz w:val="18"/>
                <w:szCs w:val="18"/>
              </w:rPr>
              <w:t>1,200</w:t>
            </w:r>
          </w:p>
        </w:tc>
      </w:tr>
      <w:tr w:rsidR="00F258B7" w:rsidRPr="00667947" w14:paraId="5B4FDCEE" w14:textId="77777777" w:rsidTr="00E003C0">
        <w:trPr>
          <w:trHeight w:hRule="exact" w:val="301"/>
        </w:trPr>
        <w:tc>
          <w:tcPr>
            <w:tcW w:w="1610" w:type="pct"/>
            <w:tcBorders>
              <w:left w:val="single" w:sz="4" w:space="0" w:color="auto"/>
              <w:right w:val="single" w:sz="4" w:space="0" w:color="auto"/>
            </w:tcBorders>
            <w:shd w:val="clear" w:color="auto" w:fill="FFFFFF" w:themeFill="background1"/>
            <w:noWrap/>
            <w:vAlign w:val="bottom"/>
            <w:hideMark/>
          </w:tcPr>
          <w:p w14:paraId="52BABBB6" w14:textId="77777777" w:rsidR="00F258B7" w:rsidRPr="00667947" w:rsidRDefault="00F258B7" w:rsidP="00312E88">
            <w:pPr>
              <w:rPr>
                <w:rFonts w:cs="Arial"/>
                <w:color w:val="000000"/>
                <w:sz w:val="18"/>
                <w:szCs w:val="18"/>
              </w:rPr>
            </w:pPr>
            <w:r w:rsidRPr="00667947">
              <w:rPr>
                <w:rFonts w:cs="Arial"/>
                <w:color w:val="000000"/>
                <w:sz w:val="18"/>
                <w:szCs w:val="18"/>
              </w:rPr>
              <w:t>Home Modifications</w:t>
            </w:r>
          </w:p>
        </w:tc>
        <w:tc>
          <w:tcPr>
            <w:tcW w:w="678" w:type="pct"/>
            <w:tcBorders>
              <w:left w:val="nil"/>
              <w:right w:val="nil"/>
            </w:tcBorders>
            <w:shd w:val="clear" w:color="auto" w:fill="FFFFFF" w:themeFill="background1"/>
            <w:noWrap/>
            <w:vAlign w:val="bottom"/>
            <w:hideMark/>
          </w:tcPr>
          <w:p w14:paraId="60C00943" w14:textId="77777777" w:rsidR="00F258B7" w:rsidRPr="00667947" w:rsidRDefault="00F258B7" w:rsidP="00312E88">
            <w:pPr>
              <w:jc w:val="center"/>
              <w:rPr>
                <w:rFonts w:cs="Arial"/>
                <w:color w:val="000000"/>
                <w:sz w:val="18"/>
                <w:szCs w:val="18"/>
              </w:rPr>
            </w:pPr>
            <w:r w:rsidRPr="00667947">
              <w:rPr>
                <w:rFonts w:cs="Arial"/>
                <w:color w:val="000000"/>
                <w:sz w:val="18"/>
                <w:szCs w:val="18"/>
              </w:rPr>
              <w:t>1,300</w:t>
            </w:r>
          </w:p>
        </w:tc>
        <w:tc>
          <w:tcPr>
            <w:tcW w:w="678" w:type="pct"/>
            <w:tcBorders>
              <w:left w:val="nil"/>
              <w:right w:val="nil"/>
            </w:tcBorders>
            <w:shd w:val="clear" w:color="auto" w:fill="FFFFFF" w:themeFill="background1"/>
            <w:noWrap/>
            <w:vAlign w:val="bottom"/>
            <w:hideMark/>
          </w:tcPr>
          <w:p w14:paraId="42302881" w14:textId="77777777" w:rsidR="00F258B7" w:rsidRPr="00667947" w:rsidRDefault="00F258B7" w:rsidP="00312E88">
            <w:pPr>
              <w:jc w:val="center"/>
              <w:rPr>
                <w:rFonts w:cs="Arial"/>
                <w:color w:val="000000"/>
                <w:sz w:val="18"/>
                <w:szCs w:val="18"/>
              </w:rPr>
            </w:pPr>
            <w:r w:rsidRPr="00667947">
              <w:rPr>
                <w:rFonts w:cs="Arial"/>
                <w:color w:val="000000"/>
                <w:sz w:val="18"/>
                <w:szCs w:val="18"/>
              </w:rPr>
              <w:t>1,600</w:t>
            </w:r>
          </w:p>
        </w:tc>
        <w:tc>
          <w:tcPr>
            <w:tcW w:w="678" w:type="pct"/>
            <w:tcBorders>
              <w:left w:val="nil"/>
              <w:right w:val="nil"/>
            </w:tcBorders>
            <w:shd w:val="clear" w:color="auto" w:fill="FFFFFF" w:themeFill="background1"/>
            <w:noWrap/>
            <w:vAlign w:val="bottom"/>
            <w:hideMark/>
          </w:tcPr>
          <w:p w14:paraId="4C8EBC8C" w14:textId="77777777" w:rsidR="00F258B7" w:rsidRPr="00667947" w:rsidRDefault="00F258B7" w:rsidP="00312E88">
            <w:pPr>
              <w:jc w:val="center"/>
              <w:rPr>
                <w:rFonts w:cs="Arial"/>
                <w:color w:val="000000"/>
                <w:sz w:val="18"/>
                <w:szCs w:val="18"/>
              </w:rPr>
            </w:pPr>
            <w:r w:rsidRPr="00667947">
              <w:rPr>
                <w:rFonts w:cs="Arial"/>
                <w:color w:val="000000"/>
                <w:sz w:val="18"/>
                <w:szCs w:val="18"/>
              </w:rPr>
              <w:t>1,800</w:t>
            </w:r>
          </w:p>
        </w:tc>
        <w:tc>
          <w:tcPr>
            <w:tcW w:w="678" w:type="pct"/>
            <w:tcBorders>
              <w:left w:val="nil"/>
              <w:right w:val="nil"/>
            </w:tcBorders>
            <w:shd w:val="clear" w:color="auto" w:fill="FFFFFF" w:themeFill="background1"/>
            <w:noWrap/>
            <w:vAlign w:val="bottom"/>
            <w:hideMark/>
          </w:tcPr>
          <w:p w14:paraId="1AE41EFA" w14:textId="77777777" w:rsidR="00F258B7" w:rsidRPr="00667947" w:rsidRDefault="00F258B7" w:rsidP="00312E88">
            <w:pPr>
              <w:jc w:val="center"/>
              <w:rPr>
                <w:rFonts w:cs="Arial"/>
                <w:color w:val="000000"/>
                <w:sz w:val="18"/>
                <w:szCs w:val="18"/>
              </w:rPr>
            </w:pPr>
            <w:r w:rsidRPr="00667947">
              <w:rPr>
                <w:rFonts w:cs="Arial"/>
                <w:color w:val="000000"/>
                <w:sz w:val="18"/>
                <w:szCs w:val="18"/>
              </w:rPr>
              <w:t>2,000</w:t>
            </w:r>
          </w:p>
        </w:tc>
        <w:tc>
          <w:tcPr>
            <w:tcW w:w="678" w:type="pct"/>
            <w:tcBorders>
              <w:left w:val="nil"/>
              <w:right w:val="single" w:sz="4" w:space="0" w:color="auto"/>
            </w:tcBorders>
            <w:shd w:val="clear" w:color="auto" w:fill="FFFFFF" w:themeFill="background1"/>
            <w:noWrap/>
            <w:vAlign w:val="bottom"/>
            <w:hideMark/>
          </w:tcPr>
          <w:p w14:paraId="3C8527AD" w14:textId="77777777" w:rsidR="00F258B7" w:rsidRPr="00667947" w:rsidRDefault="00F258B7" w:rsidP="00312E88">
            <w:pPr>
              <w:jc w:val="center"/>
              <w:rPr>
                <w:rFonts w:cs="Arial"/>
                <w:color w:val="000000"/>
                <w:sz w:val="18"/>
                <w:szCs w:val="18"/>
              </w:rPr>
            </w:pPr>
            <w:r w:rsidRPr="00667947">
              <w:rPr>
                <w:rFonts w:cs="Arial"/>
                <w:color w:val="000000"/>
                <w:sz w:val="18"/>
                <w:szCs w:val="18"/>
              </w:rPr>
              <w:t>700</w:t>
            </w:r>
          </w:p>
        </w:tc>
      </w:tr>
      <w:tr w:rsidR="00F258B7" w:rsidRPr="00667947" w14:paraId="44B0EF3D" w14:textId="77777777" w:rsidTr="00E003C0">
        <w:trPr>
          <w:trHeight w:hRule="exact" w:val="301"/>
        </w:trPr>
        <w:tc>
          <w:tcPr>
            <w:tcW w:w="1610" w:type="pct"/>
            <w:tcBorders>
              <w:left w:val="single" w:sz="4" w:space="0" w:color="auto"/>
              <w:right w:val="single" w:sz="4" w:space="0" w:color="auto"/>
            </w:tcBorders>
            <w:shd w:val="clear" w:color="auto" w:fill="FFFFFF" w:themeFill="background1"/>
            <w:noWrap/>
            <w:vAlign w:val="bottom"/>
            <w:hideMark/>
          </w:tcPr>
          <w:p w14:paraId="21DB826F" w14:textId="77777777" w:rsidR="00F258B7" w:rsidRPr="00667947" w:rsidRDefault="00F258B7" w:rsidP="00312E88">
            <w:pPr>
              <w:rPr>
                <w:rFonts w:cs="Arial"/>
                <w:color w:val="000000"/>
                <w:sz w:val="18"/>
                <w:szCs w:val="18"/>
              </w:rPr>
            </w:pPr>
            <w:r w:rsidRPr="00667947">
              <w:rPr>
                <w:rFonts w:cs="Arial"/>
                <w:color w:val="000000"/>
                <w:sz w:val="18"/>
                <w:szCs w:val="18"/>
              </w:rPr>
              <w:t>CB Daily Activities</w:t>
            </w:r>
          </w:p>
        </w:tc>
        <w:tc>
          <w:tcPr>
            <w:tcW w:w="678" w:type="pct"/>
            <w:tcBorders>
              <w:left w:val="nil"/>
              <w:right w:val="nil"/>
            </w:tcBorders>
            <w:shd w:val="clear" w:color="auto" w:fill="FFFFFF" w:themeFill="background1"/>
            <w:noWrap/>
            <w:vAlign w:val="bottom"/>
            <w:hideMark/>
          </w:tcPr>
          <w:p w14:paraId="7D27AC58" w14:textId="77777777" w:rsidR="00F258B7" w:rsidRPr="00667947" w:rsidRDefault="00F258B7" w:rsidP="00312E88">
            <w:pPr>
              <w:jc w:val="center"/>
              <w:rPr>
                <w:rFonts w:cs="Arial"/>
                <w:color w:val="000000"/>
                <w:sz w:val="18"/>
                <w:szCs w:val="18"/>
              </w:rPr>
            </w:pPr>
            <w:r w:rsidRPr="00667947">
              <w:rPr>
                <w:rFonts w:cs="Arial"/>
                <w:color w:val="000000"/>
                <w:sz w:val="18"/>
                <w:szCs w:val="18"/>
              </w:rPr>
              <w:t>5,300</w:t>
            </w:r>
          </w:p>
        </w:tc>
        <w:tc>
          <w:tcPr>
            <w:tcW w:w="678" w:type="pct"/>
            <w:tcBorders>
              <w:left w:val="nil"/>
              <w:right w:val="nil"/>
            </w:tcBorders>
            <w:shd w:val="clear" w:color="auto" w:fill="FFFFFF" w:themeFill="background1"/>
            <w:noWrap/>
            <w:vAlign w:val="bottom"/>
            <w:hideMark/>
          </w:tcPr>
          <w:p w14:paraId="760BABDE" w14:textId="77777777" w:rsidR="00F258B7" w:rsidRPr="00667947" w:rsidRDefault="00F258B7" w:rsidP="00312E88">
            <w:pPr>
              <w:jc w:val="center"/>
              <w:rPr>
                <w:rFonts w:cs="Arial"/>
                <w:color w:val="000000"/>
                <w:sz w:val="18"/>
                <w:szCs w:val="18"/>
              </w:rPr>
            </w:pPr>
            <w:r w:rsidRPr="00667947">
              <w:rPr>
                <w:rFonts w:cs="Arial"/>
                <w:color w:val="000000"/>
                <w:sz w:val="18"/>
                <w:szCs w:val="18"/>
              </w:rPr>
              <w:t>5,700</w:t>
            </w:r>
          </w:p>
        </w:tc>
        <w:tc>
          <w:tcPr>
            <w:tcW w:w="678" w:type="pct"/>
            <w:tcBorders>
              <w:left w:val="nil"/>
              <w:right w:val="nil"/>
            </w:tcBorders>
            <w:shd w:val="clear" w:color="auto" w:fill="FFFFFF" w:themeFill="background1"/>
            <w:noWrap/>
            <w:vAlign w:val="bottom"/>
            <w:hideMark/>
          </w:tcPr>
          <w:p w14:paraId="38CD6640" w14:textId="77777777" w:rsidR="00F258B7" w:rsidRPr="00667947" w:rsidRDefault="00F258B7" w:rsidP="00312E88">
            <w:pPr>
              <w:jc w:val="center"/>
              <w:rPr>
                <w:rFonts w:cs="Arial"/>
                <w:color w:val="000000"/>
                <w:sz w:val="18"/>
                <w:szCs w:val="18"/>
              </w:rPr>
            </w:pPr>
            <w:r w:rsidRPr="00667947">
              <w:rPr>
                <w:rFonts w:cs="Arial"/>
                <w:color w:val="000000"/>
                <w:sz w:val="18"/>
                <w:szCs w:val="18"/>
              </w:rPr>
              <w:t>6,200</w:t>
            </w:r>
          </w:p>
        </w:tc>
        <w:tc>
          <w:tcPr>
            <w:tcW w:w="678" w:type="pct"/>
            <w:tcBorders>
              <w:left w:val="nil"/>
              <w:right w:val="nil"/>
            </w:tcBorders>
            <w:shd w:val="clear" w:color="auto" w:fill="FFFFFF" w:themeFill="background1"/>
            <w:noWrap/>
            <w:vAlign w:val="bottom"/>
            <w:hideMark/>
          </w:tcPr>
          <w:p w14:paraId="3AD86FCE" w14:textId="77777777" w:rsidR="00F258B7" w:rsidRPr="00667947" w:rsidRDefault="00F258B7" w:rsidP="00312E88">
            <w:pPr>
              <w:jc w:val="center"/>
              <w:rPr>
                <w:rFonts w:cs="Arial"/>
                <w:color w:val="000000"/>
                <w:sz w:val="18"/>
                <w:szCs w:val="18"/>
              </w:rPr>
            </w:pPr>
            <w:r w:rsidRPr="00667947">
              <w:rPr>
                <w:rFonts w:cs="Arial"/>
                <w:color w:val="000000"/>
                <w:sz w:val="18"/>
                <w:szCs w:val="18"/>
              </w:rPr>
              <w:t>7,100</w:t>
            </w:r>
          </w:p>
        </w:tc>
        <w:tc>
          <w:tcPr>
            <w:tcW w:w="678" w:type="pct"/>
            <w:tcBorders>
              <w:left w:val="nil"/>
              <w:right w:val="single" w:sz="4" w:space="0" w:color="auto"/>
            </w:tcBorders>
            <w:shd w:val="clear" w:color="auto" w:fill="FFFFFF" w:themeFill="background1"/>
            <w:noWrap/>
            <w:vAlign w:val="bottom"/>
            <w:hideMark/>
          </w:tcPr>
          <w:p w14:paraId="1C46016A" w14:textId="77777777" w:rsidR="00F258B7" w:rsidRPr="00667947" w:rsidRDefault="00F258B7" w:rsidP="00312E88">
            <w:pPr>
              <w:jc w:val="center"/>
              <w:rPr>
                <w:rFonts w:cs="Arial"/>
                <w:color w:val="000000"/>
                <w:sz w:val="18"/>
                <w:szCs w:val="18"/>
              </w:rPr>
            </w:pPr>
            <w:r w:rsidRPr="00667947">
              <w:rPr>
                <w:rFonts w:cs="Arial"/>
                <w:color w:val="000000"/>
                <w:sz w:val="18"/>
                <w:szCs w:val="18"/>
              </w:rPr>
              <w:t>8,100</w:t>
            </w:r>
          </w:p>
        </w:tc>
      </w:tr>
      <w:tr w:rsidR="00F258B7" w:rsidRPr="00667947" w14:paraId="486019EC" w14:textId="77777777" w:rsidTr="00E003C0">
        <w:trPr>
          <w:trHeight w:hRule="exact" w:val="301"/>
        </w:trPr>
        <w:tc>
          <w:tcPr>
            <w:tcW w:w="1610" w:type="pct"/>
            <w:tcBorders>
              <w:left w:val="single" w:sz="4" w:space="0" w:color="auto"/>
              <w:right w:val="single" w:sz="4" w:space="0" w:color="auto"/>
            </w:tcBorders>
            <w:shd w:val="clear" w:color="auto" w:fill="FFFFFF" w:themeFill="background1"/>
            <w:noWrap/>
            <w:vAlign w:val="bottom"/>
            <w:hideMark/>
          </w:tcPr>
          <w:p w14:paraId="52D6C5AF" w14:textId="77777777" w:rsidR="00F258B7" w:rsidRPr="00667947" w:rsidRDefault="00F258B7" w:rsidP="00312E88">
            <w:pPr>
              <w:rPr>
                <w:rFonts w:cs="Arial"/>
                <w:color w:val="000000"/>
                <w:sz w:val="18"/>
                <w:szCs w:val="18"/>
              </w:rPr>
            </w:pPr>
            <w:r w:rsidRPr="00667947">
              <w:rPr>
                <w:rFonts w:cs="Arial"/>
                <w:color w:val="000000"/>
                <w:sz w:val="18"/>
                <w:szCs w:val="18"/>
              </w:rPr>
              <w:t>CB Employment</w:t>
            </w:r>
          </w:p>
        </w:tc>
        <w:tc>
          <w:tcPr>
            <w:tcW w:w="678" w:type="pct"/>
            <w:tcBorders>
              <w:left w:val="nil"/>
              <w:right w:val="nil"/>
            </w:tcBorders>
            <w:shd w:val="clear" w:color="auto" w:fill="FFFFFF" w:themeFill="background1"/>
            <w:noWrap/>
            <w:vAlign w:val="bottom"/>
            <w:hideMark/>
          </w:tcPr>
          <w:p w14:paraId="146AB234" w14:textId="77777777" w:rsidR="00F258B7" w:rsidRPr="00667947" w:rsidRDefault="00F258B7" w:rsidP="00312E88">
            <w:pPr>
              <w:jc w:val="center"/>
              <w:rPr>
                <w:rFonts w:cs="Arial"/>
                <w:color w:val="000000"/>
                <w:sz w:val="18"/>
                <w:szCs w:val="18"/>
              </w:rPr>
            </w:pPr>
            <w:r w:rsidRPr="00667947">
              <w:rPr>
                <w:rFonts w:cs="Arial"/>
                <w:color w:val="000000"/>
                <w:sz w:val="18"/>
                <w:szCs w:val="18"/>
              </w:rPr>
              <w:t>1,500</w:t>
            </w:r>
          </w:p>
        </w:tc>
        <w:tc>
          <w:tcPr>
            <w:tcW w:w="678" w:type="pct"/>
            <w:tcBorders>
              <w:left w:val="nil"/>
              <w:right w:val="nil"/>
            </w:tcBorders>
            <w:shd w:val="clear" w:color="auto" w:fill="FFFFFF" w:themeFill="background1"/>
            <w:noWrap/>
            <w:vAlign w:val="bottom"/>
            <w:hideMark/>
          </w:tcPr>
          <w:p w14:paraId="5C433062" w14:textId="77777777" w:rsidR="00F258B7" w:rsidRPr="00667947" w:rsidRDefault="00F258B7" w:rsidP="00312E88">
            <w:pPr>
              <w:jc w:val="center"/>
              <w:rPr>
                <w:rFonts w:cs="Arial"/>
                <w:color w:val="000000"/>
                <w:sz w:val="18"/>
                <w:szCs w:val="18"/>
              </w:rPr>
            </w:pPr>
            <w:r w:rsidRPr="00667947">
              <w:rPr>
                <w:rFonts w:cs="Arial"/>
                <w:color w:val="000000"/>
                <w:sz w:val="18"/>
                <w:szCs w:val="18"/>
              </w:rPr>
              <w:t>1,000</w:t>
            </w:r>
          </w:p>
        </w:tc>
        <w:tc>
          <w:tcPr>
            <w:tcW w:w="678" w:type="pct"/>
            <w:tcBorders>
              <w:left w:val="nil"/>
              <w:right w:val="nil"/>
            </w:tcBorders>
            <w:shd w:val="clear" w:color="auto" w:fill="FFFFFF" w:themeFill="background1"/>
            <w:noWrap/>
            <w:vAlign w:val="bottom"/>
            <w:hideMark/>
          </w:tcPr>
          <w:p w14:paraId="18A401FC" w14:textId="77777777" w:rsidR="00F258B7" w:rsidRPr="00667947" w:rsidRDefault="00F258B7" w:rsidP="00312E88">
            <w:pPr>
              <w:jc w:val="center"/>
              <w:rPr>
                <w:rFonts w:cs="Arial"/>
                <w:color w:val="000000"/>
                <w:sz w:val="18"/>
                <w:szCs w:val="18"/>
              </w:rPr>
            </w:pPr>
            <w:r w:rsidRPr="00667947">
              <w:rPr>
                <w:rFonts w:cs="Arial"/>
                <w:color w:val="000000"/>
                <w:sz w:val="18"/>
                <w:szCs w:val="18"/>
              </w:rPr>
              <w:t>800</w:t>
            </w:r>
          </w:p>
        </w:tc>
        <w:tc>
          <w:tcPr>
            <w:tcW w:w="678" w:type="pct"/>
            <w:tcBorders>
              <w:left w:val="nil"/>
              <w:right w:val="nil"/>
            </w:tcBorders>
            <w:shd w:val="clear" w:color="auto" w:fill="FFFFFF" w:themeFill="background1"/>
            <w:noWrap/>
            <w:vAlign w:val="bottom"/>
            <w:hideMark/>
          </w:tcPr>
          <w:p w14:paraId="66ECE6FA" w14:textId="77777777" w:rsidR="00F258B7" w:rsidRPr="00667947" w:rsidRDefault="00F258B7" w:rsidP="00312E88">
            <w:pPr>
              <w:jc w:val="center"/>
              <w:rPr>
                <w:rFonts w:cs="Arial"/>
                <w:color w:val="000000"/>
                <w:sz w:val="18"/>
                <w:szCs w:val="18"/>
              </w:rPr>
            </w:pPr>
            <w:r w:rsidRPr="00667947">
              <w:rPr>
                <w:rFonts w:cs="Arial"/>
                <w:color w:val="000000"/>
                <w:sz w:val="18"/>
                <w:szCs w:val="18"/>
              </w:rPr>
              <w:t>600</w:t>
            </w:r>
          </w:p>
        </w:tc>
        <w:tc>
          <w:tcPr>
            <w:tcW w:w="678" w:type="pct"/>
            <w:tcBorders>
              <w:left w:val="nil"/>
              <w:right w:val="single" w:sz="4" w:space="0" w:color="auto"/>
            </w:tcBorders>
            <w:shd w:val="clear" w:color="auto" w:fill="FFFFFF" w:themeFill="background1"/>
            <w:noWrap/>
            <w:vAlign w:val="bottom"/>
            <w:hideMark/>
          </w:tcPr>
          <w:p w14:paraId="2965FB22" w14:textId="77777777" w:rsidR="00F258B7" w:rsidRPr="00667947" w:rsidRDefault="00F258B7" w:rsidP="00312E88">
            <w:pPr>
              <w:jc w:val="center"/>
              <w:rPr>
                <w:rFonts w:cs="Arial"/>
                <w:color w:val="000000"/>
                <w:sz w:val="18"/>
                <w:szCs w:val="18"/>
              </w:rPr>
            </w:pPr>
            <w:r w:rsidRPr="00667947">
              <w:rPr>
                <w:rFonts w:cs="Arial"/>
                <w:color w:val="000000"/>
                <w:sz w:val="18"/>
                <w:szCs w:val="18"/>
              </w:rPr>
              <w:t>1,000</w:t>
            </w:r>
          </w:p>
        </w:tc>
      </w:tr>
      <w:tr w:rsidR="00F258B7" w:rsidRPr="00667947" w14:paraId="74A07FE2" w14:textId="77777777" w:rsidTr="00E003C0">
        <w:trPr>
          <w:trHeight w:hRule="exact" w:val="301"/>
        </w:trPr>
        <w:tc>
          <w:tcPr>
            <w:tcW w:w="1610" w:type="pct"/>
            <w:tcBorders>
              <w:left w:val="single" w:sz="4" w:space="0" w:color="auto"/>
              <w:right w:val="single" w:sz="4" w:space="0" w:color="auto"/>
            </w:tcBorders>
            <w:shd w:val="clear" w:color="auto" w:fill="FFFFFF" w:themeFill="background1"/>
            <w:noWrap/>
            <w:vAlign w:val="bottom"/>
            <w:hideMark/>
          </w:tcPr>
          <w:p w14:paraId="29CF5305" w14:textId="77777777" w:rsidR="00F258B7" w:rsidRPr="00667947" w:rsidRDefault="00F258B7" w:rsidP="00312E88">
            <w:pPr>
              <w:rPr>
                <w:rFonts w:cs="Arial"/>
                <w:color w:val="000000"/>
                <w:sz w:val="18"/>
                <w:szCs w:val="18"/>
              </w:rPr>
            </w:pPr>
            <w:r w:rsidRPr="00667947">
              <w:rPr>
                <w:rFonts w:cs="Arial"/>
                <w:color w:val="000000"/>
                <w:sz w:val="18"/>
                <w:szCs w:val="18"/>
              </w:rPr>
              <w:t>Support Coordination</w:t>
            </w:r>
          </w:p>
        </w:tc>
        <w:tc>
          <w:tcPr>
            <w:tcW w:w="678" w:type="pct"/>
            <w:tcBorders>
              <w:left w:val="nil"/>
              <w:right w:val="nil"/>
            </w:tcBorders>
            <w:shd w:val="clear" w:color="auto" w:fill="FFFFFF" w:themeFill="background1"/>
            <w:noWrap/>
            <w:vAlign w:val="bottom"/>
            <w:hideMark/>
          </w:tcPr>
          <w:p w14:paraId="11B0A9F5" w14:textId="77777777" w:rsidR="00F258B7" w:rsidRPr="00667947" w:rsidRDefault="00F258B7" w:rsidP="00312E88">
            <w:pPr>
              <w:jc w:val="center"/>
              <w:rPr>
                <w:rFonts w:cs="Arial"/>
                <w:color w:val="000000"/>
                <w:sz w:val="18"/>
                <w:szCs w:val="18"/>
              </w:rPr>
            </w:pPr>
            <w:r w:rsidRPr="00667947">
              <w:rPr>
                <w:rFonts w:cs="Arial"/>
                <w:color w:val="000000"/>
                <w:sz w:val="18"/>
                <w:szCs w:val="18"/>
              </w:rPr>
              <w:t>3,400</w:t>
            </w:r>
          </w:p>
        </w:tc>
        <w:tc>
          <w:tcPr>
            <w:tcW w:w="678" w:type="pct"/>
            <w:tcBorders>
              <w:left w:val="nil"/>
              <w:right w:val="nil"/>
            </w:tcBorders>
            <w:shd w:val="clear" w:color="auto" w:fill="FFFFFF" w:themeFill="background1"/>
            <w:noWrap/>
            <w:vAlign w:val="bottom"/>
            <w:hideMark/>
          </w:tcPr>
          <w:p w14:paraId="4174C5E4" w14:textId="77777777" w:rsidR="00F258B7" w:rsidRPr="00667947" w:rsidRDefault="00F258B7" w:rsidP="00312E88">
            <w:pPr>
              <w:jc w:val="center"/>
              <w:rPr>
                <w:rFonts w:cs="Arial"/>
                <w:color w:val="000000"/>
                <w:sz w:val="18"/>
                <w:szCs w:val="18"/>
              </w:rPr>
            </w:pPr>
            <w:r w:rsidRPr="00667947">
              <w:rPr>
                <w:rFonts w:cs="Arial"/>
                <w:color w:val="000000"/>
                <w:sz w:val="18"/>
                <w:szCs w:val="18"/>
              </w:rPr>
              <w:t>3,500</w:t>
            </w:r>
          </w:p>
        </w:tc>
        <w:tc>
          <w:tcPr>
            <w:tcW w:w="678" w:type="pct"/>
            <w:tcBorders>
              <w:left w:val="nil"/>
              <w:right w:val="nil"/>
            </w:tcBorders>
            <w:shd w:val="clear" w:color="auto" w:fill="FFFFFF" w:themeFill="background1"/>
            <w:noWrap/>
            <w:vAlign w:val="bottom"/>
            <w:hideMark/>
          </w:tcPr>
          <w:p w14:paraId="37D883E9" w14:textId="77777777" w:rsidR="00F258B7" w:rsidRPr="00667947" w:rsidRDefault="00F258B7" w:rsidP="00312E88">
            <w:pPr>
              <w:jc w:val="center"/>
              <w:rPr>
                <w:rFonts w:cs="Arial"/>
                <w:color w:val="000000"/>
                <w:sz w:val="18"/>
                <w:szCs w:val="18"/>
              </w:rPr>
            </w:pPr>
            <w:r w:rsidRPr="00667947">
              <w:rPr>
                <w:rFonts w:cs="Arial"/>
                <w:color w:val="000000"/>
                <w:sz w:val="18"/>
                <w:szCs w:val="18"/>
              </w:rPr>
              <w:t>3,400</w:t>
            </w:r>
          </w:p>
        </w:tc>
        <w:tc>
          <w:tcPr>
            <w:tcW w:w="678" w:type="pct"/>
            <w:tcBorders>
              <w:left w:val="nil"/>
              <w:right w:val="nil"/>
            </w:tcBorders>
            <w:shd w:val="clear" w:color="auto" w:fill="FFFFFF" w:themeFill="background1"/>
            <w:noWrap/>
            <w:vAlign w:val="bottom"/>
            <w:hideMark/>
          </w:tcPr>
          <w:p w14:paraId="08495172" w14:textId="77777777" w:rsidR="00F258B7" w:rsidRPr="00667947" w:rsidRDefault="00F258B7" w:rsidP="00312E88">
            <w:pPr>
              <w:jc w:val="center"/>
              <w:rPr>
                <w:rFonts w:cs="Arial"/>
                <w:color w:val="000000"/>
                <w:sz w:val="18"/>
                <w:szCs w:val="18"/>
              </w:rPr>
            </w:pPr>
            <w:r w:rsidRPr="00667947">
              <w:rPr>
                <w:rFonts w:cs="Arial"/>
                <w:color w:val="000000"/>
                <w:sz w:val="18"/>
                <w:szCs w:val="18"/>
              </w:rPr>
              <w:t>3,500</w:t>
            </w:r>
          </w:p>
        </w:tc>
        <w:tc>
          <w:tcPr>
            <w:tcW w:w="678" w:type="pct"/>
            <w:tcBorders>
              <w:left w:val="nil"/>
              <w:right w:val="single" w:sz="4" w:space="0" w:color="auto"/>
            </w:tcBorders>
            <w:shd w:val="clear" w:color="auto" w:fill="FFFFFF" w:themeFill="background1"/>
            <w:noWrap/>
            <w:vAlign w:val="bottom"/>
            <w:hideMark/>
          </w:tcPr>
          <w:p w14:paraId="7FC6470B" w14:textId="77777777" w:rsidR="00F258B7" w:rsidRPr="00667947" w:rsidRDefault="00F258B7" w:rsidP="00312E88">
            <w:pPr>
              <w:jc w:val="center"/>
              <w:rPr>
                <w:rFonts w:cs="Arial"/>
                <w:color w:val="000000"/>
                <w:sz w:val="18"/>
                <w:szCs w:val="18"/>
              </w:rPr>
            </w:pPr>
            <w:r w:rsidRPr="00667947">
              <w:rPr>
                <w:rFonts w:cs="Arial"/>
                <w:color w:val="000000"/>
                <w:sz w:val="18"/>
                <w:szCs w:val="18"/>
              </w:rPr>
              <w:t>1,900</w:t>
            </w:r>
          </w:p>
        </w:tc>
      </w:tr>
      <w:tr w:rsidR="00F258B7" w:rsidRPr="00667947" w14:paraId="6E039B93" w14:textId="77777777" w:rsidTr="00E003C0">
        <w:trPr>
          <w:trHeight w:hRule="exact" w:val="301"/>
        </w:trPr>
        <w:tc>
          <w:tcPr>
            <w:tcW w:w="1610" w:type="pct"/>
            <w:tcBorders>
              <w:left w:val="single" w:sz="4" w:space="0" w:color="auto"/>
              <w:bottom w:val="single" w:sz="4" w:space="0" w:color="auto"/>
              <w:right w:val="single" w:sz="4" w:space="0" w:color="auto"/>
            </w:tcBorders>
            <w:shd w:val="clear" w:color="auto" w:fill="FFFFFF" w:themeFill="background1"/>
            <w:noWrap/>
            <w:vAlign w:val="bottom"/>
            <w:hideMark/>
          </w:tcPr>
          <w:p w14:paraId="4C56E9ED" w14:textId="77777777" w:rsidR="00F258B7" w:rsidRPr="00667947" w:rsidRDefault="00F258B7" w:rsidP="00312E88">
            <w:pPr>
              <w:rPr>
                <w:rFonts w:cs="Arial"/>
                <w:color w:val="000000"/>
                <w:sz w:val="18"/>
                <w:szCs w:val="18"/>
              </w:rPr>
            </w:pPr>
            <w:r w:rsidRPr="00667947">
              <w:rPr>
                <w:rFonts w:cs="Arial"/>
                <w:color w:val="000000"/>
                <w:sz w:val="18"/>
                <w:szCs w:val="18"/>
              </w:rPr>
              <w:t>Remaining CB</w:t>
            </w:r>
          </w:p>
        </w:tc>
        <w:tc>
          <w:tcPr>
            <w:tcW w:w="678" w:type="pct"/>
            <w:tcBorders>
              <w:left w:val="nil"/>
              <w:bottom w:val="single" w:sz="4" w:space="0" w:color="auto"/>
              <w:right w:val="nil"/>
            </w:tcBorders>
            <w:shd w:val="clear" w:color="auto" w:fill="FFFFFF" w:themeFill="background1"/>
            <w:noWrap/>
            <w:vAlign w:val="bottom"/>
            <w:hideMark/>
          </w:tcPr>
          <w:p w14:paraId="3D59076F" w14:textId="77777777" w:rsidR="00F258B7" w:rsidRPr="00667947" w:rsidRDefault="00F258B7" w:rsidP="00312E88">
            <w:pPr>
              <w:jc w:val="center"/>
              <w:rPr>
                <w:rFonts w:cs="Arial"/>
                <w:color w:val="000000"/>
                <w:sz w:val="18"/>
                <w:szCs w:val="18"/>
              </w:rPr>
            </w:pPr>
            <w:r>
              <w:rPr>
                <w:rFonts w:cs="Arial"/>
                <w:color w:val="000000"/>
                <w:sz w:val="18"/>
                <w:szCs w:val="18"/>
              </w:rPr>
              <w:t>2,400</w:t>
            </w:r>
          </w:p>
        </w:tc>
        <w:tc>
          <w:tcPr>
            <w:tcW w:w="678" w:type="pct"/>
            <w:tcBorders>
              <w:left w:val="nil"/>
              <w:bottom w:val="single" w:sz="4" w:space="0" w:color="auto"/>
              <w:right w:val="nil"/>
            </w:tcBorders>
            <w:shd w:val="clear" w:color="auto" w:fill="FFFFFF" w:themeFill="background1"/>
            <w:noWrap/>
            <w:vAlign w:val="bottom"/>
            <w:hideMark/>
          </w:tcPr>
          <w:p w14:paraId="1B7EFB1A" w14:textId="77777777" w:rsidR="00F258B7" w:rsidRPr="00667947" w:rsidRDefault="00F258B7" w:rsidP="00312E88">
            <w:pPr>
              <w:jc w:val="center"/>
              <w:rPr>
                <w:rFonts w:cs="Arial"/>
                <w:color w:val="000000"/>
                <w:sz w:val="18"/>
                <w:szCs w:val="18"/>
              </w:rPr>
            </w:pPr>
            <w:r>
              <w:rPr>
                <w:rFonts w:cs="Arial"/>
                <w:color w:val="000000"/>
                <w:sz w:val="18"/>
                <w:szCs w:val="18"/>
              </w:rPr>
              <w:t>2,300</w:t>
            </w:r>
          </w:p>
        </w:tc>
        <w:tc>
          <w:tcPr>
            <w:tcW w:w="678" w:type="pct"/>
            <w:tcBorders>
              <w:left w:val="nil"/>
              <w:bottom w:val="single" w:sz="4" w:space="0" w:color="auto"/>
              <w:right w:val="nil"/>
            </w:tcBorders>
            <w:shd w:val="clear" w:color="auto" w:fill="FFFFFF" w:themeFill="background1"/>
            <w:noWrap/>
            <w:vAlign w:val="bottom"/>
            <w:hideMark/>
          </w:tcPr>
          <w:p w14:paraId="7173DCC0" w14:textId="77777777" w:rsidR="00F258B7" w:rsidRPr="00667947" w:rsidRDefault="00F258B7" w:rsidP="00312E88">
            <w:pPr>
              <w:jc w:val="center"/>
              <w:rPr>
                <w:rFonts w:cs="Arial"/>
                <w:color w:val="000000"/>
                <w:sz w:val="18"/>
                <w:szCs w:val="18"/>
              </w:rPr>
            </w:pPr>
            <w:r>
              <w:rPr>
                <w:rFonts w:cs="Arial"/>
                <w:color w:val="000000"/>
                <w:sz w:val="18"/>
                <w:szCs w:val="18"/>
              </w:rPr>
              <w:t>2,100</w:t>
            </w:r>
          </w:p>
        </w:tc>
        <w:tc>
          <w:tcPr>
            <w:tcW w:w="678" w:type="pct"/>
            <w:tcBorders>
              <w:left w:val="nil"/>
              <w:bottom w:val="single" w:sz="4" w:space="0" w:color="auto"/>
              <w:right w:val="nil"/>
            </w:tcBorders>
            <w:shd w:val="clear" w:color="auto" w:fill="FFFFFF" w:themeFill="background1"/>
            <w:noWrap/>
            <w:vAlign w:val="bottom"/>
            <w:hideMark/>
          </w:tcPr>
          <w:p w14:paraId="04E89675" w14:textId="77777777" w:rsidR="00F258B7" w:rsidRPr="00667947" w:rsidRDefault="00F258B7" w:rsidP="00312E88">
            <w:pPr>
              <w:jc w:val="center"/>
              <w:rPr>
                <w:rFonts w:cs="Arial"/>
                <w:color w:val="000000"/>
                <w:sz w:val="18"/>
                <w:szCs w:val="18"/>
              </w:rPr>
            </w:pPr>
            <w:r>
              <w:rPr>
                <w:rFonts w:cs="Arial"/>
                <w:color w:val="000000"/>
                <w:sz w:val="18"/>
                <w:szCs w:val="18"/>
              </w:rPr>
              <w:t>2,200</w:t>
            </w:r>
          </w:p>
        </w:tc>
        <w:tc>
          <w:tcPr>
            <w:tcW w:w="678" w:type="pct"/>
            <w:tcBorders>
              <w:left w:val="nil"/>
              <w:bottom w:val="single" w:sz="4" w:space="0" w:color="auto"/>
              <w:right w:val="single" w:sz="4" w:space="0" w:color="auto"/>
            </w:tcBorders>
            <w:shd w:val="clear" w:color="auto" w:fill="FFFFFF" w:themeFill="background1"/>
            <w:noWrap/>
            <w:vAlign w:val="bottom"/>
            <w:hideMark/>
          </w:tcPr>
          <w:p w14:paraId="69E0BEC6" w14:textId="77777777" w:rsidR="00F258B7" w:rsidRPr="00667947" w:rsidRDefault="00F258B7" w:rsidP="00312E88">
            <w:pPr>
              <w:jc w:val="center"/>
              <w:rPr>
                <w:rFonts w:cs="Arial"/>
                <w:color w:val="000000"/>
                <w:sz w:val="18"/>
                <w:szCs w:val="18"/>
              </w:rPr>
            </w:pPr>
            <w:r>
              <w:rPr>
                <w:rFonts w:cs="Arial"/>
                <w:color w:val="000000"/>
                <w:sz w:val="18"/>
                <w:szCs w:val="18"/>
              </w:rPr>
              <w:t>2,000</w:t>
            </w:r>
          </w:p>
        </w:tc>
      </w:tr>
      <w:tr w:rsidR="00F258B7" w:rsidRPr="00667947" w14:paraId="0E2E3940" w14:textId="77777777" w:rsidTr="00F258B7">
        <w:trPr>
          <w:trHeight w:hRule="exact" w:val="301"/>
        </w:trPr>
        <w:tc>
          <w:tcPr>
            <w:tcW w:w="1610" w:type="pct"/>
            <w:tcBorders>
              <w:top w:val="single" w:sz="4" w:space="0" w:color="auto"/>
              <w:left w:val="single" w:sz="4" w:space="0" w:color="auto"/>
              <w:bottom w:val="single" w:sz="4" w:space="0" w:color="auto"/>
              <w:right w:val="single" w:sz="4" w:space="0" w:color="auto"/>
            </w:tcBorders>
            <w:shd w:val="clear" w:color="000000" w:fill="F7EEF7"/>
            <w:noWrap/>
            <w:vAlign w:val="bottom"/>
            <w:hideMark/>
          </w:tcPr>
          <w:p w14:paraId="1B745AF4" w14:textId="77777777" w:rsidR="00F258B7" w:rsidRPr="00667947" w:rsidRDefault="00F258B7" w:rsidP="00312E88">
            <w:pPr>
              <w:rPr>
                <w:rFonts w:cs="Arial"/>
                <w:b/>
                <w:bCs/>
                <w:color w:val="000000"/>
                <w:sz w:val="18"/>
                <w:szCs w:val="18"/>
              </w:rPr>
            </w:pPr>
            <w:r w:rsidRPr="00667947">
              <w:rPr>
                <w:rFonts w:cs="Arial"/>
                <w:b/>
                <w:bCs/>
                <w:color w:val="000000"/>
                <w:sz w:val="18"/>
                <w:szCs w:val="18"/>
              </w:rPr>
              <w:t>Total</w:t>
            </w:r>
          </w:p>
        </w:tc>
        <w:tc>
          <w:tcPr>
            <w:tcW w:w="678" w:type="pct"/>
            <w:tcBorders>
              <w:top w:val="single" w:sz="4" w:space="0" w:color="auto"/>
              <w:left w:val="nil"/>
              <w:bottom w:val="single" w:sz="4" w:space="0" w:color="auto"/>
              <w:right w:val="nil"/>
            </w:tcBorders>
            <w:shd w:val="clear" w:color="000000" w:fill="F7EEF7"/>
            <w:noWrap/>
            <w:vAlign w:val="bottom"/>
            <w:hideMark/>
          </w:tcPr>
          <w:p w14:paraId="59D2028E" w14:textId="77777777" w:rsidR="00F258B7" w:rsidRPr="00667947" w:rsidRDefault="00F258B7" w:rsidP="00312E88">
            <w:pPr>
              <w:jc w:val="center"/>
              <w:rPr>
                <w:rFonts w:cs="Arial"/>
                <w:b/>
                <w:bCs/>
                <w:color w:val="000000"/>
                <w:sz w:val="18"/>
                <w:szCs w:val="18"/>
              </w:rPr>
            </w:pPr>
            <w:r>
              <w:rPr>
                <w:rFonts w:cs="Arial"/>
                <w:b/>
                <w:bCs/>
                <w:color w:val="000000"/>
                <w:sz w:val="18"/>
                <w:szCs w:val="18"/>
              </w:rPr>
              <w:t>104,300</w:t>
            </w:r>
          </w:p>
        </w:tc>
        <w:tc>
          <w:tcPr>
            <w:tcW w:w="678" w:type="pct"/>
            <w:tcBorders>
              <w:top w:val="single" w:sz="4" w:space="0" w:color="auto"/>
              <w:left w:val="nil"/>
              <w:bottom w:val="single" w:sz="4" w:space="0" w:color="auto"/>
              <w:right w:val="nil"/>
            </w:tcBorders>
            <w:shd w:val="clear" w:color="000000" w:fill="F7EEF7"/>
            <w:noWrap/>
            <w:vAlign w:val="bottom"/>
            <w:hideMark/>
          </w:tcPr>
          <w:p w14:paraId="68B8D91A" w14:textId="77777777" w:rsidR="00F258B7" w:rsidRPr="00667947" w:rsidRDefault="00F258B7" w:rsidP="00312E88">
            <w:pPr>
              <w:jc w:val="center"/>
              <w:rPr>
                <w:rFonts w:cs="Arial"/>
                <w:b/>
                <w:bCs/>
                <w:color w:val="000000"/>
                <w:sz w:val="18"/>
                <w:szCs w:val="18"/>
              </w:rPr>
            </w:pPr>
            <w:r>
              <w:rPr>
                <w:rFonts w:cs="Arial"/>
                <w:b/>
                <w:bCs/>
                <w:color w:val="000000"/>
                <w:sz w:val="18"/>
                <w:szCs w:val="18"/>
              </w:rPr>
              <w:t>101,700</w:t>
            </w:r>
          </w:p>
        </w:tc>
        <w:tc>
          <w:tcPr>
            <w:tcW w:w="678" w:type="pct"/>
            <w:tcBorders>
              <w:top w:val="single" w:sz="4" w:space="0" w:color="auto"/>
              <w:left w:val="nil"/>
              <w:bottom w:val="single" w:sz="4" w:space="0" w:color="auto"/>
              <w:right w:val="nil"/>
            </w:tcBorders>
            <w:shd w:val="clear" w:color="000000" w:fill="F7EEF7"/>
            <w:noWrap/>
            <w:vAlign w:val="bottom"/>
            <w:hideMark/>
          </w:tcPr>
          <w:p w14:paraId="166D9A48" w14:textId="77777777" w:rsidR="00F258B7" w:rsidRPr="00667947" w:rsidRDefault="00F258B7" w:rsidP="00312E88">
            <w:pPr>
              <w:jc w:val="center"/>
              <w:rPr>
                <w:rFonts w:cs="Arial"/>
                <w:b/>
                <w:bCs/>
                <w:color w:val="000000"/>
                <w:sz w:val="18"/>
                <w:szCs w:val="18"/>
              </w:rPr>
            </w:pPr>
            <w:r>
              <w:rPr>
                <w:rFonts w:cs="Arial"/>
                <w:b/>
                <w:bCs/>
                <w:color w:val="000000"/>
                <w:sz w:val="18"/>
                <w:szCs w:val="18"/>
              </w:rPr>
              <w:t>100,900</w:t>
            </w:r>
          </w:p>
        </w:tc>
        <w:tc>
          <w:tcPr>
            <w:tcW w:w="678" w:type="pct"/>
            <w:tcBorders>
              <w:top w:val="single" w:sz="4" w:space="0" w:color="auto"/>
              <w:left w:val="nil"/>
              <w:bottom w:val="single" w:sz="4" w:space="0" w:color="auto"/>
              <w:right w:val="nil"/>
            </w:tcBorders>
            <w:shd w:val="clear" w:color="000000" w:fill="F7EEF7"/>
            <w:noWrap/>
            <w:vAlign w:val="bottom"/>
            <w:hideMark/>
          </w:tcPr>
          <w:p w14:paraId="05C47BD9" w14:textId="77777777" w:rsidR="00F258B7" w:rsidRPr="00667947" w:rsidRDefault="00F258B7" w:rsidP="00312E88">
            <w:pPr>
              <w:jc w:val="center"/>
              <w:rPr>
                <w:rFonts w:cs="Arial"/>
                <w:b/>
                <w:bCs/>
                <w:color w:val="000000"/>
                <w:sz w:val="18"/>
                <w:szCs w:val="18"/>
              </w:rPr>
            </w:pPr>
            <w:r>
              <w:rPr>
                <w:rFonts w:cs="Arial"/>
                <w:b/>
                <w:bCs/>
                <w:color w:val="000000"/>
                <w:sz w:val="18"/>
                <w:szCs w:val="18"/>
              </w:rPr>
              <w:t>109,200</w:t>
            </w:r>
          </w:p>
        </w:tc>
        <w:tc>
          <w:tcPr>
            <w:tcW w:w="678" w:type="pct"/>
            <w:tcBorders>
              <w:top w:val="single" w:sz="4" w:space="0" w:color="auto"/>
              <w:left w:val="nil"/>
              <w:bottom w:val="single" w:sz="4" w:space="0" w:color="auto"/>
              <w:right w:val="single" w:sz="4" w:space="0" w:color="auto"/>
            </w:tcBorders>
            <w:shd w:val="clear" w:color="000000" w:fill="F7EEF7"/>
            <w:noWrap/>
            <w:vAlign w:val="bottom"/>
            <w:hideMark/>
          </w:tcPr>
          <w:p w14:paraId="5DCFF671" w14:textId="77777777" w:rsidR="00F258B7" w:rsidRPr="00667947" w:rsidRDefault="00F258B7" w:rsidP="00312E88">
            <w:pPr>
              <w:jc w:val="center"/>
              <w:rPr>
                <w:rFonts w:cs="Arial"/>
                <w:b/>
                <w:bCs/>
                <w:color w:val="000000"/>
                <w:sz w:val="18"/>
                <w:szCs w:val="18"/>
              </w:rPr>
            </w:pPr>
            <w:r>
              <w:rPr>
                <w:rFonts w:cs="Arial"/>
                <w:b/>
                <w:bCs/>
                <w:color w:val="000000"/>
                <w:sz w:val="18"/>
                <w:szCs w:val="18"/>
              </w:rPr>
              <w:t>62,800</w:t>
            </w:r>
          </w:p>
        </w:tc>
      </w:tr>
    </w:tbl>
    <w:p w14:paraId="06AA7B6E" w14:textId="77777777" w:rsidR="00F258B7" w:rsidRPr="00D13572" w:rsidRDefault="00F258B7" w:rsidP="00D13572">
      <w:pPr>
        <w:pStyle w:val="Tables"/>
      </w:pPr>
    </w:p>
    <w:p w14:paraId="39C830B9" w14:textId="65DF7339" w:rsidR="00D13572" w:rsidRPr="00472FB3" w:rsidRDefault="00D13572" w:rsidP="00D13572">
      <w:pPr>
        <w:pStyle w:val="FSRnormal"/>
      </w:pPr>
    </w:p>
    <w:p w14:paraId="50020D03" w14:textId="4854440C" w:rsidR="00D13572" w:rsidRPr="00AE3900" w:rsidRDefault="00D13572" w:rsidP="00D13572">
      <w:pPr>
        <w:pStyle w:val="FSRnormal"/>
      </w:pPr>
    </w:p>
    <w:p w14:paraId="5658AA18" w14:textId="63802E62" w:rsidR="00836613" w:rsidRPr="00E32F5A" w:rsidRDefault="00836613" w:rsidP="00E32F5A">
      <w:pPr>
        <w:pStyle w:val="FSRnormal"/>
      </w:pPr>
    </w:p>
    <w:p w14:paraId="269561CE" w14:textId="379A3FFD" w:rsidR="00A521EC" w:rsidRDefault="00A521EC" w:rsidP="007A577A">
      <w:pPr>
        <w:pStyle w:val="Heading3"/>
      </w:pPr>
      <w:bookmarkStart w:id="232" w:name="_Toc75034648"/>
      <w:bookmarkStart w:id="233" w:name="_Toc75035705"/>
      <w:bookmarkStart w:id="234" w:name="_Toc75036694"/>
      <w:bookmarkStart w:id="235" w:name="_Toc83220852"/>
      <w:bookmarkStart w:id="236" w:name="_Toc85031263"/>
      <w:bookmarkEnd w:id="232"/>
      <w:bookmarkEnd w:id="233"/>
      <w:bookmarkEnd w:id="234"/>
      <w:r>
        <w:t>Operating expenses</w:t>
      </w:r>
      <w:bookmarkEnd w:id="235"/>
      <w:bookmarkEnd w:id="236"/>
      <w:r>
        <w:t xml:space="preserve"> </w:t>
      </w:r>
    </w:p>
    <w:p w14:paraId="06D9D474" w14:textId="10A8EEF8" w:rsidR="00475322" w:rsidRDefault="00475322" w:rsidP="007959DE">
      <w:r>
        <w:t xml:space="preserve">The Agency maintains a detailed activity-based costing of its operations. The operating </w:t>
      </w:r>
      <w:r w:rsidRPr="00D124C1">
        <w:t xml:space="preserve">expenses adopted in this AFSR are based on this internal </w:t>
      </w:r>
      <w:r>
        <w:t>model</w:t>
      </w:r>
      <w:r w:rsidRPr="00D124C1">
        <w:t>.</w:t>
      </w:r>
      <w:r w:rsidR="007959DE">
        <w:t xml:space="preserve"> </w:t>
      </w:r>
      <w:r w:rsidR="00212603">
        <w:t>I</w:t>
      </w:r>
      <w:r w:rsidR="00986DCC">
        <w:t>n 2020-21</w:t>
      </w:r>
      <w:r>
        <w:t xml:space="preserve"> actual operating expenses (at $1.5 billion) were </w:t>
      </w:r>
      <w:r w:rsidR="002420AA">
        <w:t xml:space="preserve">lower </w:t>
      </w:r>
      <w:r w:rsidR="00986DCC">
        <w:t xml:space="preserve">than budgeted in the PBS </w:t>
      </w:r>
      <w:r>
        <w:t>by $</w:t>
      </w:r>
      <w:r w:rsidR="007364FD">
        <w:t>40</w:t>
      </w:r>
      <w:r w:rsidR="002420AA">
        <w:t>.</w:t>
      </w:r>
      <w:r w:rsidR="007364FD">
        <w:t>7</w:t>
      </w:r>
      <w:r w:rsidR="002420AA">
        <w:t xml:space="preserve"> </w:t>
      </w:r>
      <w:r>
        <w:t xml:space="preserve">million, or </w:t>
      </w:r>
      <w:r w:rsidR="002420AA">
        <w:t>2.</w:t>
      </w:r>
      <w:r w:rsidR="007364FD">
        <w:t>7</w:t>
      </w:r>
      <w:r>
        <w:t>%</w:t>
      </w:r>
      <w:r w:rsidR="00986DCC">
        <w:t xml:space="preserve"> (</w:t>
      </w:r>
      <w:r w:rsidR="00986DCC" w:rsidRPr="00F258B7">
        <w:rPr>
          <w:u w:val="single"/>
        </w:rPr>
        <w:fldChar w:fldCharType="begin"/>
      </w:r>
      <w:r w:rsidR="00986DCC" w:rsidRPr="00F258B7">
        <w:rPr>
          <w:u w:val="single"/>
        </w:rPr>
        <w:instrText xml:space="preserve"> REF _Ref49161678 \h </w:instrText>
      </w:r>
      <w:r w:rsidR="00F258B7">
        <w:rPr>
          <w:u w:val="single"/>
        </w:rPr>
        <w:instrText xml:space="preserve"> \* MERGEFORMAT </w:instrText>
      </w:r>
      <w:r w:rsidR="00986DCC" w:rsidRPr="00F258B7">
        <w:rPr>
          <w:u w:val="single"/>
        </w:rPr>
      </w:r>
      <w:r w:rsidR="00986DCC" w:rsidRPr="00F258B7">
        <w:rPr>
          <w:u w:val="single"/>
        </w:rPr>
        <w:fldChar w:fldCharType="separate"/>
      </w:r>
      <w:r w:rsidR="00E50032" w:rsidRPr="00E50032">
        <w:rPr>
          <w:u w:val="single"/>
        </w:rPr>
        <w:t xml:space="preserve">Table </w:t>
      </w:r>
      <w:r w:rsidR="00E50032" w:rsidRPr="00E50032">
        <w:rPr>
          <w:noProof/>
          <w:u w:val="single"/>
        </w:rPr>
        <w:t>36</w:t>
      </w:r>
      <w:r w:rsidR="00986DCC" w:rsidRPr="00F258B7">
        <w:rPr>
          <w:u w:val="single"/>
        </w:rPr>
        <w:fldChar w:fldCharType="end"/>
      </w:r>
      <w:r w:rsidR="00986DCC">
        <w:t>)</w:t>
      </w:r>
      <w:r>
        <w:t xml:space="preserve">. </w:t>
      </w:r>
      <w:r w:rsidR="002420AA">
        <w:t xml:space="preserve">In 2020-21 operating costs represented 6.3% of participant costs. </w:t>
      </w:r>
    </w:p>
    <w:p w14:paraId="6DB825AD" w14:textId="09200F1E" w:rsidR="00475322" w:rsidRDefault="00475322" w:rsidP="00475322">
      <w:pPr>
        <w:pStyle w:val="Caption"/>
        <w:keepNext/>
      </w:pPr>
      <w:bookmarkStart w:id="237" w:name="_Ref49161678"/>
      <w:r>
        <w:t xml:space="preserve">Table </w:t>
      </w:r>
      <w:fldSimple w:instr=" SEQ Table \* ARABIC ">
        <w:r w:rsidR="00E50032">
          <w:rPr>
            <w:noProof/>
          </w:rPr>
          <w:t>36</w:t>
        </w:r>
      </w:fldSimple>
      <w:bookmarkEnd w:id="237"/>
      <w:r>
        <w:t xml:space="preserve"> Actual operating expenses compared to expectations for 20</w:t>
      </w:r>
      <w:r w:rsidR="002420AA">
        <w:t>20</w:t>
      </w:r>
      <w:r>
        <w:t>-2</w:t>
      </w:r>
      <w:r w:rsidR="002420AA">
        <w:t>1</w:t>
      </w:r>
    </w:p>
    <w:tbl>
      <w:tblPr>
        <w:tblW w:w="7500" w:type="dxa"/>
        <w:tblLook w:val="04A0" w:firstRow="1" w:lastRow="0" w:firstColumn="1" w:lastColumn="0" w:noHBand="0" w:noVBand="1"/>
      </w:tblPr>
      <w:tblGrid>
        <w:gridCol w:w="5100"/>
        <w:gridCol w:w="1200"/>
        <w:gridCol w:w="1200"/>
      </w:tblGrid>
      <w:tr w:rsidR="00012853" w:rsidRPr="00FF49DA" w14:paraId="1675D1A0" w14:textId="77777777" w:rsidTr="00012853">
        <w:trPr>
          <w:trHeight w:hRule="exact" w:val="284"/>
          <w:tblHeader/>
        </w:trPr>
        <w:tc>
          <w:tcPr>
            <w:tcW w:w="5100" w:type="dxa"/>
            <w:tcBorders>
              <w:top w:val="single" w:sz="4" w:space="0" w:color="auto"/>
              <w:left w:val="single" w:sz="4" w:space="0" w:color="auto"/>
              <w:bottom w:val="single" w:sz="4" w:space="0" w:color="auto"/>
              <w:right w:val="nil"/>
            </w:tcBorders>
            <w:shd w:val="clear" w:color="000000" w:fill="6B2976"/>
            <w:noWrap/>
            <w:vAlign w:val="bottom"/>
            <w:hideMark/>
          </w:tcPr>
          <w:p w14:paraId="68672AD0" w14:textId="77777777" w:rsidR="00012853" w:rsidRPr="00FF49DA" w:rsidRDefault="00012853" w:rsidP="00312E88">
            <w:pPr>
              <w:rPr>
                <w:rFonts w:cs="Arial"/>
                <w:b/>
                <w:bCs/>
                <w:color w:val="FFFFFF"/>
                <w:szCs w:val="22"/>
              </w:rPr>
            </w:pPr>
            <w:r w:rsidRPr="00FF49DA">
              <w:rPr>
                <w:rFonts w:cs="Arial"/>
                <w:b/>
                <w:bCs/>
                <w:color w:val="FFFFFF"/>
                <w:szCs w:val="22"/>
              </w:rPr>
              <w:t>Operating expenses - full year to 30 June 2021</w:t>
            </w:r>
          </w:p>
        </w:tc>
        <w:tc>
          <w:tcPr>
            <w:tcW w:w="1200" w:type="dxa"/>
            <w:tcBorders>
              <w:top w:val="single" w:sz="4" w:space="0" w:color="auto"/>
              <w:left w:val="nil"/>
              <w:bottom w:val="single" w:sz="4" w:space="0" w:color="auto"/>
              <w:right w:val="nil"/>
            </w:tcBorders>
            <w:shd w:val="clear" w:color="000000" w:fill="6B2976"/>
            <w:noWrap/>
            <w:vAlign w:val="bottom"/>
            <w:hideMark/>
          </w:tcPr>
          <w:p w14:paraId="58E24B99" w14:textId="77777777" w:rsidR="00012853" w:rsidRPr="00FF49DA" w:rsidRDefault="00012853" w:rsidP="00312E88">
            <w:pPr>
              <w:rPr>
                <w:rFonts w:cs="Arial"/>
                <w:b/>
                <w:bCs/>
                <w:color w:val="FFFFFF"/>
                <w:szCs w:val="22"/>
              </w:rPr>
            </w:pPr>
            <w:r w:rsidRPr="00FF49DA">
              <w:rPr>
                <w:rFonts w:cs="Arial"/>
                <w:b/>
                <w:bCs/>
                <w:color w:val="FFFFFF"/>
                <w:szCs w:val="22"/>
              </w:rPr>
              <w:t> </w:t>
            </w:r>
          </w:p>
        </w:tc>
        <w:tc>
          <w:tcPr>
            <w:tcW w:w="1200" w:type="dxa"/>
            <w:tcBorders>
              <w:top w:val="single" w:sz="4" w:space="0" w:color="auto"/>
              <w:left w:val="single" w:sz="4" w:space="0" w:color="auto"/>
              <w:bottom w:val="single" w:sz="4" w:space="0" w:color="auto"/>
              <w:right w:val="single" w:sz="4" w:space="0" w:color="auto"/>
            </w:tcBorders>
            <w:shd w:val="clear" w:color="000000" w:fill="6B2976"/>
            <w:noWrap/>
            <w:vAlign w:val="bottom"/>
            <w:hideMark/>
          </w:tcPr>
          <w:p w14:paraId="7C7B04D8" w14:textId="77777777" w:rsidR="00012853" w:rsidRPr="00FF49DA" w:rsidRDefault="00012853" w:rsidP="00312E88">
            <w:pPr>
              <w:jc w:val="center"/>
              <w:rPr>
                <w:rFonts w:cs="Arial"/>
                <w:b/>
                <w:bCs/>
                <w:color w:val="FFFFFF"/>
                <w:szCs w:val="22"/>
              </w:rPr>
            </w:pPr>
            <w:r w:rsidRPr="00FF49DA">
              <w:rPr>
                <w:rFonts w:cs="Arial"/>
                <w:b/>
                <w:bCs/>
                <w:color w:val="FFFFFF"/>
                <w:szCs w:val="22"/>
              </w:rPr>
              <w:t>$m</w:t>
            </w:r>
          </w:p>
        </w:tc>
      </w:tr>
      <w:tr w:rsidR="00012853" w:rsidRPr="00FF49DA" w14:paraId="46EEC003" w14:textId="77777777" w:rsidTr="00012853">
        <w:trPr>
          <w:trHeight w:hRule="exact" w:val="284"/>
        </w:trPr>
        <w:tc>
          <w:tcPr>
            <w:tcW w:w="6300" w:type="dxa"/>
            <w:gridSpan w:val="2"/>
            <w:tcBorders>
              <w:top w:val="nil"/>
              <w:left w:val="single" w:sz="4" w:space="0" w:color="auto"/>
              <w:bottom w:val="single" w:sz="4" w:space="0" w:color="auto"/>
              <w:right w:val="nil"/>
            </w:tcBorders>
            <w:shd w:val="clear" w:color="auto" w:fill="auto"/>
            <w:noWrap/>
            <w:vAlign w:val="bottom"/>
            <w:hideMark/>
          </w:tcPr>
          <w:p w14:paraId="40F7A40B" w14:textId="77777777" w:rsidR="00012853" w:rsidRPr="00FF49DA" w:rsidRDefault="00012853" w:rsidP="00312E88">
            <w:pPr>
              <w:rPr>
                <w:rFonts w:cs="Arial"/>
                <w:b/>
                <w:bCs/>
                <w:color w:val="000000"/>
                <w:szCs w:val="22"/>
              </w:rPr>
            </w:pPr>
            <w:r w:rsidRPr="00FF49DA">
              <w:rPr>
                <w:rFonts w:cs="Arial"/>
                <w:b/>
                <w:bCs/>
                <w:color w:val="000000"/>
                <w:szCs w:val="22"/>
              </w:rPr>
              <w:t>Actual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75D0752" w14:textId="77777777" w:rsidR="00012853" w:rsidRPr="00FF49DA" w:rsidRDefault="00012853" w:rsidP="00312E88">
            <w:pPr>
              <w:jc w:val="center"/>
              <w:rPr>
                <w:rFonts w:cs="Arial"/>
                <w:b/>
                <w:bCs/>
                <w:color w:val="000000"/>
                <w:szCs w:val="22"/>
              </w:rPr>
            </w:pPr>
            <w:r w:rsidRPr="00FF49DA">
              <w:rPr>
                <w:rFonts w:cs="Arial"/>
                <w:b/>
                <w:bCs/>
                <w:color w:val="000000"/>
                <w:szCs w:val="22"/>
              </w:rPr>
              <w:t>1,4</w:t>
            </w:r>
            <w:r>
              <w:rPr>
                <w:rFonts w:cs="Arial"/>
                <w:b/>
                <w:bCs/>
                <w:color w:val="000000"/>
                <w:szCs w:val="22"/>
              </w:rPr>
              <w:t>81</w:t>
            </w:r>
            <w:r w:rsidRPr="00FF49DA">
              <w:rPr>
                <w:rFonts w:cs="Arial"/>
                <w:b/>
                <w:bCs/>
                <w:color w:val="000000"/>
                <w:szCs w:val="22"/>
              </w:rPr>
              <w:t>.0</w:t>
            </w:r>
          </w:p>
        </w:tc>
      </w:tr>
      <w:tr w:rsidR="00012853" w:rsidRPr="00FF49DA" w14:paraId="176685AE" w14:textId="77777777" w:rsidTr="00012853">
        <w:trPr>
          <w:trHeight w:hRule="exact" w:val="284"/>
        </w:trPr>
        <w:tc>
          <w:tcPr>
            <w:tcW w:w="6300" w:type="dxa"/>
            <w:gridSpan w:val="2"/>
            <w:tcBorders>
              <w:top w:val="nil"/>
              <w:left w:val="single" w:sz="4" w:space="0" w:color="auto"/>
              <w:bottom w:val="nil"/>
              <w:right w:val="nil"/>
            </w:tcBorders>
            <w:shd w:val="clear" w:color="auto" w:fill="auto"/>
            <w:noWrap/>
            <w:vAlign w:val="bottom"/>
            <w:hideMark/>
          </w:tcPr>
          <w:p w14:paraId="50490A3B" w14:textId="77777777" w:rsidR="00012853" w:rsidRPr="00FF49DA" w:rsidRDefault="00012853" w:rsidP="00312E88">
            <w:pPr>
              <w:rPr>
                <w:sz w:val="20"/>
                <w:szCs w:val="20"/>
              </w:rPr>
            </w:pPr>
            <w:r w:rsidRPr="00FF49DA">
              <w:rPr>
                <w:rFonts w:cs="Arial"/>
                <w:color w:val="000000"/>
                <w:szCs w:val="22"/>
              </w:rPr>
              <w:t>Budget (from 2019-20 PBS)</w:t>
            </w:r>
          </w:p>
        </w:tc>
        <w:tc>
          <w:tcPr>
            <w:tcW w:w="1200" w:type="dxa"/>
            <w:tcBorders>
              <w:top w:val="nil"/>
              <w:left w:val="single" w:sz="4" w:space="0" w:color="auto"/>
              <w:bottom w:val="nil"/>
              <w:right w:val="single" w:sz="4" w:space="0" w:color="auto"/>
            </w:tcBorders>
            <w:shd w:val="clear" w:color="auto" w:fill="auto"/>
            <w:noWrap/>
            <w:vAlign w:val="bottom"/>
            <w:hideMark/>
          </w:tcPr>
          <w:p w14:paraId="1D1A5CCA" w14:textId="77777777" w:rsidR="00012853" w:rsidRPr="00FF49DA" w:rsidRDefault="00012853" w:rsidP="00312E88">
            <w:pPr>
              <w:jc w:val="center"/>
              <w:rPr>
                <w:rFonts w:cs="Arial"/>
                <w:color w:val="000000"/>
                <w:szCs w:val="22"/>
              </w:rPr>
            </w:pPr>
            <w:r w:rsidRPr="00FF49DA">
              <w:rPr>
                <w:rFonts w:cs="Arial"/>
                <w:color w:val="000000"/>
                <w:szCs w:val="22"/>
              </w:rPr>
              <w:t>1,5</w:t>
            </w:r>
            <w:r>
              <w:rPr>
                <w:rFonts w:cs="Arial"/>
                <w:color w:val="000000"/>
                <w:szCs w:val="22"/>
              </w:rPr>
              <w:t>21.7</w:t>
            </w:r>
          </w:p>
        </w:tc>
      </w:tr>
      <w:tr w:rsidR="00012853" w:rsidRPr="00FF49DA" w14:paraId="5FDE4CB5" w14:textId="77777777" w:rsidTr="00012853">
        <w:trPr>
          <w:trHeight w:hRule="exact" w:val="284"/>
        </w:trPr>
        <w:tc>
          <w:tcPr>
            <w:tcW w:w="6300" w:type="dxa"/>
            <w:gridSpan w:val="2"/>
            <w:tcBorders>
              <w:top w:val="nil"/>
              <w:left w:val="single" w:sz="4" w:space="0" w:color="auto"/>
              <w:bottom w:val="single" w:sz="4" w:space="0" w:color="auto"/>
              <w:right w:val="nil"/>
            </w:tcBorders>
            <w:shd w:val="clear" w:color="auto" w:fill="auto"/>
            <w:noWrap/>
            <w:vAlign w:val="bottom"/>
            <w:hideMark/>
          </w:tcPr>
          <w:p w14:paraId="532324F3" w14:textId="77777777" w:rsidR="00012853" w:rsidRPr="00FF49DA" w:rsidRDefault="00012853" w:rsidP="00312E88">
            <w:pPr>
              <w:rPr>
                <w:rFonts w:cs="Arial"/>
                <w:color w:val="000000"/>
                <w:szCs w:val="22"/>
              </w:rPr>
            </w:pPr>
            <w:r w:rsidRPr="00FF49DA">
              <w:rPr>
                <w:rFonts w:cs="Arial"/>
                <w:color w:val="000000"/>
                <w:szCs w:val="22"/>
              </w:rPr>
              <w:t>Difference (Actual - Budget)</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64D55B9" w14:textId="77777777" w:rsidR="00012853" w:rsidRPr="00FF49DA" w:rsidRDefault="00012853" w:rsidP="00312E88">
            <w:pPr>
              <w:jc w:val="center"/>
              <w:rPr>
                <w:rFonts w:cs="Arial"/>
                <w:color w:val="000000"/>
                <w:szCs w:val="22"/>
              </w:rPr>
            </w:pPr>
            <w:r w:rsidRPr="00FF49DA">
              <w:rPr>
                <w:rFonts w:cs="Arial"/>
                <w:color w:val="000000"/>
                <w:szCs w:val="22"/>
              </w:rPr>
              <w:t>-</w:t>
            </w:r>
            <w:r>
              <w:rPr>
                <w:rFonts w:cs="Arial"/>
                <w:color w:val="000000"/>
                <w:szCs w:val="22"/>
              </w:rPr>
              <w:t>40.7</w:t>
            </w:r>
          </w:p>
        </w:tc>
      </w:tr>
    </w:tbl>
    <w:p w14:paraId="4ACCAD4C" w14:textId="76DF1F08" w:rsidR="00475322" w:rsidRPr="002420AA" w:rsidRDefault="00475322" w:rsidP="00475322">
      <w:pPr>
        <w:pStyle w:val="FSRnormal"/>
      </w:pPr>
      <w:r w:rsidRPr="008B60B4">
        <w:t xml:space="preserve">Operating expenses, as a percentage of participant costs, are projected to </w:t>
      </w:r>
      <w:r w:rsidR="002420AA">
        <w:t xml:space="preserve">reduce over time, as the relative cost of bringing new participants into the </w:t>
      </w:r>
      <w:r w:rsidR="00783DE5">
        <w:t>Scheme</w:t>
      </w:r>
      <w:r w:rsidR="002420AA">
        <w:t xml:space="preserve"> is expected to reduce, and also because the average </w:t>
      </w:r>
      <w:r w:rsidR="00180C52">
        <w:t>payment per</w:t>
      </w:r>
      <w:r w:rsidR="002420AA">
        <w:t xml:space="preserve"> participant is expected to increase at a faster rate than the inflation rate assumed to underpin the Scheme’s operating costs</w:t>
      </w:r>
      <w:r w:rsidR="00986DCC">
        <w:t xml:space="preserve"> (</w:t>
      </w:r>
      <w:r w:rsidRPr="00012853">
        <w:rPr>
          <w:u w:val="single"/>
        </w:rPr>
        <w:fldChar w:fldCharType="begin"/>
      </w:r>
      <w:r w:rsidRPr="00012853">
        <w:rPr>
          <w:u w:val="single"/>
        </w:rPr>
        <w:instrText xml:space="preserve"> REF _Ref46755742 \h </w:instrText>
      </w:r>
      <w:r w:rsidR="002420AA" w:rsidRPr="00012853">
        <w:rPr>
          <w:u w:val="single"/>
        </w:rPr>
        <w:instrText xml:space="preserve"> \* MERGEFORMAT </w:instrText>
      </w:r>
      <w:r w:rsidRPr="00012853">
        <w:rPr>
          <w:u w:val="single"/>
        </w:rPr>
      </w:r>
      <w:r w:rsidRPr="00012853">
        <w:rPr>
          <w:u w:val="single"/>
        </w:rPr>
        <w:fldChar w:fldCharType="separate"/>
      </w:r>
      <w:r w:rsidR="00E50032" w:rsidRPr="00E50032">
        <w:rPr>
          <w:u w:val="single"/>
        </w:rPr>
        <w:t xml:space="preserve">Table </w:t>
      </w:r>
      <w:r w:rsidR="00E50032" w:rsidRPr="00E50032">
        <w:rPr>
          <w:noProof/>
          <w:u w:val="single"/>
        </w:rPr>
        <w:t>37</w:t>
      </w:r>
      <w:r w:rsidRPr="00012853">
        <w:rPr>
          <w:u w:val="single"/>
        </w:rPr>
        <w:fldChar w:fldCharType="end"/>
      </w:r>
      <w:r w:rsidR="00986DCC">
        <w:t>)</w:t>
      </w:r>
      <w:r w:rsidRPr="002420AA">
        <w:t xml:space="preserve">. </w:t>
      </w:r>
      <w:r w:rsidR="00986DCC">
        <w:t xml:space="preserve">Operating costs are forecast to be </w:t>
      </w:r>
      <w:r w:rsidR="00B44FC4">
        <w:t>6</w:t>
      </w:r>
      <w:r w:rsidR="00986DCC">
        <w:t>.</w:t>
      </w:r>
      <w:r w:rsidR="00B44FC4">
        <w:t>0</w:t>
      </w:r>
      <w:r w:rsidR="00986DCC">
        <w:t>% of participant expenses in 2021-22, reducing to 5.0% in 2024-25, and 4.1% in 2029-30.</w:t>
      </w:r>
    </w:p>
    <w:p w14:paraId="29212523" w14:textId="65E70910" w:rsidR="00475322" w:rsidRPr="002420AA" w:rsidRDefault="00475322" w:rsidP="00475322">
      <w:pPr>
        <w:pStyle w:val="Caption"/>
        <w:keepNext/>
      </w:pPr>
      <w:bookmarkStart w:id="238" w:name="_Ref46755742"/>
      <w:r w:rsidRPr="002420AA">
        <w:t xml:space="preserve">Table </w:t>
      </w:r>
      <w:fldSimple w:instr=" SEQ Table \* ARABIC ">
        <w:r w:rsidR="00E50032">
          <w:rPr>
            <w:noProof/>
          </w:rPr>
          <w:t>37</w:t>
        </w:r>
      </w:fldSimple>
      <w:bookmarkEnd w:id="238"/>
      <w:r w:rsidRPr="002420AA">
        <w:t xml:space="preserve"> Operating expenses for the 20</w:t>
      </w:r>
      <w:r w:rsidR="00F9363A">
        <w:t>20</w:t>
      </w:r>
      <w:r w:rsidRPr="002420AA">
        <w:t>-2</w:t>
      </w:r>
      <w:r w:rsidR="00F9363A">
        <w:t>1</w:t>
      </w:r>
      <w:r w:rsidRPr="002420AA">
        <w:t xml:space="preserve"> AFSR </w:t>
      </w:r>
      <w:r w:rsidR="00F9363A">
        <w:t>as proportion of participant costs</w:t>
      </w:r>
    </w:p>
    <w:p w14:paraId="2C4B2BDD" w14:textId="77777777" w:rsidR="0042185C" w:rsidRPr="002420AA" w:rsidRDefault="00B03D44" w:rsidP="00475322">
      <w:pPr>
        <w:pStyle w:val="Caption"/>
        <w:keepNext/>
      </w:pPr>
      <w:r w:rsidRPr="00B03D44">
        <w:rPr>
          <w:b w:val="0"/>
          <w:iCs w:val="0"/>
        </w:rPr>
        <w:t xml:space="preserve"> </w:t>
      </w:r>
    </w:p>
    <w:tbl>
      <w:tblPr>
        <w:tblW w:w="5000" w:type="pct"/>
        <w:tblLook w:val="04A0" w:firstRow="1" w:lastRow="0" w:firstColumn="1" w:lastColumn="0" w:noHBand="0" w:noVBand="1"/>
      </w:tblPr>
      <w:tblGrid>
        <w:gridCol w:w="3076"/>
        <w:gridCol w:w="579"/>
        <w:gridCol w:w="581"/>
        <w:gridCol w:w="956"/>
        <w:gridCol w:w="956"/>
        <w:gridCol w:w="956"/>
        <w:gridCol w:w="956"/>
        <w:gridCol w:w="956"/>
      </w:tblGrid>
      <w:tr w:rsidR="0042185C" w:rsidRPr="00FF49DA" w14:paraId="555526D8" w14:textId="77777777" w:rsidTr="0042185C">
        <w:trPr>
          <w:trHeight w:hRule="exact" w:val="284"/>
          <w:tblHeader/>
        </w:trPr>
        <w:tc>
          <w:tcPr>
            <w:tcW w:w="2349" w:type="pct"/>
            <w:gridSpan w:val="3"/>
            <w:tcBorders>
              <w:top w:val="single" w:sz="4" w:space="0" w:color="auto"/>
              <w:left w:val="single" w:sz="4" w:space="0" w:color="auto"/>
              <w:bottom w:val="single" w:sz="4" w:space="0" w:color="000000"/>
              <w:right w:val="single" w:sz="4" w:space="0" w:color="000000"/>
            </w:tcBorders>
            <w:shd w:val="clear" w:color="000000" w:fill="6B2976"/>
            <w:vAlign w:val="bottom"/>
            <w:hideMark/>
          </w:tcPr>
          <w:p w14:paraId="5ADE85E4" w14:textId="77777777" w:rsidR="0042185C" w:rsidRPr="00FF49DA" w:rsidRDefault="0042185C" w:rsidP="00312E88">
            <w:pPr>
              <w:rPr>
                <w:rFonts w:cs="Arial"/>
                <w:b/>
                <w:bCs/>
                <w:color w:val="FFFFFF"/>
                <w:sz w:val="18"/>
                <w:szCs w:val="18"/>
              </w:rPr>
            </w:pPr>
            <w:r w:rsidRPr="00FF49DA">
              <w:rPr>
                <w:rFonts w:cs="Arial"/>
                <w:b/>
                <w:bCs/>
                <w:color w:val="FFFFFF"/>
                <w:sz w:val="18"/>
                <w:szCs w:val="18"/>
              </w:rPr>
              <w:t>Operating and Participant Costs ($m)</w:t>
            </w:r>
          </w:p>
        </w:tc>
        <w:tc>
          <w:tcPr>
            <w:tcW w:w="530" w:type="pct"/>
            <w:tcBorders>
              <w:top w:val="single" w:sz="4" w:space="0" w:color="auto"/>
              <w:left w:val="nil"/>
              <w:bottom w:val="single" w:sz="4" w:space="0" w:color="auto"/>
              <w:right w:val="nil"/>
            </w:tcBorders>
            <w:shd w:val="clear" w:color="000000" w:fill="6B2976"/>
            <w:noWrap/>
            <w:vAlign w:val="bottom"/>
            <w:hideMark/>
          </w:tcPr>
          <w:p w14:paraId="25C3560B" w14:textId="77777777" w:rsidR="0042185C" w:rsidRPr="00FF49DA" w:rsidRDefault="0042185C" w:rsidP="00312E88">
            <w:pPr>
              <w:rPr>
                <w:rFonts w:cs="Arial"/>
                <w:b/>
                <w:bCs/>
                <w:color w:val="FFFFFF"/>
                <w:sz w:val="18"/>
                <w:szCs w:val="18"/>
              </w:rPr>
            </w:pPr>
            <w:r w:rsidRPr="00FF49DA">
              <w:rPr>
                <w:rFonts w:cs="Arial"/>
                <w:b/>
                <w:bCs/>
                <w:color w:val="FFFFFF"/>
                <w:sz w:val="18"/>
                <w:szCs w:val="18"/>
              </w:rPr>
              <w:t>2022</w:t>
            </w:r>
          </w:p>
        </w:tc>
        <w:tc>
          <w:tcPr>
            <w:tcW w:w="530" w:type="pct"/>
            <w:tcBorders>
              <w:top w:val="single" w:sz="4" w:space="0" w:color="auto"/>
              <w:left w:val="nil"/>
              <w:bottom w:val="single" w:sz="4" w:space="0" w:color="auto"/>
              <w:right w:val="nil"/>
            </w:tcBorders>
            <w:shd w:val="clear" w:color="000000" w:fill="6B2976"/>
            <w:noWrap/>
            <w:vAlign w:val="bottom"/>
            <w:hideMark/>
          </w:tcPr>
          <w:p w14:paraId="51C8B225" w14:textId="77777777" w:rsidR="0042185C" w:rsidRPr="00FF49DA" w:rsidRDefault="0042185C" w:rsidP="00312E88">
            <w:pPr>
              <w:rPr>
                <w:rFonts w:cs="Arial"/>
                <w:b/>
                <w:bCs/>
                <w:color w:val="FFFFFF"/>
                <w:sz w:val="18"/>
                <w:szCs w:val="18"/>
              </w:rPr>
            </w:pPr>
            <w:r w:rsidRPr="00FF49DA">
              <w:rPr>
                <w:rFonts w:cs="Arial"/>
                <w:b/>
                <w:bCs/>
                <w:color w:val="FFFFFF"/>
                <w:sz w:val="18"/>
                <w:szCs w:val="18"/>
              </w:rPr>
              <w:t>2023</w:t>
            </w:r>
          </w:p>
        </w:tc>
        <w:tc>
          <w:tcPr>
            <w:tcW w:w="530" w:type="pct"/>
            <w:tcBorders>
              <w:top w:val="single" w:sz="4" w:space="0" w:color="auto"/>
              <w:left w:val="nil"/>
              <w:bottom w:val="single" w:sz="4" w:space="0" w:color="auto"/>
              <w:right w:val="nil"/>
            </w:tcBorders>
            <w:shd w:val="clear" w:color="000000" w:fill="6B2976"/>
            <w:noWrap/>
            <w:vAlign w:val="bottom"/>
            <w:hideMark/>
          </w:tcPr>
          <w:p w14:paraId="1B672097" w14:textId="77777777" w:rsidR="0042185C" w:rsidRPr="00FF49DA" w:rsidRDefault="0042185C" w:rsidP="00312E88">
            <w:pPr>
              <w:rPr>
                <w:rFonts w:cs="Arial"/>
                <w:b/>
                <w:bCs/>
                <w:color w:val="FFFFFF"/>
                <w:sz w:val="18"/>
                <w:szCs w:val="18"/>
              </w:rPr>
            </w:pPr>
            <w:r w:rsidRPr="00FF49DA">
              <w:rPr>
                <w:rFonts w:cs="Arial"/>
                <w:b/>
                <w:bCs/>
                <w:color w:val="FFFFFF"/>
                <w:sz w:val="18"/>
                <w:szCs w:val="18"/>
              </w:rPr>
              <w:t>2024</w:t>
            </w:r>
          </w:p>
        </w:tc>
        <w:tc>
          <w:tcPr>
            <w:tcW w:w="530" w:type="pct"/>
            <w:tcBorders>
              <w:top w:val="single" w:sz="4" w:space="0" w:color="auto"/>
              <w:left w:val="nil"/>
              <w:bottom w:val="single" w:sz="4" w:space="0" w:color="auto"/>
              <w:right w:val="nil"/>
            </w:tcBorders>
            <w:shd w:val="clear" w:color="000000" w:fill="6B2976"/>
            <w:noWrap/>
            <w:vAlign w:val="bottom"/>
            <w:hideMark/>
          </w:tcPr>
          <w:p w14:paraId="5E5A10F4" w14:textId="77777777" w:rsidR="0042185C" w:rsidRPr="00FF49DA" w:rsidRDefault="0042185C" w:rsidP="00312E88">
            <w:pPr>
              <w:rPr>
                <w:rFonts w:cs="Arial"/>
                <w:b/>
                <w:bCs/>
                <w:color w:val="FFFFFF"/>
                <w:sz w:val="18"/>
                <w:szCs w:val="18"/>
              </w:rPr>
            </w:pPr>
            <w:r w:rsidRPr="00FF49DA">
              <w:rPr>
                <w:rFonts w:cs="Arial"/>
                <w:b/>
                <w:bCs/>
                <w:color w:val="FFFFFF"/>
                <w:sz w:val="18"/>
                <w:szCs w:val="18"/>
              </w:rPr>
              <w:t>2025</w:t>
            </w:r>
          </w:p>
        </w:tc>
        <w:tc>
          <w:tcPr>
            <w:tcW w:w="530" w:type="pct"/>
            <w:tcBorders>
              <w:top w:val="single" w:sz="4" w:space="0" w:color="auto"/>
              <w:left w:val="single" w:sz="4" w:space="0" w:color="auto"/>
              <w:bottom w:val="single" w:sz="4" w:space="0" w:color="auto"/>
              <w:right w:val="single" w:sz="4" w:space="0" w:color="auto"/>
            </w:tcBorders>
            <w:shd w:val="clear" w:color="000000" w:fill="6B2976"/>
            <w:noWrap/>
            <w:vAlign w:val="bottom"/>
            <w:hideMark/>
          </w:tcPr>
          <w:p w14:paraId="40494126" w14:textId="77777777" w:rsidR="0042185C" w:rsidRPr="00FF49DA" w:rsidRDefault="0042185C" w:rsidP="00312E88">
            <w:pPr>
              <w:rPr>
                <w:rFonts w:cs="Arial"/>
                <w:b/>
                <w:bCs/>
                <w:color w:val="FFFFFF"/>
                <w:sz w:val="18"/>
                <w:szCs w:val="18"/>
              </w:rPr>
            </w:pPr>
            <w:r w:rsidRPr="00FF49DA">
              <w:rPr>
                <w:rFonts w:cs="Arial"/>
                <w:b/>
                <w:bCs/>
                <w:color w:val="FFFFFF"/>
                <w:sz w:val="18"/>
                <w:szCs w:val="18"/>
              </w:rPr>
              <w:t>2030</w:t>
            </w:r>
          </w:p>
        </w:tc>
      </w:tr>
      <w:tr w:rsidR="0042185C" w:rsidRPr="00FF49DA" w14:paraId="0AB1D134" w14:textId="77777777" w:rsidTr="0042185C">
        <w:trPr>
          <w:trHeight w:hRule="exact" w:val="284"/>
        </w:trPr>
        <w:tc>
          <w:tcPr>
            <w:tcW w:w="1706" w:type="pct"/>
            <w:tcBorders>
              <w:top w:val="nil"/>
              <w:left w:val="single" w:sz="4" w:space="0" w:color="auto"/>
              <w:bottom w:val="single" w:sz="4" w:space="0" w:color="auto"/>
              <w:right w:val="nil"/>
            </w:tcBorders>
            <w:shd w:val="clear" w:color="000000" w:fill="F2E3F5"/>
            <w:noWrap/>
            <w:vAlign w:val="bottom"/>
            <w:hideMark/>
          </w:tcPr>
          <w:p w14:paraId="3EC016B8" w14:textId="77777777" w:rsidR="0042185C" w:rsidRPr="00FF49DA" w:rsidRDefault="0042185C" w:rsidP="00312E88">
            <w:pPr>
              <w:rPr>
                <w:rFonts w:cs="Arial"/>
                <w:b/>
                <w:bCs/>
                <w:color w:val="000000"/>
                <w:sz w:val="18"/>
                <w:szCs w:val="18"/>
              </w:rPr>
            </w:pPr>
            <w:r w:rsidRPr="00FF49DA">
              <w:rPr>
                <w:rFonts w:cs="Arial"/>
                <w:b/>
                <w:bCs/>
                <w:color w:val="000000"/>
                <w:sz w:val="18"/>
                <w:szCs w:val="18"/>
              </w:rPr>
              <w:t>2020-21 AFSR</w:t>
            </w:r>
          </w:p>
        </w:tc>
        <w:tc>
          <w:tcPr>
            <w:tcW w:w="321" w:type="pct"/>
            <w:tcBorders>
              <w:top w:val="nil"/>
              <w:left w:val="nil"/>
              <w:bottom w:val="single" w:sz="4" w:space="0" w:color="auto"/>
              <w:right w:val="nil"/>
            </w:tcBorders>
            <w:shd w:val="clear" w:color="000000" w:fill="F2E3F5"/>
            <w:noWrap/>
            <w:vAlign w:val="bottom"/>
            <w:hideMark/>
          </w:tcPr>
          <w:p w14:paraId="6A345A0C" w14:textId="77777777" w:rsidR="0042185C" w:rsidRPr="00FF49DA" w:rsidRDefault="0042185C" w:rsidP="00312E88">
            <w:pPr>
              <w:rPr>
                <w:rFonts w:cs="Arial"/>
                <w:color w:val="000000"/>
                <w:sz w:val="18"/>
                <w:szCs w:val="18"/>
              </w:rPr>
            </w:pPr>
            <w:r w:rsidRPr="00FF49DA">
              <w:rPr>
                <w:rFonts w:cs="Arial"/>
                <w:color w:val="000000"/>
                <w:sz w:val="18"/>
                <w:szCs w:val="18"/>
              </w:rPr>
              <w:t> </w:t>
            </w:r>
          </w:p>
        </w:tc>
        <w:tc>
          <w:tcPr>
            <w:tcW w:w="321" w:type="pct"/>
            <w:tcBorders>
              <w:top w:val="nil"/>
              <w:left w:val="nil"/>
              <w:bottom w:val="single" w:sz="4" w:space="0" w:color="auto"/>
              <w:right w:val="nil"/>
            </w:tcBorders>
            <w:shd w:val="clear" w:color="000000" w:fill="F2E3F5"/>
            <w:noWrap/>
            <w:vAlign w:val="bottom"/>
            <w:hideMark/>
          </w:tcPr>
          <w:p w14:paraId="756F69F4" w14:textId="77777777" w:rsidR="0042185C" w:rsidRPr="00FF49DA" w:rsidRDefault="0042185C" w:rsidP="00312E88">
            <w:pPr>
              <w:rPr>
                <w:rFonts w:cs="Arial"/>
                <w:color w:val="000000"/>
                <w:sz w:val="18"/>
                <w:szCs w:val="18"/>
              </w:rPr>
            </w:pPr>
            <w:r w:rsidRPr="00FF49DA">
              <w:rPr>
                <w:rFonts w:cs="Arial"/>
                <w:color w:val="000000"/>
                <w:sz w:val="18"/>
                <w:szCs w:val="18"/>
              </w:rPr>
              <w:t> </w:t>
            </w:r>
          </w:p>
        </w:tc>
        <w:tc>
          <w:tcPr>
            <w:tcW w:w="530" w:type="pct"/>
            <w:tcBorders>
              <w:top w:val="nil"/>
              <w:left w:val="single" w:sz="4" w:space="0" w:color="auto"/>
              <w:bottom w:val="single" w:sz="4" w:space="0" w:color="auto"/>
              <w:right w:val="nil"/>
            </w:tcBorders>
            <w:shd w:val="clear" w:color="000000" w:fill="F2E3F5"/>
            <w:noWrap/>
            <w:vAlign w:val="bottom"/>
            <w:hideMark/>
          </w:tcPr>
          <w:p w14:paraId="4E40AF8C" w14:textId="77777777" w:rsidR="0042185C" w:rsidRPr="00FF49DA" w:rsidRDefault="0042185C" w:rsidP="00312E88">
            <w:pPr>
              <w:rPr>
                <w:rFonts w:cs="Arial"/>
                <w:color w:val="000000"/>
                <w:sz w:val="18"/>
                <w:szCs w:val="18"/>
              </w:rPr>
            </w:pPr>
            <w:r w:rsidRPr="00FF49DA">
              <w:rPr>
                <w:rFonts w:cs="Arial"/>
                <w:color w:val="000000"/>
                <w:sz w:val="18"/>
                <w:szCs w:val="18"/>
              </w:rPr>
              <w:t> </w:t>
            </w:r>
          </w:p>
        </w:tc>
        <w:tc>
          <w:tcPr>
            <w:tcW w:w="530" w:type="pct"/>
            <w:tcBorders>
              <w:top w:val="nil"/>
              <w:left w:val="nil"/>
              <w:bottom w:val="single" w:sz="4" w:space="0" w:color="auto"/>
              <w:right w:val="nil"/>
            </w:tcBorders>
            <w:shd w:val="clear" w:color="000000" w:fill="F2E3F5"/>
            <w:noWrap/>
            <w:vAlign w:val="bottom"/>
            <w:hideMark/>
          </w:tcPr>
          <w:p w14:paraId="229B7C15" w14:textId="77777777" w:rsidR="0042185C" w:rsidRPr="00FF49DA" w:rsidRDefault="0042185C" w:rsidP="00312E88">
            <w:pPr>
              <w:rPr>
                <w:rFonts w:cs="Arial"/>
                <w:color w:val="000000"/>
                <w:sz w:val="18"/>
                <w:szCs w:val="18"/>
              </w:rPr>
            </w:pPr>
            <w:r w:rsidRPr="00FF49DA">
              <w:rPr>
                <w:rFonts w:cs="Arial"/>
                <w:color w:val="000000"/>
                <w:sz w:val="18"/>
                <w:szCs w:val="18"/>
              </w:rPr>
              <w:t> </w:t>
            </w:r>
          </w:p>
        </w:tc>
        <w:tc>
          <w:tcPr>
            <w:tcW w:w="530" w:type="pct"/>
            <w:tcBorders>
              <w:top w:val="nil"/>
              <w:left w:val="nil"/>
              <w:bottom w:val="single" w:sz="4" w:space="0" w:color="auto"/>
              <w:right w:val="nil"/>
            </w:tcBorders>
            <w:shd w:val="clear" w:color="000000" w:fill="F2E3F5"/>
            <w:noWrap/>
            <w:vAlign w:val="bottom"/>
            <w:hideMark/>
          </w:tcPr>
          <w:p w14:paraId="41F3EC86" w14:textId="77777777" w:rsidR="0042185C" w:rsidRPr="00FF49DA" w:rsidRDefault="0042185C" w:rsidP="00312E88">
            <w:pPr>
              <w:rPr>
                <w:rFonts w:cs="Arial"/>
                <w:color w:val="000000"/>
                <w:sz w:val="18"/>
                <w:szCs w:val="18"/>
              </w:rPr>
            </w:pPr>
            <w:r w:rsidRPr="00FF49DA">
              <w:rPr>
                <w:rFonts w:cs="Arial"/>
                <w:color w:val="000000"/>
                <w:sz w:val="18"/>
                <w:szCs w:val="18"/>
              </w:rPr>
              <w:t> </w:t>
            </w:r>
          </w:p>
        </w:tc>
        <w:tc>
          <w:tcPr>
            <w:tcW w:w="530" w:type="pct"/>
            <w:tcBorders>
              <w:top w:val="nil"/>
              <w:left w:val="nil"/>
              <w:bottom w:val="single" w:sz="4" w:space="0" w:color="auto"/>
              <w:right w:val="nil"/>
            </w:tcBorders>
            <w:shd w:val="clear" w:color="000000" w:fill="F2E3F5"/>
            <w:noWrap/>
            <w:vAlign w:val="bottom"/>
            <w:hideMark/>
          </w:tcPr>
          <w:p w14:paraId="45C5A1AD" w14:textId="77777777" w:rsidR="0042185C" w:rsidRPr="00FF49DA" w:rsidRDefault="0042185C" w:rsidP="00312E88">
            <w:pPr>
              <w:rPr>
                <w:rFonts w:cs="Arial"/>
                <w:color w:val="000000"/>
                <w:sz w:val="18"/>
                <w:szCs w:val="18"/>
              </w:rPr>
            </w:pPr>
            <w:r w:rsidRPr="00FF49DA">
              <w:rPr>
                <w:rFonts w:cs="Arial"/>
                <w:color w:val="000000"/>
                <w:sz w:val="18"/>
                <w:szCs w:val="18"/>
              </w:rPr>
              <w:t> </w:t>
            </w:r>
          </w:p>
        </w:tc>
        <w:tc>
          <w:tcPr>
            <w:tcW w:w="530" w:type="pct"/>
            <w:tcBorders>
              <w:top w:val="nil"/>
              <w:left w:val="single" w:sz="4" w:space="0" w:color="auto"/>
              <w:bottom w:val="single" w:sz="4" w:space="0" w:color="auto"/>
              <w:right w:val="single" w:sz="4" w:space="0" w:color="auto"/>
            </w:tcBorders>
            <w:shd w:val="clear" w:color="000000" w:fill="F2E3F5"/>
            <w:noWrap/>
            <w:vAlign w:val="bottom"/>
            <w:hideMark/>
          </w:tcPr>
          <w:p w14:paraId="49D85140" w14:textId="77777777" w:rsidR="0042185C" w:rsidRPr="00FF49DA" w:rsidRDefault="0042185C" w:rsidP="00312E88">
            <w:pPr>
              <w:rPr>
                <w:rFonts w:cs="Arial"/>
                <w:color w:val="000000"/>
                <w:sz w:val="18"/>
                <w:szCs w:val="18"/>
              </w:rPr>
            </w:pPr>
            <w:r w:rsidRPr="00FF49DA">
              <w:rPr>
                <w:rFonts w:cs="Arial"/>
                <w:color w:val="000000"/>
                <w:sz w:val="18"/>
                <w:szCs w:val="18"/>
              </w:rPr>
              <w:t> </w:t>
            </w:r>
          </w:p>
        </w:tc>
      </w:tr>
      <w:tr w:rsidR="0042185C" w:rsidRPr="00FF49DA" w14:paraId="58519947" w14:textId="77777777" w:rsidTr="0042185C">
        <w:trPr>
          <w:trHeight w:hRule="exact" w:val="284"/>
        </w:trPr>
        <w:tc>
          <w:tcPr>
            <w:tcW w:w="2349" w:type="pct"/>
            <w:gridSpan w:val="3"/>
            <w:tcBorders>
              <w:top w:val="single" w:sz="4" w:space="0" w:color="auto"/>
              <w:left w:val="single" w:sz="4" w:space="0" w:color="auto"/>
              <w:bottom w:val="single" w:sz="4" w:space="0" w:color="auto"/>
              <w:right w:val="nil"/>
            </w:tcBorders>
            <w:shd w:val="clear" w:color="auto" w:fill="auto"/>
            <w:noWrap/>
            <w:vAlign w:val="bottom"/>
            <w:hideMark/>
          </w:tcPr>
          <w:p w14:paraId="62B38045" w14:textId="77777777" w:rsidR="0042185C" w:rsidRPr="00FF49DA" w:rsidRDefault="0042185C" w:rsidP="00312E88">
            <w:pPr>
              <w:rPr>
                <w:rFonts w:cs="Arial"/>
                <w:color w:val="000000"/>
                <w:sz w:val="18"/>
                <w:szCs w:val="18"/>
              </w:rPr>
            </w:pPr>
            <w:r w:rsidRPr="00FF49DA">
              <w:rPr>
                <w:rFonts w:cs="Arial"/>
                <w:color w:val="000000"/>
                <w:sz w:val="18"/>
                <w:szCs w:val="18"/>
              </w:rPr>
              <w:t>Participant Costs (accrual basis)</w:t>
            </w:r>
          </w:p>
        </w:tc>
        <w:tc>
          <w:tcPr>
            <w:tcW w:w="530" w:type="pct"/>
            <w:tcBorders>
              <w:top w:val="nil"/>
              <w:left w:val="single" w:sz="4" w:space="0" w:color="auto"/>
              <w:bottom w:val="single" w:sz="4" w:space="0" w:color="auto"/>
              <w:right w:val="nil"/>
            </w:tcBorders>
            <w:shd w:val="clear" w:color="auto" w:fill="auto"/>
            <w:noWrap/>
            <w:vAlign w:val="bottom"/>
            <w:hideMark/>
          </w:tcPr>
          <w:p w14:paraId="1B4CC2BE" w14:textId="77777777" w:rsidR="0042185C" w:rsidRPr="00FF49DA" w:rsidRDefault="0042185C" w:rsidP="00312E88">
            <w:pPr>
              <w:rPr>
                <w:rFonts w:cs="Arial"/>
                <w:color w:val="000000"/>
                <w:sz w:val="18"/>
                <w:szCs w:val="18"/>
              </w:rPr>
            </w:pPr>
            <w:r w:rsidRPr="00FF49DA">
              <w:rPr>
                <w:rFonts w:cs="Arial"/>
                <w:color w:val="000000"/>
                <w:sz w:val="18"/>
                <w:szCs w:val="18"/>
              </w:rPr>
              <w:t>29,223</w:t>
            </w:r>
          </w:p>
        </w:tc>
        <w:tc>
          <w:tcPr>
            <w:tcW w:w="530" w:type="pct"/>
            <w:tcBorders>
              <w:top w:val="nil"/>
              <w:left w:val="nil"/>
              <w:bottom w:val="single" w:sz="4" w:space="0" w:color="auto"/>
              <w:right w:val="nil"/>
            </w:tcBorders>
            <w:shd w:val="clear" w:color="auto" w:fill="auto"/>
            <w:noWrap/>
            <w:vAlign w:val="bottom"/>
            <w:hideMark/>
          </w:tcPr>
          <w:p w14:paraId="6AD7A72C" w14:textId="77777777" w:rsidR="0042185C" w:rsidRPr="00FF49DA" w:rsidRDefault="0042185C" w:rsidP="00312E88">
            <w:pPr>
              <w:rPr>
                <w:rFonts w:cs="Arial"/>
                <w:color w:val="000000"/>
                <w:sz w:val="18"/>
                <w:szCs w:val="18"/>
              </w:rPr>
            </w:pPr>
            <w:r w:rsidRPr="00FF49DA">
              <w:rPr>
                <w:rFonts w:cs="Arial"/>
                <w:color w:val="000000"/>
                <w:sz w:val="18"/>
                <w:szCs w:val="18"/>
              </w:rPr>
              <w:t>33,886</w:t>
            </w:r>
          </w:p>
        </w:tc>
        <w:tc>
          <w:tcPr>
            <w:tcW w:w="530" w:type="pct"/>
            <w:tcBorders>
              <w:top w:val="nil"/>
              <w:left w:val="nil"/>
              <w:bottom w:val="single" w:sz="4" w:space="0" w:color="auto"/>
              <w:right w:val="nil"/>
            </w:tcBorders>
            <w:shd w:val="clear" w:color="auto" w:fill="auto"/>
            <w:noWrap/>
            <w:vAlign w:val="bottom"/>
            <w:hideMark/>
          </w:tcPr>
          <w:p w14:paraId="6E352D01" w14:textId="77777777" w:rsidR="0042185C" w:rsidRPr="00FF49DA" w:rsidRDefault="0042185C" w:rsidP="00312E88">
            <w:pPr>
              <w:rPr>
                <w:rFonts w:cs="Arial"/>
                <w:color w:val="000000"/>
                <w:sz w:val="18"/>
                <w:szCs w:val="18"/>
              </w:rPr>
            </w:pPr>
            <w:r w:rsidRPr="00FF49DA">
              <w:rPr>
                <w:rFonts w:cs="Arial"/>
                <w:color w:val="000000"/>
                <w:sz w:val="18"/>
                <w:szCs w:val="18"/>
              </w:rPr>
              <w:t>37,973</w:t>
            </w:r>
          </w:p>
        </w:tc>
        <w:tc>
          <w:tcPr>
            <w:tcW w:w="530" w:type="pct"/>
            <w:tcBorders>
              <w:top w:val="nil"/>
              <w:left w:val="nil"/>
              <w:bottom w:val="single" w:sz="4" w:space="0" w:color="auto"/>
              <w:right w:val="nil"/>
            </w:tcBorders>
            <w:shd w:val="clear" w:color="auto" w:fill="auto"/>
            <w:noWrap/>
            <w:vAlign w:val="bottom"/>
            <w:hideMark/>
          </w:tcPr>
          <w:p w14:paraId="090C8078" w14:textId="77777777" w:rsidR="0042185C" w:rsidRPr="00FF49DA" w:rsidRDefault="0042185C" w:rsidP="00312E88">
            <w:pPr>
              <w:rPr>
                <w:rFonts w:cs="Arial"/>
                <w:color w:val="000000"/>
                <w:sz w:val="18"/>
                <w:szCs w:val="18"/>
              </w:rPr>
            </w:pPr>
            <w:r w:rsidRPr="00FF49DA">
              <w:rPr>
                <w:rFonts w:cs="Arial"/>
                <w:color w:val="000000"/>
                <w:sz w:val="18"/>
                <w:szCs w:val="18"/>
              </w:rPr>
              <w:t>41,373</w:t>
            </w:r>
          </w:p>
        </w:tc>
        <w:tc>
          <w:tcPr>
            <w:tcW w:w="530" w:type="pct"/>
            <w:tcBorders>
              <w:top w:val="nil"/>
              <w:left w:val="single" w:sz="4" w:space="0" w:color="auto"/>
              <w:bottom w:val="single" w:sz="4" w:space="0" w:color="auto"/>
              <w:right w:val="single" w:sz="4" w:space="0" w:color="auto"/>
            </w:tcBorders>
            <w:shd w:val="clear" w:color="auto" w:fill="auto"/>
            <w:noWrap/>
            <w:vAlign w:val="bottom"/>
            <w:hideMark/>
          </w:tcPr>
          <w:p w14:paraId="3FA92DDF" w14:textId="77777777" w:rsidR="0042185C" w:rsidRPr="00FF49DA" w:rsidRDefault="0042185C" w:rsidP="00312E88">
            <w:pPr>
              <w:rPr>
                <w:rFonts w:cs="Arial"/>
                <w:color w:val="000000"/>
                <w:sz w:val="18"/>
                <w:szCs w:val="18"/>
              </w:rPr>
            </w:pPr>
            <w:r w:rsidRPr="00FF49DA">
              <w:rPr>
                <w:rFonts w:cs="Arial"/>
                <w:color w:val="000000"/>
                <w:sz w:val="18"/>
                <w:szCs w:val="18"/>
              </w:rPr>
              <w:t>59,284</w:t>
            </w:r>
          </w:p>
        </w:tc>
      </w:tr>
      <w:tr w:rsidR="0042185C" w:rsidRPr="00FF49DA" w14:paraId="4F3638DC" w14:textId="77777777" w:rsidTr="0042185C">
        <w:trPr>
          <w:trHeight w:hRule="exact" w:val="284"/>
        </w:trPr>
        <w:tc>
          <w:tcPr>
            <w:tcW w:w="2027" w:type="pct"/>
            <w:gridSpan w:val="2"/>
            <w:tcBorders>
              <w:top w:val="nil"/>
              <w:left w:val="single" w:sz="4" w:space="0" w:color="auto"/>
              <w:bottom w:val="nil"/>
              <w:right w:val="nil"/>
            </w:tcBorders>
            <w:shd w:val="clear" w:color="auto" w:fill="auto"/>
            <w:noWrap/>
            <w:vAlign w:val="bottom"/>
            <w:hideMark/>
          </w:tcPr>
          <w:p w14:paraId="4D722DC1" w14:textId="77777777" w:rsidR="0042185C" w:rsidRPr="00FF49DA" w:rsidRDefault="0042185C" w:rsidP="00312E88">
            <w:pPr>
              <w:rPr>
                <w:rFonts w:cs="Arial"/>
                <w:b/>
                <w:bCs/>
                <w:color w:val="000000"/>
                <w:sz w:val="18"/>
                <w:szCs w:val="18"/>
              </w:rPr>
            </w:pPr>
            <w:r w:rsidRPr="00FF49DA">
              <w:rPr>
                <w:rFonts w:cs="Arial"/>
                <w:b/>
                <w:bCs/>
                <w:color w:val="000000"/>
                <w:sz w:val="18"/>
                <w:szCs w:val="18"/>
              </w:rPr>
              <w:t>Operating Costs</w:t>
            </w:r>
          </w:p>
        </w:tc>
        <w:tc>
          <w:tcPr>
            <w:tcW w:w="321" w:type="pct"/>
            <w:tcBorders>
              <w:top w:val="nil"/>
              <w:left w:val="nil"/>
              <w:bottom w:val="nil"/>
              <w:right w:val="nil"/>
            </w:tcBorders>
            <w:shd w:val="clear" w:color="auto" w:fill="auto"/>
            <w:noWrap/>
            <w:vAlign w:val="bottom"/>
            <w:hideMark/>
          </w:tcPr>
          <w:p w14:paraId="305233B5" w14:textId="77777777" w:rsidR="0042185C" w:rsidRPr="00FF49DA" w:rsidRDefault="0042185C" w:rsidP="00312E88">
            <w:pPr>
              <w:rPr>
                <w:rFonts w:cs="Arial"/>
                <w:b/>
                <w:bCs/>
                <w:color w:val="000000"/>
                <w:sz w:val="18"/>
                <w:szCs w:val="18"/>
              </w:rPr>
            </w:pPr>
          </w:p>
        </w:tc>
        <w:tc>
          <w:tcPr>
            <w:tcW w:w="530" w:type="pct"/>
            <w:tcBorders>
              <w:top w:val="nil"/>
              <w:left w:val="single" w:sz="4" w:space="0" w:color="auto"/>
              <w:bottom w:val="nil"/>
              <w:right w:val="nil"/>
            </w:tcBorders>
            <w:shd w:val="clear" w:color="auto" w:fill="auto"/>
            <w:noWrap/>
            <w:vAlign w:val="bottom"/>
            <w:hideMark/>
          </w:tcPr>
          <w:p w14:paraId="5C96847D" w14:textId="77777777" w:rsidR="0042185C" w:rsidRPr="00FF49DA" w:rsidRDefault="0042185C" w:rsidP="00312E88">
            <w:pPr>
              <w:rPr>
                <w:rFonts w:cs="Arial"/>
                <w:b/>
                <w:bCs/>
                <w:color w:val="000000"/>
                <w:sz w:val="18"/>
                <w:szCs w:val="18"/>
              </w:rPr>
            </w:pPr>
            <w:r w:rsidRPr="00FF49DA">
              <w:rPr>
                <w:rFonts w:cs="Arial"/>
                <w:b/>
                <w:bCs/>
                <w:color w:val="000000"/>
                <w:sz w:val="18"/>
                <w:szCs w:val="18"/>
              </w:rPr>
              <w:t>1,760</w:t>
            </w:r>
          </w:p>
        </w:tc>
        <w:tc>
          <w:tcPr>
            <w:tcW w:w="530" w:type="pct"/>
            <w:tcBorders>
              <w:top w:val="nil"/>
              <w:left w:val="nil"/>
              <w:bottom w:val="nil"/>
              <w:right w:val="nil"/>
            </w:tcBorders>
            <w:shd w:val="clear" w:color="auto" w:fill="auto"/>
            <w:noWrap/>
            <w:vAlign w:val="bottom"/>
            <w:hideMark/>
          </w:tcPr>
          <w:p w14:paraId="1565922B" w14:textId="77777777" w:rsidR="0042185C" w:rsidRPr="00FF49DA" w:rsidRDefault="0042185C" w:rsidP="00312E88">
            <w:pPr>
              <w:rPr>
                <w:rFonts w:cs="Arial"/>
                <w:b/>
                <w:bCs/>
                <w:color w:val="000000"/>
                <w:sz w:val="18"/>
                <w:szCs w:val="18"/>
              </w:rPr>
            </w:pPr>
            <w:r w:rsidRPr="00FF49DA">
              <w:rPr>
                <w:rFonts w:cs="Arial"/>
                <w:b/>
                <w:bCs/>
                <w:color w:val="000000"/>
                <w:sz w:val="18"/>
                <w:szCs w:val="18"/>
              </w:rPr>
              <w:t>1,879</w:t>
            </w:r>
          </w:p>
        </w:tc>
        <w:tc>
          <w:tcPr>
            <w:tcW w:w="530" w:type="pct"/>
            <w:tcBorders>
              <w:top w:val="nil"/>
              <w:left w:val="nil"/>
              <w:bottom w:val="nil"/>
              <w:right w:val="nil"/>
            </w:tcBorders>
            <w:shd w:val="clear" w:color="auto" w:fill="auto"/>
            <w:noWrap/>
            <w:vAlign w:val="bottom"/>
            <w:hideMark/>
          </w:tcPr>
          <w:p w14:paraId="74A53E87" w14:textId="77777777" w:rsidR="0042185C" w:rsidRPr="00FF49DA" w:rsidRDefault="0042185C" w:rsidP="00312E88">
            <w:pPr>
              <w:rPr>
                <w:rFonts w:cs="Arial"/>
                <w:b/>
                <w:bCs/>
                <w:color w:val="000000"/>
                <w:sz w:val="18"/>
                <w:szCs w:val="18"/>
              </w:rPr>
            </w:pPr>
            <w:r w:rsidRPr="00FF49DA">
              <w:rPr>
                <w:rFonts w:cs="Arial"/>
                <w:b/>
                <w:bCs/>
                <w:color w:val="000000"/>
                <w:sz w:val="18"/>
                <w:szCs w:val="18"/>
              </w:rPr>
              <w:t>1,978</w:t>
            </w:r>
          </w:p>
        </w:tc>
        <w:tc>
          <w:tcPr>
            <w:tcW w:w="530" w:type="pct"/>
            <w:tcBorders>
              <w:top w:val="nil"/>
              <w:left w:val="nil"/>
              <w:bottom w:val="nil"/>
              <w:right w:val="nil"/>
            </w:tcBorders>
            <w:shd w:val="clear" w:color="auto" w:fill="auto"/>
            <w:noWrap/>
            <w:vAlign w:val="bottom"/>
            <w:hideMark/>
          </w:tcPr>
          <w:p w14:paraId="025CC91E" w14:textId="77777777" w:rsidR="0042185C" w:rsidRPr="00FF49DA" w:rsidRDefault="0042185C" w:rsidP="00312E88">
            <w:pPr>
              <w:rPr>
                <w:rFonts w:cs="Arial"/>
                <w:b/>
                <w:bCs/>
                <w:color w:val="000000"/>
                <w:sz w:val="18"/>
                <w:szCs w:val="18"/>
              </w:rPr>
            </w:pPr>
            <w:r w:rsidRPr="00FF49DA">
              <w:rPr>
                <w:rFonts w:cs="Arial"/>
                <w:b/>
                <w:bCs/>
                <w:color w:val="000000"/>
                <w:sz w:val="18"/>
                <w:szCs w:val="18"/>
              </w:rPr>
              <w:t>2,055</w:t>
            </w:r>
          </w:p>
        </w:tc>
        <w:tc>
          <w:tcPr>
            <w:tcW w:w="530" w:type="pct"/>
            <w:tcBorders>
              <w:top w:val="nil"/>
              <w:left w:val="single" w:sz="4" w:space="0" w:color="auto"/>
              <w:bottom w:val="nil"/>
              <w:right w:val="single" w:sz="4" w:space="0" w:color="auto"/>
            </w:tcBorders>
            <w:shd w:val="clear" w:color="auto" w:fill="auto"/>
            <w:noWrap/>
            <w:vAlign w:val="bottom"/>
            <w:hideMark/>
          </w:tcPr>
          <w:p w14:paraId="3C9C31FB" w14:textId="77777777" w:rsidR="0042185C" w:rsidRPr="00FF49DA" w:rsidRDefault="0042185C" w:rsidP="00312E88">
            <w:pPr>
              <w:rPr>
                <w:rFonts w:cs="Arial"/>
                <w:b/>
                <w:bCs/>
                <w:color w:val="000000"/>
                <w:sz w:val="18"/>
                <w:szCs w:val="18"/>
              </w:rPr>
            </w:pPr>
            <w:r w:rsidRPr="00FF49DA">
              <w:rPr>
                <w:rFonts w:cs="Arial"/>
                <w:b/>
                <w:bCs/>
                <w:color w:val="000000"/>
                <w:sz w:val="18"/>
                <w:szCs w:val="18"/>
              </w:rPr>
              <w:t>2,452</w:t>
            </w:r>
          </w:p>
        </w:tc>
      </w:tr>
      <w:tr w:rsidR="0042185C" w:rsidRPr="00FF49DA" w14:paraId="0D601F08" w14:textId="77777777" w:rsidTr="0042185C">
        <w:trPr>
          <w:trHeight w:hRule="exact" w:val="284"/>
        </w:trPr>
        <w:tc>
          <w:tcPr>
            <w:tcW w:w="2027" w:type="pct"/>
            <w:gridSpan w:val="2"/>
            <w:tcBorders>
              <w:top w:val="nil"/>
              <w:left w:val="single" w:sz="4" w:space="0" w:color="auto"/>
              <w:bottom w:val="single" w:sz="4" w:space="0" w:color="auto"/>
              <w:right w:val="nil"/>
            </w:tcBorders>
            <w:shd w:val="clear" w:color="auto" w:fill="auto"/>
            <w:noWrap/>
            <w:vAlign w:val="bottom"/>
            <w:hideMark/>
          </w:tcPr>
          <w:p w14:paraId="6E30361F" w14:textId="77777777" w:rsidR="0042185C" w:rsidRPr="00FF49DA" w:rsidRDefault="0042185C" w:rsidP="00312E88">
            <w:pPr>
              <w:rPr>
                <w:rFonts w:cs="Arial"/>
                <w:color w:val="000000"/>
                <w:sz w:val="18"/>
                <w:szCs w:val="18"/>
              </w:rPr>
            </w:pPr>
            <w:r w:rsidRPr="00FF49DA">
              <w:rPr>
                <w:rFonts w:cs="Arial"/>
                <w:color w:val="000000"/>
                <w:sz w:val="18"/>
                <w:szCs w:val="18"/>
              </w:rPr>
              <w:t>As a % of Participant Costs</w:t>
            </w:r>
          </w:p>
        </w:tc>
        <w:tc>
          <w:tcPr>
            <w:tcW w:w="321" w:type="pct"/>
            <w:tcBorders>
              <w:top w:val="nil"/>
              <w:left w:val="nil"/>
              <w:bottom w:val="single" w:sz="4" w:space="0" w:color="auto"/>
              <w:right w:val="nil"/>
            </w:tcBorders>
            <w:shd w:val="clear" w:color="auto" w:fill="auto"/>
            <w:noWrap/>
            <w:vAlign w:val="bottom"/>
            <w:hideMark/>
          </w:tcPr>
          <w:p w14:paraId="4A993A2C" w14:textId="77777777" w:rsidR="0042185C" w:rsidRPr="00FF49DA" w:rsidRDefault="0042185C" w:rsidP="00312E88">
            <w:pPr>
              <w:rPr>
                <w:rFonts w:cs="Arial"/>
                <w:color w:val="000000"/>
                <w:sz w:val="18"/>
                <w:szCs w:val="18"/>
              </w:rPr>
            </w:pPr>
            <w:r w:rsidRPr="00FF49DA">
              <w:rPr>
                <w:rFonts w:cs="Arial"/>
                <w:color w:val="000000"/>
                <w:sz w:val="18"/>
                <w:szCs w:val="18"/>
              </w:rPr>
              <w:t> </w:t>
            </w:r>
          </w:p>
        </w:tc>
        <w:tc>
          <w:tcPr>
            <w:tcW w:w="530" w:type="pct"/>
            <w:tcBorders>
              <w:top w:val="nil"/>
              <w:left w:val="single" w:sz="4" w:space="0" w:color="auto"/>
              <w:bottom w:val="single" w:sz="4" w:space="0" w:color="auto"/>
              <w:right w:val="nil"/>
            </w:tcBorders>
            <w:shd w:val="clear" w:color="auto" w:fill="auto"/>
            <w:noWrap/>
            <w:vAlign w:val="bottom"/>
            <w:hideMark/>
          </w:tcPr>
          <w:p w14:paraId="73598E03" w14:textId="77777777" w:rsidR="0042185C" w:rsidRPr="00FF49DA" w:rsidRDefault="0042185C" w:rsidP="00312E88">
            <w:pPr>
              <w:rPr>
                <w:rFonts w:cs="Arial"/>
                <w:color w:val="000000"/>
                <w:sz w:val="18"/>
                <w:szCs w:val="18"/>
              </w:rPr>
            </w:pPr>
            <w:r w:rsidRPr="00FF49DA">
              <w:rPr>
                <w:rFonts w:cs="Arial"/>
                <w:color w:val="000000"/>
                <w:sz w:val="18"/>
                <w:szCs w:val="18"/>
              </w:rPr>
              <w:t>6.0%</w:t>
            </w:r>
          </w:p>
        </w:tc>
        <w:tc>
          <w:tcPr>
            <w:tcW w:w="530" w:type="pct"/>
            <w:tcBorders>
              <w:top w:val="nil"/>
              <w:left w:val="nil"/>
              <w:bottom w:val="single" w:sz="4" w:space="0" w:color="auto"/>
              <w:right w:val="nil"/>
            </w:tcBorders>
            <w:shd w:val="clear" w:color="auto" w:fill="auto"/>
            <w:noWrap/>
            <w:vAlign w:val="bottom"/>
            <w:hideMark/>
          </w:tcPr>
          <w:p w14:paraId="4DA9F5BC" w14:textId="77777777" w:rsidR="0042185C" w:rsidRPr="00FF49DA" w:rsidRDefault="0042185C" w:rsidP="00312E88">
            <w:pPr>
              <w:rPr>
                <w:rFonts w:cs="Arial"/>
                <w:color w:val="000000"/>
                <w:sz w:val="18"/>
                <w:szCs w:val="18"/>
              </w:rPr>
            </w:pPr>
            <w:r w:rsidRPr="00FF49DA">
              <w:rPr>
                <w:rFonts w:cs="Arial"/>
                <w:color w:val="000000"/>
                <w:sz w:val="18"/>
                <w:szCs w:val="18"/>
              </w:rPr>
              <w:t>5.5%</w:t>
            </w:r>
          </w:p>
        </w:tc>
        <w:tc>
          <w:tcPr>
            <w:tcW w:w="530" w:type="pct"/>
            <w:tcBorders>
              <w:top w:val="nil"/>
              <w:left w:val="nil"/>
              <w:bottom w:val="single" w:sz="4" w:space="0" w:color="auto"/>
              <w:right w:val="nil"/>
            </w:tcBorders>
            <w:shd w:val="clear" w:color="auto" w:fill="auto"/>
            <w:noWrap/>
            <w:vAlign w:val="bottom"/>
            <w:hideMark/>
          </w:tcPr>
          <w:p w14:paraId="0C4515D3" w14:textId="77777777" w:rsidR="0042185C" w:rsidRPr="00FF49DA" w:rsidRDefault="0042185C" w:rsidP="00312E88">
            <w:pPr>
              <w:rPr>
                <w:rFonts w:cs="Arial"/>
                <w:color w:val="000000"/>
                <w:sz w:val="18"/>
                <w:szCs w:val="18"/>
              </w:rPr>
            </w:pPr>
            <w:r w:rsidRPr="00FF49DA">
              <w:rPr>
                <w:rFonts w:cs="Arial"/>
                <w:color w:val="000000"/>
                <w:sz w:val="18"/>
                <w:szCs w:val="18"/>
              </w:rPr>
              <w:t>5.2%</w:t>
            </w:r>
          </w:p>
        </w:tc>
        <w:tc>
          <w:tcPr>
            <w:tcW w:w="530" w:type="pct"/>
            <w:tcBorders>
              <w:top w:val="nil"/>
              <w:left w:val="nil"/>
              <w:bottom w:val="single" w:sz="4" w:space="0" w:color="auto"/>
              <w:right w:val="nil"/>
            </w:tcBorders>
            <w:shd w:val="clear" w:color="auto" w:fill="auto"/>
            <w:noWrap/>
            <w:vAlign w:val="bottom"/>
            <w:hideMark/>
          </w:tcPr>
          <w:p w14:paraId="5163020A" w14:textId="77777777" w:rsidR="0042185C" w:rsidRPr="00FF49DA" w:rsidRDefault="0042185C" w:rsidP="00312E88">
            <w:pPr>
              <w:rPr>
                <w:rFonts w:cs="Arial"/>
                <w:color w:val="000000"/>
                <w:sz w:val="18"/>
                <w:szCs w:val="18"/>
              </w:rPr>
            </w:pPr>
            <w:r w:rsidRPr="00FF49DA">
              <w:rPr>
                <w:rFonts w:cs="Arial"/>
                <w:color w:val="000000"/>
                <w:sz w:val="18"/>
                <w:szCs w:val="18"/>
              </w:rPr>
              <w:t>5.0%</w:t>
            </w:r>
          </w:p>
        </w:tc>
        <w:tc>
          <w:tcPr>
            <w:tcW w:w="530" w:type="pct"/>
            <w:tcBorders>
              <w:top w:val="nil"/>
              <w:left w:val="single" w:sz="4" w:space="0" w:color="auto"/>
              <w:bottom w:val="single" w:sz="4" w:space="0" w:color="auto"/>
              <w:right w:val="single" w:sz="4" w:space="0" w:color="auto"/>
            </w:tcBorders>
            <w:shd w:val="clear" w:color="auto" w:fill="auto"/>
            <w:noWrap/>
            <w:vAlign w:val="bottom"/>
            <w:hideMark/>
          </w:tcPr>
          <w:p w14:paraId="5E5210EC" w14:textId="77777777" w:rsidR="0042185C" w:rsidRPr="00FF49DA" w:rsidRDefault="0042185C" w:rsidP="00312E88">
            <w:pPr>
              <w:rPr>
                <w:rFonts w:cs="Arial"/>
                <w:color w:val="000000"/>
                <w:sz w:val="18"/>
                <w:szCs w:val="18"/>
              </w:rPr>
            </w:pPr>
            <w:r w:rsidRPr="00FF49DA">
              <w:rPr>
                <w:rFonts w:cs="Arial"/>
                <w:color w:val="000000"/>
                <w:sz w:val="18"/>
                <w:szCs w:val="18"/>
              </w:rPr>
              <w:t>4.1%</w:t>
            </w:r>
          </w:p>
        </w:tc>
      </w:tr>
    </w:tbl>
    <w:p w14:paraId="101925F3" w14:textId="77777777" w:rsidR="0042185C" w:rsidRDefault="0042185C" w:rsidP="004B3B25"/>
    <w:p w14:paraId="22D6742F" w14:textId="42C4B9D0" w:rsidR="00B03D44" w:rsidRDefault="00B03D44" w:rsidP="004B3B25">
      <w:r>
        <w:t>The forecast operating costs of $1,760m in 2021-22 are approximately $250m (or 18%) higher than those in 2020-21 and a similar amount higher than the amount allowed for in the 2021-22 PBS. In adopting an estimate which is considerably higher than both the actual expenses in 2020-21 and budgeted expenses in 2021-22 it is noted that:</w:t>
      </w:r>
    </w:p>
    <w:p w14:paraId="6CDF6BDD" w14:textId="3AA78557" w:rsidR="00DC36CD" w:rsidRDefault="00DC36CD" w:rsidP="00DC36CD">
      <w:pPr>
        <w:pStyle w:val="ListParagraph"/>
        <w:numPr>
          <w:ilvl w:val="0"/>
          <w:numId w:val="12"/>
        </w:numPr>
      </w:pPr>
      <w:r>
        <w:t>Development of stronger non-compliance payment controls and fraud mitigants, together with continued focus on sustainability initiatives and the continued improvement in participant experience</w:t>
      </w:r>
      <w:r w:rsidR="00BB1F98">
        <w:t xml:space="preserve"> (</w:t>
      </w:r>
      <w:r>
        <w:t>as prescribed by the Participant Service Guarantee</w:t>
      </w:r>
      <w:r w:rsidR="00BB1F98">
        <w:t>)</w:t>
      </w:r>
      <w:r>
        <w:t xml:space="preserve">, and associated outcomes requires significant investment. This investment needs to take the form of frontline capability and capacity, as well as strategic investments in broader organisation capabilities. Without adequate operational funding for the Agency, risks associated with participant costs increases, which is quantified in Section 6.1. </w:t>
      </w:r>
    </w:p>
    <w:p w14:paraId="5FD1C453" w14:textId="48ED6535" w:rsidR="00986DCC" w:rsidRDefault="00DC36CD" w:rsidP="000A0D48">
      <w:pPr>
        <w:pStyle w:val="ListParagraph"/>
        <w:numPr>
          <w:ilvl w:val="0"/>
          <w:numId w:val="12"/>
        </w:numPr>
      </w:pPr>
      <w:r>
        <w:t xml:space="preserve">The adopted level of operating expenses essentially assumes a consistent level of resources per participant supported. Any reduction in operating costs below this level </w:t>
      </w:r>
      <w:r>
        <w:lastRenderedPageBreak/>
        <w:t>is consistent with reductions in resources, increased workloads and less capacity to support participants and manage risk, including fraud and integrity.</w:t>
      </w:r>
    </w:p>
    <w:p w14:paraId="3395AE8B" w14:textId="1DB7D6C0" w:rsidR="00475322" w:rsidRPr="00475322" w:rsidRDefault="00986DCC" w:rsidP="000D0CA3">
      <w:pPr>
        <w:pStyle w:val="ListParagraph"/>
        <w:numPr>
          <w:ilvl w:val="0"/>
          <w:numId w:val="12"/>
        </w:numPr>
      </w:pPr>
      <w:r>
        <w:t xml:space="preserve">In the </w:t>
      </w:r>
      <w:r w:rsidRPr="00405627">
        <w:t>2017 PC study report</w:t>
      </w:r>
      <w:r w:rsidR="003D474F">
        <w:rPr>
          <w:rStyle w:val="FootnoteReference"/>
        </w:rPr>
        <w:footnoteReference w:id="71"/>
      </w:r>
      <w:r>
        <w:t>, a target operating expense range of 7-10% was recommended</w:t>
      </w:r>
      <w:r w:rsidR="0005623C">
        <w:t>, and the adopted level of expenses is therefore well below the recommended range</w:t>
      </w:r>
      <w:r>
        <w:t xml:space="preserve">. The adopted expense rate </w:t>
      </w:r>
      <w:r w:rsidRPr="008B60B4">
        <w:t xml:space="preserve">is </w:t>
      </w:r>
      <w:r w:rsidR="0005623C">
        <w:t xml:space="preserve">also </w:t>
      </w:r>
      <w:r w:rsidRPr="008B60B4">
        <w:t>at the low</w:t>
      </w:r>
      <w:r>
        <w:t>er</w:t>
      </w:r>
      <w:r w:rsidRPr="008B60B4">
        <w:t xml:space="preserve"> end</w:t>
      </w:r>
      <w:r w:rsidR="00C0588B">
        <w:t xml:space="preserve"> of</w:t>
      </w:r>
      <w:r>
        <w:t>, or below</w:t>
      </w:r>
      <w:r w:rsidRPr="008B60B4">
        <w:t xml:space="preserve"> the range of expense rates seen in comparable injury support schemes around Australia, even allowing for the greater scale of the Scheme</w:t>
      </w:r>
      <w:r w:rsidR="0020182E">
        <w:t>.</w:t>
      </w:r>
      <w:r>
        <w:t xml:space="preserve"> </w:t>
      </w:r>
      <w:r w:rsidR="00A50A83">
        <w:t xml:space="preserve"> </w:t>
      </w:r>
      <w:r w:rsidR="00475322">
        <w:t xml:space="preserve"> </w:t>
      </w:r>
    </w:p>
    <w:p w14:paraId="77A4CED6" w14:textId="013BD88D" w:rsidR="00A521EC" w:rsidRDefault="00A521EC" w:rsidP="006F104A">
      <w:pPr>
        <w:pStyle w:val="FSRHeading2"/>
        <w:numPr>
          <w:ilvl w:val="1"/>
          <w:numId w:val="1"/>
        </w:numPr>
        <w:ind w:left="907" w:hanging="907"/>
      </w:pPr>
      <w:bookmarkStart w:id="239" w:name="_Toc83220853"/>
      <w:bookmarkStart w:id="240" w:name="_Toc85031264"/>
      <w:r>
        <w:t>Lifetime cost estimates</w:t>
      </w:r>
      <w:bookmarkEnd w:id="239"/>
      <w:bookmarkEnd w:id="240"/>
    </w:p>
    <w:p w14:paraId="4CD55F10" w14:textId="6B61979C" w:rsidR="00C501DB" w:rsidRPr="00C501DB" w:rsidRDefault="00A2569E" w:rsidP="00C501DB">
      <w:pPr>
        <w:pStyle w:val="FSRnormal"/>
      </w:pPr>
      <w:r>
        <w:t>In addition to annual projections, the AFSR is required to include estimates of lifetime cost</w:t>
      </w:r>
      <w:r>
        <w:rPr>
          <w:rStyle w:val="FootnoteReference"/>
        </w:rPr>
        <w:footnoteReference w:id="72"/>
      </w:r>
      <w:r>
        <w:t xml:space="preserve"> for participants. These </w:t>
      </w:r>
      <w:r w:rsidR="00C501DB" w:rsidRPr="00C501DB">
        <w:t>estimates summari</w:t>
      </w:r>
      <w:r w:rsidR="001A335A">
        <w:t>s</w:t>
      </w:r>
      <w:r w:rsidR="00C501DB" w:rsidRPr="00C501DB">
        <w:t xml:space="preserve">e the average expected </w:t>
      </w:r>
      <w:r w:rsidR="009F2CB7">
        <w:t xml:space="preserve">payments made for </w:t>
      </w:r>
      <w:r w:rsidR="00C501DB" w:rsidRPr="00C501DB">
        <w:t>Scheme supports over participant’s entire lifetime</w:t>
      </w:r>
      <w:r w:rsidR="00E63631">
        <w:t>s</w:t>
      </w:r>
      <w:r w:rsidR="00C501DB" w:rsidRPr="00C501DB">
        <w:t>. They provide a useful benchmark to monitor the financial sustainability of the Scheme, as better outcomes for participants should generally result in lower long-term costs of disability support in the future. Therefore, as more experience emerges, the lifetime cost estimates for participants may be expected to reduce, on average.</w:t>
      </w:r>
    </w:p>
    <w:p w14:paraId="30ACC6C6" w14:textId="3983D5F0" w:rsidR="00C501DB" w:rsidRPr="00C501DB" w:rsidRDefault="00C501DB" w:rsidP="00C501DB">
      <w:pPr>
        <w:pStyle w:val="FSRnormal"/>
      </w:pPr>
      <w:r w:rsidRPr="00C501DB">
        <w:t>Average participant lifetime costs have been projected based on the assumptions underlying the baseline projections, excluding operating expenses, and then discounted to a present value as at 30 June 2021 assuming a long term discount rate of 5.0% per annum for all future years.</w:t>
      </w:r>
      <w:r>
        <w:rPr>
          <w:rStyle w:val="FootnoteReference"/>
        </w:rPr>
        <w:footnoteReference w:id="73"/>
      </w:r>
    </w:p>
    <w:p w14:paraId="267A6284" w14:textId="77777777" w:rsidR="00B97A2B" w:rsidRDefault="00B97A2B" w:rsidP="00701F81">
      <w:pPr>
        <w:pStyle w:val="FSRnormal"/>
        <w:rPr>
          <w:u w:val="single"/>
        </w:rPr>
      </w:pPr>
    </w:p>
    <w:p w14:paraId="775F8768" w14:textId="77777777" w:rsidR="00B97A2B" w:rsidRDefault="00B97A2B" w:rsidP="00701F81">
      <w:pPr>
        <w:pStyle w:val="FSRnormal"/>
        <w:rPr>
          <w:u w:val="single"/>
        </w:rPr>
      </w:pPr>
    </w:p>
    <w:p w14:paraId="76A5A324" w14:textId="77777777" w:rsidR="00B97A2B" w:rsidRDefault="00B97A2B" w:rsidP="00701F81">
      <w:pPr>
        <w:pStyle w:val="FSRnormal"/>
        <w:rPr>
          <w:u w:val="single"/>
        </w:rPr>
      </w:pPr>
    </w:p>
    <w:p w14:paraId="231C2F75" w14:textId="77777777" w:rsidR="00B97A2B" w:rsidRDefault="00B97A2B" w:rsidP="00701F81">
      <w:pPr>
        <w:pStyle w:val="FSRnormal"/>
        <w:rPr>
          <w:u w:val="single"/>
        </w:rPr>
      </w:pPr>
    </w:p>
    <w:p w14:paraId="06E5F608" w14:textId="77777777" w:rsidR="00E50032" w:rsidRPr="00E50032" w:rsidRDefault="00C501DB" w:rsidP="00701F81">
      <w:pPr>
        <w:pStyle w:val="FSRnormal"/>
        <w:rPr>
          <w:color w:val="FFFFFF" w:themeColor="background1"/>
        </w:rPr>
      </w:pPr>
      <w:r w:rsidRPr="0042185C">
        <w:rPr>
          <w:u w:val="single"/>
        </w:rPr>
        <w:fldChar w:fldCharType="begin"/>
      </w:r>
      <w:r w:rsidRPr="0042185C">
        <w:rPr>
          <w:u w:val="single"/>
        </w:rPr>
        <w:instrText xml:space="preserve"> REF _Ref17818289 \h </w:instrText>
      </w:r>
      <w:r w:rsidR="0042185C">
        <w:rPr>
          <w:u w:val="single"/>
        </w:rPr>
        <w:instrText xml:space="preserve"> \* MERGEFORMAT </w:instrText>
      </w:r>
      <w:r w:rsidRPr="0042185C">
        <w:rPr>
          <w:u w:val="single"/>
        </w:rPr>
      </w:r>
      <w:r w:rsidRPr="0042185C">
        <w:rPr>
          <w:u w:val="single"/>
        </w:rPr>
        <w:fldChar w:fldCharType="separate"/>
      </w:r>
      <w:r w:rsidR="00E50032" w:rsidRPr="00E50032">
        <w:rPr>
          <w:color w:val="FFFFFF" w:themeColor="background1"/>
        </w:rPr>
        <w:t xml:space="preserve">22. </w:t>
      </w:r>
    </w:p>
    <w:p w14:paraId="3F1C4AE7" w14:textId="77777777" w:rsidR="00E50032" w:rsidRDefault="00E50032" w:rsidP="00E50032">
      <w:pPr>
        <w:pStyle w:val="FSRnormal"/>
        <w:rPr>
          <w:noProof/>
        </w:rPr>
      </w:pPr>
    </w:p>
    <w:p w14:paraId="30E081C9" w14:textId="2A8E944F" w:rsidR="00566B3F" w:rsidRPr="00701F81" w:rsidRDefault="00E50032" w:rsidP="00701F81">
      <w:pPr>
        <w:pStyle w:val="FSRnormal"/>
      </w:pPr>
      <w:r w:rsidRPr="00AA44C0">
        <w:lastRenderedPageBreak/>
        <w:t>Table</w:t>
      </w:r>
      <w:r w:rsidRPr="00AA44C0">
        <w:rPr>
          <w:noProof/>
        </w:rPr>
        <w:t xml:space="preserve"> </w:t>
      </w:r>
      <w:r>
        <w:rPr>
          <w:noProof/>
        </w:rPr>
        <w:t>38</w:t>
      </w:r>
      <w:r w:rsidR="00C501DB" w:rsidRPr="0042185C">
        <w:rPr>
          <w:u w:val="single"/>
        </w:rPr>
        <w:fldChar w:fldCharType="end"/>
      </w:r>
      <w:r w:rsidR="00C501DB">
        <w:t xml:space="preserve"> </w:t>
      </w:r>
      <w:r w:rsidR="00C501DB" w:rsidRPr="00C501DB">
        <w:t xml:space="preserve">shows these calculated average lifetime costs by disability type, which are then applied to the estimated annual population of new </w:t>
      </w:r>
      <w:r w:rsidR="00A2569E">
        <w:t xml:space="preserve">entrants </w:t>
      </w:r>
      <w:r w:rsidR="00C501DB" w:rsidRPr="00C501DB">
        <w:t>in 2021-</w:t>
      </w:r>
      <w:bookmarkStart w:id="241" w:name="_Ref17818289"/>
      <w:r w:rsidR="00701F81">
        <w:t xml:space="preserve">22. </w:t>
      </w:r>
    </w:p>
    <w:p w14:paraId="6778E704" w14:textId="77777777" w:rsidR="00B97A2B" w:rsidRDefault="00B97A2B" w:rsidP="00C501DB">
      <w:pPr>
        <w:pStyle w:val="Tables"/>
      </w:pPr>
    </w:p>
    <w:p w14:paraId="4170AB11" w14:textId="09A0CD7B" w:rsidR="00C501DB" w:rsidRPr="00AA44C0" w:rsidRDefault="00C501DB" w:rsidP="00C501DB">
      <w:pPr>
        <w:pStyle w:val="Tables"/>
        <w:rPr>
          <w:iCs/>
        </w:rPr>
      </w:pPr>
      <w:r w:rsidRPr="00AA44C0">
        <w:t xml:space="preserve">Table </w:t>
      </w:r>
      <w:fldSimple w:instr=" SEQ Table \* ARABIC ">
        <w:r w:rsidR="00E50032">
          <w:rPr>
            <w:noProof/>
          </w:rPr>
          <w:t>38</w:t>
        </w:r>
      </w:fldSimple>
      <w:bookmarkEnd w:id="241"/>
      <w:r w:rsidRPr="00AA44C0">
        <w:t xml:space="preserve"> Average </w:t>
      </w:r>
      <w:r w:rsidR="00AC07D0">
        <w:t xml:space="preserve">Payments </w:t>
      </w:r>
      <w:r w:rsidRPr="00AA44C0">
        <w:t xml:space="preserve">&amp; Total Lifetime Costs for New </w:t>
      </w:r>
      <w:r w:rsidR="00A2569E">
        <w:t xml:space="preserve">Entrants </w:t>
      </w:r>
      <w:r w:rsidRPr="00AA44C0">
        <w:t>in 202</w:t>
      </w:r>
      <w:r>
        <w:t>1</w:t>
      </w:r>
      <w:r w:rsidRPr="00AA44C0">
        <w:t>-2</w:t>
      </w:r>
      <w:r>
        <w:t>2</w:t>
      </w:r>
      <w:r w:rsidRPr="00AA44C0">
        <w:t xml:space="preserve"> </w:t>
      </w:r>
    </w:p>
    <w:p w14:paraId="1F1D6D63" w14:textId="77777777" w:rsidR="00C8474E" w:rsidRDefault="00C501DB" w:rsidP="00C501DB">
      <w:pPr>
        <w:pStyle w:val="FSRnormal"/>
      </w:pPr>
      <w:r w:rsidRPr="00264AC4">
        <w:t xml:space="preserve"> </w:t>
      </w:r>
    </w:p>
    <w:tbl>
      <w:tblPr>
        <w:tblW w:w="7792" w:type="dxa"/>
        <w:tblLayout w:type="fixed"/>
        <w:tblLook w:val="04A0" w:firstRow="1" w:lastRow="0" w:firstColumn="1" w:lastColumn="0" w:noHBand="0" w:noVBand="1"/>
      </w:tblPr>
      <w:tblGrid>
        <w:gridCol w:w="2122"/>
        <w:gridCol w:w="1417"/>
        <w:gridCol w:w="1418"/>
        <w:gridCol w:w="1559"/>
        <w:gridCol w:w="1276"/>
      </w:tblGrid>
      <w:tr w:rsidR="00113A13" w:rsidRPr="00FF49DA" w14:paraId="51DADD22" w14:textId="77777777" w:rsidTr="00113A13">
        <w:trPr>
          <w:trHeight w:val="1200"/>
          <w:tblHeader/>
        </w:trPr>
        <w:tc>
          <w:tcPr>
            <w:tcW w:w="2122" w:type="dxa"/>
            <w:tcBorders>
              <w:top w:val="single" w:sz="4" w:space="0" w:color="auto"/>
              <w:left w:val="single" w:sz="4" w:space="0" w:color="auto"/>
              <w:bottom w:val="single" w:sz="4" w:space="0" w:color="auto"/>
              <w:right w:val="nil"/>
            </w:tcBorders>
            <w:shd w:val="clear" w:color="000000" w:fill="6B2976"/>
            <w:noWrap/>
            <w:vAlign w:val="center"/>
            <w:hideMark/>
          </w:tcPr>
          <w:p w14:paraId="46FA35C6" w14:textId="77777777" w:rsidR="00113A13" w:rsidRPr="00FF49DA" w:rsidRDefault="00113A13" w:rsidP="00312E88">
            <w:pPr>
              <w:rPr>
                <w:rFonts w:cs="Arial"/>
                <w:b/>
                <w:bCs/>
                <w:color w:val="FFFFFF"/>
                <w:sz w:val="18"/>
                <w:szCs w:val="18"/>
              </w:rPr>
            </w:pPr>
            <w:r w:rsidRPr="00FF49DA">
              <w:rPr>
                <w:rFonts w:cs="Arial"/>
                <w:b/>
                <w:bCs/>
                <w:color w:val="FFFFFF"/>
                <w:sz w:val="18"/>
                <w:szCs w:val="18"/>
              </w:rPr>
              <w:t>Disability Type</w:t>
            </w:r>
          </w:p>
        </w:tc>
        <w:tc>
          <w:tcPr>
            <w:tcW w:w="1417" w:type="dxa"/>
            <w:tcBorders>
              <w:top w:val="single" w:sz="4" w:space="0" w:color="auto"/>
              <w:left w:val="single" w:sz="4" w:space="0" w:color="auto"/>
              <w:bottom w:val="single" w:sz="4" w:space="0" w:color="auto"/>
              <w:right w:val="nil"/>
            </w:tcBorders>
            <w:shd w:val="clear" w:color="000000" w:fill="6B2976"/>
            <w:vAlign w:val="center"/>
            <w:hideMark/>
          </w:tcPr>
          <w:p w14:paraId="07EDB95C" w14:textId="77777777" w:rsidR="00113A13" w:rsidRPr="00FF49DA" w:rsidRDefault="00113A13" w:rsidP="00312E88">
            <w:pPr>
              <w:jc w:val="center"/>
              <w:rPr>
                <w:rFonts w:cs="Arial"/>
                <w:b/>
                <w:bCs/>
                <w:color w:val="FFFFFF"/>
                <w:sz w:val="18"/>
                <w:szCs w:val="18"/>
              </w:rPr>
            </w:pPr>
            <w:r w:rsidRPr="00FF49DA">
              <w:rPr>
                <w:rFonts w:cs="Arial"/>
                <w:b/>
                <w:bCs/>
                <w:color w:val="FFFFFF"/>
                <w:sz w:val="18"/>
                <w:szCs w:val="18"/>
              </w:rPr>
              <w:t>New Incidence population (2021-22)</w:t>
            </w:r>
          </w:p>
        </w:tc>
        <w:tc>
          <w:tcPr>
            <w:tcW w:w="1418" w:type="dxa"/>
            <w:tcBorders>
              <w:top w:val="single" w:sz="4" w:space="0" w:color="auto"/>
              <w:left w:val="single" w:sz="4" w:space="0" w:color="auto"/>
              <w:bottom w:val="single" w:sz="4" w:space="0" w:color="auto"/>
              <w:right w:val="single" w:sz="4" w:space="0" w:color="auto"/>
            </w:tcBorders>
            <w:shd w:val="clear" w:color="000000" w:fill="6B2976"/>
            <w:vAlign w:val="center"/>
            <w:hideMark/>
          </w:tcPr>
          <w:p w14:paraId="45ECBC63" w14:textId="77777777" w:rsidR="00113A13" w:rsidRPr="00FF49DA" w:rsidRDefault="00113A13" w:rsidP="00312E88">
            <w:pPr>
              <w:jc w:val="center"/>
              <w:rPr>
                <w:rFonts w:cs="Arial"/>
                <w:b/>
                <w:bCs/>
                <w:color w:val="FFFFFF"/>
                <w:sz w:val="18"/>
                <w:szCs w:val="18"/>
              </w:rPr>
            </w:pPr>
            <w:r w:rsidRPr="00FF49DA">
              <w:rPr>
                <w:rFonts w:cs="Arial"/>
                <w:b/>
                <w:bCs/>
                <w:color w:val="FFFFFF"/>
                <w:sz w:val="18"/>
                <w:szCs w:val="18"/>
              </w:rPr>
              <w:t>Average Lifetime Costs</w:t>
            </w:r>
            <w:r w:rsidRPr="00FF49DA">
              <w:rPr>
                <w:rFonts w:cs="Arial"/>
                <w:b/>
                <w:bCs/>
                <w:color w:val="FFFFFF"/>
                <w:sz w:val="18"/>
                <w:szCs w:val="18"/>
              </w:rPr>
              <w:br/>
              <w:t>($m)</w:t>
            </w:r>
          </w:p>
        </w:tc>
        <w:tc>
          <w:tcPr>
            <w:tcW w:w="1559" w:type="dxa"/>
            <w:tcBorders>
              <w:top w:val="single" w:sz="4" w:space="0" w:color="auto"/>
              <w:left w:val="nil"/>
              <w:bottom w:val="single" w:sz="4" w:space="0" w:color="auto"/>
              <w:right w:val="single" w:sz="4" w:space="0" w:color="auto"/>
            </w:tcBorders>
            <w:shd w:val="clear" w:color="000000" w:fill="6B2976"/>
            <w:vAlign w:val="center"/>
            <w:hideMark/>
          </w:tcPr>
          <w:p w14:paraId="2604041F" w14:textId="77777777" w:rsidR="00113A13" w:rsidRPr="00FF49DA" w:rsidRDefault="00113A13" w:rsidP="00312E88">
            <w:pPr>
              <w:jc w:val="center"/>
              <w:rPr>
                <w:rFonts w:cs="Arial"/>
                <w:b/>
                <w:bCs/>
                <w:color w:val="FFFFFF"/>
                <w:sz w:val="18"/>
                <w:szCs w:val="18"/>
              </w:rPr>
            </w:pPr>
            <w:r w:rsidRPr="00FF49DA">
              <w:rPr>
                <w:rFonts w:cs="Arial"/>
                <w:b/>
                <w:bCs/>
                <w:color w:val="FFFFFF"/>
                <w:sz w:val="18"/>
                <w:szCs w:val="18"/>
              </w:rPr>
              <w:t>Total Lifetime Costs</w:t>
            </w:r>
            <w:r w:rsidRPr="00FF49DA">
              <w:rPr>
                <w:rFonts w:cs="Arial"/>
                <w:b/>
                <w:bCs/>
                <w:color w:val="FFFFFF"/>
                <w:sz w:val="18"/>
                <w:szCs w:val="18"/>
              </w:rPr>
              <w:br/>
              <w:t>($m)</w:t>
            </w:r>
          </w:p>
        </w:tc>
        <w:tc>
          <w:tcPr>
            <w:tcW w:w="1276" w:type="dxa"/>
            <w:tcBorders>
              <w:top w:val="single" w:sz="4" w:space="0" w:color="auto"/>
              <w:left w:val="nil"/>
              <w:bottom w:val="nil"/>
              <w:right w:val="single" w:sz="4" w:space="0" w:color="auto"/>
            </w:tcBorders>
            <w:shd w:val="clear" w:color="000000" w:fill="6B2976"/>
            <w:vAlign w:val="center"/>
            <w:hideMark/>
          </w:tcPr>
          <w:p w14:paraId="031EF128" w14:textId="753BCF3D" w:rsidR="00113A13" w:rsidRPr="00FF49DA" w:rsidRDefault="00113A13" w:rsidP="00312E88">
            <w:pPr>
              <w:jc w:val="center"/>
              <w:rPr>
                <w:rFonts w:cs="Arial"/>
                <w:b/>
                <w:bCs/>
                <w:color w:val="FFFFFF"/>
                <w:sz w:val="18"/>
                <w:szCs w:val="18"/>
              </w:rPr>
            </w:pPr>
            <w:r w:rsidRPr="00FF49DA">
              <w:rPr>
                <w:rFonts w:cs="Arial"/>
                <w:b/>
                <w:bCs/>
                <w:color w:val="FFFFFF"/>
                <w:sz w:val="18"/>
                <w:szCs w:val="18"/>
              </w:rPr>
              <w:t xml:space="preserve">Total Lifetime </w:t>
            </w:r>
            <w:r w:rsidR="0046598B" w:rsidRPr="00FF49DA">
              <w:rPr>
                <w:rFonts w:cs="Arial"/>
                <w:b/>
                <w:bCs/>
                <w:color w:val="FFFFFF"/>
                <w:sz w:val="18"/>
                <w:szCs w:val="18"/>
              </w:rPr>
              <w:t xml:space="preserve">Costs </w:t>
            </w:r>
            <w:r w:rsidRPr="00FF49DA">
              <w:rPr>
                <w:rFonts w:cs="Arial"/>
                <w:b/>
                <w:bCs/>
                <w:color w:val="FFFFFF"/>
                <w:sz w:val="18"/>
                <w:szCs w:val="18"/>
              </w:rPr>
              <w:br/>
              <w:t>(%)</w:t>
            </w:r>
          </w:p>
        </w:tc>
      </w:tr>
      <w:tr w:rsidR="00113A13" w:rsidRPr="00FF49DA" w14:paraId="19C0236E"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54623CD7" w14:textId="77777777" w:rsidR="00113A13" w:rsidRPr="00FF49DA" w:rsidRDefault="00113A13" w:rsidP="00312E88">
            <w:pPr>
              <w:rPr>
                <w:rFonts w:cs="Arial"/>
                <w:color w:val="000000"/>
                <w:sz w:val="18"/>
                <w:szCs w:val="18"/>
              </w:rPr>
            </w:pPr>
            <w:r w:rsidRPr="00FF49DA">
              <w:rPr>
                <w:rFonts w:cs="Arial"/>
                <w:color w:val="000000"/>
                <w:sz w:val="18"/>
                <w:szCs w:val="18"/>
              </w:rPr>
              <w:t>ABI</w:t>
            </w:r>
          </w:p>
        </w:tc>
        <w:tc>
          <w:tcPr>
            <w:tcW w:w="1417" w:type="dxa"/>
            <w:tcBorders>
              <w:top w:val="nil"/>
              <w:left w:val="single" w:sz="4" w:space="0" w:color="auto"/>
              <w:bottom w:val="nil"/>
              <w:right w:val="nil"/>
            </w:tcBorders>
            <w:shd w:val="clear" w:color="auto" w:fill="auto"/>
            <w:noWrap/>
            <w:vAlign w:val="bottom"/>
            <w:hideMark/>
          </w:tcPr>
          <w:p w14:paraId="57C4D5A0" w14:textId="77777777" w:rsidR="00113A13" w:rsidRPr="00FF49DA" w:rsidRDefault="00113A13" w:rsidP="00312E88">
            <w:pPr>
              <w:jc w:val="center"/>
              <w:rPr>
                <w:rFonts w:cs="Arial"/>
                <w:color w:val="000000"/>
                <w:sz w:val="18"/>
                <w:szCs w:val="18"/>
              </w:rPr>
            </w:pPr>
            <w:r w:rsidRPr="00FF49DA">
              <w:rPr>
                <w:rFonts w:cs="Arial"/>
                <w:color w:val="000000"/>
                <w:sz w:val="18"/>
                <w:szCs w:val="18"/>
              </w:rPr>
              <w:t>914</w:t>
            </w:r>
          </w:p>
        </w:tc>
        <w:tc>
          <w:tcPr>
            <w:tcW w:w="1418" w:type="dxa"/>
            <w:tcBorders>
              <w:top w:val="nil"/>
              <w:left w:val="single" w:sz="4" w:space="0" w:color="auto"/>
              <w:bottom w:val="nil"/>
              <w:right w:val="single" w:sz="4" w:space="0" w:color="auto"/>
            </w:tcBorders>
            <w:shd w:val="clear" w:color="auto" w:fill="auto"/>
            <w:noWrap/>
            <w:vAlign w:val="bottom"/>
            <w:hideMark/>
          </w:tcPr>
          <w:p w14:paraId="35444CF1" w14:textId="77777777" w:rsidR="00113A13" w:rsidRPr="00FF49DA" w:rsidRDefault="00113A13" w:rsidP="00312E88">
            <w:pPr>
              <w:jc w:val="center"/>
              <w:rPr>
                <w:rFonts w:cs="Arial"/>
                <w:color w:val="000000"/>
                <w:sz w:val="18"/>
                <w:szCs w:val="18"/>
              </w:rPr>
            </w:pPr>
            <w:r w:rsidRPr="00FF49DA">
              <w:rPr>
                <w:rFonts w:cs="Arial"/>
                <w:color w:val="000000"/>
                <w:sz w:val="18"/>
                <w:szCs w:val="18"/>
              </w:rPr>
              <w:t>1.77</w:t>
            </w:r>
          </w:p>
        </w:tc>
        <w:tc>
          <w:tcPr>
            <w:tcW w:w="1559" w:type="dxa"/>
            <w:tcBorders>
              <w:top w:val="nil"/>
              <w:left w:val="nil"/>
              <w:bottom w:val="nil"/>
              <w:right w:val="single" w:sz="4" w:space="0" w:color="auto"/>
            </w:tcBorders>
            <w:shd w:val="clear" w:color="auto" w:fill="auto"/>
            <w:noWrap/>
            <w:vAlign w:val="bottom"/>
            <w:hideMark/>
          </w:tcPr>
          <w:p w14:paraId="18489005" w14:textId="77777777" w:rsidR="00113A13" w:rsidRPr="00FF49DA" w:rsidRDefault="00113A13" w:rsidP="00312E88">
            <w:pPr>
              <w:jc w:val="center"/>
              <w:rPr>
                <w:rFonts w:cs="Arial"/>
                <w:color w:val="000000"/>
                <w:sz w:val="18"/>
                <w:szCs w:val="18"/>
              </w:rPr>
            </w:pPr>
            <w:r w:rsidRPr="00FF49DA">
              <w:rPr>
                <w:rFonts w:cs="Arial"/>
                <w:color w:val="000000"/>
                <w:sz w:val="18"/>
                <w:szCs w:val="18"/>
              </w:rPr>
              <w:t>1,618</w:t>
            </w:r>
          </w:p>
        </w:tc>
        <w:tc>
          <w:tcPr>
            <w:tcW w:w="1276" w:type="dxa"/>
            <w:tcBorders>
              <w:top w:val="single" w:sz="4" w:space="0" w:color="auto"/>
              <w:left w:val="single" w:sz="4" w:space="0" w:color="auto"/>
              <w:bottom w:val="nil"/>
              <w:right w:val="single" w:sz="4" w:space="0" w:color="auto"/>
            </w:tcBorders>
            <w:shd w:val="clear" w:color="auto" w:fill="auto"/>
            <w:noWrap/>
            <w:vAlign w:val="bottom"/>
            <w:hideMark/>
          </w:tcPr>
          <w:p w14:paraId="32C9DAD2" w14:textId="77777777" w:rsidR="00113A13" w:rsidRPr="00FF49DA" w:rsidRDefault="00113A13" w:rsidP="00312E88">
            <w:pPr>
              <w:jc w:val="center"/>
              <w:rPr>
                <w:rFonts w:cs="Arial"/>
                <w:color w:val="000000"/>
                <w:sz w:val="18"/>
                <w:szCs w:val="18"/>
              </w:rPr>
            </w:pPr>
            <w:r w:rsidRPr="00FF49DA">
              <w:rPr>
                <w:rFonts w:cs="Arial"/>
                <w:color w:val="000000"/>
                <w:sz w:val="18"/>
                <w:szCs w:val="18"/>
              </w:rPr>
              <w:t>2%</w:t>
            </w:r>
          </w:p>
        </w:tc>
      </w:tr>
      <w:tr w:rsidR="00113A13" w:rsidRPr="00FF49DA" w14:paraId="5B962D39"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7B1C03BB" w14:textId="77777777" w:rsidR="00113A13" w:rsidRPr="00FF49DA" w:rsidRDefault="00113A13" w:rsidP="00312E88">
            <w:pPr>
              <w:rPr>
                <w:rFonts w:cs="Arial"/>
                <w:color w:val="000000"/>
                <w:sz w:val="18"/>
                <w:szCs w:val="18"/>
              </w:rPr>
            </w:pPr>
            <w:r w:rsidRPr="00FF49DA">
              <w:rPr>
                <w:rFonts w:cs="Arial"/>
                <w:color w:val="000000"/>
                <w:sz w:val="18"/>
                <w:szCs w:val="18"/>
              </w:rPr>
              <w:t>Autism</w:t>
            </w:r>
          </w:p>
        </w:tc>
        <w:tc>
          <w:tcPr>
            <w:tcW w:w="1417" w:type="dxa"/>
            <w:tcBorders>
              <w:top w:val="nil"/>
              <w:left w:val="single" w:sz="4" w:space="0" w:color="auto"/>
              <w:bottom w:val="nil"/>
              <w:right w:val="nil"/>
            </w:tcBorders>
            <w:shd w:val="clear" w:color="auto" w:fill="auto"/>
            <w:noWrap/>
            <w:vAlign w:val="bottom"/>
            <w:hideMark/>
          </w:tcPr>
          <w:p w14:paraId="7CC815CA" w14:textId="77777777" w:rsidR="00113A13" w:rsidRPr="00FF49DA" w:rsidRDefault="00113A13" w:rsidP="00312E88">
            <w:pPr>
              <w:jc w:val="center"/>
              <w:rPr>
                <w:rFonts w:cs="Arial"/>
                <w:color w:val="000000"/>
                <w:sz w:val="18"/>
                <w:szCs w:val="18"/>
              </w:rPr>
            </w:pPr>
            <w:r w:rsidRPr="00FF49DA">
              <w:rPr>
                <w:rFonts w:cs="Arial"/>
                <w:color w:val="000000"/>
                <w:sz w:val="18"/>
                <w:szCs w:val="18"/>
              </w:rPr>
              <w:t>12,303</w:t>
            </w:r>
          </w:p>
        </w:tc>
        <w:tc>
          <w:tcPr>
            <w:tcW w:w="1418" w:type="dxa"/>
            <w:tcBorders>
              <w:top w:val="nil"/>
              <w:left w:val="single" w:sz="4" w:space="0" w:color="auto"/>
              <w:bottom w:val="nil"/>
              <w:right w:val="single" w:sz="4" w:space="0" w:color="auto"/>
            </w:tcBorders>
            <w:shd w:val="clear" w:color="auto" w:fill="auto"/>
            <w:noWrap/>
            <w:vAlign w:val="bottom"/>
            <w:hideMark/>
          </w:tcPr>
          <w:p w14:paraId="22F8E623" w14:textId="77777777" w:rsidR="00113A13" w:rsidRPr="00FF49DA" w:rsidRDefault="00113A13" w:rsidP="00312E88">
            <w:pPr>
              <w:jc w:val="center"/>
              <w:rPr>
                <w:rFonts w:cs="Arial"/>
                <w:color w:val="000000"/>
                <w:sz w:val="18"/>
                <w:szCs w:val="18"/>
              </w:rPr>
            </w:pPr>
            <w:r w:rsidRPr="00FF49DA">
              <w:rPr>
                <w:rFonts w:cs="Arial"/>
                <w:color w:val="000000"/>
                <w:sz w:val="18"/>
                <w:szCs w:val="18"/>
              </w:rPr>
              <w:t>1.76</w:t>
            </w:r>
          </w:p>
        </w:tc>
        <w:tc>
          <w:tcPr>
            <w:tcW w:w="1559" w:type="dxa"/>
            <w:tcBorders>
              <w:top w:val="nil"/>
              <w:left w:val="nil"/>
              <w:bottom w:val="nil"/>
              <w:right w:val="single" w:sz="4" w:space="0" w:color="auto"/>
            </w:tcBorders>
            <w:shd w:val="clear" w:color="auto" w:fill="auto"/>
            <w:noWrap/>
            <w:vAlign w:val="bottom"/>
            <w:hideMark/>
          </w:tcPr>
          <w:p w14:paraId="41A19B04" w14:textId="77777777" w:rsidR="00113A13" w:rsidRPr="00FF49DA" w:rsidRDefault="00113A13" w:rsidP="00312E88">
            <w:pPr>
              <w:jc w:val="center"/>
              <w:rPr>
                <w:rFonts w:cs="Arial"/>
                <w:color w:val="000000"/>
                <w:sz w:val="18"/>
                <w:szCs w:val="18"/>
              </w:rPr>
            </w:pPr>
            <w:r w:rsidRPr="00FF49DA">
              <w:rPr>
                <w:rFonts w:cs="Arial"/>
                <w:color w:val="000000"/>
                <w:sz w:val="18"/>
                <w:szCs w:val="18"/>
              </w:rPr>
              <w:t>21,649</w:t>
            </w:r>
          </w:p>
        </w:tc>
        <w:tc>
          <w:tcPr>
            <w:tcW w:w="1276" w:type="dxa"/>
            <w:tcBorders>
              <w:top w:val="nil"/>
              <w:left w:val="single" w:sz="4" w:space="0" w:color="auto"/>
              <w:bottom w:val="nil"/>
              <w:right w:val="single" w:sz="4" w:space="0" w:color="auto"/>
            </w:tcBorders>
            <w:shd w:val="clear" w:color="auto" w:fill="auto"/>
            <w:noWrap/>
            <w:vAlign w:val="bottom"/>
            <w:hideMark/>
          </w:tcPr>
          <w:p w14:paraId="6FC4BB2C" w14:textId="77777777" w:rsidR="00113A13" w:rsidRPr="00FF49DA" w:rsidRDefault="00113A13" w:rsidP="00312E88">
            <w:pPr>
              <w:jc w:val="center"/>
              <w:rPr>
                <w:rFonts w:cs="Arial"/>
                <w:color w:val="000000"/>
                <w:sz w:val="18"/>
                <w:szCs w:val="18"/>
              </w:rPr>
            </w:pPr>
            <w:r w:rsidRPr="00FF49DA">
              <w:rPr>
                <w:rFonts w:cs="Arial"/>
                <w:color w:val="000000"/>
                <w:sz w:val="18"/>
                <w:szCs w:val="18"/>
              </w:rPr>
              <w:t>32%</w:t>
            </w:r>
          </w:p>
        </w:tc>
      </w:tr>
      <w:tr w:rsidR="00113A13" w:rsidRPr="00FF49DA" w14:paraId="55859E0F"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2B51BBAD" w14:textId="77777777" w:rsidR="00113A13" w:rsidRPr="00FF49DA" w:rsidRDefault="00113A13" w:rsidP="00312E88">
            <w:pPr>
              <w:rPr>
                <w:rFonts w:cs="Arial"/>
                <w:color w:val="000000"/>
                <w:sz w:val="18"/>
                <w:szCs w:val="18"/>
              </w:rPr>
            </w:pPr>
            <w:r w:rsidRPr="00FF49DA">
              <w:rPr>
                <w:rFonts w:cs="Arial"/>
                <w:color w:val="000000"/>
                <w:sz w:val="18"/>
                <w:szCs w:val="18"/>
              </w:rPr>
              <w:t>Cerebral Palsy</w:t>
            </w:r>
          </w:p>
        </w:tc>
        <w:tc>
          <w:tcPr>
            <w:tcW w:w="1417" w:type="dxa"/>
            <w:tcBorders>
              <w:top w:val="nil"/>
              <w:left w:val="single" w:sz="4" w:space="0" w:color="auto"/>
              <w:bottom w:val="nil"/>
              <w:right w:val="nil"/>
            </w:tcBorders>
            <w:shd w:val="clear" w:color="auto" w:fill="auto"/>
            <w:noWrap/>
            <w:vAlign w:val="bottom"/>
            <w:hideMark/>
          </w:tcPr>
          <w:p w14:paraId="799998C3" w14:textId="77777777" w:rsidR="00113A13" w:rsidRPr="00FF49DA" w:rsidRDefault="00113A13" w:rsidP="00312E88">
            <w:pPr>
              <w:jc w:val="center"/>
              <w:rPr>
                <w:rFonts w:cs="Arial"/>
                <w:color w:val="000000"/>
                <w:sz w:val="18"/>
                <w:szCs w:val="18"/>
              </w:rPr>
            </w:pPr>
            <w:r w:rsidRPr="00FF49DA">
              <w:rPr>
                <w:rFonts w:cs="Arial"/>
                <w:color w:val="000000"/>
                <w:sz w:val="18"/>
                <w:szCs w:val="18"/>
              </w:rPr>
              <w:t>679</w:t>
            </w:r>
          </w:p>
        </w:tc>
        <w:tc>
          <w:tcPr>
            <w:tcW w:w="1418" w:type="dxa"/>
            <w:tcBorders>
              <w:top w:val="nil"/>
              <w:left w:val="single" w:sz="4" w:space="0" w:color="auto"/>
              <w:bottom w:val="nil"/>
              <w:right w:val="single" w:sz="4" w:space="0" w:color="auto"/>
            </w:tcBorders>
            <w:shd w:val="clear" w:color="auto" w:fill="auto"/>
            <w:noWrap/>
            <w:vAlign w:val="bottom"/>
            <w:hideMark/>
          </w:tcPr>
          <w:p w14:paraId="14866488" w14:textId="77777777" w:rsidR="00113A13" w:rsidRPr="00FF49DA" w:rsidRDefault="00113A13" w:rsidP="00312E88">
            <w:pPr>
              <w:jc w:val="center"/>
              <w:rPr>
                <w:rFonts w:cs="Arial"/>
                <w:color w:val="000000"/>
                <w:sz w:val="18"/>
                <w:szCs w:val="18"/>
              </w:rPr>
            </w:pPr>
            <w:r w:rsidRPr="00FF49DA">
              <w:rPr>
                <w:rFonts w:cs="Arial"/>
                <w:color w:val="000000"/>
                <w:sz w:val="18"/>
                <w:szCs w:val="18"/>
              </w:rPr>
              <w:t>1.99</w:t>
            </w:r>
          </w:p>
        </w:tc>
        <w:tc>
          <w:tcPr>
            <w:tcW w:w="1559" w:type="dxa"/>
            <w:tcBorders>
              <w:top w:val="nil"/>
              <w:left w:val="nil"/>
              <w:bottom w:val="nil"/>
              <w:right w:val="single" w:sz="4" w:space="0" w:color="auto"/>
            </w:tcBorders>
            <w:shd w:val="clear" w:color="auto" w:fill="auto"/>
            <w:noWrap/>
            <w:vAlign w:val="bottom"/>
            <w:hideMark/>
          </w:tcPr>
          <w:p w14:paraId="02CB7A45" w14:textId="77777777" w:rsidR="00113A13" w:rsidRPr="00FF49DA" w:rsidRDefault="00113A13" w:rsidP="00312E88">
            <w:pPr>
              <w:jc w:val="center"/>
              <w:rPr>
                <w:rFonts w:cs="Arial"/>
                <w:color w:val="000000"/>
                <w:sz w:val="18"/>
                <w:szCs w:val="18"/>
              </w:rPr>
            </w:pPr>
            <w:r w:rsidRPr="00FF49DA">
              <w:rPr>
                <w:rFonts w:cs="Arial"/>
                <w:color w:val="000000"/>
                <w:sz w:val="18"/>
                <w:szCs w:val="18"/>
              </w:rPr>
              <w:t>1,349</w:t>
            </w:r>
          </w:p>
        </w:tc>
        <w:tc>
          <w:tcPr>
            <w:tcW w:w="1276" w:type="dxa"/>
            <w:tcBorders>
              <w:top w:val="nil"/>
              <w:left w:val="single" w:sz="4" w:space="0" w:color="auto"/>
              <w:bottom w:val="nil"/>
              <w:right w:val="single" w:sz="4" w:space="0" w:color="auto"/>
            </w:tcBorders>
            <w:shd w:val="clear" w:color="auto" w:fill="auto"/>
            <w:noWrap/>
            <w:vAlign w:val="bottom"/>
            <w:hideMark/>
          </w:tcPr>
          <w:p w14:paraId="531E59C5" w14:textId="77777777" w:rsidR="00113A13" w:rsidRPr="00FF49DA" w:rsidRDefault="00113A13" w:rsidP="00312E88">
            <w:pPr>
              <w:jc w:val="center"/>
              <w:rPr>
                <w:rFonts w:cs="Arial"/>
                <w:color w:val="000000"/>
                <w:sz w:val="18"/>
                <w:szCs w:val="18"/>
              </w:rPr>
            </w:pPr>
            <w:r w:rsidRPr="00FF49DA">
              <w:rPr>
                <w:rFonts w:cs="Arial"/>
                <w:color w:val="000000"/>
                <w:sz w:val="18"/>
                <w:szCs w:val="18"/>
              </w:rPr>
              <w:t>2%</w:t>
            </w:r>
          </w:p>
        </w:tc>
      </w:tr>
      <w:tr w:rsidR="00113A13" w:rsidRPr="00FF49DA" w14:paraId="69ABEC78"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020D831D" w14:textId="77777777" w:rsidR="00113A13" w:rsidRPr="00FF49DA" w:rsidRDefault="00113A13" w:rsidP="00312E88">
            <w:pPr>
              <w:rPr>
                <w:rFonts w:cs="Arial"/>
                <w:color w:val="000000"/>
                <w:sz w:val="18"/>
                <w:szCs w:val="18"/>
              </w:rPr>
            </w:pPr>
            <w:r w:rsidRPr="00FF49DA">
              <w:rPr>
                <w:rFonts w:cs="Arial"/>
                <w:color w:val="000000"/>
                <w:sz w:val="18"/>
                <w:szCs w:val="18"/>
              </w:rPr>
              <w:t>Hearing Impairment</w:t>
            </w:r>
          </w:p>
        </w:tc>
        <w:tc>
          <w:tcPr>
            <w:tcW w:w="1417" w:type="dxa"/>
            <w:tcBorders>
              <w:top w:val="nil"/>
              <w:left w:val="single" w:sz="4" w:space="0" w:color="auto"/>
              <w:bottom w:val="nil"/>
              <w:right w:val="nil"/>
            </w:tcBorders>
            <w:shd w:val="clear" w:color="auto" w:fill="auto"/>
            <w:noWrap/>
            <w:vAlign w:val="bottom"/>
            <w:hideMark/>
          </w:tcPr>
          <w:p w14:paraId="5B6BA4F5" w14:textId="77777777" w:rsidR="00113A13" w:rsidRPr="00FF49DA" w:rsidRDefault="00113A13" w:rsidP="00312E88">
            <w:pPr>
              <w:jc w:val="center"/>
              <w:rPr>
                <w:rFonts w:cs="Arial"/>
                <w:color w:val="000000"/>
                <w:sz w:val="18"/>
                <w:szCs w:val="18"/>
              </w:rPr>
            </w:pPr>
            <w:r w:rsidRPr="00FF49DA">
              <w:rPr>
                <w:rFonts w:cs="Arial"/>
                <w:color w:val="000000"/>
                <w:sz w:val="18"/>
                <w:szCs w:val="18"/>
              </w:rPr>
              <w:t>2,672</w:t>
            </w:r>
          </w:p>
        </w:tc>
        <w:tc>
          <w:tcPr>
            <w:tcW w:w="1418" w:type="dxa"/>
            <w:tcBorders>
              <w:top w:val="nil"/>
              <w:left w:val="single" w:sz="4" w:space="0" w:color="auto"/>
              <w:bottom w:val="nil"/>
              <w:right w:val="single" w:sz="4" w:space="0" w:color="auto"/>
            </w:tcBorders>
            <w:shd w:val="clear" w:color="auto" w:fill="auto"/>
            <w:noWrap/>
            <w:vAlign w:val="bottom"/>
            <w:hideMark/>
          </w:tcPr>
          <w:p w14:paraId="4BA43867" w14:textId="77777777" w:rsidR="00113A13" w:rsidRPr="00FF49DA" w:rsidRDefault="00113A13" w:rsidP="00312E88">
            <w:pPr>
              <w:jc w:val="center"/>
              <w:rPr>
                <w:rFonts w:cs="Arial"/>
                <w:color w:val="000000"/>
                <w:sz w:val="18"/>
                <w:szCs w:val="18"/>
              </w:rPr>
            </w:pPr>
            <w:r w:rsidRPr="00FF49DA">
              <w:rPr>
                <w:rFonts w:cs="Arial"/>
                <w:color w:val="000000"/>
                <w:sz w:val="18"/>
                <w:szCs w:val="18"/>
              </w:rPr>
              <w:t>0.16</w:t>
            </w:r>
          </w:p>
        </w:tc>
        <w:tc>
          <w:tcPr>
            <w:tcW w:w="1559" w:type="dxa"/>
            <w:tcBorders>
              <w:top w:val="nil"/>
              <w:left w:val="nil"/>
              <w:bottom w:val="nil"/>
              <w:right w:val="single" w:sz="4" w:space="0" w:color="auto"/>
            </w:tcBorders>
            <w:shd w:val="clear" w:color="auto" w:fill="auto"/>
            <w:noWrap/>
            <w:vAlign w:val="bottom"/>
            <w:hideMark/>
          </w:tcPr>
          <w:p w14:paraId="76149963" w14:textId="77777777" w:rsidR="00113A13" w:rsidRPr="00FF49DA" w:rsidRDefault="00113A13" w:rsidP="00312E88">
            <w:pPr>
              <w:jc w:val="center"/>
              <w:rPr>
                <w:rFonts w:cs="Arial"/>
                <w:color w:val="000000"/>
                <w:sz w:val="18"/>
                <w:szCs w:val="18"/>
              </w:rPr>
            </w:pPr>
            <w:r w:rsidRPr="00FF49DA">
              <w:rPr>
                <w:rFonts w:cs="Arial"/>
                <w:color w:val="000000"/>
                <w:sz w:val="18"/>
                <w:szCs w:val="18"/>
              </w:rPr>
              <w:t>429</w:t>
            </w:r>
          </w:p>
        </w:tc>
        <w:tc>
          <w:tcPr>
            <w:tcW w:w="1276" w:type="dxa"/>
            <w:tcBorders>
              <w:top w:val="nil"/>
              <w:left w:val="single" w:sz="4" w:space="0" w:color="auto"/>
              <w:bottom w:val="nil"/>
              <w:right w:val="single" w:sz="4" w:space="0" w:color="auto"/>
            </w:tcBorders>
            <w:shd w:val="clear" w:color="auto" w:fill="auto"/>
            <w:noWrap/>
            <w:vAlign w:val="bottom"/>
            <w:hideMark/>
          </w:tcPr>
          <w:p w14:paraId="0F4D603B" w14:textId="77777777" w:rsidR="00113A13" w:rsidRPr="00FF49DA" w:rsidRDefault="00113A13" w:rsidP="00312E88">
            <w:pPr>
              <w:jc w:val="center"/>
              <w:rPr>
                <w:rFonts w:cs="Arial"/>
                <w:color w:val="000000"/>
                <w:sz w:val="18"/>
                <w:szCs w:val="18"/>
              </w:rPr>
            </w:pPr>
            <w:r w:rsidRPr="00FF49DA">
              <w:rPr>
                <w:rFonts w:cs="Arial"/>
                <w:color w:val="000000"/>
                <w:sz w:val="18"/>
                <w:szCs w:val="18"/>
              </w:rPr>
              <w:t>1%</w:t>
            </w:r>
          </w:p>
        </w:tc>
      </w:tr>
      <w:tr w:rsidR="00113A13" w:rsidRPr="00FF49DA" w14:paraId="1019757F"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039B97BB" w14:textId="77777777" w:rsidR="00113A13" w:rsidRPr="00FF49DA" w:rsidRDefault="00113A13" w:rsidP="00312E88">
            <w:pPr>
              <w:rPr>
                <w:rFonts w:cs="Arial"/>
                <w:color w:val="000000"/>
                <w:sz w:val="18"/>
                <w:szCs w:val="18"/>
              </w:rPr>
            </w:pPr>
            <w:r w:rsidRPr="00FF49DA">
              <w:rPr>
                <w:rFonts w:cs="Arial"/>
                <w:color w:val="000000"/>
                <w:sz w:val="18"/>
                <w:szCs w:val="18"/>
              </w:rPr>
              <w:t>Intellectual Disability</w:t>
            </w:r>
          </w:p>
        </w:tc>
        <w:tc>
          <w:tcPr>
            <w:tcW w:w="1417" w:type="dxa"/>
            <w:tcBorders>
              <w:top w:val="nil"/>
              <w:left w:val="single" w:sz="4" w:space="0" w:color="auto"/>
              <w:bottom w:val="nil"/>
              <w:right w:val="nil"/>
            </w:tcBorders>
            <w:shd w:val="clear" w:color="auto" w:fill="auto"/>
            <w:noWrap/>
            <w:vAlign w:val="bottom"/>
            <w:hideMark/>
          </w:tcPr>
          <w:p w14:paraId="03189623" w14:textId="77777777" w:rsidR="00113A13" w:rsidRPr="00FF49DA" w:rsidRDefault="00113A13" w:rsidP="00312E88">
            <w:pPr>
              <w:jc w:val="center"/>
              <w:rPr>
                <w:rFonts w:cs="Arial"/>
                <w:color w:val="000000"/>
                <w:sz w:val="18"/>
                <w:szCs w:val="18"/>
              </w:rPr>
            </w:pPr>
            <w:r w:rsidRPr="00FF49DA">
              <w:rPr>
                <w:rFonts w:cs="Arial"/>
                <w:color w:val="000000"/>
                <w:sz w:val="18"/>
                <w:szCs w:val="18"/>
              </w:rPr>
              <w:t>3,749</w:t>
            </w:r>
          </w:p>
        </w:tc>
        <w:tc>
          <w:tcPr>
            <w:tcW w:w="1418" w:type="dxa"/>
            <w:tcBorders>
              <w:top w:val="nil"/>
              <w:left w:val="single" w:sz="4" w:space="0" w:color="auto"/>
              <w:bottom w:val="nil"/>
              <w:right w:val="single" w:sz="4" w:space="0" w:color="auto"/>
            </w:tcBorders>
            <w:shd w:val="clear" w:color="auto" w:fill="auto"/>
            <w:noWrap/>
            <w:vAlign w:val="bottom"/>
            <w:hideMark/>
          </w:tcPr>
          <w:p w14:paraId="61446ED7" w14:textId="77777777" w:rsidR="00113A13" w:rsidRPr="00FF49DA" w:rsidRDefault="00113A13" w:rsidP="00312E88">
            <w:pPr>
              <w:jc w:val="center"/>
              <w:rPr>
                <w:rFonts w:cs="Arial"/>
                <w:color w:val="000000"/>
                <w:sz w:val="18"/>
                <w:szCs w:val="18"/>
              </w:rPr>
            </w:pPr>
            <w:r w:rsidRPr="00FF49DA">
              <w:rPr>
                <w:rFonts w:cs="Arial"/>
                <w:color w:val="000000"/>
                <w:sz w:val="18"/>
                <w:szCs w:val="18"/>
              </w:rPr>
              <w:t>2.11</w:t>
            </w:r>
          </w:p>
        </w:tc>
        <w:tc>
          <w:tcPr>
            <w:tcW w:w="1559" w:type="dxa"/>
            <w:tcBorders>
              <w:top w:val="nil"/>
              <w:left w:val="nil"/>
              <w:bottom w:val="nil"/>
              <w:right w:val="single" w:sz="4" w:space="0" w:color="auto"/>
            </w:tcBorders>
            <w:shd w:val="clear" w:color="auto" w:fill="auto"/>
            <w:noWrap/>
            <w:vAlign w:val="bottom"/>
            <w:hideMark/>
          </w:tcPr>
          <w:p w14:paraId="195D1BCE" w14:textId="77777777" w:rsidR="00113A13" w:rsidRPr="00FF49DA" w:rsidRDefault="00113A13" w:rsidP="00312E88">
            <w:pPr>
              <w:jc w:val="center"/>
              <w:rPr>
                <w:rFonts w:cs="Arial"/>
                <w:color w:val="000000"/>
                <w:sz w:val="18"/>
                <w:szCs w:val="18"/>
              </w:rPr>
            </w:pPr>
            <w:r w:rsidRPr="00FF49DA">
              <w:rPr>
                <w:rFonts w:cs="Arial"/>
                <w:color w:val="000000"/>
                <w:sz w:val="18"/>
                <w:szCs w:val="18"/>
              </w:rPr>
              <w:t>7,914</w:t>
            </w:r>
          </w:p>
        </w:tc>
        <w:tc>
          <w:tcPr>
            <w:tcW w:w="1276" w:type="dxa"/>
            <w:tcBorders>
              <w:top w:val="nil"/>
              <w:left w:val="single" w:sz="4" w:space="0" w:color="auto"/>
              <w:bottom w:val="nil"/>
              <w:right w:val="single" w:sz="4" w:space="0" w:color="auto"/>
            </w:tcBorders>
            <w:shd w:val="clear" w:color="auto" w:fill="auto"/>
            <w:noWrap/>
            <w:vAlign w:val="bottom"/>
            <w:hideMark/>
          </w:tcPr>
          <w:p w14:paraId="24007552" w14:textId="77777777" w:rsidR="00113A13" w:rsidRPr="00FF49DA" w:rsidRDefault="00113A13" w:rsidP="00312E88">
            <w:pPr>
              <w:jc w:val="center"/>
              <w:rPr>
                <w:rFonts w:cs="Arial"/>
                <w:color w:val="000000"/>
                <w:sz w:val="18"/>
                <w:szCs w:val="18"/>
              </w:rPr>
            </w:pPr>
            <w:r w:rsidRPr="00FF49DA">
              <w:rPr>
                <w:rFonts w:cs="Arial"/>
                <w:color w:val="000000"/>
                <w:sz w:val="18"/>
                <w:szCs w:val="18"/>
              </w:rPr>
              <w:t>12%</w:t>
            </w:r>
          </w:p>
        </w:tc>
      </w:tr>
      <w:tr w:rsidR="00113A13" w:rsidRPr="00FF49DA" w14:paraId="5CC39BAC"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3BBD484D" w14:textId="77777777" w:rsidR="00113A13" w:rsidRPr="00FF49DA" w:rsidRDefault="00113A13" w:rsidP="00312E88">
            <w:pPr>
              <w:rPr>
                <w:rFonts w:cs="Arial"/>
                <w:color w:val="000000"/>
                <w:sz w:val="18"/>
                <w:szCs w:val="18"/>
              </w:rPr>
            </w:pPr>
            <w:r w:rsidRPr="00FF49DA">
              <w:rPr>
                <w:rFonts w:cs="Arial"/>
                <w:color w:val="000000"/>
                <w:sz w:val="18"/>
                <w:szCs w:val="18"/>
              </w:rPr>
              <w:t>Multiple Sclerosis</w:t>
            </w:r>
          </w:p>
        </w:tc>
        <w:tc>
          <w:tcPr>
            <w:tcW w:w="1417" w:type="dxa"/>
            <w:tcBorders>
              <w:top w:val="nil"/>
              <w:left w:val="single" w:sz="4" w:space="0" w:color="auto"/>
              <w:bottom w:val="nil"/>
              <w:right w:val="nil"/>
            </w:tcBorders>
            <w:shd w:val="clear" w:color="auto" w:fill="auto"/>
            <w:noWrap/>
            <w:vAlign w:val="bottom"/>
            <w:hideMark/>
          </w:tcPr>
          <w:p w14:paraId="678B9088" w14:textId="77777777" w:rsidR="00113A13" w:rsidRPr="00FF49DA" w:rsidRDefault="00113A13" w:rsidP="00312E88">
            <w:pPr>
              <w:jc w:val="center"/>
              <w:rPr>
                <w:rFonts w:cs="Arial"/>
                <w:color w:val="000000"/>
                <w:sz w:val="18"/>
                <w:szCs w:val="18"/>
              </w:rPr>
            </w:pPr>
            <w:r w:rsidRPr="00FF49DA">
              <w:rPr>
                <w:rFonts w:cs="Arial"/>
                <w:color w:val="000000"/>
                <w:sz w:val="18"/>
                <w:szCs w:val="18"/>
              </w:rPr>
              <w:t>638</w:t>
            </w:r>
          </w:p>
        </w:tc>
        <w:tc>
          <w:tcPr>
            <w:tcW w:w="1418" w:type="dxa"/>
            <w:tcBorders>
              <w:top w:val="nil"/>
              <w:left w:val="single" w:sz="4" w:space="0" w:color="auto"/>
              <w:bottom w:val="nil"/>
              <w:right w:val="single" w:sz="4" w:space="0" w:color="auto"/>
            </w:tcBorders>
            <w:shd w:val="clear" w:color="auto" w:fill="auto"/>
            <w:noWrap/>
            <w:vAlign w:val="bottom"/>
            <w:hideMark/>
          </w:tcPr>
          <w:p w14:paraId="70349416" w14:textId="77777777" w:rsidR="00113A13" w:rsidRPr="00FF49DA" w:rsidRDefault="00113A13" w:rsidP="00312E88">
            <w:pPr>
              <w:jc w:val="center"/>
              <w:rPr>
                <w:rFonts w:cs="Arial"/>
                <w:color w:val="000000"/>
                <w:sz w:val="18"/>
                <w:szCs w:val="18"/>
              </w:rPr>
            </w:pPr>
            <w:r w:rsidRPr="00FF49DA">
              <w:rPr>
                <w:rFonts w:cs="Arial"/>
                <w:color w:val="000000"/>
                <w:sz w:val="18"/>
                <w:szCs w:val="18"/>
              </w:rPr>
              <w:t>1.13</w:t>
            </w:r>
          </w:p>
        </w:tc>
        <w:tc>
          <w:tcPr>
            <w:tcW w:w="1559" w:type="dxa"/>
            <w:tcBorders>
              <w:top w:val="nil"/>
              <w:left w:val="nil"/>
              <w:bottom w:val="nil"/>
              <w:right w:val="single" w:sz="4" w:space="0" w:color="auto"/>
            </w:tcBorders>
            <w:shd w:val="clear" w:color="auto" w:fill="auto"/>
            <w:noWrap/>
            <w:vAlign w:val="bottom"/>
            <w:hideMark/>
          </w:tcPr>
          <w:p w14:paraId="2C21F24D" w14:textId="77777777" w:rsidR="00113A13" w:rsidRPr="00FF49DA" w:rsidRDefault="00113A13" w:rsidP="00312E88">
            <w:pPr>
              <w:jc w:val="center"/>
              <w:rPr>
                <w:rFonts w:cs="Arial"/>
                <w:color w:val="000000"/>
                <w:sz w:val="18"/>
                <w:szCs w:val="18"/>
              </w:rPr>
            </w:pPr>
            <w:r w:rsidRPr="00FF49DA">
              <w:rPr>
                <w:rFonts w:cs="Arial"/>
                <w:color w:val="000000"/>
                <w:sz w:val="18"/>
                <w:szCs w:val="18"/>
              </w:rPr>
              <w:t>719</w:t>
            </w:r>
          </w:p>
        </w:tc>
        <w:tc>
          <w:tcPr>
            <w:tcW w:w="1276" w:type="dxa"/>
            <w:tcBorders>
              <w:top w:val="nil"/>
              <w:left w:val="single" w:sz="4" w:space="0" w:color="auto"/>
              <w:bottom w:val="nil"/>
              <w:right w:val="single" w:sz="4" w:space="0" w:color="auto"/>
            </w:tcBorders>
            <w:shd w:val="clear" w:color="auto" w:fill="auto"/>
            <w:noWrap/>
            <w:vAlign w:val="bottom"/>
            <w:hideMark/>
          </w:tcPr>
          <w:p w14:paraId="2D593370" w14:textId="77777777" w:rsidR="00113A13" w:rsidRPr="00FF49DA" w:rsidRDefault="00113A13" w:rsidP="00312E88">
            <w:pPr>
              <w:jc w:val="center"/>
              <w:rPr>
                <w:rFonts w:cs="Arial"/>
                <w:color w:val="000000"/>
                <w:sz w:val="18"/>
                <w:szCs w:val="18"/>
              </w:rPr>
            </w:pPr>
            <w:r w:rsidRPr="00FF49DA">
              <w:rPr>
                <w:rFonts w:cs="Arial"/>
                <w:color w:val="000000"/>
                <w:sz w:val="18"/>
                <w:szCs w:val="18"/>
              </w:rPr>
              <w:t>1%</w:t>
            </w:r>
          </w:p>
        </w:tc>
      </w:tr>
      <w:tr w:rsidR="00113A13" w:rsidRPr="00FF49DA" w14:paraId="0EA3ABE6"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5737F94A" w14:textId="63E9B19A" w:rsidR="00113A13" w:rsidRPr="00FF49DA" w:rsidRDefault="00604441" w:rsidP="00312E88">
            <w:pPr>
              <w:rPr>
                <w:rFonts w:cs="Arial"/>
                <w:color w:val="000000"/>
                <w:sz w:val="18"/>
                <w:szCs w:val="18"/>
              </w:rPr>
            </w:pPr>
            <w:r>
              <w:rPr>
                <w:rFonts w:cs="Arial"/>
                <w:color w:val="000000"/>
                <w:sz w:val="18"/>
                <w:szCs w:val="18"/>
              </w:rPr>
              <w:t xml:space="preserve">Developmental </w:t>
            </w:r>
            <w:r w:rsidR="00113A13" w:rsidRPr="00FF49DA">
              <w:rPr>
                <w:rFonts w:cs="Arial"/>
                <w:color w:val="000000"/>
                <w:sz w:val="18"/>
                <w:szCs w:val="18"/>
              </w:rPr>
              <w:t>Delay</w:t>
            </w:r>
          </w:p>
        </w:tc>
        <w:tc>
          <w:tcPr>
            <w:tcW w:w="1417" w:type="dxa"/>
            <w:tcBorders>
              <w:top w:val="nil"/>
              <w:left w:val="single" w:sz="4" w:space="0" w:color="auto"/>
              <w:bottom w:val="nil"/>
              <w:right w:val="nil"/>
            </w:tcBorders>
            <w:shd w:val="clear" w:color="auto" w:fill="auto"/>
            <w:noWrap/>
            <w:vAlign w:val="bottom"/>
            <w:hideMark/>
          </w:tcPr>
          <w:p w14:paraId="196363A0" w14:textId="77777777" w:rsidR="00113A13" w:rsidRPr="00FF49DA" w:rsidRDefault="00113A13" w:rsidP="00312E88">
            <w:pPr>
              <w:jc w:val="center"/>
              <w:rPr>
                <w:rFonts w:cs="Arial"/>
                <w:color w:val="000000"/>
                <w:sz w:val="18"/>
                <w:szCs w:val="18"/>
              </w:rPr>
            </w:pPr>
            <w:r w:rsidRPr="00FF49DA">
              <w:rPr>
                <w:rFonts w:cs="Arial"/>
                <w:color w:val="000000"/>
                <w:sz w:val="18"/>
                <w:szCs w:val="18"/>
              </w:rPr>
              <w:t>24,599</w:t>
            </w:r>
          </w:p>
        </w:tc>
        <w:tc>
          <w:tcPr>
            <w:tcW w:w="1418" w:type="dxa"/>
            <w:tcBorders>
              <w:top w:val="nil"/>
              <w:left w:val="single" w:sz="4" w:space="0" w:color="auto"/>
              <w:bottom w:val="nil"/>
              <w:right w:val="single" w:sz="4" w:space="0" w:color="auto"/>
            </w:tcBorders>
            <w:shd w:val="clear" w:color="auto" w:fill="auto"/>
            <w:noWrap/>
            <w:vAlign w:val="bottom"/>
            <w:hideMark/>
          </w:tcPr>
          <w:p w14:paraId="14F1BF81" w14:textId="77777777" w:rsidR="00113A13" w:rsidRPr="00FF49DA" w:rsidRDefault="00113A13" w:rsidP="00312E88">
            <w:pPr>
              <w:jc w:val="center"/>
              <w:rPr>
                <w:rFonts w:cs="Arial"/>
                <w:color w:val="000000"/>
                <w:sz w:val="18"/>
                <w:szCs w:val="18"/>
              </w:rPr>
            </w:pPr>
            <w:r w:rsidRPr="00FF49DA">
              <w:rPr>
                <w:rFonts w:cs="Arial"/>
                <w:color w:val="000000"/>
                <w:sz w:val="18"/>
                <w:szCs w:val="18"/>
              </w:rPr>
              <w:t>0.84</w:t>
            </w:r>
          </w:p>
        </w:tc>
        <w:tc>
          <w:tcPr>
            <w:tcW w:w="1559" w:type="dxa"/>
            <w:tcBorders>
              <w:top w:val="nil"/>
              <w:left w:val="nil"/>
              <w:bottom w:val="nil"/>
              <w:right w:val="single" w:sz="4" w:space="0" w:color="auto"/>
            </w:tcBorders>
            <w:shd w:val="clear" w:color="auto" w:fill="auto"/>
            <w:noWrap/>
            <w:vAlign w:val="bottom"/>
            <w:hideMark/>
          </w:tcPr>
          <w:p w14:paraId="194C6B31" w14:textId="77777777" w:rsidR="00113A13" w:rsidRPr="00FF49DA" w:rsidRDefault="00113A13" w:rsidP="00312E88">
            <w:pPr>
              <w:jc w:val="center"/>
              <w:rPr>
                <w:rFonts w:cs="Arial"/>
                <w:color w:val="000000"/>
                <w:sz w:val="18"/>
                <w:szCs w:val="18"/>
              </w:rPr>
            </w:pPr>
            <w:r w:rsidRPr="00FF49DA">
              <w:rPr>
                <w:rFonts w:cs="Arial"/>
                <w:color w:val="000000"/>
                <w:sz w:val="18"/>
                <w:szCs w:val="18"/>
              </w:rPr>
              <w:t>20,551</w:t>
            </w:r>
          </w:p>
        </w:tc>
        <w:tc>
          <w:tcPr>
            <w:tcW w:w="1276" w:type="dxa"/>
            <w:tcBorders>
              <w:top w:val="nil"/>
              <w:left w:val="single" w:sz="4" w:space="0" w:color="auto"/>
              <w:bottom w:val="nil"/>
              <w:right w:val="single" w:sz="4" w:space="0" w:color="auto"/>
            </w:tcBorders>
            <w:shd w:val="clear" w:color="auto" w:fill="auto"/>
            <w:noWrap/>
            <w:vAlign w:val="bottom"/>
            <w:hideMark/>
          </w:tcPr>
          <w:p w14:paraId="23B8FA8A" w14:textId="77777777" w:rsidR="00113A13" w:rsidRPr="00FF49DA" w:rsidRDefault="00113A13" w:rsidP="00312E88">
            <w:pPr>
              <w:jc w:val="center"/>
              <w:rPr>
                <w:rFonts w:cs="Arial"/>
                <w:color w:val="000000"/>
                <w:sz w:val="18"/>
                <w:szCs w:val="18"/>
              </w:rPr>
            </w:pPr>
            <w:r w:rsidRPr="00FF49DA">
              <w:rPr>
                <w:rFonts w:cs="Arial"/>
                <w:color w:val="000000"/>
                <w:sz w:val="18"/>
                <w:szCs w:val="18"/>
              </w:rPr>
              <w:t>31%</w:t>
            </w:r>
          </w:p>
        </w:tc>
      </w:tr>
      <w:tr w:rsidR="00113A13" w:rsidRPr="00FF49DA" w14:paraId="65203482"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380642FD" w14:textId="77777777" w:rsidR="00113A13" w:rsidRPr="00FF49DA" w:rsidRDefault="00113A13" w:rsidP="00312E88">
            <w:pPr>
              <w:rPr>
                <w:rFonts w:cs="Arial"/>
                <w:color w:val="000000"/>
                <w:sz w:val="18"/>
                <w:szCs w:val="18"/>
              </w:rPr>
            </w:pPr>
            <w:r w:rsidRPr="00FF49DA">
              <w:rPr>
                <w:rFonts w:cs="Arial"/>
                <w:color w:val="000000"/>
                <w:sz w:val="18"/>
                <w:szCs w:val="18"/>
              </w:rPr>
              <w:t>Other</w:t>
            </w:r>
          </w:p>
        </w:tc>
        <w:tc>
          <w:tcPr>
            <w:tcW w:w="1417" w:type="dxa"/>
            <w:tcBorders>
              <w:top w:val="nil"/>
              <w:left w:val="single" w:sz="4" w:space="0" w:color="auto"/>
              <w:bottom w:val="nil"/>
              <w:right w:val="nil"/>
            </w:tcBorders>
            <w:shd w:val="clear" w:color="auto" w:fill="auto"/>
            <w:noWrap/>
            <w:vAlign w:val="bottom"/>
            <w:hideMark/>
          </w:tcPr>
          <w:p w14:paraId="6344B2BC" w14:textId="77777777" w:rsidR="00113A13" w:rsidRPr="00FF49DA" w:rsidRDefault="00113A13" w:rsidP="00312E88">
            <w:pPr>
              <w:jc w:val="center"/>
              <w:rPr>
                <w:rFonts w:cs="Arial"/>
                <w:color w:val="000000"/>
                <w:sz w:val="18"/>
                <w:szCs w:val="18"/>
              </w:rPr>
            </w:pPr>
            <w:r w:rsidRPr="00FF49DA">
              <w:rPr>
                <w:rFonts w:cs="Arial"/>
                <w:color w:val="000000"/>
                <w:sz w:val="18"/>
                <w:szCs w:val="18"/>
              </w:rPr>
              <w:t>937</w:t>
            </w:r>
          </w:p>
        </w:tc>
        <w:tc>
          <w:tcPr>
            <w:tcW w:w="1418" w:type="dxa"/>
            <w:tcBorders>
              <w:top w:val="nil"/>
              <w:left w:val="single" w:sz="4" w:space="0" w:color="auto"/>
              <w:bottom w:val="nil"/>
              <w:right w:val="single" w:sz="4" w:space="0" w:color="auto"/>
            </w:tcBorders>
            <w:shd w:val="clear" w:color="auto" w:fill="auto"/>
            <w:noWrap/>
            <w:vAlign w:val="bottom"/>
            <w:hideMark/>
          </w:tcPr>
          <w:p w14:paraId="5D89B36E" w14:textId="77777777" w:rsidR="00113A13" w:rsidRPr="00FF49DA" w:rsidRDefault="00113A13" w:rsidP="00312E88">
            <w:pPr>
              <w:jc w:val="center"/>
              <w:rPr>
                <w:rFonts w:cs="Arial"/>
                <w:color w:val="000000"/>
                <w:sz w:val="18"/>
                <w:szCs w:val="18"/>
              </w:rPr>
            </w:pPr>
            <w:r w:rsidRPr="00FF49DA">
              <w:rPr>
                <w:rFonts w:cs="Arial"/>
                <w:color w:val="000000"/>
                <w:sz w:val="18"/>
                <w:szCs w:val="18"/>
              </w:rPr>
              <w:t>0.79</w:t>
            </w:r>
          </w:p>
        </w:tc>
        <w:tc>
          <w:tcPr>
            <w:tcW w:w="1559" w:type="dxa"/>
            <w:tcBorders>
              <w:top w:val="nil"/>
              <w:left w:val="nil"/>
              <w:bottom w:val="nil"/>
              <w:right w:val="single" w:sz="4" w:space="0" w:color="auto"/>
            </w:tcBorders>
            <w:shd w:val="clear" w:color="auto" w:fill="auto"/>
            <w:noWrap/>
            <w:vAlign w:val="bottom"/>
            <w:hideMark/>
          </w:tcPr>
          <w:p w14:paraId="06B57AB3" w14:textId="77777777" w:rsidR="00113A13" w:rsidRPr="00FF49DA" w:rsidRDefault="00113A13" w:rsidP="00312E88">
            <w:pPr>
              <w:jc w:val="center"/>
              <w:rPr>
                <w:rFonts w:cs="Arial"/>
                <w:color w:val="000000"/>
                <w:sz w:val="18"/>
                <w:szCs w:val="18"/>
              </w:rPr>
            </w:pPr>
            <w:r w:rsidRPr="00FF49DA">
              <w:rPr>
                <w:rFonts w:cs="Arial"/>
                <w:color w:val="000000"/>
                <w:sz w:val="18"/>
                <w:szCs w:val="18"/>
              </w:rPr>
              <w:t>738</w:t>
            </w:r>
          </w:p>
        </w:tc>
        <w:tc>
          <w:tcPr>
            <w:tcW w:w="1276" w:type="dxa"/>
            <w:tcBorders>
              <w:top w:val="nil"/>
              <w:left w:val="single" w:sz="4" w:space="0" w:color="auto"/>
              <w:bottom w:val="nil"/>
              <w:right w:val="single" w:sz="4" w:space="0" w:color="auto"/>
            </w:tcBorders>
            <w:shd w:val="clear" w:color="auto" w:fill="auto"/>
            <w:noWrap/>
            <w:vAlign w:val="bottom"/>
            <w:hideMark/>
          </w:tcPr>
          <w:p w14:paraId="7B30E28A" w14:textId="77777777" w:rsidR="00113A13" w:rsidRPr="00FF49DA" w:rsidRDefault="00113A13" w:rsidP="00312E88">
            <w:pPr>
              <w:jc w:val="center"/>
              <w:rPr>
                <w:rFonts w:cs="Arial"/>
                <w:color w:val="000000"/>
                <w:sz w:val="18"/>
                <w:szCs w:val="18"/>
              </w:rPr>
            </w:pPr>
            <w:r w:rsidRPr="00FF49DA">
              <w:rPr>
                <w:rFonts w:cs="Arial"/>
                <w:color w:val="000000"/>
                <w:sz w:val="18"/>
                <w:szCs w:val="18"/>
              </w:rPr>
              <w:t>1%</w:t>
            </w:r>
          </w:p>
        </w:tc>
      </w:tr>
      <w:tr w:rsidR="00113A13" w:rsidRPr="00FF49DA" w14:paraId="01DCAB60"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1F8B394B" w14:textId="77777777" w:rsidR="00113A13" w:rsidRPr="00FF49DA" w:rsidRDefault="00113A13" w:rsidP="00312E88">
            <w:pPr>
              <w:rPr>
                <w:rFonts w:cs="Arial"/>
                <w:color w:val="000000"/>
                <w:sz w:val="18"/>
                <w:szCs w:val="18"/>
              </w:rPr>
            </w:pPr>
            <w:r w:rsidRPr="00FF49DA">
              <w:rPr>
                <w:rFonts w:cs="Arial"/>
                <w:color w:val="000000"/>
                <w:sz w:val="18"/>
                <w:szCs w:val="18"/>
              </w:rPr>
              <w:t>Other Neurological</w:t>
            </w:r>
          </w:p>
        </w:tc>
        <w:tc>
          <w:tcPr>
            <w:tcW w:w="1417" w:type="dxa"/>
            <w:tcBorders>
              <w:top w:val="nil"/>
              <w:left w:val="single" w:sz="4" w:space="0" w:color="auto"/>
              <w:bottom w:val="nil"/>
              <w:right w:val="nil"/>
            </w:tcBorders>
            <w:shd w:val="clear" w:color="auto" w:fill="auto"/>
            <w:noWrap/>
            <w:vAlign w:val="bottom"/>
            <w:hideMark/>
          </w:tcPr>
          <w:p w14:paraId="3B21B276" w14:textId="77777777" w:rsidR="00113A13" w:rsidRPr="00FF49DA" w:rsidRDefault="00113A13" w:rsidP="00312E88">
            <w:pPr>
              <w:jc w:val="center"/>
              <w:rPr>
                <w:rFonts w:cs="Arial"/>
                <w:color w:val="000000"/>
                <w:sz w:val="18"/>
                <w:szCs w:val="18"/>
              </w:rPr>
            </w:pPr>
            <w:r w:rsidRPr="00FF49DA">
              <w:rPr>
                <w:rFonts w:cs="Arial"/>
                <w:color w:val="000000"/>
                <w:sz w:val="18"/>
                <w:szCs w:val="18"/>
              </w:rPr>
              <w:t>2,602</w:t>
            </w:r>
          </w:p>
        </w:tc>
        <w:tc>
          <w:tcPr>
            <w:tcW w:w="1418" w:type="dxa"/>
            <w:tcBorders>
              <w:top w:val="nil"/>
              <w:left w:val="single" w:sz="4" w:space="0" w:color="auto"/>
              <w:bottom w:val="nil"/>
              <w:right w:val="single" w:sz="4" w:space="0" w:color="auto"/>
            </w:tcBorders>
            <w:shd w:val="clear" w:color="auto" w:fill="auto"/>
            <w:noWrap/>
            <w:vAlign w:val="bottom"/>
            <w:hideMark/>
          </w:tcPr>
          <w:p w14:paraId="16C825E5" w14:textId="77777777" w:rsidR="00113A13" w:rsidRPr="00FF49DA" w:rsidRDefault="00113A13" w:rsidP="00312E88">
            <w:pPr>
              <w:jc w:val="center"/>
              <w:rPr>
                <w:rFonts w:cs="Arial"/>
                <w:color w:val="000000"/>
                <w:sz w:val="18"/>
                <w:szCs w:val="18"/>
              </w:rPr>
            </w:pPr>
            <w:r w:rsidRPr="00FF49DA">
              <w:rPr>
                <w:rFonts w:cs="Arial"/>
                <w:color w:val="000000"/>
                <w:sz w:val="18"/>
                <w:szCs w:val="18"/>
              </w:rPr>
              <w:t>0.96</w:t>
            </w:r>
          </w:p>
        </w:tc>
        <w:tc>
          <w:tcPr>
            <w:tcW w:w="1559" w:type="dxa"/>
            <w:tcBorders>
              <w:top w:val="nil"/>
              <w:left w:val="nil"/>
              <w:bottom w:val="nil"/>
              <w:right w:val="single" w:sz="4" w:space="0" w:color="auto"/>
            </w:tcBorders>
            <w:shd w:val="clear" w:color="auto" w:fill="auto"/>
            <w:noWrap/>
            <w:vAlign w:val="bottom"/>
            <w:hideMark/>
          </w:tcPr>
          <w:p w14:paraId="1762918B" w14:textId="77777777" w:rsidR="00113A13" w:rsidRPr="00FF49DA" w:rsidRDefault="00113A13" w:rsidP="00312E88">
            <w:pPr>
              <w:jc w:val="center"/>
              <w:rPr>
                <w:rFonts w:cs="Arial"/>
                <w:color w:val="000000"/>
                <w:sz w:val="18"/>
                <w:szCs w:val="18"/>
              </w:rPr>
            </w:pPr>
            <w:r w:rsidRPr="00FF49DA">
              <w:rPr>
                <w:rFonts w:cs="Arial"/>
                <w:color w:val="000000"/>
                <w:sz w:val="18"/>
                <w:szCs w:val="18"/>
              </w:rPr>
              <w:t>2,491</w:t>
            </w:r>
          </w:p>
        </w:tc>
        <w:tc>
          <w:tcPr>
            <w:tcW w:w="1276" w:type="dxa"/>
            <w:tcBorders>
              <w:top w:val="nil"/>
              <w:left w:val="single" w:sz="4" w:space="0" w:color="auto"/>
              <w:bottom w:val="nil"/>
              <w:right w:val="single" w:sz="4" w:space="0" w:color="auto"/>
            </w:tcBorders>
            <w:shd w:val="clear" w:color="auto" w:fill="auto"/>
            <w:noWrap/>
            <w:vAlign w:val="bottom"/>
            <w:hideMark/>
          </w:tcPr>
          <w:p w14:paraId="3B7642AF" w14:textId="77777777" w:rsidR="00113A13" w:rsidRPr="00FF49DA" w:rsidRDefault="00113A13" w:rsidP="00312E88">
            <w:pPr>
              <w:jc w:val="center"/>
              <w:rPr>
                <w:rFonts w:cs="Arial"/>
                <w:color w:val="000000"/>
                <w:sz w:val="18"/>
                <w:szCs w:val="18"/>
              </w:rPr>
            </w:pPr>
            <w:r w:rsidRPr="00FF49DA">
              <w:rPr>
                <w:rFonts w:cs="Arial"/>
                <w:color w:val="000000"/>
                <w:sz w:val="18"/>
                <w:szCs w:val="18"/>
              </w:rPr>
              <w:t>4%</w:t>
            </w:r>
          </w:p>
        </w:tc>
      </w:tr>
      <w:tr w:rsidR="00113A13" w:rsidRPr="00FF49DA" w14:paraId="22466306"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09A72193" w14:textId="77777777" w:rsidR="00113A13" w:rsidRPr="00FF49DA" w:rsidRDefault="00113A13" w:rsidP="00312E88">
            <w:pPr>
              <w:rPr>
                <w:rFonts w:cs="Arial"/>
                <w:color w:val="000000"/>
                <w:sz w:val="18"/>
                <w:szCs w:val="18"/>
              </w:rPr>
            </w:pPr>
            <w:r w:rsidRPr="00FF49DA">
              <w:rPr>
                <w:rFonts w:cs="Arial"/>
                <w:color w:val="000000"/>
                <w:sz w:val="18"/>
                <w:szCs w:val="18"/>
              </w:rPr>
              <w:t>Other Physical</w:t>
            </w:r>
          </w:p>
        </w:tc>
        <w:tc>
          <w:tcPr>
            <w:tcW w:w="1417" w:type="dxa"/>
            <w:tcBorders>
              <w:top w:val="nil"/>
              <w:left w:val="single" w:sz="4" w:space="0" w:color="auto"/>
              <w:bottom w:val="nil"/>
              <w:right w:val="nil"/>
            </w:tcBorders>
            <w:shd w:val="clear" w:color="auto" w:fill="auto"/>
            <w:noWrap/>
            <w:vAlign w:val="bottom"/>
            <w:hideMark/>
          </w:tcPr>
          <w:p w14:paraId="6BBFB182" w14:textId="77777777" w:rsidR="00113A13" w:rsidRPr="00FF49DA" w:rsidRDefault="00113A13" w:rsidP="00312E88">
            <w:pPr>
              <w:jc w:val="center"/>
              <w:rPr>
                <w:rFonts w:cs="Arial"/>
                <w:color w:val="000000"/>
                <w:sz w:val="18"/>
                <w:szCs w:val="18"/>
              </w:rPr>
            </w:pPr>
            <w:r w:rsidRPr="00FF49DA">
              <w:rPr>
                <w:rFonts w:cs="Arial"/>
                <w:color w:val="000000"/>
                <w:sz w:val="18"/>
                <w:szCs w:val="18"/>
              </w:rPr>
              <w:t>2,511</w:t>
            </w:r>
          </w:p>
        </w:tc>
        <w:tc>
          <w:tcPr>
            <w:tcW w:w="1418" w:type="dxa"/>
            <w:tcBorders>
              <w:top w:val="nil"/>
              <w:left w:val="single" w:sz="4" w:space="0" w:color="auto"/>
              <w:bottom w:val="nil"/>
              <w:right w:val="single" w:sz="4" w:space="0" w:color="auto"/>
            </w:tcBorders>
            <w:shd w:val="clear" w:color="auto" w:fill="auto"/>
            <w:noWrap/>
            <w:vAlign w:val="bottom"/>
            <w:hideMark/>
          </w:tcPr>
          <w:p w14:paraId="3409C666" w14:textId="77777777" w:rsidR="00113A13" w:rsidRPr="00FF49DA" w:rsidRDefault="00113A13" w:rsidP="00312E88">
            <w:pPr>
              <w:jc w:val="center"/>
              <w:rPr>
                <w:rFonts w:cs="Arial"/>
                <w:color w:val="000000"/>
                <w:sz w:val="18"/>
                <w:szCs w:val="18"/>
              </w:rPr>
            </w:pPr>
            <w:r w:rsidRPr="00FF49DA">
              <w:rPr>
                <w:rFonts w:cs="Arial"/>
                <w:color w:val="000000"/>
                <w:sz w:val="18"/>
                <w:szCs w:val="18"/>
              </w:rPr>
              <w:t>0.57</w:t>
            </w:r>
          </w:p>
        </w:tc>
        <w:tc>
          <w:tcPr>
            <w:tcW w:w="1559" w:type="dxa"/>
            <w:tcBorders>
              <w:top w:val="nil"/>
              <w:left w:val="nil"/>
              <w:bottom w:val="nil"/>
              <w:right w:val="single" w:sz="4" w:space="0" w:color="auto"/>
            </w:tcBorders>
            <w:shd w:val="clear" w:color="auto" w:fill="auto"/>
            <w:noWrap/>
            <w:vAlign w:val="bottom"/>
            <w:hideMark/>
          </w:tcPr>
          <w:p w14:paraId="760CFD42" w14:textId="77777777" w:rsidR="00113A13" w:rsidRPr="00FF49DA" w:rsidRDefault="00113A13" w:rsidP="00312E88">
            <w:pPr>
              <w:jc w:val="center"/>
              <w:rPr>
                <w:rFonts w:cs="Arial"/>
                <w:color w:val="000000"/>
                <w:sz w:val="18"/>
                <w:szCs w:val="18"/>
              </w:rPr>
            </w:pPr>
            <w:r w:rsidRPr="00FF49DA">
              <w:rPr>
                <w:rFonts w:cs="Arial"/>
                <w:color w:val="000000"/>
                <w:sz w:val="18"/>
                <w:szCs w:val="18"/>
              </w:rPr>
              <w:t>1,432</w:t>
            </w:r>
          </w:p>
        </w:tc>
        <w:tc>
          <w:tcPr>
            <w:tcW w:w="1276" w:type="dxa"/>
            <w:tcBorders>
              <w:top w:val="nil"/>
              <w:left w:val="single" w:sz="4" w:space="0" w:color="auto"/>
              <w:bottom w:val="nil"/>
              <w:right w:val="single" w:sz="4" w:space="0" w:color="auto"/>
            </w:tcBorders>
            <w:shd w:val="clear" w:color="auto" w:fill="auto"/>
            <w:noWrap/>
            <w:vAlign w:val="bottom"/>
            <w:hideMark/>
          </w:tcPr>
          <w:p w14:paraId="6B5CD4BF" w14:textId="77777777" w:rsidR="00113A13" w:rsidRPr="00FF49DA" w:rsidRDefault="00113A13" w:rsidP="00312E88">
            <w:pPr>
              <w:jc w:val="center"/>
              <w:rPr>
                <w:rFonts w:cs="Arial"/>
                <w:color w:val="000000"/>
                <w:sz w:val="18"/>
                <w:szCs w:val="18"/>
              </w:rPr>
            </w:pPr>
            <w:r w:rsidRPr="00FF49DA">
              <w:rPr>
                <w:rFonts w:cs="Arial"/>
                <w:color w:val="000000"/>
                <w:sz w:val="18"/>
                <w:szCs w:val="18"/>
              </w:rPr>
              <w:t>2%</w:t>
            </w:r>
          </w:p>
        </w:tc>
      </w:tr>
      <w:tr w:rsidR="00113A13" w:rsidRPr="00FF49DA" w14:paraId="0F1F1C1A"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0151B1DA" w14:textId="41186BA6" w:rsidR="00113A13" w:rsidRPr="00FF49DA" w:rsidRDefault="00113A13" w:rsidP="0046598B">
            <w:pPr>
              <w:rPr>
                <w:rFonts w:cs="Arial"/>
                <w:color w:val="000000"/>
                <w:sz w:val="18"/>
                <w:szCs w:val="18"/>
              </w:rPr>
            </w:pPr>
            <w:r w:rsidRPr="00FF49DA">
              <w:rPr>
                <w:rFonts w:cs="Arial"/>
                <w:color w:val="000000"/>
                <w:sz w:val="18"/>
                <w:szCs w:val="18"/>
              </w:rPr>
              <w:t>Other Sensory</w:t>
            </w:r>
            <w:r w:rsidR="0046598B">
              <w:rPr>
                <w:rFonts w:cs="Arial"/>
                <w:color w:val="000000"/>
                <w:sz w:val="18"/>
                <w:szCs w:val="18"/>
              </w:rPr>
              <w:t>/</w:t>
            </w:r>
            <w:r w:rsidRPr="00FF49DA">
              <w:rPr>
                <w:rFonts w:cs="Arial"/>
                <w:color w:val="000000"/>
                <w:sz w:val="18"/>
                <w:szCs w:val="18"/>
              </w:rPr>
              <w:t>Speech</w:t>
            </w:r>
          </w:p>
        </w:tc>
        <w:tc>
          <w:tcPr>
            <w:tcW w:w="1417" w:type="dxa"/>
            <w:tcBorders>
              <w:top w:val="nil"/>
              <w:left w:val="single" w:sz="4" w:space="0" w:color="auto"/>
              <w:bottom w:val="nil"/>
              <w:right w:val="nil"/>
            </w:tcBorders>
            <w:shd w:val="clear" w:color="auto" w:fill="auto"/>
            <w:noWrap/>
            <w:vAlign w:val="bottom"/>
            <w:hideMark/>
          </w:tcPr>
          <w:p w14:paraId="3620B56A" w14:textId="77777777" w:rsidR="00113A13" w:rsidRPr="00FF49DA" w:rsidRDefault="00113A13" w:rsidP="00312E88">
            <w:pPr>
              <w:jc w:val="center"/>
              <w:rPr>
                <w:rFonts w:cs="Arial"/>
                <w:color w:val="000000"/>
                <w:sz w:val="18"/>
                <w:szCs w:val="18"/>
              </w:rPr>
            </w:pPr>
            <w:r w:rsidRPr="00FF49DA">
              <w:rPr>
                <w:rFonts w:cs="Arial"/>
                <w:color w:val="000000"/>
                <w:sz w:val="18"/>
                <w:szCs w:val="18"/>
              </w:rPr>
              <w:t>433</w:t>
            </w:r>
          </w:p>
        </w:tc>
        <w:tc>
          <w:tcPr>
            <w:tcW w:w="1418" w:type="dxa"/>
            <w:tcBorders>
              <w:top w:val="nil"/>
              <w:left w:val="single" w:sz="4" w:space="0" w:color="auto"/>
              <w:bottom w:val="nil"/>
              <w:right w:val="single" w:sz="4" w:space="0" w:color="auto"/>
            </w:tcBorders>
            <w:shd w:val="clear" w:color="auto" w:fill="auto"/>
            <w:noWrap/>
            <w:vAlign w:val="bottom"/>
            <w:hideMark/>
          </w:tcPr>
          <w:p w14:paraId="1FDC6659" w14:textId="77777777" w:rsidR="00113A13" w:rsidRPr="00FF49DA" w:rsidRDefault="00113A13" w:rsidP="00312E88">
            <w:pPr>
              <w:jc w:val="center"/>
              <w:rPr>
                <w:rFonts w:cs="Arial"/>
                <w:color w:val="000000"/>
                <w:sz w:val="18"/>
                <w:szCs w:val="18"/>
              </w:rPr>
            </w:pPr>
            <w:r w:rsidRPr="00FF49DA">
              <w:rPr>
                <w:rFonts w:cs="Arial"/>
                <w:color w:val="000000"/>
                <w:sz w:val="18"/>
                <w:szCs w:val="18"/>
              </w:rPr>
              <w:t>0.05</w:t>
            </w:r>
          </w:p>
        </w:tc>
        <w:tc>
          <w:tcPr>
            <w:tcW w:w="1559" w:type="dxa"/>
            <w:tcBorders>
              <w:top w:val="nil"/>
              <w:left w:val="nil"/>
              <w:bottom w:val="nil"/>
              <w:right w:val="single" w:sz="4" w:space="0" w:color="auto"/>
            </w:tcBorders>
            <w:shd w:val="clear" w:color="auto" w:fill="auto"/>
            <w:noWrap/>
            <w:vAlign w:val="bottom"/>
            <w:hideMark/>
          </w:tcPr>
          <w:p w14:paraId="654F242B" w14:textId="77777777" w:rsidR="00113A13" w:rsidRPr="00FF49DA" w:rsidRDefault="00113A13" w:rsidP="00312E88">
            <w:pPr>
              <w:jc w:val="center"/>
              <w:rPr>
                <w:rFonts w:cs="Arial"/>
                <w:color w:val="000000"/>
                <w:sz w:val="18"/>
                <w:szCs w:val="18"/>
              </w:rPr>
            </w:pPr>
            <w:r w:rsidRPr="00FF49DA">
              <w:rPr>
                <w:rFonts w:cs="Arial"/>
                <w:color w:val="000000"/>
                <w:sz w:val="18"/>
                <w:szCs w:val="18"/>
              </w:rPr>
              <w:t>22</w:t>
            </w:r>
          </w:p>
        </w:tc>
        <w:tc>
          <w:tcPr>
            <w:tcW w:w="1276" w:type="dxa"/>
            <w:tcBorders>
              <w:top w:val="nil"/>
              <w:left w:val="single" w:sz="4" w:space="0" w:color="auto"/>
              <w:bottom w:val="nil"/>
              <w:right w:val="single" w:sz="4" w:space="0" w:color="auto"/>
            </w:tcBorders>
            <w:shd w:val="clear" w:color="auto" w:fill="auto"/>
            <w:noWrap/>
            <w:vAlign w:val="bottom"/>
            <w:hideMark/>
          </w:tcPr>
          <w:p w14:paraId="282B7C89" w14:textId="77777777" w:rsidR="00113A13" w:rsidRPr="00FF49DA" w:rsidRDefault="00113A13" w:rsidP="00312E88">
            <w:pPr>
              <w:jc w:val="center"/>
              <w:rPr>
                <w:rFonts w:cs="Arial"/>
                <w:color w:val="000000"/>
                <w:sz w:val="18"/>
                <w:szCs w:val="18"/>
              </w:rPr>
            </w:pPr>
            <w:r w:rsidRPr="00FF49DA">
              <w:rPr>
                <w:rFonts w:cs="Arial"/>
                <w:color w:val="000000"/>
                <w:sz w:val="18"/>
                <w:szCs w:val="18"/>
              </w:rPr>
              <w:t>0%</w:t>
            </w:r>
          </w:p>
        </w:tc>
      </w:tr>
      <w:tr w:rsidR="00113A13" w:rsidRPr="00FF49DA" w14:paraId="4BF45F2E"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3785D794" w14:textId="77777777" w:rsidR="00113A13" w:rsidRPr="00FF49DA" w:rsidRDefault="00113A13" w:rsidP="00312E88">
            <w:pPr>
              <w:rPr>
                <w:rFonts w:cs="Arial"/>
                <w:color w:val="000000"/>
                <w:sz w:val="18"/>
                <w:szCs w:val="18"/>
              </w:rPr>
            </w:pPr>
            <w:r w:rsidRPr="00FF49DA">
              <w:rPr>
                <w:rFonts w:cs="Arial"/>
                <w:color w:val="000000"/>
                <w:sz w:val="18"/>
                <w:szCs w:val="18"/>
              </w:rPr>
              <w:t>Psychosocial disability</w:t>
            </w:r>
          </w:p>
        </w:tc>
        <w:tc>
          <w:tcPr>
            <w:tcW w:w="1417" w:type="dxa"/>
            <w:tcBorders>
              <w:top w:val="nil"/>
              <w:left w:val="single" w:sz="4" w:space="0" w:color="auto"/>
              <w:bottom w:val="nil"/>
              <w:right w:val="nil"/>
            </w:tcBorders>
            <w:shd w:val="clear" w:color="auto" w:fill="auto"/>
            <w:noWrap/>
            <w:vAlign w:val="bottom"/>
            <w:hideMark/>
          </w:tcPr>
          <w:p w14:paraId="24AC2335" w14:textId="77777777" w:rsidR="00113A13" w:rsidRPr="00FF49DA" w:rsidRDefault="00113A13" w:rsidP="00312E88">
            <w:pPr>
              <w:jc w:val="center"/>
              <w:rPr>
                <w:rFonts w:cs="Arial"/>
                <w:color w:val="000000"/>
                <w:sz w:val="18"/>
                <w:szCs w:val="18"/>
              </w:rPr>
            </w:pPr>
            <w:r w:rsidRPr="00FF49DA">
              <w:rPr>
                <w:rFonts w:cs="Arial"/>
                <w:color w:val="000000"/>
                <w:sz w:val="18"/>
                <w:szCs w:val="18"/>
              </w:rPr>
              <w:t>5,193</w:t>
            </w:r>
          </w:p>
        </w:tc>
        <w:tc>
          <w:tcPr>
            <w:tcW w:w="1418" w:type="dxa"/>
            <w:tcBorders>
              <w:top w:val="nil"/>
              <w:left w:val="single" w:sz="4" w:space="0" w:color="auto"/>
              <w:bottom w:val="nil"/>
              <w:right w:val="single" w:sz="4" w:space="0" w:color="auto"/>
            </w:tcBorders>
            <w:shd w:val="clear" w:color="auto" w:fill="auto"/>
            <w:noWrap/>
            <w:vAlign w:val="bottom"/>
            <w:hideMark/>
          </w:tcPr>
          <w:p w14:paraId="7ACF64F1" w14:textId="77777777" w:rsidR="00113A13" w:rsidRPr="00FF49DA" w:rsidRDefault="00113A13" w:rsidP="00312E88">
            <w:pPr>
              <w:jc w:val="center"/>
              <w:rPr>
                <w:rFonts w:cs="Arial"/>
                <w:color w:val="000000"/>
                <w:sz w:val="18"/>
                <w:szCs w:val="18"/>
              </w:rPr>
            </w:pPr>
            <w:r w:rsidRPr="00FF49DA">
              <w:rPr>
                <w:rFonts w:cs="Arial"/>
                <w:color w:val="000000"/>
                <w:sz w:val="18"/>
                <w:szCs w:val="18"/>
              </w:rPr>
              <w:t>1.13</w:t>
            </w:r>
          </w:p>
        </w:tc>
        <w:tc>
          <w:tcPr>
            <w:tcW w:w="1559" w:type="dxa"/>
            <w:tcBorders>
              <w:top w:val="nil"/>
              <w:left w:val="nil"/>
              <w:bottom w:val="nil"/>
              <w:right w:val="single" w:sz="4" w:space="0" w:color="auto"/>
            </w:tcBorders>
            <w:shd w:val="clear" w:color="auto" w:fill="auto"/>
            <w:noWrap/>
            <w:vAlign w:val="bottom"/>
            <w:hideMark/>
          </w:tcPr>
          <w:p w14:paraId="016076B4" w14:textId="77777777" w:rsidR="00113A13" w:rsidRPr="00FF49DA" w:rsidRDefault="00113A13" w:rsidP="00312E88">
            <w:pPr>
              <w:jc w:val="center"/>
              <w:rPr>
                <w:rFonts w:cs="Arial"/>
                <w:color w:val="000000"/>
                <w:sz w:val="18"/>
                <w:szCs w:val="18"/>
              </w:rPr>
            </w:pPr>
            <w:r w:rsidRPr="00FF49DA">
              <w:rPr>
                <w:rFonts w:cs="Arial"/>
                <w:color w:val="000000"/>
                <w:sz w:val="18"/>
                <w:szCs w:val="18"/>
              </w:rPr>
              <w:t>5,848</w:t>
            </w:r>
          </w:p>
        </w:tc>
        <w:tc>
          <w:tcPr>
            <w:tcW w:w="1276" w:type="dxa"/>
            <w:tcBorders>
              <w:top w:val="nil"/>
              <w:left w:val="single" w:sz="4" w:space="0" w:color="auto"/>
              <w:bottom w:val="nil"/>
              <w:right w:val="single" w:sz="4" w:space="0" w:color="auto"/>
            </w:tcBorders>
            <w:shd w:val="clear" w:color="auto" w:fill="auto"/>
            <w:noWrap/>
            <w:vAlign w:val="bottom"/>
            <w:hideMark/>
          </w:tcPr>
          <w:p w14:paraId="6CB68252" w14:textId="77777777" w:rsidR="00113A13" w:rsidRPr="00FF49DA" w:rsidRDefault="00113A13" w:rsidP="00312E88">
            <w:pPr>
              <w:jc w:val="center"/>
              <w:rPr>
                <w:rFonts w:cs="Arial"/>
                <w:color w:val="000000"/>
                <w:sz w:val="18"/>
                <w:szCs w:val="18"/>
              </w:rPr>
            </w:pPr>
            <w:r w:rsidRPr="00FF49DA">
              <w:rPr>
                <w:rFonts w:cs="Arial"/>
                <w:color w:val="000000"/>
                <w:sz w:val="18"/>
                <w:szCs w:val="18"/>
              </w:rPr>
              <w:t>9%</w:t>
            </w:r>
          </w:p>
        </w:tc>
      </w:tr>
      <w:tr w:rsidR="00113A13" w:rsidRPr="00FF49DA" w14:paraId="67EBC267"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78F456E7" w14:textId="77777777" w:rsidR="00113A13" w:rsidRPr="00FF49DA" w:rsidRDefault="00113A13" w:rsidP="00312E88">
            <w:pPr>
              <w:rPr>
                <w:rFonts w:cs="Arial"/>
                <w:color w:val="000000"/>
                <w:sz w:val="18"/>
                <w:szCs w:val="18"/>
              </w:rPr>
            </w:pPr>
            <w:r w:rsidRPr="00FF49DA">
              <w:rPr>
                <w:rFonts w:cs="Arial"/>
                <w:color w:val="000000"/>
                <w:sz w:val="18"/>
                <w:szCs w:val="18"/>
              </w:rPr>
              <w:t>Spinal Cord Injury</w:t>
            </w:r>
          </w:p>
        </w:tc>
        <w:tc>
          <w:tcPr>
            <w:tcW w:w="1417" w:type="dxa"/>
            <w:tcBorders>
              <w:top w:val="nil"/>
              <w:left w:val="single" w:sz="4" w:space="0" w:color="auto"/>
              <w:bottom w:val="nil"/>
              <w:right w:val="nil"/>
            </w:tcBorders>
            <w:shd w:val="clear" w:color="auto" w:fill="auto"/>
            <w:noWrap/>
            <w:vAlign w:val="bottom"/>
            <w:hideMark/>
          </w:tcPr>
          <w:p w14:paraId="50B6CB09" w14:textId="77777777" w:rsidR="00113A13" w:rsidRPr="00FF49DA" w:rsidRDefault="00113A13" w:rsidP="00312E88">
            <w:pPr>
              <w:jc w:val="center"/>
              <w:rPr>
                <w:rFonts w:cs="Arial"/>
                <w:color w:val="000000"/>
                <w:sz w:val="18"/>
                <w:szCs w:val="18"/>
              </w:rPr>
            </w:pPr>
            <w:r w:rsidRPr="00FF49DA">
              <w:rPr>
                <w:rFonts w:cs="Arial"/>
                <w:color w:val="000000"/>
                <w:sz w:val="18"/>
                <w:szCs w:val="18"/>
              </w:rPr>
              <w:t>276</w:t>
            </w:r>
          </w:p>
        </w:tc>
        <w:tc>
          <w:tcPr>
            <w:tcW w:w="1418" w:type="dxa"/>
            <w:tcBorders>
              <w:top w:val="nil"/>
              <w:left w:val="single" w:sz="4" w:space="0" w:color="auto"/>
              <w:bottom w:val="nil"/>
              <w:right w:val="single" w:sz="4" w:space="0" w:color="auto"/>
            </w:tcBorders>
            <w:shd w:val="clear" w:color="auto" w:fill="auto"/>
            <w:noWrap/>
            <w:vAlign w:val="bottom"/>
            <w:hideMark/>
          </w:tcPr>
          <w:p w14:paraId="0F980080" w14:textId="77777777" w:rsidR="00113A13" w:rsidRPr="00FF49DA" w:rsidRDefault="00113A13" w:rsidP="00312E88">
            <w:pPr>
              <w:jc w:val="center"/>
              <w:rPr>
                <w:rFonts w:cs="Arial"/>
                <w:color w:val="000000"/>
                <w:sz w:val="18"/>
                <w:szCs w:val="18"/>
              </w:rPr>
            </w:pPr>
            <w:r w:rsidRPr="00FF49DA">
              <w:rPr>
                <w:rFonts w:cs="Arial"/>
                <w:color w:val="000000"/>
                <w:sz w:val="18"/>
                <w:szCs w:val="18"/>
              </w:rPr>
              <w:t>2.15</w:t>
            </w:r>
          </w:p>
        </w:tc>
        <w:tc>
          <w:tcPr>
            <w:tcW w:w="1559" w:type="dxa"/>
            <w:tcBorders>
              <w:top w:val="nil"/>
              <w:left w:val="nil"/>
              <w:bottom w:val="nil"/>
              <w:right w:val="single" w:sz="4" w:space="0" w:color="auto"/>
            </w:tcBorders>
            <w:shd w:val="clear" w:color="auto" w:fill="auto"/>
            <w:noWrap/>
            <w:vAlign w:val="bottom"/>
            <w:hideMark/>
          </w:tcPr>
          <w:p w14:paraId="5557D503" w14:textId="77777777" w:rsidR="00113A13" w:rsidRPr="00FF49DA" w:rsidRDefault="00113A13" w:rsidP="00312E88">
            <w:pPr>
              <w:jc w:val="center"/>
              <w:rPr>
                <w:rFonts w:cs="Arial"/>
                <w:color w:val="000000"/>
                <w:sz w:val="18"/>
                <w:szCs w:val="18"/>
              </w:rPr>
            </w:pPr>
            <w:r w:rsidRPr="00FF49DA">
              <w:rPr>
                <w:rFonts w:cs="Arial"/>
                <w:color w:val="000000"/>
                <w:sz w:val="18"/>
                <w:szCs w:val="18"/>
              </w:rPr>
              <w:t>592</w:t>
            </w:r>
          </w:p>
        </w:tc>
        <w:tc>
          <w:tcPr>
            <w:tcW w:w="1276" w:type="dxa"/>
            <w:tcBorders>
              <w:top w:val="nil"/>
              <w:left w:val="single" w:sz="4" w:space="0" w:color="auto"/>
              <w:bottom w:val="nil"/>
              <w:right w:val="single" w:sz="4" w:space="0" w:color="auto"/>
            </w:tcBorders>
            <w:shd w:val="clear" w:color="auto" w:fill="auto"/>
            <w:noWrap/>
            <w:vAlign w:val="bottom"/>
            <w:hideMark/>
          </w:tcPr>
          <w:p w14:paraId="2593BBDE" w14:textId="77777777" w:rsidR="00113A13" w:rsidRPr="00FF49DA" w:rsidRDefault="00113A13" w:rsidP="00312E88">
            <w:pPr>
              <w:jc w:val="center"/>
              <w:rPr>
                <w:rFonts w:cs="Arial"/>
                <w:color w:val="000000"/>
                <w:sz w:val="18"/>
                <w:szCs w:val="18"/>
              </w:rPr>
            </w:pPr>
            <w:r w:rsidRPr="00FF49DA">
              <w:rPr>
                <w:rFonts w:cs="Arial"/>
                <w:color w:val="000000"/>
                <w:sz w:val="18"/>
                <w:szCs w:val="18"/>
              </w:rPr>
              <w:t>1%</w:t>
            </w:r>
          </w:p>
        </w:tc>
      </w:tr>
      <w:tr w:rsidR="00113A13" w:rsidRPr="00FF49DA" w14:paraId="2DEC2251"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5A8DD6F6" w14:textId="77777777" w:rsidR="00113A13" w:rsidRPr="00FF49DA" w:rsidRDefault="00113A13" w:rsidP="00312E88">
            <w:pPr>
              <w:rPr>
                <w:rFonts w:cs="Arial"/>
                <w:color w:val="000000"/>
                <w:sz w:val="18"/>
                <w:szCs w:val="18"/>
              </w:rPr>
            </w:pPr>
            <w:r w:rsidRPr="00FF49DA">
              <w:rPr>
                <w:rFonts w:cs="Arial"/>
                <w:color w:val="000000"/>
                <w:sz w:val="18"/>
                <w:szCs w:val="18"/>
              </w:rPr>
              <w:t>Stroke</w:t>
            </w:r>
          </w:p>
        </w:tc>
        <w:tc>
          <w:tcPr>
            <w:tcW w:w="1417" w:type="dxa"/>
            <w:tcBorders>
              <w:top w:val="nil"/>
              <w:left w:val="single" w:sz="4" w:space="0" w:color="auto"/>
              <w:bottom w:val="nil"/>
              <w:right w:val="nil"/>
            </w:tcBorders>
            <w:shd w:val="clear" w:color="auto" w:fill="auto"/>
            <w:noWrap/>
            <w:vAlign w:val="bottom"/>
            <w:hideMark/>
          </w:tcPr>
          <w:p w14:paraId="0E7C8AA4" w14:textId="77777777" w:rsidR="00113A13" w:rsidRPr="00FF49DA" w:rsidRDefault="00113A13" w:rsidP="00312E88">
            <w:pPr>
              <w:jc w:val="center"/>
              <w:rPr>
                <w:rFonts w:cs="Arial"/>
                <w:color w:val="000000"/>
                <w:sz w:val="18"/>
                <w:szCs w:val="18"/>
              </w:rPr>
            </w:pPr>
            <w:r w:rsidRPr="00FF49DA">
              <w:rPr>
                <w:rFonts w:cs="Arial"/>
                <w:color w:val="000000"/>
                <w:sz w:val="18"/>
                <w:szCs w:val="18"/>
              </w:rPr>
              <w:t>1,020</w:t>
            </w:r>
          </w:p>
        </w:tc>
        <w:tc>
          <w:tcPr>
            <w:tcW w:w="1418" w:type="dxa"/>
            <w:tcBorders>
              <w:top w:val="nil"/>
              <w:left w:val="single" w:sz="4" w:space="0" w:color="auto"/>
              <w:bottom w:val="nil"/>
              <w:right w:val="single" w:sz="4" w:space="0" w:color="auto"/>
            </w:tcBorders>
            <w:shd w:val="clear" w:color="auto" w:fill="auto"/>
            <w:noWrap/>
            <w:vAlign w:val="bottom"/>
            <w:hideMark/>
          </w:tcPr>
          <w:p w14:paraId="5ADF5EF0" w14:textId="77777777" w:rsidR="00113A13" w:rsidRPr="00FF49DA" w:rsidRDefault="00113A13" w:rsidP="00312E88">
            <w:pPr>
              <w:jc w:val="center"/>
              <w:rPr>
                <w:rFonts w:cs="Arial"/>
                <w:color w:val="000000"/>
                <w:sz w:val="18"/>
                <w:szCs w:val="18"/>
              </w:rPr>
            </w:pPr>
            <w:r w:rsidRPr="00FF49DA">
              <w:rPr>
                <w:rFonts w:cs="Arial"/>
                <w:color w:val="000000"/>
                <w:sz w:val="18"/>
                <w:szCs w:val="18"/>
              </w:rPr>
              <w:t>1.23</w:t>
            </w:r>
          </w:p>
        </w:tc>
        <w:tc>
          <w:tcPr>
            <w:tcW w:w="1559" w:type="dxa"/>
            <w:tcBorders>
              <w:top w:val="nil"/>
              <w:left w:val="nil"/>
              <w:bottom w:val="nil"/>
              <w:right w:val="single" w:sz="4" w:space="0" w:color="auto"/>
            </w:tcBorders>
            <w:shd w:val="clear" w:color="auto" w:fill="auto"/>
            <w:noWrap/>
            <w:vAlign w:val="bottom"/>
            <w:hideMark/>
          </w:tcPr>
          <w:p w14:paraId="464A0137" w14:textId="77777777" w:rsidR="00113A13" w:rsidRPr="00FF49DA" w:rsidRDefault="00113A13" w:rsidP="00312E88">
            <w:pPr>
              <w:jc w:val="center"/>
              <w:rPr>
                <w:rFonts w:cs="Arial"/>
                <w:color w:val="000000"/>
                <w:sz w:val="18"/>
                <w:szCs w:val="18"/>
              </w:rPr>
            </w:pPr>
            <w:r w:rsidRPr="00FF49DA">
              <w:rPr>
                <w:rFonts w:cs="Arial"/>
                <w:color w:val="000000"/>
                <w:sz w:val="18"/>
                <w:szCs w:val="18"/>
              </w:rPr>
              <w:t>1,259</w:t>
            </w:r>
          </w:p>
        </w:tc>
        <w:tc>
          <w:tcPr>
            <w:tcW w:w="1276" w:type="dxa"/>
            <w:tcBorders>
              <w:top w:val="nil"/>
              <w:left w:val="single" w:sz="4" w:space="0" w:color="auto"/>
              <w:bottom w:val="nil"/>
              <w:right w:val="single" w:sz="4" w:space="0" w:color="auto"/>
            </w:tcBorders>
            <w:shd w:val="clear" w:color="auto" w:fill="auto"/>
            <w:noWrap/>
            <w:vAlign w:val="bottom"/>
            <w:hideMark/>
          </w:tcPr>
          <w:p w14:paraId="201D87A1" w14:textId="77777777" w:rsidR="00113A13" w:rsidRPr="00FF49DA" w:rsidRDefault="00113A13" w:rsidP="00312E88">
            <w:pPr>
              <w:jc w:val="center"/>
              <w:rPr>
                <w:rFonts w:cs="Arial"/>
                <w:color w:val="000000"/>
                <w:sz w:val="18"/>
                <w:szCs w:val="18"/>
              </w:rPr>
            </w:pPr>
            <w:r w:rsidRPr="00FF49DA">
              <w:rPr>
                <w:rFonts w:cs="Arial"/>
                <w:color w:val="000000"/>
                <w:sz w:val="18"/>
                <w:szCs w:val="18"/>
              </w:rPr>
              <w:t>2%</w:t>
            </w:r>
          </w:p>
        </w:tc>
      </w:tr>
      <w:tr w:rsidR="00113A13" w:rsidRPr="00FF49DA" w14:paraId="66E76A69" w14:textId="77777777" w:rsidTr="00113A13">
        <w:trPr>
          <w:trHeight w:hRule="exact" w:val="284"/>
        </w:trPr>
        <w:tc>
          <w:tcPr>
            <w:tcW w:w="2122" w:type="dxa"/>
            <w:tcBorders>
              <w:top w:val="nil"/>
              <w:left w:val="single" w:sz="4" w:space="0" w:color="auto"/>
              <w:bottom w:val="nil"/>
              <w:right w:val="nil"/>
            </w:tcBorders>
            <w:shd w:val="clear" w:color="auto" w:fill="auto"/>
            <w:noWrap/>
            <w:vAlign w:val="bottom"/>
            <w:hideMark/>
          </w:tcPr>
          <w:p w14:paraId="56ED3698" w14:textId="77777777" w:rsidR="00113A13" w:rsidRPr="00FF49DA" w:rsidRDefault="00113A13" w:rsidP="00312E88">
            <w:pPr>
              <w:rPr>
                <w:rFonts w:cs="Arial"/>
                <w:color w:val="000000"/>
                <w:sz w:val="18"/>
                <w:szCs w:val="18"/>
              </w:rPr>
            </w:pPr>
            <w:r w:rsidRPr="00FF49DA">
              <w:rPr>
                <w:rFonts w:cs="Arial"/>
                <w:color w:val="000000"/>
                <w:sz w:val="18"/>
                <w:szCs w:val="18"/>
              </w:rPr>
              <w:t>Visual Impairment</w:t>
            </w:r>
          </w:p>
        </w:tc>
        <w:tc>
          <w:tcPr>
            <w:tcW w:w="1417" w:type="dxa"/>
            <w:tcBorders>
              <w:top w:val="nil"/>
              <w:left w:val="single" w:sz="4" w:space="0" w:color="auto"/>
              <w:bottom w:val="nil"/>
              <w:right w:val="nil"/>
            </w:tcBorders>
            <w:shd w:val="clear" w:color="auto" w:fill="auto"/>
            <w:noWrap/>
            <w:vAlign w:val="bottom"/>
            <w:hideMark/>
          </w:tcPr>
          <w:p w14:paraId="655455C2" w14:textId="77777777" w:rsidR="00113A13" w:rsidRPr="00FF49DA" w:rsidRDefault="00113A13" w:rsidP="00312E88">
            <w:pPr>
              <w:jc w:val="center"/>
              <w:rPr>
                <w:rFonts w:cs="Arial"/>
                <w:color w:val="000000"/>
                <w:sz w:val="18"/>
                <w:szCs w:val="18"/>
              </w:rPr>
            </w:pPr>
            <w:r w:rsidRPr="00FF49DA">
              <w:rPr>
                <w:rFonts w:cs="Arial"/>
                <w:color w:val="000000"/>
                <w:sz w:val="18"/>
                <w:szCs w:val="18"/>
              </w:rPr>
              <w:t>653</w:t>
            </w:r>
          </w:p>
        </w:tc>
        <w:tc>
          <w:tcPr>
            <w:tcW w:w="1418" w:type="dxa"/>
            <w:tcBorders>
              <w:top w:val="nil"/>
              <w:left w:val="single" w:sz="4" w:space="0" w:color="auto"/>
              <w:bottom w:val="nil"/>
              <w:right w:val="single" w:sz="4" w:space="0" w:color="auto"/>
            </w:tcBorders>
            <w:shd w:val="clear" w:color="auto" w:fill="auto"/>
            <w:noWrap/>
            <w:vAlign w:val="bottom"/>
            <w:hideMark/>
          </w:tcPr>
          <w:p w14:paraId="6F6AECEF" w14:textId="77777777" w:rsidR="00113A13" w:rsidRPr="00FF49DA" w:rsidRDefault="00113A13" w:rsidP="00312E88">
            <w:pPr>
              <w:jc w:val="center"/>
              <w:rPr>
                <w:rFonts w:cs="Arial"/>
                <w:color w:val="000000"/>
                <w:sz w:val="18"/>
                <w:szCs w:val="18"/>
              </w:rPr>
            </w:pPr>
            <w:r w:rsidRPr="00FF49DA">
              <w:rPr>
                <w:rFonts w:cs="Arial"/>
                <w:color w:val="000000"/>
                <w:sz w:val="18"/>
                <w:szCs w:val="18"/>
              </w:rPr>
              <w:t>0.56</w:t>
            </w:r>
          </w:p>
        </w:tc>
        <w:tc>
          <w:tcPr>
            <w:tcW w:w="1559" w:type="dxa"/>
            <w:tcBorders>
              <w:top w:val="nil"/>
              <w:left w:val="nil"/>
              <w:bottom w:val="nil"/>
              <w:right w:val="single" w:sz="4" w:space="0" w:color="auto"/>
            </w:tcBorders>
            <w:shd w:val="clear" w:color="auto" w:fill="auto"/>
            <w:noWrap/>
            <w:vAlign w:val="bottom"/>
            <w:hideMark/>
          </w:tcPr>
          <w:p w14:paraId="74107785" w14:textId="77777777" w:rsidR="00113A13" w:rsidRPr="00FF49DA" w:rsidRDefault="00113A13" w:rsidP="00312E88">
            <w:pPr>
              <w:jc w:val="center"/>
              <w:rPr>
                <w:rFonts w:cs="Arial"/>
                <w:color w:val="000000"/>
                <w:sz w:val="18"/>
                <w:szCs w:val="18"/>
              </w:rPr>
            </w:pPr>
            <w:r w:rsidRPr="00FF49DA">
              <w:rPr>
                <w:rFonts w:cs="Arial"/>
                <w:color w:val="000000"/>
                <w:sz w:val="18"/>
                <w:szCs w:val="18"/>
              </w:rPr>
              <w:t>367</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6C61C55" w14:textId="77777777" w:rsidR="00113A13" w:rsidRPr="00FF49DA" w:rsidRDefault="00113A13" w:rsidP="00312E88">
            <w:pPr>
              <w:jc w:val="center"/>
              <w:rPr>
                <w:rFonts w:cs="Arial"/>
                <w:color w:val="000000"/>
                <w:sz w:val="18"/>
                <w:szCs w:val="18"/>
              </w:rPr>
            </w:pPr>
            <w:r w:rsidRPr="00FF49DA">
              <w:rPr>
                <w:rFonts w:cs="Arial"/>
                <w:color w:val="000000"/>
                <w:sz w:val="18"/>
                <w:szCs w:val="18"/>
              </w:rPr>
              <w:t>1%</w:t>
            </w:r>
          </w:p>
        </w:tc>
      </w:tr>
      <w:tr w:rsidR="00113A13" w:rsidRPr="00FF49DA" w14:paraId="138B3506" w14:textId="77777777" w:rsidTr="00113A13">
        <w:trPr>
          <w:trHeight w:hRule="exact" w:val="284"/>
        </w:trPr>
        <w:tc>
          <w:tcPr>
            <w:tcW w:w="2122" w:type="dxa"/>
            <w:tcBorders>
              <w:top w:val="single" w:sz="4" w:space="0" w:color="auto"/>
              <w:left w:val="single" w:sz="4" w:space="0" w:color="auto"/>
              <w:bottom w:val="single" w:sz="4" w:space="0" w:color="auto"/>
              <w:right w:val="nil"/>
            </w:tcBorders>
            <w:shd w:val="clear" w:color="auto" w:fill="auto"/>
            <w:noWrap/>
            <w:vAlign w:val="bottom"/>
            <w:hideMark/>
          </w:tcPr>
          <w:p w14:paraId="56EA3967" w14:textId="77777777" w:rsidR="00113A13" w:rsidRPr="00FF49DA" w:rsidRDefault="00113A13" w:rsidP="00312E88">
            <w:pPr>
              <w:rPr>
                <w:rFonts w:cs="Arial"/>
                <w:b/>
                <w:bCs/>
                <w:color w:val="000000"/>
                <w:sz w:val="18"/>
                <w:szCs w:val="18"/>
              </w:rPr>
            </w:pPr>
            <w:r w:rsidRPr="00FF49DA">
              <w:rPr>
                <w:rFonts w:cs="Arial"/>
                <w:b/>
                <w:bCs/>
                <w:color w:val="000000"/>
                <w:sz w:val="18"/>
                <w:szCs w:val="18"/>
              </w:rPr>
              <w:t>Total</w:t>
            </w:r>
          </w:p>
        </w:tc>
        <w:tc>
          <w:tcPr>
            <w:tcW w:w="1417" w:type="dxa"/>
            <w:tcBorders>
              <w:top w:val="single" w:sz="4" w:space="0" w:color="auto"/>
              <w:left w:val="single" w:sz="4" w:space="0" w:color="auto"/>
              <w:bottom w:val="single" w:sz="4" w:space="0" w:color="auto"/>
              <w:right w:val="nil"/>
            </w:tcBorders>
            <w:shd w:val="clear" w:color="auto" w:fill="auto"/>
            <w:noWrap/>
            <w:vAlign w:val="bottom"/>
            <w:hideMark/>
          </w:tcPr>
          <w:p w14:paraId="72A8F689" w14:textId="77777777" w:rsidR="00113A13" w:rsidRPr="00FF49DA" w:rsidRDefault="00113A13" w:rsidP="00312E88">
            <w:pPr>
              <w:jc w:val="center"/>
              <w:rPr>
                <w:rFonts w:cs="Arial"/>
                <w:b/>
                <w:bCs/>
                <w:color w:val="000000"/>
                <w:sz w:val="18"/>
                <w:szCs w:val="18"/>
              </w:rPr>
            </w:pPr>
            <w:r w:rsidRPr="00FF49DA">
              <w:rPr>
                <w:rFonts w:cs="Arial"/>
                <w:b/>
                <w:bCs/>
                <w:color w:val="000000"/>
                <w:sz w:val="18"/>
                <w:szCs w:val="18"/>
              </w:rPr>
              <w:t>59,178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6E8F8" w14:textId="77777777" w:rsidR="00113A13" w:rsidRPr="00FF49DA" w:rsidRDefault="00113A13" w:rsidP="00312E88">
            <w:pPr>
              <w:jc w:val="center"/>
              <w:rPr>
                <w:rFonts w:cs="Arial"/>
                <w:b/>
                <w:bCs/>
                <w:color w:val="000000"/>
                <w:sz w:val="18"/>
                <w:szCs w:val="18"/>
              </w:rPr>
            </w:pPr>
            <w:r w:rsidRPr="00FF49DA">
              <w:rPr>
                <w:rFonts w:cs="Arial"/>
                <w:b/>
                <w:bCs/>
                <w:color w:val="000000"/>
                <w:sz w:val="18"/>
                <w:szCs w:val="18"/>
              </w:rPr>
              <w:t>1.13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F244E08" w14:textId="77777777" w:rsidR="00113A13" w:rsidRPr="00FF49DA" w:rsidRDefault="00113A13" w:rsidP="00312E88">
            <w:pPr>
              <w:jc w:val="center"/>
              <w:rPr>
                <w:rFonts w:cs="Arial"/>
                <w:b/>
                <w:bCs/>
                <w:color w:val="000000"/>
                <w:sz w:val="18"/>
                <w:szCs w:val="18"/>
              </w:rPr>
            </w:pPr>
            <w:r w:rsidRPr="00FF49DA">
              <w:rPr>
                <w:rFonts w:cs="Arial"/>
                <w:b/>
                <w:bCs/>
                <w:color w:val="000000"/>
                <w:sz w:val="18"/>
                <w:szCs w:val="18"/>
              </w:rPr>
              <w:t>66,978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25DDF" w14:textId="77777777" w:rsidR="00113A13" w:rsidRPr="00FF49DA" w:rsidRDefault="00113A13" w:rsidP="00312E88">
            <w:pPr>
              <w:jc w:val="center"/>
              <w:rPr>
                <w:rFonts w:cs="Arial"/>
                <w:color w:val="000000"/>
                <w:sz w:val="18"/>
                <w:szCs w:val="18"/>
              </w:rPr>
            </w:pPr>
            <w:r w:rsidRPr="00FF49DA">
              <w:rPr>
                <w:rFonts w:cs="Arial"/>
                <w:color w:val="000000"/>
                <w:sz w:val="18"/>
                <w:szCs w:val="18"/>
              </w:rPr>
              <w:t>100%</w:t>
            </w:r>
          </w:p>
        </w:tc>
      </w:tr>
      <w:tr w:rsidR="00113A13" w:rsidRPr="00FF49DA" w14:paraId="3A2FB5F6" w14:textId="77777777" w:rsidTr="00113A13">
        <w:trPr>
          <w:trHeight w:val="300"/>
        </w:trPr>
        <w:tc>
          <w:tcPr>
            <w:tcW w:w="2122" w:type="dxa"/>
            <w:tcBorders>
              <w:top w:val="nil"/>
              <w:left w:val="nil"/>
              <w:bottom w:val="nil"/>
              <w:right w:val="nil"/>
            </w:tcBorders>
            <w:shd w:val="clear" w:color="auto" w:fill="auto"/>
            <w:noWrap/>
            <w:vAlign w:val="bottom"/>
            <w:hideMark/>
          </w:tcPr>
          <w:p w14:paraId="5E7DE405" w14:textId="77777777" w:rsidR="00113A13" w:rsidRPr="00FF49DA" w:rsidRDefault="00113A13" w:rsidP="00312E88">
            <w:pPr>
              <w:jc w:val="center"/>
              <w:rPr>
                <w:rFonts w:ascii="Calibri" w:hAnsi="Calibri" w:cs="Calibri"/>
                <w:color w:val="000000"/>
                <w:sz w:val="18"/>
                <w:szCs w:val="18"/>
              </w:rPr>
            </w:pPr>
          </w:p>
        </w:tc>
        <w:tc>
          <w:tcPr>
            <w:tcW w:w="1417" w:type="dxa"/>
            <w:tcBorders>
              <w:top w:val="nil"/>
              <w:left w:val="nil"/>
              <w:bottom w:val="nil"/>
              <w:right w:val="nil"/>
            </w:tcBorders>
            <w:shd w:val="clear" w:color="auto" w:fill="auto"/>
            <w:noWrap/>
            <w:vAlign w:val="bottom"/>
            <w:hideMark/>
          </w:tcPr>
          <w:p w14:paraId="1EA1808A" w14:textId="77777777" w:rsidR="00113A13" w:rsidRPr="00FF49DA" w:rsidRDefault="00113A13" w:rsidP="00312E88">
            <w:pPr>
              <w:rPr>
                <w:sz w:val="18"/>
                <w:szCs w:val="18"/>
              </w:rPr>
            </w:pPr>
          </w:p>
        </w:tc>
        <w:tc>
          <w:tcPr>
            <w:tcW w:w="1418" w:type="dxa"/>
            <w:tcBorders>
              <w:top w:val="nil"/>
              <w:left w:val="nil"/>
              <w:bottom w:val="nil"/>
              <w:right w:val="nil"/>
            </w:tcBorders>
            <w:shd w:val="clear" w:color="auto" w:fill="auto"/>
            <w:noWrap/>
            <w:vAlign w:val="bottom"/>
            <w:hideMark/>
          </w:tcPr>
          <w:p w14:paraId="34CCF71D" w14:textId="77777777" w:rsidR="00113A13" w:rsidRPr="00FF49DA" w:rsidRDefault="00113A13" w:rsidP="00312E88">
            <w:pPr>
              <w:rPr>
                <w:sz w:val="18"/>
                <w:szCs w:val="18"/>
              </w:rPr>
            </w:pPr>
          </w:p>
        </w:tc>
        <w:tc>
          <w:tcPr>
            <w:tcW w:w="1559" w:type="dxa"/>
            <w:tcBorders>
              <w:top w:val="nil"/>
              <w:left w:val="nil"/>
              <w:bottom w:val="nil"/>
              <w:right w:val="nil"/>
            </w:tcBorders>
            <w:shd w:val="clear" w:color="auto" w:fill="auto"/>
            <w:noWrap/>
            <w:vAlign w:val="bottom"/>
            <w:hideMark/>
          </w:tcPr>
          <w:p w14:paraId="3630EA3A" w14:textId="77777777" w:rsidR="00113A13" w:rsidRPr="00FF49DA" w:rsidRDefault="00113A13" w:rsidP="00312E88">
            <w:pPr>
              <w:rPr>
                <w:sz w:val="18"/>
                <w:szCs w:val="18"/>
              </w:rPr>
            </w:pPr>
          </w:p>
        </w:tc>
        <w:tc>
          <w:tcPr>
            <w:tcW w:w="1276" w:type="dxa"/>
            <w:tcBorders>
              <w:top w:val="single" w:sz="4" w:space="0" w:color="auto"/>
              <w:left w:val="nil"/>
              <w:bottom w:val="nil"/>
              <w:right w:val="nil"/>
            </w:tcBorders>
            <w:shd w:val="clear" w:color="auto" w:fill="auto"/>
            <w:noWrap/>
            <w:vAlign w:val="bottom"/>
            <w:hideMark/>
          </w:tcPr>
          <w:p w14:paraId="0D9692FB" w14:textId="77777777" w:rsidR="00113A13" w:rsidRPr="00FF49DA" w:rsidRDefault="00113A13" w:rsidP="00312E88">
            <w:pPr>
              <w:rPr>
                <w:sz w:val="18"/>
                <w:szCs w:val="18"/>
              </w:rPr>
            </w:pPr>
          </w:p>
        </w:tc>
      </w:tr>
      <w:tr w:rsidR="00113A13" w:rsidRPr="00FF49DA" w14:paraId="2A9A2CF5" w14:textId="77777777" w:rsidTr="00113A13">
        <w:trPr>
          <w:trHeight w:val="300"/>
        </w:trPr>
        <w:tc>
          <w:tcPr>
            <w:tcW w:w="2122" w:type="dxa"/>
            <w:tcBorders>
              <w:top w:val="nil"/>
              <w:left w:val="nil"/>
              <w:bottom w:val="nil"/>
              <w:right w:val="nil"/>
            </w:tcBorders>
            <w:shd w:val="clear" w:color="auto" w:fill="auto"/>
            <w:noWrap/>
            <w:vAlign w:val="bottom"/>
            <w:hideMark/>
          </w:tcPr>
          <w:p w14:paraId="53646493" w14:textId="77777777" w:rsidR="00113A13" w:rsidRPr="00FF49DA" w:rsidRDefault="00113A13" w:rsidP="00312E88">
            <w:pPr>
              <w:rPr>
                <w:sz w:val="18"/>
                <w:szCs w:val="18"/>
              </w:rPr>
            </w:pPr>
          </w:p>
        </w:tc>
        <w:tc>
          <w:tcPr>
            <w:tcW w:w="1417" w:type="dxa"/>
            <w:tcBorders>
              <w:top w:val="single" w:sz="4" w:space="0" w:color="auto"/>
              <w:left w:val="single" w:sz="4" w:space="0" w:color="auto"/>
              <w:bottom w:val="nil"/>
              <w:right w:val="nil"/>
            </w:tcBorders>
            <w:shd w:val="clear" w:color="auto" w:fill="auto"/>
            <w:noWrap/>
            <w:vAlign w:val="bottom"/>
            <w:hideMark/>
          </w:tcPr>
          <w:p w14:paraId="4D733CCF" w14:textId="77777777" w:rsidR="00113A13" w:rsidRPr="00FF49DA" w:rsidRDefault="00113A13" w:rsidP="00312E88">
            <w:pPr>
              <w:rPr>
                <w:rFonts w:cs="Arial"/>
                <w:color w:val="000000"/>
                <w:sz w:val="18"/>
                <w:szCs w:val="18"/>
              </w:rPr>
            </w:pPr>
            <w:r w:rsidRPr="00FF49DA">
              <w:rPr>
                <w:rFonts w:cs="Arial"/>
                <w:color w:val="000000"/>
                <w:sz w:val="18"/>
                <w:szCs w:val="18"/>
              </w:rPr>
              <w:t> </w:t>
            </w:r>
          </w:p>
        </w:tc>
        <w:tc>
          <w:tcPr>
            <w:tcW w:w="1418" w:type="dxa"/>
            <w:tcBorders>
              <w:top w:val="single" w:sz="4" w:space="0" w:color="auto"/>
              <w:left w:val="nil"/>
              <w:bottom w:val="nil"/>
              <w:right w:val="nil"/>
            </w:tcBorders>
            <w:shd w:val="clear" w:color="auto" w:fill="auto"/>
            <w:noWrap/>
            <w:vAlign w:val="bottom"/>
            <w:hideMark/>
          </w:tcPr>
          <w:p w14:paraId="58F0B022" w14:textId="77777777" w:rsidR="00113A13" w:rsidRPr="00FF49DA" w:rsidRDefault="00113A13" w:rsidP="00312E88">
            <w:pPr>
              <w:jc w:val="right"/>
              <w:rPr>
                <w:rFonts w:cs="Arial"/>
                <w:color w:val="000000"/>
                <w:sz w:val="18"/>
                <w:szCs w:val="18"/>
              </w:rPr>
            </w:pPr>
            <w:r w:rsidRPr="00FF49DA">
              <w:rPr>
                <w:rFonts w:cs="Arial"/>
                <w:color w:val="000000"/>
                <w:sz w:val="18"/>
                <w:szCs w:val="18"/>
              </w:rPr>
              <w:t>Projected GDP (2021-22)</w:t>
            </w:r>
          </w:p>
        </w:tc>
        <w:tc>
          <w:tcPr>
            <w:tcW w:w="1559" w:type="dxa"/>
            <w:tcBorders>
              <w:top w:val="single" w:sz="4" w:space="0" w:color="auto"/>
              <w:left w:val="single" w:sz="4" w:space="0" w:color="auto"/>
              <w:bottom w:val="nil"/>
              <w:right w:val="single" w:sz="4" w:space="0" w:color="auto"/>
            </w:tcBorders>
            <w:shd w:val="clear" w:color="auto" w:fill="auto"/>
            <w:noWrap/>
            <w:vAlign w:val="bottom"/>
            <w:hideMark/>
          </w:tcPr>
          <w:p w14:paraId="24A1E783" w14:textId="77777777" w:rsidR="00113A13" w:rsidRPr="00FF49DA" w:rsidRDefault="00113A13" w:rsidP="00312E88">
            <w:pPr>
              <w:jc w:val="center"/>
              <w:rPr>
                <w:rFonts w:cs="Arial"/>
                <w:color w:val="000000"/>
                <w:sz w:val="18"/>
                <w:szCs w:val="18"/>
              </w:rPr>
            </w:pPr>
            <w:r w:rsidRPr="00FF49DA">
              <w:rPr>
                <w:rFonts w:cs="Arial"/>
                <w:color w:val="000000"/>
                <w:sz w:val="18"/>
                <w:szCs w:val="18"/>
              </w:rPr>
              <w:t>2,131,988</w:t>
            </w:r>
          </w:p>
        </w:tc>
        <w:tc>
          <w:tcPr>
            <w:tcW w:w="1276" w:type="dxa"/>
            <w:tcBorders>
              <w:top w:val="nil"/>
              <w:left w:val="nil"/>
              <w:bottom w:val="nil"/>
              <w:right w:val="nil"/>
            </w:tcBorders>
            <w:shd w:val="clear" w:color="auto" w:fill="auto"/>
            <w:noWrap/>
            <w:vAlign w:val="bottom"/>
            <w:hideMark/>
          </w:tcPr>
          <w:p w14:paraId="723B5A4A" w14:textId="77777777" w:rsidR="00113A13" w:rsidRPr="00FF49DA" w:rsidRDefault="00113A13" w:rsidP="00312E88">
            <w:pPr>
              <w:rPr>
                <w:sz w:val="18"/>
                <w:szCs w:val="18"/>
              </w:rPr>
            </w:pPr>
          </w:p>
        </w:tc>
      </w:tr>
      <w:tr w:rsidR="00113A13" w:rsidRPr="00FF49DA" w14:paraId="3846D4D5" w14:textId="77777777" w:rsidTr="00113A13">
        <w:trPr>
          <w:trHeight w:val="300"/>
        </w:trPr>
        <w:tc>
          <w:tcPr>
            <w:tcW w:w="2122" w:type="dxa"/>
            <w:tcBorders>
              <w:top w:val="nil"/>
              <w:left w:val="nil"/>
              <w:bottom w:val="nil"/>
              <w:right w:val="nil"/>
            </w:tcBorders>
            <w:shd w:val="clear" w:color="auto" w:fill="auto"/>
            <w:noWrap/>
            <w:vAlign w:val="bottom"/>
            <w:hideMark/>
          </w:tcPr>
          <w:p w14:paraId="77BB6AE6" w14:textId="77777777" w:rsidR="00113A13" w:rsidRPr="00FF49DA" w:rsidRDefault="00113A13" w:rsidP="00312E88">
            <w:pPr>
              <w:rPr>
                <w:sz w:val="18"/>
                <w:szCs w:val="18"/>
              </w:rPr>
            </w:pPr>
          </w:p>
        </w:tc>
        <w:tc>
          <w:tcPr>
            <w:tcW w:w="1417" w:type="dxa"/>
            <w:tcBorders>
              <w:top w:val="nil"/>
              <w:left w:val="single" w:sz="4" w:space="0" w:color="auto"/>
              <w:bottom w:val="single" w:sz="4" w:space="0" w:color="auto"/>
              <w:right w:val="nil"/>
            </w:tcBorders>
            <w:shd w:val="clear" w:color="auto" w:fill="auto"/>
            <w:noWrap/>
            <w:vAlign w:val="bottom"/>
            <w:hideMark/>
          </w:tcPr>
          <w:p w14:paraId="6C00E6B9" w14:textId="77777777" w:rsidR="00113A13" w:rsidRPr="00FF49DA" w:rsidRDefault="00113A13" w:rsidP="00312E88">
            <w:pPr>
              <w:rPr>
                <w:rFonts w:cs="Arial"/>
                <w:color w:val="000000"/>
                <w:sz w:val="18"/>
                <w:szCs w:val="18"/>
              </w:rPr>
            </w:pPr>
            <w:r w:rsidRPr="00FF49DA">
              <w:rPr>
                <w:rFonts w:cs="Arial"/>
                <w:color w:val="000000"/>
                <w:sz w:val="18"/>
                <w:szCs w:val="18"/>
              </w:rPr>
              <w:t> </w:t>
            </w:r>
          </w:p>
        </w:tc>
        <w:tc>
          <w:tcPr>
            <w:tcW w:w="1418" w:type="dxa"/>
            <w:tcBorders>
              <w:top w:val="nil"/>
              <w:left w:val="nil"/>
              <w:bottom w:val="single" w:sz="4" w:space="0" w:color="auto"/>
              <w:right w:val="nil"/>
            </w:tcBorders>
            <w:shd w:val="clear" w:color="auto" w:fill="auto"/>
            <w:noWrap/>
            <w:vAlign w:val="bottom"/>
            <w:hideMark/>
          </w:tcPr>
          <w:p w14:paraId="79A03A12" w14:textId="77777777" w:rsidR="00113A13" w:rsidRPr="00FF49DA" w:rsidRDefault="00113A13" w:rsidP="00312E88">
            <w:pPr>
              <w:jc w:val="right"/>
              <w:rPr>
                <w:rFonts w:cs="Arial"/>
                <w:b/>
                <w:bCs/>
                <w:color w:val="000000"/>
                <w:sz w:val="18"/>
                <w:szCs w:val="18"/>
              </w:rPr>
            </w:pPr>
            <w:r w:rsidRPr="00FF49DA">
              <w:rPr>
                <w:rFonts w:cs="Arial"/>
                <w:b/>
                <w:bCs/>
                <w:color w:val="000000"/>
                <w:sz w:val="18"/>
                <w:szCs w:val="18"/>
              </w:rPr>
              <w:t>% of GDP</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2E0AFEA" w14:textId="77777777" w:rsidR="00113A13" w:rsidRPr="00FF49DA" w:rsidRDefault="00113A13" w:rsidP="00312E88">
            <w:pPr>
              <w:jc w:val="center"/>
              <w:rPr>
                <w:rFonts w:cs="Arial"/>
                <w:b/>
                <w:bCs/>
                <w:color w:val="000000"/>
                <w:sz w:val="18"/>
                <w:szCs w:val="18"/>
              </w:rPr>
            </w:pPr>
            <w:r w:rsidRPr="00FF49DA">
              <w:rPr>
                <w:rFonts w:cs="Arial"/>
                <w:b/>
                <w:bCs/>
                <w:color w:val="000000"/>
                <w:sz w:val="18"/>
                <w:szCs w:val="18"/>
              </w:rPr>
              <w:t>3.14%</w:t>
            </w:r>
          </w:p>
        </w:tc>
        <w:tc>
          <w:tcPr>
            <w:tcW w:w="1276" w:type="dxa"/>
            <w:tcBorders>
              <w:top w:val="nil"/>
              <w:left w:val="nil"/>
              <w:bottom w:val="nil"/>
              <w:right w:val="nil"/>
            </w:tcBorders>
            <w:shd w:val="clear" w:color="auto" w:fill="auto"/>
            <w:noWrap/>
            <w:vAlign w:val="bottom"/>
            <w:hideMark/>
          </w:tcPr>
          <w:p w14:paraId="50C962B9" w14:textId="77777777" w:rsidR="00113A13" w:rsidRPr="00FF49DA" w:rsidRDefault="00113A13" w:rsidP="00312E88">
            <w:pPr>
              <w:rPr>
                <w:sz w:val="18"/>
                <w:szCs w:val="18"/>
              </w:rPr>
            </w:pPr>
          </w:p>
        </w:tc>
      </w:tr>
    </w:tbl>
    <w:p w14:paraId="6C6B1C14" w14:textId="5C44CE93" w:rsidR="00C501DB" w:rsidRPr="00C501DB" w:rsidRDefault="00C501DB" w:rsidP="00C501DB">
      <w:pPr>
        <w:pStyle w:val="FSRnormal"/>
      </w:pPr>
      <w:r w:rsidRPr="00C501DB">
        <w:t>The total lifetime cost for an annual cohort of new incidence is projected to be $67.0 billion based on current long term assumptions, representing 3.14% of projected GDP</w:t>
      </w:r>
      <w:r w:rsidR="003E7951">
        <w:t xml:space="preserve"> for 2021-22</w:t>
      </w:r>
      <w:r w:rsidRPr="00C501DB">
        <w:t xml:space="preserve">. </w:t>
      </w:r>
    </w:p>
    <w:p w14:paraId="65E3FF7B" w14:textId="1806A567" w:rsidR="00C501DB" w:rsidRPr="00C501DB" w:rsidRDefault="00C501DB" w:rsidP="00C501DB">
      <w:pPr>
        <w:pStyle w:val="FSRnormal"/>
      </w:pPr>
      <w:r w:rsidRPr="00C967DA">
        <w:t>Ongoing monitoring of changes in lifetime costs at the support c</w:t>
      </w:r>
      <w:r w:rsidR="00663328" w:rsidRPr="00C967DA">
        <w:t xml:space="preserve">ategory </w:t>
      </w:r>
      <w:r w:rsidRPr="00C967DA">
        <w:t>level will provide insight into how long-term costs for Scheme participants may change over time, prior to the actual experience being reflected in the assumption base. For example, participants utili</w:t>
      </w:r>
      <w:r w:rsidR="001A335A">
        <w:t>s</w:t>
      </w:r>
      <w:r w:rsidRPr="00C967DA">
        <w:t>ing more capacity building supports may increa</w:t>
      </w:r>
      <w:bookmarkStart w:id="242" w:name="_GoBack"/>
      <w:bookmarkEnd w:id="242"/>
      <w:r w:rsidRPr="00C967DA">
        <w:t>se lifetime cost estimates today, but could also indicate a reduction in future lifetime</w:t>
      </w:r>
      <w:r w:rsidRPr="00C501DB">
        <w:t xml:space="preserve"> costs if capacity building is able to reduce their needs for other supports in the long term.</w:t>
      </w:r>
    </w:p>
    <w:p w14:paraId="02EE65E4" w14:textId="77777777" w:rsidR="00E50032" w:rsidRPr="00E50032" w:rsidRDefault="00C501DB" w:rsidP="00701F81">
      <w:pPr>
        <w:pStyle w:val="FSRnormal"/>
        <w:rPr>
          <w:color w:val="FFFFFF" w:themeColor="background1"/>
        </w:rPr>
      </w:pPr>
      <w:r w:rsidRPr="003542B8">
        <w:rPr>
          <w:u w:val="single"/>
        </w:rPr>
        <w:fldChar w:fldCharType="begin"/>
      </w:r>
      <w:r w:rsidRPr="003542B8">
        <w:rPr>
          <w:u w:val="single"/>
        </w:rPr>
        <w:instrText xml:space="preserve"> REF _Ref17818289 \h </w:instrText>
      </w:r>
      <w:r w:rsidR="003542B8">
        <w:rPr>
          <w:u w:val="single"/>
        </w:rPr>
        <w:instrText xml:space="preserve"> \* MERGEFORMAT </w:instrText>
      </w:r>
      <w:r w:rsidRPr="003542B8">
        <w:rPr>
          <w:u w:val="single"/>
        </w:rPr>
      </w:r>
      <w:r w:rsidRPr="003542B8">
        <w:rPr>
          <w:u w:val="single"/>
        </w:rPr>
        <w:fldChar w:fldCharType="separate"/>
      </w:r>
      <w:r w:rsidR="00E50032" w:rsidRPr="00E50032">
        <w:rPr>
          <w:noProof/>
          <w:color w:val="FFFFFF" w:themeColor="background1"/>
        </w:rPr>
        <w:t>22.</w:t>
      </w:r>
      <w:r w:rsidR="00E50032" w:rsidRPr="00E50032">
        <w:rPr>
          <w:color w:val="FFFFFF" w:themeColor="background1"/>
        </w:rPr>
        <w:t xml:space="preserve"> </w:t>
      </w:r>
    </w:p>
    <w:p w14:paraId="0EC79C92" w14:textId="77777777" w:rsidR="00E50032" w:rsidRDefault="00E50032" w:rsidP="00C501DB">
      <w:pPr>
        <w:pStyle w:val="Tables"/>
      </w:pPr>
    </w:p>
    <w:p w14:paraId="76CCEE24" w14:textId="7531F4C3" w:rsidR="00663328" w:rsidRPr="00C501DB" w:rsidRDefault="00E50032" w:rsidP="00663328">
      <w:pPr>
        <w:pStyle w:val="FSRnormal"/>
      </w:pPr>
      <w:r w:rsidRPr="00AA44C0">
        <w:t xml:space="preserve">Table </w:t>
      </w:r>
      <w:r>
        <w:rPr>
          <w:noProof/>
        </w:rPr>
        <w:t>38</w:t>
      </w:r>
      <w:r w:rsidR="00C501DB" w:rsidRPr="003542B8">
        <w:rPr>
          <w:u w:val="single"/>
        </w:rPr>
        <w:fldChar w:fldCharType="end"/>
      </w:r>
      <w:r w:rsidR="00C501DB">
        <w:t xml:space="preserve"> </w:t>
      </w:r>
      <w:r w:rsidR="00C501DB" w:rsidRPr="00C501DB">
        <w:t xml:space="preserve">indicates that about 75% of total lifetime costs attributable to an annual cohort of new entrants into the Scheme are for participants with </w:t>
      </w:r>
      <w:r w:rsidR="00663328">
        <w:t xml:space="preserve">Developmental </w:t>
      </w:r>
      <w:r w:rsidR="00C501DB" w:rsidRPr="00C501DB">
        <w:t xml:space="preserve">Delay, Autism and Intellectual disability. </w:t>
      </w:r>
    </w:p>
    <w:p w14:paraId="5135E155" w14:textId="30DA55FA" w:rsidR="00C501DB" w:rsidRPr="00C501DB" w:rsidRDefault="00A2569E" w:rsidP="00C501DB">
      <w:pPr>
        <w:pStyle w:val="FSRnormal"/>
      </w:pPr>
      <w:r>
        <w:t xml:space="preserve">The figures above relate to one year of (future) new entrants to the scheme. </w:t>
      </w:r>
      <w:r w:rsidR="00C501DB" w:rsidRPr="00C501DB">
        <w:t xml:space="preserve">The total lifetime cost for the 466,619 </w:t>
      </w:r>
      <w:r>
        <w:t xml:space="preserve">existing </w:t>
      </w:r>
      <w:r w:rsidR="00C501DB" w:rsidRPr="00C501DB">
        <w:t>participants in the Scheme has been estimated to be $940.5 billion. The average lifetime cost estimate of these participants is $2.0 million; this is significantly higher than the average of $1.1 million for new entrants due to the different disability and age distributions of the two populations. In particular the profile of current participants is skewed to towards those with lower functional levels compared with new entrants. The new incidence cohorts have a greater number of higher functioning children, many of whom have entered the Scheme through the early intervention requirement (Section 25 of the Act)</w:t>
      </w:r>
      <w:r w:rsidR="003E7951">
        <w:t>,</w:t>
      </w:r>
      <w:r w:rsidR="00C501DB" w:rsidRPr="00C501DB">
        <w:t xml:space="preserve"> </w:t>
      </w:r>
      <w:r w:rsidR="003E7951">
        <w:t xml:space="preserve">and who </w:t>
      </w:r>
      <w:r w:rsidR="00C501DB" w:rsidRPr="00C501DB">
        <w:t xml:space="preserve">are expected to exit the Scheme and hence have a lower average </w:t>
      </w:r>
      <w:r w:rsidR="005C5F6D">
        <w:t>lifetime cost</w:t>
      </w:r>
      <w:r w:rsidR="00C501DB" w:rsidRPr="00C501DB">
        <w:t>.</w:t>
      </w:r>
    </w:p>
    <w:p w14:paraId="26058C03" w14:textId="77777777" w:rsidR="00C501DB" w:rsidRDefault="00C501DB" w:rsidP="00C501DB">
      <w:pPr>
        <w:pStyle w:val="FSRnormal"/>
      </w:pPr>
    </w:p>
    <w:p w14:paraId="385342FC" w14:textId="77777777" w:rsidR="001C2276" w:rsidRDefault="001C2276">
      <w:pPr>
        <w:spacing w:after="160" w:line="259" w:lineRule="auto"/>
        <w:rPr>
          <w:rFonts w:eastAsiaTheme="minorHAnsi"/>
          <w:b/>
          <w:color w:val="6A2875"/>
          <w:sz w:val="36"/>
          <w:szCs w:val="44"/>
        </w:rPr>
      </w:pPr>
      <w:r>
        <w:br w:type="page"/>
      </w:r>
    </w:p>
    <w:p w14:paraId="767E57FD" w14:textId="7C0FACEE" w:rsidR="00EF5E91" w:rsidRDefault="00EF5E91" w:rsidP="00EF5E91">
      <w:pPr>
        <w:pStyle w:val="Heading2"/>
      </w:pPr>
      <w:bookmarkStart w:id="243" w:name="_Toc83220854"/>
      <w:bookmarkStart w:id="244" w:name="_Toc85031265"/>
      <w:r>
        <w:lastRenderedPageBreak/>
        <w:t>Scenario</w:t>
      </w:r>
      <w:r w:rsidR="00AB0120">
        <w:t xml:space="preserve"> analysis</w:t>
      </w:r>
      <w:r>
        <w:t xml:space="preserve"> and </w:t>
      </w:r>
      <w:r w:rsidR="00691831">
        <w:t xml:space="preserve">comparisons to </w:t>
      </w:r>
      <w:r w:rsidR="00AB0120">
        <w:t>benchmarks</w:t>
      </w:r>
      <w:bookmarkEnd w:id="243"/>
      <w:bookmarkEnd w:id="244"/>
      <w:r>
        <w:t xml:space="preserve"> </w:t>
      </w:r>
    </w:p>
    <w:p w14:paraId="68027035" w14:textId="292FBD34" w:rsidR="00EF5E91" w:rsidRPr="005805C5" w:rsidRDefault="00EF5E91" w:rsidP="00EF5E91">
      <w:pPr>
        <w:pStyle w:val="FSRHeading2"/>
        <w:numPr>
          <w:ilvl w:val="1"/>
          <w:numId w:val="1"/>
        </w:numPr>
        <w:ind w:left="851" w:hanging="851"/>
      </w:pPr>
      <w:bookmarkStart w:id="245" w:name="_Toc83220855"/>
      <w:bookmarkStart w:id="246" w:name="_Toc85031266"/>
      <w:r>
        <w:t>Scenario Analysis</w:t>
      </w:r>
      <w:bookmarkEnd w:id="245"/>
      <w:bookmarkEnd w:id="246"/>
    </w:p>
    <w:p w14:paraId="642B96C4" w14:textId="2994C81E" w:rsidR="001C2276" w:rsidRDefault="001C2276" w:rsidP="00EF5E91">
      <w:pPr>
        <w:spacing w:before="240"/>
      </w:pPr>
      <w:r>
        <w:t xml:space="preserve">The projections presented in Section 5 of this report represent the “baseline” estimate of </w:t>
      </w:r>
      <w:r w:rsidR="00783DE5">
        <w:t>Scheme</w:t>
      </w:r>
      <w:r>
        <w:t xml:space="preserve"> population and costs</w:t>
      </w:r>
      <w:r w:rsidR="00EF5E91">
        <w:t>. As highlighted throughout this report, there is considerable uncertainty in relation to these projections, and the actual cost may vary from the baseline projections</w:t>
      </w:r>
      <w:r w:rsidR="003E7951">
        <w:t>,</w:t>
      </w:r>
      <w:r w:rsidR="00EF5E91">
        <w:t xml:space="preserve"> possibly significantly.</w:t>
      </w:r>
      <w:r>
        <w:t xml:space="preserve"> </w:t>
      </w:r>
      <w:r w:rsidR="00EF5E91">
        <w:t xml:space="preserve">More specifically there is significant uncertainty in relation </w:t>
      </w:r>
      <w:proofErr w:type="gramStart"/>
      <w:r w:rsidR="00EF5E91">
        <w:t>to</w:t>
      </w:r>
      <w:proofErr w:type="gramEnd"/>
      <w:r w:rsidR="00EF5E91">
        <w:t>:</w:t>
      </w:r>
    </w:p>
    <w:p w14:paraId="7E7E13E3" w14:textId="01340225" w:rsidR="001C2276" w:rsidRPr="00EF5E91" w:rsidRDefault="00261DEB" w:rsidP="00EF5E91">
      <w:pPr>
        <w:pStyle w:val="ListParagraph"/>
        <w:numPr>
          <w:ilvl w:val="0"/>
          <w:numId w:val="21"/>
        </w:numPr>
        <w:spacing w:before="240"/>
      </w:pPr>
      <w:r>
        <w:rPr>
          <w:b/>
        </w:rPr>
        <w:t>N</w:t>
      </w:r>
      <w:r w:rsidR="00EF5E91" w:rsidRPr="00261DEB">
        <w:rPr>
          <w:b/>
        </w:rPr>
        <w:t>umber</w:t>
      </w:r>
      <w:r>
        <w:rPr>
          <w:b/>
        </w:rPr>
        <w:t>s</w:t>
      </w:r>
      <w:r w:rsidR="00EF5E91" w:rsidRPr="00261DEB">
        <w:rPr>
          <w:b/>
        </w:rPr>
        <w:t xml:space="preserve"> </w:t>
      </w:r>
      <w:r w:rsidR="00784A69" w:rsidRPr="00261DEB">
        <w:rPr>
          <w:b/>
        </w:rPr>
        <w:t xml:space="preserve">of new entrants to the </w:t>
      </w:r>
      <w:r w:rsidR="00783DE5">
        <w:rPr>
          <w:b/>
        </w:rPr>
        <w:t>Scheme</w:t>
      </w:r>
      <w:r w:rsidR="00784A69">
        <w:t xml:space="preserve"> </w:t>
      </w:r>
      <w:r>
        <w:t>–</w:t>
      </w:r>
      <w:r w:rsidR="00185D8F">
        <w:t xml:space="preserve"> </w:t>
      </w:r>
      <w:r w:rsidR="00497F0C">
        <w:t xml:space="preserve">observed numbers of new participants, whilst slightly lower than the previous review are significantly higher than those forecast in earlier reports and in the 2017 PC Study Report. Whilst the number of new entrants </w:t>
      </w:r>
      <w:r w:rsidR="00513DD8">
        <w:t xml:space="preserve">per annum </w:t>
      </w:r>
      <w:r w:rsidR="00497F0C">
        <w:t>is reducing</w:t>
      </w:r>
      <w:r w:rsidR="00CD5914">
        <w:t>,</w:t>
      </w:r>
      <w:r w:rsidR="00497F0C">
        <w:t xml:space="preserve"> it is unclear when they will stabilise and at what level</w:t>
      </w:r>
      <w:r w:rsidR="00E97EE3">
        <w:t>.</w:t>
      </w:r>
      <w:r>
        <w:t xml:space="preserve"> </w:t>
      </w:r>
      <w:r w:rsidR="00784A69">
        <w:t xml:space="preserve"> </w:t>
      </w:r>
    </w:p>
    <w:p w14:paraId="5DBD7329" w14:textId="5F242F43" w:rsidR="00694372" w:rsidRPr="00261DEB" w:rsidRDefault="009F2CB7" w:rsidP="00EF5E91">
      <w:pPr>
        <w:pStyle w:val="ListParagraph"/>
        <w:numPr>
          <w:ilvl w:val="0"/>
          <w:numId w:val="21"/>
        </w:numPr>
        <w:spacing w:before="240"/>
        <w:rPr>
          <w:b/>
        </w:rPr>
      </w:pPr>
      <w:r>
        <w:rPr>
          <w:b/>
        </w:rPr>
        <w:t xml:space="preserve">The average payment for </w:t>
      </w:r>
      <w:r w:rsidRPr="00261DEB">
        <w:rPr>
          <w:b/>
        </w:rPr>
        <w:t>new entrants to the Scheme</w:t>
      </w:r>
      <w:r>
        <w:t xml:space="preserve"> - there are relatively few years of experience from which to determine the average payment for new entrants, compared to existing participants. As more new entrants enter the </w:t>
      </w:r>
      <w:r w:rsidR="00E97EE3">
        <w:t xml:space="preserve">Scheme </w:t>
      </w:r>
      <w:r>
        <w:t>the average payments for new entrants may vary substantially from that previously observed</w:t>
      </w:r>
      <w:r w:rsidR="00E97EE3">
        <w:t>.</w:t>
      </w:r>
    </w:p>
    <w:p w14:paraId="0483F727" w14:textId="351B7861" w:rsidR="001C2276" w:rsidRPr="002278CC" w:rsidRDefault="00261DEB" w:rsidP="00EF5E91">
      <w:pPr>
        <w:pStyle w:val="ListParagraph"/>
        <w:numPr>
          <w:ilvl w:val="0"/>
          <w:numId w:val="21"/>
        </w:numPr>
        <w:spacing w:before="240"/>
        <w:rPr>
          <w:b/>
        </w:rPr>
      </w:pPr>
      <w:r>
        <w:rPr>
          <w:b/>
        </w:rPr>
        <w:t>R</w:t>
      </w:r>
      <w:r w:rsidR="001C2276" w:rsidRPr="00261DEB">
        <w:rPr>
          <w:b/>
        </w:rPr>
        <w:t>ate</w:t>
      </w:r>
      <w:r>
        <w:rPr>
          <w:b/>
        </w:rPr>
        <w:t>s</w:t>
      </w:r>
      <w:r w:rsidR="001C2276" w:rsidRPr="00261DEB">
        <w:rPr>
          <w:b/>
        </w:rPr>
        <w:t xml:space="preserve"> of non-mortality exits</w:t>
      </w:r>
      <w:r>
        <w:t xml:space="preserve"> – observed rates of non-mortality exits are significantly </w:t>
      </w:r>
      <w:r w:rsidRPr="002278CC">
        <w:t>lower than forecas</w:t>
      </w:r>
      <w:r w:rsidRPr="00486761">
        <w:t>t in in previous reports and in the 2017 PC Study Report</w:t>
      </w:r>
      <w:r w:rsidR="009478F0" w:rsidRPr="00486761">
        <w:t xml:space="preserve"> and the long term rates assumed may not </w:t>
      </w:r>
      <w:r w:rsidR="00AD7AF9" w:rsidRPr="00486761">
        <w:t>eventuate</w:t>
      </w:r>
      <w:r w:rsidR="00E97EE3" w:rsidRPr="00486761">
        <w:t>.</w:t>
      </w:r>
      <w:r w:rsidRPr="002278CC">
        <w:t xml:space="preserve"> </w:t>
      </w:r>
    </w:p>
    <w:p w14:paraId="41341FA3" w14:textId="77777777" w:rsidR="009711CE" w:rsidRPr="00263EF7" w:rsidRDefault="00513DD8" w:rsidP="00E255CE">
      <w:pPr>
        <w:pStyle w:val="ListParagraph"/>
        <w:numPr>
          <w:ilvl w:val="0"/>
          <w:numId w:val="21"/>
        </w:numPr>
        <w:spacing w:before="240"/>
        <w:rPr>
          <w:b/>
        </w:rPr>
      </w:pPr>
      <w:r w:rsidRPr="002278CC">
        <w:rPr>
          <w:b/>
        </w:rPr>
        <w:t>Rates of superimposed inflation</w:t>
      </w:r>
      <w:r w:rsidRPr="002278CC">
        <w:t xml:space="preserve"> – average payments per participant have grown at rates substantially exceeding normal inflation for several years. Whilst some of the pressures giving rise to past increases remain, these would not be expected to continue indefinitely and hence past rates of inflation </w:t>
      </w:r>
      <w:r w:rsidR="002278CC" w:rsidRPr="002278CC">
        <w:t>do not provide definitive guidance</w:t>
      </w:r>
      <w:r w:rsidRPr="002278CC">
        <w:t xml:space="preserve"> regarding likely future rates of inflation.</w:t>
      </w:r>
    </w:p>
    <w:p w14:paraId="0F650570" w14:textId="4CD3664B" w:rsidR="00E255CE" w:rsidRPr="00E255CE" w:rsidRDefault="00E255CE" w:rsidP="00E255CE">
      <w:pPr>
        <w:pStyle w:val="ListParagraph"/>
        <w:numPr>
          <w:ilvl w:val="0"/>
          <w:numId w:val="21"/>
        </w:numPr>
        <w:spacing w:before="240"/>
        <w:rPr>
          <w:b/>
        </w:rPr>
      </w:pPr>
      <w:r w:rsidRPr="002278CC">
        <w:rPr>
          <w:b/>
        </w:rPr>
        <w:t>Numbers of participants transitioning into Supported Independent Living</w:t>
      </w:r>
      <w:r w:rsidRPr="002278CC">
        <w:t xml:space="preserve"> –</w:t>
      </w:r>
      <w:r w:rsidR="009478F0" w:rsidRPr="009478F0">
        <w:t xml:space="preserve"> </w:t>
      </w:r>
      <w:r w:rsidR="009478F0">
        <w:t>there is only one year of experience of participants transitioning into Supported Independent Living following all geographic regions gaining access to the Scheme. Longer term SIL participant numbers are therefore based on relatively little experience.</w:t>
      </w:r>
      <w:r>
        <w:t xml:space="preserve"> </w:t>
      </w:r>
    </w:p>
    <w:p w14:paraId="2376CD49" w14:textId="025254F3" w:rsidR="001C2276" w:rsidRDefault="001C2276" w:rsidP="00EF5E91">
      <w:pPr>
        <w:spacing w:before="240"/>
      </w:pPr>
      <w:r>
        <w:t xml:space="preserve">To consider the uncertainty inherent within the projection revised projections have been calculated for a number of scenarios. These consider </w:t>
      </w:r>
      <w:r w:rsidR="00EF5E91">
        <w:t xml:space="preserve">a range of plausible outcomes in relation to the uncertainties above. </w:t>
      </w:r>
    </w:p>
    <w:p w14:paraId="1FAE3161" w14:textId="63264198" w:rsidR="001C2276" w:rsidRDefault="001C2276" w:rsidP="00EF5E91">
      <w:pPr>
        <w:spacing w:before="240"/>
      </w:pPr>
      <w:r>
        <w:t xml:space="preserve">As there are differing relative impacts of the scenarios on existing participants and new participants, the impact of each of these scenarios is shown separately for existing participants, new participants, and in total. </w:t>
      </w:r>
      <w:r w:rsidR="00140035">
        <w:t xml:space="preserve">The total Scheme projection, split between </w:t>
      </w:r>
      <w:r w:rsidR="000021BC">
        <w:t xml:space="preserve">existing participants and new entrants </w:t>
      </w:r>
      <w:r w:rsidR="00FB600A">
        <w:t xml:space="preserve">(from 1 July 2021 onwards) </w:t>
      </w:r>
      <w:r w:rsidR="00140035">
        <w:t xml:space="preserve">is </w:t>
      </w:r>
      <w:r w:rsidR="000021BC">
        <w:t xml:space="preserve">shown in </w:t>
      </w:r>
      <w:r w:rsidR="000021BC">
        <w:fldChar w:fldCharType="begin"/>
      </w:r>
      <w:r w:rsidR="000021BC">
        <w:instrText xml:space="preserve"> REF _Ref80699555 \h </w:instrText>
      </w:r>
      <w:r w:rsidR="000021BC">
        <w:fldChar w:fldCharType="separate"/>
      </w:r>
      <w:r w:rsidR="00E50032" w:rsidRPr="00AA44C0">
        <w:t xml:space="preserve">Table </w:t>
      </w:r>
      <w:r w:rsidR="00E50032">
        <w:rPr>
          <w:noProof/>
        </w:rPr>
        <w:t>39</w:t>
      </w:r>
      <w:r w:rsidR="000021BC">
        <w:fldChar w:fldCharType="end"/>
      </w:r>
      <w:r w:rsidR="00844529">
        <w:t>.</w:t>
      </w:r>
    </w:p>
    <w:p w14:paraId="0B3ACE58" w14:textId="6980887B" w:rsidR="000021BC" w:rsidRPr="00AA44C0" w:rsidRDefault="000021BC" w:rsidP="000021BC">
      <w:pPr>
        <w:pStyle w:val="Tables"/>
        <w:keepLines/>
        <w:rPr>
          <w:iCs/>
        </w:rPr>
      </w:pPr>
      <w:bookmarkStart w:id="247" w:name="_Ref80699555"/>
      <w:r w:rsidRPr="00AA44C0">
        <w:lastRenderedPageBreak/>
        <w:t xml:space="preserve">Table </w:t>
      </w:r>
      <w:fldSimple w:instr=" SEQ Table \* ARABIC ">
        <w:r w:rsidR="00E50032">
          <w:rPr>
            <w:noProof/>
          </w:rPr>
          <w:t>39</w:t>
        </w:r>
      </w:fldSimple>
      <w:bookmarkEnd w:id="247"/>
      <w:r>
        <w:t xml:space="preserve"> </w:t>
      </w:r>
      <w:r w:rsidR="00AD7AF9">
        <w:t xml:space="preserve">Split </w:t>
      </w:r>
      <w:r w:rsidRPr="000021BC">
        <w:t>of participant costs between existing and new participants</w:t>
      </w:r>
      <w:r>
        <w:t xml:space="preserve"> </w:t>
      </w:r>
      <w:r w:rsidRPr="00AA44C0">
        <w:t xml:space="preserve"> </w:t>
      </w:r>
    </w:p>
    <w:tbl>
      <w:tblPr>
        <w:tblW w:w="5000" w:type="pct"/>
        <w:tblLook w:val="04A0" w:firstRow="1" w:lastRow="0" w:firstColumn="1" w:lastColumn="0" w:noHBand="0" w:noVBand="1"/>
      </w:tblPr>
      <w:tblGrid>
        <w:gridCol w:w="3956"/>
        <w:gridCol w:w="1012"/>
        <w:gridCol w:w="1012"/>
        <w:gridCol w:w="1012"/>
        <w:gridCol w:w="1012"/>
        <w:gridCol w:w="1012"/>
      </w:tblGrid>
      <w:tr w:rsidR="004B24A4" w:rsidRPr="000B693E" w14:paraId="0F8C1002" w14:textId="77777777" w:rsidTr="00312E88">
        <w:trPr>
          <w:trHeight w:val="300"/>
          <w:tblHeader/>
        </w:trPr>
        <w:tc>
          <w:tcPr>
            <w:tcW w:w="2194" w:type="pct"/>
            <w:tcBorders>
              <w:top w:val="single" w:sz="4" w:space="0" w:color="auto"/>
              <w:left w:val="single" w:sz="4" w:space="0" w:color="auto"/>
              <w:bottom w:val="single" w:sz="4" w:space="0" w:color="000000"/>
              <w:right w:val="single" w:sz="4" w:space="0" w:color="000000"/>
            </w:tcBorders>
            <w:shd w:val="clear" w:color="000000" w:fill="6B2F76"/>
            <w:vAlign w:val="center"/>
            <w:hideMark/>
          </w:tcPr>
          <w:p w14:paraId="6134D019" w14:textId="77777777" w:rsidR="004B24A4" w:rsidRPr="000B693E" w:rsidRDefault="004B24A4" w:rsidP="00312E88">
            <w:pPr>
              <w:rPr>
                <w:rFonts w:cs="Arial"/>
                <w:b/>
                <w:bCs/>
                <w:color w:val="FFFFFF"/>
                <w:sz w:val="18"/>
                <w:szCs w:val="18"/>
              </w:rPr>
            </w:pPr>
            <w:r w:rsidRPr="000B693E">
              <w:rPr>
                <w:rFonts w:cs="Arial"/>
                <w:b/>
                <w:bCs/>
                <w:color w:val="FFFFFF"/>
                <w:sz w:val="18"/>
                <w:szCs w:val="18"/>
              </w:rPr>
              <w:t>Participant Costs ($m) - accrual basis</w:t>
            </w:r>
          </w:p>
        </w:tc>
        <w:tc>
          <w:tcPr>
            <w:tcW w:w="561" w:type="pct"/>
            <w:tcBorders>
              <w:top w:val="nil"/>
              <w:left w:val="nil"/>
              <w:bottom w:val="single" w:sz="4" w:space="0" w:color="auto"/>
              <w:right w:val="nil"/>
            </w:tcBorders>
            <w:shd w:val="clear" w:color="000000" w:fill="6B2F76"/>
            <w:noWrap/>
            <w:vAlign w:val="bottom"/>
            <w:hideMark/>
          </w:tcPr>
          <w:p w14:paraId="42202EEA" w14:textId="77777777" w:rsidR="004B24A4" w:rsidRPr="000B693E" w:rsidRDefault="004B24A4" w:rsidP="00312E88">
            <w:pPr>
              <w:jc w:val="right"/>
              <w:rPr>
                <w:rFonts w:cs="Arial"/>
                <w:b/>
                <w:bCs/>
                <w:color w:val="FFFFFF"/>
                <w:sz w:val="18"/>
                <w:szCs w:val="18"/>
              </w:rPr>
            </w:pPr>
            <w:r w:rsidRPr="000B693E">
              <w:rPr>
                <w:rFonts w:cs="Arial"/>
                <w:b/>
                <w:bCs/>
                <w:color w:val="FFFFFF"/>
                <w:sz w:val="18"/>
                <w:szCs w:val="18"/>
              </w:rPr>
              <w:t>2021-22</w:t>
            </w:r>
          </w:p>
        </w:tc>
        <w:tc>
          <w:tcPr>
            <w:tcW w:w="561" w:type="pct"/>
            <w:tcBorders>
              <w:top w:val="nil"/>
              <w:left w:val="nil"/>
              <w:bottom w:val="single" w:sz="4" w:space="0" w:color="auto"/>
              <w:right w:val="nil"/>
            </w:tcBorders>
            <w:shd w:val="clear" w:color="000000" w:fill="6B2F76"/>
            <w:noWrap/>
            <w:vAlign w:val="bottom"/>
            <w:hideMark/>
          </w:tcPr>
          <w:p w14:paraId="67B4AD0F" w14:textId="77777777" w:rsidR="004B24A4" w:rsidRPr="000B693E" w:rsidRDefault="004B24A4" w:rsidP="00312E88">
            <w:pPr>
              <w:jc w:val="right"/>
              <w:rPr>
                <w:rFonts w:cs="Arial"/>
                <w:b/>
                <w:bCs/>
                <w:color w:val="FFFFFF"/>
                <w:sz w:val="18"/>
                <w:szCs w:val="18"/>
              </w:rPr>
            </w:pPr>
            <w:r w:rsidRPr="000B693E">
              <w:rPr>
                <w:rFonts w:cs="Arial"/>
                <w:b/>
                <w:bCs/>
                <w:color w:val="FFFFFF"/>
                <w:sz w:val="18"/>
                <w:szCs w:val="18"/>
              </w:rPr>
              <w:t>2022-23</w:t>
            </w:r>
          </w:p>
        </w:tc>
        <w:tc>
          <w:tcPr>
            <w:tcW w:w="561" w:type="pct"/>
            <w:tcBorders>
              <w:top w:val="nil"/>
              <w:left w:val="nil"/>
              <w:bottom w:val="single" w:sz="4" w:space="0" w:color="auto"/>
              <w:right w:val="nil"/>
            </w:tcBorders>
            <w:shd w:val="clear" w:color="000000" w:fill="6B2F76"/>
            <w:noWrap/>
            <w:vAlign w:val="bottom"/>
            <w:hideMark/>
          </w:tcPr>
          <w:p w14:paraId="1960016D" w14:textId="77777777" w:rsidR="004B24A4" w:rsidRPr="000B693E" w:rsidRDefault="004B24A4" w:rsidP="00312E88">
            <w:pPr>
              <w:jc w:val="right"/>
              <w:rPr>
                <w:rFonts w:cs="Arial"/>
                <w:b/>
                <w:bCs/>
                <w:color w:val="FFFFFF"/>
                <w:sz w:val="18"/>
                <w:szCs w:val="18"/>
              </w:rPr>
            </w:pPr>
            <w:r w:rsidRPr="000B693E">
              <w:rPr>
                <w:rFonts w:cs="Arial"/>
                <w:b/>
                <w:bCs/>
                <w:color w:val="FFFFFF"/>
                <w:sz w:val="18"/>
                <w:szCs w:val="18"/>
              </w:rPr>
              <w:t>2023-24</w:t>
            </w:r>
          </w:p>
        </w:tc>
        <w:tc>
          <w:tcPr>
            <w:tcW w:w="561" w:type="pct"/>
            <w:tcBorders>
              <w:top w:val="nil"/>
              <w:left w:val="nil"/>
              <w:bottom w:val="single" w:sz="4" w:space="0" w:color="auto"/>
              <w:right w:val="nil"/>
            </w:tcBorders>
            <w:shd w:val="clear" w:color="000000" w:fill="6B2F76"/>
            <w:noWrap/>
            <w:vAlign w:val="bottom"/>
            <w:hideMark/>
          </w:tcPr>
          <w:p w14:paraId="1323786F" w14:textId="77777777" w:rsidR="004B24A4" w:rsidRPr="000B693E" w:rsidRDefault="004B24A4" w:rsidP="00312E88">
            <w:pPr>
              <w:jc w:val="right"/>
              <w:rPr>
                <w:rFonts w:cs="Arial"/>
                <w:b/>
                <w:bCs/>
                <w:color w:val="FFFFFF"/>
                <w:sz w:val="18"/>
                <w:szCs w:val="18"/>
              </w:rPr>
            </w:pPr>
            <w:r w:rsidRPr="000B693E">
              <w:rPr>
                <w:rFonts w:cs="Arial"/>
                <w:b/>
                <w:bCs/>
                <w:color w:val="FFFFFF"/>
                <w:sz w:val="18"/>
                <w:szCs w:val="18"/>
              </w:rPr>
              <w:t>2024-25</w:t>
            </w:r>
          </w:p>
        </w:tc>
        <w:tc>
          <w:tcPr>
            <w:tcW w:w="561" w:type="pct"/>
            <w:tcBorders>
              <w:top w:val="single" w:sz="4" w:space="0" w:color="auto"/>
              <w:left w:val="dotted" w:sz="4" w:space="0" w:color="auto"/>
              <w:bottom w:val="single" w:sz="4" w:space="0" w:color="auto"/>
              <w:right w:val="single" w:sz="4" w:space="0" w:color="auto"/>
            </w:tcBorders>
            <w:shd w:val="clear" w:color="000000" w:fill="6B2F76"/>
            <w:noWrap/>
            <w:vAlign w:val="bottom"/>
            <w:hideMark/>
          </w:tcPr>
          <w:p w14:paraId="52CFF8E3" w14:textId="77777777" w:rsidR="004B24A4" w:rsidRPr="000B693E" w:rsidRDefault="004B24A4" w:rsidP="00312E88">
            <w:pPr>
              <w:jc w:val="right"/>
              <w:rPr>
                <w:rFonts w:cs="Arial"/>
                <w:b/>
                <w:bCs/>
                <w:color w:val="FFFFFF"/>
                <w:sz w:val="18"/>
                <w:szCs w:val="18"/>
              </w:rPr>
            </w:pPr>
            <w:r w:rsidRPr="000B693E">
              <w:rPr>
                <w:rFonts w:cs="Arial"/>
                <w:b/>
                <w:bCs/>
                <w:color w:val="FFFFFF"/>
                <w:sz w:val="18"/>
                <w:szCs w:val="18"/>
              </w:rPr>
              <w:t>2029-30</w:t>
            </w:r>
          </w:p>
        </w:tc>
      </w:tr>
      <w:tr w:rsidR="004B24A4" w:rsidRPr="000B693E" w14:paraId="04786037" w14:textId="77777777" w:rsidTr="00312E88">
        <w:trPr>
          <w:trHeight w:hRule="exact" w:val="284"/>
        </w:trPr>
        <w:tc>
          <w:tcPr>
            <w:tcW w:w="2194" w:type="pct"/>
            <w:tcBorders>
              <w:top w:val="nil"/>
              <w:left w:val="single" w:sz="4" w:space="0" w:color="auto"/>
              <w:bottom w:val="nil"/>
              <w:right w:val="single" w:sz="4" w:space="0" w:color="auto"/>
            </w:tcBorders>
            <w:shd w:val="clear" w:color="auto" w:fill="auto"/>
            <w:noWrap/>
            <w:vAlign w:val="bottom"/>
            <w:hideMark/>
          </w:tcPr>
          <w:p w14:paraId="0B4ED3A7" w14:textId="77777777" w:rsidR="004B24A4" w:rsidRPr="000B693E" w:rsidRDefault="004B24A4" w:rsidP="00312E88">
            <w:pPr>
              <w:rPr>
                <w:rFonts w:cs="Arial"/>
                <w:color w:val="000000"/>
                <w:sz w:val="18"/>
                <w:szCs w:val="18"/>
              </w:rPr>
            </w:pPr>
            <w:r w:rsidRPr="000B693E">
              <w:rPr>
                <w:rFonts w:cs="Arial"/>
                <w:color w:val="000000"/>
                <w:sz w:val="18"/>
                <w:szCs w:val="18"/>
              </w:rPr>
              <w:t>Existing Scheme participants</w:t>
            </w:r>
          </w:p>
          <w:p w14:paraId="6A1A669C" w14:textId="77777777" w:rsidR="004B24A4" w:rsidRPr="000B693E" w:rsidRDefault="004B24A4" w:rsidP="00312E88">
            <w:pPr>
              <w:rPr>
                <w:rFonts w:ascii="Calibri" w:hAnsi="Calibri" w:cs="Calibri"/>
                <w:color w:val="000000"/>
                <w:sz w:val="18"/>
                <w:szCs w:val="18"/>
              </w:rPr>
            </w:pPr>
            <w:r w:rsidRPr="000B693E">
              <w:rPr>
                <w:rFonts w:ascii="Calibri" w:hAnsi="Calibri" w:cs="Calibri"/>
                <w:color w:val="000000"/>
                <w:sz w:val="18"/>
                <w:szCs w:val="18"/>
              </w:rPr>
              <w:t> </w:t>
            </w:r>
          </w:p>
        </w:tc>
        <w:tc>
          <w:tcPr>
            <w:tcW w:w="561" w:type="pct"/>
            <w:tcBorders>
              <w:top w:val="nil"/>
              <w:left w:val="nil"/>
              <w:bottom w:val="nil"/>
              <w:right w:val="nil"/>
            </w:tcBorders>
            <w:shd w:val="clear" w:color="auto" w:fill="auto"/>
            <w:noWrap/>
            <w:vAlign w:val="bottom"/>
            <w:hideMark/>
          </w:tcPr>
          <w:p w14:paraId="11DF70AD" w14:textId="77777777" w:rsidR="004B24A4" w:rsidRPr="000B693E" w:rsidRDefault="004B24A4" w:rsidP="00312E88">
            <w:pPr>
              <w:jc w:val="right"/>
              <w:rPr>
                <w:rFonts w:cs="Arial"/>
                <w:color w:val="000000"/>
                <w:sz w:val="18"/>
                <w:szCs w:val="18"/>
              </w:rPr>
            </w:pPr>
            <w:r w:rsidRPr="000B693E">
              <w:rPr>
                <w:rFonts w:cs="Arial"/>
                <w:color w:val="000000"/>
                <w:sz w:val="18"/>
                <w:szCs w:val="18"/>
              </w:rPr>
              <w:t>27,917</w:t>
            </w:r>
          </w:p>
        </w:tc>
        <w:tc>
          <w:tcPr>
            <w:tcW w:w="561" w:type="pct"/>
            <w:tcBorders>
              <w:top w:val="nil"/>
              <w:left w:val="nil"/>
              <w:bottom w:val="nil"/>
              <w:right w:val="nil"/>
            </w:tcBorders>
            <w:shd w:val="clear" w:color="auto" w:fill="auto"/>
            <w:noWrap/>
            <w:vAlign w:val="bottom"/>
            <w:hideMark/>
          </w:tcPr>
          <w:p w14:paraId="43F255F1" w14:textId="77777777" w:rsidR="004B24A4" w:rsidRPr="000B693E" w:rsidRDefault="004B24A4" w:rsidP="00312E88">
            <w:pPr>
              <w:jc w:val="right"/>
              <w:rPr>
                <w:rFonts w:cs="Arial"/>
                <w:color w:val="000000"/>
                <w:sz w:val="18"/>
                <w:szCs w:val="18"/>
              </w:rPr>
            </w:pPr>
            <w:r w:rsidRPr="000B693E">
              <w:rPr>
                <w:rFonts w:cs="Arial"/>
                <w:color w:val="000000"/>
                <w:sz w:val="18"/>
                <w:szCs w:val="18"/>
              </w:rPr>
              <w:t>30,227</w:t>
            </w:r>
          </w:p>
        </w:tc>
        <w:tc>
          <w:tcPr>
            <w:tcW w:w="561" w:type="pct"/>
            <w:tcBorders>
              <w:top w:val="nil"/>
              <w:left w:val="nil"/>
              <w:bottom w:val="nil"/>
              <w:right w:val="nil"/>
            </w:tcBorders>
            <w:shd w:val="clear" w:color="auto" w:fill="auto"/>
            <w:noWrap/>
            <w:vAlign w:val="bottom"/>
            <w:hideMark/>
          </w:tcPr>
          <w:p w14:paraId="42D7E820" w14:textId="77777777" w:rsidR="004B24A4" w:rsidRPr="000B693E" w:rsidRDefault="004B24A4" w:rsidP="00312E88">
            <w:pPr>
              <w:jc w:val="right"/>
              <w:rPr>
                <w:rFonts w:cs="Arial"/>
                <w:color w:val="000000"/>
                <w:sz w:val="18"/>
                <w:szCs w:val="18"/>
              </w:rPr>
            </w:pPr>
            <w:r w:rsidRPr="000B693E">
              <w:rPr>
                <w:rFonts w:cs="Arial"/>
                <w:color w:val="000000"/>
                <w:sz w:val="18"/>
                <w:szCs w:val="18"/>
              </w:rPr>
              <w:t>31,735</w:t>
            </w:r>
          </w:p>
        </w:tc>
        <w:tc>
          <w:tcPr>
            <w:tcW w:w="561" w:type="pct"/>
            <w:tcBorders>
              <w:top w:val="nil"/>
              <w:left w:val="nil"/>
              <w:bottom w:val="nil"/>
              <w:right w:val="nil"/>
            </w:tcBorders>
            <w:shd w:val="clear" w:color="auto" w:fill="auto"/>
            <w:noWrap/>
            <w:vAlign w:val="bottom"/>
            <w:hideMark/>
          </w:tcPr>
          <w:p w14:paraId="6FF0EAD7" w14:textId="77777777" w:rsidR="004B24A4" w:rsidRPr="000B693E" w:rsidRDefault="004B24A4" w:rsidP="00312E88">
            <w:pPr>
              <w:jc w:val="right"/>
              <w:rPr>
                <w:rFonts w:cs="Arial"/>
                <w:color w:val="000000"/>
                <w:sz w:val="18"/>
                <w:szCs w:val="18"/>
              </w:rPr>
            </w:pPr>
            <w:r w:rsidRPr="000B693E">
              <w:rPr>
                <w:rFonts w:cs="Arial"/>
                <w:color w:val="000000"/>
                <w:sz w:val="18"/>
                <w:szCs w:val="18"/>
              </w:rPr>
              <w:t>32,722</w:t>
            </w:r>
          </w:p>
        </w:tc>
        <w:tc>
          <w:tcPr>
            <w:tcW w:w="561" w:type="pct"/>
            <w:tcBorders>
              <w:top w:val="nil"/>
              <w:left w:val="dotted" w:sz="4" w:space="0" w:color="auto"/>
              <w:bottom w:val="nil"/>
              <w:right w:val="single" w:sz="4" w:space="0" w:color="auto"/>
            </w:tcBorders>
            <w:shd w:val="clear" w:color="auto" w:fill="auto"/>
            <w:noWrap/>
            <w:vAlign w:val="bottom"/>
            <w:hideMark/>
          </w:tcPr>
          <w:p w14:paraId="086E246F" w14:textId="77777777" w:rsidR="004B24A4" w:rsidRPr="000B693E" w:rsidRDefault="004B24A4" w:rsidP="00312E88">
            <w:pPr>
              <w:jc w:val="right"/>
              <w:rPr>
                <w:rFonts w:cs="Arial"/>
                <w:color w:val="000000"/>
                <w:sz w:val="18"/>
                <w:szCs w:val="18"/>
              </w:rPr>
            </w:pPr>
            <w:r w:rsidRPr="000B693E">
              <w:rPr>
                <w:rFonts w:cs="Arial"/>
                <w:color w:val="000000"/>
                <w:sz w:val="18"/>
                <w:szCs w:val="18"/>
              </w:rPr>
              <w:t>37,546</w:t>
            </w:r>
          </w:p>
        </w:tc>
      </w:tr>
      <w:tr w:rsidR="004B24A4" w:rsidRPr="000B693E" w14:paraId="43DC603A" w14:textId="77777777" w:rsidTr="00312E88">
        <w:trPr>
          <w:trHeight w:hRule="exact" w:val="284"/>
        </w:trPr>
        <w:tc>
          <w:tcPr>
            <w:tcW w:w="2194" w:type="pct"/>
            <w:tcBorders>
              <w:top w:val="nil"/>
              <w:left w:val="single" w:sz="4" w:space="0" w:color="auto"/>
              <w:bottom w:val="single" w:sz="4" w:space="0" w:color="auto"/>
              <w:right w:val="single" w:sz="4" w:space="0" w:color="auto"/>
            </w:tcBorders>
            <w:shd w:val="clear" w:color="auto" w:fill="auto"/>
            <w:noWrap/>
            <w:vAlign w:val="bottom"/>
            <w:hideMark/>
          </w:tcPr>
          <w:p w14:paraId="190FBFB3" w14:textId="77777777" w:rsidR="004B24A4" w:rsidRPr="000B693E" w:rsidRDefault="004B24A4" w:rsidP="00312E88">
            <w:pPr>
              <w:rPr>
                <w:rFonts w:cs="Arial"/>
                <w:color w:val="000000"/>
                <w:sz w:val="18"/>
                <w:szCs w:val="18"/>
              </w:rPr>
            </w:pPr>
            <w:r w:rsidRPr="000B693E">
              <w:rPr>
                <w:rFonts w:cs="Arial"/>
                <w:color w:val="000000"/>
                <w:sz w:val="18"/>
                <w:szCs w:val="18"/>
              </w:rPr>
              <w:t>Future participant intake</w:t>
            </w:r>
          </w:p>
          <w:p w14:paraId="0C3A05D4" w14:textId="77777777" w:rsidR="004B24A4" w:rsidRPr="000B693E" w:rsidRDefault="004B24A4" w:rsidP="00312E88">
            <w:pPr>
              <w:rPr>
                <w:rFonts w:ascii="Calibri" w:hAnsi="Calibri" w:cs="Calibri"/>
                <w:color w:val="000000"/>
                <w:sz w:val="18"/>
                <w:szCs w:val="18"/>
              </w:rPr>
            </w:pPr>
            <w:r w:rsidRPr="000B693E">
              <w:rPr>
                <w:rFonts w:ascii="Calibri" w:hAnsi="Calibri" w:cs="Calibri"/>
                <w:color w:val="000000"/>
                <w:sz w:val="18"/>
                <w:szCs w:val="18"/>
              </w:rPr>
              <w:t> </w:t>
            </w:r>
          </w:p>
        </w:tc>
        <w:tc>
          <w:tcPr>
            <w:tcW w:w="561" w:type="pct"/>
            <w:tcBorders>
              <w:top w:val="nil"/>
              <w:left w:val="nil"/>
              <w:bottom w:val="single" w:sz="4" w:space="0" w:color="auto"/>
              <w:right w:val="nil"/>
            </w:tcBorders>
            <w:shd w:val="clear" w:color="auto" w:fill="auto"/>
            <w:noWrap/>
            <w:vAlign w:val="bottom"/>
            <w:hideMark/>
          </w:tcPr>
          <w:p w14:paraId="28FE5AA7" w14:textId="77777777" w:rsidR="004B24A4" w:rsidRPr="000B693E" w:rsidRDefault="004B24A4" w:rsidP="00312E88">
            <w:pPr>
              <w:jc w:val="right"/>
              <w:rPr>
                <w:rFonts w:cs="Arial"/>
                <w:color w:val="000000"/>
                <w:sz w:val="18"/>
                <w:szCs w:val="18"/>
              </w:rPr>
            </w:pPr>
            <w:r w:rsidRPr="000B693E">
              <w:rPr>
                <w:rFonts w:cs="Arial"/>
                <w:color w:val="000000"/>
                <w:sz w:val="18"/>
                <w:szCs w:val="18"/>
              </w:rPr>
              <w:t>1,306</w:t>
            </w:r>
          </w:p>
        </w:tc>
        <w:tc>
          <w:tcPr>
            <w:tcW w:w="561" w:type="pct"/>
            <w:tcBorders>
              <w:top w:val="nil"/>
              <w:left w:val="nil"/>
              <w:bottom w:val="single" w:sz="4" w:space="0" w:color="auto"/>
              <w:right w:val="nil"/>
            </w:tcBorders>
            <w:shd w:val="clear" w:color="auto" w:fill="auto"/>
            <w:noWrap/>
            <w:vAlign w:val="bottom"/>
            <w:hideMark/>
          </w:tcPr>
          <w:p w14:paraId="40E87AD4" w14:textId="77777777" w:rsidR="004B24A4" w:rsidRPr="000B693E" w:rsidRDefault="004B24A4" w:rsidP="00312E88">
            <w:pPr>
              <w:jc w:val="right"/>
              <w:rPr>
                <w:rFonts w:cs="Arial"/>
                <w:color w:val="000000"/>
                <w:sz w:val="18"/>
                <w:szCs w:val="18"/>
              </w:rPr>
            </w:pPr>
            <w:r w:rsidRPr="000B693E">
              <w:rPr>
                <w:rFonts w:cs="Arial"/>
                <w:color w:val="000000"/>
                <w:sz w:val="18"/>
                <w:szCs w:val="18"/>
              </w:rPr>
              <w:t>3,659</w:t>
            </w:r>
          </w:p>
        </w:tc>
        <w:tc>
          <w:tcPr>
            <w:tcW w:w="561" w:type="pct"/>
            <w:tcBorders>
              <w:top w:val="nil"/>
              <w:left w:val="nil"/>
              <w:bottom w:val="single" w:sz="4" w:space="0" w:color="auto"/>
              <w:right w:val="nil"/>
            </w:tcBorders>
            <w:shd w:val="clear" w:color="auto" w:fill="auto"/>
            <w:noWrap/>
            <w:vAlign w:val="bottom"/>
            <w:hideMark/>
          </w:tcPr>
          <w:p w14:paraId="31BCFFC4" w14:textId="77777777" w:rsidR="004B24A4" w:rsidRPr="000B693E" w:rsidRDefault="004B24A4" w:rsidP="00312E88">
            <w:pPr>
              <w:jc w:val="right"/>
              <w:rPr>
                <w:rFonts w:cs="Arial"/>
                <w:color w:val="000000"/>
                <w:sz w:val="18"/>
                <w:szCs w:val="18"/>
              </w:rPr>
            </w:pPr>
            <w:r w:rsidRPr="000B693E">
              <w:rPr>
                <w:rFonts w:cs="Arial"/>
                <w:color w:val="000000"/>
                <w:sz w:val="18"/>
                <w:szCs w:val="18"/>
              </w:rPr>
              <w:t>6,238</w:t>
            </w:r>
          </w:p>
        </w:tc>
        <w:tc>
          <w:tcPr>
            <w:tcW w:w="561" w:type="pct"/>
            <w:tcBorders>
              <w:top w:val="nil"/>
              <w:left w:val="nil"/>
              <w:bottom w:val="single" w:sz="4" w:space="0" w:color="auto"/>
              <w:right w:val="nil"/>
            </w:tcBorders>
            <w:shd w:val="clear" w:color="auto" w:fill="auto"/>
            <w:noWrap/>
            <w:vAlign w:val="bottom"/>
            <w:hideMark/>
          </w:tcPr>
          <w:p w14:paraId="3AACD97F" w14:textId="77777777" w:rsidR="004B24A4" w:rsidRPr="000B693E" w:rsidRDefault="004B24A4" w:rsidP="00312E88">
            <w:pPr>
              <w:jc w:val="right"/>
              <w:rPr>
                <w:rFonts w:cs="Arial"/>
                <w:color w:val="000000"/>
                <w:sz w:val="18"/>
                <w:szCs w:val="18"/>
              </w:rPr>
            </w:pPr>
            <w:r w:rsidRPr="000B693E">
              <w:rPr>
                <w:rFonts w:cs="Arial"/>
                <w:color w:val="000000"/>
                <w:sz w:val="18"/>
                <w:szCs w:val="18"/>
              </w:rPr>
              <w:t>8,650</w:t>
            </w:r>
          </w:p>
        </w:tc>
        <w:tc>
          <w:tcPr>
            <w:tcW w:w="561" w:type="pct"/>
            <w:tcBorders>
              <w:top w:val="nil"/>
              <w:left w:val="dotted" w:sz="4" w:space="0" w:color="auto"/>
              <w:bottom w:val="single" w:sz="4" w:space="0" w:color="auto"/>
              <w:right w:val="single" w:sz="4" w:space="0" w:color="auto"/>
            </w:tcBorders>
            <w:shd w:val="clear" w:color="auto" w:fill="auto"/>
            <w:noWrap/>
            <w:vAlign w:val="bottom"/>
            <w:hideMark/>
          </w:tcPr>
          <w:p w14:paraId="1420A811" w14:textId="77777777" w:rsidR="004B24A4" w:rsidRPr="000B693E" w:rsidRDefault="004B24A4" w:rsidP="00312E88">
            <w:pPr>
              <w:jc w:val="right"/>
              <w:rPr>
                <w:rFonts w:cs="Arial"/>
                <w:color w:val="000000"/>
                <w:sz w:val="18"/>
                <w:szCs w:val="18"/>
              </w:rPr>
            </w:pPr>
            <w:r w:rsidRPr="000B693E">
              <w:rPr>
                <w:rFonts w:cs="Arial"/>
                <w:color w:val="000000"/>
                <w:sz w:val="18"/>
                <w:szCs w:val="18"/>
              </w:rPr>
              <w:t>21,738</w:t>
            </w:r>
          </w:p>
        </w:tc>
      </w:tr>
      <w:tr w:rsidR="004B24A4" w:rsidRPr="000B693E" w14:paraId="19846D0C" w14:textId="77777777" w:rsidTr="00312E88">
        <w:trPr>
          <w:trHeight w:hRule="exact" w:val="284"/>
        </w:trPr>
        <w:tc>
          <w:tcPr>
            <w:tcW w:w="2194" w:type="pct"/>
            <w:tcBorders>
              <w:top w:val="nil"/>
              <w:left w:val="single" w:sz="4" w:space="0" w:color="auto"/>
              <w:bottom w:val="single" w:sz="4" w:space="0" w:color="auto"/>
              <w:right w:val="single" w:sz="4" w:space="0" w:color="auto"/>
            </w:tcBorders>
            <w:shd w:val="clear" w:color="auto" w:fill="auto"/>
            <w:noWrap/>
            <w:vAlign w:val="bottom"/>
            <w:hideMark/>
          </w:tcPr>
          <w:p w14:paraId="786478EB" w14:textId="77777777" w:rsidR="004B24A4" w:rsidRPr="000B693E" w:rsidRDefault="004B24A4" w:rsidP="00312E88">
            <w:pPr>
              <w:rPr>
                <w:rFonts w:cs="Arial"/>
                <w:b/>
                <w:bCs/>
                <w:color w:val="000000"/>
                <w:sz w:val="18"/>
                <w:szCs w:val="18"/>
              </w:rPr>
            </w:pPr>
            <w:r w:rsidRPr="000B693E">
              <w:rPr>
                <w:rFonts w:cs="Arial"/>
                <w:b/>
                <w:bCs/>
                <w:color w:val="000000"/>
                <w:sz w:val="18"/>
                <w:szCs w:val="18"/>
              </w:rPr>
              <w:t>Total Participant Costs</w:t>
            </w:r>
          </w:p>
          <w:p w14:paraId="417FC622" w14:textId="77777777" w:rsidR="004B24A4" w:rsidRPr="000B693E" w:rsidRDefault="004B24A4" w:rsidP="00312E88">
            <w:pPr>
              <w:rPr>
                <w:rFonts w:ascii="Calibri" w:hAnsi="Calibri" w:cs="Calibri"/>
                <w:b/>
                <w:bCs/>
                <w:color w:val="000000"/>
                <w:sz w:val="18"/>
                <w:szCs w:val="18"/>
              </w:rPr>
            </w:pPr>
            <w:r w:rsidRPr="000B693E">
              <w:rPr>
                <w:rFonts w:ascii="Calibri" w:hAnsi="Calibri" w:cs="Calibri"/>
                <w:b/>
                <w:bCs/>
                <w:color w:val="000000"/>
                <w:sz w:val="18"/>
                <w:szCs w:val="18"/>
              </w:rPr>
              <w:t> </w:t>
            </w:r>
          </w:p>
        </w:tc>
        <w:tc>
          <w:tcPr>
            <w:tcW w:w="561" w:type="pct"/>
            <w:tcBorders>
              <w:top w:val="nil"/>
              <w:left w:val="nil"/>
              <w:bottom w:val="single" w:sz="4" w:space="0" w:color="auto"/>
              <w:right w:val="nil"/>
            </w:tcBorders>
            <w:shd w:val="clear" w:color="auto" w:fill="auto"/>
            <w:noWrap/>
            <w:vAlign w:val="bottom"/>
            <w:hideMark/>
          </w:tcPr>
          <w:p w14:paraId="5DE0DC71" w14:textId="77777777" w:rsidR="004B24A4" w:rsidRPr="000B693E" w:rsidRDefault="004B24A4" w:rsidP="00312E88">
            <w:pPr>
              <w:jc w:val="right"/>
              <w:rPr>
                <w:rFonts w:cs="Arial"/>
                <w:b/>
                <w:bCs/>
                <w:color w:val="000000"/>
                <w:sz w:val="18"/>
                <w:szCs w:val="18"/>
              </w:rPr>
            </w:pPr>
            <w:r w:rsidRPr="000B693E">
              <w:rPr>
                <w:rFonts w:cs="Arial"/>
                <w:b/>
                <w:bCs/>
                <w:color w:val="000000"/>
                <w:sz w:val="18"/>
                <w:szCs w:val="18"/>
              </w:rPr>
              <w:t>29,223</w:t>
            </w:r>
          </w:p>
        </w:tc>
        <w:tc>
          <w:tcPr>
            <w:tcW w:w="561" w:type="pct"/>
            <w:tcBorders>
              <w:top w:val="nil"/>
              <w:left w:val="nil"/>
              <w:bottom w:val="single" w:sz="4" w:space="0" w:color="auto"/>
              <w:right w:val="nil"/>
            </w:tcBorders>
            <w:shd w:val="clear" w:color="auto" w:fill="auto"/>
            <w:noWrap/>
            <w:vAlign w:val="bottom"/>
            <w:hideMark/>
          </w:tcPr>
          <w:p w14:paraId="1675CFF1" w14:textId="77777777" w:rsidR="004B24A4" w:rsidRPr="000B693E" w:rsidRDefault="004B24A4" w:rsidP="00312E88">
            <w:pPr>
              <w:jc w:val="right"/>
              <w:rPr>
                <w:rFonts w:cs="Arial"/>
                <w:b/>
                <w:bCs/>
                <w:color w:val="000000"/>
                <w:sz w:val="18"/>
                <w:szCs w:val="18"/>
              </w:rPr>
            </w:pPr>
            <w:r w:rsidRPr="000B693E">
              <w:rPr>
                <w:rFonts w:cs="Arial"/>
                <w:b/>
                <w:bCs/>
                <w:color w:val="000000"/>
                <w:sz w:val="18"/>
                <w:szCs w:val="18"/>
              </w:rPr>
              <w:t>33,886</w:t>
            </w:r>
          </w:p>
        </w:tc>
        <w:tc>
          <w:tcPr>
            <w:tcW w:w="561" w:type="pct"/>
            <w:tcBorders>
              <w:top w:val="nil"/>
              <w:left w:val="nil"/>
              <w:bottom w:val="single" w:sz="4" w:space="0" w:color="auto"/>
              <w:right w:val="nil"/>
            </w:tcBorders>
            <w:shd w:val="clear" w:color="auto" w:fill="auto"/>
            <w:noWrap/>
            <w:vAlign w:val="bottom"/>
            <w:hideMark/>
          </w:tcPr>
          <w:p w14:paraId="40B711D0" w14:textId="77777777" w:rsidR="004B24A4" w:rsidRPr="000B693E" w:rsidRDefault="004B24A4" w:rsidP="00312E88">
            <w:pPr>
              <w:jc w:val="right"/>
              <w:rPr>
                <w:rFonts w:cs="Arial"/>
                <w:b/>
                <w:bCs/>
                <w:color w:val="000000"/>
                <w:sz w:val="18"/>
                <w:szCs w:val="18"/>
              </w:rPr>
            </w:pPr>
            <w:r w:rsidRPr="000B693E">
              <w:rPr>
                <w:rFonts w:cs="Arial"/>
                <w:b/>
                <w:bCs/>
                <w:color w:val="000000"/>
                <w:sz w:val="18"/>
                <w:szCs w:val="18"/>
              </w:rPr>
              <w:t>37,973</w:t>
            </w:r>
          </w:p>
        </w:tc>
        <w:tc>
          <w:tcPr>
            <w:tcW w:w="561" w:type="pct"/>
            <w:tcBorders>
              <w:top w:val="nil"/>
              <w:left w:val="nil"/>
              <w:bottom w:val="single" w:sz="4" w:space="0" w:color="auto"/>
              <w:right w:val="nil"/>
            </w:tcBorders>
            <w:shd w:val="clear" w:color="auto" w:fill="auto"/>
            <w:noWrap/>
            <w:vAlign w:val="bottom"/>
            <w:hideMark/>
          </w:tcPr>
          <w:p w14:paraId="4A333A6B" w14:textId="77777777" w:rsidR="004B24A4" w:rsidRPr="000B693E" w:rsidRDefault="004B24A4" w:rsidP="00312E88">
            <w:pPr>
              <w:jc w:val="right"/>
              <w:rPr>
                <w:rFonts w:cs="Arial"/>
                <w:b/>
                <w:bCs/>
                <w:color w:val="000000"/>
                <w:sz w:val="18"/>
                <w:szCs w:val="18"/>
              </w:rPr>
            </w:pPr>
            <w:r w:rsidRPr="000B693E">
              <w:rPr>
                <w:rFonts w:cs="Arial"/>
                <w:b/>
                <w:bCs/>
                <w:color w:val="000000"/>
                <w:sz w:val="18"/>
                <w:szCs w:val="18"/>
              </w:rPr>
              <w:t>41,373</w:t>
            </w:r>
          </w:p>
        </w:tc>
        <w:tc>
          <w:tcPr>
            <w:tcW w:w="561" w:type="pct"/>
            <w:tcBorders>
              <w:top w:val="nil"/>
              <w:left w:val="dotted" w:sz="4" w:space="0" w:color="auto"/>
              <w:bottom w:val="single" w:sz="4" w:space="0" w:color="auto"/>
              <w:right w:val="single" w:sz="4" w:space="0" w:color="auto"/>
            </w:tcBorders>
            <w:shd w:val="clear" w:color="auto" w:fill="auto"/>
            <w:noWrap/>
            <w:vAlign w:val="bottom"/>
            <w:hideMark/>
          </w:tcPr>
          <w:p w14:paraId="2A54FD41" w14:textId="77777777" w:rsidR="004B24A4" w:rsidRPr="000B693E" w:rsidRDefault="004B24A4" w:rsidP="00312E88">
            <w:pPr>
              <w:jc w:val="right"/>
              <w:rPr>
                <w:rFonts w:cs="Arial"/>
                <w:b/>
                <w:bCs/>
                <w:color w:val="000000"/>
                <w:sz w:val="18"/>
                <w:szCs w:val="18"/>
              </w:rPr>
            </w:pPr>
            <w:r w:rsidRPr="000B693E">
              <w:rPr>
                <w:rFonts w:cs="Arial"/>
                <w:b/>
                <w:bCs/>
                <w:color w:val="000000"/>
                <w:sz w:val="18"/>
                <w:szCs w:val="18"/>
              </w:rPr>
              <w:t>59,284</w:t>
            </w:r>
          </w:p>
        </w:tc>
      </w:tr>
    </w:tbl>
    <w:p w14:paraId="79794ADD" w14:textId="6FCE8798" w:rsidR="000021BC" w:rsidRDefault="000021BC" w:rsidP="000021BC">
      <w:pPr>
        <w:spacing w:before="240"/>
      </w:pPr>
    </w:p>
    <w:p w14:paraId="78A91121" w14:textId="77777777" w:rsidR="001C2276" w:rsidRDefault="001C2276" w:rsidP="00EF5E91">
      <w:pPr>
        <w:spacing w:before="240"/>
        <w:rPr>
          <w:b/>
          <w:i/>
          <w:color w:val="6B2976"/>
          <w:sz w:val="25"/>
        </w:rPr>
      </w:pPr>
      <w:r>
        <w:rPr>
          <w:b/>
          <w:i/>
          <w:color w:val="6B2976"/>
          <w:sz w:val="25"/>
        </w:rPr>
        <w:t>Existing Participants</w:t>
      </w:r>
    </w:p>
    <w:p w14:paraId="0903165A" w14:textId="01E2A1DA" w:rsidR="001C2276" w:rsidRDefault="00502B9D" w:rsidP="00EF5E91">
      <w:pPr>
        <w:spacing w:before="240"/>
      </w:pPr>
      <w:r w:rsidRPr="004B24A4">
        <w:rPr>
          <w:u w:val="single"/>
        </w:rPr>
        <w:fldChar w:fldCharType="begin"/>
      </w:r>
      <w:r w:rsidRPr="004B24A4">
        <w:rPr>
          <w:u w:val="single"/>
        </w:rPr>
        <w:instrText xml:space="preserve"> REF _Ref80431043 \h </w:instrText>
      </w:r>
      <w:r w:rsidR="004B24A4">
        <w:rPr>
          <w:u w:val="single"/>
        </w:rPr>
        <w:instrText xml:space="preserve"> \* MERGEFORMAT </w:instrText>
      </w:r>
      <w:r w:rsidRPr="004B24A4">
        <w:rPr>
          <w:u w:val="single"/>
        </w:rPr>
      </w:r>
      <w:r w:rsidRPr="004B24A4">
        <w:rPr>
          <w:u w:val="single"/>
        </w:rPr>
        <w:fldChar w:fldCharType="separate"/>
      </w:r>
      <w:r w:rsidR="00E50032" w:rsidRPr="00E50032">
        <w:rPr>
          <w:u w:val="single"/>
        </w:rPr>
        <w:t xml:space="preserve">Table </w:t>
      </w:r>
      <w:r w:rsidR="00E50032" w:rsidRPr="00E50032">
        <w:rPr>
          <w:noProof/>
          <w:u w:val="single"/>
        </w:rPr>
        <w:t>40</w:t>
      </w:r>
      <w:r w:rsidRPr="004B24A4">
        <w:rPr>
          <w:u w:val="single"/>
        </w:rPr>
        <w:fldChar w:fldCharType="end"/>
      </w:r>
      <w:r>
        <w:t xml:space="preserve"> </w:t>
      </w:r>
      <w:r w:rsidR="001C2276" w:rsidRPr="005726A8">
        <w:t xml:space="preserve">shows </w:t>
      </w:r>
      <w:r w:rsidR="001C2276">
        <w:t>various scenarios in relation to existing participants</w:t>
      </w:r>
      <w:r w:rsidR="00E255CE">
        <w:t>.</w:t>
      </w:r>
      <w:r w:rsidR="001C2276">
        <w:t xml:space="preserve"> Comments </w:t>
      </w:r>
      <w:r w:rsidR="00261DEB">
        <w:t>on specific scenarios ar</w:t>
      </w:r>
      <w:r w:rsidR="001C2276">
        <w:t>e as follows:</w:t>
      </w:r>
    </w:p>
    <w:p w14:paraId="7670703C" w14:textId="01F5B512" w:rsidR="000A5E71" w:rsidRDefault="003E731A" w:rsidP="004C292C">
      <w:pPr>
        <w:pStyle w:val="ListParagraph"/>
        <w:numPr>
          <w:ilvl w:val="0"/>
          <w:numId w:val="22"/>
        </w:numPr>
        <w:spacing w:before="240"/>
      </w:pPr>
      <w:r>
        <w:t xml:space="preserve">Lower </w:t>
      </w:r>
      <w:r w:rsidR="001C72E3">
        <w:t xml:space="preserve">long term </w:t>
      </w:r>
      <w:r>
        <w:t>non-mortality exit rates (equal to the rate observed over the past year) adds $0.5</w:t>
      </w:r>
      <w:r w:rsidR="007D6333">
        <w:t xml:space="preserve"> billion</w:t>
      </w:r>
      <w:r>
        <w:t xml:space="preserve"> in 2024-25 and $2.</w:t>
      </w:r>
      <w:r w:rsidR="007364CC">
        <w:t>7</w:t>
      </w:r>
      <w:r w:rsidR="007D6333">
        <w:t xml:space="preserve"> billion</w:t>
      </w:r>
      <w:r>
        <w:t xml:space="preserve"> in 2029-30</w:t>
      </w:r>
    </w:p>
    <w:p w14:paraId="361C44A9" w14:textId="2F4285B0" w:rsidR="000A5E71" w:rsidRDefault="003E731A" w:rsidP="00E255CE">
      <w:pPr>
        <w:pStyle w:val="ListParagraph"/>
        <w:numPr>
          <w:ilvl w:val="0"/>
          <w:numId w:val="22"/>
        </w:numPr>
        <w:spacing w:before="240"/>
      </w:pPr>
      <w:r>
        <w:t xml:space="preserve">Continuation of current rates of superimposed inflation </w:t>
      </w:r>
      <w:r w:rsidR="00C956FE">
        <w:t xml:space="preserve">for two additional years </w:t>
      </w:r>
      <w:r>
        <w:t>adds $4.1</w:t>
      </w:r>
      <w:r w:rsidR="007D6333">
        <w:t xml:space="preserve"> billion</w:t>
      </w:r>
      <w:r>
        <w:t xml:space="preserve"> in 2024-25 and $6.4</w:t>
      </w:r>
      <w:r w:rsidR="007D6333">
        <w:t xml:space="preserve"> billion</w:t>
      </w:r>
      <w:r>
        <w:t xml:space="preserve"> in 2029-30</w:t>
      </w:r>
    </w:p>
    <w:p w14:paraId="4EBCB33A" w14:textId="30B72762" w:rsidR="00E255CE" w:rsidRDefault="00E255CE" w:rsidP="00E255CE">
      <w:pPr>
        <w:pStyle w:val="ListParagraph"/>
        <w:numPr>
          <w:ilvl w:val="0"/>
          <w:numId w:val="22"/>
        </w:numPr>
        <w:spacing w:before="240"/>
      </w:pPr>
      <w:r>
        <w:t>Higher numbers of SIL participants add</w:t>
      </w:r>
      <w:r w:rsidR="00E97EE3">
        <w:t>s</w:t>
      </w:r>
      <w:r>
        <w:t xml:space="preserve"> $0.5</w:t>
      </w:r>
      <w:r w:rsidR="007D6333">
        <w:t xml:space="preserve"> billion</w:t>
      </w:r>
      <w:r>
        <w:t xml:space="preserve"> in 2024-25 and $1.</w:t>
      </w:r>
      <w:r w:rsidR="009478F0">
        <w:t>5</w:t>
      </w:r>
      <w:r w:rsidR="007D6333">
        <w:t xml:space="preserve"> billion</w:t>
      </w:r>
      <w:r>
        <w:t xml:space="preserve"> in 2029-30</w:t>
      </w:r>
    </w:p>
    <w:p w14:paraId="493DF69D" w14:textId="37A972DA" w:rsidR="000A5E71" w:rsidRPr="00AA44C0" w:rsidRDefault="000A5E71" w:rsidP="000A5E71">
      <w:pPr>
        <w:pStyle w:val="Tables"/>
        <w:keepLines/>
        <w:rPr>
          <w:iCs/>
        </w:rPr>
      </w:pPr>
      <w:bookmarkStart w:id="248" w:name="_Ref80431043"/>
      <w:r w:rsidRPr="00AA44C0">
        <w:t xml:space="preserve">Table </w:t>
      </w:r>
      <w:fldSimple w:instr=" SEQ Table \* ARABIC ">
        <w:r w:rsidR="00E50032">
          <w:rPr>
            <w:noProof/>
          </w:rPr>
          <w:t>40</w:t>
        </w:r>
      </w:fldSimple>
      <w:bookmarkEnd w:id="248"/>
      <w:r>
        <w:t xml:space="preserve"> Scenarios regarding existing participants </w:t>
      </w:r>
      <w:r w:rsidRPr="00AA44C0">
        <w:t xml:space="preserve"> </w:t>
      </w:r>
    </w:p>
    <w:tbl>
      <w:tblPr>
        <w:tblW w:w="0" w:type="auto"/>
        <w:tblLook w:val="04A0" w:firstRow="1" w:lastRow="0" w:firstColumn="1" w:lastColumn="0" w:noHBand="0" w:noVBand="1"/>
      </w:tblPr>
      <w:tblGrid>
        <w:gridCol w:w="3367"/>
        <w:gridCol w:w="877"/>
        <w:gridCol w:w="877"/>
        <w:gridCol w:w="877"/>
        <w:gridCol w:w="877"/>
        <w:gridCol w:w="877"/>
        <w:gridCol w:w="1269"/>
      </w:tblGrid>
      <w:tr w:rsidR="003321F4" w:rsidRPr="000B693E" w14:paraId="4E7175B6" w14:textId="77777777" w:rsidTr="00312E88">
        <w:trPr>
          <w:trHeight w:val="620"/>
          <w:tblHeader/>
        </w:trPr>
        <w:tc>
          <w:tcPr>
            <w:tcW w:w="0" w:type="auto"/>
            <w:tcBorders>
              <w:top w:val="single" w:sz="4" w:space="0" w:color="auto"/>
              <w:left w:val="single" w:sz="4" w:space="0" w:color="auto"/>
              <w:bottom w:val="single" w:sz="4" w:space="0" w:color="000000"/>
              <w:right w:val="single" w:sz="4" w:space="0" w:color="auto"/>
            </w:tcBorders>
            <w:shd w:val="clear" w:color="000000" w:fill="6B2F76"/>
            <w:vAlign w:val="center"/>
            <w:hideMark/>
          </w:tcPr>
          <w:p w14:paraId="65B0BD73" w14:textId="77777777" w:rsidR="003321F4" w:rsidRPr="000B693E" w:rsidRDefault="003321F4" w:rsidP="00312E88">
            <w:pPr>
              <w:rPr>
                <w:rFonts w:cs="Arial"/>
                <w:b/>
                <w:bCs/>
                <w:color w:val="FFFFFF"/>
                <w:sz w:val="18"/>
                <w:szCs w:val="18"/>
              </w:rPr>
            </w:pPr>
            <w:r w:rsidRPr="000B693E">
              <w:rPr>
                <w:rFonts w:cs="Arial"/>
                <w:b/>
                <w:bCs/>
                <w:color w:val="FFFFFF"/>
                <w:sz w:val="18"/>
                <w:szCs w:val="18"/>
              </w:rPr>
              <w:t>Scenarios - existing participants ($m)</w:t>
            </w:r>
          </w:p>
        </w:tc>
        <w:tc>
          <w:tcPr>
            <w:tcW w:w="0" w:type="auto"/>
            <w:tcBorders>
              <w:top w:val="nil"/>
              <w:left w:val="nil"/>
              <w:bottom w:val="single" w:sz="4" w:space="0" w:color="auto"/>
              <w:right w:val="nil"/>
            </w:tcBorders>
            <w:shd w:val="clear" w:color="000000" w:fill="6B2F76"/>
            <w:noWrap/>
            <w:vAlign w:val="bottom"/>
            <w:hideMark/>
          </w:tcPr>
          <w:p w14:paraId="4860D5EB" w14:textId="77777777" w:rsidR="003321F4" w:rsidRPr="000B693E" w:rsidRDefault="003321F4" w:rsidP="00312E88">
            <w:pPr>
              <w:jc w:val="right"/>
              <w:rPr>
                <w:rFonts w:cs="Arial"/>
                <w:b/>
                <w:bCs/>
                <w:color w:val="FFFFFF"/>
                <w:sz w:val="18"/>
                <w:szCs w:val="18"/>
              </w:rPr>
            </w:pPr>
            <w:r w:rsidRPr="000B693E">
              <w:rPr>
                <w:rFonts w:cs="Arial"/>
                <w:b/>
                <w:bCs/>
                <w:color w:val="FFFFFF"/>
                <w:sz w:val="18"/>
                <w:szCs w:val="18"/>
              </w:rPr>
              <w:t>2021-22</w:t>
            </w:r>
          </w:p>
        </w:tc>
        <w:tc>
          <w:tcPr>
            <w:tcW w:w="0" w:type="auto"/>
            <w:tcBorders>
              <w:top w:val="nil"/>
              <w:left w:val="nil"/>
              <w:bottom w:val="single" w:sz="4" w:space="0" w:color="auto"/>
              <w:right w:val="nil"/>
            </w:tcBorders>
            <w:shd w:val="clear" w:color="000000" w:fill="6B2F76"/>
            <w:noWrap/>
            <w:vAlign w:val="bottom"/>
            <w:hideMark/>
          </w:tcPr>
          <w:p w14:paraId="45FB7CDA" w14:textId="77777777" w:rsidR="003321F4" w:rsidRPr="000B693E" w:rsidRDefault="003321F4" w:rsidP="00312E88">
            <w:pPr>
              <w:jc w:val="right"/>
              <w:rPr>
                <w:rFonts w:cs="Arial"/>
                <w:b/>
                <w:bCs/>
                <w:color w:val="FFFFFF"/>
                <w:sz w:val="18"/>
                <w:szCs w:val="18"/>
              </w:rPr>
            </w:pPr>
            <w:r w:rsidRPr="000B693E">
              <w:rPr>
                <w:rFonts w:cs="Arial"/>
                <w:b/>
                <w:bCs/>
                <w:color w:val="FFFFFF"/>
                <w:sz w:val="18"/>
                <w:szCs w:val="18"/>
              </w:rPr>
              <w:t>2022-23</w:t>
            </w:r>
          </w:p>
        </w:tc>
        <w:tc>
          <w:tcPr>
            <w:tcW w:w="0" w:type="auto"/>
            <w:tcBorders>
              <w:top w:val="nil"/>
              <w:left w:val="nil"/>
              <w:bottom w:val="single" w:sz="4" w:space="0" w:color="auto"/>
              <w:right w:val="nil"/>
            </w:tcBorders>
            <w:shd w:val="clear" w:color="000000" w:fill="6B2F76"/>
            <w:noWrap/>
            <w:vAlign w:val="bottom"/>
            <w:hideMark/>
          </w:tcPr>
          <w:p w14:paraId="5BF180EC" w14:textId="77777777" w:rsidR="003321F4" w:rsidRPr="000B693E" w:rsidRDefault="003321F4" w:rsidP="00312E88">
            <w:pPr>
              <w:jc w:val="right"/>
              <w:rPr>
                <w:rFonts w:cs="Arial"/>
                <w:b/>
                <w:bCs/>
                <w:color w:val="FFFFFF"/>
                <w:sz w:val="18"/>
                <w:szCs w:val="18"/>
              </w:rPr>
            </w:pPr>
            <w:r w:rsidRPr="000B693E">
              <w:rPr>
                <w:rFonts w:cs="Arial"/>
                <w:b/>
                <w:bCs/>
                <w:color w:val="FFFFFF"/>
                <w:sz w:val="18"/>
                <w:szCs w:val="18"/>
              </w:rPr>
              <w:t>2023-24</w:t>
            </w:r>
          </w:p>
        </w:tc>
        <w:tc>
          <w:tcPr>
            <w:tcW w:w="0" w:type="auto"/>
            <w:tcBorders>
              <w:top w:val="nil"/>
              <w:left w:val="nil"/>
              <w:bottom w:val="single" w:sz="4" w:space="0" w:color="auto"/>
              <w:right w:val="nil"/>
            </w:tcBorders>
            <w:shd w:val="clear" w:color="000000" w:fill="6B2F76"/>
            <w:noWrap/>
            <w:vAlign w:val="bottom"/>
            <w:hideMark/>
          </w:tcPr>
          <w:p w14:paraId="5AEBD3BF" w14:textId="77777777" w:rsidR="003321F4" w:rsidRPr="000B693E" w:rsidRDefault="003321F4" w:rsidP="00312E88">
            <w:pPr>
              <w:jc w:val="right"/>
              <w:rPr>
                <w:rFonts w:cs="Arial"/>
                <w:b/>
                <w:bCs/>
                <w:color w:val="FFFFFF"/>
                <w:sz w:val="18"/>
                <w:szCs w:val="18"/>
              </w:rPr>
            </w:pPr>
            <w:r w:rsidRPr="000B693E">
              <w:rPr>
                <w:rFonts w:cs="Arial"/>
                <w:b/>
                <w:bCs/>
                <w:color w:val="FFFFFF"/>
                <w:sz w:val="18"/>
                <w:szCs w:val="18"/>
              </w:rPr>
              <w:t>2024-25</w:t>
            </w:r>
          </w:p>
        </w:tc>
        <w:tc>
          <w:tcPr>
            <w:tcW w:w="0" w:type="auto"/>
            <w:tcBorders>
              <w:top w:val="nil"/>
              <w:left w:val="dotted" w:sz="4" w:space="0" w:color="auto"/>
              <w:bottom w:val="single" w:sz="4" w:space="0" w:color="auto"/>
              <w:right w:val="single" w:sz="4" w:space="0" w:color="auto"/>
            </w:tcBorders>
            <w:shd w:val="clear" w:color="000000" w:fill="6B2F76"/>
            <w:noWrap/>
            <w:vAlign w:val="bottom"/>
            <w:hideMark/>
          </w:tcPr>
          <w:p w14:paraId="24272373" w14:textId="77777777" w:rsidR="003321F4" w:rsidRPr="000B693E" w:rsidRDefault="003321F4" w:rsidP="00312E88">
            <w:pPr>
              <w:jc w:val="right"/>
              <w:rPr>
                <w:rFonts w:cs="Arial"/>
                <w:b/>
                <w:bCs/>
                <w:color w:val="FFFFFF"/>
                <w:sz w:val="18"/>
                <w:szCs w:val="18"/>
              </w:rPr>
            </w:pPr>
            <w:r w:rsidRPr="000B693E">
              <w:rPr>
                <w:rFonts w:cs="Arial"/>
                <w:b/>
                <w:bCs/>
                <w:color w:val="FFFFFF"/>
                <w:sz w:val="18"/>
                <w:szCs w:val="18"/>
              </w:rPr>
              <w:t>2029-30</w:t>
            </w:r>
          </w:p>
        </w:tc>
        <w:tc>
          <w:tcPr>
            <w:tcW w:w="0" w:type="auto"/>
            <w:tcBorders>
              <w:top w:val="nil"/>
              <w:left w:val="nil"/>
              <w:bottom w:val="single" w:sz="4" w:space="0" w:color="auto"/>
              <w:right w:val="nil"/>
            </w:tcBorders>
            <w:shd w:val="clear" w:color="000000" w:fill="6B2F76"/>
            <w:vAlign w:val="bottom"/>
            <w:hideMark/>
          </w:tcPr>
          <w:p w14:paraId="0C87BD2F" w14:textId="77777777" w:rsidR="003321F4" w:rsidRPr="000B693E" w:rsidRDefault="003321F4" w:rsidP="00312E88">
            <w:pPr>
              <w:jc w:val="right"/>
              <w:rPr>
                <w:rFonts w:cs="Arial"/>
                <w:b/>
                <w:bCs/>
                <w:color w:val="FFFFFF"/>
                <w:sz w:val="18"/>
                <w:szCs w:val="18"/>
              </w:rPr>
            </w:pPr>
            <w:r w:rsidRPr="000B693E">
              <w:rPr>
                <w:rFonts w:cs="Arial"/>
                <w:b/>
                <w:bCs/>
                <w:color w:val="FFFFFF"/>
                <w:sz w:val="18"/>
                <w:szCs w:val="18"/>
              </w:rPr>
              <w:t>Total 2021-25</w:t>
            </w:r>
          </w:p>
        </w:tc>
      </w:tr>
      <w:tr w:rsidR="003321F4" w:rsidRPr="000B693E" w14:paraId="132309B5" w14:textId="77777777" w:rsidTr="003321F4">
        <w:trPr>
          <w:trHeight w:hRule="exact" w:val="284"/>
        </w:trPr>
        <w:tc>
          <w:tcPr>
            <w:tcW w:w="0" w:type="auto"/>
            <w:tcBorders>
              <w:top w:val="nil"/>
              <w:left w:val="single" w:sz="4" w:space="0" w:color="auto"/>
              <w:bottom w:val="single" w:sz="8" w:space="0" w:color="auto"/>
              <w:right w:val="single" w:sz="4" w:space="0" w:color="auto"/>
            </w:tcBorders>
            <w:shd w:val="clear" w:color="auto" w:fill="auto"/>
            <w:noWrap/>
            <w:vAlign w:val="bottom"/>
            <w:hideMark/>
          </w:tcPr>
          <w:p w14:paraId="71BDA573" w14:textId="77777777" w:rsidR="003321F4" w:rsidRPr="000B693E" w:rsidRDefault="003321F4" w:rsidP="00312E88">
            <w:pPr>
              <w:rPr>
                <w:rFonts w:cs="Arial"/>
                <w:b/>
                <w:bCs/>
                <w:sz w:val="18"/>
                <w:szCs w:val="18"/>
              </w:rPr>
            </w:pPr>
            <w:r w:rsidRPr="000B693E">
              <w:rPr>
                <w:rFonts w:cs="Arial"/>
                <w:b/>
                <w:bCs/>
                <w:sz w:val="18"/>
                <w:szCs w:val="18"/>
              </w:rPr>
              <w:t>Baseline Projection</w:t>
            </w:r>
          </w:p>
        </w:tc>
        <w:tc>
          <w:tcPr>
            <w:tcW w:w="0" w:type="auto"/>
            <w:tcBorders>
              <w:top w:val="nil"/>
              <w:left w:val="nil"/>
              <w:bottom w:val="single" w:sz="8" w:space="0" w:color="auto"/>
              <w:right w:val="nil"/>
            </w:tcBorders>
            <w:shd w:val="clear" w:color="auto" w:fill="auto"/>
            <w:noWrap/>
            <w:vAlign w:val="bottom"/>
            <w:hideMark/>
          </w:tcPr>
          <w:p w14:paraId="138120EB" w14:textId="77777777" w:rsidR="003321F4" w:rsidRPr="000B693E" w:rsidRDefault="003321F4" w:rsidP="00312E88">
            <w:pPr>
              <w:jc w:val="right"/>
              <w:rPr>
                <w:rFonts w:cs="Arial"/>
                <w:sz w:val="18"/>
                <w:szCs w:val="18"/>
              </w:rPr>
            </w:pPr>
            <w:r w:rsidRPr="000B693E">
              <w:rPr>
                <w:rFonts w:cs="Arial"/>
                <w:sz w:val="18"/>
                <w:szCs w:val="18"/>
              </w:rPr>
              <w:t>27,917</w:t>
            </w:r>
          </w:p>
        </w:tc>
        <w:tc>
          <w:tcPr>
            <w:tcW w:w="0" w:type="auto"/>
            <w:tcBorders>
              <w:top w:val="nil"/>
              <w:left w:val="nil"/>
              <w:bottom w:val="single" w:sz="8" w:space="0" w:color="auto"/>
              <w:right w:val="nil"/>
            </w:tcBorders>
            <w:shd w:val="clear" w:color="auto" w:fill="auto"/>
            <w:noWrap/>
            <w:vAlign w:val="bottom"/>
            <w:hideMark/>
          </w:tcPr>
          <w:p w14:paraId="5BD89FD3" w14:textId="77777777" w:rsidR="003321F4" w:rsidRPr="000B693E" w:rsidRDefault="003321F4" w:rsidP="00312E88">
            <w:pPr>
              <w:jc w:val="right"/>
              <w:rPr>
                <w:rFonts w:cs="Arial"/>
                <w:sz w:val="18"/>
                <w:szCs w:val="18"/>
              </w:rPr>
            </w:pPr>
            <w:r w:rsidRPr="000B693E">
              <w:rPr>
                <w:rFonts w:cs="Arial"/>
                <w:sz w:val="18"/>
                <w:szCs w:val="18"/>
              </w:rPr>
              <w:t>30,227</w:t>
            </w:r>
          </w:p>
        </w:tc>
        <w:tc>
          <w:tcPr>
            <w:tcW w:w="0" w:type="auto"/>
            <w:tcBorders>
              <w:top w:val="nil"/>
              <w:left w:val="nil"/>
              <w:bottom w:val="single" w:sz="8" w:space="0" w:color="auto"/>
              <w:right w:val="nil"/>
            </w:tcBorders>
            <w:shd w:val="clear" w:color="auto" w:fill="auto"/>
            <w:noWrap/>
            <w:vAlign w:val="bottom"/>
            <w:hideMark/>
          </w:tcPr>
          <w:p w14:paraId="2078544B" w14:textId="77777777" w:rsidR="003321F4" w:rsidRPr="000B693E" w:rsidRDefault="003321F4" w:rsidP="00312E88">
            <w:pPr>
              <w:jc w:val="right"/>
              <w:rPr>
                <w:rFonts w:cs="Arial"/>
                <w:sz w:val="18"/>
                <w:szCs w:val="18"/>
              </w:rPr>
            </w:pPr>
            <w:r w:rsidRPr="000B693E">
              <w:rPr>
                <w:rFonts w:cs="Arial"/>
                <w:sz w:val="18"/>
                <w:szCs w:val="18"/>
              </w:rPr>
              <w:t>31,735</w:t>
            </w:r>
          </w:p>
        </w:tc>
        <w:tc>
          <w:tcPr>
            <w:tcW w:w="0" w:type="auto"/>
            <w:tcBorders>
              <w:top w:val="nil"/>
              <w:left w:val="nil"/>
              <w:bottom w:val="single" w:sz="8" w:space="0" w:color="auto"/>
              <w:right w:val="nil"/>
            </w:tcBorders>
            <w:shd w:val="clear" w:color="auto" w:fill="auto"/>
            <w:noWrap/>
            <w:vAlign w:val="bottom"/>
            <w:hideMark/>
          </w:tcPr>
          <w:p w14:paraId="434697A3" w14:textId="77777777" w:rsidR="003321F4" w:rsidRPr="000B693E" w:rsidRDefault="003321F4" w:rsidP="00312E88">
            <w:pPr>
              <w:jc w:val="right"/>
              <w:rPr>
                <w:rFonts w:cs="Arial"/>
                <w:sz w:val="18"/>
                <w:szCs w:val="18"/>
              </w:rPr>
            </w:pPr>
            <w:r w:rsidRPr="000B693E">
              <w:rPr>
                <w:rFonts w:cs="Arial"/>
                <w:sz w:val="18"/>
                <w:szCs w:val="18"/>
              </w:rPr>
              <w:t>32,722</w:t>
            </w:r>
          </w:p>
        </w:tc>
        <w:tc>
          <w:tcPr>
            <w:tcW w:w="0" w:type="auto"/>
            <w:tcBorders>
              <w:top w:val="nil"/>
              <w:left w:val="dotted" w:sz="4" w:space="0" w:color="auto"/>
              <w:bottom w:val="single" w:sz="8" w:space="0" w:color="auto"/>
              <w:right w:val="single" w:sz="4" w:space="0" w:color="auto"/>
            </w:tcBorders>
            <w:shd w:val="clear" w:color="auto" w:fill="auto"/>
            <w:noWrap/>
            <w:vAlign w:val="bottom"/>
            <w:hideMark/>
          </w:tcPr>
          <w:p w14:paraId="0634329E" w14:textId="77777777" w:rsidR="003321F4" w:rsidRPr="000B693E" w:rsidRDefault="003321F4" w:rsidP="00312E88">
            <w:pPr>
              <w:jc w:val="right"/>
              <w:rPr>
                <w:rFonts w:cs="Arial"/>
                <w:sz w:val="18"/>
                <w:szCs w:val="18"/>
              </w:rPr>
            </w:pPr>
            <w:r w:rsidRPr="000B693E">
              <w:rPr>
                <w:rFonts w:cs="Arial"/>
                <w:sz w:val="18"/>
                <w:szCs w:val="18"/>
              </w:rPr>
              <w:t>37,546</w:t>
            </w:r>
          </w:p>
        </w:tc>
        <w:tc>
          <w:tcPr>
            <w:tcW w:w="0" w:type="auto"/>
            <w:tcBorders>
              <w:top w:val="nil"/>
              <w:left w:val="dotted" w:sz="4" w:space="0" w:color="auto"/>
              <w:bottom w:val="single" w:sz="8" w:space="0" w:color="auto"/>
              <w:right w:val="single" w:sz="4" w:space="0" w:color="auto"/>
            </w:tcBorders>
            <w:shd w:val="clear" w:color="auto" w:fill="auto"/>
            <w:noWrap/>
            <w:vAlign w:val="bottom"/>
            <w:hideMark/>
          </w:tcPr>
          <w:p w14:paraId="1B86882E" w14:textId="77777777" w:rsidR="003321F4" w:rsidRPr="000B693E" w:rsidRDefault="003321F4" w:rsidP="00312E88">
            <w:pPr>
              <w:jc w:val="right"/>
              <w:rPr>
                <w:rFonts w:cs="Arial"/>
                <w:sz w:val="18"/>
                <w:szCs w:val="18"/>
              </w:rPr>
            </w:pPr>
            <w:r w:rsidRPr="000B693E">
              <w:rPr>
                <w:rFonts w:cs="Arial"/>
                <w:sz w:val="18"/>
                <w:szCs w:val="18"/>
              </w:rPr>
              <w:t>122,601</w:t>
            </w:r>
          </w:p>
        </w:tc>
      </w:tr>
      <w:tr w:rsidR="003321F4" w:rsidRPr="000B693E" w14:paraId="7C9D3A4D" w14:textId="77777777" w:rsidTr="003321F4">
        <w:trPr>
          <w:trHeight w:hRule="exact" w:val="284"/>
        </w:trPr>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423812AF" w14:textId="77777777" w:rsidR="003321F4" w:rsidRPr="000B693E" w:rsidRDefault="003321F4" w:rsidP="00312E88">
            <w:pPr>
              <w:rPr>
                <w:rFonts w:cs="Arial"/>
                <w:b/>
                <w:bCs/>
                <w:sz w:val="18"/>
                <w:szCs w:val="18"/>
              </w:rPr>
            </w:pPr>
            <w:r w:rsidRPr="000B693E">
              <w:rPr>
                <w:rFonts w:cs="Arial"/>
                <w:b/>
                <w:bCs/>
                <w:sz w:val="18"/>
                <w:szCs w:val="18"/>
              </w:rPr>
              <w:t>Population (variances to baseline)</w:t>
            </w:r>
          </w:p>
        </w:tc>
        <w:tc>
          <w:tcPr>
            <w:tcW w:w="0" w:type="auto"/>
            <w:tcBorders>
              <w:top w:val="single" w:sz="4" w:space="0" w:color="auto"/>
              <w:left w:val="nil"/>
              <w:bottom w:val="single" w:sz="8" w:space="0" w:color="auto"/>
              <w:right w:val="nil"/>
            </w:tcBorders>
            <w:shd w:val="clear" w:color="auto" w:fill="auto"/>
            <w:noWrap/>
            <w:vAlign w:val="bottom"/>
            <w:hideMark/>
          </w:tcPr>
          <w:p w14:paraId="7C31AAAC" w14:textId="77777777" w:rsidR="003321F4" w:rsidRPr="000B693E" w:rsidRDefault="003321F4" w:rsidP="00312E88">
            <w:pPr>
              <w:jc w:val="right"/>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186D864B" w14:textId="77777777" w:rsidR="003321F4" w:rsidRPr="000B693E" w:rsidRDefault="003321F4" w:rsidP="00312E88">
            <w:pPr>
              <w:jc w:val="right"/>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3CC59DD3" w14:textId="77777777" w:rsidR="003321F4" w:rsidRPr="000B693E" w:rsidRDefault="003321F4" w:rsidP="00312E88">
            <w:pPr>
              <w:jc w:val="right"/>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0444726F" w14:textId="77777777" w:rsidR="003321F4" w:rsidRPr="000B693E" w:rsidRDefault="003321F4" w:rsidP="00312E88">
            <w:pPr>
              <w:jc w:val="right"/>
              <w:rPr>
                <w:rFonts w:cs="Arial"/>
                <w:sz w:val="18"/>
                <w:szCs w:val="18"/>
              </w:rPr>
            </w:pPr>
            <w:r w:rsidRPr="000B693E">
              <w:rPr>
                <w:rFonts w:cs="Arial"/>
                <w:sz w:val="18"/>
                <w:szCs w:val="18"/>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50E6CA70" w14:textId="77777777" w:rsidR="003321F4" w:rsidRPr="000B693E" w:rsidRDefault="003321F4" w:rsidP="00312E88">
            <w:pPr>
              <w:jc w:val="right"/>
              <w:rPr>
                <w:rFonts w:cs="Arial"/>
                <w:sz w:val="18"/>
                <w:szCs w:val="18"/>
              </w:rPr>
            </w:pPr>
            <w:r w:rsidRPr="000B693E">
              <w:rPr>
                <w:rFonts w:cs="Arial"/>
                <w:sz w:val="18"/>
                <w:szCs w:val="18"/>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40F11AC8" w14:textId="77777777" w:rsidR="003321F4" w:rsidRPr="000B693E" w:rsidRDefault="003321F4" w:rsidP="00312E88">
            <w:pPr>
              <w:jc w:val="right"/>
              <w:rPr>
                <w:rFonts w:cs="Arial"/>
                <w:sz w:val="18"/>
                <w:szCs w:val="18"/>
              </w:rPr>
            </w:pPr>
            <w:r w:rsidRPr="000B693E">
              <w:rPr>
                <w:rFonts w:cs="Arial"/>
                <w:sz w:val="18"/>
                <w:szCs w:val="18"/>
              </w:rPr>
              <w:t> </w:t>
            </w:r>
          </w:p>
        </w:tc>
      </w:tr>
      <w:tr w:rsidR="003321F4" w:rsidRPr="000B693E" w14:paraId="34B46C1A"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36D29F66" w14:textId="77777777" w:rsidR="003321F4" w:rsidRPr="000B693E" w:rsidRDefault="003321F4" w:rsidP="00312E88">
            <w:pPr>
              <w:rPr>
                <w:rFonts w:cs="Arial"/>
                <w:sz w:val="18"/>
                <w:szCs w:val="18"/>
              </w:rPr>
            </w:pPr>
            <w:r w:rsidRPr="000B693E">
              <w:rPr>
                <w:rFonts w:cs="Arial"/>
                <w:sz w:val="18"/>
                <w:szCs w:val="18"/>
              </w:rPr>
              <w:t>Higher SIL numbers (+500 p.a.)</w:t>
            </w:r>
          </w:p>
        </w:tc>
        <w:tc>
          <w:tcPr>
            <w:tcW w:w="0" w:type="auto"/>
            <w:tcBorders>
              <w:top w:val="nil"/>
              <w:left w:val="nil"/>
              <w:bottom w:val="nil"/>
              <w:right w:val="nil"/>
            </w:tcBorders>
            <w:shd w:val="clear" w:color="auto" w:fill="auto"/>
            <w:noWrap/>
            <w:vAlign w:val="bottom"/>
            <w:hideMark/>
          </w:tcPr>
          <w:p w14:paraId="4939D69C" w14:textId="77777777" w:rsidR="003321F4" w:rsidRPr="000B693E" w:rsidRDefault="003321F4" w:rsidP="00312E88">
            <w:pPr>
              <w:jc w:val="right"/>
              <w:rPr>
                <w:rFonts w:cs="Arial"/>
                <w:sz w:val="18"/>
                <w:szCs w:val="18"/>
              </w:rPr>
            </w:pPr>
            <w:r w:rsidRPr="000B693E">
              <w:rPr>
                <w:rFonts w:cs="Arial"/>
                <w:sz w:val="18"/>
                <w:szCs w:val="18"/>
              </w:rPr>
              <w:t>135</w:t>
            </w:r>
          </w:p>
        </w:tc>
        <w:tc>
          <w:tcPr>
            <w:tcW w:w="0" w:type="auto"/>
            <w:tcBorders>
              <w:top w:val="nil"/>
              <w:left w:val="nil"/>
              <w:bottom w:val="nil"/>
              <w:right w:val="nil"/>
            </w:tcBorders>
            <w:shd w:val="clear" w:color="auto" w:fill="auto"/>
            <w:noWrap/>
            <w:vAlign w:val="bottom"/>
            <w:hideMark/>
          </w:tcPr>
          <w:p w14:paraId="4AEAEE3F" w14:textId="77777777" w:rsidR="003321F4" w:rsidRPr="000B693E" w:rsidRDefault="003321F4" w:rsidP="00312E88">
            <w:pPr>
              <w:jc w:val="right"/>
              <w:rPr>
                <w:rFonts w:cs="Arial"/>
                <w:sz w:val="18"/>
                <w:szCs w:val="18"/>
              </w:rPr>
            </w:pPr>
            <w:r w:rsidRPr="000B693E">
              <w:rPr>
                <w:rFonts w:cs="Arial"/>
                <w:sz w:val="18"/>
                <w:szCs w:val="18"/>
              </w:rPr>
              <w:t>210</w:t>
            </w:r>
          </w:p>
        </w:tc>
        <w:tc>
          <w:tcPr>
            <w:tcW w:w="0" w:type="auto"/>
            <w:tcBorders>
              <w:top w:val="nil"/>
              <w:left w:val="nil"/>
              <w:bottom w:val="nil"/>
              <w:right w:val="nil"/>
            </w:tcBorders>
            <w:shd w:val="clear" w:color="auto" w:fill="auto"/>
            <w:noWrap/>
            <w:vAlign w:val="bottom"/>
            <w:hideMark/>
          </w:tcPr>
          <w:p w14:paraId="31C2BCFB" w14:textId="77777777" w:rsidR="003321F4" w:rsidRPr="000B693E" w:rsidRDefault="003321F4" w:rsidP="00312E88">
            <w:pPr>
              <w:jc w:val="right"/>
              <w:rPr>
                <w:rFonts w:cs="Arial"/>
                <w:sz w:val="18"/>
                <w:szCs w:val="18"/>
              </w:rPr>
            </w:pPr>
            <w:r w:rsidRPr="000B693E">
              <w:rPr>
                <w:rFonts w:cs="Arial"/>
                <w:sz w:val="18"/>
                <w:szCs w:val="18"/>
              </w:rPr>
              <w:t>362</w:t>
            </w:r>
          </w:p>
        </w:tc>
        <w:tc>
          <w:tcPr>
            <w:tcW w:w="0" w:type="auto"/>
            <w:tcBorders>
              <w:top w:val="nil"/>
              <w:left w:val="nil"/>
              <w:bottom w:val="nil"/>
              <w:right w:val="nil"/>
            </w:tcBorders>
            <w:shd w:val="clear" w:color="auto" w:fill="auto"/>
            <w:noWrap/>
            <w:vAlign w:val="bottom"/>
            <w:hideMark/>
          </w:tcPr>
          <w:p w14:paraId="16D8B7B6" w14:textId="77777777" w:rsidR="003321F4" w:rsidRPr="000B693E" w:rsidRDefault="003321F4" w:rsidP="00312E88">
            <w:pPr>
              <w:jc w:val="right"/>
              <w:rPr>
                <w:rFonts w:cs="Arial"/>
                <w:sz w:val="18"/>
                <w:szCs w:val="18"/>
              </w:rPr>
            </w:pPr>
            <w:r w:rsidRPr="000B693E">
              <w:rPr>
                <w:rFonts w:cs="Arial"/>
                <w:sz w:val="18"/>
                <w:szCs w:val="18"/>
              </w:rPr>
              <w:t>524</w:t>
            </w:r>
          </w:p>
        </w:tc>
        <w:tc>
          <w:tcPr>
            <w:tcW w:w="0" w:type="auto"/>
            <w:tcBorders>
              <w:top w:val="nil"/>
              <w:left w:val="dotted" w:sz="4" w:space="0" w:color="auto"/>
              <w:bottom w:val="nil"/>
              <w:right w:val="single" w:sz="4" w:space="0" w:color="auto"/>
            </w:tcBorders>
            <w:shd w:val="clear" w:color="auto" w:fill="auto"/>
            <w:noWrap/>
            <w:vAlign w:val="bottom"/>
            <w:hideMark/>
          </w:tcPr>
          <w:p w14:paraId="130C8262" w14:textId="77777777" w:rsidR="003321F4" w:rsidRPr="000B693E" w:rsidRDefault="003321F4" w:rsidP="00312E88">
            <w:pPr>
              <w:jc w:val="right"/>
              <w:rPr>
                <w:rFonts w:cs="Arial"/>
                <w:sz w:val="18"/>
                <w:szCs w:val="18"/>
              </w:rPr>
            </w:pPr>
            <w:r w:rsidRPr="000B693E">
              <w:rPr>
                <w:rFonts w:cs="Arial"/>
                <w:sz w:val="18"/>
                <w:szCs w:val="18"/>
              </w:rPr>
              <w:t>1,524</w:t>
            </w:r>
          </w:p>
        </w:tc>
        <w:tc>
          <w:tcPr>
            <w:tcW w:w="0" w:type="auto"/>
            <w:tcBorders>
              <w:top w:val="nil"/>
              <w:left w:val="dotted" w:sz="4" w:space="0" w:color="auto"/>
              <w:bottom w:val="nil"/>
              <w:right w:val="single" w:sz="4" w:space="0" w:color="auto"/>
            </w:tcBorders>
            <w:shd w:val="clear" w:color="auto" w:fill="auto"/>
            <w:noWrap/>
            <w:vAlign w:val="bottom"/>
            <w:hideMark/>
          </w:tcPr>
          <w:p w14:paraId="61F2A518" w14:textId="77777777" w:rsidR="003321F4" w:rsidRPr="000B693E" w:rsidRDefault="003321F4" w:rsidP="00312E88">
            <w:pPr>
              <w:jc w:val="right"/>
              <w:rPr>
                <w:rFonts w:cs="Arial"/>
                <w:sz w:val="18"/>
                <w:szCs w:val="18"/>
              </w:rPr>
            </w:pPr>
            <w:r w:rsidRPr="000B693E">
              <w:rPr>
                <w:rFonts w:cs="Arial"/>
                <w:sz w:val="18"/>
                <w:szCs w:val="18"/>
              </w:rPr>
              <w:t>1,231</w:t>
            </w:r>
          </w:p>
        </w:tc>
      </w:tr>
      <w:tr w:rsidR="003321F4" w:rsidRPr="000B693E" w14:paraId="0E935E50"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08A3E7E2" w14:textId="77777777" w:rsidR="003321F4" w:rsidRPr="000B693E" w:rsidRDefault="003321F4" w:rsidP="00312E88">
            <w:pPr>
              <w:rPr>
                <w:rFonts w:cs="Arial"/>
                <w:sz w:val="18"/>
                <w:szCs w:val="18"/>
              </w:rPr>
            </w:pPr>
            <w:r w:rsidRPr="000B693E">
              <w:rPr>
                <w:rFonts w:cs="Arial"/>
                <w:sz w:val="18"/>
                <w:szCs w:val="18"/>
              </w:rPr>
              <w:t>Lower SIL numbers (-200 p.a.)</w:t>
            </w:r>
          </w:p>
        </w:tc>
        <w:tc>
          <w:tcPr>
            <w:tcW w:w="0" w:type="auto"/>
            <w:tcBorders>
              <w:top w:val="nil"/>
              <w:left w:val="nil"/>
              <w:bottom w:val="nil"/>
              <w:right w:val="nil"/>
            </w:tcBorders>
            <w:shd w:val="clear" w:color="auto" w:fill="auto"/>
            <w:noWrap/>
            <w:vAlign w:val="bottom"/>
            <w:hideMark/>
          </w:tcPr>
          <w:p w14:paraId="130372B1" w14:textId="77777777" w:rsidR="003321F4" w:rsidRPr="000B693E" w:rsidRDefault="003321F4" w:rsidP="00312E88">
            <w:pPr>
              <w:jc w:val="right"/>
              <w:rPr>
                <w:rFonts w:cs="Arial"/>
                <w:sz w:val="18"/>
                <w:szCs w:val="18"/>
              </w:rPr>
            </w:pPr>
            <w:r w:rsidRPr="000B693E">
              <w:rPr>
                <w:rFonts w:cs="Arial"/>
                <w:sz w:val="18"/>
                <w:szCs w:val="18"/>
              </w:rPr>
              <w:t>-54</w:t>
            </w:r>
          </w:p>
        </w:tc>
        <w:tc>
          <w:tcPr>
            <w:tcW w:w="0" w:type="auto"/>
            <w:tcBorders>
              <w:top w:val="nil"/>
              <w:left w:val="nil"/>
              <w:bottom w:val="nil"/>
              <w:right w:val="nil"/>
            </w:tcBorders>
            <w:shd w:val="clear" w:color="auto" w:fill="auto"/>
            <w:noWrap/>
            <w:vAlign w:val="bottom"/>
            <w:hideMark/>
          </w:tcPr>
          <w:p w14:paraId="06539C83" w14:textId="77777777" w:rsidR="003321F4" w:rsidRPr="000B693E" w:rsidRDefault="003321F4" w:rsidP="00312E88">
            <w:pPr>
              <w:jc w:val="right"/>
              <w:rPr>
                <w:rFonts w:cs="Arial"/>
                <w:sz w:val="18"/>
                <w:szCs w:val="18"/>
              </w:rPr>
            </w:pPr>
            <w:r w:rsidRPr="000B693E">
              <w:rPr>
                <w:rFonts w:cs="Arial"/>
                <w:sz w:val="18"/>
                <w:szCs w:val="18"/>
              </w:rPr>
              <w:t>-84</w:t>
            </w:r>
          </w:p>
        </w:tc>
        <w:tc>
          <w:tcPr>
            <w:tcW w:w="0" w:type="auto"/>
            <w:tcBorders>
              <w:top w:val="nil"/>
              <w:left w:val="nil"/>
              <w:bottom w:val="nil"/>
              <w:right w:val="nil"/>
            </w:tcBorders>
            <w:shd w:val="clear" w:color="auto" w:fill="auto"/>
            <w:noWrap/>
            <w:vAlign w:val="bottom"/>
            <w:hideMark/>
          </w:tcPr>
          <w:p w14:paraId="50A80782" w14:textId="77777777" w:rsidR="003321F4" w:rsidRPr="000B693E" w:rsidRDefault="003321F4" w:rsidP="00312E88">
            <w:pPr>
              <w:jc w:val="right"/>
              <w:rPr>
                <w:rFonts w:cs="Arial"/>
                <w:sz w:val="18"/>
                <w:szCs w:val="18"/>
              </w:rPr>
            </w:pPr>
            <w:r w:rsidRPr="000B693E">
              <w:rPr>
                <w:rFonts w:cs="Arial"/>
                <w:sz w:val="18"/>
                <w:szCs w:val="18"/>
              </w:rPr>
              <w:t>-145</w:t>
            </w:r>
          </w:p>
        </w:tc>
        <w:tc>
          <w:tcPr>
            <w:tcW w:w="0" w:type="auto"/>
            <w:tcBorders>
              <w:top w:val="nil"/>
              <w:left w:val="nil"/>
              <w:bottom w:val="nil"/>
              <w:right w:val="nil"/>
            </w:tcBorders>
            <w:shd w:val="clear" w:color="auto" w:fill="auto"/>
            <w:noWrap/>
            <w:vAlign w:val="bottom"/>
            <w:hideMark/>
          </w:tcPr>
          <w:p w14:paraId="5934EFB9" w14:textId="77777777" w:rsidR="003321F4" w:rsidRPr="000B693E" w:rsidRDefault="003321F4" w:rsidP="00312E88">
            <w:pPr>
              <w:jc w:val="right"/>
              <w:rPr>
                <w:rFonts w:cs="Arial"/>
                <w:sz w:val="18"/>
                <w:szCs w:val="18"/>
              </w:rPr>
            </w:pPr>
            <w:r w:rsidRPr="000B693E">
              <w:rPr>
                <w:rFonts w:cs="Arial"/>
                <w:sz w:val="18"/>
                <w:szCs w:val="18"/>
              </w:rPr>
              <w:t>-210</w:t>
            </w:r>
          </w:p>
        </w:tc>
        <w:tc>
          <w:tcPr>
            <w:tcW w:w="0" w:type="auto"/>
            <w:tcBorders>
              <w:top w:val="nil"/>
              <w:left w:val="dotted" w:sz="4" w:space="0" w:color="auto"/>
              <w:bottom w:val="nil"/>
              <w:right w:val="single" w:sz="4" w:space="0" w:color="auto"/>
            </w:tcBorders>
            <w:shd w:val="clear" w:color="auto" w:fill="auto"/>
            <w:noWrap/>
            <w:vAlign w:val="bottom"/>
            <w:hideMark/>
          </w:tcPr>
          <w:p w14:paraId="5EDD82D1" w14:textId="77777777" w:rsidR="003321F4" w:rsidRPr="000B693E" w:rsidRDefault="003321F4" w:rsidP="00312E88">
            <w:pPr>
              <w:jc w:val="right"/>
              <w:rPr>
                <w:rFonts w:cs="Arial"/>
                <w:sz w:val="18"/>
                <w:szCs w:val="18"/>
              </w:rPr>
            </w:pPr>
            <w:r w:rsidRPr="000B693E">
              <w:rPr>
                <w:rFonts w:cs="Arial"/>
                <w:sz w:val="18"/>
                <w:szCs w:val="18"/>
              </w:rPr>
              <w:t>-610</w:t>
            </w:r>
          </w:p>
        </w:tc>
        <w:tc>
          <w:tcPr>
            <w:tcW w:w="0" w:type="auto"/>
            <w:tcBorders>
              <w:top w:val="nil"/>
              <w:left w:val="dotted" w:sz="4" w:space="0" w:color="auto"/>
              <w:bottom w:val="nil"/>
              <w:right w:val="single" w:sz="4" w:space="0" w:color="auto"/>
            </w:tcBorders>
            <w:shd w:val="clear" w:color="auto" w:fill="auto"/>
            <w:noWrap/>
            <w:vAlign w:val="bottom"/>
            <w:hideMark/>
          </w:tcPr>
          <w:p w14:paraId="72F07A5E" w14:textId="77777777" w:rsidR="003321F4" w:rsidRPr="000B693E" w:rsidRDefault="003321F4" w:rsidP="00312E88">
            <w:pPr>
              <w:jc w:val="right"/>
              <w:rPr>
                <w:rFonts w:cs="Arial"/>
                <w:sz w:val="18"/>
                <w:szCs w:val="18"/>
              </w:rPr>
            </w:pPr>
            <w:r w:rsidRPr="000B693E">
              <w:rPr>
                <w:rFonts w:cs="Arial"/>
                <w:sz w:val="18"/>
                <w:szCs w:val="18"/>
              </w:rPr>
              <w:t>-493</w:t>
            </w:r>
          </w:p>
        </w:tc>
      </w:tr>
      <w:tr w:rsidR="003321F4" w:rsidRPr="000B693E" w14:paraId="37259069"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4695E7C6" w14:textId="77777777" w:rsidR="003321F4" w:rsidRPr="000B693E" w:rsidRDefault="003321F4" w:rsidP="00312E88">
            <w:pPr>
              <w:rPr>
                <w:rFonts w:cs="Arial"/>
                <w:sz w:val="18"/>
                <w:szCs w:val="18"/>
              </w:rPr>
            </w:pPr>
            <w:r w:rsidRPr="000B693E">
              <w:rPr>
                <w:rFonts w:cs="Arial"/>
                <w:sz w:val="18"/>
                <w:szCs w:val="18"/>
              </w:rPr>
              <w:t>Lower non-mortality exit rates</w:t>
            </w:r>
          </w:p>
        </w:tc>
        <w:tc>
          <w:tcPr>
            <w:tcW w:w="0" w:type="auto"/>
            <w:tcBorders>
              <w:top w:val="nil"/>
              <w:left w:val="nil"/>
              <w:bottom w:val="nil"/>
              <w:right w:val="nil"/>
            </w:tcBorders>
            <w:shd w:val="clear" w:color="auto" w:fill="auto"/>
            <w:noWrap/>
            <w:vAlign w:val="bottom"/>
            <w:hideMark/>
          </w:tcPr>
          <w:p w14:paraId="7FE9600E" w14:textId="77777777" w:rsidR="003321F4" w:rsidRPr="000B693E" w:rsidRDefault="003321F4" w:rsidP="00312E88">
            <w:pPr>
              <w:jc w:val="right"/>
              <w:rPr>
                <w:rFonts w:cs="Arial"/>
                <w:sz w:val="18"/>
                <w:szCs w:val="18"/>
              </w:rPr>
            </w:pPr>
            <w:r w:rsidRPr="000B693E">
              <w:rPr>
                <w:rFonts w:cs="Arial"/>
                <w:sz w:val="18"/>
                <w:szCs w:val="18"/>
              </w:rPr>
              <w:t>15</w:t>
            </w:r>
          </w:p>
        </w:tc>
        <w:tc>
          <w:tcPr>
            <w:tcW w:w="0" w:type="auto"/>
            <w:tcBorders>
              <w:top w:val="nil"/>
              <w:left w:val="nil"/>
              <w:bottom w:val="nil"/>
              <w:right w:val="nil"/>
            </w:tcBorders>
            <w:shd w:val="clear" w:color="auto" w:fill="auto"/>
            <w:noWrap/>
            <w:vAlign w:val="bottom"/>
            <w:hideMark/>
          </w:tcPr>
          <w:p w14:paraId="37170414" w14:textId="77777777" w:rsidR="003321F4" w:rsidRPr="000B693E" w:rsidRDefault="003321F4" w:rsidP="00312E88">
            <w:pPr>
              <w:jc w:val="right"/>
              <w:rPr>
                <w:rFonts w:cs="Arial"/>
                <w:sz w:val="18"/>
                <w:szCs w:val="18"/>
              </w:rPr>
            </w:pPr>
            <w:r w:rsidRPr="000B693E">
              <w:rPr>
                <w:rFonts w:cs="Arial"/>
                <w:sz w:val="18"/>
                <w:szCs w:val="18"/>
              </w:rPr>
              <w:t>82</w:t>
            </w:r>
          </w:p>
        </w:tc>
        <w:tc>
          <w:tcPr>
            <w:tcW w:w="0" w:type="auto"/>
            <w:tcBorders>
              <w:top w:val="nil"/>
              <w:left w:val="nil"/>
              <w:bottom w:val="nil"/>
              <w:right w:val="nil"/>
            </w:tcBorders>
            <w:shd w:val="clear" w:color="auto" w:fill="auto"/>
            <w:noWrap/>
            <w:vAlign w:val="bottom"/>
            <w:hideMark/>
          </w:tcPr>
          <w:p w14:paraId="09044B03" w14:textId="77777777" w:rsidR="003321F4" w:rsidRPr="000B693E" w:rsidRDefault="003321F4" w:rsidP="00312E88">
            <w:pPr>
              <w:jc w:val="right"/>
              <w:rPr>
                <w:rFonts w:cs="Arial"/>
                <w:sz w:val="18"/>
                <w:szCs w:val="18"/>
              </w:rPr>
            </w:pPr>
            <w:r w:rsidRPr="000B693E">
              <w:rPr>
                <w:rFonts w:cs="Arial"/>
                <w:sz w:val="18"/>
                <w:szCs w:val="18"/>
              </w:rPr>
              <w:t>233</w:t>
            </w:r>
          </w:p>
        </w:tc>
        <w:tc>
          <w:tcPr>
            <w:tcW w:w="0" w:type="auto"/>
            <w:tcBorders>
              <w:top w:val="nil"/>
              <w:left w:val="nil"/>
              <w:bottom w:val="nil"/>
              <w:right w:val="nil"/>
            </w:tcBorders>
            <w:shd w:val="clear" w:color="auto" w:fill="auto"/>
            <w:noWrap/>
            <w:vAlign w:val="bottom"/>
            <w:hideMark/>
          </w:tcPr>
          <w:p w14:paraId="04BE5A1B" w14:textId="77777777" w:rsidR="003321F4" w:rsidRPr="000B693E" w:rsidRDefault="003321F4" w:rsidP="00312E88">
            <w:pPr>
              <w:jc w:val="right"/>
              <w:rPr>
                <w:rFonts w:cs="Arial"/>
                <w:sz w:val="18"/>
                <w:szCs w:val="18"/>
              </w:rPr>
            </w:pPr>
            <w:r w:rsidRPr="000B693E">
              <w:rPr>
                <w:rFonts w:cs="Arial"/>
                <w:sz w:val="18"/>
                <w:szCs w:val="18"/>
              </w:rPr>
              <w:t>488</w:t>
            </w:r>
          </w:p>
        </w:tc>
        <w:tc>
          <w:tcPr>
            <w:tcW w:w="0" w:type="auto"/>
            <w:tcBorders>
              <w:top w:val="nil"/>
              <w:left w:val="dotted" w:sz="4" w:space="0" w:color="auto"/>
              <w:bottom w:val="nil"/>
              <w:right w:val="single" w:sz="4" w:space="0" w:color="auto"/>
            </w:tcBorders>
            <w:shd w:val="clear" w:color="auto" w:fill="auto"/>
            <w:noWrap/>
            <w:vAlign w:val="bottom"/>
            <w:hideMark/>
          </w:tcPr>
          <w:p w14:paraId="15937123" w14:textId="77777777" w:rsidR="003321F4" w:rsidRPr="000B693E" w:rsidRDefault="003321F4" w:rsidP="00312E88">
            <w:pPr>
              <w:jc w:val="right"/>
              <w:rPr>
                <w:rFonts w:cs="Arial"/>
                <w:sz w:val="18"/>
                <w:szCs w:val="18"/>
              </w:rPr>
            </w:pPr>
            <w:r w:rsidRPr="000B693E">
              <w:rPr>
                <w:rFonts w:cs="Arial"/>
                <w:sz w:val="18"/>
                <w:szCs w:val="18"/>
              </w:rPr>
              <w:t>2,655</w:t>
            </w:r>
          </w:p>
        </w:tc>
        <w:tc>
          <w:tcPr>
            <w:tcW w:w="0" w:type="auto"/>
            <w:tcBorders>
              <w:top w:val="nil"/>
              <w:left w:val="dotted" w:sz="4" w:space="0" w:color="auto"/>
              <w:bottom w:val="nil"/>
              <w:right w:val="single" w:sz="4" w:space="0" w:color="auto"/>
            </w:tcBorders>
            <w:shd w:val="clear" w:color="auto" w:fill="auto"/>
            <w:noWrap/>
            <w:vAlign w:val="bottom"/>
            <w:hideMark/>
          </w:tcPr>
          <w:p w14:paraId="54680F73" w14:textId="77777777" w:rsidR="003321F4" w:rsidRPr="000B693E" w:rsidRDefault="003321F4" w:rsidP="00312E88">
            <w:pPr>
              <w:jc w:val="right"/>
              <w:rPr>
                <w:rFonts w:cs="Arial"/>
                <w:sz w:val="18"/>
                <w:szCs w:val="18"/>
              </w:rPr>
            </w:pPr>
            <w:r w:rsidRPr="000B693E">
              <w:rPr>
                <w:rFonts w:cs="Arial"/>
                <w:sz w:val="18"/>
                <w:szCs w:val="18"/>
              </w:rPr>
              <w:t>818</w:t>
            </w:r>
          </w:p>
        </w:tc>
      </w:tr>
      <w:tr w:rsidR="003321F4" w:rsidRPr="000B693E" w14:paraId="4E965AC4" w14:textId="77777777" w:rsidTr="003321F4">
        <w:trPr>
          <w:trHeight w:hRule="exact" w:val="284"/>
        </w:trPr>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3721D99F" w14:textId="77777777" w:rsidR="003321F4" w:rsidRPr="000B693E" w:rsidRDefault="003321F4" w:rsidP="00312E88">
            <w:pPr>
              <w:rPr>
                <w:rFonts w:cs="Arial"/>
                <w:b/>
                <w:bCs/>
                <w:sz w:val="18"/>
                <w:szCs w:val="18"/>
              </w:rPr>
            </w:pPr>
            <w:r w:rsidRPr="000B693E">
              <w:rPr>
                <w:rFonts w:cs="Arial"/>
                <w:b/>
                <w:bCs/>
                <w:sz w:val="18"/>
                <w:szCs w:val="18"/>
              </w:rPr>
              <w:t>Cost (variances to baseline)</w:t>
            </w:r>
          </w:p>
        </w:tc>
        <w:tc>
          <w:tcPr>
            <w:tcW w:w="0" w:type="auto"/>
            <w:tcBorders>
              <w:top w:val="single" w:sz="4" w:space="0" w:color="auto"/>
              <w:left w:val="nil"/>
              <w:bottom w:val="single" w:sz="8" w:space="0" w:color="auto"/>
              <w:right w:val="nil"/>
            </w:tcBorders>
            <w:shd w:val="clear" w:color="auto" w:fill="auto"/>
            <w:noWrap/>
            <w:vAlign w:val="bottom"/>
            <w:hideMark/>
          </w:tcPr>
          <w:p w14:paraId="28A67B8F" w14:textId="77777777" w:rsidR="003321F4" w:rsidRPr="000B693E" w:rsidRDefault="003321F4" w:rsidP="00312E88">
            <w:pPr>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15DEEBC7" w14:textId="77777777" w:rsidR="003321F4" w:rsidRPr="000B693E" w:rsidRDefault="003321F4" w:rsidP="00312E88">
            <w:pPr>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2407E811" w14:textId="77777777" w:rsidR="003321F4" w:rsidRPr="000B693E" w:rsidRDefault="003321F4" w:rsidP="00312E88">
            <w:pPr>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5E5EA58C" w14:textId="77777777" w:rsidR="003321F4" w:rsidRPr="000B693E" w:rsidRDefault="003321F4" w:rsidP="00312E88">
            <w:pPr>
              <w:rPr>
                <w:rFonts w:cs="Arial"/>
                <w:sz w:val="18"/>
                <w:szCs w:val="18"/>
              </w:rPr>
            </w:pPr>
            <w:r w:rsidRPr="000B693E">
              <w:rPr>
                <w:rFonts w:cs="Arial"/>
                <w:sz w:val="18"/>
                <w:szCs w:val="18"/>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7001CFBC" w14:textId="77777777" w:rsidR="003321F4" w:rsidRPr="000B693E" w:rsidRDefault="003321F4" w:rsidP="00312E88">
            <w:pPr>
              <w:rPr>
                <w:rFonts w:cs="Arial"/>
                <w:sz w:val="18"/>
                <w:szCs w:val="18"/>
              </w:rPr>
            </w:pPr>
            <w:r w:rsidRPr="000B693E">
              <w:rPr>
                <w:rFonts w:cs="Arial"/>
                <w:sz w:val="18"/>
                <w:szCs w:val="18"/>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108B645F" w14:textId="77777777" w:rsidR="003321F4" w:rsidRPr="000B693E" w:rsidRDefault="003321F4" w:rsidP="00312E88">
            <w:pPr>
              <w:rPr>
                <w:rFonts w:cs="Arial"/>
                <w:sz w:val="18"/>
                <w:szCs w:val="18"/>
              </w:rPr>
            </w:pPr>
            <w:r w:rsidRPr="000B693E">
              <w:rPr>
                <w:rFonts w:cs="Arial"/>
                <w:sz w:val="18"/>
                <w:szCs w:val="18"/>
              </w:rPr>
              <w:t> </w:t>
            </w:r>
          </w:p>
        </w:tc>
      </w:tr>
      <w:tr w:rsidR="003321F4" w:rsidRPr="000B693E" w14:paraId="209523FC"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7924EB44" w14:textId="77777777" w:rsidR="003321F4" w:rsidRPr="000B693E" w:rsidRDefault="003321F4" w:rsidP="00312E88">
            <w:pPr>
              <w:rPr>
                <w:rFonts w:cs="Arial"/>
                <w:sz w:val="18"/>
                <w:szCs w:val="18"/>
              </w:rPr>
            </w:pPr>
            <w:r w:rsidRPr="000B693E">
              <w:rPr>
                <w:rFonts w:cs="Arial"/>
                <w:sz w:val="18"/>
                <w:szCs w:val="18"/>
              </w:rPr>
              <w:t>One year less of high inflation</w:t>
            </w:r>
          </w:p>
        </w:tc>
        <w:tc>
          <w:tcPr>
            <w:tcW w:w="0" w:type="auto"/>
            <w:tcBorders>
              <w:top w:val="nil"/>
              <w:left w:val="nil"/>
              <w:bottom w:val="nil"/>
              <w:right w:val="nil"/>
            </w:tcBorders>
            <w:shd w:val="clear" w:color="auto" w:fill="auto"/>
            <w:noWrap/>
            <w:vAlign w:val="bottom"/>
            <w:hideMark/>
          </w:tcPr>
          <w:p w14:paraId="18627648" w14:textId="77777777" w:rsidR="003321F4" w:rsidRPr="000B693E" w:rsidRDefault="003321F4" w:rsidP="00312E88">
            <w:pPr>
              <w:jc w:val="right"/>
              <w:rPr>
                <w:rFonts w:cs="Arial"/>
                <w:sz w:val="18"/>
                <w:szCs w:val="18"/>
              </w:rPr>
            </w:pPr>
            <w:r w:rsidRPr="000B693E">
              <w:rPr>
                <w:rFonts w:cs="Arial"/>
                <w:sz w:val="18"/>
                <w:szCs w:val="18"/>
              </w:rPr>
              <w:t>-832</w:t>
            </w:r>
          </w:p>
        </w:tc>
        <w:tc>
          <w:tcPr>
            <w:tcW w:w="0" w:type="auto"/>
            <w:tcBorders>
              <w:top w:val="nil"/>
              <w:left w:val="nil"/>
              <w:bottom w:val="nil"/>
              <w:right w:val="nil"/>
            </w:tcBorders>
            <w:shd w:val="clear" w:color="auto" w:fill="auto"/>
            <w:noWrap/>
            <w:vAlign w:val="bottom"/>
            <w:hideMark/>
          </w:tcPr>
          <w:p w14:paraId="14607543" w14:textId="77777777" w:rsidR="003321F4" w:rsidRPr="000B693E" w:rsidRDefault="003321F4" w:rsidP="00312E88">
            <w:pPr>
              <w:jc w:val="right"/>
              <w:rPr>
                <w:rFonts w:cs="Arial"/>
                <w:sz w:val="18"/>
                <w:szCs w:val="18"/>
              </w:rPr>
            </w:pPr>
            <w:r w:rsidRPr="000B693E">
              <w:rPr>
                <w:rFonts w:cs="Arial"/>
                <w:sz w:val="18"/>
                <w:szCs w:val="18"/>
              </w:rPr>
              <w:t>-1,086</w:t>
            </w:r>
          </w:p>
        </w:tc>
        <w:tc>
          <w:tcPr>
            <w:tcW w:w="0" w:type="auto"/>
            <w:tcBorders>
              <w:top w:val="nil"/>
              <w:left w:val="nil"/>
              <w:bottom w:val="nil"/>
              <w:right w:val="nil"/>
            </w:tcBorders>
            <w:shd w:val="clear" w:color="auto" w:fill="auto"/>
            <w:noWrap/>
            <w:vAlign w:val="bottom"/>
            <w:hideMark/>
          </w:tcPr>
          <w:p w14:paraId="537F3B4B" w14:textId="77777777" w:rsidR="003321F4" w:rsidRPr="000B693E" w:rsidRDefault="003321F4" w:rsidP="00312E88">
            <w:pPr>
              <w:jc w:val="right"/>
              <w:rPr>
                <w:rFonts w:cs="Arial"/>
                <w:sz w:val="18"/>
                <w:szCs w:val="18"/>
              </w:rPr>
            </w:pPr>
            <w:r w:rsidRPr="000B693E">
              <w:rPr>
                <w:rFonts w:cs="Arial"/>
                <w:sz w:val="18"/>
                <w:szCs w:val="18"/>
              </w:rPr>
              <w:t>-1,418</w:t>
            </w:r>
          </w:p>
        </w:tc>
        <w:tc>
          <w:tcPr>
            <w:tcW w:w="0" w:type="auto"/>
            <w:tcBorders>
              <w:top w:val="nil"/>
              <w:left w:val="nil"/>
              <w:bottom w:val="nil"/>
              <w:right w:val="nil"/>
            </w:tcBorders>
            <w:shd w:val="clear" w:color="auto" w:fill="auto"/>
            <w:noWrap/>
            <w:vAlign w:val="bottom"/>
            <w:hideMark/>
          </w:tcPr>
          <w:p w14:paraId="53128FAD" w14:textId="77777777" w:rsidR="003321F4" w:rsidRPr="000B693E" w:rsidRDefault="003321F4" w:rsidP="00312E88">
            <w:pPr>
              <w:jc w:val="right"/>
              <w:rPr>
                <w:rFonts w:cs="Arial"/>
                <w:sz w:val="18"/>
                <w:szCs w:val="18"/>
              </w:rPr>
            </w:pPr>
            <w:r w:rsidRPr="000B693E">
              <w:rPr>
                <w:rFonts w:cs="Arial"/>
                <w:sz w:val="18"/>
                <w:szCs w:val="18"/>
              </w:rPr>
              <w:t>-1,594</w:t>
            </w:r>
          </w:p>
        </w:tc>
        <w:tc>
          <w:tcPr>
            <w:tcW w:w="0" w:type="auto"/>
            <w:tcBorders>
              <w:top w:val="nil"/>
              <w:left w:val="dotted" w:sz="4" w:space="0" w:color="auto"/>
              <w:bottom w:val="nil"/>
              <w:right w:val="single" w:sz="4" w:space="0" w:color="auto"/>
            </w:tcBorders>
            <w:shd w:val="clear" w:color="auto" w:fill="auto"/>
            <w:noWrap/>
            <w:vAlign w:val="bottom"/>
            <w:hideMark/>
          </w:tcPr>
          <w:p w14:paraId="0A1EBB1D" w14:textId="77777777" w:rsidR="003321F4" w:rsidRPr="000B693E" w:rsidRDefault="003321F4" w:rsidP="00312E88">
            <w:pPr>
              <w:jc w:val="right"/>
              <w:rPr>
                <w:rFonts w:cs="Arial"/>
                <w:sz w:val="18"/>
                <w:szCs w:val="18"/>
              </w:rPr>
            </w:pPr>
            <w:r w:rsidRPr="000B693E">
              <w:rPr>
                <w:rFonts w:cs="Arial"/>
                <w:sz w:val="18"/>
                <w:szCs w:val="18"/>
              </w:rPr>
              <w:t>-2,354</w:t>
            </w:r>
          </w:p>
        </w:tc>
        <w:tc>
          <w:tcPr>
            <w:tcW w:w="0" w:type="auto"/>
            <w:tcBorders>
              <w:top w:val="nil"/>
              <w:left w:val="dotted" w:sz="4" w:space="0" w:color="auto"/>
              <w:bottom w:val="nil"/>
              <w:right w:val="single" w:sz="4" w:space="0" w:color="auto"/>
            </w:tcBorders>
            <w:shd w:val="clear" w:color="auto" w:fill="auto"/>
            <w:noWrap/>
            <w:vAlign w:val="bottom"/>
            <w:hideMark/>
          </w:tcPr>
          <w:p w14:paraId="57FD0427" w14:textId="77777777" w:rsidR="003321F4" w:rsidRPr="000B693E" w:rsidRDefault="003321F4" w:rsidP="00312E88">
            <w:pPr>
              <w:jc w:val="right"/>
              <w:rPr>
                <w:rFonts w:cs="Arial"/>
                <w:sz w:val="18"/>
                <w:szCs w:val="18"/>
              </w:rPr>
            </w:pPr>
            <w:r w:rsidRPr="000B693E">
              <w:rPr>
                <w:rFonts w:cs="Arial"/>
                <w:sz w:val="18"/>
                <w:szCs w:val="18"/>
              </w:rPr>
              <w:t>-4,930</w:t>
            </w:r>
          </w:p>
        </w:tc>
      </w:tr>
      <w:tr w:rsidR="003321F4" w:rsidRPr="000B693E" w14:paraId="15158909"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14924FE5" w14:textId="77777777" w:rsidR="003321F4" w:rsidRPr="000B693E" w:rsidRDefault="003321F4" w:rsidP="00312E88">
            <w:pPr>
              <w:rPr>
                <w:rFonts w:cs="Arial"/>
                <w:sz w:val="18"/>
                <w:szCs w:val="18"/>
              </w:rPr>
            </w:pPr>
            <w:r w:rsidRPr="000B693E">
              <w:rPr>
                <w:rFonts w:cs="Arial"/>
                <w:sz w:val="18"/>
                <w:szCs w:val="18"/>
              </w:rPr>
              <w:t>Two additional years of high inflation</w:t>
            </w:r>
          </w:p>
        </w:tc>
        <w:tc>
          <w:tcPr>
            <w:tcW w:w="0" w:type="auto"/>
            <w:tcBorders>
              <w:top w:val="nil"/>
              <w:left w:val="nil"/>
              <w:bottom w:val="nil"/>
              <w:right w:val="nil"/>
            </w:tcBorders>
            <w:shd w:val="clear" w:color="auto" w:fill="auto"/>
            <w:noWrap/>
            <w:vAlign w:val="bottom"/>
            <w:hideMark/>
          </w:tcPr>
          <w:p w14:paraId="4C0FB365" w14:textId="77777777" w:rsidR="003321F4" w:rsidRPr="000B693E" w:rsidRDefault="003321F4" w:rsidP="00312E88">
            <w:pPr>
              <w:jc w:val="right"/>
              <w:rPr>
                <w:rFonts w:cs="Arial"/>
                <w:sz w:val="18"/>
                <w:szCs w:val="18"/>
              </w:rPr>
            </w:pPr>
            <w:r w:rsidRPr="000B693E">
              <w:rPr>
                <w:rFonts w:cs="Arial"/>
                <w:sz w:val="18"/>
                <w:szCs w:val="18"/>
              </w:rPr>
              <w:t>1,130</w:t>
            </w:r>
          </w:p>
        </w:tc>
        <w:tc>
          <w:tcPr>
            <w:tcW w:w="0" w:type="auto"/>
            <w:tcBorders>
              <w:top w:val="nil"/>
              <w:left w:val="nil"/>
              <w:bottom w:val="nil"/>
              <w:right w:val="nil"/>
            </w:tcBorders>
            <w:shd w:val="clear" w:color="auto" w:fill="auto"/>
            <w:noWrap/>
            <w:vAlign w:val="bottom"/>
            <w:hideMark/>
          </w:tcPr>
          <w:p w14:paraId="1162142B" w14:textId="77777777" w:rsidR="003321F4" w:rsidRPr="000B693E" w:rsidRDefault="003321F4" w:rsidP="00312E88">
            <w:pPr>
              <w:jc w:val="right"/>
              <w:rPr>
                <w:rFonts w:cs="Arial"/>
                <w:sz w:val="18"/>
                <w:szCs w:val="18"/>
              </w:rPr>
            </w:pPr>
            <w:r w:rsidRPr="000B693E">
              <w:rPr>
                <w:rFonts w:cs="Arial"/>
                <w:sz w:val="18"/>
                <w:szCs w:val="18"/>
              </w:rPr>
              <w:t>2,237</w:t>
            </w:r>
          </w:p>
        </w:tc>
        <w:tc>
          <w:tcPr>
            <w:tcW w:w="0" w:type="auto"/>
            <w:tcBorders>
              <w:top w:val="nil"/>
              <w:left w:val="nil"/>
              <w:bottom w:val="nil"/>
              <w:right w:val="nil"/>
            </w:tcBorders>
            <w:shd w:val="clear" w:color="auto" w:fill="auto"/>
            <w:noWrap/>
            <w:vAlign w:val="bottom"/>
            <w:hideMark/>
          </w:tcPr>
          <w:p w14:paraId="7AAC6D5D" w14:textId="77777777" w:rsidR="003321F4" w:rsidRPr="000B693E" w:rsidRDefault="003321F4" w:rsidP="00312E88">
            <w:pPr>
              <w:jc w:val="right"/>
              <w:rPr>
                <w:rFonts w:cs="Arial"/>
                <w:sz w:val="18"/>
                <w:szCs w:val="18"/>
              </w:rPr>
            </w:pPr>
            <w:r w:rsidRPr="000B693E">
              <w:rPr>
                <w:rFonts w:cs="Arial"/>
                <w:sz w:val="18"/>
                <w:szCs w:val="18"/>
              </w:rPr>
              <w:t>2,714</w:t>
            </w:r>
          </w:p>
        </w:tc>
        <w:tc>
          <w:tcPr>
            <w:tcW w:w="0" w:type="auto"/>
            <w:tcBorders>
              <w:top w:val="nil"/>
              <w:left w:val="nil"/>
              <w:bottom w:val="nil"/>
              <w:right w:val="nil"/>
            </w:tcBorders>
            <w:shd w:val="clear" w:color="auto" w:fill="auto"/>
            <w:noWrap/>
            <w:vAlign w:val="bottom"/>
            <w:hideMark/>
          </w:tcPr>
          <w:p w14:paraId="43EC8E62" w14:textId="77777777" w:rsidR="003321F4" w:rsidRPr="000B693E" w:rsidRDefault="003321F4" w:rsidP="00312E88">
            <w:pPr>
              <w:jc w:val="right"/>
              <w:rPr>
                <w:rFonts w:cs="Arial"/>
                <w:sz w:val="18"/>
                <w:szCs w:val="18"/>
              </w:rPr>
            </w:pPr>
            <w:r w:rsidRPr="000B693E">
              <w:rPr>
                <w:rFonts w:cs="Arial"/>
                <w:sz w:val="18"/>
                <w:szCs w:val="18"/>
              </w:rPr>
              <w:t>4,145</w:t>
            </w:r>
          </w:p>
        </w:tc>
        <w:tc>
          <w:tcPr>
            <w:tcW w:w="0" w:type="auto"/>
            <w:tcBorders>
              <w:top w:val="nil"/>
              <w:left w:val="dotted" w:sz="4" w:space="0" w:color="auto"/>
              <w:bottom w:val="nil"/>
              <w:right w:val="single" w:sz="4" w:space="0" w:color="auto"/>
            </w:tcBorders>
            <w:shd w:val="clear" w:color="auto" w:fill="auto"/>
            <w:noWrap/>
            <w:vAlign w:val="bottom"/>
            <w:hideMark/>
          </w:tcPr>
          <w:p w14:paraId="651F1A58" w14:textId="77777777" w:rsidR="003321F4" w:rsidRPr="000B693E" w:rsidRDefault="003321F4" w:rsidP="00312E88">
            <w:pPr>
              <w:jc w:val="right"/>
              <w:rPr>
                <w:rFonts w:cs="Arial"/>
                <w:sz w:val="18"/>
                <w:szCs w:val="18"/>
              </w:rPr>
            </w:pPr>
            <w:r w:rsidRPr="000B693E">
              <w:rPr>
                <w:rFonts w:cs="Arial"/>
                <w:sz w:val="18"/>
                <w:szCs w:val="18"/>
              </w:rPr>
              <w:t>6,447</w:t>
            </w:r>
          </w:p>
        </w:tc>
        <w:tc>
          <w:tcPr>
            <w:tcW w:w="0" w:type="auto"/>
            <w:tcBorders>
              <w:top w:val="nil"/>
              <w:left w:val="dotted" w:sz="4" w:space="0" w:color="auto"/>
              <w:bottom w:val="nil"/>
              <w:right w:val="single" w:sz="4" w:space="0" w:color="auto"/>
            </w:tcBorders>
            <w:shd w:val="clear" w:color="auto" w:fill="auto"/>
            <w:noWrap/>
            <w:vAlign w:val="bottom"/>
            <w:hideMark/>
          </w:tcPr>
          <w:p w14:paraId="75428C84" w14:textId="77777777" w:rsidR="003321F4" w:rsidRPr="000B693E" w:rsidRDefault="003321F4" w:rsidP="00312E88">
            <w:pPr>
              <w:jc w:val="right"/>
              <w:rPr>
                <w:rFonts w:cs="Arial"/>
                <w:sz w:val="18"/>
                <w:szCs w:val="18"/>
              </w:rPr>
            </w:pPr>
            <w:r w:rsidRPr="000B693E">
              <w:rPr>
                <w:rFonts w:cs="Arial"/>
                <w:sz w:val="18"/>
                <w:szCs w:val="18"/>
              </w:rPr>
              <w:t>10,226</w:t>
            </w:r>
          </w:p>
        </w:tc>
      </w:tr>
      <w:tr w:rsidR="003321F4" w:rsidRPr="000B693E" w14:paraId="34C37BB1"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7636D317" w14:textId="77777777" w:rsidR="003321F4" w:rsidRPr="000B693E" w:rsidRDefault="003321F4" w:rsidP="00312E88">
            <w:pPr>
              <w:rPr>
                <w:rFonts w:cs="Arial"/>
                <w:sz w:val="18"/>
                <w:szCs w:val="18"/>
              </w:rPr>
            </w:pPr>
            <w:r w:rsidRPr="000B693E">
              <w:rPr>
                <w:rFonts w:cs="Arial"/>
                <w:sz w:val="18"/>
                <w:szCs w:val="18"/>
              </w:rPr>
              <w:t>1%p.a. additional long term inflation</w:t>
            </w:r>
          </w:p>
        </w:tc>
        <w:tc>
          <w:tcPr>
            <w:tcW w:w="0" w:type="auto"/>
            <w:tcBorders>
              <w:top w:val="nil"/>
              <w:left w:val="nil"/>
              <w:bottom w:val="nil"/>
              <w:right w:val="nil"/>
            </w:tcBorders>
            <w:shd w:val="clear" w:color="auto" w:fill="auto"/>
            <w:noWrap/>
            <w:vAlign w:val="bottom"/>
            <w:hideMark/>
          </w:tcPr>
          <w:p w14:paraId="304D1BBB" w14:textId="77777777" w:rsidR="003321F4" w:rsidRPr="000B693E" w:rsidRDefault="003321F4" w:rsidP="00312E88">
            <w:pPr>
              <w:jc w:val="right"/>
              <w:rPr>
                <w:rFonts w:cs="Arial"/>
                <w:sz w:val="18"/>
                <w:szCs w:val="18"/>
              </w:rPr>
            </w:pPr>
            <w:r w:rsidRPr="000B693E">
              <w:rPr>
                <w:rFonts w:cs="Arial"/>
                <w:sz w:val="18"/>
                <w:szCs w:val="18"/>
              </w:rPr>
              <w:t>136</w:t>
            </w:r>
          </w:p>
        </w:tc>
        <w:tc>
          <w:tcPr>
            <w:tcW w:w="0" w:type="auto"/>
            <w:tcBorders>
              <w:top w:val="nil"/>
              <w:left w:val="nil"/>
              <w:bottom w:val="nil"/>
              <w:right w:val="nil"/>
            </w:tcBorders>
            <w:shd w:val="clear" w:color="auto" w:fill="auto"/>
            <w:noWrap/>
            <w:vAlign w:val="bottom"/>
            <w:hideMark/>
          </w:tcPr>
          <w:p w14:paraId="192DB0E0" w14:textId="77777777" w:rsidR="003321F4" w:rsidRPr="000B693E" w:rsidRDefault="003321F4" w:rsidP="00312E88">
            <w:pPr>
              <w:jc w:val="right"/>
              <w:rPr>
                <w:rFonts w:cs="Arial"/>
                <w:sz w:val="18"/>
                <w:szCs w:val="18"/>
              </w:rPr>
            </w:pPr>
            <w:r w:rsidRPr="000B693E">
              <w:rPr>
                <w:rFonts w:cs="Arial"/>
                <w:sz w:val="18"/>
                <w:szCs w:val="18"/>
              </w:rPr>
              <w:t>435</w:t>
            </w:r>
          </w:p>
        </w:tc>
        <w:tc>
          <w:tcPr>
            <w:tcW w:w="0" w:type="auto"/>
            <w:tcBorders>
              <w:top w:val="nil"/>
              <w:left w:val="nil"/>
              <w:bottom w:val="nil"/>
              <w:right w:val="nil"/>
            </w:tcBorders>
            <w:shd w:val="clear" w:color="auto" w:fill="auto"/>
            <w:noWrap/>
            <w:vAlign w:val="bottom"/>
            <w:hideMark/>
          </w:tcPr>
          <w:p w14:paraId="08E72FFC" w14:textId="77777777" w:rsidR="003321F4" w:rsidRPr="000B693E" w:rsidRDefault="003321F4" w:rsidP="00312E88">
            <w:pPr>
              <w:jc w:val="right"/>
              <w:rPr>
                <w:rFonts w:cs="Arial"/>
                <w:sz w:val="18"/>
                <w:szCs w:val="18"/>
              </w:rPr>
            </w:pPr>
            <w:r w:rsidRPr="000B693E">
              <w:rPr>
                <w:rFonts w:cs="Arial"/>
                <w:sz w:val="18"/>
                <w:szCs w:val="18"/>
              </w:rPr>
              <w:t>767</w:t>
            </w:r>
          </w:p>
        </w:tc>
        <w:tc>
          <w:tcPr>
            <w:tcW w:w="0" w:type="auto"/>
            <w:tcBorders>
              <w:top w:val="nil"/>
              <w:left w:val="nil"/>
              <w:bottom w:val="nil"/>
              <w:right w:val="nil"/>
            </w:tcBorders>
            <w:shd w:val="clear" w:color="auto" w:fill="auto"/>
            <w:noWrap/>
            <w:vAlign w:val="bottom"/>
            <w:hideMark/>
          </w:tcPr>
          <w:p w14:paraId="28288946" w14:textId="77777777" w:rsidR="003321F4" w:rsidRPr="000B693E" w:rsidRDefault="003321F4" w:rsidP="00312E88">
            <w:pPr>
              <w:jc w:val="right"/>
              <w:rPr>
                <w:rFonts w:cs="Arial"/>
                <w:sz w:val="18"/>
                <w:szCs w:val="18"/>
              </w:rPr>
            </w:pPr>
            <w:r w:rsidRPr="000B693E">
              <w:rPr>
                <w:rFonts w:cs="Arial"/>
                <w:sz w:val="18"/>
                <w:szCs w:val="18"/>
              </w:rPr>
              <w:t>1,121</w:t>
            </w:r>
          </w:p>
        </w:tc>
        <w:tc>
          <w:tcPr>
            <w:tcW w:w="0" w:type="auto"/>
            <w:tcBorders>
              <w:top w:val="nil"/>
              <w:left w:val="dotted" w:sz="4" w:space="0" w:color="auto"/>
              <w:bottom w:val="nil"/>
              <w:right w:val="single" w:sz="4" w:space="0" w:color="auto"/>
            </w:tcBorders>
            <w:shd w:val="clear" w:color="auto" w:fill="auto"/>
            <w:noWrap/>
            <w:vAlign w:val="bottom"/>
            <w:hideMark/>
          </w:tcPr>
          <w:p w14:paraId="36271B25" w14:textId="77777777" w:rsidR="003321F4" w:rsidRPr="000B693E" w:rsidRDefault="003321F4" w:rsidP="00312E88">
            <w:pPr>
              <w:jc w:val="right"/>
              <w:rPr>
                <w:rFonts w:cs="Arial"/>
                <w:sz w:val="18"/>
                <w:szCs w:val="18"/>
              </w:rPr>
            </w:pPr>
            <w:r w:rsidRPr="000B693E">
              <w:rPr>
                <w:rFonts w:cs="Arial"/>
                <w:sz w:val="18"/>
                <w:szCs w:val="18"/>
              </w:rPr>
              <w:t>3,266</w:t>
            </w:r>
          </w:p>
        </w:tc>
        <w:tc>
          <w:tcPr>
            <w:tcW w:w="0" w:type="auto"/>
            <w:tcBorders>
              <w:top w:val="nil"/>
              <w:left w:val="dotted" w:sz="4" w:space="0" w:color="auto"/>
              <w:bottom w:val="nil"/>
              <w:right w:val="single" w:sz="4" w:space="0" w:color="auto"/>
            </w:tcBorders>
            <w:shd w:val="clear" w:color="auto" w:fill="auto"/>
            <w:noWrap/>
            <w:vAlign w:val="bottom"/>
            <w:hideMark/>
          </w:tcPr>
          <w:p w14:paraId="154936AE" w14:textId="77777777" w:rsidR="003321F4" w:rsidRPr="000B693E" w:rsidRDefault="003321F4" w:rsidP="00312E88">
            <w:pPr>
              <w:jc w:val="right"/>
              <w:rPr>
                <w:rFonts w:cs="Arial"/>
                <w:sz w:val="18"/>
                <w:szCs w:val="18"/>
              </w:rPr>
            </w:pPr>
            <w:r w:rsidRPr="000B693E">
              <w:rPr>
                <w:rFonts w:cs="Arial"/>
                <w:sz w:val="18"/>
                <w:szCs w:val="18"/>
              </w:rPr>
              <w:t>2,459</w:t>
            </w:r>
          </w:p>
        </w:tc>
      </w:tr>
      <w:tr w:rsidR="003321F4" w:rsidRPr="000B693E" w14:paraId="02792B0D"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4A6CFDE8" w14:textId="77777777" w:rsidR="003321F4" w:rsidRPr="000B693E" w:rsidRDefault="003321F4" w:rsidP="00312E88">
            <w:pPr>
              <w:rPr>
                <w:rFonts w:cs="Arial"/>
                <w:sz w:val="18"/>
                <w:szCs w:val="18"/>
              </w:rPr>
            </w:pPr>
            <w:r w:rsidRPr="000B693E">
              <w:rPr>
                <w:rFonts w:cs="Arial"/>
                <w:sz w:val="18"/>
                <w:szCs w:val="18"/>
              </w:rPr>
              <w:t>1%p.a. less long term inflation</w:t>
            </w:r>
          </w:p>
        </w:tc>
        <w:tc>
          <w:tcPr>
            <w:tcW w:w="0" w:type="auto"/>
            <w:tcBorders>
              <w:top w:val="nil"/>
              <w:left w:val="nil"/>
              <w:bottom w:val="nil"/>
              <w:right w:val="nil"/>
            </w:tcBorders>
            <w:shd w:val="clear" w:color="auto" w:fill="auto"/>
            <w:noWrap/>
            <w:vAlign w:val="bottom"/>
            <w:hideMark/>
          </w:tcPr>
          <w:p w14:paraId="5255877E" w14:textId="77777777" w:rsidR="003321F4" w:rsidRPr="000B693E" w:rsidRDefault="003321F4" w:rsidP="00312E88">
            <w:pPr>
              <w:jc w:val="right"/>
              <w:rPr>
                <w:rFonts w:cs="Arial"/>
                <w:sz w:val="18"/>
                <w:szCs w:val="18"/>
              </w:rPr>
            </w:pPr>
            <w:r w:rsidRPr="000B693E">
              <w:rPr>
                <w:rFonts w:cs="Arial"/>
                <w:sz w:val="18"/>
                <w:szCs w:val="18"/>
              </w:rPr>
              <w:t>-136</w:t>
            </w:r>
          </w:p>
        </w:tc>
        <w:tc>
          <w:tcPr>
            <w:tcW w:w="0" w:type="auto"/>
            <w:tcBorders>
              <w:top w:val="nil"/>
              <w:left w:val="nil"/>
              <w:bottom w:val="nil"/>
              <w:right w:val="nil"/>
            </w:tcBorders>
            <w:shd w:val="clear" w:color="auto" w:fill="auto"/>
            <w:noWrap/>
            <w:vAlign w:val="bottom"/>
            <w:hideMark/>
          </w:tcPr>
          <w:p w14:paraId="363BE14A" w14:textId="77777777" w:rsidR="003321F4" w:rsidRPr="000B693E" w:rsidRDefault="003321F4" w:rsidP="00312E88">
            <w:pPr>
              <w:jc w:val="right"/>
              <w:rPr>
                <w:rFonts w:cs="Arial"/>
                <w:sz w:val="18"/>
                <w:szCs w:val="18"/>
              </w:rPr>
            </w:pPr>
            <w:r w:rsidRPr="000B693E">
              <w:rPr>
                <w:rFonts w:cs="Arial"/>
                <w:sz w:val="18"/>
                <w:szCs w:val="18"/>
              </w:rPr>
              <w:t>-432</w:t>
            </w:r>
          </w:p>
        </w:tc>
        <w:tc>
          <w:tcPr>
            <w:tcW w:w="0" w:type="auto"/>
            <w:tcBorders>
              <w:top w:val="nil"/>
              <w:left w:val="nil"/>
              <w:bottom w:val="nil"/>
              <w:right w:val="nil"/>
            </w:tcBorders>
            <w:shd w:val="clear" w:color="auto" w:fill="auto"/>
            <w:noWrap/>
            <w:vAlign w:val="bottom"/>
            <w:hideMark/>
          </w:tcPr>
          <w:p w14:paraId="323E98AB" w14:textId="77777777" w:rsidR="003321F4" w:rsidRPr="000B693E" w:rsidRDefault="003321F4" w:rsidP="00312E88">
            <w:pPr>
              <w:jc w:val="right"/>
              <w:rPr>
                <w:rFonts w:cs="Arial"/>
                <w:sz w:val="18"/>
                <w:szCs w:val="18"/>
              </w:rPr>
            </w:pPr>
            <w:r w:rsidRPr="000B693E">
              <w:rPr>
                <w:rFonts w:cs="Arial"/>
                <w:sz w:val="18"/>
                <w:szCs w:val="18"/>
              </w:rPr>
              <w:t>-756</w:t>
            </w:r>
          </w:p>
        </w:tc>
        <w:tc>
          <w:tcPr>
            <w:tcW w:w="0" w:type="auto"/>
            <w:tcBorders>
              <w:top w:val="nil"/>
              <w:left w:val="nil"/>
              <w:bottom w:val="nil"/>
              <w:right w:val="nil"/>
            </w:tcBorders>
            <w:shd w:val="clear" w:color="auto" w:fill="auto"/>
            <w:noWrap/>
            <w:vAlign w:val="bottom"/>
            <w:hideMark/>
          </w:tcPr>
          <w:p w14:paraId="2673A839" w14:textId="77777777" w:rsidR="003321F4" w:rsidRPr="000B693E" w:rsidRDefault="003321F4" w:rsidP="00312E88">
            <w:pPr>
              <w:jc w:val="right"/>
              <w:rPr>
                <w:rFonts w:cs="Arial"/>
                <w:sz w:val="18"/>
                <w:szCs w:val="18"/>
              </w:rPr>
            </w:pPr>
            <w:r w:rsidRPr="000B693E">
              <w:rPr>
                <w:rFonts w:cs="Arial"/>
                <w:sz w:val="18"/>
                <w:szCs w:val="18"/>
              </w:rPr>
              <w:t>-1,094</w:t>
            </w:r>
          </w:p>
        </w:tc>
        <w:tc>
          <w:tcPr>
            <w:tcW w:w="0" w:type="auto"/>
            <w:tcBorders>
              <w:top w:val="nil"/>
              <w:left w:val="dotted" w:sz="4" w:space="0" w:color="auto"/>
              <w:bottom w:val="nil"/>
              <w:right w:val="single" w:sz="4" w:space="0" w:color="auto"/>
            </w:tcBorders>
            <w:shd w:val="clear" w:color="auto" w:fill="auto"/>
            <w:noWrap/>
            <w:vAlign w:val="bottom"/>
            <w:hideMark/>
          </w:tcPr>
          <w:p w14:paraId="3E094CDA" w14:textId="77777777" w:rsidR="003321F4" w:rsidRPr="000B693E" w:rsidRDefault="003321F4" w:rsidP="00312E88">
            <w:pPr>
              <w:jc w:val="right"/>
              <w:rPr>
                <w:rFonts w:cs="Arial"/>
                <w:sz w:val="18"/>
                <w:szCs w:val="18"/>
              </w:rPr>
            </w:pPr>
            <w:r w:rsidRPr="000B693E">
              <w:rPr>
                <w:rFonts w:cs="Arial"/>
                <w:sz w:val="18"/>
                <w:szCs w:val="18"/>
              </w:rPr>
              <w:t>-3,032</w:t>
            </w:r>
          </w:p>
        </w:tc>
        <w:tc>
          <w:tcPr>
            <w:tcW w:w="0" w:type="auto"/>
            <w:tcBorders>
              <w:top w:val="nil"/>
              <w:left w:val="dotted" w:sz="4" w:space="0" w:color="auto"/>
              <w:bottom w:val="nil"/>
              <w:right w:val="single" w:sz="4" w:space="0" w:color="auto"/>
            </w:tcBorders>
            <w:shd w:val="clear" w:color="auto" w:fill="auto"/>
            <w:noWrap/>
            <w:vAlign w:val="bottom"/>
            <w:hideMark/>
          </w:tcPr>
          <w:p w14:paraId="05D61F3D" w14:textId="77777777" w:rsidR="003321F4" w:rsidRPr="000B693E" w:rsidRDefault="003321F4" w:rsidP="00312E88">
            <w:pPr>
              <w:jc w:val="right"/>
              <w:rPr>
                <w:rFonts w:cs="Arial"/>
                <w:sz w:val="18"/>
                <w:szCs w:val="18"/>
              </w:rPr>
            </w:pPr>
            <w:r w:rsidRPr="000B693E">
              <w:rPr>
                <w:rFonts w:cs="Arial"/>
                <w:sz w:val="18"/>
                <w:szCs w:val="18"/>
              </w:rPr>
              <w:t>-2,417</w:t>
            </w:r>
          </w:p>
        </w:tc>
      </w:tr>
      <w:tr w:rsidR="003321F4" w:rsidRPr="000B693E" w14:paraId="0B208BBD" w14:textId="77777777" w:rsidTr="003321F4">
        <w:trPr>
          <w:trHeight w:hRule="exact" w:val="284"/>
        </w:trPr>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7D753490" w14:textId="77777777" w:rsidR="003321F4" w:rsidRPr="000B693E" w:rsidRDefault="003321F4" w:rsidP="00312E88">
            <w:pPr>
              <w:rPr>
                <w:rFonts w:cs="Arial"/>
                <w:b/>
                <w:bCs/>
                <w:sz w:val="18"/>
                <w:szCs w:val="18"/>
              </w:rPr>
            </w:pPr>
            <w:r w:rsidRPr="000B693E">
              <w:rPr>
                <w:rFonts w:cs="Arial"/>
                <w:b/>
                <w:bCs/>
                <w:sz w:val="18"/>
                <w:szCs w:val="18"/>
              </w:rPr>
              <w:t>Population (variances to baseline)</w:t>
            </w:r>
          </w:p>
        </w:tc>
        <w:tc>
          <w:tcPr>
            <w:tcW w:w="0" w:type="auto"/>
            <w:tcBorders>
              <w:top w:val="single" w:sz="4" w:space="0" w:color="auto"/>
              <w:left w:val="nil"/>
              <w:bottom w:val="single" w:sz="8" w:space="0" w:color="auto"/>
              <w:right w:val="nil"/>
            </w:tcBorders>
            <w:shd w:val="clear" w:color="auto" w:fill="auto"/>
            <w:noWrap/>
            <w:vAlign w:val="bottom"/>
            <w:hideMark/>
          </w:tcPr>
          <w:p w14:paraId="146E63EA" w14:textId="77777777" w:rsidR="003321F4" w:rsidRPr="000B693E" w:rsidRDefault="003321F4" w:rsidP="00312E88">
            <w:pPr>
              <w:jc w:val="right"/>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69FBCC44" w14:textId="77777777" w:rsidR="003321F4" w:rsidRPr="000B693E" w:rsidRDefault="003321F4" w:rsidP="00312E88">
            <w:pPr>
              <w:jc w:val="right"/>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7BD838BF" w14:textId="77777777" w:rsidR="003321F4" w:rsidRPr="000B693E" w:rsidRDefault="003321F4" w:rsidP="00312E88">
            <w:pPr>
              <w:jc w:val="right"/>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3105F4BE" w14:textId="77777777" w:rsidR="003321F4" w:rsidRPr="000B693E" w:rsidRDefault="003321F4" w:rsidP="00312E88">
            <w:pPr>
              <w:jc w:val="right"/>
              <w:rPr>
                <w:rFonts w:cs="Arial"/>
                <w:sz w:val="18"/>
                <w:szCs w:val="18"/>
              </w:rPr>
            </w:pPr>
            <w:r w:rsidRPr="000B693E">
              <w:rPr>
                <w:rFonts w:cs="Arial"/>
                <w:sz w:val="18"/>
                <w:szCs w:val="18"/>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4C8AF284" w14:textId="77777777" w:rsidR="003321F4" w:rsidRPr="000B693E" w:rsidRDefault="003321F4" w:rsidP="00312E88">
            <w:pPr>
              <w:jc w:val="right"/>
              <w:rPr>
                <w:rFonts w:cs="Arial"/>
                <w:sz w:val="18"/>
                <w:szCs w:val="18"/>
              </w:rPr>
            </w:pPr>
            <w:r w:rsidRPr="000B693E">
              <w:rPr>
                <w:rFonts w:cs="Arial"/>
                <w:sz w:val="18"/>
                <w:szCs w:val="18"/>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09869576" w14:textId="77777777" w:rsidR="003321F4" w:rsidRPr="000B693E" w:rsidRDefault="003321F4" w:rsidP="00312E88">
            <w:pPr>
              <w:jc w:val="right"/>
              <w:rPr>
                <w:rFonts w:cs="Arial"/>
                <w:sz w:val="18"/>
                <w:szCs w:val="18"/>
              </w:rPr>
            </w:pPr>
            <w:r w:rsidRPr="000B693E">
              <w:rPr>
                <w:rFonts w:cs="Arial"/>
                <w:sz w:val="18"/>
                <w:szCs w:val="18"/>
              </w:rPr>
              <w:t> </w:t>
            </w:r>
          </w:p>
        </w:tc>
      </w:tr>
      <w:tr w:rsidR="003321F4" w:rsidRPr="000B693E" w14:paraId="1EF26B09"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7A9D8A27" w14:textId="77777777" w:rsidR="003321F4" w:rsidRPr="000B693E" w:rsidRDefault="003321F4" w:rsidP="00312E88">
            <w:pPr>
              <w:rPr>
                <w:rFonts w:cs="Arial"/>
                <w:sz w:val="18"/>
                <w:szCs w:val="18"/>
              </w:rPr>
            </w:pPr>
            <w:r w:rsidRPr="000B693E">
              <w:rPr>
                <w:rFonts w:cs="Arial"/>
                <w:sz w:val="18"/>
                <w:szCs w:val="18"/>
              </w:rPr>
              <w:t>Higher SIL numbers (+500 p.a.)</w:t>
            </w:r>
          </w:p>
        </w:tc>
        <w:tc>
          <w:tcPr>
            <w:tcW w:w="0" w:type="auto"/>
            <w:tcBorders>
              <w:top w:val="nil"/>
              <w:left w:val="nil"/>
              <w:bottom w:val="nil"/>
              <w:right w:val="nil"/>
            </w:tcBorders>
            <w:shd w:val="clear" w:color="auto" w:fill="auto"/>
            <w:noWrap/>
            <w:vAlign w:val="bottom"/>
            <w:hideMark/>
          </w:tcPr>
          <w:p w14:paraId="08C9F8BA" w14:textId="77777777" w:rsidR="003321F4" w:rsidRPr="000B693E" w:rsidRDefault="003321F4" w:rsidP="00312E88">
            <w:pPr>
              <w:jc w:val="right"/>
              <w:rPr>
                <w:rFonts w:cs="Arial"/>
                <w:sz w:val="18"/>
                <w:szCs w:val="18"/>
              </w:rPr>
            </w:pPr>
            <w:r w:rsidRPr="000B693E">
              <w:rPr>
                <w:rFonts w:cs="Arial"/>
                <w:sz w:val="18"/>
                <w:szCs w:val="18"/>
              </w:rPr>
              <w:t>0.5%</w:t>
            </w:r>
          </w:p>
        </w:tc>
        <w:tc>
          <w:tcPr>
            <w:tcW w:w="0" w:type="auto"/>
            <w:tcBorders>
              <w:top w:val="nil"/>
              <w:left w:val="nil"/>
              <w:bottom w:val="nil"/>
              <w:right w:val="nil"/>
            </w:tcBorders>
            <w:shd w:val="clear" w:color="auto" w:fill="auto"/>
            <w:noWrap/>
            <w:vAlign w:val="bottom"/>
            <w:hideMark/>
          </w:tcPr>
          <w:p w14:paraId="4757A31B" w14:textId="77777777" w:rsidR="003321F4" w:rsidRPr="000B693E" w:rsidRDefault="003321F4" w:rsidP="00312E88">
            <w:pPr>
              <w:jc w:val="right"/>
              <w:rPr>
                <w:rFonts w:cs="Arial"/>
                <w:sz w:val="18"/>
                <w:szCs w:val="18"/>
              </w:rPr>
            </w:pPr>
            <w:r w:rsidRPr="000B693E">
              <w:rPr>
                <w:rFonts w:cs="Arial"/>
                <w:sz w:val="18"/>
                <w:szCs w:val="18"/>
              </w:rPr>
              <w:t>0.7%</w:t>
            </w:r>
          </w:p>
        </w:tc>
        <w:tc>
          <w:tcPr>
            <w:tcW w:w="0" w:type="auto"/>
            <w:tcBorders>
              <w:top w:val="nil"/>
              <w:left w:val="nil"/>
              <w:bottom w:val="nil"/>
              <w:right w:val="nil"/>
            </w:tcBorders>
            <w:shd w:val="clear" w:color="auto" w:fill="auto"/>
            <w:noWrap/>
            <w:vAlign w:val="bottom"/>
            <w:hideMark/>
          </w:tcPr>
          <w:p w14:paraId="08190ABE" w14:textId="77777777" w:rsidR="003321F4" w:rsidRPr="000B693E" w:rsidRDefault="003321F4" w:rsidP="00312E88">
            <w:pPr>
              <w:jc w:val="right"/>
              <w:rPr>
                <w:rFonts w:cs="Arial"/>
                <w:sz w:val="18"/>
                <w:szCs w:val="18"/>
              </w:rPr>
            </w:pPr>
            <w:r w:rsidRPr="000B693E">
              <w:rPr>
                <w:rFonts w:cs="Arial"/>
                <w:sz w:val="18"/>
                <w:szCs w:val="18"/>
              </w:rPr>
              <w:t>1.1%</w:t>
            </w:r>
          </w:p>
        </w:tc>
        <w:tc>
          <w:tcPr>
            <w:tcW w:w="0" w:type="auto"/>
            <w:tcBorders>
              <w:top w:val="nil"/>
              <w:left w:val="nil"/>
              <w:bottom w:val="nil"/>
              <w:right w:val="nil"/>
            </w:tcBorders>
            <w:shd w:val="clear" w:color="auto" w:fill="auto"/>
            <w:noWrap/>
            <w:vAlign w:val="bottom"/>
            <w:hideMark/>
          </w:tcPr>
          <w:p w14:paraId="43BDDCE3" w14:textId="77777777" w:rsidR="003321F4" w:rsidRPr="000B693E" w:rsidRDefault="003321F4" w:rsidP="00312E88">
            <w:pPr>
              <w:jc w:val="right"/>
              <w:rPr>
                <w:rFonts w:cs="Arial"/>
                <w:sz w:val="18"/>
                <w:szCs w:val="18"/>
              </w:rPr>
            </w:pPr>
            <w:r w:rsidRPr="000B693E">
              <w:rPr>
                <w:rFonts w:cs="Arial"/>
                <w:sz w:val="18"/>
                <w:szCs w:val="18"/>
              </w:rPr>
              <w:t>1.6%</w:t>
            </w:r>
          </w:p>
        </w:tc>
        <w:tc>
          <w:tcPr>
            <w:tcW w:w="0" w:type="auto"/>
            <w:tcBorders>
              <w:top w:val="nil"/>
              <w:left w:val="dotted" w:sz="4" w:space="0" w:color="auto"/>
              <w:bottom w:val="nil"/>
              <w:right w:val="single" w:sz="4" w:space="0" w:color="auto"/>
            </w:tcBorders>
            <w:shd w:val="clear" w:color="auto" w:fill="auto"/>
            <w:noWrap/>
            <w:vAlign w:val="bottom"/>
            <w:hideMark/>
          </w:tcPr>
          <w:p w14:paraId="65CFBD57" w14:textId="77777777" w:rsidR="003321F4" w:rsidRPr="000B693E" w:rsidRDefault="003321F4" w:rsidP="00312E88">
            <w:pPr>
              <w:jc w:val="right"/>
              <w:rPr>
                <w:rFonts w:cs="Arial"/>
                <w:sz w:val="18"/>
                <w:szCs w:val="18"/>
              </w:rPr>
            </w:pPr>
            <w:r w:rsidRPr="000B693E">
              <w:rPr>
                <w:rFonts w:cs="Arial"/>
                <w:sz w:val="18"/>
                <w:szCs w:val="18"/>
              </w:rPr>
              <w:t>4.1%</w:t>
            </w:r>
          </w:p>
        </w:tc>
        <w:tc>
          <w:tcPr>
            <w:tcW w:w="0" w:type="auto"/>
            <w:tcBorders>
              <w:top w:val="nil"/>
              <w:left w:val="dotted" w:sz="4" w:space="0" w:color="auto"/>
              <w:bottom w:val="nil"/>
              <w:right w:val="single" w:sz="4" w:space="0" w:color="auto"/>
            </w:tcBorders>
            <w:shd w:val="clear" w:color="auto" w:fill="auto"/>
            <w:noWrap/>
            <w:vAlign w:val="bottom"/>
            <w:hideMark/>
          </w:tcPr>
          <w:p w14:paraId="6D9F9A61" w14:textId="77777777" w:rsidR="003321F4" w:rsidRPr="000B693E" w:rsidRDefault="003321F4" w:rsidP="00312E88">
            <w:pPr>
              <w:jc w:val="right"/>
              <w:rPr>
                <w:rFonts w:cs="Arial"/>
                <w:sz w:val="18"/>
                <w:szCs w:val="18"/>
              </w:rPr>
            </w:pPr>
            <w:r w:rsidRPr="000B693E">
              <w:rPr>
                <w:rFonts w:cs="Arial"/>
                <w:sz w:val="18"/>
                <w:szCs w:val="18"/>
              </w:rPr>
              <w:t>1.0%</w:t>
            </w:r>
          </w:p>
        </w:tc>
      </w:tr>
      <w:tr w:rsidR="003321F4" w:rsidRPr="000B693E" w14:paraId="3E8228C4"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5500EC0B" w14:textId="77777777" w:rsidR="003321F4" w:rsidRPr="000B693E" w:rsidRDefault="003321F4" w:rsidP="00312E88">
            <w:pPr>
              <w:rPr>
                <w:rFonts w:cs="Arial"/>
                <w:sz w:val="18"/>
                <w:szCs w:val="18"/>
              </w:rPr>
            </w:pPr>
            <w:r w:rsidRPr="000B693E">
              <w:rPr>
                <w:rFonts w:cs="Arial"/>
                <w:sz w:val="18"/>
                <w:szCs w:val="18"/>
              </w:rPr>
              <w:t>Lower SIL numbers (-200 p.a.)</w:t>
            </w:r>
          </w:p>
        </w:tc>
        <w:tc>
          <w:tcPr>
            <w:tcW w:w="0" w:type="auto"/>
            <w:tcBorders>
              <w:top w:val="nil"/>
              <w:left w:val="nil"/>
              <w:bottom w:val="nil"/>
              <w:right w:val="nil"/>
            </w:tcBorders>
            <w:shd w:val="clear" w:color="auto" w:fill="auto"/>
            <w:noWrap/>
            <w:vAlign w:val="bottom"/>
            <w:hideMark/>
          </w:tcPr>
          <w:p w14:paraId="1F6C4F8B" w14:textId="77777777" w:rsidR="003321F4" w:rsidRPr="000B693E" w:rsidRDefault="003321F4" w:rsidP="00312E88">
            <w:pPr>
              <w:jc w:val="right"/>
              <w:rPr>
                <w:rFonts w:cs="Arial"/>
                <w:sz w:val="18"/>
                <w:szCs w:val="18"/>
              </w:rPr>
            </w:pPr>
            <w:r w:rsidRPr="000B693E">
              <w:rPr>
                <w:rFonts w:cs="Arial"/>
                <w:sz w:val="18"/>
                <w:szCs w:val="18"/>
              </w:rPr>
              <w:t>-0.2%</w:t>
            </w:r>
          </w:p>
        </w:tc>
        <w:tc>
          <w:tcPr>
            <w:tcW w:w="0" w:type="auto"/>
            <w:tcBorders>
              <w:top w:val="nil"/>
              <w:left w:val="nil"/>
              <w:bottom w:val="nil"/>
              <w:right w:val="nil"/>
            </w:tcBorders>
            <w:shd w:val="clear" w:color="auto" w:fill="auto"/>
            <w:noWrap/>
            <w:vAlign w:val="bottom"/>
            <w:hideMark/>
          </w:tcPr>
          <w:p w14:paraId="19345067" w14:textId="77777777" w:rsidR="003321F4" w:rsidRPr="000B693E" w:rsidRDefault="003321F4" w:rsidP="00312E88">
            <w:pPr>
              <w:jc w:val="right"/>
              <w:rPr>
                <w:rFonts w:cs="Arial"/>
                <w:sz w:val="18"/>
                <w:szCs w:val="18"/>
              </w:rPr>
            </w:pPr>
            <w:r w:rsidRPr="000B693E">
              <w:rPr>
                <w:rFonts w:cs="Arial"/>
                <w:sz w:val="18"/>
                <w:szCs w:val="18"/>
              </w:rPr>
              <w:t>-0.3%</w:t>
            </w:r>
          </w:p>
        </w:tc>
        <w:tc>
          <w:tcPr>
            <w:tcW w:w="0" w:type="auto"/>
            <w:tcBorders>
              <w:top w:val="nil"/>
              <w:left w:val="nil"/>
              <w:bottom w:val="nil"/>
              <w:right w:val="nil"/>
            </w:tcBorders>
            <w:shd w:val="clear" w:color="auto" w:fill="auto"/>
            <w:noWrap/>
            <w:vAlign w:val="bottom"/>
            <w:hideMark/>
          </w:tcPr>
          <w:p w14:paraId="06FD4F25" w14:textId="77777777" w:rsidR="003321F4" w:rsidRPr="000B693E" w:rsidRDefault="003321F4" w:rsidP="00312E88">
            <w:pPr>
              <w:jc w:val="right"/>
              <w:rPr>
                <w:rFonts w:cs="Arial"/>
                <w:sz w:val="18"/>
                <w:szCs w:val="18"/>
              </w:rPr>
            </w:pPr>
            <w:r w:rsidRPr="000B693E">
              <w:rPr>
                <w:rFonts w:cs="Arial"/>
                <w:sz w:val="18"/>
                <w:szCs w:val="18"/>
              </w:rPr>
              <w:t>-0.5%</w:t>
            </w:r>
          </w:p>
        </w:tc>
        <w:tc>
          <w:tcPr>
            <w:tcW w:w="0" w:type="auto"/>
            <w:tcBorders>
              <w:top w:val="nil"/>
              <w:left w:val="nil"/>
              <w:bottom w:val="nil"/>
              <w:right w:val="nil"/>
            </w:tcBorders>
            <w:shd w:val="clear" w:color="auto" w:fill="auto"/>
            <w:noWrap/>
            <w:vAlign w:val="bottom"/>
            <w:hideMark/>
          </w:tcPr>
          <w:p w14:paraId="3ED1FC1C" w14:textId="77777777" w:rsidR="003321F4" w:rsidRPr="000B693E" w:rsidRDefault="003321F4" w:rsidP="00312E88">
            <w:pPr>
              <w:jc w:val="right"/>
              <w:rPr>
                <w:rFonts w:cs="Arial"/>
                <w:sz w:val="18"/>
                <w:szCs w:val="18"/>
              </w:rPr>
            </w:pPr>
            <w:r w:rsidRPr="000B693E">
              <w:rPr>
                <w:rFonts w:cs="Arial"/>
                <w:sz w:val="18"/>
                <w:szCs w:val="18"/>
              </w:rPr>
              <w:t>-0.6%</w:t>
            </w:r>
          </w:p>
        </w:tc>
        <w:tc>
          <w:tcPr>
            <w:tcW w:w="0" w:type="auto"/>
            <w:tcBorders>
              <w:top w:val="nil"/>
              <w:left w:val="dotted" w:sz="4" w:space="0" w:color="auto"/>
              <w:bottom w:val="nil"/>
              <w:right w:val="single" w:sz="4" w:space="0" w:color="auto"/>
            </w:tcBorders>
            <w:shd w:val="clear" w:color="auto" w:fill="auto"/>
            <w:noWrap/>
            <w:vAlign w:val="bottom"/>
            <w:hideMark/>
          </w:tcPr>
          <w:p w14:paraId="18C18475" w14:textId="77777777" w:rsidR="003321F4" w:rsidRPr="000B693E" w:rsidRDefault="003321F4" w:rsidP="00312E88">
            <w:pPr>
              <w:jc w:val="right"/>
              <w:rPr>
                <w:rFonts w:cs="Arial"/>
                <w:sz w:val="18"/>
                <w:szCs w:val="18"/>
              </w:rPr>
            </w:pPr>
            <w:r w:rsidRPr="000B693E">
              <w:rPr>
                <w:rFonts w:cs="Arial"/>
                <w:sz w:val="18"/>
                <w:szCs w:val="18"/>
              </w:rPr>
              <w:t>-1.6%</w:t>
            </w:r>
          </w:p>
        </w:tc>
        <w:tc>
          <w:tcPr>
            <w:tcW w:w="0" w:type="auto"/>
            <w:tcBorders>
              <w:top w:val="nil"/>
              <w:left w:val="dotted" w:sz="4" w:space="0" w:color="auto"/>
              <w:bottom w:val="nil"/>
              <w:right w:val="single" w:sz="4" w:space="0" w:color="auto"/>
            </w:tcBorders>
            <w:shd w:val="clear" w:color="auto" w:fill="auto"/>
            <w:noWrap/>
            <w:vAlign w:val="bottom"/>
            <w:hideMark/>
          </w:tcPr>
          <w:p w14:paraId="53033E84" w14:textId="77777777" w:rsidR="003321F4" w:rsidRPr="000B693E" w:rsidRDefault="003321F4" w:rsidP="00312E88">
            <w:pPr>
              <w:jc w:val="right"/>
              <w:rPr>
                <w:rFonts w:cs="Arial"/>
                <w:sz w:val="18"/>
                <w:szCs w:val="18"/>
              </w:rPr>
            </w:pPr>
            <w:r w:rsidRPr="000B693E">
              <w:rPr>
                <w:rFonts w:cs="Arial"/>
                <w:sz w:val="18"/>
                <w:szCs w:val="18"/>
              </w:rPr>
              <w:t>-0.4%</w:t>
            </w:r>
          </w:p>
        </w:tc>
      </w:tr>
      <w:tr w:rsidR="003321F4" w:rsidRPr="000B693E" w14:paraId="36C3BE77"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2262C6BD" w14:textId="77777777" w:rsidR="003321F4" w:rsidRPr="000B693E" w:rsidRDefault="003321F4" w:rsidP="00312E88">
            <w:pPr>
              <w:rPr>
                <w:rFonts w:cs="Arial"/>
                <w:sz w:val="18"/>
                <w:szCs w:val="18"/>
              </w:rPr>
            </w:pPr>
            <w:r w:rsidRPr="000B693E">
              <w:rPr>
                <w:rFonts w:cs="Arial"/>
                <w:sz w:val="18"/>
                <w:szCs w:val="18"/>
              </w:rPr>
              <w:t>Lower non-mortality exit rates</w:t>
            </w:r>
          </w:p>
        </w:tc>
        <w:tc>
          <w:tcPr>
            <w:tcW w:w="0" w:type="auto"/>
            <w:tcBorders>
              <w:top w:val="nil"/>
              <w:left w:val="nil"/>
              <w:bottom w:val="nil"/>
              <w:right w:val="nil"/>
            </w:tcBorders>
            <w:shd w:val="clear" w:color="auto" w:fill="auto"/>
            <w:noWrap/>
            <w:vAlign w:val="bottom"/>
            <w:hideMark/>
          </w:tcPr>
          <w:p w14:paraId="426F0AD7" w14:textId="77777777" w:rsidR="003321F4" w:rsidRPr="000B693E" w:rsidRDefault="003321F4" w:rsidP="00312E88">
            <w:pPr>
              <w:jc w:val="right"/>
              <w:rPr>
                <w:rFonts w:cs="Arial"/>
                <w:sz w:val="18"/>
                <w:szCs w:val="18"/>
              </w:rPr>
            </w:pPr>
            <w:r w:rsidRPr="000B693E">
              <w:rPr>
                <w:rFonts w:cs="Arial"/>
                <w:sz w:val="18"/>
                <w:szCs w:val="18"/>
              </w:rPr>
              <w:t>0.1%</w:t>
            </w:r>
          </w:p>
        </w:tc>
        <w:tc>
          <w:tcPr>
            <w:tcW w:w="0" w:type="auto"/>
            <w:tcBorders>
              <w:top w:val="nil"/>
              <w:left w:val="nil"/>
              <w:bottom w:val="nil"/>
              <w:right w:val="nil"/>
            </w:tcBorders>
            <w:shd w:val="clear" w:color="auto" w:fill="auto"/>
            <w:noWrap/>
            <w:vAlign w:val="bottom"/>
            <w:hideMark/>
          </w:tcPr>
          <w:p w14:paraId="38FFAD34" w14:textId="77777777" w:rsidR="003321F4" w:rsidRPr="000B693E" w:rsidRDefault="003321F4" w:rsidP="00312E88">
            <w:pPr>
              <w:jc w:val="right"/>
              <w:rPr>
                <w:rFonts w:cs="Arial"/>
                <w:sz w:val="18"/>
                <w:szCs w:val="18"/>
              </w:rPr>
            </w:pPr>
            <w:r w:rsidRPr="000B693E">
              <w:rPr>
                <w:rFonts w:cs="Arial"/>
                <w:sz w:val="18"/>
                <w:szCs w:val="18"/>
              </w:rPr>
              <w:t>0.3%</w:t>
            </w:r>
          </w:p>
        </w:tc>
        <w:tc>
          <w:tcPr>
            <w:tcW w:w="0" w:type="auto"/>
            <w:tcBorders>
              <w:top w:val="nil"/>
              <w:left w:val="nil"/>
              <w:bottom w:val="nil"/>
              <w:right w:val="nil"/>
            </w:tcBorders>
            <w:shd w:val="clear" w:color="auto" w:fill="auto"/>
            <w:noWrap/>
            <w:vAlign w:val="bottom"/>
            <w:hideMark/>
          </w:tcPr>
          <w:p w14:paraId="43A4683A" w14:textId="77777777" w:rsidR="003321F4" w:rsidRPr="000B693E" w:rsidRDefault="003321F4" w:rsidP="00312E88">
            <w:pPr>
              <w:jc w:val="right"/>
              <w:rPr>
                <w:rFonts w:cs="Arial"/>
                <w:sz w:val="18"/>
                <w:szCs w:val="18"/>
              </w:rPr>
            </w:pPr>
            <w:r w:rsidRPr="000B693E">
              <w:rPr>
                <w:rFonts w:cs="Arial"/>
                <w:sz w:val="18"/>
                <w:szCs w:val="18"/>
              </w:rPr>
              <w:t>0.7%</w:t>
            </w:r>
          </w:p>
        </w:tc>
        <w:tc>
          <w:tcPr>
            <w:tcW w:w="0" w:type="auto"/>
            <w:tcBorders>
              <w:top w:val="nil"/>
              <w:left w:val="nil"/>
              <w:bottom w:val="nil"/>
              <w:right w:val="nil"/>
            </w:tcBorders>
            <w:shd w:val="clear" w:color="auto" w:fill="auto"/>
            <w:noWrap/>
            <w:vAlign w:val="bottom"/>
            <w:hideMark/>
          </w:tcPr>
          <w:p w14:paraId="153F45BA" w14:textId="77777777" w:rsidR="003321F4" w:rsidRPr="000B693E" w:rsidRDefault="003321F4" w:rsidP="00312E88">
            <w:pPr>
              <w:jc w:val="right"/>
              <w:rPr>
                <w:rFonts w:cs="Arial"/>
                <w:sz w:val="18"/>
                <w:szCs w:val="18"/>
              </w:rPr>
            </w:pPr>
            <w:r w:rsidRPr="000B693E">
              <w:rPr>
                <w:rFonts w:cs="Arial"/>
                <w:sz w:val="18"/>
                <w:szCs w:val="18"/>
              </w:rPr>
              <w:t>1.5%</w:t>
            </w:r>
          </w:p>
        </w:tc>
        <w:tc>
          <w:tcPr>
            <w:tcW w:w="0" w:type="auto"/>
            <w:tcBorders>
              <w:top w:val="nil"/>
              <w:left w:val="dotted" w:sz="4" w:space="0" w:color="auto"/>
              <w:bottom w:val="nil"/>
              <w:right w:val="single" w:sz="4" w:space="0" w:color="auto"/>
            </w:tcBorders>
            <w:shd w:val="clear" w:color="auto" w:fill="auto"/>
            <w:noWrap/>
            <w:vAlign w:val="bottom"/>
            <w:hideMark/>
          </w:tcPr>
          <w:p w14:paraId="37629D14" w14:textId="77777777" w:rsidR="003321F4" w:rsidRPr="000B693E" w:rsidRDefault="003321F4" w:rsidP="00312E88">
            <w:pPr>
              <w:jc w:val="right"/>
              <w:rPr>
                <w:rFonts w:cs="Arial"/>
                <w:sz w:val="18"/>
                <w:szCs w:val="18"/>
              </w:rPr>
            </w:pPr>
            <w:r w:rsidRPr="000B693E">
              <w:rPr>
                <w:rFonts w:cs="Arial"/>
                <w:sz w:val="18"/>
                <w:szCs w:val="18"/>
              </w:rPr>
              <w:t>7.1%</w:t>
            </w:r>
          </w:p>
        </w:tc>
        <w:tc>
          <w:tcPr>
            <w:tcW w:w="0" w:type="auto"/>
            <w:tcBorders>
              <w:top w:val="nil"/>
              <w:left w:val="dotted" w:sz="4" w:space="0" w:color="auto"/>
              <w:bottom w:val="nil"/>
              <w:right w:val="single" w:sz="4" w:space="0" w:color="auto"/>
            </w:tcBorders>
            <w:shd w:val="clear" w:color="auto" w:fill="auto"/>
            <w:noWrap/>
            <w:vAlign w:val="bottom"/>
            <w:hideMark/>
          </w:tcPr>
          <w:p w14:paraId="5D30DE0F" w14:textId="77777777" w:rsidR="003321F4" w:rsidRPr="000B693E" w:rsidRDefault="003321F4" w:rsidP="00312E88">
            <w:pPr>
              <w:jc w:val="right"/>
              <w:rPr>
                <w:rFonts w:cs="Arial"/>
                <w:sz w:val="18"/>
                <w:szCs w:val="18"/>
              </w:rPr>
            </w:pPr>
            <w:r w:rsidRPr="000B693E">
              <w:rPr>
                <w:rFonts w:cs="Arial"/>
                <w:sz w:val="18"/>
                <w:szCs w:val="18"/>
              </w:rPr>
              <w:t>0.7%</w:t>
            </w:r>
          </w:p>
        </w:tc>
      </w:tr>
      <w:tr w:rsidR="003321F4" w:rsidRPr="000B693E" w14:paraId="7348B930" w14:textId="77777777" w:rsidTr="003321F4">
        <w:trPr>
          <w:trHeight w:hRule="exact" w:val="284"/>
        </w:trPr>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0E6EACFB" w14:textId="77777777" w:rsidR="003321F4" w:rsidRPr="000B693E" w:rsidRDefault="003321F4" w:rsidP="00312E88">
            <w:pPr>
              <w:rPr>
                <w:rFonts w:cs="Arial"/>
                <w:b/>
                <w:bCs/>
                <w:sz w:val="18"/>
                <w:szCs w:val="18"/>
              </w:rPr>
            </w:pPr>
            <w:r w:rsidRPr="000B693E">
              <w:rPr>
                <w:rFonts w:cs="Arial"/>
                <w:b/>
                <w:bCs/>
                <w:sz w:val="18"/>
                <w:szCs w:val="18"/>
              </w:rPr>
              <w:t>Cost (variances to baseline)</w:t>
            </w:r>
          </w:p>
        </w:tc>
        <w:tc>
          <w:tcPr>
            <w:tcW w:w="0" w:type="auto"/>
            <w:tcBorders>
              <w:top w:val="single" w:sz="4" w:space="0" w:color="auto"/>
              <w:left w:val="nil"/>
              <w:bottom w:val="single" w:sz="8" w:space="0" w:color="auto"/>
              <w:right w:val="nil"/>
            </w:tcBorders>
            <w:shd w:val="clear" w:color="auto" w:fill="auto"/>
            <w:noWrap/>
            <w:vAlign w:val="bottom"/>
            <w:hideMark/>
          </w:tcPr>
          <w:p w14:paraId="46EED32E" w14:textId="77777777" w:rsidR="003321F4" w:rsidRPr="000B693E" w:rsidRDefault="003321F4" w:rsidP="00312E88">
            <w:pPr>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532855D0" w14:textId="77777777" w:rsidR="003321F4" w:rsidRPr="000B693E" w:rsidRDefault="003321F4" w:rsidP="00312E88">
            <w:pPr>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4D70FF0D" w14:textId="77777777" w:rsidR="003321F4" w:rsidRPr="000B693E" w:rsidRDefault="003321F4" w:rsidP="00312E88">
            <w:pPr>
              <w:rPr>
                <w:rFonts w:cs="Arial"/>
                <w:sz w:val="18"/>
                <w:szCs w:val="18"/>
              </w:rPr>
            </w:pPr>
            <w:r w:rsidRPr="000B693E">
              <w:rPr>
                <w:rFonts w:cs="Arial"/>
                <w:sz w:val="18"/>
                <w:szCs w:val="18"/>
              </w:rPr>
              <w:t> </w:t>
            </w:r>
          </w:p>
        </w:tc>
        <w:tc>
          <w:tcPr>
            <w:tcW w:w="0" w:type="auto"/>
            <w:tcBorders>
              <w:top w:val="single" w:sz="4" w:space="0" w:color="auto"/>
              <w:left w:val="nil"/>
              <w:bottom w:val="single" w:sz="8" w:space="0" w:color="auto"/>
              <w:right w:val="nil"/>
            </w:tcBorders>
            <w:shd w:val="clear" w:color="auto" w:fill="auto"/>
            <w:noWrap/>
            <w:vAlign w:val="bottom"/>
            <w:hideMark/>
          </w:tcPr>
          <w:p w14:paraId="02F5848C" w14:textId="77777777" w:rsidR="003321F4" w:rsidRPr="000B693E" w:rsidRDefault="003321F4" w:rsidP="00312E88">
            <w:pPr>
              <w:rPr>
                <w:rFonts w:cs="Arial"/>
                <w:sz w:val="18"/>
                <w:szCs w:val="18"/>
              </w:rPr>
            </w:pPr>
            <w:r w:rsidRPr="000B693E">
              <w:rPr>
                <w:rFonts w:cs="Arial"/>
                <w:sz w:val="18"/>
                <w:szCs w:val="18"/>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1FEA94C6" w14:textId="77777777" w:rsidR="003321F4" w:rsidRPr="000B693E" w:rsidRDefault="003321F4" w:rsidP="00312E88">
            <w:pPr>
              <w:rPr>
                <w:rFonts w:cs="Arial"/>
                <w:sz w:val="18"/>
                <w:szCs w:val="18"/>
              </w:rPr>
            </w:pPr>
            <w:r w:rsidRPr="000B693E">
              <w:rPr>
                <w:rFonts w:cs="Arial"/>
                <w:sz w:val="18"/>
                <w:szCs w:val="18"/>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055A4654" w14:textId="77777777" w:rsidR="003321F4" w:rsidRPr="000B693E" w:rsidRDefault="003321F4" w:rsidP="00312E88">
            <w:pPr>
              <w:rPr>
                <w:rFonts w:cs="Arial"/>
                <w:sz w:val="18"/>
                <w:szCs w:val="18"/>
              </w:rPr>
            </w:pPr>
            <w:r w:rsidRPr="000B693E">
              <w:rPr>
                <w:rFonts w:cs="Arial"/>
                <w:sz w:val="18"/>
                <w:szCs w:val="18"/>
              </w:rPr>
              <w:t> </w:t>
            </w:r>
          </w:p>
        </w:tc>
      </w:tr>
      <w:tr w:rsidR="003321F4" w:rsidRPr="000B693E" w14:paraId="7F4AA83D"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47F55AE0" w14:textId="77777777" w:rsidR="003321F4" w:rsidRPr="000B693E" w:rsidRDefault="003321F4" w:rsidP="00312E88">
            <w:pPr>
              <w:rPr>
                <w:rFonts w:cs="Arial"/>
                <w:sz w:val="18"/>
                <w:szCs w:val="18"/>
              </w:rPr>
            </w:pPr>
            <w:r w:rsidRPr="000B693E">
              <w:rPr>
                <w:rFonts w:cs="Arial"/>
                <w:sz w:val="18"/>
                <w:szCs w:val="18"/>
              </w:rPr>
              <w:t>One year less of high inflation</w:t>
            </w:r>
          </w:p>
        </w:tc>
        <w:tc>
          <w:tcPr>
            <w:tcW w:w="0" w:type="auto"/>
            <w:tcBorders>
              <w:top w:val="nil"/>
              <w:left w:val="nil"/>
              <w:bottom w:val="nil"/>
              <w:right w:val="nil"/>
            </w:tcBorders>
            <w:shd w:val="clear" w:color="auto" w:fill="auto"/>
            <w:noWrap/>
            <w:vAlign w:val="bottom"/>
            <w:hideMark/>
          </w:tcPr>
          <w:p w14:paraId="2AAC27B5" w14:textId="77777777" w:rsidR="003321F4" w:rsidRPr="000B693E" w:rsidRDefault="003321F4" w:rsidP="00312E88">
            <w:pPr>
              <w:jc w:val="right"/>
              <w:rPr>
                <w:rFonts w:cs="Arial"/>
                <w:sz w:val="18"/>
                <w:szCs w:val="18"/>
              </w:rPr>
            </w:pPr>
            <w:r w:rsidRPr="000B693E">
              <w:rPr>
                <w:rFonts w:cs="Arial"/>
                <w:sz w:val="18"/>
                <w:szCs w:val="18"/>
              </w:rPr>
              <w:t>-3.0%</w:t>
            </w:r>
          </w:p>
        </w:tc>
        <w:tc>
          <w:tcPr>
            <w:tcW w:w="0" w:type="auto"/>
            <w:tcBorders>
              <w:top w:val="nil"/>
              <w:left w:val="nil"/>
              <w:bottom w:val="nil"/>
              <w:right w:val="nil"/>
            </w:tcBorders>
            <w:shd w:val="clear" w:color="auto" w:fill="auto"/>
            <w:noWrap/>
            <w:vAlign w:val="bottom"/>
            <w:hideMark/>
          </w:tcPr>
          <w:p w14:paraId="297C068C" w14:textId="77777777" w:rsidR="003321F4" w:rsidRPr="000B693E" w:rsidRDefault="003321F4" w:rsidP="00312E88">
            <w:pPr>
              <w:jc w:val="right"/>
              <w:rPr>
                <w:rFonts w:cs="Arial"/>
                <w:sz w:val="18"/>
                <w:szCs w:val="18"/>
              </w:rPr>
            </w:pPr>
            <w:r w:rsidRPr="000B693E">
              <w:rPr>
                <w:rFonts w:cs="Arial"/>
                <w:sz w:val="18"/>
                <w:szCs w:val="18"/>
              </w:rPr>
              <w:t>-3.6%</w:t>
            </w:r>
          </w:p>
        </w:tc>
        <w:tc>
          <w:tcPr>
            <w:tcW w:w="0" w:type="auto"/>
            <w:tcBorders>
              <w:top w:val="nil"/>
              <w:left w:val="nil"/>
              <w:bottom w:val="nil"/>
              <w:right w:val="nil"/>
            </w:tcBorders>
            <w:shd w:val="clear" w:color="auto" w:fill="auto"/>
            <w:noWrap/>
            <w:vAlign w:val="bottom"/>
            <w:hideMark/>
          </w:tcPr>
          <w:p w14:paraId="161400C1" w14:textId="77777777" w:rsidR="003321F4" w:rsidRPr="000B693E" w:rsidRDefault="003321F4" w:rsidP="00312E88">
            <w:pPr>
              <w:jc w:val="right"/>
              <w:rPr>
                <w:rFonts w:cs="Arial"/>
                <w:sz w:val="18"/>
                <w:szCs w:val="18"/>
              </w:rPr>
            </w:pPr>
            <w:r w:rsidRPr="000B693E">
              <w:rPr>
                <w:rFonts w:cs="Arial"/>
                <w:sz w:val="18"/>
                <w:szCs w:val="18"/>
              </w:rPr>
              <w:t>-4.5%</w:t>
            </w:r>
          </w:p>
        </w:tc>
        <w:tc>
          <w:tcPr>
            <w:tcW w:w="0" w:type="auto"/>
            <w:tcBorders>
              <w:top w:val="nil"/>
              <w:left w:val="nil"/>
              <w:bottom w:val="nil"/>
              <w:right w:val="nil"/>
            </w:tcBorders>
            <w:shd w:val="clear" w:color="auto" w:fill="auto"/>
            <w:noWrap/>
            <w:vAlign w:val="bottom"/>
            <w:hideMark/>
          </w:tcPr>
          <w:p w14:paraId="186DA210" w14:textId="77777777" w:rsidR="003321F4" w:rsidRPr="000B693E" w:rsidRDefault="003321F4" w:rsidP="00312E88">
            <w:pPr>
              <w:jc w:val="right"/>
              <w:rPr>
                <w:rFonts w:cs="Arial"/>
                <w:sz w:val="18"/>
                <w:szCs w:val="18"/>
              </w:rPr>
            </w:pPr>
            <w:r w:rsidRPr="000B693E">
              <w:rPr>
                <w:rFonts w:cs="Arial"/>
                <w:sz w:val="18"/>
                <w:szCs w:val="18"/>
              </w:rPr>
              <w:t>-4.9%</w:t>
            </w:r>
          </w:p>
        </w:tc>
        <w:tc>
          <w:tcPr>
            <w:tcW w:w="0" w:type="auto"/>
            <w:tcBorders>
              <w:top w:val="nil"/>
              <w:left w:val="dotted" w:sz="4" w:space="0" w:color="auto"/>
              <w:bottom w:val="nil"/>
              <w:right w:val="single" w:sz="4" w:space="0" w:color="auto"/>
            </w:tcBorders>
            <w:shd w:val="clear" w:color="auto" w:fill="auto"/>
            <w:noWrap/>
            <w:vAlign w:val="bottom"/>
            <w:hideMark/>
          </w:tcPr>
          <w:p w14:paraId="40EF1143" w14:textId="77777777" w:rsidR="003321F4" w:rsidRPr="000B693E" w:rsidRDefault="003321F4" w:rsidP="00312E88">
            <w:pPr>
              <w:jc w:val="right"/>
              <w:rPr>
                <w:rFonts w:cs="Arial"/>
                <w:sz w:val="18"/>
                <w:szCs w:val="18"/>
              </w:rPr>
            </w:pPr>
            <w:r w:rsidRPr="000B693E">
              <w:rPr>
                <w:rFonts w:cs="Arial"/>
                <w:sz w:val="18"/>
                <w:szCs w:val="18"/>
              </w:rPr>
              <w:t>-6.3%</w:t>
            </w:r>
          </w:p>
        </w:tc>
        <w:tc>
          <w:tcPr>
            <w:tcW w:w="0" w:type="auto"/>
            <w:tcBorders>
              <w:top w:val="nil"/>
              <w:left w:val="dotted" w:sz="4" w:space="0" w:color="auto"/>
              <w:bottom w:val="nil"/>
              <w:right w:val="single" w:sz="4" w:space="0" w:color="auto"/>
            </w:tcBorders>
            <w:shd w:val="clear" w:color="auto" w:fill="auto"/>
            <w:noWrap/>
            <w:vAlign w:val="bottom"/>
            <w:hideMark/>
          </w:tcPr>
          <w:p w14:paraId="2E75FBD3" w14:textId="77777777" w:rsidR="003321F4" w:rsidRPr="000B693E" w:rsidRDefault="003321F4" w:rsidP="00312E88">
            <w:pPr>
              <w:jc w:val="right"/>
              <w:rPr>
                <w:rFonts w:cs="Arial"/>
                <w:sz w:val="18"/>
                <w:szCs w:val="18"/>
              </w:rPr>
            </w:pPr>
            <w:r w:rsidRPr="000B693E">
              <w:rPr>
                <w:rFonts w:cs="Arial"/>
                <w:sz w:val="18"/>
                <w:szCs w:val="18"/>
              </w:rPr>
              <w:t>-4.0%</w:t>
            </w:r>
          </w:p>
        </w:tc>
      </w:tr>
      <w:tr w:rsidR="003321F4" w:rsidRPr="000B693E" w14:paraId="3225A78E"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6E251D26" w14:textId="77777777" w:rsidR="003321F4" w:rsidRPr="000B693E" w:rsidRDefault="003321F4" w:rsidP="00312E88">
            <w:pPr>
              <w:rPr>
                <w:rFonts w:cs="Arial"/>
                <w:sz w:val="18"/>
                <w:szCs w:val="18"/>
              </w:rPr>
            </w:pPr>
            <w:r w:rsidRPr="000B693E">
              <w:rPr>
                <w:rFonts w:cs="Arial"/>
                <w:sz w:val="18"/>
                <w:szCs w:val="18"/>
              </w:rPr>
              <w:t>Two additional years of high inflation</w:t>
            </w:r>
          </w:p>
        </w:tc>
        <w:tc>
          <w:tcPr>
            <w:tcW w:w="0" w:type="auto"/>
            <w:tcBorders>
              <w:top w:val="nil"/>
              <w:left w:val="nil"/>
              <w:bottom w:val="nil"/>
              <w:right w:val="nil"/>
            </w:tcBorders>
            <w:shd w:val="clear" w:color="auto" w:fill="auto"/>
            <w:noWrap/>
            <w:vAlign w:val="bottom"/>
            <w:hideMark/>
          </w:tcPr>
          <w:p w14:paraId="20DC37B6" w14:textId="77777777" w:rsidR="003321F4" w:rsidRPr="000B693E" w:rsidRDefault="003321F4" w:rsidP="00312E88">
            <w:pPr>
              <w:jc w:val="right"/>
              <w:rPr>
                <w:rFonts w:cs="Arial"/>
                <w:sz w:val="18"/>
                <w:szCs w:val="18"/>
              </w:rPr>
            </w:pPr>
            <w:r w:rsidRPr="000B693E">
              <w:rPr>
                <w:rFonts w:cs="Arial"/>
                <w:sz w:val="18"/>
                <w:szCs w:val="18"/>
              </w:rPr>
              <w:t>4.0%</w:t>
            </w:r>
          </w:p>
        </w:tc>
        <w:tc>
          <w:tcPr>
            <w:tcW w:w="0" w:type="auto"/>
            <w:tcBorders>
              <w:top w:val="nil"/>
              <w:left w:val="nil"/>
              <w:bottom w:val="nil"/>
              <w:right w:val="nil"/>
            </w:tcBorders>
            <w:shd w:val="clear" w:color="auto" w:fill="auto"/>
            <w:noWrap/>
            <w:vAlign w:val="bottom"/>
            <w:hideMark/>
          </w:tcPr>
          <w:p w14:paraId="3B52132A" w14:textId="77777777" w:rsidR="003321F4" w:rsidRPr="000B693E" w:rsidRDefault="003321F4" w:rsidP="00312E88">
            <w:pPr>
              <w:jc w:val="right"/>
              <w:rPr>
                <w:rFonts w:cs="Arial"/>
                <w:sz w:val="18"/>
                <w:szCs w:val="18"/>
              </w:rPr>
            </w:pPr>
            <w:r w:rsidRPr="000B693E">
              <w:rPr>
                <w:rFonts w:cs="Arial"/>
                <w:sz w:val="18"/>
                <w:szCs w:val="18"/>
              </w:rPr>
              <w:t>7.4%</w:t>
            </w:r>
          </w:p>
        </w:tc>
        <w:tc>
          <w:tcPr>
            <w:tcW w:w="0" w:type="auto"/>
            <w:tcBorders>
              <w:top w:val="nil"/>
              <w:left w:val="nil"/>
              <w:bottom w:val="nil"/>
              <w:right w:val="nil"/>
            </w:tcBorders>
            <w:shd w:val="clear" w:color="auto" w:fill="auto"/>
            <w:noWrap/>
            <w:vAlign w:val="bottom"/>
            <w:hideMark/>
          </w:tcPr>
          <w:p w14:paraId="56B60820" w14:textId="77777777" w:rsidR="003321F4" w:rsidRPr="000B693E" w:rsidRDefault="003321F4" w:rsidP="00312E88">
            <w:pPr>
              <w:jc w:val="right"/>
              <w:rPr>
                <w:rFonts w:cs="Arial"/>
                <w:sz w:val="18"/>
                <w:szCs w:val="18"/>
              </w:rPr>
            </w:pPr>
            <w:r w:rsidRPr="000B693E">
              <w:rPr>
                <w:rFonts w:cs="Arial"/>
                <w:sz w:val="18"/>
                <w:szCs w:val="18"/>
              </w:rPr>
              <w:t>8.6%</w:t>
            </w:r>
          </w:p>
        </w:tc>
        <w:tc>
          <w:tcPr>
            <w:tcW w:w="0" w:type="auto"/>
            <w:tcBorders>
              <w:top w:val="nil"/>
              <w:left w:val="nil"/>
              <w:bottom w:val="nil"/>
              <w:right w:val="nil"/>
            </w:tcBorders>
            <w:shd w:val="clear" w:color="auto" w:fill="auto"/>
            <w:noWrap/>
            <w:vAlign w:val="bottom"/>
            <w:hideMark/>
          </w:tcPr>
          <w:p w14:paraId="2062939C" w14:textId="77777777" w:rsidR="003321F4" w:rsidRPr="000B693E" w:rsidRDefault="003321F4" w:rsidP="00312E88">
            <w:pPr>
              <w:jc w:val="right"/>
              <w:rPr>
                <w:rFonts w:cs="Arial"/>
                <w:sz w:val="18"/>
                <w:szCs w:val="18"/>
              </w:rPr>
            </w:pPr>
            <w:r w:rsidRPr="000B693E">
              <w:rPr>
                <w:rFonts w:cs="Arial"/>
                <w:sz w:val="18"/>
                <w:szCs w:val="18"/>
              </w:rPr>
              <w:t>12.7%</w:t>
            </w:r>
          </w:p>
        </w:tc>
        <w:tc>
          <w:tcPr>
            <w:tcW w:w="0" w:type="auto"/>
            <w:tcBorders>
              <w:top w:val="nil"/>
              <w:left w:val="dotted" w:sz="4" w:space="0" w:color="auto"/>
              <w:bottom w:val="nil"/>
              <w:right w:val="single" w:sz="4" w:space="0" w:color="auto"/>
            </w:tcBorders>
            <w:shd w:val="clear" w:color="auto" w:fill="auto"/>
            <w:noWrap/>
            <w:vAlign w:val="bottom"/>
            <w:hideMark/>
          </w:tcPr>
          <w:p w14:paraId="00C5954D" w14:textId="77777777" w:rsidR="003321F4" w:rsidRPr="000B693E" w:rsidRDefault="003321F4" w:rsidP="00312E88">
            <w:pPr>
              <w:jc w:val="right"/>
              <w:rPr>
                <w:rFonts w:cs="Arial"/>
                <w:sz w:val="18"/>
                <w:szCs w:val="18"/>
              </w:rPr>
            </w:pPr>
            <w:r w:rsidRPr="000B693E">
              <w:rPr>
                <w:rFonts w:cs="Arial"/>
                <w:sz w:val="18"/>
                <w:szCs w:val="18"/>
              </w:rPr>
              <w:t>17.2%</w:t>
            </w:r>
          </w:p>
        </w:tc>
        <w:tc>
          <w:tcPr>
            <w:tcW w:w="0" w:type="auto"/>
            <w:tcBorders>
              <w:top w:val="nil"/>
              <w:left w:val="dotted" w:sz="4" w:space="0" w:color="auto"/>
              <w:bottom w:val="nil"/>
              <w:right w:val="single" w:sz="4" w:space="0" w:color="auto"/>
            </w:tcBorders>
            <w:shd w:val="clear" w:color="auto" w:fill="auto"/>
            <w:noWrap/>
            <w:vAlign w:val="bottom"/>
            <w:hideMark/>
          </w:tcPr>
          <w:p w14:paraId="36FD6558" w14:textId="77777777" w:rsidR="003321F4" w:rsidRPr="000B693E" w:rsidRDefault="003321F4" w:rsidP="00312E88">
            <w:pPr>
              <w:jc w:val="right"/>
              <w:rPr>
                <w:rFonts w:cs="Arial"/>
                <w:sz w:val="18"/>
                <w:szCs w:val="18"/>
              </w:rPr>
            </w:pPr>
            <w:r w:rsidRPr="000B693E">
              <w:rPr>
                <w:rFonts w:cs="Arial"/>
                <w:sz w:val="18"/>
                <w:szCs w:val="18"/>
              </w:rPr>
              <w:t>8.3%</w:t>
            </w:r>
          </w:p>
        </w:tc>
      </w:tr>
      <w:tr w:rsidR="003321F4" w:rsidRPr="000B693E" w14:paraId="37768FCD" w14:textId="77777777" w:rsidTr="003321F4">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6999B592" w14:textId="77777777" w:rsidR="003321F4" w:rsidRPr="000B693E" w:rsidRDefault="003321F4" w:rsidP="00312E88">
            <w:pPr>
              <w:rPr>
                <w:rFonts w:cs="Arial"/>
                <w:sz w:val="18"/>
                <w:szCs w:val="18"/>
              </w:rPr>
            </w:pPr>
            <w:r w:rsidRPr="000B693E">
              <w:rPr>
                <w:rFonts w:cs="Arial"/>
                <w:sz w:val="18"/>
                <w:szCs w:val="18"/>
              </w:rPr>
              <w:t>1%p.a. additional long term inflation</w:t>
            </w:r>
          </w:p>
        </w:tc>
        <w:tc>
          <w:tcPr>
            <w:tcW w:w="0" w:type="auto"/>
            <w:tcBorders>
              <w:top w:val="nil"/>
              <w:left w:val="nil"/>
              <w:bottom w:val="nil"/>
              <w:right w:val="nil"/>
            </w:tcBorders>
            <w:shd w:val="clear" w:color="auto" w:fill="auto"/>
            <w:noWrap/>
            <w:vAlign w:val="bottom"/>
            <w:hideMark/>
          </w:tcPr>
          <w:p w14:paraId="48D78AB7" w14:textId="77777777" w:rsidR="003321F4" w:rsidRPr="000B693E" w:rsidRDefault="003321F4" w:rsidP="00312E88">
            <w:pPr>
              <w:jc w:val="right"/>
              <w:rPr>
                <w:rFonts w:cs="Arial"/>
                <w:sz w:val="18"/>
                <w:szCs w:val="18"/>
              </w:rPr>
            </w:pPr>
            <w:r w:rsidRPr="000B693E">
              <w:rPr>
                <w:rFonts w:cs="Arial"/>
                <w:sz w:val="18"/>
                <w:szCs w:val="18"/>
              </w:rPr>
              <w:t>0.5%</w:t>
            </w:r>
          </w:p>
        </w:tc>
        <w:tc>
          <w:tcPr>
            <w:tcW w:w="0" w:type="auto"/>
            <w:tcBorders>
              <w:top w:val="nil"/>
              <w:left w:val="nil"/>
              <w:bottom w:val="nil"/>
              <w:right w:val="nil"/>
            </w:tcBorders>
            <w:shd w:val="clear" w:color="auto" w:fill="auto"/>
            <w:noWrap/>
            <w:vAlign w:val="bottom"/>
            <w:hideMark/>
          </w:tcPr>
          <w:p w14:paraId="0FF15ECF" w14:textId="77777777" w:rsidR="003321F4" w:rsidRPr="000B693E" w:rsidRDefault="003321F4" w:rsidP="00312E88">
            <w:pPr>
              <w:jc w:val="right"/>
              <w:rPr>
                <w:rFonts w:cs="Arial"/>
                <w:sz w:val="18"/>
                <w:szCs w:val="18"/>
              </w:rPr>
            </w:pPr>
            <w:r w:rsidRPr="000B693E">
              <w:rPr>
                <w:rFonts w:cs="Arial"/>
                <w:sz w:val="18"/>
                <w:szCs w:val="18"/>
              </w:rPr>
              <w:t>1.4%</w:t>
            </w:r>
          </w:p>
        </w:tc>
        <w:tc>
          <w:tcPr>
            <w:tcW w:w="0" w:type="auto"/>
            <w:tcBorders>
              <w:top w:val="nil"/>
              <w:left w:val="nil"/>
              <w:bottom w:val="nil"/>
              <w:right w:val="nil"/>
            </w:tcBorders>
            <w:shd w:val="clear" w:color="auto" w:fill="auto"/>
            <w:noWrap/>
            <w:vAlign w:val="bottom"/>
            <w:hideMark/>
          </w:tcPr>
          <w:p w14:paraId="39CED3E3" w14:textId="77777777" w:rsidR="003321F4" w:rsidRPr="000B693E" w:rsidRDefault="003321F4" w:rsidP="00312E88">
            <w:pPr>
              <w:jc w:val="right"/>
              <w:rPr>
                <w:rFonts w:cs="Arial"/>
                <w:sz w:val="18"/>
                <w:szCs w:val="18"/>
              </w:rPr>
            </w:pPr>
            <w:r w:rsidRPr="000B693E">
              <w:rPr>
                <w:rFonts w:cs="Arial"/>
                <w:sz w:val="18"/>
                <w:szCs w:val="18"/>
              </w:rPr>
              <w:t>2.4%</w:t>
            </w:r>
          </w:p>
        </w:tc>
        <w:tc>
          <w:tcPr>
            <w:tcW w:w="0" w:type="auto"/>
            <w:tcBorders>
              <w:top w:val="nil"/>
              <w:left w:val="nil"/>
              <w:bottom w:val="nil"/>
              <w:right w:val="nil"/>
            </w:tcBorders>
            <w:shd w:val="clear" w:color="auto" w:fill="auto"/>
            <w:noWrap/>
            <w:vAlign w:val="bottom"/>
            <w:hideMark/>
          </w:tcPr>
          <w:p w14:paraId="4EA37724" w14:textId="77777777" w:rsidR="003321F4" w:rsidRPr="000B693E" w:rsidRDefault="003321F4" w:rsidP="00312E88">
            <w:pPr>
              <w:jc w:val="right"/>
              <w:rPr>
                <w:rFonts w:cs="Arial"/>
                <w:sz w:val="18"/>
                <w:szCs w:val="18"/>
              </w:rPr>
            </w:pPr>
            <w:r w:rsidRPr="000B693E">
              <w:rPr>
                <w:rFonts w:cs="Arial"/>
                <w:sz w:val="18"/>
                <w:szCs w:val="18"/>
              </w:rPr>
              <w:t>3.4%</w:t>
            </w:r>
          </w:p>
        </w:tc>
        <w:tc>
          <w:tcPr>
            <w:tcW w:w="0" w:type="auto"/>
            <w:tcBorders>
              <w:top w:val="nil"/>
              <w:left w:val="dotted" w:sz="4" w:space="0" w:color="auto"/>
              <w:bottom w:val="nil"/>
              <w:right w:val="single" w:sz="4" w:space="0" w:color="auto"/>
            </w:tcBorders>
            <w:shd w:val="clear" w:color="auto" w:fill="auto"/>
            <w:noWrap/>
            <w:vAlign w:val="bottom"/>
            <w:hideMark/>
          </w:tcPr>
          <w:p w14:paraId="701E8B73" w14:textId="77777777" w:rsidR="003321F4" w:rsidRPr="000B693E" w:rsidRDefault="003321F4" w:rsidP="00312E88">
            <w:pPr>
              <w:jc w:val="right"/>
              <w:rPr>
                <w:rFonts w:cs="Arial"/>
                <w:sz w:val="18"/>
                <w:szCs w:val="18"/>
              </w:rPr>
            </w:pPr>
            <w:r w:rsidRPr="000B693E">
              <w:rPr>
                <w:rFonts w:cs="Arial"/>
                <w:sz w:val="18"/>
                <w:szCs w:val="18"/>
              </w:rPr>
              <w:t>8.7%</w:t>
            </w:r>
          </w:p>
        </w:tc>
        <w:tc>
          <w:tcPr>
            <w:tcW w:w="0" w:type="auto"/>
            <w:tcBorders>
              <w:top w:val="nil"/>
              <w:left w:val="dotted" w:sz="4" w:space="0" w:color="auto"/>
              <w:bottom w:val="nil"/>
              <w:right w:val="single" w:sz="4" w:space="0" w:color="auto"/>
            </w:tcBorders>
            <w:shd w:val="clear" w:color="auto" w:fill="auto"/>
            <w:noWrap/>
            <w:vAlign w:val="bottom"/>
            <w:hideMark/>
          </w:tcPr>
          <w:p w14:paraId="5ED89FC7" w14:textId="77777777" w:rsidR="003321F4" w:rsidRPr="000B693E" w:rsidRDefault="003321F4" w:rsidP="00312E88">
            <w:pPr>
              <w:jc w:val="right"/>
              <w:rPr>
                <w:rFonts w:cs="Arial"/>
                <w:sz w:val="18"/>
                <w:szCs w:val="18"/>
              </w:rPr>
            </w:pPr>
            <w:r w:rsidRPr="000B693E">
              <w:rPr>
                <w:rFonts w:cs="Arial"/>
                <w:sz w:val="18"/>
                <w:szCs w:val="18"/>
              </w:rPr>
              <w:t>2.0%</w:t>
            </w:r>
          </w:p>
        </w:tc>
      </w:tr>
      <w:tr w:rsidR="003321F4" w:rsidRPr="000B693E" w14:paraId="58E18C71" w14:textId="77777777" w:rsidTr="003321F4">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7784A3" w14:textId="77777777" w:rsidR="003321F4" w:rsidRPr="000B693E" w:rsidRDefault="003321F4" w:rsidP="00312E88">
            <w:pPr>
              <w:rPr>
                <w:rFonts w:cs="Arial"/>
                <w:sz w:val="18"/>
                <w:szCs w:val="18"/>
              </w:rPr>
            </w:pPr>
            <w:r w:rsidRPr="000B693E">
              <w:rPr>
                <w:rFonts w:cs="Arial"/>
                <w:sz w:val="18"/>
                <w:szCs w:val="18"/>
              </w:rPr>
              <w:t>1%p.a. less long term inflation</w:t>
            </w:r>
          </w:p>
        </w:tc>
        <w:tc>
          <w:tcPr>
            <w:tcW w:w="0" w:type="auto"/>
            <w:tcBorders>
              <w:top w:val="nil"/>
              <w:left w:val="nil"/>
              <w:bottom w:val="single" w:sz="4" w:space="0" w:color="auto"/>
              <w:right w:val="nil"/>
            </w:tcBorders>
            <w:shd w:val="clear" w:color="auto" w:fill="auto"/>
            <w:noWrap/>
            <w:vAlign w:val="bottom"/>
            <w:hideMark/>
          </w:tcPr>
          <w:p w14:paraId="362840E6" w14:textId="77777777" w:rsidR="003321F4" w:rsidRPr="000B693E" w:rsidRDefault="003321F4" w:rsidP="00312E88">
            <w:pPr>
              <w:jc w:val="right"/>
              <w:rPr>
                <w:rFonts w:cs="Arial"/>
                <w:sz w:val="18"/>
                <w:szCs w:val="18"/>
              </w:rPr>
            </w:pPr>
            <w:r w:rsidRPr="000B693E">
              <w:rPr>
                <w:rFonts w:cs="Arial"/>
                <w:sz w:val="18"/>
                <w:szCs w:val="18"/>
              </w:rPr>
              <w:t>-0.5%</w:t>
            </w:r>
          </w:p>
        </w:tc>
        <w:tc>
          <w:tcPr>
            <w:tcW w:w="0" w:type="auto"/>
            <w:tcBorders>
              <w:top w:val="nil"/>
              <w:left w:val="nil"/>
              <w:bottom w:val="single" w:sz="4" w:space="0" w:color="auto"/>
              <w:right w:val="nil"/>
            </w:tcBorders>
            <w:shd w:val="clear" w:color="auto" w:fill="auto"/>
            <w:noWrap/>
            <w:vAlign w:val="bottom"/>
            <w:hideMark/>
          </w:tcPr>
          <w:p w14:paraId="414E8FAC" w14:textId="77777777" w:rsidR="003321F4" w:rsidRPr="000B693E" w:rsidRDefault="003321F4" w:rsidP="00312E88">
            <w:pPr>
              <w:jc w:val="right"/>
              <w:rPr>
                <w:rFonts w:cs="Arial"/>
                <w:sz w:val="18"/>
                <w:szCs w:val="18"/>
              </w:rPr>
            </w:pPr>
            <w:r w:rsidRPr="000B693E">
              <w:rPr>
                <w:rFonts w:cs="Arial"/>
                <w:sz w:val="18"/>
                <w:szCs w:val="18"/>
              </w:rPr>
              <w:t>-1.4%</w:t>
            </w:r>
          </w:p>
        </w:tc>
        <w:tc>
          <w:tcPr>
            <w:tcW w:w="0" w:type="auto"/>
            <w:tcBorders>
              <w:top w:val="nil"/>
              <w:left w:val="nil"/>
              <w:bottom w:val="single" w:sz="4" w:space="0" w:color="auto"/>
              <w:right w:val="nil"/>
            </w:tcBorders>
            <w:shd w:val="clear" w:color="auto" w:fill="auto"/>
            <w:noWrap/>
            <w:vAlign w:val="bottom"/>
            <w:hideMark/>
          </w:tcPr>
          <w:p w14:paraId="7DEA8456" w14:textId="77777777" w:rsidR="003321F4" w:rsidRPr="000B693E" w:rsidRDefault="003321F4" w:rsidP="00312E88">
            <w:pPr>
              <w:jc w:val="right"/>
              <w:rPr>
                <w:rFonts w:cs="Arial"/>
                <w:sz w:val="18"/>
                <w:szCs w:val="18"/>
              </w:rPr>
            </w:pPr>
            <w:r w:rsidRPr="000B693E">
              <w:rPr>
                <w:rFonts w:cs="Arial"/>
                <w:sz w:val="18"/>
                <w:szCs w:val="18"/>
              </w:rPr>
              <w:t>-2.4%</w:t>
            </w:r>
          </w:p>
        </w:tc>
        <w:tc>
          <w:tcPr>
            <w:tcW w:w="0" w:type="auto"/>
            <w:tcBorders>
              <w:top w:val="nil"/>
              <w:left w:val="nil"/>
              <w:bottom w:val="single" w:sz="4" w:space="0" w:color="auto"/>
              <w:right w:val="nil"/>
            </w:tcBorders>
            <w:shd w:val="clear" w:color="auto" w:fill="auto"/>
            <w:noWrap/>
            <w:vAlign w:val="bottom"/>
            <w:hideMark/>
          </w:tcPr>
          <w:p w14:paraId="28E3C2B1" w14:textId="77777777" w:rsidR="003321F4" w:rsidRPr="000B693E" w:rsidRDefault="003321F4" w:rsidP="00312E88">
            <w:pPr>
              <w:jc w:val="right"/>
              <w:rPr>
                <w:rFonts w:cs="Arial"/>
                <w:sz w:val="18"/>
                <w:szCs w:val="18"/>
              </w:rPr>
            </w:pPr>
            <w:r w:rsidRPr="000B693E">
              <w:rPr>
                <w:rFonts w:cs="Arial"/>
                <w:sz w:val="18"/>
                <w:szCs w:val="18"/>
              </w:rPr>
              <w:t>-3.3%</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44B0C60F" w14:textId="77777777" w:rsidR="003321F4" w:rsidRPr="000B693E" w:rsidRDefault="003321F4" w:rsidP="00312E88">
            <w:pPr>
              <w:jc w:val="right"/>
              <w:rPr>
                <w:rFonts w:cs="Arial"/>
                <w:sz w:val="18"/>
                <w:szCs w:val="18"/>
              </w:rPr>
            </w:pPr>
            <w:r w:rsidRPr="000B693E">
              <w:rPr>
                <w:rFonts w:cs="Arial"/>
                <w:sz w:val="18"/>
                <w:szCs w:val="18"/>
              </w:rPr>
              <w:t>-8.1%</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4CAB0B69" w14:textId="77777777" w:rsidR="003321F4" w:rsidRPr="000B693E" w:rsidRDefault="003321F4" w:rsidP="00312E88">
            <w:pPr>
              <w:jc w:val="right"/>
              <w:rPr>
                <w:rFonts w:cs="Arial"/>
                <w:sz w:val="18"/>
                <w:szCs w:val="18"/>
              </w:rPr>
            </w:pPr>
            <w:r w:rsidRPr="000B693E">
              <w:rPr>
                <w:rFonts w:cs="Arial"/>
                <w:sz w:val="18"/>
                <w:szCs w:val="18"/>
              </w:rPr>
              <w:t>-2.0%</w:t>
            </w:r>
          </w:p>
        </w:tc>
      </w:tr>
    </w:tbl>
    <w:p w14:paraId="4936875D" w14:textId="3730C98B" w:rsidR="001C2276" w:rsidRDefault="001C2276" w:rsidP="000A5E71">
      <w:pPr>
        <w:keepNext/>
        <w:keepLines/>
        <w:spacing w:before="240"/>
      </w:pPr>
    </w:p>
    <w:p w14:paraId="4225CDBD" w14:textId="77777777" w:rsidR="00B97A2B" w:rsidRDefault="00B97A2B" w:rsidP="00261DEB">
      <w:pPr>
        <w:spacing w:before="240"/>
        <w:rPr>
          <w:b/>
          <w:i/>
          <w:color w:val="6B2976"/>
          <w:sz w:val="25"/>
        </w:rPr>
      </w:pPr>
    </w:p>
    <w:p w14:paraId="57B98B53" w14:textId="6FB30723" w:rsidR="00C956FE" w:rsidRDefault="001C2276" w:rsidP="00261DEB">
      <w:pPr>
        <w:spacing w:before="240"/>
        <w:rPr>
          <w:b/>
          <w:i/>
          <w:color w:val="6B2976"/>
          <w:sz w:val="25"/>
        </w:rPr>
      </w:pPr>
      <w:r>
        <w:rPr>
          <w:b/>
          <w:i/>
          <w:color w:val="6B2976"/>
          <w:sz w:val="25"/>
        </w:rPr>
        <w:lastRenderedPageBreak/>
        <w:t>New Participants</w:t>
      </w:r>
    </w:p>
    <w:p w14:paraId="58E91364" w14:textId="31BE3B90" w:rsidR="00261DEB" w:rsidRDefault="00261DEB" w:rsidP="00261DEB">
      <w:pPr>
        <w:spacing w:before="240"/>
      </w:pPr>
      <w:r w:rsidRPr="003321F4">
        <w:rPr>
          <w:u w:val="single"/>
        </w:rPr>
        <w:fldChar w:fldCharType="begin"/>
      </w:r>
      <w:r w:rsidRPr="003321F4">
        <w:rPr>
          <w:u w:val="single"/>
        </w:rPr>
        <w:instrText xml:space="preserve"> REF _Ref80431110 \h </w:instrText>
      </w:r>
      <w:r w:rsidR="003321F4">
        <w:rPr>
          <w:u w:val="single"/>
        </w:rPr>
        <w:instrText xml:space="preserve"> \* MERGEFORMAT </w:instrText>
      </w:r>
      <w:r w:rsidRPr="003321F4">
        <w:rPr>
          <w:u w:val="single"/>
        </w:rPr>
      </w:r>
      <w:r w:rsidRPr="003321F4">
        <w:rPr>
          <w:u w:val="single"/>
        </w:rPr>
        <w:fldChar w:fldCharType="separate"/>
      </w:r>
      <w:r w:rsidR="00E50032" w:rsidRPr="00E50032">
        <w:rPr>
          <w:u w:val="single"/>
        </w:rPr>
        <w:t xml:space="preserve">Table </w:t>
      </w:r>
      <w:r w:rsidR="00E50032" w:rsidRPr="00E50032">
        <w:rPr>
          <w:noProof/>
          <w:u w:val="single"/>
        </w:rPr>
        <w:t>41</w:t>
      </w:r>
      <w:r w:rsidRPr="003321F4">
        <w:rPr>
          <w:u w:val="single"/>
        </w:rPr>
        <w:fldChar w:fldCharType="end"/>
      </w:r>
      <w:r>
        <w:t xml:space="preserve"> </w:t>
      </w:r>
      <w:r w:rsidRPr="005726A8">
        <w:t xml:space="preserve">shows </w:t>
      </w:r>
      <w:r>
        <w:t>various scenarios in relation to new participants. Comments on specific scenarios are as follows:</w:t>
      </w:r>
    </w:p>
    <w:p w14:paraId="144A7DF4" w14:textId="1A98C93F" w:rsidR="003E731A" w:rsidRDefault="003E731A" w:rsidP="003E731A">
      <w:pPr>
        <w:pStyle w:val="ListParagraph"/>
        <w:numPr>
          <w:ilvl w:val="0"/>
          <w:numId w:val="22"/>
        </w:numPr>
        <w:spacing w:before="240"/>
      </w:pPr>
      <w:r>
        <w:t>Higher rates of new incidence (if long term rates are equal to the rate observed in the past year) add $1.</w:t>
      </w:r>
      <w:r w:rsidR="007364CC">
        <w:t>3</w:t>
      </w:r>
      <w:r w:rsidR="007D6333">
        <w:t xml:space="preserve"> billion</w:t>
      </w:r>
      <w:r>
        <w:t xml:space="preserve"> in 2024-25 and $6.</w:t>
      </w:r>
      <w:r w:rsidR="007364CC">
        <w:t>3</w:t>
      </w:r>
      <w:r w:rsidR="007D6333">
        <w:t xml:space="preserve"> billion</w:t>
      </w:r>
      <w:r>
        <w:t xml:space="preserve"> in 2029-30 </w:t>
      </w:r>
    </w:p>
    <w:p w14:paraId="107A3D7F" w14:textId="3104137A" w:rsidR="00C66C89" w:rsidRDefault="00E255CE" w:rsidP="003E731A">
      <w:pPr>
        <w:pStyle w:val="ListParagraph"/>
        <w:numPr>
          <w:ilvl w:val="0"/>
          <w:numId w:val="22"/>
        </w:numPr>
        <w:spacing w:before="240"/>
      </w:pPr>
      <w:r>
        <w:t xml:space="preserve">Slower transition to the Steady Intake Date </w:t>
      </w:r>
      <w:r w:rsidR="00C66C89">
        <w:t>(</w:t>
      </w:r>
      <w:r>
        <w:t>three additional years</w:t>
      </w:r>
      <w:r w:rsidR="00C66C89">
        <w:t>) add</w:t>
      </w:r>
      <w:r>
        <w:t>s</w:t>
      </w:r>
      <w:r w:rsidR="00C66C89">
        <w:t xml:space="preserve"> $</w:t>
      </w:r>
      <w:r>
        <w:t>0.7</w:t>
      </w:r>
      <w:r w:rsidR="007D6333">
        <w:t xml:space="preserve"> billion</w:t>
      </w:r>
      <w:r w:rsidR="00C66C89">
        <w:t xml:space="preserve"> in 2024-25 and $</w:t>
      </w:r>
      <w:r>
        <w:t>1.6</w:t>
      </w:r>
      <w:r w:rsidR="007D6333">
        <w:t xml:space="preserve"> billion</w:t>
      </w:r>
      <w:r w:rsidR="00C66C89">
        <w:t xml:space="preserve"> in 2029-30</w:t>
      </w:r>
    </w:p>
    <w:p w14:paraId="08CEA674" w14:textId="3F38209C" w:rsidR="003E731A" w:rsidRDefault="00C956FE" w:rsidP="003E731A">
      <w:pPr>
        <w:pStyle w:val="ListParagraph"/>
        <w:numPr>
          <w:ilvl w:val="0"/>
          <w:numId w:val="22"/>
        </w:numPr>
        <w:spacing w:before="240"/>
      </w:pPr>
      <w:r>
        <w:t xml:space="preserve">Higher </w:t>
      </w:r>
      <w:r w:rsidR="009F2CB7">
        <w:t xml:space="preserve">average payments for </w:t>
      </w:r>
      <w:r>
        <w:t xml:space="preserve">new entrants (if new entrants </w:t>
      </w:r>
      <w:r w:rsidR="006D5D2E">
        <w:t xml:space="preserve">have </w:t>
      </w:r>
      <w:r>
        <w:t xml:space="preserve">the same </w:t>
      </w:r>
      <w:r w:rsidR="006D5D2E">
        <w:t xml:space="preserve">average payment </w:t>
      </w:r>
      <w:r>
        <w:t xml:space="preserve">as existing participants in the same </w:t>
      </w:r>
      <w:r w:rsidR="00CD3984">
        <w:t>cohort</w:t>
      </w:r>
      <w:r>
        <w:t>)</w:t>
      </w:r>
      <w:r w:rsidRPr="00C956FE">
        <w:t xml:space="preserve"> </w:t>
      </w:r>
      <w:r>
        <w:t>adds $0.8</w:t>
      </w:r>
      <w:r w:rsidR="007D6333">
        <w:t xml:space="preserve"> billion</w:t>
      </w:r>
      <w:r>
        <w:t xml:space="preserve"> in 2024-25 and $1.9</w:t>
      </w:r>
      <w:r w:rsidR="007D6333">
        <w:t xml:space="preserve"> billion</w:t>
      </w:r>
      <w:r>
        <w:t xml:space="preserve"> in 2029-30</w:t>
      </w:r>
    </w:p>
    <w:p w14:paraId="1D8F1038" w14:textId="4B9C397E" w:rsidR="00502B9D" w:rsidRDefault="003E731A" w:rsidP="003E731A">
      <w:pPr>
        <w:pStyle w:val="ListParagraph"/>
        <w:numPr>
          <w:ilvl w:val="0"/>
          <w:numId w:val="22"/>
        </w:numPr>
        <w:spacing w:before="240"/>
      </w:pPr>
      <w:r>
        <w:t xml:space="preserve">Continuation of current rates of superimposed inflation </w:t>
      </w:r>
      <w:r w:rsidR="00C66C89">
        <w:t xml:space="preserve">for two years </w:t>
      </w:r>
      <w:r>
        <w:t>adds $</w:t>
      </w:r>
      <w:r w:rsidR="00C956FE">
        <w:t>1</w:t>
      </w:r>
      <w:r>
        <w:t>.1</w:t>
      </w:r>
      <w:r w:rsidR="007D6333">
        <w:t xml:space="preserve"> billion</w:t>
      </w:r>
      <w:r>
        <w:t xml:space="preserve"> in 2024-25 and $</w:t>
      </w:r>
      <w:r w:rsidR="00C956FE">
        <w:t>3.7</w:t>
      </w:r>
      <w:r w:rsidR="007D6333">
        <w:t xml:space="preserve"> billion</w:t>
      </w:r>
      <w:r>
        <w:t xml:space="preserve"> in 2029-30</w:t>
      </w:r>
    </w:p>
    <w:p w14:paraId="411D52F0" w14:textId="096D4AF1" w:rsidR="00E255CE" w:rsidRDefault="00E255CE" w:rsidP="003E731A">
      <w:pPr>
        <w:pStyle w:val="ListParagraph"/>
        <w:numPr>
          <w:ilvl w:val="0"/>
          <w:numId w:val="22"/>
        </w:numPr>
        <w:spacing w:before="240"/>
      </w:pPr>
      <w:r>
        <w:t xml:space="preserve">The projections </w:t>
      </w:r>
      <w:r w:rsidR="00AD7AF9">
        <w:t xml:space="preserve">of the cost of new entrants </w:t>
      </w:r>
      <w:r>
        <w:t>are relatively insensitive to variations in general population growth</w:t>
      </w:r>
      <w:r w:rsidR="00140035">
        <w:t xml:space="preserve"> </w:t>
      </w:r>
      <w:r w:rsidR="00AD7AF9">
        <w:t>and numbers of SIL participants</w:t>
      </w:r>
    </w:p>
    <w:p w14:paraId="16B5D925" w14:textId="12D21FE1" w:rsidR="000A5E71" w:rsidRDefault="000A5E71" w:rsidP="000A5E71">
      <w:pPr>
        <w:pStyle w:val="ListParagraph"/>
        <w:spacing w:before="240"/>
        <w:rPr>
          <w:i/>
        </w:rPr>
      </w:pPr>
    </w:p>
    <w:p w14:paraId="53880456" w14:textId="618CF76B" w:rsidR="00443C82" w:rsidRDefault="000A5E71" w:rsidP="00443C82">
      <w:pPr>
        <w:pStyle w:val="Tables"/>
        <w:keepLines/>
      </w:pPr>
      <w:bookmarkStart w:id="249" w:name="_Ref80431110"/>
      <w:r w:rsidRPr="00AA44C0">
        <w:t xml:space="preserve">Table </w:t>
      </w:r>
      <w:fldSimple w:instr=" SEQ Table \* ARABIC ">
        <w:r w:rsidR="00E50032">
          <w:rPr>
            <w:noProof/>
          </w:rPr>
          <w:t>41</w:t>
        </w:r>
      </w:fldSimple>
      <w:bookmarkEnd w:id="249"/>
      <w:r>
        <w:t xml:space="preserve"> Scenarios regarding new participants </w:t>
      </w:r>
      <w:r w:rsidRPr="00AA44C0">
        <w:t xml:space="preserve"> </w:t>
      </w:r>
    </w:p>
    <w:tbl>
      <w:tblPr>
        <w:tblW w:w="0" w:type="auto"/>
        <w:tblLook w:val="04A0" w:firstRow="1" w:lastRow="0" w:firstColumn="1" w:lastColumn="0" w:noHBand="0" w:noVBand="1"/>
      </w:tblPr>
      <w:tblGrid>
        <w:gridCol w:w="3400"/>
        <w:gridCol w:w="804"/>
        <w:gridCol w:w="804"/>
        <w:gridCol w:w="804"/>
        <w:gridCol w:w="804"/>
        <w:gridCol w:w="804"/>
        <w:gridCol w:w="1230"/>
      </w:tblGrid>
      <w:tr w:rsidR="00443C82" w:rsidRPr="000B693E" w14:paraId="2CDD968F" w14:textId="77777777" w:rsidTr="00443C82">
        <w:trPr>
          <w:trHeight w:hRule="exact" w:val="454"/>
          <w:tblHeader/>
        </w:trPr>
        <w:tc>
          <w:tcPr>
            <w:tcW w:w="0" w:type="auto"/>
            <w:tcBorders>
              <w:top w:val="single" w:sz="4" w:space="0" w:color="auto"/>
              <w:left w:val="single" w:sz="4" w:space="0" w:color="auto"/>
              <w:bottom w:val="single" w:sz="4" w:space="0" w:color="000000"/>
              <w:right w:val="single" w:sz="4" w:space="0" w:color="auto"/>
            </w:tcBorders>
            <w:shd w:val="clear" w:color="000000" w:fill="6B2F76"/>
            <w:hideMark/>
          </w:tcPr>
          <w:p w14:paraId="241B2F96" w14:textId="77777777" w:rsidR="00443C82" w:rsidRPr="000B693E" w:rsidRDefault="00443C82" w:rsidP="00312E88">
            <w:pPr>
              <w:rPr>
                <w:rFonts w:cs="Arial"/>
                <w:b/>
                <w:bCs/>
                <w:color w:val="FFFFFF"/>
                <w:sz w:val="16"/>
                <w:szCs w:val="16"/>
              </w:rPr>
            </w:pPr>
            <w:r w:rsidRPr="000B693E">
              <w:rPr>
                <w:rFonts w:cs="Arial"/>
                <w:b/>
                <w:bCs/>
                <w:color w:val="FFFFFF"/>
                <w:sz w:val="16"/>
                <w:szCs w:val="16"/>
              </w:rPr>
              <w:t>Scenarios - new participants ($m)</w:t>
            </w:r>
          </w:p>
        </w:tc>
        <w:tc>
          <w:tcPr>
            <w:tcW w:w="0" w:type="auto"/>
            <w:tcBorders>
              <w:top w:val="nil"/>
              <w:left w:val="nil"/>
              <w:bottom w:val="single" w:sz="4" w:space="0" w:color="auto"/>
              <w:right w:val="nil"/>
            </w:tcBorders>
            <w:shd w:val="clear" w:color="000000" w:fill="6B2F76"/>
            <w:noWrap/>
            <w:hideMark/>
          </w:tcPr>
          <w:p w14:paraId="41FD46E3" w14:textId="77777777" w:rsidR="00443C82" w:rsidRPr="000B693E" w:rsidRDefault="00443C82" w:rsidP="00312E88">
            <w:pPr>
              <w:jc w:val="right"/>
              <w:rPr>
                <w:rFonts w:cs="Arial"/>
                <w:b/>
                <w:bCs/>
                <w:color w:val="FFFFFF"/>
                <w:sz w:val="16"/>
                <w:szCs w:val="16"/>
              </w:rPr>
            </w:pPr>
            <w:r w:rsidRPr="000B693E">
              <w:rPr>
                <w:rFonts w:cs="Arial"/>
                <w:b/>
                <w:bCs/>
                <w:color w:val="FFFFFF"/>
                <w:sz w:val="16"/>
                <w:szCs w:val="16"/>
              </w:rPr>
              <w:t>2021-22</w:t>
            </w:r>
          </w:p>
        </w:tc>
        <w:tc>
          <w:tcPr>
            <w:tcW w:w="0" w:type="auto"/>
            <w:tcBorders>
              <w:top w:val="nil"/>
              <w:left w:val="nil"/>
              <w:bottom w:val="single" w:sz="4" w:space="0" w:color="auto"/>
              <w:right w:val="nil"/>
            </w:tcBorders>
            <w:shd w:val="clear" w:color="000000" w:fill="6B2F76"/>
            <w:noWrap/>
            <w:hideMark/>
          </w:tcPr>
          <w:p w14:paraId="2C95518D" w14:textId="77777777" w:rsidR="00443C82" w:rsidRPr="000B693E" w:rsidRDefault="00443C82" w:rsidP="00312E88">
            <w:pPr>
              <w:jc w:val="right"/>
              <w:rPr>
                <w:rFonts w:cs="Arial"/>
                <w:b/>
                <w:bCs/>
                <w:color w:val="FFFFFF"/>
                <w:sz w:val="16"/>
                <w:szCs w:val="16"/>
              </w:rPr>
            </w:pPr>
            <w:r w:rsidRPr="000B693E">
              <w:rPr>
                <w:rFonts w:cs="Arial"/>
                <w:b/>
                <w:bCs/>
                <w:color w:val="FFFFFF"/>
                <w:sz w:val="16"/>
                <w:szCs w:val="16"/>
              </w:rPr>
              <w:t>2022-23</w:t>
            </w:r>
          </w:p>
        </w:tc>
        <w:tc>
          <w:tcPr>
            <w:tcW w:w="0" w:type="auto"/>
            <w:tcBorders>
              <w:top w:val="nil"/>
              <w:left w:val="nil"/>
              <w:bottom w:val="single" w:sz="4" w:space="0" w:color="auto"/>
              <w:right w:val="nil"/>
            </w:tcBorders>
            <w:shd w:val="clear" w:color="000000" w:fill="6B2F76"/>
            <w:noWrap/>
            <w:hideMark/>
          </w:tcPr>
          <w:p w14:paraId="776654F4" w14:textId="77777777" w:rsidR="00443C82" w:rsidRPr="000B693E" w:rsidRDefault="00443C82" w:rsidP="00312E88">
            <w:pPr>
              <w:jc w:val="right"/>
              <w:rPr>
                <w:rFonts w:cs="Arial"/>
                <w:b/>
                <w:bCs/>
                <w:color w:val="FFFFFF"/>
                <w:sz w:val="16"/>
                <w:szCs w:val="16"/>
              </w:rPr>
            </w:pPr>
            <w:r w:rsidRPr="000B693E">
              <w:rPr>
                <w:rFonts w:cs="Arial"/>
                <w:b/>
                <w:bCs/>
                <w:color w:val="FFFFFF"/>
                <w:sz w:val="16"/>
                <w:szCs w:val="16"/>
              </w:rPr>
              <w:t>2023-24</w:t>
            </w:r>
          </w:p>
        </w:tc>
        <w:tc>
          <w:tcPr>
            <w:tcW w:w="0" w:type="auto"/>
            <w:tcBorders>
              <w:top w:val="nil"/>
              <w:left w:val="nil"/>
              <w:bottom w:val="single" w:sz="4" w:space="0" w:color="auto"/>
              <w:right w:val="nil"/>
            </w:tcBorders>
            <w:shd w:val="clear" w:color="000000" w:fill="6B2F76"/>
            <w:noWrap/>
            <w:hideMark/>
          </w:tcPr>
          <w:p w14:paraId="2BD60077" w14:textId="77777777" w:rsidR="00443C82" w:rsidRPr="000B693E" w:rsidRDefault="00443C82" w:rsidP="00312E88">
            <w:pPr>
              <w:jc w:val="right"/>
              <w:rPr>
                <w:rFonts w:cs="Arial"/>
                <w:b/>
                <w:bCs/>
                <w:color w:val="FFFFFF"/>
                <w:sz w:val="16"/>
                <w:szCs w:val="16"/>
              </w:rPr>
            </w:pPr>
            <w:r w:rsidRPr="000B693E">
              <w:rPr>
                <w:rFonts w:cs="Arial"/>
                <w:b/>
                <w:bCs/>
                <w:color w:val="FFFFFF"/>
                <w:sz w:val="16"/>
                <w:szCs w:val="16"/>
              </w:rPr>
              <w:t>2024-25</w:t>
            </w:r>
          </w:p>
        </w:tc>
        <w:tc>
          <w:tcPr>
            <w:tcW w:w="0" w:type="auto"/>
            <w:tcBorders>
              <w:top w:val="nil"/>
              <w:left w:val="dotted" w:sz="4" w:space="0" w:color="auto"/>
              <w:bottom w:val="single" w:sz="4" w:space="0" w:color="auto"/>
              <w:right w:val="single" w:sz="4" w:space="0" w:color="auto"/>
            </w:tcBorders>
            <w:shd w:val="clear" w:color="000000" w:fill="6B2F76"/>
            <w:noWrap/>
            <w:hideMark/>
          </w:tcPr>
          <w:p w14:paraId="4BDC9764" w14:textId="77777777" w:rsidR="00443C82" w:rsidRPr="000B693E" w:rsidRDefault="00443C82" w:rsidP="00312E88">
            <w:pPr>
              <w:jc w:val="right"/>
              <w:rPr>
                <w:rFonts w:cs="Arial"/>
                <w:b/>
                <w:bCs/>
                <w:color w:val="FFFFFF"/>
                <w:sz w:val="16"/>
                <w:szCs w:val="16"/>
              </w:rPr>
            </w:pPr>
            <w:r w:rsidRPr="000B693E">
              <w:rPr>
                <w:rFonts w:cs="Arial"/>
                <w:b/>
                <w:bCs/>
                <w:color w:val="FFFFFF"/>
                <w:sz w:val="16"/>
                <w:szCs w:val="16"/>
              </w:rPr>
              <w:t>2029-30</w:t>
            </w:r>
          </w:p>
        </w:tc>
        <w:tc>
          <w:tcPr>
            <w:tcW w:w="0" w:type="auto"/>
            <w:tcBorders>
              <w:top w:val="nil"/>
              <w:left w:val="nil"/>
              <w:bottom w:val="single" w:sz="4" w:space="0" w:color="auto"/>
              <w:right w:val="nil"/>
            </w:tcBorders>
            <w:shd w:val="clear" w:color="000000" w:fill="6B2F76"/>
            <w:hideMark/>
          </w:tcPr>
          <w:p w14:paraId="68A8C013" w14:textId="77777777" w:rsidR="00443C82" w:rsidRPr="000B693E" w:rsidRDefault="00443C82" w:rsidP="00312E88">
            <w:pPr>
              <w:jc w:val="right"/>
              <w:rPr>
                <w:rFonts w:cs="Arial"/>
                <w:b/>
                <w:bCs/>
                <w:color w:val="FFFFFF"/>
                <w:sz w:val="16"/>
                <w:szCs w:val="16"/>
              </w:rPr>
            </w:pPr>
            <w:r w:rsidRPr="000B693E">
              <w:rPr>
                <w:rFonts w:cs="Arial"/>
                <w:b/>
                <w:bCs/>
                <w:color w:val="FFFFFF"/>
                <w:sz w:val="16"/>
                <w:szCs w:val="16"/>
              </w:rPr>
              <w:t>Total 2021-25</w:t>
            </w:r>
          </w:p>
        </w:tc>
      </w:tr>
      <w:tr w:rsidR="00443C82" w:rsidRPr="000B693E" w14:paraId="61A63126" w14:textId="77777777" w:rsidTr="00443C82">
        <w:trPr>
          <w:trHeight w:hRule="exact" w:val="284"/>
        </w:trPr>
        <w:tc>
          <w:tcPr>
            <w:tcW w:w="0" w:type="auto"/>
            <w:tcBorders>
              <w:top w:val="nil"/>
              <w:left w:val="single" w:sz="4" w:space="0" w:color="auto"/>
              <w:bottom w:val="single" w:sz="8" w:space="0" w:color="auto"/>
              <w:right w:val="single" w:sz="4" w:space="0" w:color="auto"/>
            </w:tcBorders>
            <w:shd w:val="clear" w:color="auto" w:fill="auto"/>
            <w:noWrap/>
            <w:vAlign w:val="bottom"/>
            <w:hideMark/>
          </w:tcPr>
          <w:p w14:paraId="4BE5B6E1" w14:textId="77777777" w:rsidR="00443C82" w:rsidRPr="000B693E" w:rsidRDefault="00443C82" w:rsidP="00312E88">
            <w:pPr>
              <w:rPr>
                <w:rFonts w:cs="Arial"/>
                <w:b/>
                <w:bCs/>
                <w:sz w:val="16"/>
                <w:szCs w:val="16"/>
              </w:rPr>
            </w:pPr>
            <w:r w:rsidRPr="000B693E">
              <w:rPr>
                <w:rFonts w:cs="Arial"/>
                <w:b/>
                <w:bCs/>
                <w:sz w:val="16"/>
                <w:szCs w:val="16"/>
              </w:rPr>
              <w:t>Baseline Projection</w:t>
            </w:r>
          </w:p>
        </w:tc>
        <w:tc>
          <w:tcPr>
            <w:tcW w:w="0" w:type="auto"/>
            <w:tcBorders>
              <w:top w:val="nil"/>
              <w:left w:val="nil"/>
              <w:bottom w:val="single" w:sz="8" w:space="0" w:color="auto"/>
              <w:right w:val="nil"/>
            </w:tcBorders>
            <w:shd w:val="clear" w:color="auto" w:fill="auto"/>
            <w:noWrap/>
            <w:vAlign w:val="bottom"/>
            <w:hideMark/>
          </w:tcPr>
          <w:p w14:paraId="46A5A1CA" w14:textId="77777777" w:rsidR="00443C82" w:rsidRPr="000B693E" w:rsidRDefault="00443C82" w:rsidP="00312E88">
            <w:pPr>
              <w:jc w:val="right"/>
              <w:rPr>
                <w:rFonts w:cs="Arial"/>
                <w:sz w:val="16"/>
                <w:szCs w:val="16"/>
              </w:rPr>
            </w:pPr>
            <w:r w:rsidRPr="000B693E">
              <w:rPr>
                <w:rFonts w:cs="Arial"/>
                <w:sz w:val="16"/>
                <w:szCs w:val="16"/>
              </w:rPr>
              <w:t>1,306</w:t>
            </w:r>
          </w:p>
        </w:tc>
        <w:tc>
          <w:tcPr>
            <w:tcW w:w="0" w:type="auto"/>
            <w:tcBorders>
              <w:top w:val="nil"/>
              <w:left w:val="nil"/>
              <w:bottom w:val="single" w:sz="8" w:space="0" w:color="auto"/>
              <w:right w:val="nil"/>
            </w:tcBorders>
            <w:shd w:val="clear" w:color="auto" w:fill="auto"/>
            <w:noWrap/>
            <w:vAlign w:val="bottom"/>
            <w:hideMark/>
          </w:tcPr>
          <w:p w14:paraId="5B3CAA3B" w14:textId="77777777" w:rsidR="00443C82" w:rsidRPr="000B693E" w:rsidRDefault="00443C82" w:rsidP="00312E88">
            <w:pPr>
              <w:jc w:val="right"/>
              <w:rPr>
                <w:rFonts w:cs="Arial"/>
                <w:sz w:val="16"/>
                <w:szCs w:val="16"/>
              </w:rPr>
            </w:pPr>
            <w:r w:rsidRPr="000B693E">
              <w:rPr>
                <w:rFonts w:cs="Arial"/>
                <w:sz w:val="16"/>
                <w:szCs w:val="16"/>
              </w:rPr>
              <w:t>3,659</w:t>
            </w:r>
          </w:p>
        </w:tc>
        <w:tc>
          <w:tcPr>
            <w:tcW w:w="0" w:type="auto"/>
            <w:tcBorders>
              <w:top w:val="nil"/>
              <w:left w:val="nil"/>
              <w:bottom w:val="single" w:sz="8" w:space="0" w:color="auto"/>
              <w:right w:val="nil"/>
            </w:tcBorders>
            <w:shd w:val="clear" w:color="auto" w:fill="auto"/>
            <w:noWrap/>
            <w:vAlign w:val="bottom"/>
            <w:hideMark/>
          </w:tcPr>
          <w:p w14:paraId="415B9032" w14:textId="77777777" w:rsidR="00443C82" w:rsidRPr="000B693E" w:rsidRDefault="00443C82" w:rsidP="00312E88">
            <w:pPr>
              <w:jc w:val="right"/>
              <w:rPr>
                <w:rFonts w:cs="Arial"/>
                <w:sz w:val="16"/>
                <w:szCs w:val="16"/>
              </w:rPr>
            </w:pPr>
            <w:r w:rsidRPr="000B693E">
              <w:rPr>
                <w:rFonts w:cs="Arial"/>
                <w:sz w:val="16"/>
                <w:szCs w:val="16"/>
              </w:rPr>
              <w:t>6,238</w:t>
            </w:r>
          </w:p>
        </w:tc>
        <w:tc>
          <w:tcPr>
            <w:tcW w:w="0" w:type="auto"/>
            <w:tcBorders>
              <w:top w:val="nil"/>
              <w:left w:val="nil"/>
              <w:bottom w:val="single" w:sz="8" w:space="0" w:color="auto"/>
              <w:right w:val="nil"/>
            </w:tcBorders>
            <w:shd w:val="clear" w:color="auto" w:fill="auto"/>
            <w:noWrap/>
            <w:vAlign w:val="bottom"/>
            <w:hideMark/>
          </w:tcPr>
          <w:p w14:paraId="70B7A42E" w14:textId="77777777" w:rsidR="00443C82" w:rsidRPr="000B693E" w:rsidRDefault="00443C82" w:rsidP="00312E88">
            <w:pPr>
              <w:jc w:val="right"/>
              <w:rPr>
                <w:rFonts w:cs="Arial"/>
                <w:sz w:val="16"/>
                <w:szCs w:val="16"/>
              </w:rPr>
            </w:pPr>
            <w:r w:rsidRPr="000B693E">
              <w:rPr>
                <w:rFonts w:cs="Arial"/>
                <w:sz w:val="16"/>
                <w:szCs w:val="16"/>
              </w:rPr>
              <w:t>8,650</w:t>
            </w:r>
          </w:p>
        </w:tc>
        <w:tc>
          <w:tcPr>
            <w:tcW w:w="0" w:type="auto"/>
            <w:tcBorders>
              <w:top w:val="nil"/>
              <w:left w:val="dotted" w:sz="4" w:space="0" w:color="auto"/>
              <w:bottom w:val="single" w:sz="8" w:space="0" w:color="auto"/>
              <w:right w:val="single" w:sz="4" w:space="0" w:color="auto"/>
            </w:tcBorders>
            <w:shd w:val="clear" w:color="auto" w:fill="auto"/>
            <w:noWrap/>
            <w:vAlign w:val="bottom"/>
            <w:hideMark/>
          </w:tcPr>
          <w:p w14:paraId="502266A1" w14:textId="77777777" w:rsidR="00443C82" w:rsidRPr="000B693E" w:rsidRDefault="00443C82" w:rsidP="00312E88">
            <w:pPr>
              <w:jc w:val="right"/>
              <w:rPr>
                <w:rFonts w:cs="Arial"/>
                <w:sz w:val="16"/>
                <w:szCs w:val="16"/>
              </w:rPr>
            </w:pPr>
            <w:r w:rsidRPr="000B693E">
              <w:rPr>
                <w:rFonts w:cs="Arial"/>
                <w:sz w:val="16"/>
                <w:szCs w:val="16"/>
              </w:rPr>
              <w:t>21,738</w:t>
            </w:r>
          </w:p>
        </w:tc>
        <w:tc>
          <w:tcPr>
            <w:tcW w:w="0" w:type="auto"/>
            <w:tcBorders>
              <w:top w:val="nil"/>
              <w:left w:val="dotted" w:sz="4" w:space="0" w:color="auto"/>
              <w:bottom w:val="single" w:sz="8" w:space="0" w:color="auto"/>
              <w:right w:val="single" w:sz="4" w:space="0" w:color="auto"/>
            </w:tcBorders>
            <w:shd w:val="clear" w:color="auto" w:fill="auto"/>
            <w:noWrap/>
            <w:vAlign w:val="bottom"/>
            <w:hideMark/>
          </w:tcPr>
          <w:p w14:paraId="52C81A4F" w14:textId="77777777" w:rsidR="00443C82" w:rsidRPr="000B693E" w:rsidRDefault="00443C82" w:rsidP="00312E88">
            <w:pPr>
              <w:jc w:val="right"/>
              <w:rPr>
                <w:rFonts w:cs="Arial"/>
                <w:sz w:val="16"/>
                <w:szCs w:val="16"/>
              </w:rPr>
            </w:pPr>
            <w:r w:rsidRPr="000B693E">
              <w:rPr>
                <w:rFonts w:cs="Arial"/>
                <w:sz w:val="16"/>
                <w:szCs w:val="16"/>
              </w:rPr>
              <w:t>19,854</w:t>
            </w:r>
          </w:p>
        </w:tc>
      </w:tr>
      <w:tr w:rsidR="00443C82" w:rsidRPr="000B693E" w14:paraId="520657F0" w14:textId="77777777" w:rsidTr="00443C82">
        <w:trPr>
          <w:trHeight w:hRule="exact" w:val="284"/>
        </w:trPr>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3FB86096" w14:textId="77777777" w:rsidR="00443C82" w:rsidRPr="000B693E" w:rsidRDefault="00443C82" w:rsidP="00312E88">
            <w:pPr>
              <w:rPr>
                <w:rFonts w:cs="Arial"/>
                <w:b/>
                <w:bCs/>
                <w:sz w:val="16"/>
                <w:szCs w:val="16"/>
              </w:rPr>
            </w:pPr>
            <w:r w:rsidRPr="000B693E">
              <w:rPr>
                <w:rFonts w:cs="Arial"/>
                <w:b/>
                <w:bCs/>
                <w:sz w:val="16"/>
                <w:szCs w:val="16"/>
              </w:rPr>
              <w:t>Population (variances to baseline)</w:t>
            </w:r>
          </w:p>
        </w:tc>
        <w:tc>
          <w:tcPr>
            <w:tcW w:w="0" w:type="auto"/>
            <w:tcBorders>
              <w:top w:val="single" w:sz="4" w:space="0" w:color="auto"/>
              <w:left w:val="nil"/>
              <w:bottom w:val="single" w:sz="8" w:space="0" w:color="auto"/>
              <w:right w:val="nil"/>
            </w:tcBorders>
            <w:shd w:val="clear" w:color="auto" w:fill="auto"/>
            <w:noWrap/>
            <w:vAlign w:val="bottom"/>
            <w:hideMark/>
          </w:tcPr>
          <w:p w14:paraId="1F5E35E8" w14:textId="77777777" w:rsidR="00443C82" w:rsidRPr="000B693E" w:rsidRDefault="00443C82" w:rsidP="00312E88">
            <w:pPr>
              <w:jc w:val="right"/>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7C46CFD5" w14:textId="77777777" w:rsidR="00443C82" w:rsidRPr="000B693E" w:rsidRDefault="00443C82" w:rsidP="00312E88">
            <w:pPr>
              <w:jc w:val="right"/>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43A01451" w14:textId="77777777" w:rsidR="00443C82" w:rsidRPr="000B693E" w:rsidRDefault="00443C82" w:rsidP="00312E88">
            <w:pPr>
              <w:jc w:val="right"/>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6F383DAA" w14:textId="77777777" w:rsidR="00443C82" w:rsidRPr="000B693E" w:rsidRDefault="00443C82" w:rsidP="00312E88">
            <w:pPr>
              <w:jc w:val="right"/>
              <w:rPr>
                <w:rFonts w:cs="Arial"/>
                <w:sz w:val="16"/>
                <w:szCs w:val="16"/>
              </w:rPr>
            </w:pPr>
            <w:r w:rsidRPr="000B693E">
              <w:rPr>
                <w:rFonts w:cs="Arial"/>
                <w:sz w:val="16"/>
                <w:szCs w:val="16"/>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5BA2A595" w14:textId="77777777" w:rsidR="00443C82" w:rsidRPr="000B693E" w:rsidRDefault="00443C82" w:rsidP="00312E88">
            <w:pPr>
              <w:jc w:val="right"/>
              <w:rPr>
                <w:rFonts w:cs="Arial"/>
                <w:sz w:val="16"/>
                <w:szCs w:val="16"/>
              </w:rPr>
            </w:pPr>
            <w:r w:rsidRPr="000B693E">
              <w:rPr>
                <w:rFonts w:cs="Arial"/>
                <w:sz w:val="16"/>
                <w:szCs w:val="16"/>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09B724AB" w14:textId="77777777" w:rsidR="00443C82" w:rsidRPr="000B693E" w:rsidRDefault="00443C82" w:rsidP="00312E88">
            <w:pPr>
              <w:jc w:val="right"/>
              <w:rPr>
                <w:rFonts w:cs="Arial"/>
                <w:sz w:val="16"/>
                <w:szCs w:val="16"/>
              </w:rPr>
            </w:pPr>
            <w:r w:rsidRPr="000B693E">
              <w:rPr>
                <w:rFonts w:cs="Arial"/>
                <w:sz w:val="16"/>
                <w:szCs w:val="16"/>
              </w:rPr>
              <w:t> </w:t>
            </w:r>
          </w:p>
        </w:tc>
      </w:tr>
      <w:tr w:rsidR="00443C82" w:rsidRPr="000B693E" w14:paraId="12D467E7"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58686548" w14:textId="77777777" w:rsidR="00443C82" w:rsidRPr="000B693E" w:rsidRDefault="00443C82" w:rsidP="00312E88">
            <w:pPr>
              <w:rPr>
                <w:rFonts w:cs="Arial"/>
                <w:sz w:val="16"/>
                <w:szCs w:val="16"/>
              </w:rPr>
            </w:pPr>
            <w:r w:rsidRPr="000B693E">
              <w:rPr>
                <w:rFonts w:cs="Arial"/>
                <w:sz w:val="16"/>
                <w:szCs w:val="16"/>
              </w:rPr>
              <w:t>Lower long term new incidence assumptions</w:t>
            </w:r>
          </w:p>
        </w:tc>
        <w:tc>
          <w:tcPr>
            <w:tcW w:w="0" w:type="auto"/>
            <w:tcBorders>
              <w:top w:val="nil"/>
              <w:left w:val="nil"/>
              <w:bottom w:val="nil"/>
              <w:right w:val="nil"/>
            </w:tcBorders>
            <w:shd w:val="clear" w:color="auto" w:fill="auto"/>
            <w:noWrap/>
            <w:vAlign w:val="bottom"/>
            <w:hideMark/>
          </w:tcPr>
          <w:p w14:paraId="380265DB" w14:textId="77777777" w:rsidR="00443C82" w:rsidRPr="000B693E" w:rsidRDefault="00443C82" w:rsidP="00312E88">
            <w:pPr>
              <w:jc w:val="right"/>
              <w:rPr>
                <w:rFonts w:cs="Arial"/>
                <w:sz w:val="16"/>
                <w:szCs w:val="16"/>
              </w:rPr>
            </w:pPr>
            <w:r w:rsidRPr="000B693E">
              <w:rPr>
                <w:rFonts w:cs="Arial"/>
                <w:sz w:val="16"/>
                <w:szCs w:val="16"/>
              </w:rPr>
              <w:t>0</w:t>
            </w:r>
          </w:p>
        </w:tc>
        <w:tc>
          <w:tcPr>
            <w:tcW w:w="0" w:type="auto"/>
            <w:tcBorders>
              <w:top w:val="nil"/>
              <w:left w:val="nil"/>
              <w:bottom w:val="nil"/>
              <w:right w:val="nil"/>
            </w:tcBorders>
            <w:shd w:val="clear" w:color="auto" w:fill="auto"/>
            <w:noWrap/>
            <w:vAlign w:val="bottom"/>
            <w:hideMark/>
          </w:tcPr>
          <w:p w14:paraId="4F0A4F36" w14:textId="77777777" w:rsidR="00443C82" w:rsidRPr="000B693E" w:rsidRDefault="00443C82" w:rsidP="00312E88">
            <w:pPr>
              <w:jc w:val="right"/>
              <w:rPr>
                <w:rFonts w:cs="Arial"/>
                <w:sz w:val="16"/>
                <w:szCs w:val="16"/>
              </w:rPr>
            </w:pPr>
            <w:r w:rsidRPr="000B693E">
              <w:rPr>
                <w:rFonts w:cs="Arial"/>
                <w:sz w:val="16"/>
                <w:szCs w:val="16"/>
              </w:rPr>
              <w:t>0</w:t>
            </w:r>
          </w:p>
        </w:tc>
        <w:tc>
          <w:tcPr>
            <w:tcW w:w="0" w:type="auto"/>
            <w:tcBorders>
              <w:top w:val="nil"/>
              <w:left w:val="nil"/>
              <w:bottom w:val="nil"/>
              <w:right w:val="nil"/>
            </w:tcBorders>
            <w:shd w:val="clear" w:color="auto" w:fill="auto"/>
            <w:noWrap/>
            <w:vAlign w:val="bottom"/>
            <w:hideMark/>
          </w:tcPr>
          <w:p w14:paraId="598D9D7D" w14:textId="77777777" w:rsidR="00443C82" w:rsidRPr="000B693E" w:rsidRDefault="00443C82" w:rsidP="00312E88">
            <w:pPr>
              <w:jc w:val="right"/>
              <w:rPr>
                <w:rFonts w:cs="Arial"/>
                <w:sz w:val="16"/>
                <w:szCs w:val="16"/>
              </w:rPr>
            </w:pPr>
            <w:r w:rsidRPr="000B693E">
              <w:rPr>
                <w:rFonts w:cs="Arial"/>
                <w:sz w:val="16"/>
                <w:szCs w:val="16"/>
              </w:rPr>
              <w:t>0</w:t>
            </w:r>
          </w:p>
        </w:tc>
        <w:tc>
          <w:tcPr>
            <w:tcW w:w="0" w:type="auto"/>
            <w:tcBorders>
              <w:top w:val="nil"/>
              <w:left w:val="nil"/>
              <w:bottom w:val="nil"/>
              <w:right w:val="nil"/>
            </w:tcBorders>
            <w:shd w:val="clear" w:color="auto" w:fill="auto"/>
            <w:noWrap/>
            <w:vAlign w:val="bottom"/>
            <w:hideMark/>
          </w:tcPr>
          <w:p w14:paraId="28DF9A34" w14:textId="77777777" w:rsidR="00443C82" w:rsidRPr="000B693E" w:rsidRDefault="00443C82" w:rsidP="00312E88">
            <w:pPr>
              <w:jc w:val="right"/>
              <w:rPr>
                <w:rFonts w:cs="Arial"/>
                <w:sz w:val="16"/>
                <w:szCs w:val="16"/>
              </w:rPr>
            </w:pPr>
            <w:r w:rsidRPr="000B693E">
              <w:rPr>
                <w:rFonts w:cs="Arial"/>
                <w:sz w:val="16"/>
                <w:szCs w:val="16"/>
              </w:rPr>
              <w:t>0</w:t>
            </w:r>
          </w:p>
        </w:tc>
        <w:tc>
          <w:tcPr>
            <w:tcW w:w="0" w:type="auto"/>
            <w:tcBorders>
              <w:top w:val="nil"/>
              <w:left w:val="dotted" w:sz="4" w:space="0" w:color="auto"/>
              <w:bottom w:val="nil"/>
              <w:right w:val="single" w:sz="4" w:space="0" w:color="auto"/>
            </w:tcBorders>
            <w:shd w:val="clear" w:color="auto" w:fill="auto"/>
            <w:noWrap/>
            <w:vAlign w:val="bottom"/>
            <w:hideMark/>
          </w:tcPr>
          <w:p w14:paraId="252B95E8" w14:textId="77777777" w:rsidR="00443C82" w:rsidRPr="000B693E" w:rsidRDefault="00443C82" w:rsidP="00312E88">
            <w:pPr>
              <w:jc w:val="right"/>
              <w:rPr>
                <w:rFonts w:cs="Arial"/>
                <w:sz w:val="16"/>
                <w:szCs w:val="16"/>
              </w:rPr>
            </w:pPr>
            <w:r w:rsidRPr="000B693E">
              <w:rPr>
                <w:rFonts w:cs="Arial"/>
                <w:sz w:val="16"/>
                <w:szCs w:val="16"/>
              </w:rPr>
              <w:t>-1,789</w:t>
            </w:r>
          </w:p>
        </w:tc>
        <w:tc>
          <w:tcPr>
            <w:tcW w:w="0" w:type="auto"/>
            <w:tcBorders>
              <w:top w:val="nil"/>
              <w:left w:val="dotted" w:sz="4" w:space="0" w:color="auto"/>
              <w:bottom w:val="nil"/>
              <w:right w:val="single" w:sz="4" w:space="0" w:color="auto"/>
            </w:tcBorders>
            <w:shd w:val="clear" w:color="auto" w:fill="auto"/>
            <w:noWrap/>
            <w:vAlign w:val="bottom"/>
            <w:hideMark/>
          </w:tcPr>
          <w:p w14:paraId="1422B708" w14:textId="77777777" w:rsidR="00443C82" w:rsidRPr="000B693E" w:rsidRDefault="00443C82" w:rsidP="00312E88">
            <w:pPr>
              <w:jc w:val="right"/>
              <w:rPr>
                <w:rFonts w:cs="Arial"/>
                <w:sz w:val="16"/>
                <w:szCs w:val="16"/>
              </w:rPr>
            </w:pPr>
            <w:r w:rsidRPr="000B693E">
              <w:rPr>
                <w:rFonts w:cs="Arial"/>
                <w:sz w:val="16"/>
                <w:szCs w:val="16"/>
              </w:rPr>
              <w:t>0</w:t>
            </w:r>
          </w:p>
        </w:tc>
      </w:tr>
      <w:tr w:rsidR="00443C82" w:rsidRPr="000B693E" w14:paraId="7F0E82B4"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79A2D305" w14:textId="77777777" w:rsidR="00443C82" w:rsidRPr="000B693E" w:rsidRDefault="00443C82" w:rsidP="00312E88">
            <w:pPr>
              <w:rPr>
                <w:rFonts w:cs="Arial"/>
                <w:sz w:val="16"/>
                <w:szCs w:val="16"/>
              </w:rPr>
            </w:pPr>
            <w:r w:rsidRPr="000B693E">
              <w:rPr>
                <w:rFonts w:cs="Arial"/>
                <w:sz w:val="16"/>
                <w:szCs w:val="16"/>
              </w:rPr>
              <w:t>Higher long term new incidence assumptions</w:t>
            </w:r>
          </w:p>
        </w:tc>
        <w:tc>
          <w:tcPr>
            <w:tcW w:w="0" w:type="auto"/>
            <w:tcBorders>
              <w:top w:val="nil"/>
              <w:left w:val="nil"/>
              <w:bottom w:val="nil"/>
              <w:right w:val="nil"/>
            </w:tcBorders>
            <w:shd w:val="clear" w:color="auto" w:fill="auto"/>
            <w:noWrap/>
            <w:vAlign w:val="bottom"/>
            <w:hideMark/>
          </w:tcPr>
          <w:p w14:paraId="7686594E" w14:textId="77777777" w:rsidR="00443C82" w:rsidRPr="000B693E" w:rsidRDefault="00443C82" w:rsidP="00312E88">
            <w:pPr>
              <w:jc w:val="right"/>
              <w:rPr>
                <w:rFonts w:cs="Arial"/>
                <w:sz w:val="16"/>
                <w:szCs w:val="16"/>
              </w:rPr>
            </w:pPr>
            <w:r w:rsidRPr="000B693E">
              <w:rPr>
                <w:rFonts w:cs="Arial"/>
                <w:sz w:val="16"/>
                <w:szCs w:val="16"/>
              </w:rPr>
              <w:t>0</w:t>
            </w:r>
          </w:p>
        </w:tc>
        <w:tc>
          <w:tcPr>
            <w:tcW w:w="0" w:type="auto"/>
            <w:tcBorders>
              <w:top w:val="nil"/>
              <w:left w:val="nil"/>
              <w:bottom w:val="nil"/>
              <w:right w:val="nil"/>
            </w:tcBorders>
            <w:shd w:val="clear" w:color="auto" w:fill="auto"/>
            <w:noWrap/>
            <w:vAlign w:val="bottom"/>
            <w:hideMark/>
          </w:tcPr>
          <w:p w14:paraId="1B1CF428" w14:textId="77777777" w:rsidR="00443C82" w:rsidRPr="000B693E" w:rsidRDefault="00443C82" w:rsidP="00312E88">
            <w:pPr>
              <w:jc w:val="right"/>
              <w:rPr>
                <w:rFonts w:cs="Arial"/>
                <w:sz w:val="16"/>
                <w:szCs w:val="16"/>
              </w:rPr>
            </w:pPr>
            <w:r w:rsidRPr="000B693E">
              <w:rPr>
                <w:rFonts w:cs="Arial"/>
                <w:sz w:val="16"/>
                <w:szCs w:val="16"/>
              </w:rPr>
              <w:t>76</w:t>
            </w:r>
          </w:p>
        </w:tc>
        <w:tc>
          <w:tcPr>
            <w:tcW w:w="0" w:type="auto"/>
            <w:tcBorders>
              <w:top w:val="nil"/>
              <w:left w:val="nil"/>
              <w:bottom w:val="nil"/>
              <w:right w:val="nil"/>
            </w:tcBorders>
            <w:shd w:val="clear" w:color="auto" w:fill="auto"/>
            <w:noWrap/>
            <w:vAlign w:val="bottom"/>
            <w:hideMark/>
          </w:tcPr>
          <w:p w14:paraId="40CF6EE2" w14:textId="77777777" w:rsidR="00443C82" w:rsidRPr="000B693E" w:rsidRDefault="00443C82" w:rsidP="00312E88">
            <w:pPr>
              <w:jc w:val="right"/>
              <w:rPr>
                <w:rFonts w:cs="Arial"/>
                <w:sz w:val="16"/>
                <w:szCs w:val="16"/>
              </w:rPr>
            </w:pPr>
            <w:r w:rsidRPr="000B693E">
              <w:rPr>
                <w:rFonts w:cs="Arial"/>
                <w:sz w:val="16"/>
                <w:szCs w:val="16"/>
              </w:rPr>
              <w:t>500</w:t>
            </w:r>
          </w:p>
        </w:tc>
        <w:tc>
          <w:tcPr>
            <w:tcW w:w="0" w:type="auto"/>
            <w:tcBorders>
              <w:top w:val="nil"/>
              <w:left w:val="nil"/>
              <w:bottom w:val="nil"/>
              <w:right w:val="nil"/>
            </w:tcBorders>
            <w:shd w:val="clear" w:color="auto" w:fill="auto"/>
            <w:noWrap/>
            <w:vAlign w:val="bottom"/>
            <w:hideMark/>
          </w:tcPr>
          <w:p w14:paraId="70DDB176" w14:textId="77777777" w:rsidR="00443C82" w:rsidRPr="000B693E" w:rsidRDefault="00443C82" w:rsidP="00312E88">
            <w:pPr>
              <w:jc w:val="right"/>
              <w:rPr>
                <w:rFonts w:cs="Arial"/>
                <w:sz w:val="16"/>
                <w:szCs w:val="16"/>
              </w:rPr>
            </w:pPr>
            <w:r w:rsidRPr="000B693E">
              <w:rPr>
                <w:rFonts w:cs="Arial"/>
                <w:sz w:val="16"/>
                <w:szCs w:val="16"/>
              </w:rPr>
              <w:t>1,253</w:t>
            </w:r>
          </w:p>
        </w:tc>
        <w:tc>
          <w:tcPr>
            <w:tcW w:w="0" w:type="auto"/>
            <w:tcBorders>
              <w:top w:val="nil"/>
              <w:left w:val="dotted" w:sz="4" w:space="0" w:color="auto"/>
              <w:bottom w:val="nil"/>
              <w:right w:val="single" w:sz="4" w:space="0" w:color="auto"/>
            </w:tcBorders>
            <w:shd w:val="clear" w:color="auto" w:fill="auto"/>
            <w:noWrap/>
            <w:vAlign w:val="bottom"/>
            <w:hideMark/>
          </w:tcPr>
          <w:p w14:paraId="03EDE226" w14:textId="77777777" w:rsidR="00443C82" w:rsidRPr="000B693E" w:rsidRDefault="00443C82" w:rsidP="00312E88">
            <w:pPr>
              <w:jc w:val="right"/>
              <w:rPr>
                <w:rFonts w:cs="Arial"/>
                <w:sz w:val="16"/>
                <w:szCs w:val="16"/>
              </w:rPr>
            </w:pPr>
            <w:r w:rsidRPr="000B693E">
              <w:rPr>
                <w:rFonts w:cs="Arial"/>
                <w:sz w:val="16"/>
                <w:szCs w:val="16"/>
              </w:rPr>
              <w:t>6,272</w:t>
            </w:r>
          </w:p>
        </w:tc>
        <w:tc>
          <w:tcPr>
            <w:tcW w:w="0" w:type="auto"/>
            <w:tcBorders>
              <w:top w:val="nil"/>
              <w:left w:val="dotted" w:sz="4" w:space="0" w:color="auto"/>
              <w:bottom w:val="nil"/>
              <w:right w:val="single" w:sz="4" w:space="0" w:color="auto"/>
            </w:tcBorders>
            <w:shd w:val="clear" w:color="auto" w:fill="auto"/>
            <w:noWrap/>
            <w:vAlign w:val="bottom"/>
            <w:hideMark/>
          </w:tcPr>
          <w:p w14:paraId="58097D08" w14:textId="77777777" w:rsidR="00443C82" w:rsidRPr="000B693E" w:rsidRDefault="00443C82" w:rsidP="00312E88">
            <w:pPr>
              <w:jc w:val="right"/>
              <w:rPr>
                <w:rFonts w:cs="Arial"/>
                <w:sz w:val="16"/>
                <w:szCs w:val="16"/>
              </w:rPr>
            </w:pPr>
            <w:r w:rsidRPr="000B693E">
              <w:rPr>
                <w:rFonts w:cs="Arial"/>
                <w:sz w:val="16"/>
                <w:szCs w:val="16"/>
              </w:rPr>
              <w:t>1,828</w:t>
            </w:r>
          </w:p>
        </w:tc>
      </w:tr>
      <w:tr w:rsidR="00443C82" w:rsidRPr="000B693E" w14:paraId="0BBF04BA"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6AB93BAF" w14:textId="77777777" w:rsidR="00443C82" w:rsidRPr="000B693E" w:rsidRDefault="00443C82" w:rsidP="00312E88">
            <w:pPr>
              <w:rPr>
                <w:rFonts w:cs="Arial"/>
                <w:sz w:val="16"/>
                <w:szCs w:val="16"/>
              </w:rPr>
            </w:pPr>
            <w:r w:rsidRPr="000B693E">
              <w:rPr>
                <w:rFonts w:cs="Arial"/>
                <w:sz w:val="16"/>
                <w:szCs w:val="16"/>
              </w:rPr>
              <w:t>Lower general population growth</w:t>
            </w:r>
          </w:p>
        </w:tc>
        <w:tc>
          <w:tcPr>
            <w:tcW w:w="0" w:type="auto"/>
            <w:tcBorders>
              <w:top w:val="nil"/>
              <w:left w:val="nil"/>
              <w:bottom w:val="nil"/>
              <w:right w:val="nil"/>
            </w:tcBorders>
            <w:shd w:val="clear" w:color="auto" w:fill="auto"/>
            <w:noWrap/>
            <w:vAlign w:val="bottom"/>
            <w:hideMark/>
          </w:tcPr>
          <w:p w14:paraId="5F3391FF" w14:textId="77777777" w:rsidR="00443C82" w:rsidRPr="000B693E" w:rsidRDefault="00443C82" w:rsidP="00312E88">
            <w:pPr>
              <w:jc w:val="right"/>
              <w:rPr>
                <w:rFonts w:cs="Arial"/>
                <w:sz w:val="16"/>
                <w:szCs w:val="16"/>
              </w:rPr>
            </w:pPr>
            <w:r w:rsidRPr="000B693E">
              <w:rPr>
                <w:rFonts w:cs="Arial"/>
                <w:sz w:val="16"/>
                <w:szCs w:val="16"/>
              </w:rPr>
              <w:t>0</w:t>
            </w:r>
          </w:p>
        </w:tc>
        <w:tc>
          <w:tcPr>
            <w:tcW w:w="0" w:type="auto"/>
            <w:tcBorders>
              <w:top w:val="nil"/>
              <w:left w:val="nil"/>
              <w:bottom w:val="nil"/>
              <w:right w:val="nil"/>
            </w:tcBorders>
            <w:shd w:val="clear" w:color="auto" w:fill="auto"/>
            <w:noWrap/>
            <w:vAlign w:val="bottom"/>
            <w:hideMark/>
          </w:tcPr>
          <w:p w14:paraId="5874D347" w14:textId="77777777" w:rsidR="00443C82" w:rsidRPr="000B693E" w:rsidRDefault="00443C82" w:rsidP="00312E88">
            <w:pPr>
              <w:jc w:val="right"/>
              <w:rPr>
                <w:rFonts w:cs="Arial"/>
                <w:sz w:val="16"/>
                <w:szCs w:val="16"/>
              </w:rPr>
            </w:pPr>
            <w:r w:rsidRPr="000B693E">
              <w:rPr>
                <w:rFonts w:cs="Arial"/>
                <w:sz w:val="16"/>
                <w:szCs w:val="16"/>
              </w:rPr>
              <w:t>-4</w:t>
            </w:r>
          </w:p>
        </w:tc>
        <w:tc>
          <w:tcPr>
            <w:tcW w:w="0" w:type="auto"/>
            <w:tcBorders>
              <w:top w:val="nil"/>
              <w:left w:val="nil"/>
              <w:bottom w:val="nil"/>
              <w:right w:val="nil"/>
            </w:tcBorders>
            <w:shd w:val="clear" w:color="auto" w:fill="auto"/>
            <w:noWrap/>
            <w:vAlign w:val="bottom"/>
            <w:hideMark/>
          </w:tcPr>
          <w:p w14:paraId="14DA3D5C" w14:textId="77777777" w:rsidR="00443C82" w:rsidRPr="000B693E" w:rsidRDefault="00443C82" w:rsidP="00312E88">
            <w:pPr>
              <w:jc w:val="right"/>
              <w:rPr>
                <w:rFonts w:cs="Arial"/>
                <w:sz w:val="16"/>
                <w:szCs w:val="16"/>
              </w:rPr>
            </w:pPr>
            <w:r w:rsidRPr="000B693E">
              <w:rPr>
                <w:rFonts w:cs="Arial"/>
                <w:sz w:val="16"/>
                <w:szCs w:val="16"/>
              </w:rPr>
              <w:t>-17</w:t>
            </w:r>
          </w:p>
        </w:tc>
        <w:tc>
          <w:tcPr>
            <w:tcW w:w="0" w:type="auto"/>
            <w:tcBorders>
              <w:top w:val="nil"/>
              <w:left w:val="nil"/>
              <w:bottom w:val="nil"/>
              <w:right w:val="nil"/>
            </w:tcBorders>
            <w:shd w:val="clear" w:color="auto" w:fill="auto"/>
            <w:noWrap/>
            <w:vAlign w:val="bottom"/>
            <w:hideMark/>
          </w:tcPr>
          <w:p w14:paraId="1370C1D9" w14:textId="77777777" w:rsidR="00443C82" w:rsidRPr="000B693E" w:rsidRDefault="00443C82" w:rsidP="00312E88">
            <w:pPr>
              <w:jc w:val="right"/>
              <w:rPr>
                <w:rFonts w:cs="Arial"/>
                <w:sz w:val="16"/>
                <w:szCs w:val="16"/>
              </w:rPr>
            </w:pPr>
            <w:r w:rsidRPr="000B693E">
              <w:rPr>
                <w:rFonts w:cs="Arial"/>
                <w:sz w:val="16"/>
                <w:szCs w:val="16"/>
              </w:rPr>
              <w:t>-35</w:t>
            </w:r>
          </w:p>
        </w:tc>
        <w:tc>
          <w:tcPr>
            <w:tcW w:w="0" w:type="auto"/>
            <w:tcBorders>
              <w:top w:val="nil"/>
              <w:left w:val="dotted" w:sz="4" w:space="0" w:color="auto"/>
              <w:bottom w:val="nil"/>
              <w:right w:val="single" w:sz="4" w:space="0" w:color="auto"/>
            </w:tcBorders>
            <w:shd w:val="clear" w:color="auto" w:fill="auto"/>
            <w:noWrap/>
            <w:vAlign w:val="bottom"/>
            <w:hideMark/>
          </w:tcPr>
          <w:p w14:paraId="67C969FC" w14:textId="77777777" w:rsidR="00443C82" w:rsidRPr="000B693E" w:rsidRDefault="00443C82" w:rsidP="00312E88">
            <w:pPr>
              <w:jc w:val="right"/>
              <w:rPr>
                <w:rFonts w:cs="Arial"/>
                <w:sz w:val="16"/>
                <w:szCs w:val="16"/>
              </w:rPr>
            </w:pPr>
            <w:r w:rsidRPr="000B693E">
              <w:rPr>
                <w:rFonts w:cs="Arial"/>
                <w:sz w:val="16"/>
                <w:szCs w:val="16"/>
              </w:rPr>
              <w:t>-171</w:t>
            </w:r>
          </w:p>
        </w:tc>
        <w:tc>
          <w:tcPr>
            <w:tcW w:w="0" w:type="auto"/>
            <w:tcBorders>
              <w:top w:val="nil"/>
              <w:left w:val="dotted" w:sz="4" w:space="0" w:color="auto"/>
              <w:bottom w:val="nil"/>
              <w:right w:val="single" w:sz="4" w:space="0" w:color="auto"/>
            </w:tcBorders>
            <w:shd w:val="clear" w:color="auto" w:fill="auto"/>
            <w:noWrap/>
            <w:vAlign w:val="bottom"/>
            <w:hideMark/>
          </w:tcPr>
          <w:p w14:paraId="34F3E5AE" w14:textId="77777777" w:rsidR="00443C82" w:rsidRPr="000B693E" w:rsidRDefault="00443C82" w:rsidP="00312E88">
            <w:pPr>
              <w:jc w:val="right"/>
              <w:rPr>
                <w:rFonts w:cs="Arial"/>
                <w:sz w:val="16"/>
                <w:szCs w:val="16"/>
              </w:rPr>
            </w:pPr>
            <w:r w:rsidRPr="000B693E">
              <w:rPr>
                <w:rFonts w:cs="Arial"/>
                <w:sz w:val="16"/>
                <w:szCs w:val="16"/>
              </w:rPr>
              <w:t>-56</w:t>
            </w:r>
          </w:p>
        </w:tc>
      </w:tr>
      <w:tr w:rsidR="00443C82" w:rsidRPr="000B693E" w14:paraId="6D753AEE"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3A25161B" w14:textId="77777777" w:rsidR="00443C82" w:rsidRPr="000B693E" w:rsidRDefault="00443C82" w:rsidP="00312E88">
            <w:pPr>
              <w:rPr>
                <w:rFonts w:cs="Arial"/>
                <w:sz w:val="16"/>
                <w:szCs w:val="16"/>
              </w:rPr>
            </w:pPr>
            <w:r w:rsidRPr="000B693E">
              <w:rPr>
                <w:rFonts w:cs="Arial"/>
                <w:sz w:val="16"/>
                <w:szCs w:val="16"/>
              </w:rPr>
              <w:t>Higher SIL numbers (+500 p.a.)</w:t>
            </w:r>
          </w:p>
        </w:tc>
        <w:tc>
          <w:tcPr>
            <w:tcW w:w="0" w:type="auto"/>
            <w:tcBorders>
              <w:top w:val="nil"/>
              <w:left w:val="nil"/>
              <w:bottom w:val="nil"/>
              <w:right w:val="nil"/>
            </w:tcBorders>
            <w:shd w:val="clear" w:color="000000" w:fill="auto"/>
            <w:noWrap/>
            <w:vAlign w:val="bottom"/>
            <w:hideMark/>
          </w:tcPr>
          <w:p w14:paraId="3BCDEF0A" w14:textId="77777777" w:rsidR="00443C82" w:rsidRPr="000B693E" w:rsidRDefault="00443C82" w:rsidP="00312E88">
            <w:pPr>
              <w:jc w:val="right"/>
              <w:rPr>
                <w:rFonts w:cs="Arial"/>
                <w:sz w:val="16"/>
                <w:szCs w:val="16"/>
              </w:rPr>
            </w:pPr>
            <w:r w:rsidRPr="000B693E">
              <w:rPr>
                <w:rFonts w:cs="Arial"/>
                <w:sz w:val="16"/>
                <w:szCs w:val="16"/>
              </w:rPr>
              <w:t>15</w:t>
            </w:r>
          </w:p>
        </w:tc>
        <w:tc>
          <w:tcPr>
            <w:tcW w:w="0" w:type="auto"/>
            <w:tcBorders>
              <w:top w:val="nil"/>
              <w:left w:val="nil"/>
              <w:bottom w:val="nil"/>
              <w:right w:val="nil"/>
            </w:tcBorders>
            <w:shd w:val="clear" w:color="000000" w:fill="auto"/>
            <w:noWrap/>
            <w:vAlign w:val="bottom"/>
            <w:hideMark/>
          </w:tcPr>
          <w:p w14:paraId="66581551" w14:textId="77777777" w:rsidR="00443C82" w:rsidRPr="000B693E" w:rsidRDefault="00443C82" w:rsidP="00312E88">
            <w:pPr>
              <w:jc w:val="right"/>
              <w:rPr>
                <w:rFonts w:cs="Arial"/>
                <w:sz w:val="16"/>
                <w:szCs w:val="16"/>
              </w:rPr>
            </w:pPr>
            <w:r w:rsidRPr="000B693E">
              <w:rPr>
                <w:rFonts w:cs="Arial"/>
                <w:sz w:val="16"/>
                <w:szCs w:val="16"/>
              </w:rPr>
              <w:t>23</w:t>
            </w:r>
          </w:p>
        </w:tc>
        <w:tc>
          <w:tcPr>
            <w:tcW w:w="0" w:type="auto"/>
            <w:tcBorders>
              <w:top w:val="nil"/>
              <w:left w:val="nil"/>
              <w:bottom w:val="nil"/>
              <w:right w:val="nil"/>
            </w:tcBorders>
            <w:shd w:val="clear" w:color="000000" w:fill="auto"/>
            <w:noWrap/>
            <w:vAlign w:val="bottom"/>
            <w:hideMark/>
          </w:tcPr>
          <w:p w14:paraId="5C36B797" w14:textId="77777777" w:rsidR="00443C82" w:rsidRPr="000B693E" w:rsidRDefault="00443C82" w:rsidP="00312E88">
            <w:pPr>
              <w:jc w:val="right"/>
              <w:rPr>
                <w:rFonts w:cs="Arial"/>
                <w:sz w:val="16"/>
                <w:szCs w:val="16"/>
              </w:rPr>
            </w:pPr>
            <w:r w:rsidRPr="000B693E">
              <w:rPr>
                <w:rFonts w:cs="Arial"/>
                <w:sz w:val="16"/>
                <w:szCs w:val="16"/>
              </w:rPr>
              <w:t>40</w:t>
            </w:r>
          </w:p>
        </w:tc>
        <w:tc>
          <w:tcPr>
            <w:tcW w:w="0" w:type="auto"/>
            <w:tcBorders>
              <w:top w:val="nil"/>
              <w:left w:val="nil"/>
              <w:bottom w:val="nil"/>
              <w:right w:val="nil"/>
            </w:tcBorders>
            <w:shd w:val="clear" w:color="000000" w:fill="auto"/>
            <w:noWrap/>
            <w:vAlign w:val="bottom"/>
            <w:hideMark/>
          </w:tcPr>
          <w:p w14:paraId="3A2DFCAA" w14:textId="77777777" w:rsidR="00443C82" w:rsidRPr="000B693E" w:rsidRDefault="00443C82" w:rsidP="00312E88">
            <w:pPr>
              <w:jc w:val="right"/>
              <w:rPr>
                <w:rFonts w:cs="Arial"/>
                <w:sz w:val="16"/>
                <w:szCs w:val="16"/>
              </w:rPr>
            </w:pPr>
            <w:r w:rsidRPr="000B693E">
              <w:rPr>
                <w:rFonts w:cs="Arial"/>
                <w:sz w:val="16"/>
                <w:szCs w:val="16"/>
              </w:rPr>
              <w:t>58</w:t>
            </w:r>
          </w:p>
        </w:tc>
        <w:tc>
          <w:tcPr>
            <w:tcW w:w="0" w:type="auto"/>
            <w:tcBorders>
              <w:top w:val="nil"/>
              <w:left w:val="dotted" w:sz="4" w:space="0" w:color="auto"/>
              <w:bottom w:val="nil"/>
              <w:right w:val="single" w:sz="4" w:space="0" w:color="auto"/>
            </w:tcBorders>
            <w:shd w:val="clear" w:color="000000" w:fill="auto"/>
            <w:noWrap/>
            <w:vAlign w:val="bottom"/>
            <w:hideMark/>
          </w:tcPr>
          <w:p w14:paraId="1142D350" w14:textId="77777777" w:rsidR="00443C82" w:rsidRPr="000B693E" w:rsidRDefault="00443C82" w:rsidP="00312E88">
            <w:pPr>
              <w:jc w:val="right"/>
              <w:rPr>
                <w:rFonts w:cs="Arial"/>
                <w:sz w:val="16"/>
                <w:szCs w:val="16"/>
              </w:rPr>
            </w:pPr>
            <w:r w:rsidRPr="000B693E">
              <w:rPr>
                <w:rFonts w:cs="Arial"/>
                <w:sz w:val="16"/>
                <w:szCs w:val="16"/>
              </w:rPr>
              <w:t>169</w:t>
            </w:r>
          </w:p>
        </w:tc>
        <w:tc>
          <w:tcPr>
            <w:tcW w:w="0" w:type="auto"/>
            <w:tcBorders>
              <w:top w:val="nil"/>
              <w:left w:val="dotted" w:sz="4" w:space="0" w:color="auto"/>
              <w:bottom w:val="nil"/>
              <w:right w:val="single" w:sz="4" w:space="0" w:color="auto"/>
            </w:tcBorders>
            <w:shd w:val="clear" w:color="000000" w:fill="auto"/>
            <w:noWrap/>
            <w:vAlign w:val="bottom"/>
            <w:hideMark/>
          </w:tcPr>
          <w:p w14:paraId="4BB15777" w14:textId="77777777" w:rsidR="00443C82" w:rsidRPr="000B693E" w:rsidRDefault="00443C82" w:rsidP="00312E88">
            <w:pPr>
              <w:jc w:val="right"/>
              <w:rPr>
                <w:rFonts w:cs="Arial"/>
                <w:sz w:val="16"/>
                <w:szCs w:val="16"/>
              </w:rPr>
            </w:pPr>
            <w:r w:rsidRPr="000B693E">
              <w:rPr>
                <w:rFonts w:cs="Arial"/>
                <w:sz w:val="16"/>
                <w:szCs w:val="16"/>
              </w:rPr>
              <w:t>137</w:t>
            </w:r>
          </w:p>
        </w:tc>
      </w:tr>
      <w:tr w:rsidR="00443C82" w:rsidRPr="000B693E" w14:paraId="5A10B91A"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4562C056" w14:textId="77777777" w:rsidR="00443C82" w:rsidRPr="000B693E" w:rsidRDefault="00443C82" w:rsidP="00312E88">
            <w:pPr>
              <w:rPr>
                <w:rFonts w:cs="Arial"/>
                <w:sz w:val="16"/>
                <w:szCs w:val="16"/>
              </w:rPr>
            </w:pPr>
            <w:r w:rsidRPr="000B693E">
              <w:rPr>
                <w:rFonts w:cs="Arial"/>
                <w:sz w:val="16"/>
                <w:szCs w:val="16"/>
              </w:rPr>
              <w:t>Lower SIL numbers (-200 p.a.)</w:t>
            </w:r>
          </w:p>
        </w:tc>
        <w:tc>
          <w:tcPr>
            <w:tcW w:w="0" w:type="auto"/>
            <w:tcBorders>
              <w:top w:val="nil"/>
              <w:left w:val="nil"/>
              <w:bottom w:val="nil"/>
              <w:right w:val="nil"/>
            </w:tcBorders>
            <w:shd w:val="clear" w:color="000000" w:fill="auto"/>
            <w:noWrap/>
            <w:vAlign w:val="bottom"/>
            <w:hideMark/>
          </w:tcPr>
          <w:p w14:paraId="78797117" w14:textId="77777777" w:rsidR="00443C82" w:rsidRPr="000B693E" w:rsidRDefault="00443C82" w:rsidP="00312E88">
            <w:pPr>
              <w:jc w:val="right"/>
              <w:rPr>
                <w:rFonts w:cs="Arial"/>
                <w:sz w:val="16"/>
                <w:szCs w:val="16"/>
              </w:rPr>
            </w:pPr>
            <w:r w:rsidRPr="000B693E">
              <w:rPr>
                <w:rFonts w:cs="Arial"/>
                <w:sz w:val="16"/>
                <w:szCs w:val="16"/>
              </w:rPr>
              <w:t>-6</w:t>
            </w:r>
          </w:p>
        </w:tc>
        <w:tc>
          <w:tcPr>
            <w:tcW w:w="0" w:type="auto"/>
            <w:tcBorders>
              <w:top w:val="nil"/>
              <w:left w:val="nil"/>
              <w:bottom w:val="nil"/>
              <w:right w:val="nil"/>
            </w:tcBorders>
            <w:shd w:val="clear" w:color="000000" w:fill="auto"/>
            <w:noWrap/>
            <w:vAlign w:val="bottom"/>
            <w:hideMark/>
          </w:tcPr>
          <w:p w14:paraId="65F474FE" w14:textId="77777777" w:rsidR="00443C82" w:rsidRPr="000B693E" w:rsidRDefault="00443C82" w:rsidP="00312E88">
            <w:pPr>
              <w:jc w:val="right"/>
              <w:rPr>
                <w:rFonts w:cs="Arial"/>
                <w:sz w:val="16"/>
                <w:szCs w:val="16"/>
              </w:rPr>
            </w:pPr>
            <w:r w:rsidRPr="000B693E">
              <w:rPr>
                <w:rFonts w:cs="Arial"/>
                <w:sz w:val="16"/>
                <w:szCs w:val="16"/>
              </w:rPr>
              <w:t>-9</w:t>
            </w:r>
          </w:p>
        </w:tc>
        <w:tc>
          <w:tcPr>
            <w:tcW w:w="0" w:type="auto"/>
            <w:tcBorders>
              <w:top w:val="nil"/>
              <w:left w:val="nil"/>
              <w:bottom w:val="nil"/>
              <w:right w:val="nil"/>
            </w:tcBorders>
            <w:shd w:val="clear" w:color="000000" w:fill="auto"/>
            <w:noWrap/>
            <w:vAlign w:val="bottom"/>
            <w:hideMark/>
          </w:tcPr>
          <w:p w14:paraId="6E391501" w14:textId="77777777" w:rsidR="00443C82" w:rsidRPr="000B693E" w:rsidRDefault="00443C82" w:rsidP="00312E88">
            <w:pPr>
              <w:jc w:val="right"/>
              <w:rPr>
                <w:rFonts w:cs="Arial"/>
                <w:sz w:val="16"/>
                <w:szCs w:val="16"/>
              </w:rPr>
            </w:pPr>
            <w:r w:rsidRPr="000B693E">
              <w:rPr>
                <w:rFonts w:cs="Arial"/>
                <w:sz w:val="16"/>
                <w:szCs w:val="16"/>
              </w:rPr>
              <w:t>-16</w:t>
            </w:r>
          </w:p>
        </w:tc>
        <w:tc>
          <w:tcPr>
            <w:tcW w:w="0" w:type="auto"/>
            <w:tcBorders>
              <w:top w:val="nil"/>
              <w:left w:val="nil"/>
              <w:bottom w:val="nil"/>
              <w:right w:val="nil"/>
            </w:tcBorders>
            <w:shd w:val="clear" w:color="000000" w:fill="auto"/>
            <w:noWrap/>
            <w:vAlign w:val="bottom"/>
            <w:hideMark/>
          </w:tcPr>
          <w:p w14:paraId="1EE7B450" w14:textId="77777777" w:rsidR="00443C82" w:rsidRPr="000B693E" w:rsidRDefault="00443C82" w:rsidP="00312E88">
            <w:pPr>
              <w:jc w:val="right"/>
              <w:rPr>
                <w:rFonts w:cs="Arial"/>
                <w:sz w:val="16"/>
                <w:szCs w:val="16"/>
              </w:rPr>
            </w:pPr>
            <w:r w:rsidRPr="000B693E">
              <w:rPr>
                <w:rFonts w:cs="Arial"/>
                <w:sz w:val="16"/>
                <w:szCs w:val="16"/>
              </w:rPr>
              <w:t>-23</w:t>
            </w:r>
          </w:p>
        </w:tc>
        <w:tc>
          <w:tcPr>
            <w:tcW w:w="0" w:type="auto"/>
            <w:tcBorders>
              <w:top w:val="nil"/>
              <w:left w:val="dotted" w:sz="4" w:space="0" w:color="auto"/>
              <w:bottom w:val="nil"/>
              <w:right w:val="single" w:sz="4" w:space="0" w:color="auto"/>
            </w:tcBorders>
            <w:shd w:val="clear" w:color="000000" w:fill="auto"/>
            <w:noWrap/>
            <w:vAlign w:val="bottom"/>
            <w:hideMark/>
          </w:tcPr>
          <w:p w14:paraId="39FD18BC" w14:textId="77777777" w:rsidR="00443C82" w:rsidRPr="000B693E" w:rsidRDefault="00443C82" w:rsidP="00312E88">
            <w:pPr>
              <w:jc w:val="right"/>
              <w:rPr>
                <w:rFonts w:cs="Arial"/>
                <w:sz w:val="16"/>
                <w:szCs w:val="16"/>
              </w:rPr>
            </w:pPr>
            <w:r w:rsidRPr="000B693E">
              <w:rPr>
                <w:rFonts w:cs="Arial"/>
                <w:sz w:val="16"/>
                <w:szCs w:val="16"/>
              </w:rPr>
              <w:t>-68</w:t>
            </w:r>
          </w:p>
        </w:tc>
        <w:tc>
          <w:tcPr>
            <w:tcW w:w="0" w:type="auto"/>
            <w:tcBorders>
              <w:top w:val="nil"/>
              <w:left w:val="dotted" w:sz="4" w:space="0" w:color="auto"/>
              <w:bottom w:val="nil"/>
              <w:right w:val="single" w:sz="4" w:space="0" w:color="auto"/>
            </w:tcBorders>
            <w:shd w:val="clear" w:color="000000" w:fill="auto"/>
            <w:noWrap/>
            <w:vAlign w:val="bottom"/>
            <w:hideMark/>
          </w:tcPr>
          <w:p w14:paraId="3DAABC90" w14:textId="77777777" w:rsidR="00443C82" w:rsidRPr="000B693E" w:rsidRDefault="00443C82" w:rsidP="00312E88">
            <w:pPr>
              <w:jc w:val="right"/>
              <w:rPr>
                <w:rFonts w:cs="Arial"/>
                <w:sz w:val="16"/>
                <w:szCs w:val="16"/>
              </w:rPr>
            </w:pPr>
            <w:r w:rsidRPr="000B693E">
              <w:rPr>
                <w:rFonts w:cs="Arial"/>
                <w:sz w:val="16"/>
                <w:szCs w:val="16"/>
              </w:rPr>
              <w:t>-55</w:t>
            </w:r>
          </w:p>
        </w:tc>
      </w:tr>
      <w:tr w:rsidR="00443C82" w:rsidRPr="000B693E" w14:paraId="4B1E0DA7"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4E99FDA6" w14:textId="77777777" w:rsidR="00443C82" w:rsidRPr="000B693E" w:rsidRDefault="00443C82" w:rsidP="00312E88">
            <w:pPr>
              <w:rPr>
                <w:rFonts w:cs="Arial"/>
                <w:sz w:val="16"/>
                <w:szCs w:val="16"/>
              </w:rPr>
            </w:pPr>
            <w:r w:rsidRPr="000B693E">
              <w:rPr>
                <w:rFonts w:cs="Arial"/>
                <w:sz w:val="16"/>
                <w:szCs w:val="16"/>
              </w:rPr>
              <w:t>Three extra years to reach steady state</w:t>
            </w:r>
          </w:p>
        </w:tc>
        <w:tc>
          <w:tcPr>
            <w:tcW w:w="0" w:type="auto"/>
            <w:tcBorders>
              <w:top w:val="nil"/>
              <w:left w:val="nil"/>
              <w:bottom w:val="nil"/>
              <w:right w:val="nil"/>
            </w:tcBorders>
            <w:shd w:val="clear" w:color="auto" w:fill="auto"/>
            <w:noWrap/>
            <w:vAlign w:val="bottom"/>
            <w:hideMark/>
          </w:tcPr>
          <w:p w14:paraId="04A4B608" w14:textId="77777777" w:rsidR="00443C82" w:rsidRPr="000B693E" w:rsidRDefault="00443C82" w:rsidP="00312E88">
            <w:pPr>
              <w:jc w:val="right"/>
              <w:rPr>
                <w:rFonts w:cs="Arial"/>
                <w:sz w:val="16"/>
                <w:szCs w:val="16"/>
              </w:rPr>
            </w:pPr>
            <w:r w:rsidRPr="000B693E">
              <w:rPr>
                <w:rFonts w:cs="Arial"/>
                <w:sz w:val="16"/>
                <w:szCs w:val="16"/>
              </w:rPr>
              <w:t>0</w:t>
            </w:r>
          </w:p>
        </w:tc>
        <w:tc>
          <w:tcPr>
            <w:tcW w:w="0" w:type="auto"/>
            <w:tcBorders>
              <w:top w:val="nil"/>
              <w:left w:val="nil"/>
              <w:bottom w:val="nil"/>
              <w:right w:val="nil"/>
            </w:tcBorders>
            <w:shd w:val="clear" w:color="auto" w:fill="auto"/>
            <w:noWrap/>
            <w:vAlign w:val="bottom"/>
            <w:hideMark/>
          </w:tcPr>
          <w:p w14:paraId="3DE7F386" w14:textId="77777777" w:rsidR="00443C82" w:rsidRPr="000B693E" w:rsidRDefault="00443C82" w:rsidP="00312E88">
            <w:pPr>
              <w:jc w:val="right"/>
              <w:rPr>
                <w:rFonts w:cs="Arial"/>
                <w:sz w:val="16"/>
                <w:szCs w:val="16"/>
              </w:rPr>
            </w:pPr>
            <w:r w:rsidRPr="000B693E">
              <w:rPr>
                <w:rFonts w:cs="Arial"/>
                <w:sz w:val="16"/>
                <w:szCs w:val="16"/>
              </w:rPr>
              <w:t>36</w:t>
            </w:r>
          </w:p>
        </w:tc>
        <w:tc>
          <w:tcPr>
            <w:tcW w:w="0" w:type="auto"/>
            <w:tcBorders>
              <w:top w:val="nil"/>
              <w:left w:val="nil"/>
              <w:bottom w:val="nil"/>
              <w:right w:val="nil"/>
            </w:tcBorders>
            <w:shd w:val="clear" w:color="auto" w:fill="auto"/>
            <w:noWrap/>
            <w:vAlign w:val="bottom"/>
            <w:hideMark/>
          </w:tcPr>
          <w:p w14:paraId="06763260" w14:textId="77777777" w:rsidR="00443C82" w:rsidRPr="000B693E" w:rsidRDefault="00443C82" w:rsidP="00312E88">
            <w:pPr>
              <w:jc w:val="right"/>
              <w:rPr>
                <w:rFonts w:cs="Arial"/>
                <w:sz w:val="16"/>
                <w:szCs w:val="16"/>
              </w:rPr>
            </w:pPr>
            <w:r w:rsidRPr="000B693E">
              <w:rPr>
                <w:rFonts w:cs="Arial"/>
                <w:sz w:val="16"/>
                <w:szCs w:val="16"/>
              </w:rPr>
              <w:t>287</w:t>
            </w:r>
          </w:p>
        </w:tc>
        <w:tc>
          <w:tcPr>
            <w:tcW w:w="0" w:type="auto"/>
            <w:tcBorders>
              <w:top w:val="nil"/>
              <w:left w:val="nil"/>
              <w:bottom w:val="nil"/>
              <w:right w:val="nil"/>
            </w:tcBorders>
            <w:shd w:val="clear" w:color="auto" w:fill="auto"/>
            <w:noWrap/>
            <w:vAlign w:val="bottom"/>
            <w:hideMark/>
          </w:tcPr>
          <w:p w14:paraId="7F77466B" w14:textId="77777777" w:rsidR="00443C82" w:rsidRPr="000B693E" w:rsidRDefault="00443C82" w:rsidP="00312E88">
            <w:pPr>
              <w:jc w:val="right"/>
              <w:rPr>
                <w:rFonts w:cs="Arial"/>
                <w:sz w:val="16"/>
                <w:szCs w:val="16"/>
              </w:rPr>
            </w:pPr>
            <w:r w:rsidRPr="000B693E">
              <w:rPr>
                <w:rFonts w:cs="Arial"/>
                <w:sz w:val="16"/>
                <w:szCs w:val="16"/>
              </w:rPr>
              <w:t>718</w:t>
            </w:r>
          </w:p>
        </w:tc>
        <w:tc>
          <w:tcPr>
            <w:tcW w:w="0" w:type="auto"/>
            <w:tcBorders>
              <w:top w:val="nil"/>
              <w:left w:val="dotted" w:sz="4" w:space="0" w:color="auto"/>
              <w:bottom w:val="nil"/>
              <w:right w:val="single" w:sz="4" w:space="0" w:color="auto"/>
            </w:tcBorders>
            <w:shd w:val="clear" w:color="auto" w:fill="auto"/>
            <w:noWrap/>
            <w:vAlign w:val="bottom"/>
            <w:hideMark/>
          </w:tcPr>
          <w:p w14:paraId="1DD563E5" w14:textId="77777777" w:rsidR="00443C82" w:rsidRPr="000B693E" w:rsidRDefault="00443C82" w:rsidP="00312E88">
            <w:pPr>
              <w:jc w:val="right"/>
              <w:rPr>
                <w:rFonts w:cs="Arial"/>
                <w:sz w:val="16"/>
                <w:szCs w:val="16"/>
              </w:rPr>
            </w:pPr>
            <w:r w:rsidRPr="000B693E">
              <w:rPr>
                <w:rFonts w:cs="Arial"/>
                <w:sz w:val="16"/>
                <w:szCs w:val="16"/>
              </w:rPr>
              <w:t>1,581</w:t>
            </w:r>
          </w:p>
        </w:tc>
        <w:tc>
          <w:tcPr>
            <w:tcW w:w="0" w:type="auto"/>
            <w:tcBorders>
              <w:top w:val="nil"/>
              <w:left w:val="dotted" w:sz="4" w:space="0" w:color="auto"/>
              <w:bottom w:val="nil"/>
              <w:right w:val="single" w:sz="4" w:space="0" w:color="auto"/>
            </w:tcBorders>
            <w:shd w:val="clear" w:color="auto" w:fill="auto"/>
            <w:noWrap/>
            <w:vAlign w:val="bottom"/>
            <w:hideMark/>
          </w:tcPr>
          <w:p w14:paraId="1E6606C2" w14:textId="77777777" w:rsidR="00443C82" w:rsidRPr="000B693E" w:rsidRDefault="00443C82" w:rsidP="00312E88">
            <w:pPr>
              <w:jc w:val="right"/>
              <w:rPr>
                <w:rFonts w:cs="Arial"/>
                <w:sz w:val="16"/>
                <w:szCs w:val="16"/>
              </w:rPr>
            </w:pPr>
            <w:r w:rsidRPr="000B693E">
              <w:rPr>
                <w:rFonts w:cs="Arial"/>
                <w:sz w:val="16"/>
                <w:szCs w:val="16"/>
              </w:rPr>
              <w:t>1,041</w:t>
            </w:r>
          </w:p>
        </w:tc>
      </w:tr>
      <w:tr w:rsidR="00443C82" w:rsidRPr="000B693E" w14:paraId="78A3CCE6" w14:textId="77777777" w:rsidTr="00443C82">
        <w:trPr>
          <w:trHeight w:hRule="exact" w:val="284"/>
        </w:trPr>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AFE9CF4" w14:textId="77777777" w:rsidR="00443C82" w:rsidRPr="000B693E" w:rsidRDefault="00443C82" w:rsidP="00312E88">
            <w:pPr>
              <w:rPr>
                <w:rFonts w:cs="Arial"/>
                <w:b/>
                <w:bCs/>
                <w:sz w:val="16"/>
                <w:szCs w:val="16"/>
              </w:rPr>
            </w:pPr>
            <w:r w:rsidRPr="000B693E">
              <w:rPr>
                <w:rFonts w:cs="Arial"/>
                <w:b/>
                <w:bCs/>
                <w:sz w:val="16"/>
                <w:szCs w:val="16"/>
              </w:rPr>
              <w:t>Cost (variances to baseline)</w:t>
            </w:r>
          </w:p>
        </w:tc>
        <w:tc>
          <w:tcPr>
            <w:tcW w:w="0" w:type="auto"/>
            <w:tcBorders>
              <w:top w:val="single" w:sz="4" w:space="0" w:color="auto"/>
              <w:left w:val="nil"/>
              <w:bottom w:val="single" w:sz="8" w:space="0" w:color="auto"/>
              <w:right w:val="nil"/>
            </w:tcBorders>
            <w:shd w:val="clear" w:color="auto" w:fill="auto"/>
            <w:noWrap/>
            <w:vAlign w:val="bottom"/>
            <w:hideMark/>
          </w:tcPr>
          <w:p w14:paraId="74D81BF2" w14:textId="77777777" w:rsidR="00443C82" w:rsidRPr="000B693E" w:rsidRDefault="00443C82" w:rsidP="00312E88">
            <w:pPr>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21B514EB" w14:textId="77777777" w:rsidR="00443C82" w:rsidRPr="000B693E" w:rsidRDefault="00443C82" w:rsidP="00312E88">
            <w:pPr>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3AF0348B" w14:textId="77777777" w:rsidR="00443C82" w:rsidRPr="000B693E" w:rsidRDefault="00443C82" w:rsidP="00312E88">
            <w:pPr>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2C1C82AD" w14:textId="77777777" w:rsidR="00443C82" w:rsidRPr="000B693E" w:rsidRDefault="00443C82" w:rsidP="00312E88">
            <w:pPr>
              <w:rPr>
                <w:rFonts w:cs="Arial"/>
                <w:sz w:val="16"/>
                <w:szCs w:val="16"/>
              </w:rPr>
            </w:pPr>
            <w:r w:rsidRPr="000B693E">
              <w:rPr>
                <w:rFonts w:cs="Arial"/>
                <w:sz w:val="16"/>
                <w:szCs w:val="16"/>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5CCDF9F1" w14:textId="77777777" w:rsidR="00443C82" w:rsidRPr="000B693E" w:rsidRDefault="00443C82" w:rsidP="00312E88">
            <w:pPr>
              <w:rPr>
                <w:rFonts w:cs="Arial"/>
                <w:sz w:val="16"/>
                <w:szCs w:val="16"/>
              </w:rPr>
            </w:pPr>
            <w:r w:rsidRPr="000B693E">
              <w:rPr>
                <w:rFonts w:cs="Arial"/>
                <w:sz w:val="16"/>
                <w:szCs w:val="16"/>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64FA7D3F" w14:textId="77777777" w:rsidR="00443C82" w:rsidRPr="000B693E" w:rsidRDefault="00443C82" w:rsidP="00312E88">
            <w:pPr>
              <w:rPr>
                <w:rFonts w:cs="Arial"/>
                <w:sz w:val="16"/>
                <w:szCs w:val="16"/>
              </w:rPr>
            </w:pPr>
            <w:r w:rsidRPr="000B693E">
              <w:rPr>
                <w:rFonts w:cs="Arial"/>
                <w:sz w:val="16"/>
                <w:szCs w:val="16"/>
              </w:rPr>
              <w:t> </w:t>
            </w:r>
          </w:p>
        </w:tc>
      </w:tr>
      <w:tr w:rsidR="00443C82" w:rsidRPr="000B693E" w14:paraId="5E64D8C7"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3EF88CCA" w14:textId="77777777" w:rsidR="00443C82" w:rsidRPr="000B693E" w:rsidRDefault="00443C82" w:rsidP="00312E88">
            <w:pPr>
              <w:rPr>
                <w:rFonts w:cs="Arial"/>
                <w:sz w:val="16"/>
                <w:szCs w:val="16"/>
              </w:rPr>
            </w:pPr>
            <w:r w:rsidRPr="000B693E">
              <w:rPr>
                <w:rFonts w:cs="Arial"/>
                <w:sz w:val="16"/>
                <w:szCs w:val="16"/>
              </w:rPr>
              <w:t>Lower cost of new entrants</w:t>
            </w:r>
          </w:p>
        </w:tc>
        <w:tc>
          <w:tcPr>
            <w:tcW w:w="0" w:type="auto"/>
            <w:tcBorders>
              <w:top w:val="nil"/>
              <w:left w:val="nil"/>
              <w:bottom w:val="nil"/>
              <w:right w:val="nil"/>
            </w:tcBorders>
            <w:shd w:val="clear" w:color="auto" w:fill="auto"/>
            <w:noWrap/>
            <w:vAlign w:val="bottom"/>
            <w:hideMark/>
          </w:tcPr>
          <w:p w14:paraId="603DF753" w14:textId="77777777" w:rsidR="00443C82" w:rsidRPr="000B693E" w:rsidRDefault="00443C82" w:rsidP="00312E88">
            <w:pPr>
              <w:jc w:val="right"/>
              <w:rPr>
                <w:rFonts w:cs="Arial"/>
                <w:sz w:val="16"/>
                <w:szCs w:val="16"/>
              </w:rPr>
            </w:pPr>
            <w:r w:rsidRPr="000B693E">
              <w:rPr>
                <w:rFonts w:cs="Arial"/>
                <w:sz w:val="16"/>
                <w:szCs w:val="16"/>
              </w:rPr>
              <w:t>-113</w:t>
            </w:r>
          </w:p>
        </w:tc>
        <w:tc>
          <w:tcPr>
            <w:tcW w:w="0" w:type="auto"/>
            <w:tcBorders>
              <w:top w:val="nil"/>
              <w:left w:val="nil"/>
              <w:bottom w:val="nil"/>
              <w:right w:val="nil"/>
            </w:tcBorders>
            <w:shd w:val="clear" w:color="auto" w:fill="auto"/>
            <w:noWrap/>
            <w:vAlign w:val="bottom"/>
            <w:hideMark/>
          </w:tcPr>
          <w:p w14:paraId="4446121B" w14:textId="77777777" w:rsidR="00443C82" w:rsidRPr="000B693E" w:rsidRDefault="00443C82" w:rsidP="00312E88">
            <w:pPr>
              <w:jc w:val="right"/>
              <w:rPr>
                <w:rFonts w:cs="Arial"/>
                <w:sz w:val="16"/>
                <w:szCs w:val="16"/>
              </w:rPr>
            </w:pPr>
            <w:r w:rsidRPr="000B693E">
              <w:rPr>
                <w:rFonts w:cs="Arial"/>
                <w:sz w:val="16"/>
                <w:szCs w:val="16"/>
              </w:rPr>
              <w:t>-355</w:t>
            </w:r>
          </w:p>
        </w:tc>
        <w:tc>
          <w:tcPr>
            <w:tcW w:w="0" w:type="auto"/>
            <w:tcBorders>
              <w:top w:val="nil"/>
              <w:left w:val="nil"/>
              <w:bottom w:val="nil"/>
              <w:right w:val="nil"/>
            </w:tcBorders>
            <w:shd w:val="clear" w:color="auto" w:fill="auto"/>
            <w:noWrap/>
            <w:vAlign w:val="bottom"/>
            <w:hideMark/>
          </w:tcPr>
          <w:p w14:paraId="4F315F50" w14:textId="77777777" w:rsidR="00443C82" w:rsidRPr="000B693E" w:rsidRDefault="00443C82" w:rsidP="00312E88">
            <w:pPr>
              <w:jc w:val="right"/>
              <w:rPr>
                <w:rFonts w:cs="Arial"/>
                <w:sz w:val="16"/>
                <w:szCs w:val="16"/>
              </w:rPr>
            </w:pPr>
            <w:r w:rsidRPr="000B693E">
              <w:rPr>
                <w:rFonts w:cs="Arial"/>
                <w:sz w:val="16"/>
                <w:szCs w:val="16"/>
              </w:rPr>
              <w:t>-585</w:t>
            </w:r>
          </w:p>
        </w:tc>
        <w:tc>
          <w:tcPr>
            <w:tcW w:w="0" w:type="auto"/>
            <w:tcBorders>
              <w:top w:val="nil"/>
              <w:left w:val="nil"/>
              <w:bottom w:val="nil"/>
              <w:right w:val="nil"/>
            </w:tcBorders>
            <w:shd w:val="clear" w:color="auto" w:fill="auto"/>
            <w:noWrap/>
            <w:vAlign w:val="bottom"/>
            <w:hideMark/>
          </w:tcPr>
          <w:p w14:paraId="3422612C" w14:textId="77777777" w:rsidR="00443C82" w:rsidRPr="000B693E" w:rsidRDefault="00443C82" w:rsidP="00312E88">
            <w:pPr>
              <w:jc w:val="right"/>
              <w:rPr>
                <w:rFonts w:cs="Arial"/>
                <w:sz w:val="16"/>
                <w:szCs w:val="16"/>
              </w:rPr>
            </w:pPr>
            <w:r w:rsidRPr="000B693E">
              <w:rPr>
                <w:rFonts w:cs="Arial"/>
                <w:sz w:val="16"/>
                <w:szCs w:val="16"/>
              </w:rPr>
              <w:t>-794</w:t>
            </w:r>
          </w:p>
        </w:tc>
        <w:tc>
          <w:tcPr>
            <w:tcW w:w="0" w:type="auto"/>
            <w:tcBorders>
              <w:top w:val="nil"/>
              <w:left w:val="dotted" w:sz="4" w:space="0" w:color="auto"/>
              <w:bottom w:val="nil"/>
              <w:right w:val="single" w:sz="4" w:space="0" w:color="auto"/>
            </w:tcBorders>
            <w:shd w:val="clear" w:color="auto" w:fill="auto"/>
            <w:noWrap/>
            <w:vAlign w:val="bottom"/>
            <w:hideMark/>
          </w:tcPr>
          <w:p w14:paraId="25F6980C" w14:textId="77777777" w:rsidR="00443C82" w:rsidRPr="000B693E" w:rsidRDefault="00443C82" w:rsidP="00312E88">
            <w:pPr>
              <w:jc w:val="right"/>
              <w:rPr>
                <w:rFonts w:cs="Arial"/>
                <w:sz w:val="16"/>
                <w:szCs w:val="16"/>
              </w:rPr>
            </w:pPr>
            <w:r w:rsidRPr="000B693E">
              <w:rPr>
                <w:rFonts w:cs="Arial"/>
                <w:sz w:val="16"/>
                <w:szCs w:val="16"/>
              </w:rPr>
              <w:t>-1,929</w:t>
            </w:r>
          </w:p>
        </w:tc>
        <w:tc>
          <w:tcPr>
            <w:tcW w:w="0" w:type="auto"/>
            <w:tcBorders>
              <w:top w:val="nil"/>
              <w:left w:val="dotted" w:sz="4" w:space="0" w:color="auto"/>
              <w:bottom w:val="nil"/>
              <w:right w:val="single" w:sz="4" w:space="0" w:color="auto"/>
            </w:tcBorders>
            <w:shd w:val="clear" w:color="auto" w:fill="auto"/>
            <w:noWrap/>
            <w:vAlign w:val="bottom"/>
            <w:hideMark/>
          </w:tcPr>
          <w:p w14:paraId="0033CDA5" w14:textId="77777777" w:rsidR="00443C82" w:rsidRPr="000B693E" w:rsidRDefault="00443C82" w:rsidP="00312E88">
            <w:pPr>
              <w:jc w:val="right"/>
              <w:rPr>
                <w:rFonts w:cs="Arial"/>
                <w:sz w:val="16"/>
                <w:szCs w:val="16"/>
              </w:rPr>
            </w:pPr>
            <w:r w:rsidRPr="000B693E">
              <w:rPr>
                <w:rFonts w:cs="Arial"/>
                <w:sz w:val="16"/>
                <w:szCs w:val="16"/>
              </w:rPr>
              <w:t>-1,845</w:t>
            </w:r>
          </w:p>
        </w:tc>
      </w:tr>
      <w:tr w:rsidR="00443C82" w:rsidRPr="000B693E" w14:paraId="7BA1B42A"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5DDD4015" w14:textId="77777777" w:rsidR="00443C82" w:rsidRPr="000B693E" w:rsidRDefault="00443C82" w:rsidP="00312E88">
            <w:pPr>
              <w:rPr>
                <w:rFonts w:cs="Arial"/>
                <w:sz w:val="16"/>
                <w:szCs w:val="16"/>
              </w:rPr>
            </w:pPr>
            <w:r w:rsidRPr="000B693E">
              <w:rPr>
                <w:rFonts w:cs="Arial"/>
                <w:sz w:val="16"/>
                <w:szCs w:val="16"/>
              </w:rPr>
              <w:t>Higher cost of new entrants</w:t>
            </w:r>
          </w:p>
        </w:tc>
        <w:tc>
          <w:tcPr>
            <w:tcW w:w="0" w:type="auto"/>
            <w:tcBorders>
              <w:top w:val="nil"/>
              <w:left w:val="nil"/>
              <w:bottom w:val="nil"/>
              <w:right w:val="nil"/>
            </w:tcBorders>
            <w:shd w:val="clear" w:color="auto" w:fill="auto"/>
            <w:noWrap/>
            <w:vAlign w:val="bottom"/>
            <w:hideMark/>
          </w:tcPr>
          <w:p w14:paraId="0BF03C2D" w14:textId="77777777" w:rsidR="00443C82" w:rsidRPr="000B693E" w:rsidRDefault="00443C82" w:rsidP="00312E88">
            <w:pPr>
              <w:jc w:val="right"/>
              <w:rPr>
                <w:rFonts w:cs="Arial"/>
                <w:sz w:val="16"/>
                <w:szCs w:val="16"/>
              </w:rPr>
            </w:pPr>
            <w:r w:rsidRPr="000B693E">
              <w:rPr>
                <w:rFonts w:cs="Arial"/>
                <w:sz w:val="16"/>
                <w:szCs w:val="16"/>
              </w:rPr>
              <w:t>113</w:t>
            </w:r>
          </w:p>
        </w:tc>
        <w:tc>
          <w:tcPr>
            <w:tcW w:w="0" w:type="auto"/>
            <w:tcBorders>
              <w:top w:val="nil"/>
              <w:left w:val="nil"/>
              <w:bottom w:val="nil"/>
              <w:right w:val="nil"/>
            </w:tcBorders>
            <w:shd w:val="clear" w:color="auto" w:fill="auto"/>
            <w:noWrap/>
            <w:vAlign w:val="bottom"/>
            <w:hideMark/>
          </w:tcPr>
          <w:p w14:paraId="1A4135F5" w14:textId="77777777" w:rsidR="00443C82" w:rsidRPr="000B693E" w:rsidRDefault="00443C82" w:rsidP="00312E88">
            <w:pPr>
              <w:jc w:val="right"/>
              <w:rPr>
                <w:rFonts w:cs="Arial"/>
                <w:sz w:val="16"/>
                <w:szCs w:val="16"/>
              </w:rPr>
            </w:pPr>
            <w:r w:rsidRPr="000B693E">
              <w:rPr>
                <w:rFonts w:cs="Arial"/>
                <w:sz w:val="16"/>
                <w:szCs w:val="16"/>
              </w:rPr>
              <w:t>355</w:t>
            </w:r>
          </w:p>
        </w:tc>
        <w:tc>
          <w:tcPr>
            <w:tcW w:w="0" w:type="auto"/>
            <w:tcBorders>
              <w:top w:val="nil"/>
              <w:left w:val="nil"/>
              <w:bottom w:val="nil"/>
              <w:right w:val="nil"/>
            </w:tcBorders>
            <w:shd w:val="clear" w:color="auto" w:fill="auto"/>
            <w:noWrap/>
            <w:vAlign w:val="bottom"/>
            <w:hideMark/>
          </w:tcPr>
          <w:p w14:paraId="52BFC6E7" w14:textId="77777777" w:rsidR="00443C82" w:rsidRPr="000B693E" w:rsidRDefault="00443C82" w:rsidP="00312E88">
            <w:pPr>
              <w:jc w:val="right"/>
              <w:rPr>
                <w:rFonts w:cs="Arial"/>
                <w:sz w:val="16"/>
                <w:szCs w:val="16"/>
              </w:rPr>
            </w:pPr>
            <w:r w:rsidRPr="000B693E">
              <w:rPr>
                <w:rFonts w:cs="Arial"/>
                <w:sz w:val="16"/>
                <w:szCs w:val="16"/>
              </w:rPr>
              <w:t>585</w:t>
            </w:r>
          </w:p>
        </w:tc>
        <w:tc>
          <w:tcPr>
            <w:tcW w:w="0" w:type="auto"/>
            <w:tcBorders>
              <w:top w:val="nil"/>
              <w:left w:val="nil"/>
              <w:bottom w:val="nil"/>
              <w:right w:val="nil"/>
            </w:tcBorders>
            <w:shd w:val="clear" w:color="auto" w:fill="auto"/>
            <w:noWrap/>
            <w:vAlign w:val="bottom"/>
            <w:hideMark/>
          </w:tcPr>
          <w:p w14:paraId="223E7006" w14:textId="77777777" w:rsidR="00443C82" w:rsidRPr="000B693E" w:rsidRDefault="00443C82" w:rsidP="00312E88">
            <w:pPr>
              <w:jc w:val="right"/>
              <w:rPr>
                <w:rFonts w:cs="Arial"/>
                <w:sz w:val="16"/>
                <w:szCs w:val="16"/>
              </w:rPr>
            </w:pPr>
            <w:r w:rsidRPr="000B693E">
              <w:rPr>
                <w:rFonts w:cs="Arial"/>
                <w:sz w:val="16"/>
                <w:szCs w:val="16"/>
              </w:rPr>
              <w:t>794</w:t>
            </w:r>
          </w:p>
        </w:tc>
        <w:tc>
          <w:tcPr>
            <w:tcW w:w="0" w:type="auto"/>
            <w:tcBorders>
              <w:top w:val="nil"/>
              <w:left w:val="dotted" w:sz="4" w:space="0" w:color="auto"/>
              <w:bottom w:val="nil"/>
              <w:right w:val="single" w:sz="4" w:space="0" w:color="auto"/>
            </w:tcBorders>
            <w:shd w:val="clear" w:color="auto" w:fill="auto"/>
            <w:noWrap/>
            <w:vAlign w:val="bottom"/>
            <w:hideMark/>
          </w:tcPr>
          <w:p w14:paraId="505C636E" w14:textId="77777777" w:rsidR="00443C82" w:rsidRPr="000B693E" w:rsidRDefault="00443C82" w:rsidP="00312E88">
            <w:pPr>
              <w:jc w:val="right"/>
              <w:rPr>
                <w:rFonts w:cs="Arial"/>
                <w:sz w:val="16"/>
                <w:szCs w:val="16"/>
              </w:rPr>
            </w:pPr>
            <w:r w:rsidRPr="000B693E">
              <w:rPr>
                <w:rFonts w:cs="Arial"/>
                <w:sz w:val="16"/>
                <w:szCs w:val="16"/>
              </w:rPr>
              <w:t>1,929</w:t>
            </w:r>
          </w:p>
        </w:tc>
        <w:tc>
          <w:tcPr>
            <w:tcW w:w="0" w:type="auto"/>
            <w:tcBorders>
              <w:top w:val="nil"/>
              <w:left w:val="dotted" w:sz="4" w:space="0" w:color="auto"/>
              <w:bottom w:val="nil"/>
              <w:right w:val="single" w:sz="4" w:space="0" w:color="auto"/>
            </w:tcBorders>
            <w:shd w:val="clear" w:color="auto" w:fill="auto"/>
            <w:noWrap/>
            <w:vAlign w:val="bottom"/>
            <w:hideMark/>
          </w:tcPr>
          <w:p w14:paraId="035F5738" w14:textId="77777777" w:rsidR="00443C82" w:rsidRPr="000B693E" w:rsidRDefault="00443C82" w:rsidP="00312E88">
            <w:pPr>
              <w:jc w:val="right"/>
              <w:rPr>
                <w:rFonts w:cs="Arial"/>
                <w:sz w:val="16"/>
                <w:szCs w:val="16"/>
              </w:rPr>
            </w:pPr>
            <w:r w:rsidRPr="000B693E">
              <w:rPr>
                <w:rFonts w:cs="Arial"/>
                <w:sz w:val="16"/>
                <w:szCs w:val="16"/>
              </w:rPr>
              <w:t>1,845</w:t>
            </w:r>
          </w:p>
        </w:tc>
      </w:tr>
      <w:tr w:rsidR="00443C82" w:rsidRPr="000B693E" w14:paraId="6D2792DA"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0589B1A3" w14:textId="77777777" w:rsidR="00443C82" w:rsidRPr="000B693E" w:rsidRDefault="00443C82" w:rsidP="00312E88">
            <w:pPr>
              <w:rPr>
                <w:rFonts w:cs="Arial"/>
                <w:sz w:val="16"/>
                <w:szCs w:val="16"/>
              </w:rPr>
            </w:pPr>
            <w:r w:rsidRPr="000B693E">
              <w:rPr>
                <w:rFonts w:cs="Arial"/>
                <w:sz w:val="16"/>
                <w:szCs w:val="16"/>
              </w:rPr>
              <w:t>One year less of high inflation</w:t>
            </w:r>
          </w:p>
        </w:tc>
        <w:tc>
          <w:tcPr>
            <w:tcW w:w="0" w:type="auto"/>
            <w:tcBorders>
              <w:top w:val="nil"/>
              <w:left w:val="nil"/>
              <w:bottom w:val="nil"/>
              <w:right w:val="nil"/>
            </w:tcBorders>
            <w:shd w:val="clear" w:color="auto" w:fill="auto"/>
            <w:noWrap/>
            <w:vAlign w:val="bottom"/>
            <w:hideMark/>
          </w:tcPr>
          <w:p w14:paraId="0E706FCB" w14:textId="77777777" w:rsidR="00443C82" w:rsidRPr="000B693E" w:rsidRDefault="00443C82" w:rsidP="00312E88">
            <w:pPr>
              <w:jc w:val="right"/>
              <w:rPr>
                <w:rFonts w:cs="Arial"/>
                <w:sz w:val="16"/>
                <w:szCs w:val="16"/>
              </w:rPr>
            </w:pPr>
            <w:r w:rsidRPr="000B693E">
              <w:rPr>
                <w:rFonts w:cs="Arial"/>
                <w:sz w:val="16"/>
                <w:szCs w:val="16"/>
              </w:rPr>
              <w:t>-39</w:t>
            </w:r>
          </w:p>
        </w:tc>
        <w:tc>
          <w:tcPr>
            <w:tcW w:w="0" w:type="auto"/>
            <w:tcBorders>
              <w:top w:val="nil"/>
              <w:left w:val="nil"/>
              <w:bottom w:val="nil"/>
              <w:right w:val="nil"/>
            </w:tcBorders>
            <w:shd w:val="clear" w:color="auto" w:fill="auto"/>
            <w:noWrap/>
            <w:vAlign w:val="bottom"/>
            <w:hideMark/>
          </w:tcPr>
          <w:p w14:paraId="0A7D6D5B" w14:textId="77777777" w:rsidR="00443C82" w:rsidRPr="000B693E" w:rsidRDefault="00443C82" w:rsidP="00312E88">
            <w:pPr>
              <w:jc w:val="right"/>
              <w:rPr>
                <w:rFonts w:cs="Arial"/>
                <w:sz w:val="16"/>
                <w:szCs w:val="16"/>
              </w:rPr>
            </w:pPr>
            <w:r w:rsidRPr="000B693E">
              <w:rPr>
                <w:rFonts w:cs="Arial"/>
                <w:sz w:val="16"/>
                <w:szCs w:val="16"/>
              </w:rPr>
              <w:t>-131</w:t>
            </w:r>
          </w:p>
        </w:tc>
        <w:tc>
          <w:tcPr>
            <w:tcW w:w="0" w:type="auto"/>
            <w:tcBorders>
              <w:top w:val="nil"/>
              <w:left w:val="nil"/>
              <w:bottom w:val="nil"/>
              <w:right w:val="nil"/>
            </w:tcBorders>
            <w:shd w:val="clear" w:color="auto" w:fill="auto"/>
            <w:noWrap/>
            <w:vAlign w:val="bottom"/>
            <w:hideMark/>
          </w:tcPr>
          <w:p w14:paraId="08D8EECA" w14:textId="77777777" w:rsidR="00443C82" w:rsidRPr="000B693E" w:rsidRDefault="00443C82" w:rsidP="00312E88">
            <w:pPr>
              <w:jc w:val="right"/>
              <w:rPr>
                <w:rFonts w:cs="Arial"/>
                <w:sz w:val="16"/>
                <w:szCs w:val="16"/>
              </w:rPr>
            </w:pPr>
            <w:r w:rsidRPr="000B693E">
              <w:rPr>
                <w:rFonts w:cs="Arial"/>
                <w:sz w:val="16"/>
                <w:szCs w:val="16"/>
              </w:rPr>
              <w:t>-279</w:t>
            </w:r>
          </w:p>
        </w:tc>
        <w:tc>
          <w:tcPr>
            <w:tcW w:w="0" w:type="auto"/>
            <w:tcBorders>
              <w:top w:val="nil"/>
              <w:left w:val="nil"/>
              <w:bottom w:val="nil"/>
              <w:right w:val="nil"/>
            </w:tcBorders>
            <w:shd w:val="clear" w:color="auto" w:fill="auto"/>
            <w:noWrap/>
            <w:vAlign w:val="bottom"/>
            <w:hideMark/>
          </w:tcPr>
          <w:p w14:paraId="054D6DBD" w14:textId="77777777" w:rsidR="00443C82" w:rsidRPr="000B693E" w:rsidRDefault="00443C82" w:rsidP="00312E88">
            <w:pPr>
              <w:jc w:val="right"/>
              <w:rPr>
                <w:rFonts w:cs="Arial"/>
                <w:sz w:val="16"/>
                <w:szCs w:val="16"/>
              </w:rPr>
            </w:pPr>
            <w:r w:rsidRPr="000B693E">
              <w:rPr>
                <w:rFonts w:cs="Arial"/>
                <w:sz w:val="16"/>
                <w:szCs w:val="16"/>
              </w:rPr>
              <w:t>-421</w:t>
            </w:r>
          </w:p>
        </w:tc>
        <w:tc>
          <w:tcPr>
            <w:tcW w:w="0" w:type="auto"/>
            <w:tcBorders>
              <w:top w:val="nil"/>
              <w:left w:val="dotted" w:sz="4" w:space="0" w:color="auto"/>
              <w:bottom w:val="nil"/>
              <w:right w:val="single" w:sz="4" w:space="0" w:color="auto"/>
            </w:tcBorders>
            <w:shd w:val="clear" w:color="auto" w:fill="auto"/>
            <w:noWrap/>
            <w:vAlign w:val="bottom"/>
            <w:hideMark/>
          </w:tcPr>
          <w:p w14:paraId="0677A18A" w14:textId="77777777" w:rsidR="00443C82" w:rsidRPr="000B693E" w:rsidRDefault="00443C82" w:rsidP="00312E88">
            <w:pPr>
              <w:jc w:val="right"/>
              <w:rPr>
                <w:rFonts w:cs="Arial"/>
                <w:sz w:val="16"/>
                <w:szCs w:val="16"/>
              </w:rPr>
            </w:pPr>
            <w:r w:rsidRPr="000B693E">
              <w:rPr>
                <w:rFonts w:cs="Arial"/>
                <w:sz w:val="16"/>
                <w:szCs w:val="16"/>
              </w:rPr>
              <w:t>-1,363</w:t>
            </w:r>
          </w:p>
        </w:tc>
        <w:tc>
          <w:tcPr>
            <w:tcW w:w="0" w:type="auto"/>
            <w:tcBorders>
              <w:top w:val="nil"/>
              <w:left w:val="dotted" w:sz="4" w:space="0" w:color="auto"/>
              <w:bottom w:val="nil"/>
              <w:right w:val="single" w:sz="4" w:space="0" w:color="auto"/>
            </w:tcBorders>
            <w:shd w:val="clear" w:color="auto" w:fill="auto"/>
            <w:noWrap/>
            <w:vAlign w:val="bottom"/>
            <w:hideMark/>
          </w:tcPr>
          <w:p w14:paraId="367CCF40" w14:textId="77777777" w:rsidR="00443C82" w:rsidRPr="000B693E" w:rsidRDefault="00443C82" w:rsidP="00312E88">
            <w:pPr>
              <w:jc w:val="right"/>
              <w:rPr>
                <w:rFonts w:cs="Arial"/>
                <w:sz w:val="16"/>
                <w:szCs w:val="16"/>
              </w:rPr>
            </w:pPr>
            <w:r w:rsidRPr="000B693E">
              <w:rPr>
                <w:rFonts w:cs="Arial"/>
                <w:sz w:val="16"/>
                <w:szCs w:val="16"/>
              </w:rPr>
              <w:t>-870</w:t>
            </w:r>
          </w:p>
        </w:tc>
      </w:tr>
      <w:tr w:rsidR="00443C82" w:rsidRPr="000B693E" w14:paraId="77F4E963"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2239B5C6" w14:textId="77777777" w:rsidR="00443C82" w:rsidRPr="000B693E" w:rsidRDefault="00443C82" w:rsidP="00312E88">
            <w:pPr>
              <w:rPr>
                <w:rFonts w:cs="Arial"/>
                <w:sz w:val="16"/>
                <w:szCs w:val="16"/>
              </w:rPr>
            </w:pPr>
            <w:r w:rsidRPr="000B693E">
              <w:rPr>
                <w:rFonts w:cs="Arial"/>
                <w:sz w:val="16"/>
                <w:szCs w:val="16"/>
              </w:rPr>
              <w:t>Two additional years of high inflation</w:t>
            </w:r>
          </w:p>
        </w:tc>
        <w:tc>
          <w:tcPr>
            <w:tcW w:w="0" w:type="auto"/>
            <w:tcBorders>
              <w:top w:val="nil"/>
              <w:left w:val="nil"/>
              <w:bottom w:val="nil"/>
              <w:right w:val="nil"/>
            </w:tcBorders>
            <w:shd w:val="clear" w:color="auto" w:fill="auto"/>
            <w:noWrap/>
            <w:vAlign w:val="bottom"/>
            <w:hideMark/>
          </w:tcPr>
          <w:p w14:paraId="1AFF3B15" w14:textId="77777777" w:rsidR="00443C82" w:rsidRPr="000B693E" w:rsidRDefault="00443C82" w:rsidP="00312E88">
            <w:pPr>
              <w:jc w:val="right"/>
              <w:rPr>
                <w:rFonts w:cs="Arial"/>
                <w:sz w:val="16"/>
                <w:szCs w:val="16"/>
              </w:rPr>
            </w:pPr>
            <w:r w:rsidRPr="000B693E">
              <w:rPr>
                <w:rFonts w:cs="Arial"/>
                <w:sz w:val="16"/>
                <w:szCs w:val="16"/>
              </w:rPr>
              <w:t>53</w:t>
            </w:r>
          </w:p>
        </w:tc>
        <w:tc>
          <w:tcPr>
            <w:tcW w:w="0" w:type="auto"/>
            <w:tcBorders>
              <w:top w:val="nil"/>
              <w:left w:val="nil"/>
              <w:bottom w:val="nil"/>
              <w:right w:val="nil"/>
            </w:tcBorders>
            <w:shd w:val="clear" w:color="auto" w:fill="auto"/>
            <w:noWrap/>
            <w:vAlign w:val="bottom"/>
            <w:hideMark/>
          </w:tcPr>
          <w:p w14:paraId="4C8A596A" w14:textId="77777777" w:rsidR="00443C82" w:rsidRPr="000B693E" w:rsidRDefault="00443C82" w:rsidP="00312E88">
            <w:pPr>
              <w:jc w:val="right"/>
              <w:rPr>
                <w:rFonts w:cs="Arial"/>
                <w:sz w:val="16"/>
                <w:szCs w:val="16"/>
              </w:rPr>
            </w:pPr>
            <w:r w:rsidRPr="000B693E">
              <w:rPr>
                <w:rFonts w:cs="Arial"/>
                <w:sz w:val="16"/>
                <w:szCs w:val="16"/>
              </w:rPr>
              <w:t>271</w:t>
            </w:r>
          </w:p>
        </w:tc>
        <w:tc>
          <w:tcPr>
            <w:tcW w:w="0" w:type="auto"/>
            <w:tcBorders>
              <w:top w:val="nil"/>
              <w:left w:val="nil"/>
              <w:bottom w:val="nil"/>
              <w:right w:val="nil"/>
            </w:tcBorders>
            <w:shd w:val="clear" w:color="auto" w:fill="auto"/>
            <w:noWrap/>
            <w:vAlign w:val="bottom"/>
            <w:hideMark/>
          </w:tcPr>
          <w:p w14:paraId="7295079A" w14:textId="77777777" w:rsidR="00443C82" w:rsidRPr="000B693E" w:rsidRDefault="00443C82" w:rsidP="00312E88">
            <w:pPr>
              <w:jc w:val="right"/>
              <w:rPr>
                <w:rFonts w:cs="Arial"/>
                <w:sz w:val="16"/>
                <w:szCs w:val="16"/>
              </w:rPr>
            </w:pPr>
            <w:r w:rsidRPr="000B693E">
              <w:rPr>
                <w:rFonts w:cs="Arial"/>
                <w:sz w:val="16"/>
                <w:szCs w:val="16"/>
              </w:rPr>
              <w:t>533</w:t>
            </w:r>
          </w:p>
        </w:tc>
        <w:tc>
          <w:tcPr>
            <w:tcW w:w="0" w:type="auto"/>
            <w:tcBorders>
              <w:top w:val="nil"/>
              <w:left w:val="nil"/>
              <w:bottom w:val="nil"/>
              <w:right w:val="nil"/>
            </w:tcBorders>
            <w:shd w:val="clear" w:color="auto" w:fill="auto"/>
            <w:noWrap/>
            <w:vAlign w:val="bottom"/>
            <w:hideMark/>
          </w:tcPr>
          <w:p w14:paraId="5A51A5D1" w14:textId="77777777" w:rsidR="00443C82" w:rsidRPr="000B693E" w:rsidRDefault="00443C82" w:rsidP="00312E88">
            <w:pPr>
              <w:jc w:val="right"/>
              <w:rPr>
                <w:rFonts w:cs="Arial"/>
                <w:sz w:val="16"/>
                <w:szCs w:val="16"/>
              </w:rPr>
            </w:pPr>
            <w:r w:rsidRPr="000B693E">
              <w:rPr>
                <w:rFonts w:cs="Arial"/>
                <w:sz w:val="16"/>
                <w:szCs w:val="16"/>
              </w:rPr>
              <w:t>1,096</w:t>
            </w:r>
          </w:p>
        </w:tc>
        <w:tc>
          <w:tcPr>
            <w:tcW w:w="0" w:type="auto"/>
            <w:tcBorders>
              <w:top w:val="nil"/>
              <w:left w:val="dotted" w:sz="4" w:space="0" w:color="auto"/>
              <w:bottom w:val="nil"/>
              <w:right w:val="single" w:sz="4" w:space="0" w:color="auto"/>
            </w:tcBorders>
            <w:shd w:val="clear" w:color="auto" w:fill="auto"/>
            <w:noWrap/>
            <w:vAlign w:val="bottom"/>
            <w:hideMark/>
          </w:tcPr>
          <w:p w14:paraId="09531AF8" w14:textId="77777777" w:rsidR="00443C82" w:rsidRPr="000B693E" w:rsidRDefault="00443C82" w:rsidP="00312E88">
            <w:pPr>
              <w:jc w:val="right"/>
              <w:rPr>
                <w:rFonts w:cs="Arial"/>
                <w:sz w:val="16"/>
                <w:szCs w:val="16"/>
              </w:rPr>
            </w:pPr>
            <w:r w:rsidRPr="000B693E">
              <w:rPr>
                <w:rFonts w:cs="Arial"/>
                <w:sz w:val="16"/>
                <w:szCs w:val="16"/>
              </w:rPr>
              <w:t>3,733</w:t>
            </w:r>
          </w:p>
        </w:tc>
        <w:tc>
          <w:tcPr>
            <w:tcW w:w="0" w:type="auto"/>
            <w:tcBorders>
              <w:top w:val="nil"/>
              <w:left w:val="dotted" w:sz="4" w:space="0" w:color="auto"/>
              <w:bottom w:val="nil"/>
              <w:right w:val="single" w:sz="4" w:space="0" w:color="auto"/>
            </w:tcBorders>
            <w:shd w:val="clear" w:color="auto" w:fill="auto"/>
            <w:noWrap/>
            <w:vAlign w:val="bottom"/>
            <w:hideMark/>
          </w:tcPr>
          <w:p w14:paraId="543E5FFA" w14:textId="77777777" w:rsidR="00443C82" w:rsidRPr="000B693E" w:rsidRDefault="00443C82" w:rsidP="00312E88">
            <w:pPr>
              <w:jc w:val="right"/>
              <w:rPr>
                <w:rFonts w:cs="Arial"/>
                <w:sz w:val="16"/>
                <w:szCs w:val="16"/>
              </w:rPr>
            </w:pPr>
            <w:r w:rsidRPr="000B693E">
              <w:rPr>
                <w:rFonts w:cs="Arial"/>
                <w:sz w:val="16"/>
                <w:szCs w:val="16"/>
              </w:rPr>
              <w:t>1,953</w:t>
            </w:r>
          </w:p>
        </w:tc>
      </w:tr>
      <w:tr w:rsidR="00443C82" w:rsidRPr="000B693E" w14:paraId="1797D978"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09AA6691" w14:textId="77777777" w:rsidR="00443C82" w:rsidRPr="000B693E" w:rsidRDefault="00443C82" w:rsidP="00312E88">
            <w:pPr>
              <w:rPr>
                <w:rFonts w:cs="Arial"/>
                <w:sz w:val="16"/>
                <w:szCs w:val="16"/>
              </w:rPr>
            </w:pPr>
            <w:r w:rsidRPr="000B693E">
              <w:rPr>
                <w:rFonts w:cs="Arial"/>
                <w:sz w:val="16"/>
                <w:szCs w:val="16"/>
              </w:rPr>
              <w:t>1%p.a. additional long term inflation</w:t>
            </w:r>
          </w:p>
        </w:tc>
        <w:tc>
          <w:tcPr>
            <w:tcW w:w="0" w:type="auto"/>
            <w:tcBorders>
              <w:top w:val="nil"/>
              <w:left w:val="nil"/>
              <w:bottom w:val="nil"/>
              <w:right w:val="nil"/>
            </w:tcBorders>
            <w:shd w:val="clear" w:color="auto" w:fill="auto"/>
            <w:noWrap/>
            <w:vAlign w:val="bottom"/>
            <w:hideMark/>
          </w:tcPr>
          <w:p w14:paraId="692D75DB" w14:textId="77777777" w:rsidR="00443C82" w:rsidRPr="000B693E" w:rsidRDefault="00443C82" w:rsidP="00312E88">
            <w:pPr>
              <w:jc w:val="right"/>
              <w:rPr>
                <w:rFonts w:cs="Arial"/>
                <w:sz w:val="16"/>
                <w:szCs w:val="16"/>
              </w:rPr>
            </w:pPr>
            <w:r w:rsidRPr="000B693E">
              <w:rPr>
                <w:rFonts w:cs="Arial"/>
                <w:sz w:val="16"/>
                <w:szCs w:val="16"/>
              </w:rPr>
              <w:t>6</w:t>
            </w:r>
          </w:p>
        </w:tc>
        <w:tc>
          <w:tcPr>
            <w:tcW w:w="0" w:type="auto"/>
            <w:tcBorders>
              <w:top w:val="nil"/>
              <w:left w:val="nil"/>
              <w:bottom w:val="nil"/>
              <w:right w:val="nil"/>
            </w:tcBorders>
            <w:shd w:val="clear" w:color="auto" w:fill="auto"/>
            <w:noWrap/>
            <w:vAlign w:val="bottom"/>
            <w:hideMark/>
          </w:tcPr>
          <w:p w14:paraId="100F40B5" w14:textId="77777777" w:rsidR="00443C82" w:rsidRPr="000B693E" w:rsidRDefault="00443C82" w:rsidP="00312E88">
            <w:pPr>
              <w:jc w:val="right"/>
              <w:rPr>
                <w:rFonts w:cs="Arial"/>
                <w:sz w:val="16"/>
                <w:szCs w:val="16"/>
              </w:rPr>
            </w:pPr>
            <w:r w:rsidRPr="000B693E">
              <w:rPr>
                <w:rFonts w:cs="Arial"/>
                <w:sz w:val="16"/>
                <w:szCs w:val="16"/>
              </w:rPr>
              <w:t>53</w:t>
            </w:r>
          </w:p>
        </w:tc>
        <w:tc>
          <w:tcPr>
            <w:tcW w:w="0" w:type="auto"/>
            <w:tcBorders>
              <w:top w:val="nil"/>
              <w:left w:val="nil"/>
              <w:bottom w:val="nil"/>
              <w:right w:val="nil"/>
            </w:tcBorders>
            <w:shd w:val="clear" w:color="auto" w:fill="auto"/>
            <w:noWrap/>
            <w:vAlign w:val="bottom"/>
            <w:hideMark/>
          </w:tcPr>
          <w:p w14:paraId="343213AE" w14:textId="77777777" w:rsidR="00443C82" w:rsidRPr="000B693E" w:rsidRDefault="00443C82" w:rsidP="00312E88">
            <w:pPr>
              <w:jc w:val="right"/>
              <w:rPr>
                <w:rFonts w:cs="Arial"/>
                <w:sz w:val="16"/>
                <w:szCs w:val="16"/>
              </w:rPr>
            </w:pPr>
            <w:r w:rsidRPr="000B693E">
              <w:rPr>
                <w:rFonts w:cs="Arial"/>
                <w:sz w:val="16"/>
                <w:szCs w:val="16"/>
              </w:rPr>
              <w:t>151</w:t>
            </w:r>
          </w:p>
        </w:tc>
        <w:tc>
          <w:tcPr>
            <w:tcW w:w="0" w:type="auto"/>
            <w:tcBorders>
              <w:top w:val="nil"/>
              <w:left w:val="nil"/>
              <w:bottom w:val="nil"/>
              <w:right w:val="nil"/>
            </w:tcBorders>
            <w:shd w:val="clear" w:color="auto" w:fill="auto"/>
            <w:noWrap/>
            <w:vAlign w:val="bottom"/>
            <w:hideMark/>
          </w:tcPr>
          <w:p w14:paraId="0029CF55" w14:textId="77777777" w:rsidR="00443C82" w:rsidRPr="000B693E" w:rsidRDefault="00443C82" w:rsidP="00312E88">
            <w:pPr>
              <w:jc w:val="right"/>
              <w:rPr>
                <w:rFonts w:cs="Arial"/>
                <w:sz w:val="16"/>
                <w:szCs w:val="16"/>
              </w:rPr>
            </w:pPr>
            <w:r w:rsidRPr="000B693E">
              <w:rPr>
                <w:rFonts w:cs="Arial"/>
                <w:sz w:val="16"/>
                <w:szCs w:val="16"/>
              </w:rPr>
              <w:t>296</w:t>
            </w:r>
          </w:p>
        </w:tc>
        <w:tc>
          <w:tcPr>
            <w:tcW w:w="0" w:type="auto"/>
            <w:tcBorders>
              <w:top w:val="nil"/>
              <w:left w:val="dotted" w:sz="4" w:space="0" w:color="auto"/>
              <w:bottom w:val="nil"/>
              <w:right w:val="single" w:sz="4" w:space="0" w:color="auto"/>
            </w:tcBorders>
            <w:shd w:val="clear" w:color="auto" w:fill="auto"/>
            <w:noWrap/>
            <w:vAlign w:val="bottom"/>
            <w:hideMark/>
          </w:tcPr>
          <w:p w14:paraId="5F03B08A" w14:textId="77777777" w:rsidR="00443C82" w:rsidRPr="000B693E" w:rsidRDefault="00443C82" w:rsidP="00312E88">
            <w:pPr>
              <w:jc w:val="right"/>
              <w:rPr>
                <w:rFonts w:cs="Arial"/>
                <w:sz w:val="16"/>
                <w:szCs w:val="16"/>
              </w:rPr>
            </w:pPr>
            <w:r w:rsidRPr="000B693E">
              <w:rPr>
                <w:rFonts w:cs="Arial"/>
                <w:sz w:val="16"/>
                <w:szCs w:val="16"/>
              </w:rPr>
              <w:t>1,891</w:t>
            </w:r>
          </w:p>
        </w:tc>
        <w:tc>
          <w:tcPr>
            <w:tcW w:w="0" w:type="auto"/>
            <w:tcBorders>
              <w:top w:val="nil"/>
              <w:left w:val="dotted" w:sz="4" w:space="0" w:color="auto"/>
              <w:bottom w:val="nil"/>
              <w:right w:val="single" w:sz="4" w:space="0" w:color="auto"/>
            </w:tcBorders>
            <w:shd w:val="clear" w:color="auto" w:fill="auto"/>
            <w:noWrap/>
            <w:vAlign w:val="bottom"/>
            <w:hideMark/>
          </w:tcPr>
          <w:p w14:paraId="2B9894F9" w14:textId="77777777" w:rsidR="00443C82" w:rsidRPr="000B693E" w:rsidRDefault="00443C82" w:rsidP="00312E88">
            <w:pPr>
              <w:jc w:val="right"/>
              <w:rPr>
                <w:rFonts w:cs="Arial"/>
                <w:sz w:val="16"/>
                <w:szCs w:val="16"/>
              </w:rPr>
            </w:pPr>
            <w:r w:rsidRPr="000B693E">
              <w:rPr>
                <w:rFonts w:cs="Arial"/>
                <w:sz w:val="16"/>
                <w:szCs w:val="16"/>
              </w:rPr>
              <w:t>506</w:t>
            </w:r>
          </w:p>
        </w:tc>
      </w:tr>
      <w:tr w:rsidR="00443C82" w:rsidRPr="000B693E" w14:paraId="0D35164D"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377E8F3C" w14:textId="77777777" w:rsidR="00443C82" w:rsidRPr="000B693E" w:rsidRDefault="00443C82" w:rsidP="00312E88">
            <w:pPr>
              <w:rPr>
                <w:rFonts w:cs="Arial"/>
                <w:sz w:val="16"/>
                <w:szCs w:val="16"/>
              </w:rPr>
            </w:pPr>
            <w:r w:rsidRPr="000B693E">
              <w:rPr>
                <w:rFonts w:cs="Arial"/>
                <w:sz w:val="16"/>
                <w:szCs w:val="16"/>
              </w:rPr>
              <w:t>1%p.a. less long term inflation</w:t>
            </w:r>
          </w:p>
        </w:tc>
        <w:tc>
          <w:tcPr>
            <w:tcW w:w="0" w:type="auto"/>
            <w:tcBorders>
              <w:top w:val="nil"/>
              <w:left w:val="nil"/>
              <w:bottom w:val="nil"/>
              <w:right w:val="nil"/>
            </w:tcBorders>
            <w:shd w:val="clear" w:color="auto" w:fill="auto"/>
            <w:noWrap/>
            <w:vAlign w:val="bottom"/>
            <w:hideMark/>
          </w:tcPr>
          <w:p w14:paraId="0D49C4F2" w14:textId="77777777" w:rsidR="00443C82" w:rsidRPr="000B693E" w:rsidRDefault="00443C82" w:rsidP="00312E88">
            <w:pPr>
              <w:jc w:val="right"/>
              <w:rPr>
                <w:rFonts w:cs="Arial"/>
                <w:sz w:val="16"/>
                <w:szCs w:val="16"/>
              </w:rPr>
            </w:pPr>
            <w:r w:rsidRPr="000B693E">
              <w:rPr>
                <w:rFonts w:cs="Arial"/>
                <w:sz w:val="16"/>
                <w:szCs w:val="16"/>
              </w:rPr>
              <w:t>-6</w:t>
            </w:r>
          </w:p>
        </w:tc>
        <w:tc>
          <w:tcPr>
            <w:tcW w:w="0" w:type="auto"/>
            <w:tcBorders>
              <w:top w:val="nil"/>
              <w:left w:val="nil"/>
              <w:bottom w:val="nil"/>
              <w:right w:val="nil"/>
            </w:tcBorders>
            <w:shd w:val="clear" w:color="auto" w:fill="auto"/>
            <w:noWrap/>
            <w:vAlign w:val="bottom"/>
            <w:hideMark/>
          </w:tcPr>
          <w:p w14:paraId="62152AB7" w14:textId="77777777" w:rsidR="00443C82" w:rsidRPr="000B693E" w:rsidRDefault="00443C82" w:rsidP="00312E88">
            <w:pPr>
              <w:jc w:val="right"/>
              <w:rPr>
                <w:rFonts w:cs="Arial"/>
                <w:sz w:val="16"/>
                <w:szCs w:val="16"/>
              </w:rPr>
            </w:pPr>
            <w:r w:rsidRPr="000B693E">
              <w:rPr>
                <w:rFonts w:cs="Arial"/>
                <w:sz w:val="16"/>
                <w:szCs w:val="16"/>
              </w:rPr>
              <w:t>-52</w:t>
            </w:r>
          </w:p>
        </w:tc>
        <w:tc>
          <w:tcPr>
            <w:tcW w:w="0" w:type="auto"/>
            <w:tcBorders>
              <w:top w:val="nil"/>
              <w:left w:val="nil"/>
              <w:bottom w:val="nil"/>
              <w:right w:val="nil"/>
            </w:tcBorders>
            <w:shd w:val="clear" w:color="auto" w:fill="auto"/>
            <w:noWrap/>
            <w:vAlign w:val="bottom"/>
            <w:hideMark/>
          </w:tcPr>
          <w:p w14:paraId="61148E2A" w14:textId="77777777" w:rsidR="00443C82" w:rsidRPr="000B693E" w:rsidRDefault="00443C82" w:rsidP="00312E88">
            <w:pPr>
              <w:jc w:val="right"/>
              <w:rPr>
                <w:rFonts w:cs="Arial"/>
                <w:sz w:val="16"/>
                <w:szCs w:val="16"/>
              </w:rPr>
            </w:pPr>
            <w:r w:rsidRPr="000B693E">
              <w:rPr>
                <w:rFonts w:cs="Arial"/>
                <w:sz w:val="16"/>
                <w:szCs w:val="16"/>
              </w:rPr>
              <w:t>-149</w:t>
            </w:r>
          </w:p>
        </w:tc>
        <w:tc>
          <w:tcPr>
            <w:tcW w:w="0" w:type="auto"/>
            <w:tcBorders>
              <w:top w:val="nil"/>
              <w:left w:val="nil"/>
              <w:bottom w:val="nil"/>
              <w:right w:val="nil"/>
            </w:tcBorders>
            <w:shd w:val="clear" w:color="auto" w:fill="auto"/>
            <w:noWrap/>
            <w:vAlign w:val="bottom"/>
            <w:hideMark/>
          </w:tcPr>
          <w:p w14:paraId="6C9EB95F" w14:textId="77777777" w:rsidR="00443C82" w:rsidRPr="000B693E" w:rsidRDefault="00443C82" w:rsidP="00312E88">
            <w:pPr>
              <w:jc w:val="right"/>
              <w:rPr>
                <w:rFonts w:cs="Arial"/>
                <w:sz w:val="16"/>
                <w:szCs w:val="16"/>
              </w:rPr>
            </w:pPr>
            <w:r w:rsidRPr="000B693E">
              <w:rPr>
                <w:rFonts w:cs="Arial"/>
                <w:sz w:val="16"/>
                <w:szCs w:val="16"/>
              </w:rPr>
              <w:t>-289</w:t>
            </w:r>
          </w:p>
        </w:tc>
        <w:tc>
          <w:tcPr>
            <w:tcW w:w="0" w:type="auto"/>
            <w:tcBorders>
              <w:top w:val="nil"/>
              <w:left w:val="dotted" w:sz="4" w:space="0" w:color="auto"/>
              <w:bottom w:val="nil"/>
              <w:right w:val="single" w:sz="4" w:space="0" w:color="auto"/>
            </w:tcBorders>
            <w:shd w:val="clear" w:color="auto" w:fill="auto"/>
            <w:noWrap/>
            <w:vAlign w:val="bottom"/>
            <w:hideMark/>
          </w:tcPr>
          <w:p w14:paraId="203A62BB" w14:textId="77777777" w:rsidR="00443C82" w:rsidRPr="000B693E" w:rsidRDefault="00443C82" w:rsidP="00312E88">
            <w:pPr>
              <w:jc w:val="right"/>
              <w:rPr>
                <w:rFonts w:cs="Arial"/>
                <w:sz w:val="16"/>
                <w:szCs w:val="16"/>
              </w:rPr>
            </w:pPr>
            <w:r w:rsidRPr="000B693E">
              <w:rPr>
                <w:rFonts w:cs="Arial"/>
                <w:sz w:val="16"/>
                <w:szCs w:val="16"/>
              </w:rPr>
              <w:t>-1,755</w:t>
            </w:r>
          </w:p>
        </w:tc>
        <w:tc>
          <w:tcPr>
            <w:tcW w:w="0" w:type="auto"/>
            <w:tcBorders>
              <w:top w:val="nil"/>
              <w:left w:val="dotted" w:sz="4" w:space="0" w:color="auto"/>
              <w:bottom w:val="nil"/>
              <w:right w:val="single" w:sz="4" w:space="0" w:color="auto"/>
            </w:tcBorders>
            <w:shd w:val="clear" w:color="auto" w:fill="auto"/>
            <w:noWrap/>
            <w:vAlign w:val="bottom"/>
            <w:hideMark/>
          </w:tcPr>
          <w:p w14:paraId="7AEA6517" w14:textId="77777777" w:rsidR="00443C82" w:rsidRPr="000B693E" w:rsidRDefault="00443C82" w:rsidP="00312E88">
            <w:pPr>
              <w:jc w:val="right"/>
              <w:rPr>
                <w:rFonts w:cs="Arial"/>
                <w:sz w:val="16"/>
                <w:szCs w:val="16"/>
              </w:rPr>
            </w:pPr>
            <w:r w:rsidRPr="000B693E">
              <w:rPr>
                <w:rFonts w:cs="Arial"/>
                <w:sz w:val="16"/>
                <w:szCs w:val="16"/>
              </w:rPr>
              <w:t>-496</w:t>
            </w:r>
          </w:p>
        </w:tc>
      </w:tr>
      <w:tr w:rsidR="00443C82" w:rsidRPr="000B693E" w14:paraId="7E1240FC" w14:textId="77777777" w:rsidTr="00443C82">
        <w:trPr>
          <w:trHeight w:hRule="exact" w:val="284"/>
        </w:trPr>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48A52DA9" w14:textId="77777777" w:rsidR="00443C82" w:rsidRPr="000B693E" w:rsidRDefault="00443C82" w:rsidP="00312E88">
            <w:pPr>
              <w:rPr>
                <w:rFonts w:cs="Arial"/>
                <w:b/>
                <w:bCs/>
                <w:sz w:val="16"/>
                <w:szCs w:val="16"/>
              </w:rPr>
            </w:pPr>
            <w:r w:rsidRPr="000B693E">
              <w:rPr>
                <w:rFonts w:cs="Arial"/>
                <w:b/>
                <w:bCs/>
                <w:sz w:val="16"/>
                <w:szCs w:val="16"/>
              </w:rPr>
              <w:t>Population (variances to baseline)</w:t>
            </w:r>
          </w:p>
        </w:tc>
        <w:tc>
          <w:tcPr>
            <w:tcW w:w="0" w:type="auto"/>
            <w:tcBorders>
              <w:top w:val="single" w:sz="4" w:space="0" w:color="auto"/>
              <w:left w:val="nil"/>
              <w:bottom w:val="single" w:sz="8" w:space="0" w:color="auto"/>
              <w:right w:val="nil"/>
            </w:tcBorders>
            <w:shd w:val="clear" w:color="auto" w:fill="auto"/>
            <w:noWrap/>
            <w:vAlign w:val="bottom"/>
            <w:hideMark/>
          </w:tcPr>
          <w:p w14:paraId="03D59440" w14:textId="77777777" w:rsidR="00443C82" w:rsidRPr="000B693E" w:rsidRDefault="00443C82" w:rsidP="00312E88">
            <w:pPr>
              <w:jc w:val="right"/>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33A50549" w14:textId="77777777" w:rsidR="00443C82" w:rsidRPr="000B693E" w:rsidRDefault="00443C82" w:rsidP="00312E88">
            <w:pPr>
              <w:jc w:val="right"/>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5CC89789" w14:textId="77777777" w:rsidR="00443C82" w:rsidRPr="000B693E" w:rsidRDefault="00443C82" w:rsidP="00312E88">
            <w:pPr>
              <w:jc w:val="right"/>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166A50B1" w14:textId="77777777" w:rsidR="00443C82" w:rsidRPr="000B693E" w:rsidRDefault="00443C82" w:rsidP="00312E88">
            <w:pPr>
              <w:jc w:val="right"/>
              <w:rPr>
                <w:rFonts w:cs="Arial"/>
                <w:sz w:val="16"/>
                <w:szCs w:val="16"/>
              </w:rPr>
            </w:pPr>
            <w:r w:rsidRPr="000B693E">
              <w:rPr>
                <w:rFonts w:cs="Arial"/>
                <w:sz w:val="16"/>
                <w:szCs w:val="16"/>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07A65BB0" w14:textId="77777777" w:rsidR="00443C82" w:rsidRPr="000B693E" w:rsidRDefault="00443C82" w:rsidP="00312E88">
            <w:pPr>
              <w:jc w:val="right"/>
              <w:rPr>
                <w:rFonts w:cs="Arial"/>
                <w:sz w:val="16"/>
                <w:szCs w:val="16"/>
              </w:rPr>
            </w:pPr>
            <w:r w:rsidRPr="000B693E">
              <w:rPr>
                <w:rFonts w:cs="Arial"/>
                <w:sz w:val="16"/>
                <w:szCs w:val="16"/>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14182A0F" w14:textId="77777777" w:rsidR="00443C82" w:rsidRPr="000B693E" w:rsidRDefault="00443C82" w:rsidP="00312E88">
            <w:pPr>
              <w:jc w:val="right"/>
              <w:rPr>
                <w:rFonts w:cs="Arial"/>
                <w:sz w:val="16"/>
                <w:szCs w:val="16"/>
              </w:rPr>
            </w:pPr>
            <w:r w:rsidRPr="000B693E">
              <w:rPr>
                <w:rFonts w:cs="Arial"/>
                <w:sz w:val="16"/>
                <w:szCs w:val="16"/>
              </w:rPr>
              <w:t> </w:t>
            </w:r>
          </w:p>
        </w:tc>
      </w:tr>
      <w:tr w:rsidR="00443C82" w:rsidRPr="000B693E" w14:paraId="7B0C4B14"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1D5404F3" w14:textId="77777777" w:rsidR="00443C82" w:rsidRPr="000B693E" w:rsidRDefault="00443C82" w:rsidP="00312E88">
            <w:pPr>
              <w:rPr>
                <w:rFonts w:cs="Arial"/>
                <w:sz w:val="16"/>
                <w:szCs w:val="16"/>
              </w:rPr>
            </w:pPr>
            <w:r w:rsidRPr="000B693E">
              <w:rPr>
                <w:rFonts w:cs="Arial"/>
                <w:sz w:val="16"/>
                <w:szCs w:val="16"/>
              </w:rPr>
              <w:t>Lower long term new incidence assumptions</w:t>
            </w:r>
          </w:p>
        </w:tc>
        <w:tc>
          <w:tcPr>
            <w:tcW w:w="0" w:type="auto"/>
            <w:tcBorders>
              <w:top w:val="nil"/>
              <w:left w:val="nil"/>
              <w:bottom w:val="nil"/>
              <w:right w:val="nil"/>
            </w:tcBorders>
            <w:shd w:val="clear" w:color="auto" w:fill="auto"/>
            <w:noWrap/>
            <w:vAlign w:val="bottom"/>
            <w:hideMark/>
          </w:tcPr>
          <w:p w14:paraId="3B4EAC6E" w14:textId="77777777" w:rsidR="00443C82" w:rsidRPr="000B693E" w:rsidRDefault="00443C82" w:rsidP="00312E88">
            <w:pPr>
              <w:jc w:val="right"/>
              <w:rPr>
                <w:rFonts w:cs="Arial"/>
                <w:sz w:val="16"/>
                <w:szCs w:val="16"/>
              </w:rPr>
            </w:pPr>
            <w:r w:rsidRPr="000B693E">
              <w:rPr>
                <w:rFonts w:cs="Arial"/>
                <w:sz w:val="16"/>
                <w:szCs w:val="16"/>
              </w:rPr>
              <w:t>0.0%</w:t>
            </w:r>
          </w:p>
        </w:tc>
        <w:tc>
          <w:tcPr>
            <w:tcW w:w="0" w:type="auto"/>
            <w:tcBorders>
              <w:top w:val="nil"/>
              <w:left w:val="nil"/>
              <w:bottom w:val="nil"/>
              <w:right w:val="nil"/>
            </w:tcBorders>
            <w:shd w:val="clear" w:color="auto" w:fill="auto"/>
            <w:noWrap/>
            <w:vAlign w:val="bottom"/>
            <w:hideMark/>
          </w:tcPr>
          <w:p w14:paraId="5439BCBF" w14:textId="77777777" w:rsidR="00443C82" w:rsidRPr="000B693E" w:rsidRDefault="00443C82" w:rsidP="00312E88">
            <w:pPr>
              <w:jc w:val="right"/>
              <w:rPr>
                <w:rFonts w:cs="Arial"/>
                <w:sz w:val="16"/>
                <w:szCs w:val="16"/>
              </w:rPr>
            </w:pPr>
            <w:r w:rsidRPr="000B693E">
              <w:rPr>
                <w:rFonts w:cs="Arial"/>
                <w:sz w:val="16"/>
                <w:szCs w:val="16"/>
              </w:rPr>
              <w:t>0.0%</w:t>
            </w:r>
          </w:p>
        </w:tc>
        <w:tc>
          <w:tcPr>
            <w:tcW w:w="0" w:type="auto"/>
            <w:tcBorders>
              <w:top w:val="nil"/>
              <w:left w:val="nil"/>
              <w:bottom w:val="nil"/>
              <w:right w:val="nil"/>
            </w:tcBorders>
            <w:shd w:val="clear" w:color="auto" w:fill="auto"/>
            <w:noWrap/>
            <w:vAlign w:val="bottom"/>
            <w:hideMark/>
          </w:tcPr>
          <w:p w14:paraId="460ABB7C" w14:textId="77777777" w:rsidR="00443C82" w:rsidRPr="000B693E" w:rsidRDefault="00443C82" w:rsidP="00312E88">
            <w:pPr>
              <w:jc w:val="right"/>
              <w:rPr>
                <w:rFonts w:cs="Arial"/>
                <w:sz w:val="16"/>
                <w:szCs w:val="16"/>
              </w:rPr>
            </w:pPr>
            <w:r w:rsidRPr="000B693E">
              <w:rPr>
                <w:rFonts w:cs="Arial"/>
                <w:sz w:val="16"/>
                <w:szCs w:val="16"/>
              </w:rPr>
              <w:t>0.0%</w:t>
            </w:r>
          </w:p>
        </w:tc>
        <w:tc>
          <w:tcPr>
            <w:tcW w:w="0" w:type="auto"/>
            <w:tcBorders>
              <w:top w:val="nil"/>
              <w:left w:val="nil"/>
              <w:bottom w:val="nil"/>
              <w:right w:val="nil"/>
            </w:tcBorders>
            <w:shd w:val="clear" w:color="auto" w:fill="auto"/>
            <w:noWrap/>
            <w:vAlign w:val="bottom"/>
            <w:hideMark/>
          </w:tcPr>
          <w:p w14:paraId="24C7648E" w14:textId="77777777" w:rsidR="00443C82" w:rsidRPr="000B693E" w:rsidRDefault="00443C82" w:rsidP="00312E88">
            <w:pPr>
              <w:jc w:val="right"/>
              <w:rPr>
                <w:rFonts w:cs="Arial"/>
                <w:sz w:val="16"/>
                <w:szCs w:val="16"/>
              </w:rPr>
            </w:pPr>
            <w:r w:rsidRPr="000B693E">
              <w:rPr>
                <w:rFonts w:cs="Arial"/>
                <w:sz w:val="16"/>
                <w:szCs w:val="16"/>
              </w:rPr>
              <w:t>0.0%</w:t>
            </w:r>
          </w:p>
        </w:tc>
        <w:tc>
          <w:tcPr>
            <w:tcW w:w="0" w:type="auto"/>
            <w:tcBorders>
              <w:top w:val="nil"/>
              <w:left w:val="dotted" w:sz="4" w:space="0" w:color="auto"/>
              <w:bottom w:val="nil"/>
              <w:right w:val="single" w:sz="4" w:space="0" w:color="auto"/>
            </w:tcBorders>
            <w:shd w:val="clear" w:color="auto" w:fill="auto"/>
            <w:noWrap/>
            <w:vAlign w:val="bottom"/>
            <w:hideMark/>
          </w:tcPr>
          <w:p w14:paraId="106973A1" w14:textId="77777777" w:rsidR="00443C82" w:rsidRPr="000B693E" w:rsidRDefault="00443C82" w:rsidP="00312E88">
            <w:pPr>
              <w:jc w:val="right"/>
              <w:rPr>
                <w:rFonts w:cs="Arial"/>
                <w:sz w:val="16"/>
                <w:szCs w:val="16"/>
              </w:rPr>
            </w:pPr>
            <w:r w:rsidRPr="000B693E">
              <w:rPr>
                <w:rFonts w:cs="Arial"/>
                <w:sz w:val="16"/>
                <w:szCs w:val="16"/>
              </w:rPr>
              <w:t>-8.2%</w:t>
            </w:r>
          </w:p>
        </w:tc>
        <w:tc>
          <w:tcPr>
            <w:tcW w:w="0" w:type="auto"/>
            <w:tcBorders>
              <w:top w:val="nil"/>
              <w:left w:val="dotted" w:sz="4" w:space="0" w:color="auto"/>
              <w:bottom w:val="nil"/>
              <w:right w:val="single" w:sz="4" w:space="0" w:color="auto"/>
            </w:tcBorders>
            <w:shd w:val="clear" w:color="auto" w:fill="auto"/>
            <w:noWrap/>
            <w:vAlign w:val="bottom"/>
            <w:hideMark/>
          </w:tcPr>
          <w:p w14:paraId="3885AB60" w14:textId="77777777" w:rsidR="00443C82" w:rsidRPr="000B693E" w:rsidRDefault="00443C82" w:rsidP="00312E88">
            <w:pPr>
              <w:jc w:val="right"/>
              <w:rPr>
                <w:rFonts w:cs="Arial"/>
                <w:sz w:val="16"/>
                <w:szCs w:val="16"/>
              </w:rPr>
            </w:pPr>
            <w:r w:rsidRPr="000B693E">
              <w:rPr>
                <w:rFonts w:cs="Arial"/>
                <w:sz w:val="16"/>
                <w:szCs w:val="16"/>
              </w:rPr>
              <w:t>0.0%</w:t>
            </w:r>
          </w:p>
        </w:tc>
      </w:tr>
      <w:tr w:rsidR="00443C82" w:rsidRPr="000B693E" w14:paraId="36844223"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21A929DD" w14:textId="77777777" w:rsidR="00443C82" w:rsidRPr="000B693E" w:rsidRDefault="00443C82" w:rsidP="00312E88">
            <w:pPr>
              <w:rPr>
                <w:rFonts w:cs="Arial"/>
                <w:sz w:val="16"/>
                <w:szCs w:val="16"/>
              </w:rPr>
            </w:pPr>
            <w:r w:rsidRPr="000B693E">
              <w:rPr>
                <w:rFonts w:cs="Arial"/>
                <w:sz w:val="16"/>
                <w:szCs w:val="16"/>
              </w:rPr>
              <w:t>Higher long term new incidence assumptions</w:t>
            </w:r>
          </w:p>
        </w:tc>
        <w:tc>
          <w:tcPr>
            <w:tcW w:w="0" w:type="auto"/>
            <w:tcBorders>
              <w:top w:val="nil"/>
              <w:left w:val="nil"/>
              <w:bottom w:val="nil"/>
              <w:right w:val="nil"/>
            </w:tcBorders>
            <w:shd w:val="clear" w:color="auto" w:fill="auto"/>
            <w:noWrap/>
            <w:vAlign w:val="bottom"/>
            <w:hideMark/>
          </w:tcPr>
          <w:p w14:paraId="71B7D6D4" w14:textId="77777777" w:rsidR="00443C82" w:rsidRPr="000B693E" w:rsidRDefault="00443C82" w:rsidP="00312E88">
            <w:pPr>
              <w:jc w:val="right"/>
              <w:rPr>
                <w:rFonts w:cs="Arial"/>
                <w:sz w:val="16"/>
                <w:szCs w:val="16"/>
              </w:rPr>
            </w:pPr>
            <w:r w:rsidRPr="000B693E">
              <w:rPr>
                <w:rFonts w:cs="Arial"/>
                <w:sz w:val="16"/>
                <w:szCs w:val="16"/>
              </w:rPr>
              <w:t>0.0%</w:t>
            </w:r>
          </w:p>
        </w:tc>
        <w:tc>
          <w:tcPr>
            <w:tcW w:w="0" w:type="auto"/>
            <w:tcBorders>
              <w:top w:val="nil"/>
              <w:left w:val="nil"/>
              <w:bottom w:val="nil"/>
              <w:right w:val="nil"/>
            </w:tcBorders>
            <w:shd w:val="clear" w:color="auto" w:fill="auto"/>
            <w:noWrap/>
            <w:vAlign w:val="bottom"/>
            <w:hideMark/>
          </w:tcPr>
          <w:p w14:paraId="34B97129" w14:textId="77777777" w:rsidR="00443C82" w:rsidRPr="000B693E" w:rsidRDefault="00443C82" w:rsidP="00312E88">
            <w:pPr>
              <w:jc w:val="right"/>
              <w:rPr>
                <w:rFonts w:cs="Arial"/>
                <w:sz w:val="16"/>
                <w:szCs w:val="16"/>
              </w:rPr>
            </w:pPr>
            <w:r w:rsidRPr="000B693E">
              <w:rPr>
                <w:rFonts w:cs="Arial"/>
                <w:sz w:val="16"/>
                <w:szCs w:val="16"/>
              </w:rPr>
              <w:t>2.1%</w:t>
            </w:r>
          </w:p>
        </w:tc>
        <w:tc>
          <w:tcPr>
            <w:tcW w:w="0" w:type="auto"/>
            <w:tcBorders>
              <w:top w:val="nil"/>
              <w:left w:val="nil"/>
              <w:bottom w:val="nil"/>
              <w:right w:val="nil"/>
            </w:tcBorders>
            <w:shd w:val="clear" w:color="auto" w:fill="auto"/>
            <w:noWrap/>
            <w:vAlign w:val="bottom"/>
            <w:hideMark/>
          </w:tcPr>
          <w:p w14:paraId="49370C55" w14:textId="77777777" w:rsidR="00443C82" w:rsidRPr="000B693E" w:rsidRDefault="00443C82" w:rsidP="00312E88">
            <w:pPr>
              <w:jc w:val="right"/>
              <w:rPr>
                <w:rFonts w:cs="Arial"/>
                <w:sz w:val="16"/>
                <w:szCs w:val="16"/>
              </w:rPr>
            </w:pPr>
            <w:r w:rsidRPr="000B693E">
              <w:rPr>
                <w:rFonts w:cs="Arial"/>
                <w:sz w:val="16"/>
                <w:szCs w:val="16"/>
              </w:rPr>
              <w:t>8.0%</w:t>
            </w:r>
          </w:p>
        </w:tc>
        <w:tc>
          <w:tcPr>
            <w:tcW w:w="0" w:type="auto"/>
            <w:tcBorders>
              <w:top w:val="nil"/>
              <w:left w:val="nil"/>
              <w:bottom w:val="nil"/>
              <w:right w:val="nil"/>
            </w:tcBorders>
            <w:shd w:val="clear" w:color="auto" w:fill="auto"/>
            <w:noWrap/>
            <w:vAlign w:val="bottom"/>
            <w:hideMark/>
          </w:tcPr>
          <w:p w14:paraId="5FE0FBEF" w14:textId="77777777" w:rsidR="00443C82" w:rsidRPr="000B693E" w:rsidRDefault="00443C82" w:rsidP="00312E88">
            <w:pPr>
              <w:jc w:val="right"/>
              <w:rPr>
                <w:rFonts w:cs="Arial"/>
                <w:sz w:val="16"/>
                <w:szCs w:val="16"/>
              </w:rPr>
            </w:pPr>
            <w:r w:rsidRPr="000B693E">
              <w:rPr>
                <w:rFonts w:cs="Arial"/>
                <w:sz w:val="16"/>
                <w:szCs w:val="16"/>
              </w:rPr>
              <w:t>14.5%</w:t>
            </w:r>
          </w:p>
        </w:tc>
        <w:tc>
          <w:tcPr>
            <w:tcW w:w="0" w:type="auto"/>
            <w:tcBorders>
              <w:top w:val="nil"/>
              <w:left w:val="dotted" w:sz="4" w:space="0" w:color="auto"/>
              <w:bottom w:val="nil"/>
              <w:right w:val="single" w:sz="4" w:space="0" w:color="auto"/>
            </w:tcBorders>
            <w:shd w:val="clear" w:color="auto" w:fill="auto"/>
            <w:noWrap/>
            <w:vAlign w:val="bottom"/>
            <w:hideMark/>
          </w:tcPr>
          <w:p w14:paraId="552DDE9C" w14:textId="77777777" w:rsidR="00443C82" w:rsidRPr="000B693E" w:rsidRDefault="00443C82" w:rsidP="00312E88">
            <w:pPr>
              <w:jc w:val="right"/>
              <w:rPr>
                <w:rFonts w:cs="Arial"/>
                <w:sz w:val="16"/>
                <w:szCs w:val="16"/>
              </w:rPr>
            </w:pPr>
            <w:r w:rsidRPr="000B693E">
              <w:rPr>
                <w:rFonts w:cs="Arial"/>
                <w:sz w:val="16"/>
                <w:szCs w:val="16"/>
              </w:rPr>
              <w:t>28.9%</w:t>
            </w:r>
          </w:p>
        </w:tc>
        <w:tc>
          <w:tcPr>
            <w:tcW w:w="0" w:type="auto"/>
            <w:tcBorders>
              <w:top w:val="nil"/>
              <w:left w:val="dotted" w:sz="4" w:space="0" w:color="auto"/>
              <w:bottom w:val="nil"/>
              <w:right w:val="single" w:sz="4" w:space="0" w:color="auto"/>
            </w:tcBorders>
            <w:shd w:val="clear" w:color="auto" w:fill="auto"/>
            <w:noWrap/>
            <w:vAlign w:val="bottom"/>
            <w:hideMark/>
          </w:tcPr>
          <w:p w14:paraId="5BC1D7E5" w14:textId="77777777" w:rsidR="00443C82" w:rsidRPr="000B693E" w:rsidRDefault="00443C82" w:rsidP="00312E88">
            <w:pPr>
              <w:jc w:val="right"/>
              <w:rPr>
                <w:rFonts w:cs="Arial"/>
                <w:sz w:val="16"/>
                <w:szCs w:val="16"/>
              </w:rPr>
            </w:pPr>
            <w:r w:rsidRPr="000B693E">
              <w:rPr>
                <w:rFonts w:cs="Arial"/>
                <w:sz w:val="16"/>
                <w:szCs w:val="16"/>
              </w:rPr>
              <w:t>9.2%</w:t>
            </w:r>
          </w:p>
        </w:tc>
      </w:tr>
      <w:tr w:rsidR="00443C82" w:rsidRPr="000B693E" w14:paraId="303AE1F8" w14:textId="77777777" w:rsidTr="00443C82">
        <w:trPr>
          <w:trHeight w:hRule="exact" w:val="284"/>
        </w:trPr>
        <w:tc>
          <w:tcPr>
            <w:tcW w:w="0" w:type="auto"/>
            <w:tcBorders>
              <w:top w:val="nil"/>
              <w:left w:val="single" w:sz="4" w:space="0" w:color="auto"/>
              <w:right w:val="single" w:sz="4" w:space="0" w:color="auto"/>
            </w:tcBorders>
            <w:shd w:val="clear" w:color="auto" w:fill="auto"/>
            <w:noWrap/>
            <w:vAlign w:val="bottom"/>
            <w:hideMark/>
          </w:tcPr>
          <w:p w14:paraId="0AE9F94E" w14:textId="77777777" w:rsidR="00443C82" w:rsidRPr="000B693E" w:rsidRDefault="00443C82" w:rsidP="00312E88">
            <w:pPr>
              <w:rPr>
                <w:rFonts w:cs="Arial"/>
                <w:sz w:val="16"/>
                <w:szCs w:val="16"/>
              </w:rPr>
            </w:pPr>
            <w:r w:rsidRPr="000B693E">
              <w:rPr>
                <w:rFonts w:cs="Arial"/>
                <w:sz w:val="16"/>
                <w:szCs w:val="16"/>
              </w:rPr>
              <w:t>Lower general population growth</w:t>
            </w:r>
          </w:p>
        </w:tc>
        <w:tc>
          <w:tcPr>
            <w:tcW w:w="0" w:type="auto"/>
            <w:tcBorders>
              <w:top w:val="nil"/>
              <w:left w:val="nil"/>
              <w:right w:val="nil"/>
            </w:tcBorders>
            <w:shd w:val="clear" w:color="auto" w:fill="auto"/>
            <w:noWrap/>
            <w:vAlign w:val="bottom"/>
            <w:hideMark/>
          </w:tcPr>
          <w:p w14:paraId="4D0DEED7" w14:textId="77777777" w:rsidR="00443C82" w:rsidRPr="000B693E" w:rsidRDefault="00443C82" w:rsidP="00312E88">
            <w:pPr>
              <w:jc w:val="right"/>
              <w:rPr>
                <w:rFonts w:cs="Arial"/>
                <w:sz w:val="16"/>
                <w:szCs w:val="16"/>
              </w:rPr>
            </w:pPr>
            <w:r w:rsidRPr="000B693E">
              <w:rPr>
                <w:rFonts w:cs="Arial"/>
                <w:sz w:val="16"/>
                <w:szCs w:val="16"/>
              </w:rPr>
              <w:t>0.0%</w:t>
            </w:r>
          </w:p>
        </w:tc>
        <w:tc>
          <w:tcPr>
            <w:tcW w:w="0" w:type="auto"/>
            <w:tcBorders>
              <w:top w:val="nil"/>
              <w:left w:val="nil"/>
              <w:right w:val="nil"/>
            </w:tcBorders>
            <w:shd w:val="clear" w:color="auto" w:fill="auto"/>
            <w:noWrap/>
            <w:vAlign w:val="bottom"/>
            <w:hideMark/>
          </w:tcPr>
          <w:p w14:paraId="2A908F37" w14:textId="77777777" w:rsidR="00443C82" w:rsidRPr="000B693E" w:rsidRDefault="00443C82" w:rsidP="00312E88">
            <w:pPr>
              <w:jc w:val="right"/>
              <w:rPr>
                <w:rFonts w:cs="Arial"/>
                <w:sz w:val="16"/>
                <w:szCs w:val="16"/>
              </w:rPr>
            </w:pPr>
            <w:r w:rsidRPr="000B693E">
              <w:rPr>
                <w:rFonts w:cs="Arial"/>
                <w:sz w:val="16"/>
                <w:szCs w:val="16"/>
              </w:rPr>
              <w:t>-0.1%</w:t>
            </w:r>
          </w:p>
        </w:tc>
        <w:tc>
          <w:tcPr>
            <w:tcW w:w="0" w:type="auto"/>
            <w:tcBorders>
              <w:top w:val="nil"/>
              <w:left w:val="nil"/>
              <w:right w:val="nil"/>
            </w:tcBorders>
            <w:shd w:val="clear" w:color="auto" w:fill="auto"/>
            <w:noWrap/>
            <w:vAlign w:val="bottom"/>
            <w:hideMark/>
          </w:tcPr>
          <w:p w14:paraId="06D2F40C" w14:textId="77777777" w:rsidR="00443C82" w:rsidRPr="000B693E" w:rsidRDefault="00443C82" w:rsidP="00312E88">
            <w:pPr>
              <w:jc w:val="right"/>
              <w:rPr>
                <w:rFonts w:cs="Arial"/>
                <w:sz w:val="16"/>
                <w:szCs w:val="16"/>
              </w:rPr>
            </w:pPr>
            <w:r w:rsidRPr="000B693E">
              <w:rPr>
                <w:rFonts w:cs="Arial"/>
                <w:sz w:val="16"/>
                <w:szCs w:val="16"/>
              </w:rPr>
              <w:t>-0.3%</w:t>
            </w:r>
          </w:p>
        </w:tc>
        <w:tc>
          <w:tcPr>
            <w:tcW w:w="0" w:type="auto"/>
            <w:tcBorders>
              <w:top w:val="nil"/>
              <w:left w:val="nil"/>
              <w:right w:val="nil"/>
            </w:tcBorders>
            <w:shd w:val="clear" w:color="auto" w:fill="auto"/>
            <w:noWrap/>
            <w:vAlign w:val="bottom"/>
            <w:hideMark/>
          </w:tcPr>
          <w:p w14:paraId="65E91346" w14:textId="77777777" w:rsidR="00443C82" w:rsidRPr="000B693E" w:rsidRDefault="00443C82" w:rsidP="00312E88">
            <w:pPr>
              <w:jc w:val="right"/>
              <w:rPr>
                <w:rFonts w:cs="Arial"/>
                <w:sz w:val="16"/>
                <w:szCs w:val="16"/>
              </w:rPr>
            </w:pPr>
            <w:r w:rsidRPr="000B693E">
              <w:rPr>
                <w:rFonts w:cs="Arial"/>
                <w:sz w:val="16"/>
                <w:szCs w:val="16"/>
              </w:rPr>
              <w:t>-0.4%</w:t>
            </w:r>
          </w:p>
        </w:tc>
        <w:tc>
          <w:tcPr>
            <w:tcW w:w="0" w:type="auto"/>
            <w:tcBorders>
              <w:top w:val="nil"/>
              <w:left w:val="dotted" w:sz="4" w:space="0" w:color="auto"/>
              <w:right w:val="single" w:sz="4" w:space="0" w:color="auto"/>
            </w:tcBorders>
            <w:shd w:val="clear" w:color="auto" w:fill="auto"/>
            <w:noWrap/>
            <w:vAlign w:val="bottom"/>
            <w:hideMark/>
          </w:tcPr>
          <w:p w14:paraId="399556FF" w14:textId="77777777" w:rsidR="00443C82" w:rsidRPr="000B693E" w:rsidRDefault="00443C82" w:rsidP="00312E88">
            <w:pPr>
              <w:jc w:val="right"/>
              <w:rPr>
                <w:rFonts w:cs="Arial"/>
                <w:sz w:val="16"/>
                <w:szCs w:val="16"/>
              </w:rPr>
            </w:pPr>
            <w:r w:rsidRPr="000B693E">
              <w:rPr>
                <w:rFonts w:cs="Arial"/>
                <w:sz w:val="16"/>
                <w:szCs w:val="16"/>
              </w:rPr>
              <w:t>-0.8%</w:t>
            </w:r>
          </w:p>
        </w:tc>
        <w:tc>
          <w:tcPr>
            <w:tcW w:w="0" w:type="auto"/>
            <w:tcBorders>
              <w:top w:val="nil"/>
              <w:left w:val="dotted" w:sz="4" w:space="0" w:color="auto"/>
              <w:right w:val="single" w:sz="4" w:space="0" w:color="auto"/>
            </w:tcBorders>
            <w:shd w:val="clear" w:color="auto" w:fill="auto"/>
            <w:noWrap/>
            <w:vAlign w:val="bottom"/>
            <w:hideMark/>
          </w:tcPr>
          <w:p w14:paraId="31374410" w14:textId="77777777" w:rsidR="00443C82" w:rsidRPr="000B693E" w:rsidRDefault="00443C82" w:rsidP="00312E88">
            <w:pPr>
              <w:jc w:val="right"/>
              <w:rPr>
                <w:rFonts w:cs="Arial"/>
                <w:sz w:val="16"/>
                <w:szCs w:val="16"/>
              </w:rPr>
            </w:pPr>
            <w:r w:rsidRPr="000B693E">
              <w:rPr>
                <w:rFonts w:cs="Arial"/>
                <w:sz w:val="16"/>
                <w:szCs w:val="16"/>
              </w:rPr>
              <w:t>-0.3%</w:t>
            </w:r>
          </w:p>
        </w:tc>
      </w:tr>
      <w:tr w:rsidR="00443C82" w:rsidRPr="000B693E" w14:paraId="7C6A6070" w14:textId="77777777" w:rsidTr="00443C82">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FBBDDC" w14:textId="77777777" w:rsidR="00443C82" w:rsidRPr="000B693E" w:rsidRDefault="00443C82" w:rsidP="00312E88">
            <w:pPr>
              <w:rPr>
                <w:rFonts w:cs="Arial"/>
                <w:sz w:val="16"/>
                <w:szCs w:val="16"/>
              </w:rPr>
            </w:pPr>
            <w:r w:rsidRPr="000B693E">
              <w:rPr>
                <w:rFonts w:cs="Arial"/>
                <w:sz w:val="16"/>
                <w:szCs w:val="16"/>
              </w:rPr>
              <w:t>Higher SIL numbers (+500 p.a.)</w:t>
            </w:r>
          </w:p>
        </w:tc>
        <w:tc>
          <w:tcPr>
            <w:tcW w:w="0" w:type="auto"/>
            <w:tcBorders>
              <w:top w:val="nil"/>
              <w:left w:val="nil"/>
              <w:bottom w:val="single" w:sz="4" w:space="0" w:color="auto"/>
              <w:right w:val="nil"/>
            </w:tcBorders>
            <w:shd w:val="clear" w:color="auto" w:fill="auto"/>
            <w:noWrap/>
            <w:vAlign w:val="bottom"/>
            <w:hideMark/>
          </w:tcPr>
          <w:p w14:paraId="1DAF87CD" w14:textId="77777777" w:rsidR="00443C82" w:rsidRPr="000B693E" w:rsidRDefault="00443C82" w:rsidP="00312E88">
            <w:pPr>
              <w:jc w:val="right"/>
              <w:rPr>
                <w:rFonts w:cs="Arial"/>
                <w:sz w:val="16"/>
                <w:szCs w:val="16"/>
              </w:rPr>
            </w:pPr>
            <w:r w:rsidRPr="000B693E">
              <w:rPr>
                <w:rFonts w:cs="Arial"/>
                <w:sz w:val="16"/>
                <w:szCs w:val="16"/>
              </w:rPr>
              <w:t>1.1%</w:t>
            </w:r>
          </w:p>
        </w:tc>
        <w:tc>
          <w:tcPr>
            <w:tcW w:w="0" w:type="auto"/>
            <w:tcBorders>
              <w:top w:val="nil"/>
              <w:left w:val="nil"/>
              <w:bottom w:val="single" w:sz="4" w:space="0" w:color="auto"/>
              <w:right w:val="nil"/>
            </w:tcBorders>
            <w:shd w:val="clear" w:color="auto" w:fill="auto"/>
            <w:noWrap/>
            <w:vAlign w:val="bottom"/>
            <w:hideMark/>
          </w:tcPr>
          <w:p w14:paraId="71F98602" w14:textId="77777777" w:rsidR="00443C82" w:rsidRPr="000B693E" w:rsidRDefault="00443C82" w:rsidP="00312E88">
            <w:pPr>
              <w:jc w:val="right"/>
              <w:rPr>
                <w:rFonts w:cs="Arial"/>
                <w:sz w:val="16"/>
                <w:szCs w:val="16"/>
              </w:rPr>
            </w:pPr>
            <w:r w:rsidRPr="000B693E">
              <w:rPr>
                <w:rFonts w:cs="Arial"/>
                <w:sz w:val="16"/>
                <w:szCs w:val="16"/>
              </w:rPr>
              <w:t>0.6%</w:t>
            </w:r>
          </w:p>
        </w:tc>
        <w:tc>
          <w:tcPr>
            <w:tcW w:w="0" w:type="auto"/>
            <w:tcBorders>
              <w:top w:val="nil"/>
              <w:left w:val="nil"/>
              <w:bottom w:val="single" w:sz="4" w:space="0" w:color="auto"/>
              <w:right w:val="nil"/>
            </w:tcBorders>
            <w:shd w:val="clear" w:color="auto" w:fill="auto"/>
            <w:noWrap/>
            <w:vAlign w:val="bottom"/>
            <w:hideMark/>
          </w:tcPr>
          <w:p w14:paraId="0C96DFF5" w14:textId="77777777" w:rsidR="00443C82" w:rsidRPr="000B693E" w:rsidRDefault="00443C82" w:rsidP="00312E88">
            <w:pPr>
              <w:jc w:val="right"/>
              <w:rPr>
                <w:rFonts w:cs="Arial"/>
                <w:sz w:val="16"/>
                <w:szCs w:val="16"/>
              </w:rPr>
            </w:pPr>
            <w:r w:rsidRPr="000B693E">
              <w:rPr>
                <w:rFonts w:cs="Arial"/>
                <w:sz w:val="16"/>
                <w:szCs w:val="16"/>
              </w:rPr>
              <w:t>0.6%</w:t>
            </w:r>
          </w:p>
        </w:tc>
        <w:tc>
          <w:tcPr>
            <w:tcW w:w="0" w:type="auto"/>
            <w:tcBorders>
              <w:top w:val="nil"/>
              <w:left w:val="nil"/>
              <w:bottom w:val="single" w:sz="4" w:space="0" w:color="auto"/>
              <w:right w:val="nil"/>
            </w:tcBorders>
            <w:shd w:val="clear" w:color="auto" w:fill="auto"/>
            <w:noWrap/>
            <w:vAlign w:val="bottom"/>
            <w:hideMark/>
          </w:tcPr>
          <w:p w14:paraId="131A7CC5" w14:textId="77777777" w:rsidR="00443C82" w:rsidRPr="000B693E" w:rsidRDefault="00443C82" w:rsidP="00312E88">
            <w:pPr>
              <w:jc w:val="right"/>
              <w:rPr>
                <w:rFonts w:cs="Arial"/>
                <w:sz w:val="16"/>
                <w:szCs w:val="16"/>
              </w:rPr>
            </w:pPr>
            <w:r w:rsidRPr="000B693E">
              <w:rPr>
                <w:rFonts w:cs="Arial"/>
                <w:sz w:val="16"/>
                <w:szCs w:val="16"/>
              </w:rPr>
              <w:t>0.7%</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7A313EF8" w14:textId="77777777" w:rsidR="00443C82" w:rsidRPr="000B693E" w:rsidRDefault="00443C82" w:rsidP="00312E88">
            <w:pPr>
              <w:jc w:val="right"/>
              <w:rPr>
                <w:rFonts w:cs="Arial"/>
                <w:sz w:val="16"/>
                <w:szCs w:val="16"/>
              </w:rPr>
            </w:pPr>
            <w:r w:rsidRPr="000B693E">
              <w:rPr>
                <w:rFonts w:cs="Arial"/>
                <w:sz w:val="16"/>
                <w:szCs w:val="16"/>
              </w:rPr>
              <w:t>0.8%</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4E49B325" w14:textId="77777777" w:rsidR="00443C82" w:rsidRPr="000B693E" w:rsidRDefault="00443C82" w:rsidP="00312E88">
            <w:pPr>
              <w:jc w:val="right"/>
              <w:rPr>
                <w:rFonts w:cs="Arial"/>
                <w:sz w:val="16"/>
                <w:szCs w:val="16"/>
              </w:rPr>
            </w:pPr>
            <w:r w:rsidRPr="000B693E">
              <w:rPr>
                <w:rFonts w:cs="Arial"/>
                <w:sz w:val="16"/>
                <w:szCs w:val="16"/>
              </w:rPr>
              <w:t>0.7%</w:t>
            </w:r>
          </w:p>
        </w:tc>
      </w:tr>
      <w:tr w:rsidR="00443C82" w:rsidRPr="000B693E" w14:paraId="4F5419ED" w14:textId="77777777" w:rsidTr="00443C82">
        <w:trPr>
          <w:trHeight w:hRule="exact" w:val="284"/>
        </w:trPr>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1802AC44" w14:textId="77777777" w:rsidR="00443C82" w:rsidRPr="000B693E" w:rsidRDefault="00443C82" w:rsidP="00312E88">
            <w:pPr>
              <w:rPr>
                <w:rFonts w:cs="Arial"/>
                <w:sz w:val="16"/>
                <w:szCs w:val="16"/>
              </w:rPr>
            </w:pPr>
            <w:r w:rsidRPr="000B693E">
              <w:rPr>
                <w:rFonts w:cs="Arial"/>
                <w:sz w:val="16"/>
                <w:szCs w:val="16"/>
              </w:rPr>
              <w:t>Lower SIL numbers (-200 p.a.)</w:t>
            </w:r>
          </w:p>
        </w:tc>
        <w:tc>
          <w:tcPr>
            <w:tcW w:w="0" w:type="auto"/>
            <w:tcBorders>
              <w:top w:val="single" w:sz="4" w:space="0" w:color="auto"/>
              <w:left w:val="nil"/>
              <w:bottom w:val="nil"/>
              <w:right w:val="nil"/>
            </w:tcBorders>
            <w:shd w:val="clear" w:color="auto" w:fill="auto"/>
            <w:noWrap/>
            <w:vAlign w:val="bottom"/>
            <w:hideMark/>
          </w:tcPr>
          <w:p w14:paraId="39975EAE" w14:textId="77777777" w:rsidR="00443C82" w:rsidRPr="000B693E" w:rsidRDefault="00443C82" w:rsidP="00312E88">
            <w:pPr>
              <w:jc w:val="right"/>
              <w:rPr>
                <w:rFonts w:cs="Arial"/>
                <w:sz w:val="16"/>
                <w:szCs w:val="16"/>
              </w:rPr>
            </w:pPr>
            <w:r w:rsidRPr="000B693E">
              <w:rPr>
                <w:rFonts w:cs="Arial"/>
                <w:sz w:val="16"/>
                <w:szCs w:val="16"/>
              </w:rPr>
              <w:t>-0.5%</w:t>
            </w:r>
          </w:p>
        </w:tc>
        <w:tc>
          <w:tcPr>
            <w:tcW w:w="0" w:type="auto"/>
            <w:tcBorders>
              <w:top w:val="single" w:sz="4" w:space="0" w:color="auto"/>
              <w:left w:val="nil"/>
              <w:bottom w:val="nil"/>
              <w:right w:val="nil"/>
            </w:tcBorders>
            <w:shd w:val="clear" w:color="auto" w:fill="auto"/>
            <w:noWrap/>
            <w:vAlign w:val="bottom"/>
            <w:hideMark/>
          </w:tcPr>
          <w:p w14:paraId="7F1818F7" w14:textId="77777777" w:rsidR="00443C82" w:rsidRPr="000B693E" w:rsidRDefault="00443C82" w:rsidP="00312E88">
            <w:pPr>
              <w:jc w:val="right"/>
              <w:rPr>
                <w:rFonts w:cs="Arial"/>
                <w:sz w:val="16"/>
                <w:szCs w:val="16"/>
              </w:rPr>
            </w:pPr>
            <w:r w:rsidRPr="000B693E">
              <w:rPr>
                <w:rFonts w:cs="Arial"/>
                <w:sz w:val="16"/>
                <w:szCs w:val="16"/>
              </w:rPr>
              <w:t>-0.3%</w:t>
            </w:r>
          </w:p>
        </w:tc>
        <w:tc>
          <w:tcPr>
            <w:tcW w:w="0" w:type="auto"/>
            <w:tcBorders>
              <w:top w:val="single" w:sz="4" w:space="0" w:color="auto"/>
              <w:left w:val="nil"/>
              <w:bottom w:val="nil"/>
              <w:right w:val="nil"/>
            </w:tcBorders>
            <w:shd w:val="clear" w:color="auto" w:fill="auto"/>
            <w:noWrap/>
            <w:vAlign w:val="bottom"/>
            <w:hideMark/>
          </w:tcPr>
          <w:p w14:paraId="5A82C12D" w14:textId="77777777" w:rsidR="00443C82" w:rsidRPr="000B693E" w:rsidRDefault="00443C82" w:rsidP="00312E88">
            <w:pPr>
              <w:jc w:val="right"/>
              <w:rPr>
                <w:rFonts w:cs="Arial"/>
                <w:sz w:val="16"/>
                <w:szCs w:val="16"/>
              </w:rPr>
            </w:pPr>
            <w:r w:rsidRPr="000B693E">
              <w:rPr>
                <w:rFonts w:cs="Arial"/>
                <w:sz w:val="16"/>
                <w:szCs w:val="16"/>
              </w:rPr>
              <w:t>-0.3%</w:t>
            </w:r>
          </w:p>
        </w:tc>
        <w:tc>
          <w:tcPr>
            <w:tcW w:w="0" w:type="auto"/>
            <w:tcBorders>
              <w:top w:val="single" w:sz="4" w:space="0" w:color="auto"/>
              <w:left w:val="nil"/>
              <w:bottom w:val="nil"/>
              <w:right w:val="nil"/>
            </w:tcBorders>
            <w:shd w:val="clear" w:color="auto" w:fill="auto"/>
            <w:noWrap/>
            <w:vAlign w:val="bottom"/>
            <w:hideMark/>
          </w:tcPr>
          <w:p w14:paraId="6539C884" w14:textId="77777777" w:rsidR="00443C82" w:rsidRPr="000B693E" w:rsidRDefault="00443C82" w:rsidP="00312E88">
            <w:pPr>
              <w:jc w:val="right"/>
              <w:rPr>
                <w:rFonts w:cs="Arial"/>
                <w:sz w:val="16"/>
                <w:szCs w:val="16"/>
              </w:rPr>
            </w:pPr>
            <w:r w:rsidRPr="000B693E">
              <w:rPr>
                <w:rFonts w:cs="Arial"/>
                <w:sz w:val="16"/>
                <w:szCs w:val="16"/>
              </w:rPr>
              <w:t>-0.3%</w:t>
            </w:r>
          </w:p>
        </w:tc>
        <w:tc>
          <w:tcPr>
            <w:tcW w:w="0" w:type="auto"/>
            <w:tcBorders>
              <w:top w:val="single" w:sz="4" w:space="0" w:color="auto"/>
              <w:left w:val="dotted" w:sz="4" w:space="0" w:color="auto"/>
              <w:bottom w:val="nil"/>
              <w:right w:val="single" w:sz="4" w:space="0" w:color="auto"/>
            </w:tcBorders>
            <w:shd w:val="clear" w:color="auto" w:fill="auto"/>
            <w:noWrap/>
            <w:vAlign w:val="bottom"/>
            <w:hideMark/>
          </w:tcPr>
          <w:p w14:paraId="74CE62BE" w14:textId="77777777" w:rsidR="00443C82" w:rsidRPr="000B693E" w:rsidRDefault="00443C82" w:rsidP="00312E88">
            <w:pPr>
              <w:jc w:val="right"/>
              <w:rPr>
                <w:rFonts w:cs="Arial"/>
                <w:sz w:val="16"/>
                <w:szCs w:val="16"/>
              </w:rPr>
            </w:pPr>
            <w:r w:rsidRPr="000B693E">
              <w:rPr>
                <w:rFonts w:cs="Arial"/>
                <w:sz w:val="16"/>
                <w:szCs w:val="16"/>
              </w:rPr>
              <w:t>-0.3%</w:t>
            </w:r>
          </w:p>
        </w:tc>
        <w:tc>
          <w:tcPr>
            <w:tcW w:w="0" w:type="auto"/>
            <w:tcBorders>
              <w:top w:val="single" w:sz="4" w:space="0" w:color="auto"/>
              <w:left w:val="dotted" w:sz="4" w:space="0" w:color="auto"/>
              <w:bottom w:val="nil"/>
              <w:right w:val="single" w:sz="4" w:space="0" w:color="auto"/>
            </w:tcBorders>
            <w:shd w:val="clear" w:color="auto" w:fill="auto"/>
            <w:noWrap/>
            <w:vAlign w:val="bottom"/>
            <w:hideMark/>
          </w:tcPr>
          <w:p w14:paraId="2CAEF75B" w14:textId="77777777" w:rsidR="00443C82" w:rsidRPr="000B693E" w:rsidRDefault="00443C82" w:rsidP="00312E88">
            <w:pPr>
              <w:jc w:val="right"/>
              <w:rPr>
                <w:rFonts w:cs="Arial"/>
                <w:sz w:val="16"/>
                <w:szCs w:val="16"/>
              </w:rPr>
            </w:pPr>
            <w:r w:rsidRPr="000B693E">
              <w:rPr>
                <w:rFonts w:cs="Arial"/>
                <w:sz w:val="16"/>
                <w:szCs w:val="16"/>
              </w:rPr>
              <w:t>-0.3%</w:t>
            </w:r>
          </w:p>
        </w:tc>
      </w:tr>
      <w:tr w:rsidR="00443C82" w:rsidRPr="000B693E" w14:paraId="758AA097"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687377F4" w14:textId="77777777" w:rsidR="00443C82" w:rsidRPr="000B693E" w:rsidRDefault="00443C82" w:rsidP="00312E88">
            <w:pPr>
              <w:rPr>
                <w:rFonts w:cs="Arial"/>
                <w:sz w:val="16"/>
                <w:szCs w:val="16"/>
              </w:rPr>
            </w:pPr>
            <w:r w:rsidRPr="000B693E">
              <w:rPr>
                <w:rFonts w:cs="Arial"/>
                <w:sz w:val="16"/>
                <w:szCs w:val="16"/>
              </w:rPr>
              <w:t>Three extra years to reach steady state</w:t>
            </w:r>
          </w:p>
        </w:tc>
        <w:tc>
          <w:tcPr>
            <w:tcW w:w="0" w:type="auto"/>
            <w:tcBorders>
              <w:top w:val="nil"/>
              <w:left w:val="nil"/>
              <w:bottom w:val="nil"/>
              <w:right w:val="nil"/>
            </w:tcBorders>
            <w:shd w:val="clear" w:color="auto" w:fill="auto"/>
            <w:noWrap/>
            <w:vAlign w:val="bottom"/>
            <w:hideMark/>
          </w:tcPr>
          <w:p w14:paraId="30CDCA32" w14:textId="77777777" w:rsidR="00443C82" w:rsidRPr="000B693E" w:rsidRDefault="00443C82" w:rsidP="00312E88">
            <w:pPr>
              <w:jc w:val="right"/>
              <w:rPr>
                <w:rFonts w:cs="Arial"/>
                <w:sz w:val="16"/>
                <w:szCs w:val="16"/>
              </w:rPr>
            </w:pPr>
            <w:r w:rsidRPr="000B693E">
              <w:rPr>
                <w:rFonts w:cs="Arial"/>
                <w:sz w:val="16"/>
                <w:szCs w:val="16"/>
              </w:rPr>
              <w:t>0.0%</w:t>
            </w:r>
          </w:p>
        </w:tc>
        <w:tc>
          <w:tcPr>
            <w:tcW w:w="0" w:type="auto"/>
            <w:tcBorders>
              <w:top w:val="nil"/>
              <w:left w:val="nil"/>
              <w:bottom w:val="nil"/>
              <w:right w:val="nil"/>
            </w:tcBorders>
            <w:shd w:val="clear" w:color="auto" w:fill="auto"/>
            <w:noWrap/>
            <w:vAlign w:val="bottom"/>
            <w:hideMark/>
          </w:tcPr>
          <w:p w14:paraId="61D2B1FC" w14:textId="77777777" w:rsidR="00443C82" w:rsidRPr="000B693E" w:rsidRDefault="00443C82" w:rsidP="00312E88">
            <w:pPr>
              <w:jc w:val="right"/>
              <w:rPr>
                <w:rFonts w:cs="Arial"/>
                <w:sz w:val="16"/>
                <w:szCs w:val="16"/>
              </w:rPr>
            </w:pPr>
            <w:r w:rsidRPr="000B693E">
              <w:rPr>
                <w:rFonts w:cs="Arial"/>
                <w:sz w:val="16"/>
                <w:szCs w:val="16"/>
              </w:rPr>
              <w:t>1.0%</w:t>
            </w:r>
          </w:p>
        </w:tc>
        <w:tc>
          <w:tcPr>
            <w:tcW w:w="0" w:type="auto"/>
            <w:tcBorders>
              <w:top w:val="nil"/>
              <w:left w:val="nil"/>
              <w:bottom w:val="nil"/>
              <w:right w:val="nil"/>
            </w:tcBorders>
            <w:shd w:val="clear" w:color="auto" w:fill="auto"/>
            <w:noWrap/>
            <w:vAlign w:val="bottom"/>
            <w:hideMark/>
          </w:tcPr>
          <w:p w14:paraId="6B02F7DF" w14:textId="77777777" w:rsidR="00443C82" w:rsidRPr="000B693E" w:rsidRDefault="00443C82" w:rsidP="00312E88">
            <w:pPr>
              <w:jc w:val="right"/>
              <w:rPr>
                <w:rFonts w:cs="Arial"/>
                <w:sz w:val="16"/>
                <w:szCs w:val="16"/>
              </w:rPr>
            </w:pPr>
            <w:r w:rsidRPr="000B693E">
              <w:rPr>
                <w:rFonts w:cs="Arial"/>
                <w:sz w:val="16"/>
                <w:szCs w:val="16"/>
              </w:rPr>
              <w:t>4.6%</w:t>
            </w:r>
          </w:p>
        </w:tc>
        <w:tc>
          <w:tcPr>
            <w:tcW w:w="0" w:type="auto"/>
            <w:tcBorders>
              <w:top w:val="nil"/>
              <w:left w:val="nil"/>
              <w:bottom w:val="nil"/>
              <w:right w:val="nil"/>
            </w:tcBorders>
            <w:shd w:val="clear" w:color="auto" w:fill="auto"/>
            <w:noWrap/>
            <w:vAlign w:val="bottom"/>
            <w:hideMark/>
          </w:tcPr>
          <w:p w14:paraId="6BEC125B" w14:textId="77777777" w:rsidR="00443C82" w:rsidRPr="000B693E" w:rsidRDefault="00443C82" w:rsidP="00312E88">
            <w:pPr>
              <w:jc w:val="right"/>
              <w:rPr>
                <w:rFonts w:cs="Arial"/>
                <w:sz w:val="16"/>
                <w:szCs w:val="16"/>
              </w:rPr>
            </w:pPr>
            <w:r w:rsidRPr="000B693E">
              <w:rPr>
                <w:rFonts w:cs="Arial"/>
                <w:sz w:val="16"/>
                <w:szCs w:val="16"/>
              </w:rPr>
              <w:t>8.3%</w:t>
            </w:r>
          </w:p>
        </w:tc>
        <w:tc>
          <w:tcPr>
            <w:tcW w:w="0" w:type="auto"/>
            <w:tcBorders>
              <w:top w:val="nil"/>
              <w:left w:val="dotted" w:sz="4" w:space="0" w:color="auto"/>
              <w:bottom w:val="nil"/>
              <w:right w:val="single" w:sz="4" w:space="0" w:color="auto"/>
            </w:tcBorders>
            <w:shd w:val="clear" w:color="auto" w:fill="auto"/>
            <w:noWrap/>
            <w:vAlign w:val="bottom"/>
            <w:hideMark/>
          </w:tcPr>
          <w:p w14:paraId="5A892012" w14:textId="77777777" w:rsidR="00443C82" w:rsidRPr="000B693E" w:rsidRDefault="00443C82" w:rsidP="00312E88">
            <w:pPr>
              <w:jc w:val="right"/>
              <w:rPr>
                <w:rFonts w:cs="Arial"/>
                <w:sz w:val="16"/>
                <w:szCs w:val="16"/>
              </w:rPr>
            </w:pPr>
            <w:r w:rsidRPr="000B693E">
              <w:rPr>
                <w:rFonts w:cs="Arial"/>
                <w:sz w:val="16"/>
                <w:szCs w:val="16"/>
              </w:rPr>
              <w:t>7.3%</w:t>
            </w:r>
          </w:p>
        </w:tc>
        <w:tc>
          <w:tcPr>
            <w:tcW w:w="0" w:type="auto"/>
            <w:tcBorders>
              <w:top w:val="nil"/>
              <w:left w:val="dotted" w:sz="4" w:space="0" w:color="auto"/>
              <w:bottom w:val="nil"/>
              <w:right w:val="single" w:sz="4" w:space="0" w:color="auto"/>
            </w:tcBorders>
            <w:shd w:val="clear" w:color="auto" w:fill="auto"/>
            <w:noWrap/>
            <w:vAlign w:val="bottom"/>
            <w:hideMark/>
          </w:tcPr>
          <w:p w14:paraId="59A04BD9" w14:textId="77777777" w:rsidR="00443C82" w:rsidRPr="000B693E" w:rsidRDefault="00443C82" w:rsidP="00312E88">
            <w:pPr>
              <w:jc w:val="right"/>
              <w:rPr>
                <w:rFonts w:cs="Arial"/>
                <w:sz w:val="16"/>
                <w:szCs w:val="16"/>
              </w:rPr>
            </w:pPr>
            <w:r w:rsidRPr="000B693E">
              <w:rPr>
                <w:rFonts w:cs="Arial"/>
                <w:sz w:val="16"/>
                <w:szCs w:val="16"/>
              </w:rPr>
              <w:t>5.2%</w:t>
            </w:r>
          </w:p>
        </w:tc>
      </w:tr>
      <w:tr w:rsidR="00443C82" w:rsidRPr="000B693E" w14:paraId="16DB89F6" w14:textId="77777777" w:rsidTr="00443C82">
        <w:trPr>
          <w:trHeight w:hRule="exact" w:val="284"/>
        </w:trPr>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623FBC1C" w14:textId="77777777" w:rsidR="00443C82" w:rsidRPr="000B693E" w:rsidRDefault="00443C82" w:rsidP="00312E88">
            <w:pPr>
              <w:rPr>
                <w:rFonts w:cs="Arial"/>
                <w:b/>
                <w:bCs/>
                <w:sz w:val="16"/>
                <w:szCs w:val="16"/>
              </w:rPr>
            </w:pPr>
            <w:r w:rsidRPr="000B693E">
              <w:rPr>
                <w:rFonts w:cs="Arial"/>
                <w:b/>
                <w:bCs/>
                <w:sz w:val="16"/>
                <w:szCs w:val="16"/>
              </w:rPr>
              <w:t>Cost (variances to baseline)</w:t>
            </w:r>
          </w:p>
        </w:tc>
        <w:tc>
          <w:tcPr>
            <w:tcW w:w="0" w:type="auto"/>
            <w:tcBorders>
              <w:top w:val="single" w:sz="4" w:space="0" w:color="auto"/>
              <w:left w:val="nil"/>
              <w:bottom w:val="single" w:sz="8" w:space="0" w:color="auto"/>
              <w:right w:val="nil"/>
            </w:tcBorders>
            <w:shd w:val="clear" w:color="auto" w:fill="auto"/>
            <w:noWrap/>
            <w:vAlign w:val="bottom"/>
            <w:hideMark/>
          </w:tcPr>
          <w:p w14:paraId="422076BB" w14:textId="77777777" w:rsidR="00443C82" w:rsidRPr="000B693E" w:rsidRDefault="00443C82" w:rsidP="00312E88">
            <w:pPr>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7277C7BC" w14:textId="77777777" w:rsidR="00443C82" w:rsidRPr="000B693E" w:rsidRDefault="00443C82" w:rsidP="00312E88">
            <w:pPr>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78367566" w14:textId="77777777" w:rsidR="00443C82" w:rsidRPr="000B693E" w:rsidRDefault="00443C82" w:rsidP="00312E88">
            <w:pPr>
              <w:rPr>
                <w:rFonts w:cs="Arial"/>
                <w:sz w:val="16"/>
                <w:szCs w:val="16"/>
              </w:rPr>
            </w:pPr>
            <w:r w:rsidRPr="000B693E">
              <w:rPr>
                <w:rFonts w:cs="Arial"/>
                <w:sz w:val="16"/>
                <w:szCs w:val="16"/>
              </w:rPr>
              <w:t> </w:t>
            </w:r>
          </w:p>
        </w:tc>
        <w:tc>
          <w:tcPr>
            <w:tcW w:w="0" w:type="auto"/>
            <w:tcBorders>
              <w:top w:val="single" w:sz="4" w:space="0" w:color="auto"/>
              <w:left w:val="nil"/>
              <w:bottom w:val="single" w:sz="8" w:space="0" w:color="auto"/>
              <w:right w:val="nil"/>
            </w:tcBorders>
            <w:shd w:val="clear" w:color="auto" w:fill="auto"/>
            <w:noWrap/>
            <w:vAlign w:val="bottom"/>
            <w:hideMark/>
          </w:tcPr>
          <w:p w14:paraId="5C42BEDE" w14:textId="77777777" w:rsidR="00443C82" w:rsidRPr="000B693E" w:rsidRDefault="00443C82" w:rsidP="00312E88">
            <w:pPr>
              <w:rPr>
                <w:rFonts w:cs="Arial"/>
                <w:sz w:val="16"/>
                <w:szCs w:val="16"/>
              </w:rPr>
            </w:pPr>
            <w:r w:rsidRPr="000B693E">
              <w:rPr>
                <w:rFonts w:cs="Arial"/>
                <w:sz w:val="16"/>
                <w:szCs w:val="16"/>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07A12B62" w14:textId="77777777" w:rsidR="00443C82" w:rsidRPr="000B693E" w:rsidRDefault="00443C82" w:rsidP="00312E88">
            <w:pPr>
              <w:rPr>
                <w:rFonts w:cs="Arial"/>
                <w:sz w:val="16"/>
                <w:szCs w:val="16"/>
              </w:rPr>
            </w:pPr>
            <w:r w:rsidRPr="000B693E">
              <w:rPr>
                <w:rFonts w:cs="Arial"/>
                <w:sz w:val="16"/>
                <w:szCs w:val="16"/>
              </w:rPr>
              <w:t> </w:t>
            </w:r>
          </w:p>
        </w:tc>
        <w:tc>
          <w:tcPr>
            <w:tcW w:w="0" w:type="auto"/>
            <w:tcBorders>
              <w:top w:val="single" w:sz="4" w:space="0" w:color="auto"/>
              <w:left w:val="dotted" w:sz="4" w:space="0" w:color="auto"/>
              <w:bottom w:val="single" w:sz="8" w:space="0" w:color="auto"/>
              <w:right w:val="single" w:sz="4" w:space="0" w:color="auto"/>
            </w:tcBorders>
            <w:shd w:val="clear" w:color="auto" w:fill="auto"/>
            <w:noWrap/>
            <w:vAlign w:val="bottom"/>
            <w:hideMark/>
          </w:tcPr>
          <w:p w14:paraId="4D0A152F" w14:textId="77777777" w:rsidR="00443C82" w:rsidRPr="000B693E" w:rsidRDefault="00443C82" w:rsidP="00312E88">
            <w:pPr>
              <w:rPr>
                <w:rFonts w:cs="Arial"/>
                <w:sz w:val="16"/>
                <w:szCs w:val="16"/>
              </w:rPr>
            </w:pPr>
            <w:r w:rsidRPr="000B693E">
              <w:rPr>
                <w:rFonts w:cs="Arial"/>
                <w:sz w:val="16"/>
                <w:szCs w:val="16"/>
              </w:rPr>
              <w:t> </w:t>
            </w:r>
          </w:p>
        </w:tc>
      </w:tr>
      <w:tr w:rsidR="00443C82" w:rsidRPr="000B693E" w14:paraId="57702894"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7F486CB1" w14:textId="77777777" w:rsidR="00443C82" w:rsidRPr="000B693E" w:rsidRDefault="00443C82" w:rsidP="00312E88">
            <w:pPr>
              <w:rPr>
                <w:rFonts w:cs="Arial"/>
                <w:sz w:val="16"/>
                <w:szCs w:val="16"/>
              </w:rPr>
            </w:pPr>
            <w:r w:rsidRPr="000B693E">
              <w:rPr>
                <w:rFonts w:cs="Arial"/>
                <w:sz w:val="16"/>
                <w:szCs w:val="16"/>
              </w:rPr>
              <w:t>Lower cost of new entrants</w:t>
            </w:r>
          </w:p>
        </w:tc>
        <w:tc>
          <w:tcPr>
            <w:tcW w:w="0" w:type="auto"/>
            <w:tcBorders>
              <w:top w:val="nil"/>
              <w:left w:val="nil"/>
              <w:bottom w:val="nil"/>
              <w:right w:val="nil"/>
            </w:tcBorders>
            <w:shd w:val="clear" w:color="auto" w:fill="auto"/>
            <w:noWrap/>
            <w:vAlign w:val="bottom"/>
            <w:hideMark/>
          </w:tcPr>
          <w:p w14:paraId="187EC9B3" w14:textId="77777777" w:rsidR="00443C82" w:rsidRPr="000B693E" w:rsidRDefault="00443C82" w:rsidP="00312E88">
            <w:pPr>
              <w:jc w:val="right"/>
              <w:rPr>
                <w:rFonts w:cs="Arial"/>
                <w:sz w:val="16"/>
                <w:szCs w:val="16"/>
              </w:rPr>
            </w:pPr>
            <w:r w:rsidRPr="000B693E">
              <w:rPr>
                <w:rFonts w:cs="Arial"/>
                <w:sz w:val="16"/>
                <w:szCs w:val="16"/>
              </w:rPr>
              <w:t>-8.6%</w:t>
            </w:r>
          </w:p>
        </w:tc>
        <w:tc>
          <w:tcPr>
            <w:tcW w:w="0" w:type="auto"/>
            <w:tcBorders>
              <w:top w:val="nil"/>
              <w:left w:val="nil"/>
              <w:bottom w:val="nil"/>
              <w:right w:val="nil"/>
            </w:tcBorders>
            <w:shd w:val="clear" w:color="auto" w:fill="auto"/>
            <w:noWrap/>
            <w:vAlign w:val="bottom"/>
            <w:hideMark/>
          </w:tcPr>
          <w:p w14:paraId="530C9432" w14:textId="77777777" w:rsidR="00443C82" w:rsidRPr="000B693E" w:rsidRDefault="00443C82" w:rsidP="00312E88">
            <w:pPr>
              <w:jc w:val="right"/>
              <w:rPr>
                <w:rFonts w:cs="Arial"/>
                <w:sz w:val="16"/>
                <w:szCs w:val="16"/>
              </w:rPr>
            </w:pPr>
            <w:r w:rsidRPr="000B693E">
              <w:rPr>
                <w:rFonts w:cs="Arial"/>
                <w:sz w:val="16"/>
                <w:szCs w:val="16"/>
              </w:rPr>
              <w:t>-9.7%</w:t>
            </w:r>
          </w:p>
        </w:tc>
        <w:tc>
          <w:tcPr>
            <w:tcW w:w="0" w:type="auto"/>
            <w:tcBorders>
              <w:top w:val="nil"/>
              <w:left w:val="nil"/>
              <w:bottom w:val="nil"/>
              <w:right w:val="nil"/>
            </w:tcBorders>
            <w:shd w:val="clear" w:color="auto" w:fill="auto"/>
            <w:noWrap/>
            <w:vAlign w:val="bottom"/>
            <w:hideMark/>
          </w:tcPr>
          <w:p w14:paraId="249E1689" w14:textId="77777777" w:rsidR="00443C82" w:rsidRPr="000B693E" w:rsidRDefault="00443C82" w:rsidP="00312E88">
            <w:pPr>
              <w:jc w:val="right"/>
              <w:rPr>
                <w:rFonts w:cs="Arial"/>
                <w:sz w:val="16"/>
                <w:szCs w:val="16"/>
              </w:rPr>
            </w:pPr>
            <w:r w:rsidRPr="000B693E">
              <w:rPr>
                <w:rFonts w:cs="Arial"/>
                <w:sz w:val="16"/>
                <w:szCs w:val="16"/>
              </w:rPr>
              <w:t>-9.4%</w:t>
            </w:r>
          </w:p>
        </w:tc>
        <w:tc>
          <w:tcPr>
            <w:tcW w:w="0" w:type="auto"/>
            <w:tcBorders>
              <w:top w:val="nil"/>
              <w:left w:val="nil"/>
              <w:bottom w:val="nil"/>
              <w:right w:val="nil"/>
            </w:tcBorders>
            <w:shd w:val="clear" w:color="auto" w:fill="auto"/>
            <w:noWrap/>
            <w:vAlign w:val="bottom"/>
            <w:hideMark/>
          </w:tcPr>
          <w:p w14:paraId="5FD34D79" w14:textId="77777777" w:rsidR="00443C82" w:rsidRPr="000B693E" w:rsidRDefault="00443C82" w:rsidP="00312E88">
            <w:pPr>
              <w:jc w:val="right"/>
              <w:rPr>
                <w:rFonts w:cs="Arial"/>
                <w:sz w:val="16"/>
                <w:szCs w:val="16"/>
              </w:rPr>
            </w:pPr>
            <w:r w:rsidRPr="000B693E">
              <w:rPr>
                <w:rFonts w:cs="Arial"/>
                <w:sz w:val="16"/>
                <w:szCs w:val="16"/>
              </w:rPr>
              <w:t>-9.2%</w:t>
            </w:r>
          </w:p>
        </w:tc>
        <w:tc>
          <w:tcPr>
            <w:tcW w:w="0" w:type="auto"/>
            <w:tcBorders>
              <w:top w:val="nil"/>
              <w:left w:val="dotted" w:sz="4" w:space="0" w:color="auto"/>
              <w:bottom w:val="nil"/>
              <w:right w:val="single" w:sz="4" w:space="0" w:color="auto"/>
            </w:tcBorders>
            <w:shd w:val="clear" w:color="auto" w:fill="auto"/>
            <w:noWrap/>
            <w:vAlign w:val="bottom"/>
            <w:hideMark/>
          </w:tcPr>
          <w:p w14:paraId="485014A4" w14:textId="77777777" w:rsidR="00443C82" w:rsidRPr="000B693E" w:rsidRDefault="00443C82" w:rsidP="00312E88">
            <w:pPr>
              <w:jc w:val="right"/>
              <w:rPr>
                <w:rFonts w:cs="Arial"/>
                <w:sz w:val="16"/>
                <w:szCs w:val="16"/>
              </w:rPr>
            </w:pPr>
            <w:r w:rsidRPr="000B693E">
              <w:rPr>
                <w:rFonts w:cs="Arial"/>
                <w:sz w:val="16"/>
                <w:szCs w:val="16"/>
              </w:rPr>
              <w:t>-8.9%</w:t>
            </w:r>
          </w:p>
        </w:tc>
        <w:tc>
          <w:tcPr>
            <w:tcW w:w="0" w:type="auto"/>
            <w:tcBorders>
              <w:top w:val="nil"/>
              <w:left w:val="dotted" w:sz="4" w:space="0" w:color="auto"/>
              <w:bottom w:val="nil"/>
              <w:right w:val="single" w:sz="4" w:space="0" w:color="auto"/>
            </w:tcBorders>
            <w:shd w:val="clear" w:color="auto" w:fill="auto"/>
            <w:noWrap/>
            <w:vAlign w:val="bottom"/>
            <w:hideMark/>
          </w:tcPr>
          <w:p w14:paraId="4334B0D1" w14:textId="77777777" w:rsidR="00443C82" w:rsidRPr="000B693E" w:rsidRDefault="00443C82" w:rsidP="00312E88">
            <w:pPr>
              <w:jc w:val="right"/>
              <w:rPr>
                <w:rFonts w:cs="Arial"/>
                <w:sz w:val="16"/>
                <w:szCs w:val="16"/>
              </w:rPr>
            </w:pPr>
            <w:r w:rsidRPr="000B693E">
              <w:rPr>
                <w:rFonts w:cs="Arial"/>
                <w:sz w:val="16"/>
                <w:szCs w:val="16"/>
              </w:rPr>
              <w:t>-9.3%</w:t>
            </w:r>
          </w:p>
        </w:tc>
      </w:tr>
      <w:tr w:rsidR="00443C82" w:rsidRPr="000B693E" w14:paraId="32CBF17D"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04D189C4" w14:textId="77777777" w:rsidR="00443C82" w:rsidRPr="000B693E" w:rsidRDefault="00443C82" w:rsidP="00312E88">
            <w:pPr>
              <w:rPr>
                <w:rFonts w:cs="Arial"/>
                <w:sz w:val="16"/>
                <w:szCs w:val="16"/>
              </w:rPr>
            </w:pPr>
            <w:r w:rsidRPr="000B693E">
              <w:rPr>
                <w:rFonts w:cs="Arial"/>
                <w:sz w:val="16"/>
                <w:szCs w:val="16"/>
              </w:rPr>
              <w:t>Higher cost of new entrants</w:t>
            </w:r>
          </w:p>
        </w:tc>
        <w:tc>
          <w:tcPr>
            <w:tcW w:w="0" w:type="auto"/>
            <w:tcBorders>
              <w:top w:val="nil"/>
              <w:left w:val="nil"/>
              <w:bottom w:val="nil"/>
              <w:right w:val="nil"/>
            </w:tcBorders>
            <w:shd w:val="clear" w:color="auto" w:fill="auto"/>
            <w:noWrap/>
            <w:vAlign w:val="bottom"/>
            <w:hideMark/>
          </w:tcPr>
          <w:p w14:paraId="759EC911" w14:textId="77777777" w:rsidR="00443C82" w:rsidRPr="000B693E" w:rsidRDefault="00443C82" w:rsidP="00312E88">
            <w:pPr>
              <w:jc w:val="right"/>
              <w:rPr>
                <w:rFonts w:cs="Arial"/>
                <w:sz w:val="16"/>
                <w:szCs w:val="16"/>
              </w:rPr>
            </w:pPr>
            <w:r w:rsidRPr="000B693E">
              <w:rPr>
                <w:rFonts w:cs="Arial"/>
                <w:sz w:val="16"/>
                <w:szCs w:val="16"/>
              </w:rPr>
              <w:t>8.6%</w:t>
            </w:r>
          </w:p>
        </w:tc>
        <w:tc>
          <w:tcPr>
            <w:tcW w:w="0" w:type="auto"/>
            <w:tcBorders>
              <w:top w:val="nil"/>
              <w:left w:val="nil"/>
              <w:bottom w:val="nil"/>
              <w:right w:val="nil"/>
            </w:tcBorders>
            <w:shd w:val="clear" w:color="auto" w:fill="auto"/>
            <w:noWrap/>
            <w:vAlign w:val="bottom"/>
            <w:hideMark/>
          </w:tcPr>
          <w:p w14:paraId="67947919" w14:textId="77777777" w:rsidR="00443C82" w:rsidRPr="000B693E" w:rsidRDefault="00443C82" w:rsidP="00312E88">
            <w:pPr>
              <w:jc w:val="right"/>
              <w:rPr>
                <w:rFonts w:cs="Arial"/>
                <w:sz w:val="16"/>
                <w:szCs w:val="16"/>
              </w:rPr>
            </w:pPr>
            <w:r w:rsidRPr="000B693E">
              <w:rPr>
                <w:rFonts w:cs="Arial"/>
                <w:sz w:val="16"/>
                <w:szCs w:val="16"/>
              </w:rPr>
              <w:t>9.7%</w:t>
            </w:r>
          </w:p>
        </w:tc>
        <w:tc>
          <w:tcPr>
            <w:tcW w:w="0" w:type="auto"/>
            <w:tcBorders>
              <w:top w:val="nil"/>
              <w:left w:val="nil"/>
              <w:bottom w:val="nil"/>
              <w:right w:val="nil"/>
            </w:tcBorders>
            <w:shd w:val="clear" w:color="auto" w:fill="auto"/>
            <w:noWrap/>
            <w:vAlign w:val="bottom"/>
            <w:hideMark/>
          </w:tcPr>
          <w:p w14:paraId="45F6B1E3" w14:textId="77777777" w:rsidR="00443C82" w:rsidRPr="000B693E" w:rsidRDefault="00443C82" w:rsidP="00312E88">
            <w:pPr>
              <w:jc w:val="right"/>
              <w:rPr>
                <w:rFonts w:cs="Arial"/>
                <w:sz w:val="16"/>
                <w:szCs w:val="16"/>
              </w:rPr>
            </w:pPr>
            <w:r w:rsidRPr="000B693E">
              <w:rPr>
                <w:rFonts w:cs="Arial"/>
                <w:sz w:val="16"/>
                <w:szCs w:val="16"/>
              </w:rPr>
              <w:t>9.4%</w:t>
            </w:r>
          </w:p>
        </w:tc>
        <w:tc>
          <w:tcPr>
            <w:tcW w:w="0" w:type="auto"/>
            <w:tcBorders>
              <w:top w:val="nil"/>
              <w:left w:val="nil"/>
              <w:bottom w:val="nil"/>
              <w:right w:val="nil"/>
            </w:tcBorders>
            <w:shd w:val="clear" w:color="auto" w:fill="auto"/>
            <w:noWrap/>
            <w:vAlign w:val="bottom"/>
            <w:hideMark/>
          </w:tcPr>
          <w:p w14:paraId="24132A55" w14:textId="77777777" w:rsidR="00443C82" w:rsidRPr="000B693E" w:rsidRDefault="00443C82" w:rsidP="00312E88">
            <w:pPr>
              <w:jc w:val="right"/>
              <w:rPr>
                <w:rFonts w:cs="Arial"/>
                <w:sz w:val="16"/>
                <w:szCs w:val="16"/>
              </w:rPr>
            </w:pPr>
            <w:r w:rsidRPr="000B693E">
              <w:rPr>
                <w:rFonts w:cs="Arial"/>
                <w:sz w:val="16"/>
                <w:szCs w:val="16"/>
              </w:rPr>
              <w:t>9.2%</w:t>
            </w:r>
          </w:p>
        </w:tc>
        <w:tc>
          <w:tcPr>
            <w:tcW w:w="0" w:type="auto"/>
            <w:tcBorders>
              <w:top w:val="nil"/>
              <w:left w:val="dotted" w:sz="4" w:space="0" w:color="auto"/>
              <w:bottom w:val="nil"/>
              <w:right w:val="single" w:sz="4" w:space="0" w:color="auto"/>
            </w:tcBorders>
            <w:shd w:val="clear" w:color="auto" w:fill="auto"/>
            <w:noWrap/>
            <w:vAlign w:val="bottom"/>
            <w:hideMark/>
          </w:tcPr>
          <w:p w14:paraId="0E4BC2B1" w14:textId="77777777" w:rsidR="00443C82" w:rsidRPr="000B693E" w:rsidRDefault="00443C82" w:rsidP="00312E88">
            <w:pPr>
              <w:jc w:val="right"/>
              <w:rPr>
                <w:rFonts w:cs="Arial"/>
                <w:sz w:val="16"/>
                <w:szCs w:val="16"/>
              </w:rPr>
            </w:pPr>
            <w:r w:rsidRPr="000B693E">
              <w:rPr>
                <w:rFonts w:cs="Arial"/>
                <w:sz w:val="16"/>
                <w:szCs w:val="16"/>
              </w:rPr>
              <w:t>8.9%</w:t>
            </w:r>
          </w:p>
        </w:tc>
        <w:tc>
          <w:tcPr>
            <w:tcW w:w="0" w:type="auto"/>
            <w:tcBorders>
              <w:top w:val="nil"/>
              <w:left w:val="dotted" w:sz="4" w:space="0" w:color="auto"/>
              <w:bottom w:val="nil"/>
              <w:right w:val="single" w:sz="4" w:space="0" w:color="auto"/>
            </w:tcBorders>
            <w:shd w:val="clear" w:color="auto" w:fill="auto"/>
            <w:noWrap/>
            <w:vAlign w:val="bottom"/>
            <w:hideMark/>
          </w:tcPr>
          <w:p w14:paraId="0B78C28A" w14:textId="77777777" w:rsidR="00443C82" w:rsidRPr="000B693E" w:rsidRDefault="00443C82" w:rsidP="00312E88">
            <w:pPr>
              <w:jc w:val="right"/>
              <w:rPr>
                <w:rFonts w:cs="Arial"/>
                <w:sz w:val="16"/>
                <w:szCs w:val="16"/>
              </w:rPr>
            </w:pPr>
            <w:r w:rsidRPr="000B693E">
              <w:rPr>
                <w:rFonts w:cs="Arial"/>
                <w:sz w:val="16"/>
                <w:szCs w:val="16"/>
              </w:rPr>
              <w:t>9.3%</w:t>
            </w:r>
          </w:p>
        </w:tc>
      </w:tr>
      <w:tr w:rsidR="00443C82" w:rsidRPr="000B693E" w14:paraId="68BD9E7F"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54FC1B94" w14:textId="77777777" w:rsidR="00443C82" w:rsidRPr="000B693E" w:rsidRDefault="00443C82" w:rsidP="00312E88">
            <w:pPr>
              <w:rPr>
                <w:rFonts w:cs="Arial"/>
                <w:sz w:val="16"/>
                <w:szCs w:val="16"/>
              </w:rPr>
            </w:pPr>
            <w:r w:rsidRPr="000B693E">
              <w:rPr>
                <w:rFonts w:cs="Arial"/>
                <w:sz w:val="16"/>
                <w:szCs w:val="16"/>
              </w:rPr>
              <w:t>One year less of high inflation</w:t>
            </w:r>
          </w:p>
        </w:tc>
        <w:tc>
          <w:tcPr>
            <w:tcW w:w="0" w:type="auto"/>
            <w:tcBorders>
              <w:top w:val="nil"/>
              <w:left w:val="nil"/>
              <w:bottom w:val="nil"/>
              <w:right w:val="nil"/>
            </w:tcBorders>
            <w:shd w:val="clear" w:color="auto" w:fill="auto"/>
            <w:noWrap/>
            <w:vAlign w:val="bottom"/>
            <w:hideMark/>
          </w:tcPr>
          <w:p w14:paraId="66BAEE6E" w14:textId="77777777" w:rsidR="00443C82" w:rsidRPr="000B693E" w:rsidRDefault="00443C82" w:rsidP="00312E88">
            <w:pPr>
              <w:jc w:val="right"/>
              <w:rPr>
                <w:rFonts w:cs="Arial"/>
                <w:sz w:val="16"/>
                <w:szCs w:val="16"/>
              </w:rPr>
            </w:pPr>
            <w:r w:rsidRPr="000B693E">
              <w:rPr>
                <w:rFonts w:cs="Arial"/>
                <w:sz w:val="16"/>
                <w:szCs w:val="16"/>
              </w:rPr>
              <w:t>-3.0%</w:t>
            </w:r>
          </w:p>
        </w:tc>
        <w:tc>
          <w:tcPr>
            <w:tcW w:w="0" w:type="auto"/>
            <w:tcBorders>
              <w:top w:val="nil"/>
              <w:left w:val="nil"/>
              <w:bottom w:val="nil"/>
              <w:right w:val="nil"/>
            </w:tcBorders>
            <w:shd w:val="clear" w:color="auto" w:fill="auto"/>
            <w:noWrap/>
            <w:vAlign w:val="bottom"/>
            <w:hideMark/>
          </w:tcPr>
          <w:p w14:paraId="2C59E0DB" w14:textId="77777777" w:rsidR="00443C82" w:rsidRPr="000B693E" w:rsidRDefault="00443C82" w:rsidP="00312E88">
            <w:pPr>
              <w:jc w:val="right"/>
              <w:rPr>
                <w:rFonts w:cs="Arial"/>
                <w:sz w:val="16"/>
                <w:szCs w:val="16"/>
              </w:rPr>
            </w:pPr>
            <w:r w:rsidRPr="000B693E">
              <w:rPr>
                <w:rFonts w:cs="Arial"/>
                <w:sz w:val="16"/>
                <w:szCs w:val="16"/>
              </w:rPr>
              <w:t>-3.6%</w:t>
            </w:r>
          </w:p>
        </w:tc>
        <w:tc>
          <w:tcPr>
            <w:tcW w:w="0" w:type="auto"/>
            <w:tcBorders>
              <w:top w:val="nil"/>
              <w:left w:val="nil"/>
              <w:bottom w:val="nil"/>
              <w:right w:val="nil"/>
            </w:tcBorders>
            <w:shd w:val="clear" w:color="auto" w:fill="auto"/>
            <w:noWrap/>
            <w:vAlign w:val="bottom"/>
            <w:hideMark/>
          </w:tcPr>
          <w:p w14:paraId="0F1404CF" w14:textId="77777777" w:rsidR="00443C82" w:rsidRPr="000B693E" w:rsidRDefault="00443C82" w:rsidP="00312E88">
            <w:pPr>
              <w:jc w:val="right"/>
              <w:rPr>
                <w:rFonts w:cs="Arial"/>
                <w:sz w:val="16"/>
                <w:szCs w:val="16"/>
              </w:rPr>
            </w:pPr>
            <w:r w:rsidRPr="000B693E">
              <w:rPr>
                <w:rFonts w:cs="Arial"/>
                <w:sz w:val="16"/>
                <w:szCs w:val="16"/>
              </w:rPr>
              <w:t>-4.5%</w:t>
            </w:r>
          </w:p>
        </w:tc>
        <w:tc>
          <w:tcPr>
            <w:tcW w:w="0" w:type="auto"/>
            <w:tcBorders>
              <w:top w:val="nil"/>
              <w:left w:val="nil"/>
              <w:bottom w:val="nil"/>
              <w:right w:val="nil"/>
            </w:tcBorders>
            <w:shd w:val="clear" w:color="auto" w:fill="auto"/>
            <w:noWrap/>
            <w:vAlign w:val="bottom"/>
            <w:hideMark/>
          </w:tcPr>
          <w:p w14:paraId="0E09251C" w14:textId="77777777" w:rsidR="00443C82" w:rsidRPr="000B693E" w:rsidRDefault="00443C82" w:rsidP="00312E88">
            <w:pPr>
              <w:jc w:val="right"/>
              <w:rPr>
                <w:rFonts w:cs="Arial"/>
                <w:sz w:val="16"/>
                <w:szCs w:val="16"/>
              </w:rPr>
            </w:pPr>
            <w:r w:rsidRPr="000B693E">
              <w:rPr>
                <w:rFonts w:cs="Arial"/>
                <w:sz w:val="16"/>
                <w:szCs w:val="16"/>
              </w:rPr>
              <w:t>-4.9%</w:t>
            </w:r>
          </w:p>
        </w:tc>
        <w:tc>
          <w:tcPr>
            <w:tcW w:w="0" w:type="auto"/>
            <w:tcBorders>
              <w:top w:val="nil"/>
              <w:left w:val="dotted" w:sz="4" w:space="0" w:color="auto"/>
              <w:bottom w:val="nil"/>
              <w:right w:val="single" w:sz="4" w:space="0" w:color="auto"/>
            </w:tcBorders>
            <w:shd w:val="clear" w:color="auto" w:fill="auto"/>
            <w:noWrap/>
            <w:vAlign w:val="bottom"/>
            <w:hideMark/>
          </w:tcPr>
          <w:p w14:paraId="0FE16796" w14:textId="77777777" w:rsidR="00443C82" w:rsidRPr="000B693E" w:rsidRDefault="00443C82" w:rsidP="00312E88">
            <w:pPr>
              <w:jc w:val="right"/>
              <w:rPr>
                <w:rFonts w:cs="Arial"/>
                <w:sz w:val="16"/>
                <w:szCs w:val="16"/>
              </w:rPr>
            </w:pPr>
            <w:r w:rsidRPr="000B693E">
              <w:rPr>
                <w:rFonts w:cs="Arial"/>
                <w:sz w:val="16"/>
                <w:szCs w:val="16"/>
              </w:rPr>
              <w:t>-6.3%</w:t>
            </w:r>
          </w:p>
        </w:tc>
        <w:tc>
          <w:tcPr>
            <w:tcW w:w="0" w:type="auto"/>
            <w:tcBorders>
              <w:top w:val="nil"/>
              <w:left w:val="dotted" w:sz="4" w:space="0" w:color="auto"/>
              <w:bottom w:val="nil"/>
              <w:right w:val="single" w:sz="4" w:space="0" w:color="auto"/>
            </w:tcBorders>
            <w:shd w:val="clear" w:color="auto" w:fill="auto"/>
            <w:noWrap/>
            <w:vAlign w:val="bottom"/>
            <w:hideMark/>
          </w:tcPr>
          <w:p w14:paraId="554F92BF" w14:textId="77777777" w:rsidR="00443C82" w:rsidRPr="000B693E" w:rsidRDefault="00443C82" w:rsidP="00312E88">
            <w:pPr>
              <w:jc w:val="right"/>
              <w:rPr>
                <w:rFonts w:cs="Arial"/>
                <w:sz w:val="16"/>
                <w:szCs w:val="16"/>
              </w:rPr>
            </w:pPr>
            <w:r w:rsidRPr="000B693E">
              <w:rPr>
                <w:rFonts w:cs="Arial"/>
                <w:sz w:val="16"/>
                <w:szCs w:val="16"/>
              </w:rPr>
              <w:t>-4.4%</w:t>
            </w:r>
          </w:p>
        </w:tc>
      </w:tr>
      <w:tr w:rsidR="00443C82" w:rsidRPr="000B693E" w14:paraId="3BA4F6BF"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4D766AAB" w14:textId="77777777" w:rsidR="00443C82" w:rsidRPr="000B693E" w:rsidRDefault="00443C82" w:rsidP="00312E88">
            <w:pPr>
              <w:rPr>
                <w:rFonts w:cs="Arial"/>
                <w:sz w:val="16"/>
                <w:szCs w:val="16"/>
              </w:rPr>
            </w:pPr>
            <w:r w:rsidRPr="000B693E">
              <w:rPr>
                <w:rFonts w:cs="Arial"/>
                <w:sz w:val="16"/>
                <w:szCs w:val="16"/>
              </w:rPr>
              <w:t>Two additional years of high inflation</w:t>
            </w:r>
          </w:p>
        </w:tc>
        <w:tc>
          <w:tcPr>
            <w:tcW w:w="0" w:type="auto"/>
            <w:tcBorders>
              <w:top w:val="nil"/>
              <w:left w:val="nil"/>
              <w:bottom w:val="nil"/>
              <w:right w:val="nil"/>
            </w:tcBorders>
            <w:shd w:val="clear" w:color="auto" w:fill="auto"/>
            <w:noWrap/>
            <w:vAlign w:val="bottom"/>
            <w:hideMark/>
          </w:tcPr>
          <w:p w14:paraId="52E6F79D" w14:textId="77777777" w:rsidR="00443C82" w:rsidRPr="000B693E" w:rsidRDefault="00443C82" w:rsidP="00312E88">
            <w:pPr>
              <w:jc w:val="right"/>
              <w:rPr>
                <w:rFonts w:cs="Arial"/>
                <w:sz w:val="16"/>
                <w:szCs w:val="16"/>
              </w:rPr>
            </w:pPr>
            <w:r w:rsidRPr="000B693E">
              <w:rPr>
                <w:rFonts w:cs="Arial"/>
                <w:sz w:val="16"/>
                <w:szCs w:val="16"/>
              </w:rPr>
              <w:t>4.0%</w:t>
            </w:r>
          </w:p>
        </w:tc>
        <w:tc>
          <w:tcPr>
            <w:tcW w:w="0" w:type="auto"/>
            <w:tcBorders>
              <w:top w:val="nil"/>
              <w:left w:val="nil"/>
              <w:bottom w:val="nil"/>
              <w:right w:val="nil"/>
            </w:tcBorders>
            <w:shd w:val="clear" w:color="auto" w:fill="auto"/>
            <w:noWrap/>
            <w:vAlign w:val="bottom"/>
            <w:hideMark/>
          </w:tcPr>
          <w:p w14:paraId="01B6258B" w14:textId="77777777" w:rsidR="00443C82" w:rsidRPr="000B693E" w:rsidRDefault="00443C82" w:rsidP="00312E88">
            <w:pPr>
              <w:jc w:val="right"/>
              <w:rPr>
                <w:rFonts w:cs="Arial"/>
                <w:sz w:val="16"/>
                <w:szCs w:val="16"/>
              </w:rPr>
            </w:pPr>
            <w:r w:rsidRPr="000B693E">
              <w:rPr>
                <w:rFonts w:cs="Arial"/>
                <w:sz w:val="16"/>
                <w:szCs w:val="16"/>
              </w:rPr>
              <w:t>7.4%</w:t>
            </w:r>
          </w:p>
        </w:tc>
        <w:tc>
          <w:tcPr>
            <w:tcW w:w="0" w:type="auto"/>
            <w:tcBorders>
              <w:top w:val="nil"/>
              <w:left w:val="nil"/>
              <w:bottom w:val="nil"/>
              <w:right w:val="nil"/>
            </w:tcBorders>
            <w:shd w:val="clear" w:color="auto" w:fill="auto"/>
            <w:noWrap/>
            <w:vAlign w:val="bottom"/>
            <w:hideMark/>
          </w:tcPr>
          <w:p w14:paraId="43CB015D" w14:textId="77777777" w:rsidR="00443C82" w:rsidRPr="000B693E" w:rsidRDefault="00443C82" w:rsidP="00312E88">
            <w:pPr>
              <w:jc w:val="right"/>
              <w:rPr>
                <w:rFonts w:cs="Arial"/>
                <w:sz w:val="16"/>
                <w:szCs w:val="16"/>
              </w:rPr>
            </w:pPr>
            <w:r w:rsidRPr="000B693E">
              <w:rPr>
                <w:rFonts w:cs="Arial"/>
                <w:sz w:val="16"/>
                <w:szCs w:val="16"/>
              </w:rPr>
              <w:t>8.6%</w:t>
            </w:r>
          </w:p>
        </w:tc>
        <w:tc>
          <w:tcPr>
            <w:tcW w:w="0" w:type="auto"/>
            <w:tcBorders>
              <w:top w:val="nil"/>
              <w:left w:val="nil"/>
              <w:bottom w:val="nil"/>
              <w:right w:val="nil"/>
            </w:tcBorders>
            <w:shd w:val="clear" w:color="auto" w:fill="auto"/>
            <w:noWrap/>
            <w:vAlign w:val="bottom"/>
            <w:hideMark/>
          </w:tcPr>
          <w:p w14:paraId="5E002BA5" w14:textId="77777777" w:rsidR="00443C82" w:rsidRPr="000B693E" w:rsidRDefault="00443C82" w:rsidP="00312E88">
            <w:pPr>
              <w:jc w:val="right"/>
              <w:rPr>
                <w:rFonts w:cs="Arial"/>
                <w:sz w:val="16"/>
                <w:szCs w:val="16"/>
              </w:rPr>
            </w:pPr>
            <w:r w:rsidRPr="000B693E">
              <w:rPr>
                <w:rFonts w:cs="Arial"/>
                <w:sz w:val="16"/>
                <w:szCs w:val="16"/>
              </w:rPr>
              <w:t>12.7%</w:t>
            </w:r>
          </w:p>
        </w:tc>
        <w:tc>
          <w:tcPr>
            <w:tcW w:w="0" w:type="auto"/>
            <w:tcBorders>
              <w:top w:val="nil"/>
              <w:left w:val="dotted" w:sz="4" w:space="0" w:color="auto"/>
              <w:bottom w:val="nil"/>
              <w:right w:val="single" w:sz="4" w:space="0" w:color="auto"/>
            </w:tcBorders>
            <w:shd w:val="clear" w:color="auto" w:fill="auto"/>
            <w:noWrap/>
            <w:vAlign w:val="bottom"/>
            <w:hideMark/>
          </w:tcPr>
          <w:p w14:paraId="47974823" w14:textId="77777777" w:rsidR="00443C82" w:rsidRPr="000B693E" w:rsidRDefault="00443C82" w:rsidP="00312E88">
            <w:pPr>
              <w:jc w:val="right"/>
              <w:rPr>
                <w:rFonts w:cs="Arial"/>
                <w:sz w:val="16"/>
                <w:szCs w:val="16"/>
              </w:rPr>
            </w:pPr>
            <w:r w:rsidRPr="000B693E">
              <w:rPr>
                <w:rFonts w:cs="Arial"/>
                <w:sz w:val="16"/>
                <w:szCs w:val="16"/>
              </w:rPr>
              <w:t>17.2%</w:t>
            </w:r>
          </w:p>
        </w:tc>
        <w:tc>
          <w:tcPr>
            <w:tcW w:w="0" w:type="auto"/>
            <w:tcBorders>
              <w:top w:val="nil"/>
              <w:left w:val="dotted" w:sz="4" w:space="0" w:color="auto"/>
              <w:bottom w:val="nil"/>
              <w:right w:val="single" w:sz="4" w:space="0" w:color="auto"/>
            </w:tcBorders>
            <w:shd w:val="clear" w:color="auto" w:fill="auto"/>
            <w:noWrap/>
            <w:vAlign w:val="bottom"/>
            <w:hideMark/>
          </w:tcPr>
          <w:p w14:paraId="11B72F79" w14:textId="77777777" w:rsidR="00443C82" w:rsidRPr="000B693E" w:rsidRDefault="00443C82" w:rsidP="00312E88">
            <w:pPr>
              <w:jc w:val="right"/>
              <w:rPr>
                <w:rFonts w:cs="Arial"/>
                <w:sz w:val="16"/>
                <w:szCs w:val="16"/>
              </w:rPr>
            </w:pPr>
            <w:r w:rsidRPr="000B693E">
              <w:rPr>
                <w:rFonts w:cs="Arial"/>
                <w:sz w:val="16"/>
                <w:szCs w:val="16"/>
              </w:rPr>
              <w:t>9.8%</w:t>
            </w:r>
          </w:p>
        </w:tc>
      </w:tr>
      <w:tr w:rsidR="00443C82" w:rsidRPr="000B693E" w14:paraId="01C50D9F" w14:textId="77777777" w:rsidTr="00443C82">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429AC34C" w14:textId="77777777" w:rsidR="00443C82" w:rsidRPr="000B693E" w:rsidRDefault="00443C82" w:rsidP="00312E88">
            <w:pPr>
              <w:rPr>
                <w:rFonts w:cs="Arial"/>
                <w:sz w:val="16"/>
                <w:szCs w:val="16"/>
              </w:rPr>
            </w:pPr>
            <w:r w:rsidRPr="000B693E">
              <w:rPr>
                <w:rFonts w:cs="Arial"/>
                <w:sz w:val="16"/>
                <w:szCs w:val="16"/>
              </w:rPr>
              <w:lastRenderedPageBreak/>
              <w:t>1%p.a. additional long term inflation</w:t>
            </w:r>
          </w:p>
        </w:tc>
        <w:tc>
          <w:tcPr>
            <w:tcW w:w="0" w:type="auto"/>
            <w:tcBorders>
              <w:top w:val="nil"/>
              <w:left w:val="nil"/>
              <w:bottom w:val="nil"/>
              <w:right w:val="nil"/>
            </w:tcBorders>
            <w:shd w:val="clear" w:color="auto" w:fill="auto"/>
            <w:noWrap/>
            <w:vAlign w:val="bottom"/>
            <w:hideMark/>
          </w:tcPr>
          <w:p w14:paraId="46430025" w14:textId="77777777" w:rsidR="00443C82" w:rsidRPr="000B693E" w:rsidRDefault="00443C82" w:rsidP="00312E88">
            <w:pPr>
              <w:jc w:val="right"/>
              <w:rPr>
                <w:rFonts w:cs="Arial"/>
                <w:sz w:val="16"/>
                <w:szCs w:val="16"/>
              </w:rPr>
            </w:pPr>
            <w:r w:rsidRPr="000B693E">
              <w:rPr>
                <w:rFonts w:cs="Arial"/>
                <w:sz w:val="16"/>
                <w:szCs w:val="16"/>
              </w:rPr>
              <w:t>0.5%</w:t>
            </w:r>
          </w:p>
        </w:tc>
        <w:tc>
          <w:tcPr>
            <w:tcW w:w="0" w:type="auto"/>
            <w:tcBorders>
              <w:top w:val="nil"/>
              <w:left w:val="nil"/>
              <w:bottom w:val="nil"/>
              <w:right w:val="nil"/>
            </w:tcBorders>
            <w:shd w:val="clear" w:color="auto" w:fill="auto"/>
            <w:noWrap/>
            <w:vAlign w:val="bottom"/>
            <w:hideMark/>
          </w:tcPr>
          <w:p w14:paraId="13695480" w14:textId="77777777" w:rsidR="00443C82" w:rsidRPr="000B693E" w:rsidRDefault="00443C82" w:rsidP="00312E88">
            <w:pPr>
              <w:jc w:val="right"/>
              <w:rPr>
                <w:rFonts w:cs="Arial"/>
                <w:sz w:val="16"/>
                <w:szCs w:val="16"/>
              </w:rPr>
            </w:pPr>
            <w:r w:rsidRPr="000B693E">
              <w:rPr>
                <w:rFonts w:cs="Arial"/>
                <w:sz w:val="16"/>
                <w:szCs w:val="16"/>
              </w:rPr>
              <w:t>1.4%</w:t>
            </w:r>
          </w:p>
        </w:tc>
        <w:tc>
          <w:tcPr>
            <w:tcW w:w="0" w:type="auto"/>
            <w:tcBorders>
              <w:top w:val="nil"/>
              <w:left w:val="nil"/>
              <w:bottom w:val="nil"/>
              <w:right w:val="nil"/>
            </w:tcBorders>
            <w:shd w:val="clear" w:color="auto" w:fill="auto"/>
            <w:noWrap/>
            <w:vAlign w:val="bottom"/>
            <w:hideMark/>
          </w:tcPr>
          <w:p w14:paraId="4ADB69CC" w14:textId="77777777" w:rsidR="00443C82" w:rsidRPr="000B693E" w:rsidRDefault="00443C82" w:rsidP="00312E88">
            <w:pPr>
              <w:jc w:val="right"/>
              <w:rPr>
                <w:rFonts w:cs="Arial"/>
                <w:sz w:val="16"/>
                <w:szCs w:val="16"/>
              </w:rPr>
            </w:pPr>
            <w:r w:rsidRPr="000B693E">
              <w:rPr>
                <w:rFonts w:cs="Arial"/>
                <w:sz w:val="16"/>
                <w:szCs w:val="16"/>
              </w:rPr>
              <w:t>2.4%</w:t>
            </w:r>
          </w:p>
        </w:tc>
        <w:tc>
          <w:tcPr>
            <w:tcW w:w="0" w:type="auto"/>
            <w:tcBorders>
              <w:top w:val="nil"/>
              <w:left w:val="nil"/>
              <w:bottom w:val="nil"/>
              <w:right w:val="nil"/>
            </w:tcBorders>
            <w:shd w:val="clear" w:color="auto" w:fill="auto"/>
            <w:noWrap/>
            <w:vAlign w:val="bottom"/>
            <w:hideMark/>
          </w:tcPr>
          <w:p w14:paraId="5E7692E5" w14:textId="77777777" w:rsidR="00443C82" w:rsidRPr="000B693E" w:rsidRDefault="00443C82" w:rsidP="00312E88">
            <w:pPr>
              <w:jc w:val="right"/>
              <w:rPr>
                <w:rFonts w:cs="Arial"/>
                <w:sz w:val="16"/>
                <w:szCs w:val="16"/>
              </w:rPr>
            </w:pPr>
            <w:r w:rsidRPr="000B693E">
              <w:rPr>
                <w:rFonts w:cs="Arial"/>
                <w:sz w:val="16"/>
                <w:szCs w:val="16"/>
              </w:rPr>
              <w:t>3.4%</w:t>
            </w:r>
          </w:p>
        </w:tc>
        <w:tc>
          <w:tcPr>
            <w:tcW w:w="0" w:type="auto"/>
            <w:tcBorders>
              <w:top w:val="nil"/>
              <w:left w:val="dotted" w:sz="4" w:space="0" w:color="auto"/>
              <w:bottom w:val="nil"/>
              <w:right w:val="single" w:sz="4" w:space="0" w:color="auto"/>
            </w:tcBorders>
            <w:shd w:val="clear" w:color="auto" w:fill="auto"/>
            <w:noWrap/>
            <w:vAlign w:val="bottom"/>
            <w:hideMark/>
          </w:tcPr>
          <w:p w14:paraId="05EE4897" w14:textId="77777777" w:rsidR="00443C82" w:rsidRPr="000B693E" w:rsidRDefault="00443C82" w:rsidP="00312E88">
            <w:pPr>
              <w:jc w:val="right"/>
              <w:rPr>
                <w:rFonts w:cs="Arial"/>
                <w:sz w:val="16"/>
                <w:szCs w:val="16"/>
              </w:rPr>
            </w:pPr>
            <w:r w:rsidRPr="000B693E">
              <w:rPr>
                <w:rFonts w:cs="Arial"/>
                <w:sz w:val="16"/>
                <w:szCs w:val="16"/>
              </w:rPr>
              <w:t>8.7%</w:t>
            </w:r>
          </w:p>
        </w:tc>
        <w:tc>
          <w:tcPr>
            <w:tcW w:w="0" w:type="auto"/>
            <w:tcBorders>
              <w:top w:val="nil"/>
              <w:left w:val="dotted" w:sz="4" w:space="0" w:color="auto"/>
              <w:bottom w:val="nil"/>
              <w:right w:val="single" w:sz="4" w:space="0" w:color="auto"/>
            </w:tcBorders>
            <w:shd w:val="clear" w:color="auto" w:fill="auto"/>
            <w:noWrap/>
            <w:vAlign w:val="bottom"/>
            <w:hideMark/>
          </w:tcPr>
          <w:p w14:paraId="216383D4" w14:textId="77777777" w:rsidR="00443C82" w:rsidRPr="000B693E" w:rsidRDefault="00443C82" w:rsidP="00312E88">
            <w:pPr>
              <w:jc w:val="right"/>
              <w:rPr>
                <w:rFonts w:cs="Arial"/>
                <w:sz w:val="16"/>
                <w:szCs w:val="16"/>
              </w:rPr>
            </w:pPr>
            <w:r w:rsidRPr="000B693E">
              <w:rPr>
                <w:rFonts w:cs="Arial"/>
                <w:sz w:val="16"/>
                <w:szCs w:val="16"/>
              </w:rPr>
              <w:t>2.5%</w:t>
            </w:r>
          </w:p>
        </w:tc>
      </w:tr>
      <w:tr w:rsidR="00443C82" w:rsidRPr="000B693E" w14:paraId="3570B846" w14:textId="77777777" w:rsidTr="00443C82">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A849AD" w14:textId="77777777" w:rsidR="00443C82" w:rsidRPr="000B693E" w:rsidRDefault="00443C82" w:rsidP="00312E88">
            <w:pPr>
              <w:rPr>
                <w:rFonts w:cs="Arial"/>
                <w:sz w:val="16"/>
                <w:szCs w:val="16"/>
              </w:rPr>
            </w:pPr>
            <w:r w:rsidRPr="000B693E">
              <w:rPr>
                <w:rFonts w:cs="Arial"/>
                <w:sz w:val="16"/>
                <w:szCs w:val="16"/>
              </w:rPr>
              <w:t>1%p.a. less long term inflation</w:t>
            </w:r>
          </w:p>
        </w:tc>
        <w:tc>
          <w:tcPr>
            <w:tcW w:w="0" w:type="auto"/>
            <w:tcBorders>
              <w:top w:val="nil"/>
              <w:left w:val="nil"/>
              <w:bottom w:val="single" w:sz="4" w:space="0" w:color="auto"/>
              <w:right w:val="nil"/>
            </w:tcBorders>
            <w:shd w:val="clear" w:color="auto" w:fill="auto"/>
            <w:noWrap/>
            <w:vAlign w:val="bottom"/>
            <w:hideMark/>
          </w:tcPr>
          <w:p w14:paraId="761F6589" w14:textId="77777777" w:rsidR="00443C82" w:rsidRPr="000B693E" w:rsidRDefault="00443C82" w:rsidP="00312E88">
            <w:pPr>
              <w:jc w:val="right"/>
              <w:rPr>
                <w:rFonts w:cs="Arial"/>
                <w:sz w:val="16"/>
                <w:szCs w:val="16"/>
              </w:rPr>
            </w:pPr>
            <w:r w:rsidRPr="000B693E">
              <w:rPr>
                <w:rFonts w:cs="Arial"/>
                <w:sz w:val="16"/>
                <w:szCs w:val="16"/>
              </w:rPr>
              <w:t>-0.5%</w:t>
            </w:r>
          </w:p>
        </w:tc>
        <w:tc>
          <w:tcPr>
            <w:tcW w:w="0" w:type="auto"/>
            <w:tcBorders>
              <w:top w:val="nil"/>
              <w:left w:val="nil"/>
              <w:bottom w:val="single" w:sz="4" w:space="0" w:color="auto"/>
              <w:right w:val="nil"/>
            </w:tcBorders>
            <w:shd w:val="clear" w:color="auto" w:fill="auto"/>
            <w:noWrap/>
            <w:vAlign w:val="bottom"/>
            <w:hideMark/>
          </w:tcPr>
          <w:p w14:paraId="2D873B12" w14:textId="77777777" w:rsidR="00443C82" w:rsidRPr="000B693E" w:rsidRDefault="00443C82" w:rsidP="00312E88">
            <w:pPr>
              <w:jc w:val="right"/>
              <w:rPr>
                <w:rFonts w:cs="Arial"/>
                <w:sz w:val="16"/>
                <w:szCs w:val="16"/>
              </w:rPr>
            </w:pPr>
            <w:r w:rsidRPr="000B693E">
              <w:rPr>
                <w:rFonts w:cs="Arial"/>
                <w:sz w:val="16"/>
                <w:szCs w:val="16"/>
              </w:rPr>
              <w:t>-1.4%</w:t>
            </w:r>
          </w:p>
        </w:tc>
        <w:tc>
          <w:tcPr>
            <w:tcW w:w="0" w:type="auto"/>
            <w:tcBorders>
              <w:top w:val="nil"/>
              <w:left w:val="nil"/>
              <w:bottom w:val="single" w:sz="4" w:space="0" w:color="auto"/>
              <w:right w:val="nil"/>
            </w:tcBorders>
            <w:shd w:val="clear" w:color="auto" w:fill="auto"/>
            <w:noWrap/>
            <w:vAlign w:val="bottom"/>
            <w:hideMark/>
          </w:tcPr>
          <w:p w14:paraId="37F1F695" w14:textId="77777777" w:rsidR="00443C82" w:rsidRPr="000B693E" w:rsidRDefault="00443C82" w:rsidP="00312E88">
            <w:pPr>
              <w:jc w:val="right"/>
              <w:rPr>
                <w:rFonts w:cs="Arial"/>
                <w:sz w:val="16"/>
                <w:szCs w:val="16"/>
              </w:rPr>
            </w:pPr>
            <w:r w:rsidRPr="000B693E">
              <w:rPr>
                <w:rFonts w:cs="Arial"/>
                <w:sz w:val="16"/>
                <w:szCs w:val="16"/>
              </w:rPr>
              <w:t>-2.4%</w:t>
            </w:r>
          </w:p>
        </w:tc>
        <w:tc>
          <w:tcPr>
            <w:tcW w:w="0" w:type="auto"/>
            <w:tcBorders>
              <w:top w:val="nil"/>
              <w:left w:val="nil"/>
              <w:bottom w:val="single" w:sz="4" w:space="0" w:color="auto"/>
              <w:right w:val="nil"/>
            </w:tcBorders>
            <w:shd w:val="clear" w:color="auto" w:fill="auto"/>
            <w:noWrap/>
            <w:vAlign w:val="bottom"/>
            <w:hideMark/>
          </w:tcPr>
          <w:p w14:paraId="588D9230" w14:textId="77777777" w:rsidR="00443C82" w:rsidRPr="000B693E" w:rsidRDefault="00443C82" w:rsidP="00312E88">
            <w:pPr>
              <w:jc w:val="right"/>
              <w:rPr>
                <w:rFonts w:cs="Arial"/>
                <w:sz w:val="16"/>
                <w:szCs w:val="16"/>
              </w:rPr>
            </w:pPr>
            <w:r w:rsidRPr="000B693E">
              <w:rPr>
                <w:rFonts w:cs="Arial"/>
                <w:sz w:val="16"/>
                <w:szCs w:val="16"/>
              </w:rPr>
              <w:t>-3.3%</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4A2E1008" w14:textId="77777777" w:rsidR="00443C82" w:rsidRPr="000B693E" w:rsidRDefault="00443C82" w:rsidP="00312E88">
            <w:pPr>
              <w:jc w:val="right"/>
              <w:rPr>
                <w:rFonts w:cs="Arial"/>
                <w:sz w:val="16"/>
                <w:szCs w:val="16"/>
              </w:rPr>
            </w:pPr>
            <w:r w:rsidRPr="000B693E">
              <w:rPr>
                <w:rFonts w:cs="Arial"/>
                <w:sz w:val="16"/>
                <w:szCs w:val="16"/>
              </w:rPr>
              <w:t>-8.1%</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6429DF84" w14:textId="77777777" w:rsidR="00443C82" w:rsidRPr="000B693E" w:rsidRDefault="00443C82" w:rsidP="00312E88">
            <w:pPr>
              <w:jc w:val="right"/>
              <w:rPr>
                <w:rFonts w:cs="Arial"/>
                <w:sz w:val="16"/>
                <w:szCs w:val="16"/>
              </w:rPr>
            </w:pPr>
            <w:r w:rsidRPr="000B693E">
              <w:rPr>
                <w:rFonts w:cs="Arial"/>
                <w:sz w:val="16"/>
                <w:szCs w:val="16"/>
              </w:rPr>
              <w:t>-2.5%</w:t>
            </w:r>
          </w:p>
        </w:tc>
      </w:tr>
    </w:tbl>
    <w:p w14:paraId="65704600" w14:textId="21C311A1" w:rsidR="001C2276" w:rsidRDefault="001C2276" w:rsidP="000A5E71">
      <w:pPr>
        <w:pStyle w:val="ListParagraph"/>
        <w:spacing w:before="240"/>
        <w:ind w:left="0"/>
      </w:pPr>
    </w:p>
    <w:p w14:paraId="1F3A5375" w14:textId="2021353D" w:rsidR="001C2276" w:rsidRPr="001156A7" w:rsidRDefault="001C2276" w:rsidP="000A5E71">
      <w:pPr>
        <w:spacing w:before="240"/>
        <w:rPr>
          <w:b/>
          <w:i/>
          <w:color w:val="6B2976"/>
          <w:sz w:val="25"/>
        </w:rPr>
      </w:pPr>
      <w:r>
        <w:rPr>
          <w:b/>
          <w:i/>
          <w:color w:val="6B2976"/>
          <w:sz w:val="25"/>
        </w:rPr>
        <w:t>Combined impact</w:t>
      </w:r>
    </w:p>
    <w:p w14:paraId="1BA060BC" w14:textId="600B48D9" w:rsidR="001C2276" w:rsidRDefault="00B16840" w:rsidP="000A5E71">
      <w:pPr>
        <w:spacing w:before="240"/>
      </w:pPr>
      <w:r w:rsidRPr="00443C82">
        <w:rPr>
          <w:u w:val="single"/>
        </w:rPr>
        <w:fldChar w:fldCharType="begin"/>
      </w:r>
      <w:r w:rsidRPr="00443C82">
        <w:rPr>
          <w:u w:val="single"/>
        </w:rPr>
        <w:instrText xml:space="preserve"> REF _Ref80451045 \h </w:instrText>
      </w:r>
      <w:r w:rsidR="00443C82">
        <w:rPr>
          <w:u w:val="single"/>
        </w:rPr>
        <w:instrText xml:space="preserve"> \* MERGEFORMAT </w:instrText>
      </w:r>
      <w:r w:rsidRPr="00443C82">
        <w:rPr>
          <w:u w:val="single"/>
        </w:rPr>
      </w:r>
      <w:r w:rsidRPr="00443C82">
        <w:rPr>
          <w:u w:val="single"/>
        </w:rPr>
        <w:fldChar w:fldCharType="separate"/>
      </w:r>
      <w:r w:rsidR="00E50032" w:rsidRPr="00E50032">
        <w:rPr>
          <w:u w:val="single"/>
        </w:rPr>
        <w:t xml:space="preserve">Table </w:t>
      </w:r>
      <w:r w:rsidR="00E50032" w:rsidRPr="00E50032">
        <w:rPr>
          <w:noProof/>
          <w:u w:val="single"/>
        </w:rPr>
        <w:t>42</w:t>
      </w:r>
      <w:r w:rsidRPr="00443C82">
        <w:rPr>
          <w:u w:val="single"/>
        </w:rPr>
        <w:fldChar w:fldCharType="end"/>
      </w:r>
      <w:r>
        <w:t xml:space="preserve"> </w:t>
      </w:r>
      <w:r w:rsidR="001C2276" w:rsidRPr="005726A8">
        <w:t xml:space="preserve">shows </w:t>
      </w:r>
      <w:r w:rsidR="001C2276">
        <w:t xml:space="preserve">the combined effect of scenarios relating to existing and new participants. </w:t>
      </w:r>
      <w:r w:rsidR="00E5177F">
        <w:t>Comments about specific scenarios are as follows:</w:t>
      </w:r>
    </w:p>
    <w:p w14:paraId="1296AA6A" w14:textId="77777777" w:rsidR="00864DC5" w:rsidRDefault="00864DC5" w:rsidP="00864DC5">
      <w:pPr>
        <w:pStyle w:val="ListParagraph"/>
        <w:numPr>
          <w:ilvl w:val="0"/>
          <w:numId w:val="31"/>
        </w:numPr>
        <w:spacing w:before="240"/>
      </w:pPr>
      <w:r w:rsidRPr="00220157">
        <w:rPr>
          <w:i/>
        </w:rPr>
        <w:t>Two additional years of high inflation</w:t>
      </w:r>
      <w:r>
        <w:t xml:space="preserve"> is assumed at the same rate as observed over the past three years, which is higher than that assumed in the baseline projection</w:t>
      </w:r>
    </w:p>
    <w:p w14:paraId="39145297" w14:textId="77777777" w:rsidR="00864DC5" w:rsidRDefault="00864DC5" w:rsidP="00864DC5">
      <w:pPr>
        <w:pStyle w:val="ListParagraph"/>
        <w:numPr>
          <w:ilvl w:val="0"/>
          <w:numId w:val="31"/>
        </w:numPr>
        <w:spacing w:before="240"/>
      </w:pPr>
      <w:r w:rsidRPr="00220157">
        <w:rPr>
          <w:i/>
        </w:rPr>
        <w:t>Higher long term new incidence assumptions</w:t>
      </w:r>
      <w:r>
        <w:t xml:space="preserve"> are consistent with the rate observed over the past year which is higher than that assumed in the longer term in the baseline projection</w:t>
      </w:r>
    </w:p>
    <w:p w14:paraId="5BB13987" w14:textId="77777777" w:rsidR="00864DC5" w:rsidRDefault="00864DC5" w:rsidP="00864DC5">
      <w:pPr>
        <w:pStyle w:val="ListParagraph"/>
        <w:numPr>
          <w:ilvl w:val="0"/>
          <w:numId w:val="31"/>
        </w:numPr>
        <w:spacing w:before="240"/>
      </w:pPr>
      <w:r w:rsidRPr="00220157">
        <w:rPr>
          <w:i/>
        </w:rPr>
        <w:t>Lower non-mortality exit rates</w:t>
      </w:r>
      <w:r>
        <w:t xml:space="preserve"> are consistent with those recently observed, which are lower than those assumed in the longer term in the baseline projection</w:t>
      </w:r>
    </w:p>
    <w:p w14:paraId="38F8E59B" w14:textId="77777777" w:rsidR="00864DC5" w:rsidRDefault="00864DC5" w:rsidP="00864DC5">
      <w:pPr>
        <w:pStyle w:val="ListParagraph"/>
        <w:numPr>
          <w:ilvl w:val="0"/>
          <w:numId w:val="31"/>
        </w:numPr>
        <w:spacing w:before="240"/>
      </w:pPr>
      <w:r w:rsidRPr="00220157">
        <w:rPr>
          <w:i/>
        </w:rPr>
        <w:t>Higher cost of new entrants</w:t>
      </w:r>
      <w:r>
        <w:t xml:space="preserve"> assumes new entrants having the same average payment as existing participants in the same cohort</w:t>
      </w:r>
      <w:r>
        <w:rPr>
          <w:rStyle w:val="FootnoteReference"/>
        </w:rPr>
        <w:footnoteReference w:id="74"/>
      </w:r>
    </w:p>
    <w:p w14:paraId="3F8D44EC" w14:textId="77777777" w:rsidR="00864DC5" w:rsidRDefault="00864DC5" w:rsidP="00864DC5">
      <w:pPr>
        <w:pStyle w:val="ListParagraph"/>
        <w:numPr>
          <w:ilvl w:val="0"/>
          <w:numId w:val="31"/>
        </w:numPr>
        <w:spacing w:before="240"/>
      </w:pPr>
      <w:r w:rsidRPr="00220157">
        <w:rPr>
          <w:i/>
        </w:rPr>
        <w:t>One year less of high inflation</w:t>
      </w:r>
      <w:r>
        <w:t xml:space="preserve"> assumes that inflation reduces to a lower long term level one year earlier (i.e. the long-term assumption is adopted from 2027-28 onwards compared with 2028-29 onwards in the baseline projection).</w:t>
      </w:r>
    </w:p>
    <w:p w14:paraId="2999F4DE" w14:textId="77777777" w:rsidR="00864DC5" w:rsidRPr="00220157" w:rsidRDefault="00864DC5" w:rsidP="00864DC5">
      <w:pPr>
        <w:pStyle w:val="ListParagraph"/>
        <w:numPr>
          <w:ilvl w:val="0"/>
          <w:numId w:val="31"/>
        </w:numPr>
        <w:spacing w:before="240"/>
        <w:rPr>
          <w:i/>
        </w:rPr>
      </w:pPr>
      <w:r w:rsidRPr="00220157">
        <w:rPr>
          <w:i/>
        </w:rPr>
        <w:t xml:space="preserve">Lower long term new incidence assumptions </w:t>
      </w:r>
      <w:r>
        <w:t>projects new entrants consistent with that assumed at 30 June 2020, which is about 33% below current assumptions</w:t>
      </w:r>
    </w:p>
    <w:p w14:paraId="1253A80A" w14:textId="77777777" w:rsidR="00864DC5" w:rsidRPr="00220157" w:rsidRDefault="00864DC5" w:rsidP="00864DC5">
      <w:pPr>
        <w:pStyle w:val="ListParagraph"/>
        <w:numPr>
          <w:ilvl w:val="0"/>
          <w:numId w:val="31"/>
        </w:numPr>
        <w:spacing w:before="240"/>
        <w:rPr>
          <w:i/>
        </w:rPr>
      </w:pPr>
      <w:r>
        <w:rPr>
          <w:i/>
        </w:rPr>
        <w:t>Lower cost of new entrants</w:t>
      </w:r>
      <w:r>
        <w:t xml:space="preserve"> assumes new entrants having average payments 17% below existing participants, consistent with the recent observed experience (under the baseline projection the cost of new entrants is assumed to be 8.5% lower than existing participants)</w:t>
      </w:r>
    </w:p>
    <w:p w14:paraId="2E6254BC" w14:textId="77777777" w:rsidR="00864DC5" w:rsidRPr="00864DC5" w:rsidRDefault="00864DC5" w:rsidP="00864DC5">
      <w:pPr>
        <w:pStyle w:val="ListParagraph"/>
        <w:numPr>
          <w:ilvl w:val="0"/>
          <w:numId w:val="31"/>
        </w:numPr>
        <w:spacing w:before="240"/>
        <w:rPr>
          <w:i/>
        </w:rPr>
      </w:pPr>
      <w:r>
        <w:rPr>
          <w:i/>
        </w:rPr>
        <w:t>Other</w:t>
      </w:r>
      <w:r>
        <w:t xml:space="preserve"> scenarios include </w:t>
      </w:r>
    </w:p>
    <w:p w14:paraId="7184906A" w14:textId="7D21C2F2" w:rsidR="00864DC5" w:rsidRPr="002606A8" w:rsidRDefault="00864DC5" w:rsidP="002606A8">
      <w:pPr>
        <w:pStyle w:val="ListParagraph"/>
        <w:numPr>
          <w:ilvl w:val="1"/>
          <w:numId w:val="31"/>
        </w:numPr>
        <w:spacing w:before="240"/>
        <w:rPr>
          <w:i/>
        </w:rPr>
      </w:pPr>
      <w:r>
        <w:t xml:space="preserve">variances in the number of SIL participants (200 less p.a. in the reduction scenario and 500 more </w:t>
      </w:r>
      <w:r w:rsidR="00CE28F3">
        <w:t xml:space="preserve">p.a. </w:t>
      </w:r>
      <w:r>
        <w:t>in the increase scenario);</w:t>
      </w:r>
    </w:p>
    <w:p w14:paraId="0D731A17" w14:textId="77777777" w:rsidR="002606A8" w:rsidRPr="002606A8" w:rsidRDefault="00864DC5" w:rsidP="002606A8">
      <w:pPr>
        <w:pStyle w:val="ListParagraph"/>
        <w:numPr>
          <w:ilvl w:val="1"/>
          <w:numId w:val="31"/>
        </w:numPr>
        <w:spacing w:before="240"/>
        <w:rPr>
          <w:i/>
        </w:rPr>
      </w:pPr>
      <w:r>
        <w:t>lower general population growth (i.e. lower growth in the Australian population);</w:t>
      </w:r>
      <w:r w:rsidR="002606A8" w:rsidRPr="002606A8">
        <w:t xml:space="preserve"> </w:t>
      </w:r>
    </w:p>
    <w:p w14:paraId="059015DF" w14:textId="24BF56CD" w:rsidR="00864DC5" w:rsidRPr="002606A8" w:rsidRDefault="00CE28F3" w:rsidP="002606A8">
      <w:pPr>
        <w:pStyle w:val="ListParagraph"/>
        <w:numPr>
          <w:ilvl w:val="1"/>
          <w:numId w:val="31"/>
        </w:numPr>
        <w:spacing w:before="240"/>
        <w:rPr>
          <w:i/>
        </w:rPr>
      </w:pPr>
      <w:proofErr w:type="gramStart"/>
      <w:r w:rsidRPr="00402B65">
        <w:t>three</w:t>
      </w:r>
      <w:proofErr w:type="gramEnd"/>
      <w:r w:rsidRPr="00402B65">
        <w:t xml:space="preserve"> additional years </w:t>
      </w:r>
      <w:r w:rsidRPr="004B3B25">
        <w:t>of new entrant numbers in excess of the long term rate</w:t>
      </w:r>
      <w:r w:rsidRPr="00402B65">
        <w:t xml:space="preserve"> (i.e. the new incidence rate stabilises in 2026-27 instead of 2023-24)</w:t>
      </w:r>
      <w:r w:rsidR="002606A8">
        <w:t>.</w:t>
      </w:r>
    </w:p>
    <w:p w14:paraId="2D3B334D" w14:textId="009D96F3" w:rsidR="0045118C" w:rsidRDefault="001E4682" w:rsidP="002606A8">
      <w:pPr>
        <w:spacing w:before="240"/>
      </w:pPr>
      <w:r>
        <w:t>Commentary on the ranges derived is a follows:</w:t>
      </w:r>
    </w:p>
    <w:p w14:paraId="6E415F5F" w14:textId="1CC649A7" w:rsidR="00B16840" w:rsidRDefault="00502B9D" w:rsidP="00B16840">
      <w:pPr>
        <w:pStyle w:val="ListParagraph"/>
        <w:numPr>
          <w:ilvl w:val="0"/>
          <w:numId w:val="22"/>
        </w:numPr>
        <w:spacing w:before="240"/>
      </w:pPr>
      <w:r>
        <w:t>The plausible range estimated in 2024-25 is between $3</w:t>
      </w:r>
      <w:r w:rsidR="00DF284E">
        <w:t>9</w:t>
      </w:r>
      <w:r>
        <w:t>.</w:t>
      </w:r>
      <w:r w:rsidR="00DF284E">
        <w:t>0</w:t>
      </w:r>
      <w:r w:rsidR="007D6333">
        <w:t xml:space="preserve"> billion</w:t>
      </w:r>
      <w:r w:rsidR="00805C85">
        <w:t xml:space="preserve"> (5.</w:t>
      </w:r>
      <w:r w:rsidR="00C82EF5">
        <w:t>8</w:t>
      </w:r>
      <w:r w:rsidR="00805C85">
        <w:t>% lower than baseline)</w:t>
      </w:r>
      <w:r>
        <w:t xml:space="preserve"> and $4</w:t>
      </w:r>
      <w:r w:rsidR="00DF284E">
        <w:t>7</w:t>
      </w:r>
      <w:r>
        <w:t>.</w:t>
      </w:r>
      <w:r w:rsidR="00DF284E">
        <w:t>8</w:t>
      </w:r>
      <w:r w:rsidR="007D6333">
        <w:t xml:space="preserve"> billion</w:t>
      </w:r>
      <w:r w:rsidR="00805C85">
        <w:t xml:space="preserve"> (15.</w:t>
      </w:r>
      <w:r w:rsidR="00C82EF5">
        <w:t>6</w:t>
      </w:r>
      <w:r w:rsidR="00805C85">
        <w:t>% higher than baseline)</w:t>
      </w:r>
    </w:p>
    <w:p w14:paraId="77231709" w14:textId="3CA2C230" w:rsidR="00B16840" w:rsidRDefault="00502B9D" w:rsidP="00B16840">
      <w:pPr>
        <w:pStyle w:val="ListParagraph"/>
        <w:numPr>
          <w:ilvl w:val="0"/>
          <w:numId w:val="22"/>
        </w:numPr>
        <w:spacing w:before="240"/>
      </w:pPr>
      <w:r>
        <w:t>The plausible range estimated from 2021-22 to 2024-25 is between $13</w:t>
      </w:r>
      <w:r w:rsidR="00DF284E">
        <w:t>5</w:t>
      </w:r>
      <w:r>
        <w:t>.</w:t>
      </w:r>
      <w:r w:rsidR="007364CC">
        <w:t>8</w:t>
      </w:r>
      <w:r w:rsidR="007D6333">
        <w:t xml:space="preserve"> billion</w:t>
      </w:r>
      <w:r>
        <w:t xml:space="preserve"> </w:t>
      </w:r>
      <w:r w:rsidR="00805C85">
        <w:t xml:space="preserve">(4.6% lower than baseline) </w:t>
      </w:r>
      <w:r>
        <w:t>and $15</w:t>
      </w:r>
      <w:r w:rsidR="00DF284E">
        <w:t>6</w:t>
      </w:r>
      <w:r>
        <w:t>.</w:t>
      </w:r>
      <w:r w:rsidR="00C82EF5">
        <w:t>8</w:t>
      </w:r>
      <w:r w:rsidR="007D6333">
        <w:t xml:space="preserve"> billion</w:t>
      </w:r>
      <w:r>
        <w:t xml:space="preserve"> </w:t>
      </w:r>
      <w:r w:rsidR="00805C85">
        <w:t>(</w:t>
      </w:r>
      <w:r w:rsidR="00C82EF5">
        <w:t>10.1</w:t>
      </w:r>
      <w:r w:rsidR="00805C85">
        <w:t>% higher than baseline)</w:t>
      </w:r>
    </w:p>
    <w:p w14:paraId="2E733D7F" w14:textId="787B6842" w:rsidR="00502B9D" w:rsidRPr="000D0CA3" w:rsidRDefault="00502B9D" w:rsidP="00B16840">
      <w:pPr>
        <w:pStyle w:val="ListParagraph"/>
        <w:numPr>
          <w:ilvl w:val="0"/>
          <w:numId w:val="22"/>
        </w:numPr>
        <w:spacing w:before="240"/>
      </w:pPr>
      <w:r>
        <w:lastRenderedPageBreak/>
        <w:t>The plausible range estimated in 202</w:t>
      </w:r>
      <w:r w:rsidR="00903F7D">
        <w:t>9</w:t>
      </w:r>
      <w:r>
        <w:t>-</w:t>
      </w:r>
      <w:r w:rsidR="00903F7D">
        <w:t>30</w:t>
      </w:r>
      <w:r>
        <w:t xml:space="preserve"> is between $5</w:t>
      </w:r>
      <w:r w:rsidR="00DF284E">
        <w:t>3</w:t>
      </w:r>
      <w:r>
        <w:t>.</w:t>
      </w:r>
      <w:r w:rsidR="009478F0">
        <w:t>2</w:t>
      </w:r>
      <w:r w:rsidR="007D6333">
        <w:t xml:space="preserve"> billion</w:t>
      </w:r>
      <w:r>
        <w:t xml:space="preserve"> </w:t>
      </w:r>
      <w:r w:rsidR="00805C85">
        <w:t>(10.</w:t>
      </w:r>
      <w:r w:rsidR="00C82EF5">
        <w:t>3</w:t>
      </w:r>
      <w:r w:rsidR="00805C85">
        <w:t xml:space="preserve">% lower than baseline) </w:t>
      </w:r>
      <w:r>
        <w:t>and $7</w:t>
      </w:r>
      <w:r w:rsidR="009478F0">
        <w:t>4</w:t>
      </w:r>
      <w:r>
        <w:t>.</w:t>
      </w:r>
      <w:r w:rsidR="00C82EF5">
        <w:t>2</w:t>
      </w:r>
      <w:r w:rsidR="007D6333">
        <w:t xml:space="preserve"> billion</w:t>
      </w:r>
      <w:r w:rsidR="00805C85">
        <w:t xml:space="preserve"> (2</w:t>
      </w:r>
      <w:r w:rsidR="00C82EF5">
        <w:t>5.1</w:t>
      </w:r>
      <w:r w:rsidR="00805C85">
        <w:t>% higher than baseline)</w:t>
      </w:r>
    </w:p>
    <w:p w14:paraId="7EB79B17" w14:textId="3E03634C" w:rsidR="00502B9D" w:rsidRDefault="00502B9D" w:rsidP="00502B9D">
      <w:pPr>
        <w:pStyle w:val="Tables"/>
        <w:keepLines/>
      </w:pPr>
      <w:bookmarkStart w:id="250" w:name="_Ref80451045"/>
      <w:r w:rsidRPr="00AA44C0">
        <w:t xml:space="preserve">Table </w:t>
      </w:r>
      <w:fldSimple w:instr=" SEQ Table \* ARABIC ">
        <w:r w:rsidR="00E50032">
          <w:rPr>
            <w:noProof/>
          </w:rPr>
          <w:t>42</w:t>
        </w:r>
      </w:fldSimple>
      <w:bookmarkEnd w:id="250"/>
      <w:r>
        <w:t xml:space="preserve"> </w:t>
      </w:r>
      <w:r w:rsidR="00C967DA">
        <w:t xml:space="preserve">Overall plausible </w:t>
      </w:r>
      <w:r w:rsidR="00B63160">
        <w:t xml:space="preserve">high and low </w:t>
      </w:r>
      <w:r w:rsidR="00C967DA">
        <w:t>scenarios</w:t>
      </w:r>
      <w:r w:rsidR="00DF284E">
        <w:rPr>
          <w:rStyle w:val="FootnoteReference"/>
        </w:rPr>
        <w:footnoteReference w:id="75"/>
      </w:r>
    </w:p>
    <w:tbl>
      <w:tblPr>
        <w:tblW w:w="0" w:type="auto"/>
        <w:tblLook w:val="04A0" w:firstRow="1" w:lastRow="0" w:firstColumn="1" w:lastColumn="0" w:noHBand="0" w:noVBand="1"/>
      </w:tblPr>
      <w:tblGrid>
        <w:gridCol w:w="3400"/>
        <w:gridCol w:w="804"/>
        <w:gridCol w:w="804"/>
        <w:gridCol w:w="804"/>
        <w:gridCol w:w="804"/>
        <w:gridCol w:w="804"/>
        <w:gridCol w:w="1230"/>
      </w:tblGrid>
      <w:tr w:rsidR="00EB6338" w:rsidRPr="000166F1" w14:paraId="1E8685DD" w14:textId="77777777" w:rsidTr="00EB6338">
        <w:trPr>
          <w:trHeight w:hRule="exact" w:val="454"/>
          <w:tblHeader/>
        </w:trPr>
        <w:tc>
          <w:tcPr>
            <w:tcW w:w="0" w:type="auto"/>
            <w:tcBorders>
              <w:top w:val="single" w:sz="4" w:space="0" w:color="auto"/>
              <w:left w:val="single" w:sz="4" w:space="0" w:color="auto"/>
              <w:bottom w:val="single" w:sz="4" w:space="0" w:color="000000"/>
              <w:right w:val="single" w:sz="4" w:space="0" w:color="auto"/>
            </w:tcBorders>
            <w:shd w:val="clear" w:color="000000" w:fill="6B2F76"/>
            <w:hideMark/>
          </w:tcPr>
          <w:p w14:paraId="72F9C74C" w14:textId="77777777" w:rsidR="00EB6338" w:rsidRPr="000166F1" w:rsidRDefault="00EB6338" w:rsidP="00312E88">
            <w:pPr>
              <w:rPr>
                <w:rFonts w:cs="Arial"/>
                <w:b/>
                <w:bCs/>
                <w:color w:val="FFFFFF"/>
                <w:sz w:val="16"/>
                <w:szCs w:val="16"/>
              </w:rPr>
            </w:pPr>
            <w:r w:rsidRPr="000166F1">
              <w:rPr>
                <w:rFonts w:cs="Arial"/>
                <w:b/>
                <w:bCs/>
                <w:color w:val="FFFFFF"/>
                <w:sz w:val="16"/>
                <w:szCs w:val="16"/>
              </w:rPr>
              <w:t>Scenarios - all participants</w:t>
            </w:r>
          </w:p>
        </w:tc>
        <w:tc>
          <w:tcPr>
            <w:tcW w:w="0" w:type="auto"/>
            <w:tcBorders>
              <w:top w:val="nil"/>
              <w:left w:val="nil"/>
              <w:bottom w:val="single" w:sz="4" w:space="0" w:color="auto"/>
              <w:right w:val="nil"/>
            </w:tcBorders>
            <w:shd w:val="clear" w:color="000000" w:fill="6B2F76"/>
            <w:noWrap/>
            <w:hideMark/>
          </w:tcPr>
          <w:p w14:paraId="735FAEE2" w14:textId="77777777" w:rsidR="00EB6338" w:rsidRPr="000166F1" w:rsidRDefault="00EB6338" w:rsidP="00312E88">
            <w:pPr>
              <w:jc w:val="right"/>
              <w:rPr>
                <w:rFonts w:cs="Arial"/>
                <w:b/>
                <w:bCs/>
                <w:color w:val="FFFFFF"/>
                <w:sz w:val="16"/>
                <w:szCs w:val="16"/>
              </w:rPr>
            </w:pPr>
            <w:r w:rsidRPr="000166F1">
              <w:rPr>
                <w:rFonts w:cs="Arial"/>
                <w:b/>
                <w:bCs/>
                <w:color w:val="FFFFFF"/>
                <w:sz w:val="16"/>
                <w:szCs w:val="16"/>
              </w:rPr>
              <w:t>2021-22</w:t>
            </w:r>
          </w:p>
        </w:tc>
        <w:tc>
          <w:tcPr>
            <w:tcW w:w="0" w:type="auto"/>
            <w:tcBorders>
              <w:top w:val="nil"/>
              <w:left w:val="nil"/>
              <w:bottom w:val="single" w:sz="4" w:space="0" w:color="auto"/>
              <w:right w:val="nil"/>
            </w:tcBorders>
            <w:shd w:val="clear" w:color="000000" w:fill="6B2F76"/>
            <w:noWrap/>
            <w:hideMark/>
          </w:tcPr>
          <w:p w14:paraId="38C5131B" w14:textId="77777777" w:rsidR="00EB6338" w:rsidRPr="000166F1" w:rsidRDefault="00EB6338" w:rsidP="00312E88">
            <w:pPr>
              <w:jc w:val="right"/>
              <w:rPr>
                <w:rFonts w:cs="Arial"/>
                <w:b/>
                <w:bCs/>
                <w:color w:val="FFFFFF"/>
                <w:sz w:val="16"/>
                <w:szCs w:val="16"/>
              </w:rPr>
            </w:pPr>
            <w:r w:rsidRPr="000166F1">
              <w:rPr>
                <w:rFonts w:cs="Arial"/>
                <w:b/>
                <w:bCs/>
                <w:color w:val="FFFFFF"/>
                <w:sz w:val="16"/>
                <w:szCs w:val="16"/>
              </w:rPr>
              <w:t>2022-23</w:t>
            </w:r>
          </w:p>
        </w:tc>
        <w:tc>
          <w:tcPr>
            <w:tcW w:w="0" w:type="auto"/>
            <w:tcBorders>
              <w:top w:val="nil"/>
              <w:left w:val="nil"/>
              <w:bottom w:val="single" w:sz="4" w:space="0" w:color="auto"/>
              <w:right w:val="nil"/>
            </w:tcBorders>
            <w:shd w:val="clear" w:color="000000" w:fill="6B2F76"/>
            <w:noWrap/>
            <w:hideMark/>
          </w:tcPr>
          <w:p w14:paraId="7B7AC826" w14:textId="77777777" w:rsidR="00EB6338" w:rsidRPr="000166F1" w:rsidRDefault="00EB6338" w:rsidP="00312E88">
            <w:pPr>
              <w:jc w:val="right"/>
              <w:rPr>
                <w:rFonts w:cs="Arial"/>
                <w:b/>
                <w:bCs/>
                <w:color w:val="FFFFFF"/>
                <w:sz w:val="16"/>
                <w:szCs w:val="16"/>
              </w:rPr>
            </w:pPr>
            <w:r w:rsidRPr="000166F1">
              <w:rPr>
                <w:rFonts w:cs="Arial"/>
                <w:b/>
                <w:bCs/>
                <w:color w:val="FFFFFF"/>
                <w:sz w:val="16"/>
                <w:szCs w:val="16"/>
              </w:rPr>
              <w:t>2023-24</w:t>
            </w:r>
          </w:p>
        </w:tc>
        <w:tc>
          <w:tcPr>
            <w:tcW w:w="0" w:type="auto"/>
            <w:tcBorders>
              <w:top w:val="nil"/>
              <w:left w:val="nil"/>
              <w:bottom w:val="single" w:sz="4" w:space="0" w:color="auto"/>
              <w:right w:val="nil"/>
            </w:tcBorders>
            <w:shd w:val="clear" w:color="000000" w:fill="6B2F76"/>
            <w:noWrap/>
            <w:hideMark/>
          </w:tcPr>
          <w:p w14:paraId="305D55BD" w14:textId="77777777" w:rsidR="00EB6338" w:rsidRPr="000166F1" w:rsidRDefault="00EB6338" w:rsidP="00312E88">
            <w:pPr>
              <w:jc w:val="right"/>
              <w:rPr>
                <w:rFonts w:cs="Arial"/>
                <w:b/>
                <w:bCs/>
                <w:color w:val="FFFFFF"/>
                <w:sz w:val="16"/>
                <w:szCs w:val="16"/>
              </w:rPr>
            </w:pPr>
            <w:r w:rsidRPr="000166F1">
              <w:rPr>
                <w:rFonts w:cs="Arial"/>
                <w:b/>
                <w:bCs/>
                <w:color w:val="FFFFFF"/>
                <w:sz w:val="16"/>
                <w:szCs w:val="16"/>
              </w:rPr>
              <w:t>2024-25</w:t>
            </w:r>
          </w:p>
        </w:tc>
        <w:tc>
          <w:tcPr>
            <w:tcW w:w="0" w:type="auto"/>
            <w:tcBorders>
              <w:top w:val="nil"/>
              <w:left w:val="dotted" w:sz="4" w:space="0" w:color="auto"/>
              <w:bottom w:val="single" w:sz="4" w:space="0" w:color="auto"/>
              <w:right w:val="single" w:sz="4" w:space="0" w:color="auto"/>
            </w:tcBorders>
            <w:shd w:val="clear" w:color="000000" w:fill="6B2F76"/>
            <w:noWrap/>
            <w:hideMark/>
          </w:tcPr>
          <w:p w14:paraId="07AEF7EC" w14:textId="77777777" w:rsidR="00EB6338" w:rsidRPr="000166F1" w:rsidRDefault="00EB6338" w:rsidP="00312E88">
            <w:pPr>
              <w:jc w:val="right"/>
              <w:rPr>
                <w:rFonts w:cs="Arial"/>
                <w:b/>
                <w:bCs/>
                <w:color w:val="FFFFFF"/>
                <w:sz w:val="16"/>
                <w:szCs w:val="16"/>
              </w:rPr>
            </w:pPr>
            <w:r w:rsidRPr="000166F1">
              <w:rPr>
                <w:rFonts w:cs="Arial"/>
                <w:b/>
                <w:bCs/>
                <w:color w:val="FFFFFF"/>
                <w:sz w:val="16"/>
                <w:szCs w:val="16"/>
              </w:rPr>
              <w:t>2029-30</w:t>
            </w:r>
          </w:p>
        </w:tc>
        <w:tc>
          <w:tcPr>
            <w:tcW w:w="0" w:type="auto"/>
            <w:tcBorders>
              <w:top w:val="nil"/>
              <w:left w:val="nil"/>
              <w:bottom w:val="single" w:sz="4" w:space="0" w:color="auto"/>
              <w:right w:val="nil"/>
            </w:tcBorders>
            <w:shd w:val="clear" w:color="000000" w:fill="6B2F76"/>
            <w:hideMark/>
          </w:tcPr>
          <w:p w14:paraId="5E69DE6B" w14:textId="77777777" w:rsidR="00EB6338" w:rsidRPr="000166F1" w:rsidRDefault="00EB6338" w:rsidP="00312E88">
            <w:pPr>
              <w:jc w:val="right"/>
              <w:rPr>
                <w:rFonts w:cs="Arial"/>
                <w:b/>
                <w:bCs/>
                <w:color w:val="FFFFFF"/>
                <w:sz w:val="16"/>
                <w:szCs w:val="16"/>
              </w:rPr>
            </w:pPr>
            <w:r w:rsidRPr="000166F1">
              <w:rPr>
                <w:rFonts w:cs="Arial"/>
                <w:b/>
                <w:bCs/>
                <w:color w:val="FFFFFF"/>
                <w:sz w:val="16"/>
                <w:szCs w:val="16"/>
              </w:rPr>
              <w:t>Total 2021-25</w:t>
            </w:r>
          </w:p>
        </w:tc>
      </w:tr>
      <w:tr w:rsidR="00EB6338" w:rsidRPr="000166F1" w14:paraId="177C3292" w14:textId="77777777" w:rsidTr="00EB6338">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CA44B5" w14:textId="77777777" w:rsidR="00EB6338" w:rsidRPr="000166F1" w:rsidRDefault="00EB6338" w:rsidP="00312E88">
            <w:pPr>
              <w:rPr>
                <w:rFonts w:cs="Arial"/>
                <w:b/>
                <w:bCs/>
                <w:sz w:val="16"/>
                <w:szCs w:val="16"/>
              </w:rPr>
            </w:pPr>
            <w:r w:rsidRPr="000166F1">
              <w:rPr>
                <w:rFonts w:cs="Arial"/>
                <w:b/>
                <w:bCs/>
                <w:sz w:val="16"/>
                <w:szCs w:val="16"/>
              </w:rPr>
              <w:t>Baseline Projection</w:t>
            </w:r>
          </w:p>
        </w:tc>
        <w:tc>
          <w:tcPr>
            <w:tcW w:w="0" w:type="auto"/>
            <w:tcBorders>
              <w:top w:val="nil"/>
              <w:left w:val="nil"/>
              <w:bottom w:val="single" w:sz="4" w:space="0" w:color="auto"/>
              <w:right w:val="nil"/>
            </w:tcBorders>
            <w:shd w:val="clear" w:color="auto" w:fill="auto"/>
            <w:noWrap/>
            <w:vAlign w:val="bottom"/>
            <w:hideMark/>
          </w:tcPr>
          <w:p w14:paraId="4FBA89ED" w14:textId="77777777" w:rsidR="00EB6338" w:rsidRPr="000166F1" w:rsidRDefault="00EB6338" w:rsidP="00312E88">
            <w:pPr>
              <w:jc w:val="right"/>
              <w:rPr>
                <w:rFonts w:cs="Arial"/>
                <w:b/>
                <w:bCs/>
                <w:sz w:val="16"/>
                <w:szCs w:val="16"/>
              </w:rPr>
            </w:pPr>
            <w:r w:rsidRPr="000166F1">
              <w:rPr>
                <w:rFonts w:cs="Arial"/>
                <w:b/>
                <w:bCs/>
                <w:sz w:val="16"/>
                <w:szCs w:val="16"/>
              </w:rPr>
              <w:t>29,223</w:t>
            </w:r>
          </w:p>
        </w:tc>
        <w:tc>
          <w:tcPr>
            <w:tcW w:w="0" w:type="auto"/>
            <w:tcBorders>
              <w:top w:val="nil"/>
              <w:left w:val="nil"/>
              <w:bottom w:val="single" w:sz="4" w:space="0" w:color="auto"/>
              <w:right w:val="nil"/>
            </w:tcBorders>
            <w:shd w:val="clear" w:color="auto" w:fill="auto"/>
            <w:noWrap/>
            <w:vAlign w:val="bottom"/>
            <w:hideMark/>
          </w:tcPr>
          <w:p w14:paraId="424A2F73" w14:textId="77777777" w:rsidR="00EB6338" w:rsidRPr="000166F1" w:rsidRDefault="00EB6338" w:rsidP="00312E88">
            <w:pPr>
              <w:jc w:val="right"/>
              <w:rPr>
                <w:rFonts w:cs="Arial"/>
                <w:b/>
                <w:bCs/>
                <w:sz w:val="16"/>
                <w:szCs w:val="16"/>
              </w:rPr>
            </w:pPr>
            <w:r w:rsidRPr="000166F1">
              <w:rPr>
                <w:rFonts w:cs="Arial"/>
                <w:b/>
                <w:bCs/>
                <w:sz w:val="16"/>
                <w:szCs w:val="16"/>
              </w:rPr>
              <w:t>33,886</w:t>
            </w:r>
          </w:p>
        </w:tc>
        <w:tc>
          <w:tcPr>
            <w:tcW w:w="0" w:type="auto"/>
            <w:tcBorders>
              <w:top w:val="nil"/>
              <w:left w:val="nil"/>
              <w:bottom w:val="single" w:sz="4" w:space="0" w:color="auto"/>
              <w:right w:val="nil"/>
            </w:tcBorders>
            <w:shd w:val="clear" w:color="auto" w:fill="auto"/>
            <w:noWrap/>
            <w:vAlign w:val="bottom"/>
            <w:hideMark/>
          </w:tcPr>
          <w:p w14:paraId="330B2D43" w14:textId="77777777" w:rsidR="00EB6338" w:rsidRPr="000166F1" w:rsidRDefault="00EB6338" w:rsidP="00312E88">
            <w:pPr>
              <w:jc w:val="right"/>
              <w:rPr>
                <w:rFonts w:cs="Arial"/>
                <w:b/>
                <w:bCs/>
                <w:sz w:val="16"/>
                <w:szCs w:val="16"/>
              </w:rPr>
            </w:pPr>
            <w:r w:rsidRPr="000166F1">
              <w:rPr>
                <w:rFonts w:cs="Arial"/>
                <w:b/>
                <w:bCs/>
                <w:sz w:val="16"/>
                <w:szCs w:val="16"/>
              </w:rPr>
              <w:t>37,973</w:t>
            </w:r>
          </w:p>
        </w:tc>
        <w:tc>
          <w:tcPr>
            <w:tcW w:w="0" w:type="auto"/>
            <w:tcBorders>
              <w:top w:val="nil"/>
              <w:left w:val="nil"/>
              <w:bottom w:val="single" w:sz="4" w:space="0" w:color="auto"/>
              <w:right w:val="nil"/>
            </w:tcBorders>
            <w:shd w:val="clear" w:color="auto" w:fill="auto"/>
            <w:noWrap/>
            <w:vAlign w:val="bottom"/>
            <w:hideMark/>
          </w:tcPr>
          <w:p w14:paraId="4ED43F0D" w14:textId="77777777" w:rsidR="00EB6338" w:rsidRPr="000166F1" w:rsidRDefault="00EB6338" w:rsidP="00312E88">
            <w:pPr>
              <w:jc w:val="right"/>
              <w:rPr>
                <w:rFonts w:cs="Arial"/>
                <w:b/>
                <w:bCs/>
                <w:sz w:val="16"/>
                <w:szCs w:val="16"/>
              </w:rPr>
            </w:pPr>
            <w:r w:rsidRPr="000166F1">
              <w:rPr>
                <w:rFonts w:cs="Arial"/>
                <w:b/>
                <w:bCs/>
                <w:sz w:val="16"/>
                <w:szCs w:val="16"/>
              </w:rPr>
              <w:t>41,373</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3F83BC26" w14:textId="77777777" w:rsidR="00EB6338" w:rsidRPr="000166F1" w:rsidRDefault="00EB6338" w:rsidP="00312E88">
            <w:pPr>
              <w:jc w:val="right"/>
              <w:rPr>
                <w:rFonts w:cs="Arial"/>
                <w:b/>
                <w:bCs/>
                <w:sz w:val="16"/>
                <w:szCs w:val="16"/>
              </w:rPr>
            </w:pPr>
            <w:r w:rsidRPr="000166F1">
              <w:rPr>
                <w:rFonts w:cs="Arial"/>
                <w:b/>
                <w:bCs/>
                <w:sz w:val="16"/>
                <w:szCs w:val="16"/>
              </w:rPr>
              <w:t>59,284</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3BD5E342" w14:textId="77777777" w:rsidR="00EB6338" w:rsidRPr="000166F1" w:rsidRDefault="00EB6338" w:rsidP="00312E88">
            <w:pPr>
              <w:jc w:val="right"/>
              <w:rPr>
                <w:rFonts w:cs="Arial"/>
                <w:b/>
                <w:bCs/>
                <w:sz w:val="16"/>
                <w:szCs w:val="16"/>
              </w:rPr>
            </w:pPr>
            <w:r w:rsidRPr="000166F1">
              <w:rPr>
                <w:rFonts w:cs="Arial"/>
                <w:b/>
                <w:bCs/>
                <w:sz w:val="16"/>
                <w:szCs w:val="16"/>
              </w:rPr>
              <w:t>142,455</w:t>
            </w:r>
          </w:p>
        </w:tc>
      </w:tr>
      <w:tr w:rsidR="00EB6338" w:rsidRPr="000166F1" w14:paraId="507E6614" w14:textId="77777777" w:rsidTr="00EB6338">
        <w:trPr>
          <w:trHeight w:hRule="exact" w:val="284"/>
        </w:trPr>
        <w:tc>
          <w:tcPr>
            <w:tcW w:w="0" w:type="auto"/>
            <w:tcBorders>
              <w:top w:val="nil"/>
              <w:left w:val="single" w:sz="4" w:space="0" w:color="auto"/>
              <w:bottom w:val="single" w:sz="4" w:space="0" w:color="auto"/>
              <w:right w:val="single" w:sz="4" w:space="0" w:color="auto"/>
            </w:tcBorders>
            <w:shd w:val="clear" w:color="000000" w:fill="D3C5D7"/>
            <w:noWrap/>
            <w:vAlign w:val="bottom"/>
            <w:hideMark/>
          </w:tcPr>
          <w:p w14:paraId="12ACCB7B" w14:textId="77777777" w:rsidR="00EB6338" w:rsidRPr="000166F1" w:rsidRDefault="00EB6338" w:rsidP="00312E88">
            <w:pPr>
              <w:rPr>
                <w:rFonts w:cs="Arial"/>
                <w:b/>
                <w:bCs/>
                <w:color w:val="000000"/>
                <w:sz w:val="16"/>
                <w:szCs w:val="16"/>
              </w:rPr>
            </w:pPr>
            <w:r w:rsidRPr="000166F1">
              <w:rPr>
                <w:rFonts w:cs="Arial"/>
                <w:b/>
                <w:bCs/>
                <w:color w:val="000000"/>
                <w:sz w:val="16"/>
                <w:szCs w:val="16"/>
              </w:rPr>
              <w:t>Cost increase scenarios</w:t>
            </w:r>
          </w:p>
        </w:tc>
        <w:tc>
          <w:tcPr>
            <w:tcW w:w="0" w:type="auto"/>
            <w:tcBorders>
              <w:top w:val="nil"/>
              <w:left w:val="nil"/>
              <w:bottom w:val="single" w:sz="4" w:space="0" w:color="auto"/>
              <w:right w:val="nil"/>
            </w:tcBorders>
            <w:shd w:val="clear" w:color="000000" w:fill="D3C5D7"/>
            <w:noWrap/>
            <w:vAlign w:val="bottom"/>
            <w:hideMark/>
          </w:tcPr>
          <w:p w14:paraId="0A06E941"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c>
          <w:tcPr>
            <w:tcW w:w="0" w:type="auto"/>
            <w:tcBorders>
              <w:top w:val="nil"/>
              <w:left w:val="nil"/>
              <w:bottom w:val="single" w:sz="4" w:space="0" w:color="auto"/>
              <w:right w:val="nil"/>
            </w:tcBorders>
            <w:shd w:val="clear" w:color="000000" w:fill="D3C5D7"/>
            <w:noWrap/>
            <w:vAlign w:val="bottom"/>
            <w:hideMark/>
          </w:tcPr>
          <w:p w14:paraId="462F2599"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c>
          <w:tcPr>
            <w:tcW w:w="0" w:type="auto"/>
            <w:tcBorders>
              <w:top w:val="nil"/>
              <w:left w:val="nil"/>
              <w:bottom w:val="single" w:sz="4" w:space="0" w:color="auto"/>
              <w:right w:val="nil"/>
            </w:tcBorders>
            <w:shd w:val="clear" w:color="000000" w:fill="D3C5D7"/>
            <w:noWrap/>
            <w:vAlign w:val="bottom"/>
            <w:hideMark/>
          </w:tcPr>
          <w:p w14:paraId="19C24742"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c>
          <w:tcPr>
            <w:tcW w:w="0" w:type="auto"/>
            <w:tcBorders>
              <w:top w:val="nil"/>
              <w:left w:val="nil"/>
              <w:bottom w:val="single" w:sz="4" w:space="0" w:color="auto"/>
              <w:right w:val="nil"/>
            </w:tcBorders>
            <w:shd w:val="clear" w:color="000000" w:fill="D3C5D7"/>
            <w:noWrap/>
            <w:vAlign w:val="bottom"/>
            <w:hideMark/>
          </w:tcPr>
          <w:p w14:paraId="4D347F4D"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c>
          <w:tcPr>
            <w:tcW w:w="0" w:type="auto"/>
            <w:tcBorders>
              <w:top w:val="nil"/>
              <w:left w:val="dotted" w:sz="4" w:space="0" w:color="auto"/>
              <w:bottom w:val="single" w:sz="4" w:space="0" w:color="auto"/>
              <w:right w:val="single" w:sz="4" w:space="0" w:color="auto"/>
            </w:tcBorders>
            <w:shd w:val="clear" w:color="000000" w:fill="D3C5D7"/>
            <w:noWrap/>
            <w:vAlign w:val="bottom"/>
            <w:hideMark/>
          </w:tcPr>
          <w:p w14:paraId="72047C05"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c>
          <w:tcPr>
            <w:tcW w:w="0" w:type="auto"/>
            <w:tcBorders>
              <w:top w:val="nil"/>
              <w:left w:val="dotted" w:sz="4" w:space="0" w:color="auto"/>
              <w:bottom w:val="single" w:sz="4" w:space="0" w:color="auto"/>
              <w:right w:val="single" w:sz="4" w:space="0" w:color="auto"/>
            </w:tcBorders>
            <w:shd w:val="clear" w:color="000000" w:fill="D3C5D7"/>
            <w:noWrap/>
            <w:vAlign w:val="bottom"/>
            <w:hideMark/>
          </w:tcPr>
          <w:p w14:paraId="3116BDDC"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r>
      <w:tr w:rsidR="00EB6338" w:rsidRPr="000166F1" w14:paraId="4F1A1110" w14:textId="77777777" w:rsidTr="00EB6338">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1C1F0035" w14:textId="77777777" w:rsidR="00EB6338" w:rsidRPr="000166F1" w:rsidRDefault="00EB6338" w:rsidP="00312E88">
            <w:pPr>
              <w:rPr>
                <w:rFonts w:cs="Arial"/>
                <w:sz w:val="16"/>
                <w:szCs w:val="16"/>
              </w:rPr>
            </w:pPr>
            <w:r w:rsidRPr="000166F1">
              <w:rPr>
                <w:rFonts w:cs="Arial"/>
                <w:sz w:val="16"/>
                <w:szCs w:val="16"/>
              </w:rPr>
              <w:t>Two additional years of high inflation</w:t>
            </w:r>
          </w:p>
        </w:tc>
        <w:tc>
          <w:tcPr>
            <w:tcW w:w="0" w:type="auto"/>
            <w:tcBorders>
              <w:top w:val="nil"/>
              <w:left w:val="nil"/>
              <w:bottom w:val="nil"/>
              <w:right w:val="nil"/>
            </w:tcBorders>
            <w:shd w:val="clear" w:color="auto" w:fill="auto"/>
            <w:noWrap/>
            <w:vAlign w:val="bottom"/>
            <w:hideMark/>
          </w:tcPr>
          <w:p w14:paraId="6C57BD27" w14:textId="77777777" w:rsidR="00EB6338" w:rsidRPr="000166F1" w:rsidRDefault="00EB6338" w:rsidP="00312E88">
            <w:pPr>
              <w:jc w:val="right"/>
              <w:rPr>
                <w:rFonts w:cs="Arial"/>
                <w:sz w:val="16"/>
                <w:szCs w:val="16"/>
              </w:rPr>
            </w:pPr>
            <w:r w:rsidRPr="000166F1">
              <w:rPr>
                <w:rFonts w:cs="Arial"/>
                <w:sz w:val="16"/>
                <w:szCs w:val="16"/>
              </w:rPr>
              <w:t>1,183</w:t>
            </w:r>
          </w:p>
        </w:tc>
        <w:tc>
          <w:tcPr>
            <w:tcW w:w="0" w:type="auto"/>
            <w:tcBorders>
              <w:top w:val="nil"/>
              <w:left w:val="nil"/>
              <w:bottom w:val="nil"/>
              <w:right w:val="nil"/>
            </w:tcBorders>
            <w:shd w:val="clear" w:color="auto" w:fill="auto"/>
            <w:noWrap/>
            <w:vAlign w:val="bottom"/>
            <w:hideMark/>
          </w:tcPr>
          <w:p w14:paraId="7D008171" w14:textId="77777777" w:rsidR="00EB6338" w:rsidRPr="000166F1" w:rsidRDefault="00EB6338" w:rsidP="00312E88">
            <w:pPr>
              <w:jc w:val="right"/>
              <w:rPr>
                <w:rFonts w:cs="Arial"/>
                <w:sz w:val="16"/>
                <w:szCs w:val="16"/>
              </w:rPr>
            </w:pPr>
            <w:r w:rsidRPr="000166F1">
              <w:rPr>
                <w:rFonts w:cs="Arial"/>
                <w:sz w:val="16"/>
                <w:szCs w:val="16"/>
              </w:rPr>
              <w:t>2,508</w:t>
            </w:r>
          </w:p>
        </w:tc>
        <w:tc>
          <w:tcPr>
            <w:tcW w:w="0" w:type="auto"/>
            <w:tcBorders>
              <w:top w:val="nil"/>
              <w:left w:val="nil"/>
              <w:bottom w:val="nil"/>
              <w:right w:val="nil"/>
            </w:tcBorders>
            <w:shd w:val="clear" w:color="auto" w:fill="auto"/>
            <w:noWrap/>
            <w:vAlign w:val="bottom"/>
            <w:hideMark/>
          </w:tcPr>
          <w:p w14:paraId="1772CB0F" w14:textId="77777777" w:rsidR="00EB6338" w:rsidRPr="000166F1" w:rsidRDefault="00EB6338" w:rsidP="00312E88">
            <w:pPr>
              <w:jc w:val="right"/>
              <w:rPr>
                <w:rFonts w:cs="Arial"/>
                <w:sz w:val="16"/>
                <w:szCs w:val="16"/>
              </w:rPr>
            </w:pPr>
            <w:r w:rsidRPr="000166F1">
              <w:rPr>
                <w:rFonts w:cs="Arial"/>
                <w:sz w:val="16"/>
                <w:szCs w:val="16"/>
              </w:rPr>
              <w:t>3,247</w:t>
            </w:r>
          </w:p>
        </w:tc>
        <w:tc>
          <w:tcPr>
            <w:tcW w:w="0" w:type="auto"/>
            <w:tcBorders>
              <w:top w:val="nil"/>
              <w:left w:val="nil"/>
              <w:bottom w:val="nil"/>
              <w:right w:val="nil"/>
            </w:tcBorders>
            <w:shd w:val="clear" w:color="auto" w:fill="auto"/>
            <w:noWrap/>
            <w:vAlign w:val="bottom"/>
            <w:hideMark/>
          </w:tcPr>
          <w:p w14:paraId="29E4AD6E" w14:textId="77777777" w:rsidR="00EB6338" w:rsidRPr="000166F1" w:rsidRDefault="00EB6338" w:rsidP="00312E88">
            <w:pPr>
              <w:jc w:val="right"/>
              <w:rPr>
                <w:rFonts w:cs="Arial"/>
                <w:sz w:val="16"/>
                <w:szCs w:val="16"/>
              </w:rPr>
            </w:pPr>
            <w:r w:rsidRPr="000166F1">
              <w:rPr>
                <w:rFonts w:cs="Arial"/>
                <w:sz w:val="16"/>
                <w:szCs w:val="16"/>
              </w:rPr>
              <w:t>5,240</w:t>
            </w:r>
          </w:p>
        </w:tc>
        <w:tc>
          <w:tcPr>
            <w:tcW w:w="0" w:type="auto"/>
            <w:tcBorders>
              <w:top w:val="nil"/>
              <w:left w:val="dotted" w:sz="4" w:space="0" w:color="auto"/>
              <w:bottom w:val="nil"/>
              <w:right w:val="single" w:sz="4" w:space="0" w:color="auto"/>
            </w:tcBorders>
            <w:shd w:val="clear" w:color="auto" w:fill="auto"/>
            <w:noWrap/>
            <w:vAlign w:val="bottom"/>
            <w:hideMark/>
          </w:tcPr>
          <w:p w14:paraId="44DE2A87" w14:textId="77777777" w:rsidR="00EB6338" w:rsidRPr="000166F1" w:rsidRDefault="00EB6338" w:rsidP="00312E88">
            <w:pPr>
              <w:jc w:val="right"/>
              <w:rPr>
                <w:rFonts w:cs="Arial"/>
                <w:sz w:val="16"/>
                <w:szCs w:val="16"/>
              </w:rPr>
            </w:pPr>
            <w:r w:rsidRPr="000166F1">
              <w:rPr>
                <w:rFonts w:cs="Arial"/>
                <w:sz w:val="16"/>
                <w:szCs w:val="16"/>
              </w:rPr>
              <w:t>10,180</w:t>
            </w:r>
          </w:p>
        </w:tc>
        <w:tc>
          <w:tcPr>
            <w:tcW w:w="0" w:type="auto"/>
            <w:tcBorders>
              <w:top w:val="nil"/>
              <w:left w:val="dotted" w:sz="4" w:space="0" w:color="auto"/>
              <w:bottom w:val="nil"/>
              <w:right w:val="single" w:sz="4" w:space="0" w:color="auto"/>
            </w:tcBorders>
            <w:shd w:val="clear" w:color="auto" w:fill="auto"/>
            <w:noWrap/>
            <w:vAlign w:val="bottom"/>
            <w:hideMark/>
          </w:tcPr>
          <w:p w14:paraId="1A126785" w14:textId="77777777" w:rsidR="00EB6338" w:rsidRPr="000166F1" w:rsidRDefault="00EB6338" w:rsidP="00312E88">
            <w:pPr>
              <w:jc w:val="right"/>
              <w:rPr>
                <w:rFonts w:cs="Arial"/>
                <w:sz w:val="16"/>
                <w:szCs w:val="16"/>
              </w:rPr>
            </w:pPr>
            <w:r w:rsidRPr="000166F1">
              <w:rPr>
                <w:rFonts w:cs="Arial"/>
                <w:sz w:val="16"/>
                <w:szCs w:val="16"/>
              </w:rPr>
              <w:t>12,179</w:t>
            </w:r>
          </w:p>
        </w:tc>
      </w:tr>
      <w:tr w:rsidR="00EB6338" w:rsidRPr="000166F1" w14:paraId="1C7A4292" w14:textId="77777777" w:rsidTr="00EB6338">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360D720C" w14:textId="77777777" w:rsidR="00EB6338" w:rsidRPr="000166F1" w:rsidRDefault="00EB6338" w:rsidP="00312E88">
            <w:pPr>
              <w:rPr>
                <w:rFonts w:cs="Arial"/>
                <w:sz w:val="16"/>
                <w:szCs w:val="16"/>
              </w:rPr>
            </w:pPr>
            <w:r w:rsidRPr="000166F1">
              <w:rPr>
                <w:rFonts w:cs="Arial"/>
                <w:sz w:val="16"/>
                <w:szCs w:val="16"/>
              </w:rPr>
              <w:t>Higher long term new incidence assumptions</w:t>
            </w:r>
          </w:p>
        </w:tc>
        <w:tc>
          <w:tcPr>
            <w:tcW w:w="0" w:type="auto"/>
            <w:tcBorders>
              <w:top w:val="nil"/>
              <w:left w:val="nil"/>
              <w:bottom w:val="nil"/>
              <w:right w:val="nil"/>
            </w:tcBorders>
            <w:shd w:val="clear" w:color="auto" w:fill="auto"/>
            <w:noWrap/>
            <w:vAlign w:val="bottom"/>
            <w:hideMark/>
          </w:tcPr>
          <w:p w14:paraId="3CDD0B07" w14:textId="77777777" w:rsidR="00EB6338" w:rsidRPr="000166F1" w:rsidRDefault="00EB6338" w:rsidP="00312E88">
            <w:pPr>
              <w:jc w:val="right"/>
              <w:rPr>
                <w:rFonts w:cs="Arial"/>
                <w:sz w:val="16"/>
                <w:szCs w:val="16"/>
              </w:rPr>
            </w:pPr>
            <w:r w:rsidRPr="000166F1">
              <w:rPr>
                <w:rFonts w:cs="Arial"/>
                <w:sz w:val="16"/>
                <w:szCs w:val="16"/>
              </w:rPr>
              <w:t>0</w:t>
            </w:r>
          </w:p>
        </w:tc>
        <w:tc>
          <w:tcPr>
            <w:tcW w:w="0" w:type="auto"/>
            <w:tcBorders>
              <w:top w:val="nil"/>
              <w:left w:val="nil"/>
              <w:bottom w:val="nil"/>
              <w:right w:val="nil"/>
            </w:tcBorders>
            <w:shd w:val="clear" w:color="auto" w:fill="auto"/>
            <w:noWrap/>
            <w:vAlign w:val="bottom"/>
            <w:hideMark/>
          </w:tcPr>
          <w:p w14:paraId="06FCEF20" w14:textId="77777777" w:rsidR="00EB6338" w:rsidRPr="000166F1" w:rsidRDefault="00EB6338" w:rsidP="00312E88">
            <w:pPr>
              <w:jc w:val="right"/>
              <w:rPr>
                <w:rFonts w:cs="Arial"/>
                <w:sz w:val="16"/>
                <w:szCs w:val="16"/>
              </w:rPr>
            </w:pPr>
            <w:r w:rsidRPr="000166F1">
              <w:rPr>
                <w:rFonts w:cs="Arial"/>
                <w:sz w:val="16"/>
                <w:szCs w:val="16"/>
              </w:rPr>
              <w:t>76</w:t>
            </w:r>
          </w:p>
        </w:tc>
        <w:tc>
          <w:tcPr>
            <w:tcW w:w="0" w:type="auto"/>
            <w:tcBorders>
              <w:top w:val="nil"/>
              <w:left w:val="nil"/>
              <w:bottom w:val="nil"/>
              <w:right w:val="nil"/>
            </w:tcBorders>
            <w:shd w:val="clear" w:color="auto" w:fill="auto"/>
            <w:noWrap/>
            <w:vAlign w:val="bottom"/>
            <w:hideMark/>
          </w:tcPr>
          <w:p w14:paraId="306E6176" w14:textId="77777777" w:rsidR="00EB6338" w:rsidRPr="000166F1" w:rsidRDefault="00EB6338" w:rsidP="00312E88">
            <w:pPr>
              <w:jc w:val="right"/>
              <w:rPr>
                <w:rFonts w:cs="Arial"/>
                <w:sz w:val="16"/>
                <w:szCs w:val="16"/>
              </w:rPr>
            </w:pPr>
            <w:r w:rsidRPr="000166F1">
              <w:rPr>
                <w:rFonts w:cs="Arial"/>
                <w:sz w:val="16"/>
                <w:szCs w:val="16"/>
              </w:rPr>
              <w:t>500</w:t>
            </w:r>
          </w:p>
        </w:tc>
        <w:tc>
          <w:tcPr>
            <w:tcW w:w="0" w:type="auto"/>
            <w:tcBorders>
              <w:top w:val="nil"/>
              <w:left w:val="nil"/>
              <w:bottom w:val="nil"/>
              <w:right w:val="nil"/>
            </w:tcBorders>
            <w:shd w:val="clear" w:color="auto" w:fill="auto"/>
            <w:noWrap/>
            <w:vAlign w:val="bottom"/>
            <w:hideMark/>
          </w:tcPr>
          <w:p w14:paraId="159DC69C" w14:textId="77777777" w:rsidR="00EB6338" w:rsidRPr="000166F1" w:rsidRDefault="00EB6338" w:rsidP="00312E88">
            <w:pPr>
              <w:jc w:val="right"/>
              <w:rPr>
                <w:rFonts w:cs="Arial"/>
                <w:sz w:val="16"/>
                <w:szCs w:val="16"/>
              </w:rPr>
            </w:pPr>
            <w:r w:rsidRPr="000166F1">
              <w:rPr>
                <w:rFonts w:cs="Arial"/>
                <w:sz w:val="16"/>
                <w:szCs w:val="16"/>
              </w:rPr>
              <w:t>1,253</w:t>
            </w:r>
          </w:p>
        </w:tc>
        <w:tc>
          <w:tcPr>
            <w:tcW w:w="0" w:type="auto"/>
            <w:tcBorders>
              <w:top w:val="nil"/>
              <w:left w:val="dotted" w:sz="4" w:space="0" w:color="auto"/>
              <w:bottom w:val="nil"/>
              <w:right w:val="single" w:sz="4" w:space="0" w:color="auto"/>
            </w:tcBorders>
            <w:shd w:val="clear" w:color="auto" w:fill="auto"/>
            <w:noWrap/>
            <w:vAlign w:val="bottom"/>
            <w:hideMark/>
          </w:tcPr>
          <w:p w14:paraId="60D900DF" w14:textId="77777777" w:rsidR="00EB6338" w:rsidRPr="000166F1" w:rsidRDefault="00EB6338" w:rsidP="00312E88">
            <w:pPr>
              <w:jc w:val="right"/>
              <w:rPr>
                <w:rFonts w:cs="Arial"/>
                <w:sz w:val="16"/>
                <w:szCs w:val="16"/>
              </w:rPr>
            </w:pPr>
            <w:r w:rsidRPr="000166F1">
              <w:rPr>
                <w:rFonts w:cs="Arial"/>
                <w:sz w:val="16"/>
                <w:szCs w:val="16"/>
              </w:rPr>
              <w:t>6,272</w:t>
            </w:r>
          </w:p>
        </w:tc>
        <w:tc>
          <w:tcPr>
            <w:tcW w:w="0" w:type="auto"/>
            <w:tcBorders>
              <w:top w:val="nil"/>
              <w:left w:val="dotted" w:sz="4" w:space="0" w:color="auto"/>
              <w:bottom w:val="nil"/>
              <w:right w:val="single" w:sz="4" w:space="0" w:color="auto"/>
            </w:tcBorders>
            <w:shd w:val="clear" w:color="auto" w:fill="auto"/>
            <w:noWrap/>
            <w:vAlign w:val="bottom"/>
            <w:hideMark/>
          </w:tcPr>
          <w:p w14:paraId="00035FAE" w14:textId="77777777" w:rsidR="00EB6338" w:rsidRPr="000166F1" w:rsidRDefault="00EB6338" w:rsidP="00312E88">
            <w:pPr>
              <w:jc w:val="right"/>
              <w:rPr>
                <w:rFonts w:cs="Arial"/>
                <w:sz w:val="16"/>
                <w:szCs w:val="16"/>
              </w:rPr>
            </w:pPr>
            <w:r w:rsidRPr="000166F1">
              <w:rPr>
                <w:rFonts w:cs="Arial"/>
                <w:sz w:val="16"/>
                <w:szCs w:val="16"/>
              </w:rPr>
              <w:t>1,828</w:t>
            </w:r>
          </w:p>
        </w:tc>
      </w:tr>
      <w:tr w:rsidR="00EB6338" w:rsidRPr="000166F1" w14:paraId="209B3D81" w14:textId="77777777" w:rsidTr="00EB6338">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1958A2E6" w14:textId="77777777" w:rsidR="00EB6338" w:rsidRPr="000166F1" w:rsidRDefault="00EB6338" w:rsidP="00312E88">
            <w:pPr>
              <w:rPr>
                <w:rFonts w:cs="Arial"/>
                <w:sz w:val="16"/>
                <w:szCs w:val="16"/>
              </w:rPr>
            </w:pPr>
            <w:r w:rsidRPr="000166F1">
              <w:rPr>
                <w:rFonts w:cs="Arial"/>
                <w:sz w:val="16"/>
                <w:szCs w:val="16"/>
              </w:rPr>
              <w:t>Lower non-mortality exit rates</w:t>
            </w:r>
          </w:p>
        </w:tc>
        <w:tc>
          <w:tcPr>
            <w:tcW w:w="0" w:type="auto"/>
            <w:tcBorders>
              <w:top w:val="nil"/>
              <w:left w:val="nil"/>
              <w:bottom w:val="nil"/>
              <w:right w:val="nil"/>
            </w:tcBorders>
            <w:shd w:val="clear" w:color="auto" w:fill="auto"/>
            <w:noWrap/>
            <w:vAlign w:val="bottom"/>
            <w:hideMark/>
          </w:tcPr>
          <w:p w14:paraId="786E1A45" w14:textId="77777777" w:rsidR="00EB6338" w:rsidRPr="000166F1" w:rsidRDefault="00EB6338" w:rsidP="00312E88">
            <w:pPr>
              <w:jc w:val="right"/>
              <w:rPr>
                <w:rFonts w:cs="Arial"/>
                <w:sz w:val="16"/>
                <w:szCs w:val="16"/>
              </w:rPr>
            </w:pPr>
            <w:r w:rsidRPr="000166F1">
              <w:rPr>
                <w:rFonts w:cs="Arial"/>
                <w:sz w:val="16"/>
                <w:szCs w:val="16"/>
              </w:rPr>
              <w:t>15</w:t>
            </w:r>
          </w:p>
        </w:tc>
        <w:tc>
          <w:tcPr>
            <w:tcW w:w="0" w:type="auto"/>
            <w:tcBorders>
              <w:top w:val="nil"/>
              <w:left w:val="nil"/>
              <w:bottom w:val="nil"/>
              <w:right w:val="nil"/>
            </w:tcBorders>
            <w:shd w:val="clear" w:color="auto" w:fill="auto"/>
            <w:noWrap/>
            <w:vAlign w:val="bottom"/>
            <w:hideMark/>
          </w:tcPr>
          <w:p w14:paraId="32F2C0EA" w14:textId="77777777" w:rsidR="00EB6338" w:rsidRPr="000166F1" w:rsidRDefault="00EB6338" w:rsidP="00312E88">
            <w:pPr>
              <w:jc w:val="right"/>
              <w:rPr>
                <w:rFonts w:cs="Arial"/>
                <w:sz w:val="16"/>
                <w:szCs w:val="16"/>
              </w:rPr>
            </w:pPr>
            <w:r w:rsidRPr="000166F1">
              <w:rPr>
                <w:rFonts w:cs="Arial"/>
                <w:sz w:val="16"/>
                <w:szCs w:val="16"/>
              </w:rPr>
              <w:t>82</w:t>
            </w:r>
          </w:p>
        </w:tc>
        <w:tc>
          <w:tcPr>
            <w:tcW w:w="0" w:type="auto"/>
            <w:tcBorders>
              <w:top w:val="nil"/>
              <w:left w:val="nil"/>
              <w:bottom w:val="nil"/>
              <w:right w:val="nil"/>
            </w:tcBorders>
            <w:shd w:val="clear" w:color="auto" w:fill="auto"/>
            <w:noWrap/>
            <w:vAlign w:val="bottom"/>
            <w:hideMark/>
          </w:tcPr>
          <w:p w14:paraId="25DFAC33" w14:textId="77777777" w:rsidR="00EB6338" w:rsidRPr="000166F1" w:rsidRDefault="00EB6338" w:rsidP="00312E88">
            <w:pPr>
              <w:jc w:val="right"/>
              <w:rPr>
                <w:rFonts w:cs="Arial"/>
                <w:sz w:val="16"/>
                <w:szCs w:val="16"/>
              </w:rPr>
            </w:pPr>
            <w:r w:rsidRPr="000166F1">
              <w:rPr>
                <w:rFonts w:cs="Arial"/>
                <w:sz w:val="16"/>
                <w:szCs w:val="16"/>
              </w:rPr>
              <w:t>233</w:t>
            </w:r>
          </w:p>
        </w:tc>
        <w:tc>
          <w:tcPr>
            <w:tcW w:w="0" w:type="auto"/>
            <w:tcBorders>
              <w:top w:val="nil"/>
              <w:left w:val="nil"/>
              <w:bottom w:val="nil"/>
              <w:right w:val="nil"/>
            </w:tcBorders>
            <w:shd w:val="clear" w:color="auto" w:fill="auto"/>
            <w:noWrap/>
            <w:vAlign w:val="bottom"/>
            <w:hideMark/>
          </w:tcPr>
          <w:p w14:paraId="10DDD62E" w14:textId="77777777" w:rsidR="00EB6338" w:rsidRPr="000166F1" w:rsidRDefault="00EB6338" w:rsidP="00312E88">
            <w:pPr>
              <w:jc w:val="right"/>
              <w:rPr>
                <w:rFonts w:cs="Arial"/>
                <w:sz w:val="16"/>
                <w:szCs w:val="16"/>
              </w:rPr>
            </w:pPr>
            <w:r w:rsidRPr="000166F1">
              <w:rPr>
                <w:rFonts w:cs="Arial"/>
                <w:sz w:val="16"/>
                <w:szCs w:val="16"/>
              </w:rPr>
              <w:t>488</w:t>
            </w:r>
          </w:p>
        </w:tc>
        <w:tc>
          <w:tcPr>
            <w:tcW w:w="0" w:type="auto"/>
            <w:tcBorders>
              <w:top w:val="nil"/>
              <w:left w:val="dotted" w:sz="4" w:space="0" w:color="auto"/>
              <w:bottom w:val="nil"/>
              <w:right w:val="single" w:sz="4" w:space="0" w:color="auto"/>
            </w:tcBorders>
            <w:shd w:val="clear" w:color="auto" w:fill="auto"/>
            <w:noWrap/>
            <w:vAlign w:val="bottom"/>
            <w:hideMark/>
          </w:tcPr>
          <w:p w14:paraId="296E5849" w14:textId="77777777" w:rsidR="00EB6338" w:rsidRPr="000166F1" w:rsidRDefault="00EB6338" w:rsidP="00312E88">
            <w:pPr>
              <w:jc w:val="right"/>
              <w:rPr>
                <w:rFonts w:cs="Arial"/>
                <w:sz w:val="16"/>
                <w:szCs w:val="16"/>
              </w:rPr>
            </w:pPr>
            <w:r w:rsidRPr="000166F1">
              <w:rPr>
                <w:rFonts w:cs="Arial"/>
                <w:sz w:val="16"/>
                <w:szCs w:val="16"/>
              </w:rPr>
              <w:t>2,655</w:t>
            </w:r>
          </w:p>
        </w:tc>
        <w:tc>
          <w:tcPr>
            <w:tcW w:w="0" w:type="auto"/>
            <w:tcBorders>
              <w:top w:val="nil"/>
              <w:left w:val="dotted" w:sz="4" w:space="0" w:color="auto"/>
              <w:bottom w:val="nil"/>
              <w:right w:val="single" w:sz="4" w:space="0" w:color="auto"/>
            </w:tcBorders>
            <w:shd w:val="clear" w:color="auto" w:fill="auto"/>
            <w:noWrap/>
            <w:vAlign w:val="bottom"/>
            <w:hideMark/>
          </w:tcPr>
          <w:p w14:paraId="093DBD7E" w14:textId="77777777" w:rsidR="00EB6338" w:rsidRPr="000166F1" w:rsidRDefault="00EB6338" w:rsidP="00312E88">
            <w:pPr>
              <w:jc w:val="right"/>
              <w:rPr>
                <w:rFonts w:cs="Arial"/>
                <w:sz w:val="16"/>
                <w:szCs w:val="16"/>
              </w:rPr>
            </w:pPr>
            <w:r w:rsidRPr="000166F1">
              <w:rPr>
                <w:rFonts w:cs="Arial"/>
                <w:sz w:val="16"/>
                <w:szCs w:val="16"/>
              </w:rPr>
              <w:t>818</w:t>
            </w:r>
          </w:p>
        </w:tc>
      </w:tr>
      <w:tr w:rsidR="00EB6338" w:rsidRPr="000166F1" w14:paraId="2F255B40" w14:textId="77777777" w:rsidTr="00EB6338">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7E933036" w14:textId="77777777" w:rsidR="00EB6338" w:rsidRPr="000166F1" w:rsidRDefault="00EB6338" w:rsidP="00312E88">
            <w:pPr>
              <w:rPr>
                <w:rFonts w:cs="Arial"/>
                <w:sz w:val="16"/>
                <w:szCs w:val="16"/>
              </w:rPr>
            </w:pPr>
            <w:r w:rsidRPr="000166F1">
              <w:rPr>
                <w:rFonts w:cs="Arial"/>
                <w:sz w:val="16"/>
                <w:szCs w:val="16"/>
              </w:rPr>
              <w:t>Higher cost of new entrants</w:t>
            </w:r>
          </w:p>
        </w:tc>
        <w:tc>
          <w:tcPr>
            <w:tcW w:w="0" w:type="auto"/>
            <w:tcBorders>
              <w:top w:val="nil"/>
              <w:left w:val="nil"/>
              <w:bottom w:val="nil"/>
              <w:right w:val="nil"/>
            </w:tcBorders>
            <w:shd w:val="clear" w:color="000000" w:fill="auto"/>
            <w:noWrap/>
            <w:vAlign w:val="bottom"/>
            <w:hideMark/>
          </w:tcPr>
          <w:p w14:paraId="6FAD8A37" w14:textId="77777777" w:rsidR="00EB6338" w:rsidRPr="000166F1" w:rsidRDefault="00EB6338" w:rsidP="00312E88">
            <w:pPr>
              <w:jc w:val="right"/>
              <w:rPr>
                <w:rFonts w:cs="Arial"/>
                <w:sz w:val="16"/>
                <w:szCs w:val="16"/>
              </w:rPr>
            </w:pPr>
            <w:r w:rsidRPr="000166F1">
              <w:rPr>
                <w:rFonts w:cs="Arial"/>
                <w:sz w:val="16"/>
                <w:szCs w:val="16"/>
              </w:rPr>
              <w:t>113</w:t>
            </w:r>
          </w:p>
        </w:tc>
        <w:tc>
          <w:tcPr>
            <w:tcW w:w="0" w:type="auto"/>
            <w:tcBorders>
              <w:top w:val="nil"/>
              <w:left w:val="nil"/>
              <w:bottom w:val="nil"/>
              <w:right w:val="nil"/>
            </w:tcBorders>
            <w:shd w:val="clear" w:color="000000" w:fill="auto"/>
            <w:noWrap/>
            <w:vAlign w:val="bottom"/>
            <w:hideMark/>
          </w:tcPr>
          <w:p w14:paraId="6F9C50E5" w14:textId="77777777" w:rsidR="00EB6338" w:rsidRPr="000166F1" w:rsidRDefault="00EB6338" w:rsidP="00312E88">
            <w:pPr>
              <w:jc w:val="right"/>
              <w:rPr>
                <w:rFonts w:cs="Arial"/>
                <w:sz w:val="16"/>
                <w:szCs w:val="16"/>
              </w:rPr>
            </w:pPr>
            <w:r w:rsidRPr="000166F1">
              <w:rPr>
                <w:rFonts w:cs="Arial"/>
                <w:sz w:val="16"/>
                <w:szCs w:val="16"/>
              </w:rPr>
              <w:t>355</w:t>
            </w:r>
          </w:p>
        </w:tc>
        <w:tc>
          <w:tcPr>
            <w:tcW w:w="0" w:type="auto"/>
            <w:tcBorders>
              <w:top w:val="nil"/>
              <w:left w:val="nil"/>
              <w:bottom w:val="nil"/>
              <w:right w:val="nil"/>
            </w:tcBorders>
            <w:shd w:val="clear" w:color="000000" w:fill="auto"/>
            <w:noWrap/>
            <w:vAlign w:val="bottom"/>
            <w:hideMark/>
          </w:tcPr>
          <w:p w14:paraId="5AD85734" w14:textId="77777777" w:rsidR="00EB6338" w:rsidRPr="000166F1" w:rsidRDefault="00EB6338" w:rsidP="00312E88">
            <w:pPr>
              <w:jc w:val="right"/>
              <w:rPr>
                <w:rFonts w:cs="Arial"/>
                <w:sz w:val="16"/>
                <w:szCs w:val="16"/>
              </w:rPr>
            </w:pPr>
            <w:r w:rsidRPr="000166F1">
              <w:rPr>
                <w:rFonts w:cs="Arial"/>
                <w:sz w:val="16"/>
                <w:szCs w:val="16"/>
              </w:rPr>
              <w:t>585</w:t>
            </w:r>
          </w:p>
        </w:tc>
        <w:tc>
          <w:tcPr>
            <w:tcW w:w="0" w:type="auto"/>
            <w:tcBorders>
              <w:top w:val="nil"/>
              <w:left w:val="nil"/>
              <w:bottom w:val="nil"/>
              <w:right w:val="nil"/>
            </w:tcBorders>
            <w:shd w:val="clear" w:color="000000" w:fill="auto"/>
            <w:noWrap/>
            <w:vAlign w:val="bottom"/>
            <w:hideMark/>
          </w:tcPr>
          <w:p w14:paraId="38964307" w14:textId="77777777" w:rsidR="00EB6338" w:rsidRPr="000166F1" w:rsidRDefault="00EB6338" w:rsidP="00312E88">
            <w:pPr>
              <w:jc w:val="right"/>
              <w:rPr>
                <w:rFonts w:cs="Arial"/>
                <w:sz w:val="16"/>
                <w:szCs w:val="16"/>
              </w:rPr>
            </w:pPr>
            <w:r w:rsidRPr="000166F1">
              <w:rPr>
                <w:rFonts w:cs="Arial"/>
                <w:sz w:val="16"/>
                <w:szCs w:val="16"/>
              </w:rPr>
              <w:t>794</w:t>
            </w:r>
          </w:p>
        </w:tc>
        <w:tc>
          <w:tcPr>
            <w:tcW w:w="0" w:type="auto"/>
            <w:tcBorders>
              <w:top w:val="nil"/>
              <w:left w:val="dotted" w:sz="4" w:space="0" w:color="auto"/>
              <w:bottom w:val="nil"/>
              <w:right w:val="single" w:sz="4" w:space="0" w:color="auto"/>
            </w:tcBorders>
            <w:shd w:val="clear" w:color="000000" w:fill="auto"/>
            <w:noWrap/>
            <w:vAlign w:val="bottom"/>
            <w:hideMark/>
          </w:tcPr>
          <w:p w14:paraId="779634E9" w14:textId="77777777" w:rsidR="00EB6338" w:rsidRPr="000166F1" w:rsidRDefault="00EB6338" w:rsidP="00312E88">
            <w:pPr>
              <w:jc w:val="right"/>
              <w:rPr>
                <w:rFonts w:cs="Arial"/>
                <w:sz w:val="16"/>
                <w:szCs w:val="16"/>
              </w:rPr>
            </w:pPr>
            <w:r w:rsidRPr="000166F1">
              <w:rPr>
                <w:rFonts w:cs="Arial"/>
                <w:sz w:val="16"/>
                <w:szCs w:val="16"/>
              </w:rPr>
              <w:t>1,929</w:t>
            </w:r>
          </w:p>
        </w:tc>
        <w:tc>
          <w:tcPr>
            <w:tcW w:w="0" w:type="auto"/>
            <w:tcBorders>
              <w:top w:val="nil"/>
              <w:left w:val="dotted" w:sz="4" w:space="0" w:color="auto"/>
              <w:bottom w:val="nil"/>
              <w:right w:val="single" w:sz="4" w:space="0" w:color="auto"/>
            </w:tcBorders>
            <w:shd w:val="clear" w:color="000000" w:fill="auto"/>
            <w:noWrap/>
            <w:vAlign w:val="bottom"/>
            <w:hideMark/>
          </w:tcPr>
          <w:p w14:paraId="5878D8E3" w14:textId="77777777" w:rsidR="00EB6338" w:rsidRPr="000166F1" w:rsidRDefault="00EB6338" w:rsidP="00312E88">
            <w:pPr>
              <w:jc w:val="right"/>
              <w:rPr>
                <w:rFonts w:cs="Arial"/>
                <w:sz w:val="16"/>
                <w:szCs w:val="16"/>
              </w:rPr>
            </w:pPr>
            <w:r w:rsidRPr="000166F1">
              <w:rPr>
                <w:rFonts w:cs="Arial"/>
                <w:sz w:val="16"/>
                <w:szCs w:val="16"/>
              </w:rPr>
              <w:t>1,845</w:t>
            </w:r>
          </w:p>
        </w:tc>
      </w:tr>
      <w:tr w:rsidR="00EB6338" w:rsidRPr="000166F1" w14:paraId="50691A23" w14:textId="77777777" w:rsidTr="00EB6338">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472A7779" w14:textId="77777777" w:rsidR="00EB6338" w:rsidRPr="000166F1" w:rsidRDefault="00EB6338" w:rsidP="00312E88">
            <w:pPr>
              <w:rPr>
                <w:rFonts w:cs="Arial"/>
                <w:sz w:val="16"/>
                <w:szCs w:val="16"/>
              </w:rPr>
            </w:pPr>
            <w:r w:rsidRPr="000166F1">
              <w:rPr>
                <w:rFonts w:cs="Arial"/>
                <w:sz w:val="16"/>
                <w:szCs w:val="16"/>
              </w:rPr>
              <w:t>Other</w:t>
            </w:r>
          </w:p>
        </w:tc>
        <w:tc>
          <w:tcPr>
            <w:tcW w:w="0" w:type="auto"/>
            <w:tcBorders>
              <w:top w:val="nil"/>
              <w:left w:val="nil"/>
              <w:bottom w:val="nil"/>
              <w:right w:val="nil"/>
            </w:tcBorders>
            <w:shd w:val="clear" w:color="000000" w:fill="auto"/>
            <w:noWrap/>
            <w:vAlign w:val="bottom"/>
            <w:hideMark/>
          </w:tcPr>
          <w:p w14:paraId="433632E6" w14:textId="77777777" w:rsidR="00EB6338" w:rsidRPr="000166F1" w:rsidRDefault="00EB6338" w:rsidP="00312E88">
            <w:pPr>
              <w:jc w:val="right"/>
              <w:rPr>
                <w:rFonts w:cs="Arial"/>
                <w:sz w:val="16"/>
                <w:szCs w:val="16"/>
              </w:rPr>
            </w:pPr>
            <w:r>
              <w:rPr>
                <w:rFonts w:cs="Arial"/>
                <w:sz w:val="16"/>
                <w:szCs w:val="16"/>
              </w:rPr>
              <w:t>150</w:t>
            </w:r>
          </w:p>
        </w:tc>
        <w:tc>
          <w:tcPr>
            <w:tcW w:w="0" w:type="auto"/>
            <w:tcBorders>
              <w:top w:val="nil"/>
              <w:left w:val="nil"/>
              <w:bottom w:val="nil"/>
              <w:right w:val="nil"/>
            </w:tcBorders>
            <w:shd w:val="clear" w:color="000000" w:fill="auto"/>
            <w:noWrap/>
            <w:vAlign w:val="bottom"/>
            <w:hideMark/>
          </w:tcPr>
          <w:p w14:paraId="114B8882" w14:textId="77777777" w:rsidR="00EB6338" w:rsidRPr="000166F1" w:rsidRDefault="00EB6338" w:rsidP="00312E88">
            <w:pPr>
              <w:jc w:val="right"/>
              <w:rPr>
                <w:rFonts w:cs="Arial"/>
                <w:sz w:val="16"/>
                <w:szCs w:val="16"/>
              </w:rPr>
            </w:pPr>
            <w:r>
              <w:rPr>
                <w:rFonts w:cs="Arial"/>
                <w:sz w:val="16"/>
                <w:szCs w:val="16"/>
              </w:rPr>
              <w:t>269</w:t>
            </w:r>
          </w:p>
        </w:tc>
        <w:tc>
          <w:tcPr>
            <w:tcW w:w="0" w:type="auto"/>
            <w:tcBorders>
              <w:top w:val="nil"/>
              <w:left w:val="nil"/>
              <w:bottom w:val="nil"/>
              <w:right w:val="nil"/>
            </w:tcBorders>
            <w:shd w:val="clear" w:color="000000" w:fill="auto"/>
            <w:noWrap/>
            <w:vAlign w:val="bottom"/>
            <w:hideMark/>
          </w:tcPr>
          <w:p w14:paraId="19C0ACBC" w14:textId="77777777" w:rsidR="00EB6338" w:rsidRPr="000166F1" w:rsidRDefault="00EB6338" w:rsidP="00312E88">
            <w:pPr>
              <w:jc w:val="right"/>
              <w:rPr>
                <w:rFonts w:cs="Arial"/>
                <w:sz w:val="16"/>
                <w:szCs w:val="16"/>
              </w:rPr>
            </w:pPr>
            <w:r>
              <w:rPr>
                <w:rFonts w:cs="Arial"/>
                <w:sz w:val="16"/>
                <w:szCs w:val="16"/>
              </w:rPr>
              <w:t>698</w:t>
            </w:r>
          </w:p>
        </w:tc>
        <w:tc>
          <w:tcPr>
            <w:tcW w:w="0" w:type="auto"/>
            <w:tcBorders>
              <w:top w:val="nil"/>
              <w:left w:val="nil"/>
              <w:bottom w:val="nil"/>
              <w:right w:val="nil"/>
            </w:tcBorders>
            <w:shd w:val="clear" w:color="000000" w:fill="auto"/>
            <w:noWrap/>
            <w:vAlign w:val="bottom"/>
            <w:hideMark/>
          </w:tcPr>
          <w:p w14:paraId="0FAF630B" w14:textId="77777777" w:rsidR="00EB6338" w:rsidRPr="000166F1" w:rsidRDefault="00EB6338" w:rsidP="00312E88">
            <w:pPr>
              <w:jc w:val="right"/>
              <w:rPr>
                <w:rFonts w:cs="Arial"/>
                <w:sz w:val="16"/>
                <w:szCs w:val="16"/>
              </w:rPr>
            </w:pPr>
            <w:r>
              <w:rPr>
                <w:rFonts w:cs="Arial"/>
                <w:sz w:val="16"/>
                <w:szCs w:val="16"/>
              </w:rPr>
              <w:t>1,301</w:t>
            </w:r>
          </w:p>
        </w:tc>
        <w:tc>
          <w:tcPr>
            <w:tcW w:w="0" w:type="auto"/>
            <w:tcBorders>
              <w:top w:val="nil"/>
              <w:left w:val="dotted" w:sz="4" w:space="0" w:color="auto"/>
              <w:bottom w:val="nil"/>
              <w:right w:val="single" w:sz="4" w:space="0" w:color="auto"/>
            </w:tcBorders>
            <w:shd w:val="clear" w:color="000000" w:fill="auto"/>
            <w:noWrap/>
            <w:vAlign w:val="bottom"/>
            <w:hideMark/>
          </w:tcPr>
          <w:p w14:paraId="5677600E" w14:textId="77777777" w:rsidR="00EB6338" w:rsidRPr="000166F1" w:rsidRDefault="00EB6338" w:rsidP="00312E88">
            <w:pPr>
              <w:jc w:val="right"/>
              <w:rPr>
                <w:rFonts w:cs="Arial"/>
                <w:sz w:val="16"/>
                <w:szCs w:val="16"/>
              </w:rPr>
            </w:pPr>
            <w:r>
              <w:rPr>
                <w:rFonts w:cs="Arial"/>
                <w:sz w:val="16"/>
                <w:szCs w:val="16"/>
              </w:rPr>
              <w:t>3,275</w:t>
            </w:r>
          </w:p>
        </w:tc>
        <w:tc>
          <w:tcPr>
            <w:tcW w:w="0" w:type="auto"/>
            <w:tcBorders>
              <w:top w:val="nil"/>
              <w:left w:val="dotted" w:sz="4" w:space="0" w:color="auto"/>
              <w:bottom w:val="nil"/>
              <w:right w:val="single" w:sz="4" w:space="0" w:color="auto"/>
            </w:tcBorders>
            <w:shd w:val="clear" w:color="000000" w:fill="auto"/>
            <w:noWrap/>
            <w:vAlign w:val="bottom"/>
            <w:hideMark/>
          </w:tcPr>
          <w:p w14:paraId="3CACE8BB" w14:textId="77777777" w:rsidR="00EB6338" w:rsidRPr="000166F1" w:rsidRDefault="00EB6338" w:rsidP="00312E88">
            <w:pPr>
              <w:jc w:val="right"/>
              <w:rPr>
                <w:rFonts w:cs="Arial"/>
                <w:sz w:val="16"/>
                <w:szCs w:val="16"/>
              </w:rPr>
            </w:pPr>
            <w:r>
              <w:rPr>
                <w:rFonts w:cs="Arial"/>
                <w:sz w:val="16"/>
                <w:szCs w:val="16"/>
              </w:rPr>
              <w:t>2,409</w:t>
            </w:r>
          </w:p>
        </w:tc>
      </w:tr>
      <w:tr w:rsidR="00EB6338" w:rsidRPr="000166F1" w14:paraId="7DECBBB9" w14:textId="77777777" w:rsidTr="00EB6338">
        <w:trPr>
          <w:trHeight w:hRule="exact" w:val="28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C8023" w14:textId="77777777" w:rsidR="00EB6338" w:rsidRPr="000166F1" w:rsidRDefault="00EB6338" w:rsidP="00312E88">
            <w:pPr>
              <w:rPr>
                <w:rFonts w:cs="Arial"/>
                <w:b/>
                <w:bCs/>
                <w:sz w:val="16"/>
                <w:szCs w:val="16"/>
              </w:rPr>
            </w:pPr>
            <w:r w:rsidRPr="000166F1">
              <w:rPr>
                <w:rFonts w:cs="Arial"/>
                <w:b/>
                <w:bCs/>
                <w:sz w:val="16"/>
                <w:szCs w:val="16"/>
              </w:rPr>
              <w:t>Total unfavourable</w:t>
            </w:r>
          </w:p>
        </w:tc>
        <w:tc>
          <w:tcPr>
            <w:tcW w:w="0" w:type="auto"/>
            <w:tcBorders>
              <w:top w:val="single" w:sz="4" w:space="0" w:color="auto"/>
              <w:left w:val="nil"/>
              <w:bottom w:val="single" w:sz="4" w:space="0" w:color="auto"/>
              <w:right w:val="nil"/>
            </w:tcBorders>
            <w:shd w:val="clear" w:color="auto" w:fill="auto"/>
            <w:noWrap/>
            <w:vAlign w:val="bottom"/>
            <w:hideMark/>
          </w:tcPr>
          <w:p w14:paraId="3F6CAD3C" w14:textId="77777777" w:rsidR="00EB6338" w:rsidRPr="000166F1" w:rsidRDefault="00EB6338" w:rsidP="00312E88">
            <w:pPr>
              <w:jc w:val="right"/>
              <w:rPr>
                <w:rFonts w:cs="Arial"/>
                <w:b/>
                <w:bCs/>
                <w:sz w:val="16"/>
                <w:szCs w:val="16"/>
              </w:rPr>
            </w:pPr>
            <w:r>
              <w:rPr>
                <w:rFonts w:cs="Arial"/>
                <w:b/>
                <w:bCs/>
                <w:sz w:val="16"/>
                <w:szCs w:val="16"/>
              </w:rPr>
              <w:t>1,461</w:t>
            </w:r>
          </w:p>
        </w:tc>
        <w:tc>
          <w:tcPr>
            <w:tcW w:w="0" w:type="auto"/>
            <w:tcBorders>
              <w:top w:val="single" w:sz="4" w:space="0" w:color="auto"/>
              <w:left w:val="nil"/>
              <w:bottom w:val="single" w:sz="4" w:space="0" w:color="auto"/>
              <w:right w:val="nil"/>
            </w:tcBorders>
            <w:shd w:val="clear" w:color="auto" w:fill="auto"/>
            <w:noWrap/>
            <w:vAlign w:val="bottom"/>
            <w:hideMark/>
          </w:tcPr>
          <w:p w14:paraId="473EADA3" w14:textId="77777777" w:rsidR="00EB6338" w:rsidRPr="000166F1" w:rsidRDefault="00EB6338" w:rsidP="00312E88">
            <w:pPr>
              <w:jc w:val="right"/>
              <w:rPr>
                <w:rFonts w:cs="Arial"/>
                <w:b/>
                <w:bCs/>
                <w:sz w:val="16"/>
                <w:szCs w:val="16"/>
              </w:rPr>
            </w:pPr>
            <w:r>
              <w:rPr>
                <w:rFonts w:cs="Arial"/>
                <w:b/>
                <w:bCs/>
                <w:sz w:val="16"/>
                <w:szCs w:val="16"/>
              </w:rPr>
              <w:t>3,290</w:t>
            </w:r>
          </w:p>
        </w:tc>
        <w:tc>
          <w:tcPr>
            <w:tcW w:w="0" w:type="auto"/>
            <w:tcBorders>
              <w:top w:val="single" w:sz="4" w:space="0" w:color="auto"/>
              <w:left w:val="nil"/>
              <w:bottom w:val="single" w:sz="4" w:space="0" w:color="auto"/>
              <w:right w:val="nil"/>
            </w:tcBorders>
            <w:shd w:val="clear" w:color="auto" w:fill="auto"/>
            <w:noWrap/>
            <w:vAlign w:val="bottom"/>
            <w:hideMark/>
          </w:tcPr>
          <w:p w14:paraId="4A98340F" w14:textId="77777777" w:rsidR="00EB6338" w:rsidRPr="000166F1" w:rsidRDefault="00EB6338" w:rsidP="00312E88">
            <w:pPr>
              <w:jc w:val="right"/>
              <w:rPr>
                <w:rFonts w:cs="Arial"/>
                <w:b/>
                <w:bCs/>
                <w:sz w:val="16"/>
                <w:szCs w:val="16"/>
              </w:rPr>
            </w:pPr>
            <w:r>
              <w:rPr>
                <w:rFonts w:cs="Arial"/>
                <w:b/>
                <w:bCs/>
                <w:sz w:val="16"/>
                <w:szCs w:val="16"/>
              </w:rPr>
              <w:t>5,253</w:t>
            </w:r>
          </w:p>
        </w:tc>
        <w:tc>
          <w:tcPr>
            <w:tcW w:w="0" w:type="auto"/>
            <w:tcBorders>
              <w:top w:val="single" w:sz="4" w:space="0" w:color="auto"/>
              <w:left w:val="nil"/>
              <w:bottom w:val="single" w:sz="4" w:space="0" w:color="auto"/>
              <w:right w:val="nil"/>
            </w:tcBorders>
            <w:shd w:val="clear" w:color="auto" w:fill="auto"/>
            <w:noWrap/>
            <w:vAlign w:val="bottom"/>
            <w:hideMark/>
          </w:tcPr>
          <w:p w14:paraId="4C12083A" w14:textId="77777777" w:rsidR="00EB6338" w:rsidRPr="000166F1" w:rsidRDefault="00EB6338" w:rsidP="00312E88">
            <w:pPr>
              <w:jc w:val="right"/>
              <w:rPr>
                <w:rFonts w:cs="Arial"/>
                <w:b/>
                <w:bCs/>
                <w:sz w:val="16"/>
                <w:szCs w:val="16"/>
              </w:rPr>
            </w:pPr>
            <w:r>
              <w:rPr>
                <w:rFonts w:cs="Arial"/>
                <w:b/>
                <w:bCs/>
                <w:sz w:val="16"/>
                <w:szCs w:val="16"/>
              </w:rPr>
              <w:t>9,075</w:t>
            </w: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bottom"/>
            <w:hideMark/>
          </w:tcPr>
          <w:p w14:paraId="6AD27EAC" w14:textId="77777777" w:rsidR="00EB6338" w:rsidRPr="000166F1" w:rsidRDefault="00EB6338" w:rsidP="00312E88">
            <w:pPr>
              <w:jc w:val="right"/>
              <w:rPr>
                <w:rFonts w:cs="Arial"/>
                <w:b/>
                <w:bCs/>
                <w:sz w:val="16"/>
                <w:szCs w:val="16"/>
              </w:rPr>
            </w:pPr>
            <w:r>
              <w:rPr>
                <w:rFonts w:cs="Arial"/>
                <w:b/>
                <w:bCs/>
                <w:sz w:val="16"/>
                <w:szCs w:val="16"/>
              </w:rPr>
              <w:t>24,312</w:t>
            </w: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bottom"/>
            <w:hideMark/>
          </w:tcPr>
          <w:p w14:paraId="28527204" w14:textId="77777777" w:rsidR="00EB6338" w:rsidRPr="000166F1" w:rsidRDefault="00EB6338" w:rsidP="00312E88">
            <w:pPr>
              <w:jc w:val="right"/>
              <w:rPr>
                <w:rFonts w:cs="Arial"/>
                <w:b/>
                <w:bCs/>
                <w:sz w:val="16"/>
                <w:szCs w:val="16"/>
              </w:rPr>
            </w:pPr>
            <w:r>
              <w:rPr>
                <w:rFonts w:cs="Arial"/>
                <w:b/>
                <w:bCs/>
                <w:sz w:val="16"/>
                <w:szCs w:val="16"/>
              </w:rPr>
              <w:t>19,079</w:t>
            </w:r>
          </w:p>
        </w:tc>
      </w:tr>
      <w:tr w:rsidR="00EB6338" w:rsidRPr="000166F1" w14:paraId="216276CA" w14:textId="77777777" w:rsidTr="00EB6338">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EA91DA" w14:textId="43185959" w:rsidR="00EB6338" w:rsidRPr="000166F1" w:rsidRDefault="00EB6338" w:rsidP="008D07F0">
            <w:pPr>
              <w:rPr>
                <w:rFonts w:cs="Arial"/>
                <w:b/>
                <w:bCs/>
                <w:sz w:val="16"/>
                <w:szCs w:val="16"/>
              </w:rPr>
            </w:pPr>
            <w:r w:rsidRPr="000166F1">
              <w:rPr>
                <w:rFonts w:cs="Arial"/>
                <w:b/>
                <w:bCs/>
                <w:sz w:val="16"/>
                <w:szCs w:val="16"/>
              </w:rPr>
              <w:t xml:space="preserve">Plausible </w:t>
            </w:r>
            <w:r w:rsidR="008D07F0">
              <w:rPr>
                <w:rFonts w:cs="Arial"/>
                <w:b/>
                <w:bCs/>
                <w:sz w:val="16"/>
                <w:szCs w:val="16"/>
              </w:rPr>
              <w:t>high</w:t>
            </w:r>
            <w:r w:rsidRPr="000166F1">
              <w:rPr>
                <w:rFonts w:cs="Arial"/>
                <w:b/>
                <w:bCs/>
                <w:sz w:val="16"/>
                <w:szCs w:val="16"/>
              </w:rPr>
              <w:t xml:space="preserve"> </w:t>
            </w:r>
            <w:r w:rsidR="008D07F0">
              <w:rPr>
                <w:rFonts w:cs="Arial"/>
                <w:b/>
                <w:bCs/>
                <w:sz w:val="16"/>
                <w:szCs w:val="16"/>
              </w:rPr>
              <w:t>c</w:t>
            </w:r>
            <w:r w:rsidRPr="000166F1">
              <w:rPr>
                <w:rFonts w:cs="Arial"/>
                <w:b/>
                <w:bCs/>
                <w:sz w:val="16"/>
                <w:szCs w:val="16"/>
              </w:rPr>
              <w:t>ase (variance)</w:t>
            </w:r>
          </w:p>
        </w:tc>
        <w:tc>
          <w:tcPr>
            <w:tcW w:w="0" w:type="auto"/>
            <w:tcBorders>
              <w:top w:val="nil"/>
              <w:left w:val="nil"/>
              <w:bottom w:val="single" w:sz="4" w:space="0" w:color="auto"/>
              <w:right w:val="nil"/>
            </w:tcBorders>
            <w:shd w:val="clear" w:color="auto" w:fill="auto"/>
            <w:noWrap/>
            <w:vAlign w:val="bottom"/>
            <w:hideMark/>
          </w:tcPr>
          <w:p w14:paraId="2AEA5CE5" w14:textId="77777777" w:rsidR="00EB6338" w:rsidRPr="000166F1" w:rsidRDefault="00EB6338" w:rsidP="00312E88">
            <w:pPr>
              <w:jc w:val="right"/>
              <w:rPr>
                <w:rFonts w:cs="Arial"/>
                <w:b/>
                <w:bCs/>
                <w:sz w:val="16"/>
                <w:szCs w:val="16"/>
              </w:rPr>
            </w:pPr>
            <w:r>
              <w:rPr>
                <w:rFonts w:cs="Arial"/>
                <w:b/>
                <w:bCs/>
                <w:sz w:val="16"/>
                <w:szCs w:val="16"/>
              </w:rPr>
              <w:t>1,264</w:t>
            </w:r>
          </w:p>
        </w:tc>
        <w:tc>
          <w:tcPr>
            <w:tcW w:w="0" w:type="auto"/>
            <w:tcBorders>
              <w:top w:val="nil"/>
              <w:left w:val="nil"/>
              <w:bottom w:val="single" w:sz="4" w:space="0" w:color="auto"/>
              <w:right w:val="nil"/>
            </w:tcBorders>
            <w:shd w:val="clear" w:color="auto" w:fill="auto"/>
            <w:noWrap/>
            <w:vAlign w:val="bottom"/>
            <w:hideMark/>
          </w:tcPr>
          <w:p w14:paraId="7BFA8B0A" w14:textId="77777777" w:rsidR="00EB6338" w:rsidRPr="000166F1" w:rsidRDefault="00EB6338" w:rsidP="00312E88">
            <w:pPr>
              <w:jc w:val="right"/>
              <w:rPr>
                <w:rFonts w:cs="Arial"/>
                <w:b/>
                <w:bCs/>
                <w:sz w:val="16"/>
                <w:szCs w:val="16"/>
              </w:rPr>
            </w:pPr>
            <w:r>
              <w:rPr>
                <w:rFonts w:cs="Arial"/>
                <w:b/>
                <w:bCs/>
                <w:sz w:val="16"/>
                <w:szCs w:val="16"/>
              </w:rPr>
              <w:t>2,726</w:t>
            </w:r>
          </w:p>
        </w:tc>
        <w:tc>
          <w:tcPr>
            <w:tcW w:w="0" w:type="auto"/>
            <w:tcBorders>
              <w:top w:val="nil"/>
              <w:left w:val="nil"/>
              <w:bottom w:val="single" w:sz="4" w:space="0" w:color="auto"/>
              <w:right w:val="nil"/>
            </w:tcBorders>
            <w:shd w:val="clear" w:color="auto" w:fill="auto"/>
            <w:noWrap/>
            <w:vAlign w:val="bottom"/>
            <w:hideMark/>
          </w:tcPr>
          <w:p w14:paraId="55B4F445" w14:textId="77777777" w:rsidR="00EB6338" w:rsidRPr="000166F1" w:rsidRDefault="00EB6338" w:rsidP="00312E88">
            <w:pPr>
              <w:jc w:val="right"/>
              <w:rPr>
                <w:rFonts w:cs="Arial"/>
                <w:b/>
                <w:bCs/>
                <w:sz w:val="16"/>
                <w:szCs w:val="16"/>
              </w:rPr>
            </w:pPr>
            <w:r>
              <w:rPr>
                <w:rFonts w:cs="Arial"/>
                <w:b/>
                <w:bCs/>
                <w:sz w:val="16"/>
                <w:szCs w:val="16"/>
              </w:rPr>
              <w:t>3,883</w:t>
            </w:r>
          </w:p>
        </w:tc>
        <w:tc>
          <w:tcPr>
            <w:tcW w:w="0" w:type="auto"/>
            <w:tcBorders>
              <w:top w:val="nil"/>
              <w:left w:val="nil"/>
              <w:bottom w:val="single" w:sz="4" w:space="0" w:color="auto"/>
              <w:right w:val="nil"/>
            </w:tcBorders>
            <w:shd w:val="clear" w:color="auto" w:fill="auto"/>
            <w:noWrap/>
            <w:vAlign w:val="bottom"/>
            <w:hideMark/>
          </w:tcPr>
          <w:p w14:paraId="1A0BDBCD" w14:textId="77777777" w:rsidR="00EB6338" w:rsidRPr="000166F1" w:rsidRDefault="00EB6338" w:rsidP="00312E88">
            <w:pPr>
              <w:jc w:val="right"/>
              <w:rPr>
                <w:rFonts w:cs="Arial"/>
                <w:b/>
                <w:bCs/>
                <w:sz w:val="16"/>
                <w:szCs w:val="16"/>
              </w:rPr>
            </w:pPr>
            <w:r>
              <w:rPr>
                <w:rFonts w:cs="Arial"/>
                <w:b/>
                <w:bCs/>
                <w:sz w:val="16"/>
                <w:szCs w:val="16"/>
              </w:rPr>
              <w:t>6,470</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53FC0E0E" w14:textId="77777777" w:rsidR="00EB6338" w:rsidRPr="000166F1" w:rsidRDefault="00EB6338" w:rsidP="00312E88">
            <w:pPr>
              <w:jc w:val="right"/>
              <w:rPr>
                <w:rFonts w:cs="Arial"/>
                <w:b/>
                <w:bCs/>
                <w:sz w:val="16"/>
                <w:szCs w:val="16"/>
              </w:rPr>
            </w:pPr>
            <w:r>
              <w:rPr>
                <w:rFonts w:cs="Arial"/>
                <w:b/>
                <w:bCs/>
                <w:sz w:val="16"/>
                <w:szCs w:val="16"/>
              </w:rPr>
              <w:t>14,872</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07B40CFA" w14:textId="77777777" w:rsidR="00EB6338" w:rsidRPr="000166F1" w:rsidRDefault="00EB6338" w:rsidP="00312E88">
            <w:pPr>
              <w:jc w:val="right"/>
              <w:rPr>
                <w:rFonts w:cs="Arial"/>
                <w:b/>
                <w:bCs/>
                <w:sz w:val="16"/>
                <w:szCs w:val="16"/>
              </w:rPr>
            </w:pPr>
            <w:r>
              <w:rPr>
                <w:rFonts w:cs="Arial"/>
                <w:b/>
                <w:bCs/>
                <w:sz w:val="16"/>
                <w:szCs w:val="16"/>
              </w:rPr>
              <w:t>14,344</w:t>
            </w:r>
          </w:p>
        </w:tc>
      </w:tr>
      <w:tr w:rsidR="00EB6338" w:rsidRPr="000166F1" w14:paraId="3F9F8A12" w14:textId="77777777" w:rsidTr="00EB6338">
        <w:trPr>
          <w:trHeight w:hRule="exact" w:val="284"/>
        </w:trPr>
        <w:tc>
          <w:tcPr>
            <w:tcW w:w="0" w:type="auto"/>
            <w:tcBorders>
              <w:top w:val="nil"/>
              <w:left w:val="single" w:sz="4" w:space="0" w:color="auto"/>
              <w:bottom w:val="single" w:sz="4" w:space="0" w:color="auto"/>
              <w:right w:val="single" w:sz="4" w:space="0" w:color="auto"/>
            </w:tcBorders>
            <w:shd w:val="clear" w:color="000000" w:fill="D3C5D7"/>
            <w:noWrap/>
            <w:vAlign w:val="bottom"/>
            <w:hideMark/>
          </w:tcPr>
          <w:p w14:paraId="5973DE0D" w14:textId="77777777" w:rsidR="00EB6338" w:rsidRPr="000166F1" w:rsidRDefault="00EB6338" w:rsidP="00312E88">
            <w:pPr>
              <w:rPr>
                <w:rFonts w:cs="Arial"/>
                <w:b/>
                <w:bCs/>
                <w:color w:val="000000"/>
                <w:sz w:val="16"/>
                <w:szCs w:val="16"/>
              </w:rPr>
            </w:pPr>
            <w:r w:rsidRPr="000166F1">
              <w:rPr>
                <w:rFonts w:cs="Arial"/>
                <w:b/>
                <w:bCs/>
                <w:color w:val="000000"/>
                <w:sz w:val="16"/>
                <w:szCs w:val="16"/>
              </w:rPr>
              <w:t>Cost reduction scenarios</w:t>
            </w:r>
          </w:p>
        </w:tc>
        <w:tc>
          <w:tcPr>
            <w:tcW w:w="0" w:type="auto"/>
            <w:tcBorders>
              <w:top w:val="nil"/>
              <w:left w:val="nil"/>
              <w:bottom w:val="single" w:sz="4" w:space="0" w:color="auto"/>
              <w:right w:val="nil"/>
            </w:tcBorders>
            <w:shd w:val="clear" w:color="000000" w:fill="D3C5D7"/>
            <w:noWrap/>
            <w:vAlign w:val="bottom"/>
            <w:hideMark/>
          </w:tcPr>
          <w:p w14:paraId="4D1A7B2E"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c>
          <w:tcPr>
            <w:tcW w:w="0" w:type="auto"/>
            <w:tcBorders>
              <w:top w:val="nil"/>
              <w:left w:val="nil"/>
              <w:bottom w:val="single" w:sz="4" w:space="0" w:color="auto"/>
              <w:right w:val="nil"/>
            </w:tcBorders>
            <w:shd w:val="clear" w:color="000000" w:fill="D3C5D7"/>
            <w:noWrap/>
            <w:vAlign w:val="bottom"/>
            <w:hideMark/>
          </w:tcPr>
          <w:p w14:paraId="0BF4611E"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c>
          <w:tcPr>
            <w:tcW w:w="0" w:type="auto"/>
            <w:tcBorders>
              <w:top w:val="nil"/>
              <w:left w:val="nil"/>
              <w:bottom w:val="single" w:sz="4" w:space="0" w:color="auto"/>
              <w:right w:val="nil"/>
            </w:tcBorders>
            <w:shd w:val="clear" w:color="000000" w:fill="D3C5D7"/>
            <w:noWrap/>
            <w:vAlign w:val="bottom"/>
            <w:hideMark/>
          </w:tcPr>
          <w:p w14:paraId="393E615D"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c>
          <w:tcPr>
            <w:tcW w:w="0" w:type="auto"/>
            <w:tcBorders>
              <w:top w:val="nil"/>
              <w:left w:val="nil"/>
              <w:bottom w:val="single" w:sz="4" w:space="0" w:color="auto"/>
              <w:right w:val="nil"/>
            </w:tcBorders>
            <w:shd w:val="clear" w:color="000000" w:fill="D3C5D7"/>
            <w:noWrap/>
            <w:vAlign w:val="bottom"/>
            <w:hideMark/>
          </w:tcPr>
          <w:p w14:paraId="2929FFBC"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c>
          <w:tcPr>
            <w:tcW w:w="0" w:type="auto"/>
            <w:tcBorders>
              <w:top w:val="nil"/>
              <w:left w:val="dotted" w:sz="4" w:space="0" w:color="auto"/>
              <w:bottom w:val="single" w:sz="4" w:space="0" w:color="auto"/>
              <w:right w:val="single" w:sz="4" w:space="0" w:color="auto"/>
            </w:tcBorders>
            <w:shd w:val="clear" w:color="000000" w:fill="D3C5D7"/>
            <w:noWrap/>
            <w:vAlign w:val="bottom"/>
            <w:hideMark/>
          </w:tcPr>
          <w:p w14:paraId="4B4485B2"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c>
          <w:tcPr>
            <w:tcW w:w="0" w:type="auto"/>
            <w:tcBorders>
              <w:top w:val="nil"/>
              <w:left w:val="dotted" w:sz="4" w:space="0" w:color="auto"/>
              <w:bottom w:val="single" w:sz="4" w:space="0" w:color="auto"/>
              <w:right w:val="single" w:sz="4" w:space="0" w:color="auto"/>
            </w:tcBorders>
            <w:shd w:val="clear" w:color="000000" w:fill="D3C5D7"/>
            <w:noWrap/>
            <w:vAlign w:val="bottom"/>
            <w:hideMark/>
          </w:tcPr>
          <w:p w14:paraId="1EC9D28F" w14:textId="77777777" w:rsidR="00EB6338" w:rsidRPr="000166F1" w:rsidRDefault="00EB6338" w:rsidP="00312E88">
            <w:pPr>
              <w:jc w:val="right"/>
              <w:rPr>
                <w:rFonts w:cs="Arial"/>
                <w:b/>
                <w:bCs/>
                <w:color w:val="000000"/>
                <w:sz w:val="16"/>
                <w:szCs w:val="16"/>
              </w:rPr>
            </w:pPr>
            <w:r w:rsidRPr="000166F1">
              <w:rPr>
                <w:rFonts w:cs="Arial"/>
                <w:b/>
                <w:bCs/>
                <w:color w:val="000000"/>
                <w:sz w:val="16"/>
                <w:szCs w:val="16"/>
              </w:rPr>
              <w:t> </w:t>
            </w:r>
          </w:p>
        </w:tc>
      </w:tr>
      <w:tr w:rsidR="00EB6338" w:rsidRPr="000166F1" w14:paraId="72E246A7" w14:textId="77777777" w:rsidTr="00EB6338">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6680B160" w14:textId="77777777" w:rsidR="00EB6338" w:rsidRPr="000166F1" w:rsidRDefault="00EB6338" w:rsidP="00312E88">
            <w:pPr>
              <w:rPr>
                <w:rFonts w:cs="Arial"/>
                <w:sz w:val="16"/>
                <w:szCs w:val="16"/>
              </w:rPr>
            </w:pPr>
            <w:r w:rsidRPr="000166F1">
              <w:rPr>
                <w:rFonts w:cs="Arial"/>
                <w:sz w:val="16"/>
                <w:szCs w:val="16"/>
              </w:rPr>
              <w:t>One year less of high inflation</w:t>
            </w:r>
          </w:p>
        </w:tc>
        <w:tc>
          <w:tcPr>
            <w:tcW w:w="0" w:type="auto"/>
            <w:tcBorders>
              <w:top w:val="nil"/>
              <w:left w:val="nil"/>
              <w:bottom w:val="nil"/>
              <w:right w:val="nil"/>
            </w:tcBorders>
            <w:shd w:val="clear" w:color="auto" w:fill="auto"/>
            <w:noWrap/>
            <w:vAlign w:val="bottom"/>
            <w:hideMark/>
          </w:tcPr>
          <w:p w14:paraId="72218BBC" w14:textId="77777777" w:rsidR="00EB6338" w:rsidRPr="000166F1" w:rsidRDefault="00EB6338" w:rsidP="00312E88">
            <w:pPr>
              <w:jc w:val="right"/>
              <w:rPr>
                <w:rFonts w:cs="Arial"/>
                <w:sz w:val="16"/>
                <w:szCs w:val="16"/>
              </w:rPr>
            </w:pPr>
            <w:r w:rsidRPr="000166F1">
              <w:rPr>
                <w:rFonts w:cs="Arial"/>
                <w:sz w:val="16"/>
                <w:szCs w:val="16"/>
              </w:rPr>
              <w:t>-871</w:t>
            </w:r>
          </w:p>
        </w:tc>
        <w:tc>
          <w:tcPr>
            <w:tcW w:w="0" w:type="auto"/>
            <w:tcBorders>
              <w:top w:val="nil"/>
              <w:left w:val="nil"/>
              <w:bottom w:val="nil"/>
              <w:right w:val="nil"/>
            </w:tcBorders>
            <w:shd w:val="clear" w:color="auto" w:fill="auto"/>
            <w:noWrap/>
            <w:vAlign w:val="bottom"/>
            <w:hideMark/>
          </w:tcPr>
          <w:p w14:paraId="0BFA9FAA" w14:textId="77777777" w:rsidR="00EB6338" w:rsidRPr="000166F1" w:rsidRDefault="00EB6338" w:rsidP="00312E88">
            <w:pPr>
              <w:jc w:val="right"/>
              <w:rPr>
                <w:rFonts w:cs="Arial"/>
                <w:sz w:val="16"/>
                <w:szCs w:val="16"/>
              </w:rPr>
            </w:pPr>
            <w:r w:rsidRPr="000166F1">
              <w:rPr>
                <w:rFonts w:cs="Arial"/>
                <w:sz w:val="16"/>
                <w:szCs w:val="16"/>
              </w:rPr>
              <w:t>-1,217</w:t>
            </w:r>
          </w:p>
        </w:tc>
        <w:tc>
          <w:tcPr>
            <w:tcW w:w="0" w:type="auto"/>
            <w:tcBorders>
              <w:top w:val="nil"/>
              <w:left w:val="nil"/>
              <w:bottom w:val="nil"/>
              <w:right w:val="nil"/>
            </w:tcBorders>
            <w:shd w:val="clear" w:color="auto" w:fill="auto"/>
            <w:noWrap/>
            <w:vAlign w:val="bottom"/>
            <w:hideMark/>
          </w:tcPr>
          <w:p w14:paraId="28CBF3AF" w14:textId="77777777" w:rsidR="00EB6338" w:rsidRPr="000166F1" w:rsidRDefault="00EB6338" w:rsidP="00312E88">
            <w:pPr>
              <w:jc w:val="right"/>
              <w:rPr>
                <w:rFonts w:cs="Arial"/>
                <w:sz w:val="16"/>
                <w:szCs w:val="16"/>
              </w:rPr>
            </w:pPr>
            <w:r w:rsidRPr="000166F1">
              <w:rPr>
                <w:rFonts w:cs="Arial"/>
                <w:sz w:val="16"/>
                <w:szCs w:val="16"/>
              </w:rPr>
              <w:t>-1,697</w:t>
            </w:r>
          </w:p>
        </w:tc>
        <w:tc>
          <w:tcPr>
            <w:tcW w:w="0" w:type="auto"/>
            <w:tcBorders>
              <w:top w:val="nil"/>
              <w:left w:val="nil"/>
              <w:bottom w:val="nil"/>
              <w:right w:val="nil"/>
            </w:tcBorders>
            <w:shd w:val="clear" w:color="auto" w:fill="auto"/>
            <w:noWrap/>
            <w:vAlign w:val="bottom"/>
            <w:hideMark/>
          </w:tcPr>
          <w:p w14:paraId="33503985" w14:textId="77777777" w:rsidR="00EB6338" w:rsidRPr="000166F1" w:rsidRDefault="00EB6338" w:rsidP="00312E88">
            <w:pPr>
              <w:jc w:val="right"/>
              <w:rPr>
                <w:rFonts w:cs="Arial"/>
                <w:sz w:val="16"/>
                <w:szCs w:val="16"/>
              </w:rPr>
            </w:pPr>
            <w:r w:rsidRPr="000166F1">
              <w:rPr>
                <w:rFonts w:cs="Arial"/>
                <w:sz w:val="16"/>
                <w:szCs w:val="16"/>
              </w:rPr>
              <w:t>-2,015</w:t>
            </w:r>
          </w:p>
        </w:tc>
        <w:tc>
          <w:tcPr>
            <w:tcW w:w="0" w:type="auto"/>
            <w:tcBorders>
              <w:top w:val="nil"/>
              <w:left w:val="dotted" w:sz="4" w:space="0" w:color="auto"/>
              <w:bottom w:val="nil"/>
              <w:right w:val="single" w:sz="4" w:space="0" w:color="auto"/>
            </w:tcBorders>
            <w:shd w:val="clear" w:color="auto" w:fill="auto"/>
            <w:noWrap/>
            <w:vAlign w:val="bottom"/>
            <w:hideMark/>
          </w:tcPr>
          <w:p w14:paraId="27BB7EF5" w14:textId="77777777" w:rsidR="00EB6338" w:rsidRPr="000166F1" w:rsidRDefault="00EB6338" w:rsidP="00312E88">
            <w:pPr>
              <w:jc w:val="right"/>
              <w:rPr>
                <w:rFonts w:cs="Arial"/>
                <w:sz w:val="16"/>
                <w:szCs w:val="16"/>
              </w:rPr>
            </w:pPr>
            <w:r w:rsidRPr="000166F1">
              <w:rPr>
                <w:rFonts w:cs="Arial"/>
                <w:sz w:val="16"/>
                <w:szCs w:val="16"/>
              </w:rPr>
              <w:t>-3,718</w:t>
            </w:r>
          </w:p>
        </w:tc>
        <w:tc>
          <w:tcPr>
            <w:tcW w:w="0" w:type="auto"/>
            <w:tcBorders>
              <w:top w:val="nil"/>
              <w:left w:val="dotted" w:sz="4" w:space="0" w:color="auto"/>
              <w:bottom w:val="nil"/>
              <w:right w:val="single" w:sz="4" w:space="0" w:color="auto"/>
            </w:tcBorders>
            <w:shd w:val="clear" w:color="auto" w:fill="auto"/>
            <w:noWrap/>
            <w:vAlign w:val="bottom"/>
            <w:hideMark/>
          </w:tcPr>
          <w:p w14:paraId="5F023619" w14:textId="77777777" w:rsidR="00EB6338" w:rsidRPr="000166F1" w:rsidRDefault="00EB6338" w:rsidP="00312E88">
            <w:pPr>
              <w:jc w:val="right"/>
              <w:rPr>
                <w:rFonts w:cs="Arial"/>
                <w:sz w:val="16"/>
                <w:szCs w:val="16"/>
              </w:rPr>
            </w:pPr>
            <w:r w:rsidRPr="000166F1">
              <w:rPr>
                <w:rFonts w:cs="Arial"/>
                <w:sz w:val="16"/>
                <w:szCs w:val="16"/>
              </w:rPr>
              <w:t>-5,800</w:t>
            </w:r>
          </w:p>
        </w:tc>
      </w:tr>
      <w:tr w:rsidR="00EB6338" w:rsidRPr="000166F1" w14:paraId="7D4D334B" w14:textId="77777777" w:rsidTr="00EB6338">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6DBD723F" w14:textId="77777777" w:rsidR="00EB6338" w:rsidRPr="000166F1" w:rsidRDefault="00EB6338" w:rsidP="00312E88">
            <w:pPr>
              <w:rPr>
                <w:rFonts w:cs="Arial"/>
                <w:sz w:val="16"/>
                <w:szCs w:val="16"/>
              </w:rPr>
            </w:pPr>
            <w:r w:rsidRPr="000166F1">
              <w:rPr>
                <w:rFonts w:cs="Arial"/>
                <w:sz w:val="16"/>
                <w:szCs w:val="16"/>
              </w:rPr>
              <w:t>Lower long term new incidence assumptions</w:t>
            </w:r>
          </w:p>
        </w:tc>
        <w:tc>
          <w:tcPr>
            <w:tcW w:w="0" w:type="auto"/>
            <w:tcBorders>
              <w:top w:val="nil"/>
              <w:left w:val="nil"/>
              <w:bottom w:val="nil"/>
              <w:right w:val="nil"/>
            </w:tcBorders>
            <w:shd w:val="clear" w:color="auto" w:fill="auto"/>
            <w:noWrap/>
            <w:vAlign w:val="bottom"/>
            <w:hideMark/>
          </w:tcPr>
          <w:p w14:paraId="17D4C536" w14:textId="77777777" w:rsidR="00EB6338" w:rsidRPr="000166F1" w:rsidRDefault="00EB6338" w:rsidP="00312E88">
            <w:pPr>
              <w:jc w:val="right"/>
              <w:rPr>
                <w:rFonts w:cs="Arial"/>
                <w:sz w:val="16"/>
                <w:szCs w:val="16"/>
              </w:rPr>
            </w:pPr>
            <w:r w:rsidRPr="000166F1">
              <w:rPr>
                <w:rFonts w:cs="Arial"/>
                <w:sz w:val="16"/>
                <w:szCs w:val="16"/>
              </w:rPr>
              <w:t>0</w:t>
            </w:r>
          </w:p>
        </w:tc>
        <w:tc>
          <w:tcPr>
            <w:tcW w:w="0" w:type="auto"/>
            <w:tcBorders>
              <w:top w:val="nil"/>
              <w:left w:val="nil"/>
              <w:bottom w:val="nil"/>
              <w:right w:val="nil"/>
            </w:tcBorders>
            <w:shd w:val="clear" w:color="auto" w:fill="auto"/>
            <w:noWrap/>
            <w:vAlign w:val="bottom"/>
            <w:hideMark/>
          </w:tcPr>
          <w:p w14:paraId="589E78DD" w14:textId="77777777" w:rsidR="00EB6338" w:rsidRPr="000166F1" w:rsidRDefault="00EB6338" w:rsidP="00312E88">
            <w:pPr>
              <w:jc w:val="right"/>
              <w:rPr>
                <w:rFonts w:cs="Arial"/>
                <w:sz w:val="16"/>
                <w:szCs w:val="16"/>
              </w:rPr>
            </w:pPr>
            <w:r w:rsidRPr="000166F1">
              <w:rPr>
                <w:rFonts w:cs="Arial"/>
                <w:sz w:val="16"/>
                <w:szCs w:val="16"/>
              </w:rPr>
              <w:t>0</w:t>
            </w:r>
          </w:p>
        </w:tc>
        <w:tc>
          <w:tcPr>
            <w:tcW w:w="0" w:type="auto"/>
            <w:tcBorders>
              <w:top w:val="nil"/>
              <w:left w:val="nil"/>
              <w:bottom w:val="nil"/>
              <w:right w:val="nil"/>
            </w:tcBorders>
            <w:shd w:val="clear" w:color="auto" w:fill="auto"/>
            <w:noWrap/>
            <w:vAlign w:val="bottom"/>
            <w:hideMark/>
          </w:tcPr>
          <w:p w14:paraId="528FA4BB" w14:textId="77777777" w:rsidR="00EB6338" w:rsidRPr="000166F1" w:rsidRDefault="00EB6338" w:rsidP="00312E88">
            <w:pPr>
              <w:jc w:val="right"/>
              <w:rPr>
                <w:rFonts w:cs="Arial"/>
                <w:sz w:val="16"/>
                <w:szCs w:val="16"/>
              </w:rPr>
            </w:pPr>
            <w:r w:rsidRPr="000166F1">
              <w:rPr>
                <w:rFonts w:cs="Arial"/>
                <w:sz w:val="16"/>
                <w:szCs w:val="16"/>
              </w:rPr>
              <w:t>0</w:t>
            </w:r>
          </w:p>
        </w:tc>
        <w:tc>
          <w:tcPr>
            <w:tcW w:w="0" w:type="auto"/>
            <w:tcBorders>
              <w:top w:val="nil"/>
              <w:left w:val="nil"/>
              <w:bottom w:val="nil"/>
              <w:right w:val="nil"/>
            </w:tcBorders>
            <w:shd w:val="clear" w:color="auto" w:fill="auto"/>
            <w:noWrap/>
            <w:vAlign w:val="bottom"/>
            <w:hideMark/>
          </w:tcPr>
          <w:p w14:paraId="6BAF69BB" w14:textId="77777777" w:rsidR="00EB6338" w:rsidRPr="000166F1" w:rsidRDefault="00EB6338" w:rsidP="00312E88">
            <w:pPr>
              <w:jc w:val="right"/>
              <w:rPr>
                <w:rFonts w:cs="Arial"/>
                <w:sz w:val="16"/>
                <w:szCs w:val="16"/>
              </w:rPr>
            </w:pPr>
            <w:r w:rsidRPr="000166F1">
              <w:rPr>
                <w:rFonts w:cs="Arial"/>
                <w:sz w:val="16"/>
                <w:szCs w:val="16"/>
              </w:rPr>
              <w:t>0</w:t>
            </w:r>
          </w:p>
        </w:tc>
        <w:tc>
          <w:tcPr>
            <w:tcW w:w="0" w:type="auto"/>
            <w:tcBorders>
              <w:top w:val="nil"/>
              <w:left w:val="dotted" w:sz="4" w:space="0" w:color="auto"/>
              <w:bottom w:val="nil"/>
              <w:right w:val="single" w:sz="4" w:space="0" w:color="auto"/>
            </w:tcBorders>
            <w:shd w:val="clear" w:color="auto" w:fill="auto"/>
            <w:noWrap/>
            <w:vAlign w:val="bottom"/>
            <w:hideMark/>
          </w:tcPr>
          <w:p w14:paraId="437815EE" w14:textId="77777777" w:rsidR="00EB6338" w:rsidRPr="000166F1" w:rsidRDefault="00EB6338" w:rsidP="00312E88">
            <w:pPr>
              <w:jc w:val="right"/>
              <w:rPr>
                <w:rFonts w:cs="Arial"/>
                <w:sz w:val="16"/>
                <w:szCs w:val="16"/>
              </w:rPr>
            </w:pPr>
            <w:r w:rsidRPr="000166F1">
              <w:rPr>
                <w:rFonts w:cs="Arial"/>
                <w:sz w:val="16"/>
                <w:szCs w:val="16"/>
              </w:rPr>
              <w:t>-1,789</w:t>
            </w:r>
          </w:p>
        </w:tc>
        <w:tc>
          <w:tcPr>
            <w:tcW w:w="0" w:type="auto"/>
            <w:tcBorders>
              <w:top w:val="nil"/>
              <w:left w:val="dotted" w:sz="4" w:space="0" w:color="auto"/>
              <w:bottom w:val="nil"/>
              <w:right w:val="single" w:sz="4" w:space="0" w:color="auto"/>
            </w:tcBorders>
            <w:shd w:val="clear" w:color="auto" w:fill="auto"/>
            <w:noWrap/>
            <w:vAlign w:val="bottom"/>
            <w:hideMark/>
          </w:tcPr>
          <w:p w14:paraId="70EE33FC" w14:textId="77777777" w:rsidR="00EB6338" w:rsidRPr="000166F1" w:rsidRDefault="00EB6338" w:rsidP="00312E88">
            <w:pPr>
              <w:jc w:val="right"/>
              <w:rPr>
                <w:rFonts w:cs="Arial"/>
                <w:sz w:val="16"/>
                <w:szCs w:val="16"/>
              </w:rPr>
            </w:pPr>
            <w:r w:rsidRPr="000166F1">
              <w:rPr>
                <w:rFonts w:cs="Arial"/>
                <w:sz w:val="16"/>
                <w:szCs w:val="16"/>
              </w:rPr>
              <w:t>0</w:t>
            </w:r>
          </w:p>
        </w:tc>
      </w:tr>
      <w:tr w:rsidR="00EB6338" w:rsidRPr="000166F1" w14:paraId="04599933" w14:textId="77777777" w:rsidTr="00EB6338">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15B5C20E" w14:textId="77777777" w:rsidR="00EB6338" w:rsidRPr="000166F1" w:rsidRDefault="00EB6338" w:rsidP="00312E88">
            <w:pPr>
              <w:rPr>
                <w:rFonts w:cs="Arial"/>
                <w:sz w:val="16"/>
                <w:szCs w:val="16"/>
              </w:rPr>
            </w:pPr>
            <w:r w:rsidRPr="000166F1">
              <w:rPr>
                <w:rFonts w:cs="Arial"/>
                <w:sz w:val="16"/>
                <w:szCs w:val="16"/>
              </w:rPr>
              <w:t>Lower cost of new entrants</w:t>
            </w:r>
          </w:p>
        </w:tc>
        <w:tc>
          <w:tcPr>
            <w:tcW w:w="0" w:type="auto"/>
            <w:tcBorders>
              <w:top w:val="nil"/>
              <w:left w:val="nil"/>
              <w:bottom w:val="nil"/>
              <w:right w:val="nil"/>
            </w:tcBorders>
            <w:shd w:val="clear" w:color="000000" w:fill="auto"/>
            <w:noWrap/>
            <w:vAlign w:val="bottom"/>
            <w:hideMark/>
          </w:tcPr>
          <w:p w14:paraId="78E245A9" w14:textId="77777777" w:rsidR="00EB6338" w:rsidRPr="000166F1" w:rsidRDefault="00EB6338" w:rsidP="00312E88">
            <w:pPr>
              <w:jc w:val="right"/>
              <w:rPr>
                <w:rFonts w:cs="Arial"/>
                <w:sz w:val="16"/>
                <w:szCs w:val="16"/>
              </w:rPr>
            </w:pPr>
            <w:r w:rsidRPr="000166F1">
              <w:rPr>
                <w:rFonts w:cs="Arial"/>
                <w:sz w:val="16"/>
                <w:szCs w:val="16"/>
              </w:rPr>
              <w:t>-113</w:t>
            </w:r>
          </w:p>
        </w:tc>
        <w:tc>
          <w:tcPr>
            <w:tcW w:w="0" w:type="auto"/>
            <w:tcBorders>
              <w:top w:val="nil"/>
              <w:left w:val="nil"/>
              <w:bottom w:val="nil"/>
              <w:right w:val="nil"/>
            </w:tcBorders>
            <w:shd w:val="clear" w:color="000000" w:fill="auto"/>
            <w:noWrap/>
            <w:vAlign w:val="bottom"/>
            <w:hideMark/>
          </w:tcPr>
          <w:p w14:paraId="1B97558A" w14:textId="77777777" w:rsidR="00EB6338" w:rsidRPr="000166F1" w:rsidRDefault="00EB6338" w:rsidP="00312E88">
            <w:pPr>
              <w:jc w:val="right"/>
              <w:rPr>
                <w:rFonts w:cs="Arial"/>
                <w:sz w:val="16"/>
                <w:szCs w:val="16"/>
              </w:rPr>
            </w:pPr>
            <w:r w:rsidRPr="000166F1">
              <w:rPr>
                <w:rFonts w:cs="Arial"/>
                <w:sz w:val="16"/>
                <w:szCs w:val="16"/>
              </w:rPr>
              <w:t>-355</w:t>
            </w:r>
          </w:p>
        </w:tc>
        <w:tc>
          <w:tcPr>
            <w:tcW w:w="0" w:type="auto"/>
            <w:tcBorders>
              <w:top w:val="nil"/>
              <w:left w:val="nil"/>
              <w:bottom w:val="nil"/>
              <w:right w:val="nil"/>
            </w:tcBorders>
            <w:shd w:val="clear" w:color="000000" w:fill="auto"/>
            <w:noWrap/>
            <w:vAlign w:val="bottom"/>
            <w:hideMark/>
          </w:tcPr>
          <w:p w14:paraId="17B94D67" w14:textId="77777777" w:rsidR="00EB6338" w:rsidRPr="000166F1" w:rsidRDefault="00EB6338" w:rsidP="00312E88">
            <w:pPr>
              <w:jc w:val="right"/>
              <w:rPr>
                <w:rFonts w:cs="Arial"/>
                <w:sz w:val="16"/>
                <w:szCs w:val="16"/>
              </w:rPr>
            </w:pPr>
            <w:r w:rsidRPr="000166F1">
              <w:rPr>
                <w:rFonts w:cs="Arial"/>
                <w:sz w:val="16"/>
                <w:szCs w:val="16"/>
              </w:rPr>
              <w:t>-585</w:t>
            </w:r>
          </w:p>
        </w:tc>
        <w:tc>
          <w:tcPr>
            <w:tcW w:w="0" w:type="auto"/>
            <w:tcBorders>
              <w:top w:val="nil"/>
              <w:left w:val="nil"/>
              <w:bottom w:val="nil"/>
              <w:right w:val="nil"/>
            </w:tcBorders>
            <w:shd w:val="clear" w:color="000000" w:fill="auto"/>
            <w:noWrap/>
            <w:vAlign w:val="bottom"/>
            <w:hideMark/>
          </w:tcPr>
          <w:p w14:paraId="3ADB19B9" w14:textId="77777777" w:rsidR="00EB6338" w:rsidRPr="000166F1" w:rsidRDefault="00EB6338" w:rsidP="00312E88">
            <w:pPr>
              <w:jc w:val="right"/>
              <w:rPr>
                <w:rFonts w:cs="Arial"/>
                <w:sz w:val="16"/>
                <w:szCs w:val="16"/>
              </w:rPr>
            </w:pPr>
            <w:r w:rsidRPr="000166F1">
              <w:rPr>
                <w:rFonts w:cs="Arial"/>
                <w:sz w:val="16"/>
                <w:szCs w:val="16"/>
              </w:rPr>
              <w:t>-794</w:t>
            </w:r>
          </w:p>
        </w:tc>
        <w:tc>
          <w:tcPr>
            <w:tcW w:w="0" w:type="auto"/>
            <w:tcBorders>
              <w:top w:val="nil"/>
              <w:left w:val="dotted" w:sz="4" w:space="0" w:color="auto"/>
              <w:bottom w:val="nil"/>
              <w:right w:val="single" w:sz="4" w:space="0" w:color="auto"/>
            </w:tcBorders>
            <w:shd w:val="clear" w:color="000000" w:fill="auto"/>
            <w:noWrap/>
            <w:vAlign w:val="bottom"/>
            <w:hideMark/>
          </w:tcPr>
          <w:p w14:paraId="0276959E" w14:textId="77777777" w:rsidR="00EB6338" w:rsidRPr="000166F1" w:rsidRDefault="00EB6338" w:rsidP="00312E88">
            <w:pPr>
              <w:jc w:val="right"/>
              <w:rPr>
                <w:rFonts w:cs="Arial"/>
                <w:sz w:val="16"/>
                <w:szCs w:val="16"/>
              </w:rPr>
            </w:pPr>
            <w:r w:rsidRPr="000166F1">
              <w:rPr>
                <w:rFonts w:cs="Arial"/>
                <w:sz w:val="16"/>
                <w:szCs w:val="16"/>
              </w:rPr>
              <w:t>-1,929</w:t>
            </w:r>
          </w:p>
        </w:tc>
        <w:tc>
          <w:tcPr>
            <w:tcW w:w="0" w:type="auto"/>
            <w:tcBorders>
              <w:top w:val="nil"/>
              <w:left w:val="dotted" w:sz="4" w:space="0" w:color="auto"/>
              <w:bottom w:val="nil"/>
              <w:right w:val="single" w:sz="4" w:space="0" w:color="auto"/>
            </w:tcBorders>
            <w:shd w:val="clear" w:color="000000" w:fill="auto"/>
            <w:noWrap/>
            <w:vAlign w:val="bottom"/>
            <w:hideMark/>
          </w:tcPr>
          <w:p w14:paraId="1A5685D9" w14:textId="77777777" w:rsidR="00EB6338" w:rsidRPr="000166F1" w:rsidRDefault="00EB6338" w:rsidP="00312E88">
            <w:pPr>
              <w:jc w:val="right"/>
              <w:rPr>
                <w:rFonts w:cs="Arial"/>
                <w:sz w:val="16"/>
                <w:szCs w:val="16"/>
              </w:rPr>
            </w:pPr>
            <w:r w:rsidRPr="000166F1">
              <w:rPr>
                <w:rFonts w:cs="Arial"/>
                <w:sz w:val="16"/>
                <w:szCs w:val="16"/>
              </w:rPr>
              <w:t>-1,845</w:t>
            </w:r>
          </w:p>
        </w:tc>
      </w:tr>
      <w:tr w:rsidR="00EB6338" w:rsidRPr="000166F1" w14:paraId="346673A4" w14:textId="77777777" w:rsidTr="00EB6338">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7C56E8F4" w14:textId="77777777" w:rsidR="00EB6338" w:rsidRPr="000166F1" w:rsidRDefault="00EB6338" w:rsidP="00312E88">
            <w:pPr>
              <w:rPr>
                <w:rFonts w:cs="Arial"/>
                <w:sz w:val="16"/>
                <w:szCs w:val="16"/>
              </w:rPr>
            </w:pPr>
            <w:r w:rsidRPr="000166F1">
              <w:rPr>
                <w:rFonts w:cs="Arial"/>
                <w:sz w:val="16"/>
                <w:szCs w:val="16"/>
              </w:rPr>
              <w:t>Other</w:t>
            </w:r>
          </w:p>
        </w:tc>
        <w:tc>
          <w:tcPr>
            <w:tcW w:w="0" w:type="auto"/>
            <w:tcBorders>
              <w:top w:val="nil"/>
              <w:left w:val="nil"/>
              <w:bottom w:val="nil"/>
              <w:right w:val="nil"/>
            </w:tcBorders>
            <w:shd w:val="clear" w:color="000000" w:fill="auto"/>
            <w:noWrap/>
            <w:vAlign w:val="bottom"/>
            <w:hideMark/>
          </w:tcPr>
          <w:p w14:paraId="2D33D805" w14:textId="77777777" w:rsidR="00EB6338" w:rsidRPr="000166F1" w:rsidRDefault="00EB6338" w:rsidP="00312E88">
            <w:pPr>
              <w:jc w:val="right"/>
              <w:rPr>
                <w:rFonts w:cs="Arial"/>
                <w:sz w:val="16"/>
                <w:szCs w:val="16"/>
              </w:rPr>
            </w:pPr>
            <w:r>
              <w:rPr>
                <w:rFonts w:cs="Arial"/>
                <w:sz w:val="16"/>
                <w:szCs w:val="16"/>
              </w:rPr>
              <w:t>-60</w:t>
            </w:r>
          </w:p>
        </w:tc>
        <w:tc>
          <w:tcPr>
            <w:tcW w:w="0" w:type="auto"/>
            <w:tcBorders>
              <w:top w:val="nil"/>
              <w:left w:val="nil"/>
              <w:bottom w:val="nil"/>
              <w:right w:val="nil"/>
            </w:tcBorders>
            <w:shd w:val="clear" w:color="000000" w:fill="auto"/>
            <w:noWrap/>
            <w:vAlign w:val="bottom"/>
            <w:hideMark/>
          </w:tcPr>
          <w:p w14:paraId="38F30990" w14:textId="77777777" w:rsidR="00EB6338" w:rsidRPr="000166F1" w:rsidRDefault="00EB6338" w:rsidP="00312E88">
            <w:pPr>
              <w:jc w:val="right"/>
              <w:rPr>
                <w:rFonts w:cs="Arial"/>
                <w:sz w:val="16"/>
                <w:szCs w:val="16"/>
              </w:rPr>
            </w:pPr>
            <w:r>
              <w:rPr>
                <w:rFonts w:cs="Arial"/>
                <w:sz w:val="16"/>
                <w:szCs w:val="16"/>
              </w:rPr>
              <w:t>-98</w:t>
            </w:r>
          </w:p>
        </w:tc>
        <w:tc>
          <w:tcPr>
            <w:tcW w:w="0" w:type="auto"/>
            <w:tcBorders>
              <w:top w:val="nil"/>
              <w:left w:val="nil"/>
              <w:bottom w:val="nil"/>
              <w:right w:val="nil"/>
            </w:tcBorders>
            <w:shd w:val="clear" w:color="000000" w:fill="auto"/>
            <w:noWrap/>
            <w:vAlign w:val="bottom"/>
            <w:hideMark/>
          </w:tcPr>
          <w:p w14:paraId="5EC2B9AB" w14:textId="77777777" w:rsidR="00EB6338" w:rsidRPr="000166F1" w:rsidRDefault="00EB6338" w:rsidP="00312E88">
            <w:pPr>
              <w:jc w:val="right"/>
              <w:rPr>
                <w:rFonts w:cs="Arial"/>
                <w:sz w:val="16"/>
                <w:szCs w:val="16"/>
              </w:rPr>
            </w:pPr>
            <w:r>
              <w:rPr>
                <w:rFonts w:cs="Arial"/>
                <w:sz w:val="16"/>
                <w:szCs w:val="16"/>
              </w:rPr>
              <w:t>-177</w:t>
            </w:r>
          </w:p>
        </w:tc>
        <w:tc>
          <w:tcPr>
            <w:tcW w:w="0" w:type="auto"/>
            <w:tcBorders>
              <w:top w:val="nil"/>
              <w:left w:val="nil"/>
              <w:bottom w:val="nil"/>
              <w:right w:val="nil"/>
            </w:tcBorders>
            <w:shd w:val="clear" w:color="000000" w:fill="auto"/>
            <w:noWrap/>
            <w:vAlign w:val="bottom"/>
            <w:hideMark/>
          </w:tcPr>
          <w:p w14:paraId="6F59C596" w14:textId="77777777" w:rsidR="00EB6338" w:rsidRPr="000166F1" w:rsidRDefault="00EB6338" w:rsidP="00312E88">
            <w:pPr>
              <w:jc w:val="right"/>
              <w:rPr>
                <w:rFonts w:cs="Arial"/>
                <w:sz w:val="16"/>
                <w:szCs w:val="16"/>
              </w:rPr>
            </w:pPr>
            <w:r>
              <w:rPr>
                <w:rFonts w:cs="Arial"/>
                <w:sz w:val="16"/>
                <w:szCs w:val="16"/>
              </w:rPr>
              <w:t>-268</w:t>
            </w:r>
          </w:p>
        </w:tc>
        <w:tc>
          <w:tcPr>
            <w:tcW w:w="0" w:type="auto"/>
            <w:tcBorders>
              <w:top w:val="nil"/>
              <w:left w:val="dotted" w:sz="4" w:space="0" w:color="auto"/>
              <w:bottom w:val="nil"/>
              <w:right w:val="single" w:sz="4" w:space="0" w:color="auto"/>
            </w:tcBorders>
            <w:shd w:val="clear" w:color="000000" w:fill="auto"/>
            <w:noWrap/>
            <w:vAlign w:val="bottom"/>
            <w:hideMark/>
          </w:tcPr>
          <w:p w14:paraId="61FDFDFB" w14:textId="77777777" w:rsidR="00EB6338" w:rsidRPr="000166F1" w:rsidRDefault="00EB6338" w:rsidP="00312E88">
            <w:pPr>
              <w:jc w:val="right"/>
              <w:rPr>
                <w:rFonts w:cs="Arial"/>
                <w:sz w:val="16"/>
                <w:szCs w:val="16"/>
              </w:rPr>
            </w:pPr>
            <w:r>
              <w:rPr>
                <w:rFonts w:cs="Arial"/>
                <w:sz w:val="16"/>
                <w:szCs w:val="16"/>
              </w:rPr>
              <w:t>-1,918</w:t>
            </w:r>
          </w:p>
        </w:tc>
        <w:tc>
          <w:tcPr>
            <w:tcW w:w="0" w:type="auto"/>
            <w:tcBorders>
              <w:top w:val="nil"/>
              <w:left w:val="dotted" w:sz="4" w:space="0" w:color="auto"/>
              <w:bottom w:val="nil"/>
              <w:right w:val="single" w:sz="4" w:space="0" w:color="auto"/>
            </w:tcBorders>
            <w:shd w:val="clear" w:color="000000" w:fill="auto"/>
            <w:noWrap/>
            <w:vAlign w:val="bottom"/>
            <w:hideMark/>
          </w:tcPr>
          <w:p w14:paraId="68057500" w14:textId="77777777" w:rsidR="00EB6338" w:rsidRPr="000166F1" w:rsidRDefault="00EB6338" w:rsidP="00312E88">
            <w:pPr>
              <w:jc w:val="right"/>
              <w:rPr>
                <w:rFonts w:cs="Arial"/>
                <w:sz w:val="16"/>
                <w:szCs w:val="16"/>
              </w:rPr>
            </w:pPr>
            <w:r>
              <w:rPr>
                <w:rFonts w:cs="Arial"/>
                <w:sz w:val="16"/>
                <w:szCs w:val="16"/>
              </w:rPr>
              <w:t>-603</w:t>
            </w:r>
          </w:p>
        </w:tc>
      </w:tr>
      <w:tr w:rsidR="00EB6338" w:rsidRPr="000166F1" w14:paraId="5CEB6CB8" w14:textId="77777777" w:rsidTr="00EB6338">
        <w:trPr>
          <w:trHeight w:hRule="exact" w:val="28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F30F8" w14:textId="77777777" w:rsidR="00EB6338" w:rsidRPr="000166F1" w:rsidRDefault="00EB6338" w:rsidP="00312E88">
            <w:pPr>
              <w:rPr>
                <w:rFonts w:cs="Arial"/>
                <w:b/>
                <w:bCs/>
                <w:sz w:val="16"/>
                <w:szCs w:val="16"/>
              </w:rPr>
            </w:pPr>
            <w:r w:rsidRPr="000166F1">
              <w:rPr>
                <w:rFonts w:cs="Arial"/>
                <w:b/>
                <w:bCs/>
                <w:sz w:val="16"/>
                <w:szCs w:val="16"/>
              </w:rPr>
              <w:t xml:space="preserve">Total </w:t>
            </w:r>
            <w:r>
              <w:rPr>
                <w:rFonts w:cs="Arial"/>
                <w:b/>
                <w:bCs/>
                <w:sz w:val="16"/>
                <w:szCs w:val="16"/>
              </w:rPr>
              <w:t>of cost decrease scenarios</w:t>
            </w:r>
          </w:p>
        </w:tc>
        <w:tc>
          <w:tcPr>
            <w:tcW w:w="0" w:type="auto"/>
            <w:tcBorders>
              <w:top w:val="single" w:sz="4" w:space="0" w:color="auto"/>
              <w:left w:val="nil"/>
              <w:bottom w:val="single" w:sz="4" w:space="0" w:color="auto"/>
              <w:right w:val="nil"/>
            </w:tcBorders>
            <w:shd w:val="clear" w:color="auto" w:fill="auto"/>
            <w:noWrap/>
            <w:vAlign w:val="bottom"/>
            <w:hideMark/>
          </w:tcPr>
          <w:p w14:paraId="19B6847F" w14:textId="77777777" w:rsidR="00EB6338" w:rsidRPr="000166F1" w:rsidRDefault="00EB6338" w:rsidP="00312E88">
            <w:pPr>
              <w:jc w:val="right"/>
              <w:rPr>
                <w:rFonts w:cs="Arial"/>
                <w:b/>
                <w:bCs/>
                <w:sz w:val="16"/>
                <w:szCs w:val="16"/>
              </w:rPr>
            </w:pPr>
            <w:r>
              <w:rPr>
                <w:rFonts w:cs="Arial"/>
                <w:b/>
                <w:bCs/>
                <w:sz w:val="16"/>
                <w:szCs w:val="16"/>
              </w:rPr>
              <w:t>-1,044</w:t>
            </w:r>
          </w:p>
        </w:tc>
        <w:tc>
          <w:tcPr>
            <w:tcW w:w="0" w:type="auto"/>
            <w:tcBorders>
              <w:top w:val="single" w:sz="4" w:space="0" w:color="auto"/>
              <w:left w:val="nil"/>
              <w:bottom w:val="single" w:sz="4" w:space="0" w:color="auto"/>
              <w:right w:val="nil"/>
            </w:tcBorders>
            <w:shd w:val="clear" w:color="auto" w:fill="auto"/>
            <w:noWrap/>
            <w:vAlign w:val="bottom"/>
            <w:hideMark/>
          </w:tcPr>
          <w:p w14:paraId="0A05ACEB" w14:textId="77777777" w:rsidR="00EB6338" w:rsidRPr="000166F1" w:rsidRDefault="00EB6338" w:rsidP="00312E88">
            <w:pPr>
              <w:jc w:val="right"/>
              <w:rPr>
                <w:rFonts w:cs="Arial"/>
                <w:b/>
                <w:bCs/>
                <w:sz w:val="16"/>
                <w:szCs w:val="16"/>
              </w:rPr>
            </w:pPr>
            <w:r>
              <w:rPr>
                <w:rFonts w:cs="Arial"/>
                <w:b/>
                <w:bCs/>
                <w:sz w:val="16"/>
                <w:szCs w:val="16"/>
              </w:rPr>
              <w:t>-1,670</w:t>
            </w:r>
          </w:p>
        </w:tc>
        <w:tc>
          <w:tcPr>
            <w:tcW w:w="0" w:type="auto"/>
            <w:tcBorders>
              <w:top w:val="single" w:sz="4" w:space="0" w:color="auto"/>
              <w:left w:val="nil"/>
              <w:bottom w:val="single" w:sz="4" w:space="0" w:color="auto"/>
              <w:right w:val="nil"/>
            </w:tcBorders>
            <w:shd w:val="clear" w:color="auto" w:fill="auto"/>
            <w:noWrap/>
            <w:vAlign w:val="bottom"/>
            <w:hideMark/>
          </w:tcPr>
          <w:p w14:paraId="16C7705E" w14:textId="77777777" w:rsidR="00EB6338" w:rsidRPr="000166F1" w:rsidRDefault="00EB6338" w:rsidP="00312E88">
            <w:pPr>
              <w:jc w:val="right"/>
              <w:rPr>
                <w:rFonts w:cs="Arial"/>
                <w:b/>
                <w:bCs/>
                <w:sz w:val="16"/>
                <w:szCs w:val="16"/>
              </w:rPr>
            </w:pPr>
            <w:r>
              <w:rPr>
                <w:rFonts w:cs="Arial"/>
                <w:b/>
                <w:bCs/>
                <w:sz w:val="16"/>
                <w:szCs w:val="16"/>
              </w:rPr>
              <w:t>-2,459</w:t>
            </w:r>
          </w:p>
        </w:tc>
        <w:tc>
          <w:tcPr>
            <w:tcW w:w="0" w:type="auto"/>
            <w:tcBorders>
              <w:top w:val="single" w:sz="4" w:space="0" w:color="auto"/>
              <w:left w:val="nil"/>
              <w:bottom w:val="single" w:sz="4" w:space="0" w:color="auto"/>
              <w:right w:val="nil"/>
            </w:tcBorders>
            <w:shd w:val="clear" w:color="auto" w:fill="auto"/>
            <w:noWrap/>
            <w:vAlign w:val="bottom"/>
            <w:hideMark/>
          </w:tcPr>
          <w:p w14:paraId="7C2E7413" w14:textId="77777777" w:rsidR="00EB6338" w:rsidRPr="000166F1" w:rsidRDefault="00EB6338" w:rsidP="00312E88">
            <w:pPr>
              <w:jc w:val="right"/>
              <w:rPr>
                <w:rFonts w:cs="Arial"/>
                <w:b/>
                <w:bCs/>
                <w:sz w:val="16"/>
                <w:szCs w:val="16"/>
              </w:rPr>
            </w:pPr>
            <w:r>
              <w:rPr>
                <w:rFonts w:cs="Arial"/>
                <w:b/>
                <w:bCs/>
                <w:sz w:val="16"/>
                <w:szCs w:val="16"/>
              </w:rPr>
              <w:t>-3,077</w:t>
            </w: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bottom"/>
            <w:hideMark/>
          </w:tcPr>
          <w:p w14:paraId="1D280A5F" w14:textId="77777777" w:rsidR="00EB6338" w:rsidRPr="000166F1" w:rsidRDefault="00EB6338" w:rsidP="00312E88">
            <w:pPr>
              <w:jc w:val="right"/>
              <w:rPr>
                <w:rFonts w:cs="Arial"/>
                <w:b/>
                <w:bCs/>
                <w:sz w:val="16"/>
                <w:szCs w:val="16"/>
              </w:rPr>
            </w:pPr>
            <w:r>
              <w:rPr>
                <w:rFonts w:cs="Arial"/>
                <w:b/>
                <w:bCs/>
                <w:sz w:val="16"/>
                <w:szCs w:val="16"/>
              </w:rPr>
              <w:t>-9,354</w:t>
            </w:r>
          </w:p>
        </w:tc>
        <w:tc>
          <w:tcPr>
            <w:tcW w:w="0" w:type="auto"/>
            <w:tcBorders>
              <w:top w:val="single" w:sz="4" w:space="0" w:color="auto"/>
              <w:left w:val="dotted" w:sz="4" w:space="0" w:color="auto"/>
              <w:bottom w:val="single" w:sz="4" w:space="0" w:color="auto"/>
              <w:right w:val="single" w:sz="4" w:space="0" w:color="auto"/>
            </w:tcBorders>
            <w:shd w:val="clear" w:color="auto" w:fill="auto"/>
            <w:noWrap/>
            <w:vAlign w:val="bottom"/>
            <w:hideMark/>
          </w:tcPr>
          <w:p w14:paraId="24228F97" w14:textId="77777777" w:rsidR="00EB6338" w:rsidRPr="000166F1" w:rsidRDefault="00EB6338" w:rsidP="00312E88">
            <w:pPr>
              <w:jc w:val="right"/>
              <w:rPr>
                <w:rFonts w:cs="Arial"/>
                <w:b/>
                <w:bCs/>
                <w:sz w:val="16"/>
                <w:szCs w:val="16"/>
              </w:rPr>
            </w:pPr>
            <w:r>
              <w:rPr>
                <w:rFonts w:cs="Arial"/>
                <w:b/>
                <w:bCs/>
                <w:sz w:val="16"/>
                <w:szCs w:val="16"/>
              </w:rPr>
              <w:t>-8,249</w:t>
            </w:r>
          </w:p>
        </w:tc>
      </w:tr>
      <w:tr w:rsidR="00EB6338" w:rsidRPr="000166F1" w14:paraId="76D345FF" w14:textId="77777777" w:rsidTr="00EB6338">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B6B904" w14:textId="77777777" w:rsidR="00EB6338" w:rsidRPr="000166F1" w:rsidRDefault="00EB6338" w:rsidP="00312E88">
            <w:pPr>
              <w:rPr>
                <w:rFonts w:cs="Arial"/>
                <w:b/>
                <w:bCs/>
                <w:sz w:val="16"/>
                <w:szCs w:val="16"/>
              </w:rPr>
            </w:pPr>
            <w:r w:rsidRPr="000166F1">
              <w:rPr>
                <w:rFonts w:cs="Arial"/>
                <w:b/>
                <w:bCs/>
                <w:sz w:val="16"/>
                <w:szCs w:val="16"/>
              </w:rPr>
              <w:t xml:space="preserve">Plausible </w:t>
            </w:r>
            <w:r>
              <w:rPr>
                <w:rFonts w:cs="Arial"/>
                <w:b/>
                <w:bCs/>
                <w:sz w:val="16"/>
                <w:szCs w:val="16"/>
              </w:rPr>
              <w:t>low case</w:t>
            </w:r>
            <w:r w:rsidRPr="000166F1">
              <w:rPr>
                <w:rFonts w:cs="Arial"/>
                <w:b/>
                <w:bCs/>
                <w:sz w:val="16"/>
                <w:szCs w:val="16"/>
              </w:rPr>
              <w:t xml:space="preserve"> (variance)</w:t>
            </w:r>
          </w:p>
        </w:tc>
        <w:tc>
          <w:tcPr>
            <w:tcW w:w="0" w:type="auto"/>
            <w:tcBorders>
              <w:top w:val="nil"/>
              <w:left w:val="nil"/>
              <w:bottom w:val="single" w:sz="4" w:space="0" w:color="auto"/>
              <w:right w:val="nil"/>
            </w:tcBorders>
            <w:shd w:val="clear" w:color="auto" w:fill="auto"/>
            <w:noWrap/>
            <w:vAlign w:val="bottom"/>
            <w:hideMark/>
          </w:tcPr>
          <w:p w14:paraId="52E4B70D" w14:textId="77777777" w:rsidR="00EB6338" w:rsidRPr="000166F1" w:rsidRDefault="00EB6338" w:rsidP="00312E88">
            <w:pPr>
              <w:jc w:val="right"/>
              <w:rPr>
                <w:rFonts w:cs="Arial"/>
                <w:b/>
                <w:bCs/>
                <w:sz w:val="16"/>
                <w:szCs w:val="16"/>
              </w:rPr>
            </w:pPr>
            <w:r>
              <w:rPr>
                <w:rFonts w:cs="Arial"/>
                <w:b/>
                <w:bCs/>
                <w:sz w:val="16"/>
                <w:szCs w:val="16"/>
              </w:rPr>
              <w:t>-917</w:t>
            </w:r>
          </w:p>
        </w:tc>
        <w:tc>
          <w:tcPr>
            <w:tcW w:w="0" w:type="auto"/>
            <w:tcBorders>
              <w:top w:val="nil"/>
              <w:left w:val="nil"/>
              <w:bottom w:val="single" w:sz="4" w:space="0" w:color="auto"/>
              <w:right w:val="nil"/>
            </w:tcBorders>
            <w:shd w:val="clear" w:color="auto" w:fill="auto"/>
            <w:noWrap/>
            <w:vAlign w:val="bottom"/>
            <w:hideMark/>
          </w:tcPr>
          <w:p w14:paraId="2B4F5D71" w14:textId="77777777" w:rsidR="00EB6338" w:rsidRPr="000166F1" w:rsidRDefault="00EB6338" w:rsidP="00312E88">
            <w:pPr>
              <w:jc w:val="right"/>
              <w:rPr>
                <w:rFonts w:cs="Arial"/>
                <w:b/>
                <w:bCs/>
                <w:sz w:val="16"/>
                <w:szCs w:val="16"/>
              </w:rPr>
            </w:pPr>
            <w:r>
              <w:rPr>
                <w:rFonts w:cs="Arial"/>
                <w:b/>
                <w:bCs/>
                <w:sz w:val="16"/>
                <w:szCs w:val="16"/>
              </w:rPr>
              <w:t>-1,364</w:t>
            </w:r>
          </w:p>
        </w:tc>
        <w:tc>
          <w:tcPr>
            <w:tcW w:w="0" w:type="auto"/>
            <w:tcBorders>
              <w:top w:val="nil"/>
              <w:left w:val="nil"/>
              <w:bottom w:val="single" w:sz="4" w:space="0" w:color="auto"/>
              <w:right w:val="nil"/>
            </w:tcBorders>
            <w:shd w:val="clear" w:color="auto" w:fill="auto"/>
            <w:noWrap/>
            <w:vAlign w:val="bottom"/>
            <w:hideMark/>
          </w:tcPr>
          <w:p w14:paraId="1EC08B39" w14:textId="77777777" w:rsidR="00EB6338" w:rsidRPr="000166F1" w:rsidRDefault="00EB6338" w:rsidP="00312E88">
            <w:pPr>
              <w:jc w:val="right"/>
              <w:rPr>
                <w:rFonts w:cs="Arial"/>
                <w:b/>
                <w:bCs/>
                <w:sz w:val="16"/>
                <w:szCs w:val="16"/>
              </w:rPr>
            </w:pPr>
            <w:r>
              <w:rPr>
                <w:rFonts w:cs="Arial"/>
                <w:b/>
                <w:bCs/>
                <w:sz w:val="16"/>
                <w:szCs w:val="16"/>
              </w:rPr>
              <w:t>-1,960</w:t>
            </w:r>
          </w:p>
        </w:tc>
        <w:tc>
          <w:tcPr>
            <w:tcW w:w="0" w:type="auto"/>
            <w:tcBorders>
              <w:top w:val="nil"/>
              <w:left w:val="nil"/>
              <w:bottom w:val="single" w:sz="4" w:space="0" w:color="auto"/>
              <w:right w:val="nil"/>
            </w:tcBorders>
            <w:shd w:val="clear" w:color="auto" w:fill="auto"/>
            <w:noWrap/>
            <w:vAlign w:val="bottom"/>
            <w:hideMark/>
          </w:tcPr>
          <w:p w14:paraId="5BA9D502" w14:textId="77777777" w:rsidR="00EB6338" w:rsidRPr="000166F1" w:rsidRDefault="00EB6338" w:rsidP="00312E88">
            <w:pPr>
              <w:jc w:val="right"/>
              <w:rPr>
                <w:rFonts w:cs="Arial"/>
                <w:b/>
                <w:bCs/>
                <w:sz w:val="16"/>
                <w:szCs w:val="16"/>
              </w:rPr>
            </w:pPr>
            <w:r>
              <w:rPr>
                <w:rFonts w:cs="Arial"/>
                <w:b/>
                <w:bCs/>
                <w:sz w:val="16"/>
                <w:szCs w:val="16"/>
              </w:rPr>
              <w:t>-2,403</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1D5D9C9F" w14:textId="77777777" w:rsidR="00EB6338" w:rsidRPr="000166F1" w:rsidRDefault="00EB6338" w:rsidP="00312E88">
            <w:pPr>
              <w:jc w:val="right"/>
              <w:rPr>
                <w:rFonts w:cs="Arial"/>
                <w:b/>
                <w:bCs/>
                <w:sz w:val="16"/>
                <w:szCs w:val="16"/>
              </w:rPr>
            </w:pPr>
            <w:r>
              <w:rPr>
                <w:rFonts w:cs="Arial"/>
                <w:b/>
                <w:bCs/>
                <w:sz w:val="16"/>
                <w:szCs w:val="16"/>
              </w:rPr>
              <w:t>-6,125</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2B4E5302" w14:textId="77777777" w:rsidR="00EB6338" w:rsidRPr="000166F1" w:rsidRDefault="00EB6338" w:rsidP="00312E88">
            <w:pPr>
              <w:jc w:val="right"/>
              <w:rPr>
                <w:rFonts w:cs="Arial"/>
                <w:b/>
                <w:bCs/>
                <w:sz w:val="16"/>
                <w:szCs w:val="16"/>
              </w:rPr>
            </w:pPr>
            <w:r>
              <w:rPr>
                <w:rFonts w:cs="Arial"/>
                <w:b/>
                <w:bCs/>
                <w:sz w:val="16"/>
                <w:szCs w:val="16"/>
              </w:rPr>
              <w:t>-6,645</w:t>
            </w:r>
          </w:p>
        </w:tc>
      </w:tr>
      <w:tr w:rsidR="00EB6338" w:rsidRPr="000166F1" w14:paraId="5737FB30" w14:textId="77777777" w:rsidTr="00EB6338">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313269" w14:textId="77777777" w:rsidR="00EB6338" w:rsidRPr="000166F1" w:rsidRDefault="00EB6338" w:rsidP="00312E88">
            <w:pPr>
              <w:rPr>
                <w:rFonts w:cs="Arial"/>
                <w:b/>
                <w:bCs/>
                <w:sz w:val="16"/>
                <w:szCs w:val="16"/>
              </w:rPr>
            </w:pPr>
            <w:r w:rsidRPr="000166F1">
              <w:rPr>
                <w:rFonts w:cs="Arial"/>
                <w:b/>
                <w:bCs/>
                <w:sz w:val="16"/>
                <w:szCs w:val="16"/>
              </w:rPr>
              <w:t xml:space="preserve">Plausible </w:t>
            </w:r>
            <w:r>
              <w:rPr>
                <w:rFonts w:cs="Arial"/>
                <w:b/>
                <w:bCs/>
                <w:sz w:val="16"/>
                <w:szCs w:val="16"/>
              </w:rPr>
              <w:t>high case</w:t>
            </w:r>
            <w:r w:rsidRPr="000166F1">
              <w:rPr>
                <w:rFonts w:cs="Arial"/>
                <w:b/>
                <w:bCs/>
                <w:sz w:val="16"/>
                <w:szCs w:val="16"/>
              </w:rPr>
              <w:t xml:space="preserve"> (total)</w:t>
            </w:r>
          </w:p>
        </w:tc>
        <w:tc>
          <w:tcPr>
            <w:tcW w:w="0" w:type="auto"/>
            <w:tcBorders>
              <w:top w:val="nil"/>
              <w:left w:val="nil"/>
              <w:bottom w:val="single" w:sz="4" w:space="0" w:color="auto"/>
              <w:right w:val="nil"/>
            </w:tcBorders>
            <w:shd w:val="clear" w:color="auto" w:fill="auto"/>
            <w:noWrap/>
            <w:vAlign w:val="bottom"/>
            <w:hideMark/>
          </w:tcPr>
          <w:p w14:paraId="5467B9D7" w14:textId="77777777" w:rsidR="00EB6338" w:rsidRPr="000166F1" w:rsidRDefault="00EB6338" w:rsidP="00312E88">
            <w:pPr>
              <w:jc w:val="right"/>
              <w:rPr>
                <w:rFonts w:cs="Arial"/>
                <w:b/>
                <w:bCs/>
                <w:sz w:val="16"/>
                <w:szCs w:val="16"/>
              </w:rPr>
            </w:pPr>
            <w:r>
              <w:rPr>
                <w:rFonts w:cs="Arial"/>
                <w:b/>
                <w:bCs/>
                <w:sz w:val="16"/>
                <w:szCs w:val="16"/>
              </w:rPr>
              <w:t>30,487</w:t>
            </w:r>
          </w:p>
        </w:tc>
        <w:tc>
          <w:tcPr>
            <w:tcW w:w="0" w:type="auto"/>
            <w:tcBorders>
              <w:top w:val="nil"/>
              <w:left w:val="nil"/>
              <w:bottom w:val="single" w:sz="4" w:space="0" w:color="auto"/>
              <w:right w:val="nil"/>
            </w:tcBorders>
            <w:shd w:val="clear" w:color="auto" w:fill="auto"/>
            <w:noWrap/>
            <w:vAlign w:val="bottom"/>
            <w:hideMark/>
          </w:tcPr>
          <w:p w14:paraId="2A5142D3" w14:textId="77777777" w:rsidR="00EB6338" w:rsidRPr="000166F1" w:rsidRDefault="00EB6338" w:rsidP="00312E88">
            <w:pPr>
              <w:jc w:val="right"/>
              <w:rPr>
                <w:rFonts w:cs="Arial"/>
                <w:b/>
                <w:bCs/>
                <w:sz w:val="16"/>
                <w:szCs w:val="16"/>
              </w:rPr>
            </w:pPr>
            <w:r>
              <w:rPr>
                <w:rFonts w:cs="Arial"/>
                <w:b/>
                <w:bCs/>
                <w:sz w:val="16"/>
                <w:szCs w:val="16"/>
              </w:rPr>
              <w:t>36,613</w:t>
            </w:r>
          </w:p>
        </w:tc>
        <w:tc>
          <w:tcPr>
            <w:tcW w:w="0" w:type="auto"/>
            <w:tcBorders>
              <w:top w:val="nil"/>
              <w:left w:val="nil"/>
              <w:bottom w:val="single" w:sz="4" w:space="0" w:color="auto"/>
              <w:right w:val="nil"/>
            </w:tcBorders>
            <w:shd w:val="clear" w:color="auto" w:fill="auto"/>
            <w:noWrap/>
            <w:vAlign w:val="bottom"/>
            <w:hideMark/>
          </w:tcPr>
          <w:p w14:paraId="0A7D6AB4" w14:textId="77777777" w:rsidR="00EB6338" w:rsidRPr="000166F1" w:rsidRDefault="00EB6338" w:rsidP="00312E88">
            <w:pPr>
              <w:jc w:val="right"/>
              <w:rPr>
                <w:rFonts w:cs="Arial"/>
                <w:b/>
                <w:bCs/>
                <w:sz w:val="16"/>
                <w:szCs w:val="16"/>
              </w:rPr>
            </w:pPr>
            <w:r>
              <w:rPr>
                <w:rFonts w:cs="Arial"/>
                <w:b/>
                <w:bCs/>
                <w:sz w:val="16"/>
                <w:szCs w:val="16"/>
              </w:rPr>
              <w:t>41,855</w:t>
            </w:r>
          </w:p>
        </w:tc>
        <w:tc>
          <w:tcPr>
            <w:tcW w:w="0" w:type="auto"/>
            <w:tcBorders>
              <w:top w:val="nil"/>
              <w:left w:val="nil"/>
              <w:bottom w:val="single" w:sz="4" w:space="0" w:color="auto"/>
              <w:right w:val="nil"/>
            </w:tcBorders>
            <w:shd w:val="clear" w:color="auto" w:fill="auto"/>
            <w:noWrap/>
            <w:vAlign w:val="bottom"/>
            <w:hideMark/>
          </w:tcPr>
          <w:p w14:paraId="08732AE6" w14:textId="77777777" w:rsidR="00EB6338" w:rsidRPr="000166F1" w:rsidRDefault="00EB6338" w:rsidP="00312E88">
            <w:pPr>
              <w:jc w:val="right"/>
              <w:rPr>
                <w:rFonts w:cs="Arial"/>
                <w:b/>
                <w:bCs/>
                <w:sz w:val="16"/>
                <w:szCs w:val="16"/>
              </w:rPr>
            </w:pPr>
            <w:r>
              <w:rPr>
                <w:rFonts w:cs="Arial"/>
                <w:b/>
                <w:bCs/>
                <w:sz w:val="16"/>
                <w:szCs w:val="16"/>
              </w:rPr>
              <w:t>47,843</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4541732D" w14:textId="77777777" w:rsidR="00EB6338" w:rsidRPr="000166F1" w:rsidRDefault="00EB6338" w:rsidP="00312E88">
            <w:pPr>
              <w:jc w:val="right"/>
              <w:rPr>
                <w:rFonts w:cs="Arial"/>
                <w:b/>
                <w:bCs/>
                <w:sz w:val="16"/>
                <w:szCs w:val="16"/>
              </w:rPr>
            </w:pPr>
            <w:r>
              <w:rPr>
                <w:rFonts w:cs="Arial"/>
                <w:b/>
                <w:bCs/>
                <w:sz w:val="16"/>
                <w:szCs w:val="16"/>
              </w:rPr>
              <w:t>74,156</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7AEC52F8" w14:textId="77777777" w:rsidR="00EB6338" w:rsidRPr="000166F1" w:rsidRDefault="00EB6338" w:rsidP="00312E88">
            <w:pPr>
              <w:jc w:val="right"/>
              <w:rPr>
                <w:rFonts w:cs="Arial"/>
                <w:b/>
                <w:bCs/>
                <w:sz w:val="16"/>
                <w:szCs w:val="16"/>
              </w:rPr>
            </w:pPr>
            <w:r>
              <w:rPr>
                <w:rFonts w:cs="Arial"/>
                <w:b/>
                <w:bCs/>
                <w:sz w:val="16"/>
                <w:szCs w:val="16"/>
              </w:rPr>
              <w:t>156,799</w:t>
            </w:r>
          </w:p>
        </w:tc>
      </w:tr>
      <w:tr w:rsidR="00EB6338" w:rsidRPr="000166F1" w14:paraId="21BDF8CC" w14:textId="77777777" w:rsidTr="00EB6338">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AC4D76" w14:textId="77777777" w:rsidR="00EB6338" w:rsidRPr="000166F1" w:rsidRDefault="00EB6338" w:rsidP="00312E88">
            <w:pPr>
              <w:rPr>
                <w:rFonts w:cs="Arial"/>
                <w:b/>
                <w:bCs/>
                <w:sz w:val="16"/>
                <w:szCs w:val="16"/>
              </w:rPr>
            </w:pPr>
            <w:r w:rsidRPr="000166F1">
              <w:rPr>
                <w:rFonts w:cs="Arial"/>
                <w:b/>
                <w:bCs/>
                <w:sz w:val="16"/>
                <w:szCs w:val="16"/>
              </w:rPr>
              <w:t xml:space="preserve">Plausible </w:t>
            </w:r>
            <w:r>
              <w:rPr>
                <w:rFonts w:cs="Arial"/>
                <w:b/>
                <w:bCs/>
                <w:sz w:val="16"/>
                <w:szCs w:val="16"/>
              </w:rPr>
              <w:t>low case</w:t>
            </w:r>
            <w:r w:rsidRPr="000166F1">
              <w:rPr>
                <w:rFonts w:cs="Arial"/>
                <w:b/>
                <w:bCs/>
                <w:sz w:val="16"/>
                <w:szCs w:val="16"/>
              </w:rPr>
              <w:t xml:space="preserve"> (total)</w:t>
            </w:r>
          </w:p>
        </w:tc>
        <w:tc>
          <w:tcPr>
            <w:tcW w:w="0" w:type="auto"/>
            <w:tcBorders>
              <w:top w:val="nil"/>
              <w:left w:val="nil"/>
              <w:bottom w:val="single" w:sz="4" w:space="0" w:color="auto"/>
              <w:right w:val="nil"/>
            </w:tcBorders>
            <w:shd w:val="clear" w:color="auto" w:fill="auto"/>
            <w:noWrap/>
            <w:vAlign w:val="bottom"/>
            <w:hideMark/>
          </w:tcPr>
          <w:p w14:paraId="0224665D" w14:textId="77777777" w:rsidR="00EB6338" w:rsidRPr="000166F1" w:rsidRDefault="00EB6338" w:rsidP="00312E88">
            <w:pPr>
              <w:jc w:val="right"/>
              <w:rPr>
                <w:rFonts w:cs="Arial"/>
                <w:b/>
                <w:bCs/>
                <w:sz w:val="16"/>
                <w:szCs w:val="16"/>
              </w:rPr>
            </w:pPr>
            <w:r>
              <w:rPr>
                <w:rFonts w:cs="Arial"/>
                <w:b/>
                <w:bCs/>
                <w:sz w:val="16"/>
                <w:szCs w:val="16"/>
              </w:rPr>
              <w:t>28,306</w:t>
            </w:r>
          </w:p>
        </w:tc>
        <w:tc>
          <w:tcPr>
            <w:tcW w:w="0" w:type="auto"/>
            <w:tcBorders>
              <w:top w:val="nil"/>
              <w:left w:val="nil"/>
              <w:bottom w:val="single" w:sz="4" w:space="0" w:color="auto"/>
              <w:right w:val="nil"/>
            </w:tcBorders>
            <w:shd w:val="clear" w:color="auto" w:fill="auto"/>
            <w:noWrap/>
            <w:vAlign w:val="bottom"/>
            <w:hideMark/>
          </w:tcPr>
          <w:p w14:paraId="49779DA1" w14:textId="77777777" w:rsidR="00EB6338" w:rsidRPr="000166F1" w:rsidRDefault="00EB6338" w:rsidP="00312E88">
            <w:pPr>
              <w:jc w:val="right"/>
              <w:rPr>
                <w:rFonts w:cs="Arial"/>
                <w:b/>
                <w:bCs/>
                <w:sz w:val="16"/>
                <w:szCs w:val="16"/>
              </w:rPr>
            </w:pPr>
            <w:r>
              <w:rPr>
                <w:rFonts w:cs="Arial"/>
                <w:b/>
                <w:bCs/>
                <w:sz w:val="16"/>
                <w:szCs w:val="16"/>
              </w:rPr>
              <w:t>32,523</w:t>
            </w:r>
          </w:p>
        </w:tc>
        <w:tc>
          <w:tcPr>
            <w:tcW w:w="0" w:type="auto"/>
            <w:tcBorders>
              <w:top w:val="nil"/>
              <w:left w:val="nil"/>
              <w:bottom w:val="single" w:sz="4" w:space="0" w:color="auto"/>
              <w:right w:val="nil"/>
            </w:tcBorders>
            <w:shd w:val="clear" w:color="auto" w:fill="auto"/>
            <w:noWrap/>
            <w:vAlign w:val="bottom"/>
            <w:hideMark/>
          </w:tcPr>
          <w:p w14:paraId="0CE70AE7" w14:textId="77777777" w:rsidR="00EB6338" w:rsidRPr="000166F1" w:rsidRDefault="00EB6338" w:rsidP="00312E88">
            <w:pPr>
              <w:jc w:val="right"/>
              <w:rPr>
                <w:rFonts w:cs="Arial"/>
                <w:b/>
                <w:bCs/>
                <w:sz w:val="16"/>
                <w:szCs w:val="16"/>
              </w:rPr>
            </w:pPr>
            <w:r>
              <w:rPr>
                <w:rFonts w:cs="Arial"/>
                <w:b/>
                <w:bCs/>
                <w:sz w:val="16"/>
                <w:szCs w:val="16"/>
              </w:rPr>
              <w:t>36,012</w:t>
            </w:r>
          </w:p>
        </w:tc>
        <w:tc>
          <w:tcPr>
            <w:tcW w:w="0" w:type="auto"/>
            <w:tcBorders>
              <w:top w:val="nil"/>
              <w:left w:val="nil"/>
              <w:bottom w:val="single" w:sz="4" w:space="0" w:color="auto"/>
              <w:right w:val="nil"/>
            </w:tcBorders>
            <w:shd w:val="clear" w:color="auto" w:fill="auto"/>
            <w:noWrap/>
            <w:vAlign w:val="bottom"/>
            <w:hideMark/>
          </w:tcPr>
          <w:p w14:paraId="1699E922" w14:textId="77777777" w:rsidR="00EB6338" w:rsidRPr="000166F1" w:rsidRDefault="00EB6338" w:rsidP="00312E88">
            <w:pPr>
              <w:jc w:val="right"/>
              <w:rPr>
                <w:rFonts w:cs="Arial"/>
                <w:b/>
                <w:bCs/>
                <w:sz w:val="16"/>
                <w:szCs w:val="16"/>
              </w:rPr>
            </w:pPr>
            <w:r>
              <w:rPr>
                <w:rFonts w:cs="Arial"/>
                <w:b/>
                <w:bCs/>
                <w:sz w:val="16"/>
                <w:szCs w:val="16"/>
              </w:rPr>
              <w:t>38,970</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29916D15" w14:textId="77777777" w:rsidR="00EB6338" w:rsidRPr="000166F1" w:rsidRDefault="00EB6338" w:rsidP="00312E88">
            <w:pPr>
              <w:jc w:val="right"/>
              <w:rPr>
                <w:rFonts w:cs="Arial"/>
                <w:b/>
                <w:bCs/>
                <w:sz w:val="16"/>
                <w:szCs w:val="16"/>
              </w:rPr>
            </w:pPr>
            <w:r>
              <w:rPr>
                <w:rFonts w:cs="Arial"/>
                <w:b/>
                <w:bCs/>
                <w:sz w:val="16"/>
                <w:szCs w:val="16"/>
              </w:rPr>
              <w:t>53,159</w:t>
            </w:r>
          </w:p>
        </w:tc>
        <w:tc>
          <w:tcPr>
            <w:tcW w:w="0" w:type="auto"/>
            <w:tcBorders>
              <w:top w:val="nil"/>
              <w:left w:val="dotted" w:sz="4" w:space="0" w:color="auto"/>
              <w:bottom w:val="single" w:sz="4" w:space="0" w:color="auto"/>
              <w:right w:val="single" w:sz="4" w:space="0" w:color="auto"/>
            </w:tcBorders>
            <w:shd w:val="clear" w:color="auto" w:fill="auto"/>
            <w:noWrap/>
            <w:vAlign w:val="bottom"/>
            <w:hideMark/>
          </w:tcPr>
          <w:p w14:paraId="4B128D27" w14:textId="77777777" w:rsidR="00EB6338" w:rsidRPr="000166F1" w:rsidRDefault="00EB6338" w:rsidP="00312E88">
            <w:pPr>
              <w:jc w:val="right"/>
              <w:rPr>
                <w:rFonts w:cs="Arial"/>
                <w:b/>
                <w:bCs/>
                <w:sz w:val="16"/>
                <w:szCs w:val="16"/>
              </w:rPr>
            </w:pPr>
            <w:r>
              <w:rPr>
                <w:rFonts w:cs="Arial"/>
                <w:b/>
                <w:bCs/>
                <w:sz w:val="16"/>
                <w:szCs w:val="16"/>
              </w:rPr>
              <w:t>135,811</w:t>
            </w:r>
          </w:p>
        </w:tc>
      </w:tr>
    </w:tbl>
    <w:p w14:paraId="160871FC" w14:textId="288E17ED" w:rsidR="00903F7D" w:rsidRDefault="00903F7D" w:rsidP="00903F7D">
      <w:pPr>
        <w:spacing w:before="240"/>
      </w:pPr>
      <w:r>
        <w:t xml:space="preserve">The plausible </w:t>
      </w:r>
      <w:r w:rsidR="00BE5E1C">
        <w:t xml:space="preserve">high and low </w:t>
      </w:r>
      <w:r>
        <w:t xml:space="preserve">scenarios shown combine the various components of variance. Low positive correlation is assumed between the various components, resulting in the overall plausible scenarios being considerably less extreme than the total of the individual components. </w:t>
      </w:r>
    </w:p>
    <w:p w14:paraId="6C5F3C99" w14:textId="18EE80C6" w:rsidR="00DF284E" w:rsidRDefault="00903F7D" w:rsidP="00903F7D">
      <w:pPr>
        <w:spacing w:before="240"/>
      </w:pPr>
      <w:r>
        <w:t xml:space="preserve">It is also noted that the range </w:t>
      </w:r>
      <w:r w:rsidR="005C0E00">
        <w:t xml:space="preserve">adopted </w:t>
      </w:r>
      <w:r>
        <w:t>includes considerably more upside (unfavourable) than downside (favourable) risk. This results from considerably greater upside risk relating to superimposed inflation, new incidence rates and exit rates.</w:t>
      </w:r>
    </w:p>
    <w:p w14:paraId="063B60CF" w14:textId="0FBFD083" w:rsidR="00447D4E" w:rsidRDefault="00447D4E" w:rsidP="00447D4E">
      <w:pPr>
        <w:pStyle w:val="Heading3"/>
      </w:pPr>
      <w:bookmarkStart w:id="251" w:name="_Toc83220856"/>
      <w:bookmarkStart w:id="252" w:name="_Toc85031267"/>
      <w:r>
        <w:t xml:space="preserve">Historic AFSR </w:t>
      </w:r>
      <w:r w:rsidR="00E97EE3">
        <w:t>projections</w:t>
      </w:r>
      <w:bookmarkEnd w:id="251"/>
      <w:bookmarkEnd w:id="252"/>
      <w:r w:rsidR="00E97EE3">
        <w:t xml:space="preserve"> </w:t>
      </w:r>
    </w:p>
    <w:p w14:paraId="22DDC177" w14:textId="6A8B43CA" w:rsidR="00141B0B" w:rsidRPr="001B0E95" w:rsidRDefault="00141B0B" w:rsidP="00141B0B">
      <w:pPr>
        <w:spacing w:before="240"/>
      </w:pPr>
      <w:r w:rsidRPr="001B0E95">
        <w:t xml:space="preserve">The projections in the AFSR will always contain uncertainty. With each update of the AFSR, projection assumptions balance both the emerging experience (considering the significance and duration of the trends), and future expectations. Projections of </w:t>
      </w:r>
      <w:r w:rsidR="00783DE5">
        <w:t>Scheme</w:t>
      </w:r>
      <w:r w:rsidRPr="001B0E95">
        <w:t xml:space="preserve"> costs do not only </w:t>
      </w:r>
      <w:r w:rsidR="00140035">
        <w:t xml:space="preserve">consider </w:t>
      </w:r>
      <w:r w:rsidRPr="001B0E95">
        <w:t xml:space="preserve">past trends but also </w:t>
      </w:r>
      <w:r w:rsidR="009478F0">
        <w:t xml:space="preserve">consider </w:t>
      </w:r>
      <w:r w:rsidRPr="001B0E95">
        <w:t xml:space="preserve">future operational </w:t>
      </w:r>
      <w:r w:rsidR="009478F0">
        <w:t>responses. A</w:t>
      </w:r>
      <w:r w:rsidRPr="001B0E95">
        <w:t xml:space="preserve">s a result future projections can look quite different to </w:t>
      </w:r>
      <w:r w:rsidR="00A2569E">
        <w:t>historic</w:t>
      </w:r>
      <w:r w:rsidRPr="001B0E95">
        <w:t xml:space="preserve"> experience. Updates to assumptions consider both the significant growth in the Scheme over the past five years and the relative immaturity of the Scheme. As more and more data becomes available and as the Scheme continues to evolve, the projection of Scheme costs does as well.</w:t>
      </w:r>
    </w:p>
    <w:p w14:paraId="3053AEC6" w14:textId="4CAEE49E" w:rsidR="00141B0B" w:rsidRPr="001B0E95" w:rsidRDefault="00141B0B" w:rsidP="00141B0B">
      <w:pPr>
        <w:spacing w:before="240"/>
      </w:pPr>
      <w:r w:rsidRPr="001B0E95">
        <w:lastRenderedPageBreak/>
        <w:t xml:space="preserve">The Scheme started slowly with 30,000 participants by the end of the third year (30 June 2016), and this increased to 90,000 by 30 June 2017. The experience in the first four years did not provide enough evidence to re-forecast the Scheme (from the Productivity Commission estimate). However, the experience in the first four years of the Scheme indicated a number of emerging risks to sustainability which have persisted. The 2015 -16 AFSR summary </w:t>
      </w:r>
      <w:r w:rsidR="00805C85">
        <w:t xml:space="preserve">identified </w:t>
      </w:r>
      <w:r w:rsidRPr="001B0E95">
        <w:t>risks to the Scheme of:</w:t>
      </w:r>
    </w:p>
    <w:p w14:paraId="1564B2C8" w14:textId="77777777" w:rsidR="00141B0B" w:rsidRPr="001B0E95" w:rsidRDefault="00141B0B" w:rsidP="000A0D48">
      <w:pPr>
        <w:pStyle w:val="ListParagraph"/>
        <w:numPr>
          <w:ilvl w:val="0"/>
          <w:numId w:val="20"/>
        </w:numPr>
        <w:spacing w:before="120" w:after="120"/>
      </w:pPr>
      <w:r w:rsidRPr="001B0E95">
        <w:t>Higher than expected numbers of children entering the Scheme</w:t>
      </w:r>
    </w:p>
    <w:p w14:paraId="532B55C2" w14:textId="15BA4D10" w:rsidR="00141B0B" w:rsidRPr="001B0E95" w:rsidRDefault="00141B0B" w:rsidP="000A0D48">
      <w:pPr>
        <w:pStyle w:val="ListParagraph"/>
        <w:numPr>
          <w:ilvl w:val="0"/>
          <w:numId w:val="20"/>
        </w:numPr>
        <w:spacing w:before="120" w:after="120"/>
      </w:pPr>
      <w:r w:rsidRPr="001B0E95">
        <w:t>Increasing package costs over and above the impacts of inflation and ageing (“superimposed inflation</w:t>
      </w:r>
      <w:r w:rsidR="006A1320">
        <w:t>”</w:t>
      </w:r>
      <w:r w:rsidRPr="001B0E95">
        <w:t>)</w:t>
      </w:r>
    </w:p>
    <w:p w14:paraId="4085C8AC" w14:textId="77777777" w:rsidR="00141B0B" w:rsidRPr="001B0E95" w:rsidRDefault="00141B0B" w:rsidP="000A0D48">
      <w:pPr>
        <w:pStyle w:val="ListParagraph"/>
        <w:numPr>
          <w:ilvl w:val="0"/>
          <w:numId w:val="20"/>
        </w:numPr>
        <w:spacing w:before="120" w:after="120"/>
      </w:pPr>
      <w:r w:rsidRPr="001B0E95">
        <w:t>Potential participants continuing to approach the Scheme</w:t>
      </w:r>
    </w:p>
    <w:p w14:paraId="6770361D" w14:textId="77777777" w:rsidR="00141B0B" w:rsidRPr="001B0E95" w:rsidRDefault="00141B0B" w:rsidP="000A0D48">
      <w:pPr>
        <w:pStyle w:val="ListParagraph"/>
        <w:numPr>
          <w:ilvl w:val="0"/>
          <w:numId w:val="20"/>
        </w:numPr>
        <w:spacing w:before="120" w:after="120"/>
      </w:pPr>
      <w:r w:rsidRPr="001B0E95">
        <w:t>Lower than expected participants exiting the Scheme</w:t>
      </w:r>
    </w:p>
    <w:p w14:paraId="56D8E940" w14:textId="77777777" w:rsidR="00141B0B" w:rsidRPr="001B0E95" w:rsidRDefault="00141B0B" w:rsidP="000A0D48">
      <w:pPr>
        <w:pStyle w:val="ListParagraph"/>
        <w:numPr>
          <w:ilvl w:val="0"/>
          <w:numId w:val="20"/>
        </w:numPr>
        <w:spacing w:before="120" w:after="120"/>
      </w:pPr>
      <w:r w:rsidRPr="001B0E95">
        <w:t>A mismatch between benchmark package costs and actual package costs.</w:t>
      </w:r>
    </w:p>
    <w:p w14:paraId="1A2D20D3" w14:textId="19BB6FF1" w:rsidR="005B6934" w:rsidRDefault="005B6934" w:rsidP="00141B0B">
      <w:pPr>
        <w:spacing w:before="240"/>
      </w:pPr>
      <w:r>
        <w:t xml:space="preserve">These risks were quantified in scenario analysis undertaken for </w:t>
      </w:r>
      <w:r w:rsidR="00805C85">
        <w:t xml:space="preserve">that </w:t>
      </w:r>
      <w:r>
        <w:t>report (and subsequent reports</w:t>
      </w:r>
      <w:r w:rsidR="00140035">
        <w:t xml:space="preserve"> including this one</w:t>
      </w:r>
      <w:r>
        <w:t>).</w:t>
      </w:r>
    </w:p>
    <w:p w14:paraId="5A79199C" w14:textId="49248C74" w:rsidR="00141B0B" w:rsidRPr="001B0E95" w:rsidRDefault="00141B0B" w:rsidP="00141B0B">
      <w:pPr>
        <w:spacing w:before="240"/>
      </w:pPr>
      <w:r w:rsidRPr="001B0E95">
        <w:t>The 2017-18 AFSR (using data at 30 June 2018) included an experience-based projection to forecast Scheme costs, as have subsequent AFSR projections. Consequently, the projection has changed over time reflecting the emerging Scheme experience. The changes in both estimates of participant numbers, average payments per participants and total participants costs is below.</w:t>
      </w:r>
    </w:p>
    <w:p w14:paraId="0C7E5E9E" w14:textId="7D089623" w:rsidR="00141B0B" w:rsidRDefault="00141B0B" w:rsidP="00141B0B">
      <w:pPr>
        <w:pStyle w:val="Tables"/>
      </w:pPr>
      <w:r w:rsidRPr="00AA44C0">
        <w:t xml:space="preserve">Table </w:t>
      </w:r>
      <w:fldSimple w:instr=" SEQ Table \* ARABIC ">
        <w:r w:rsidR="00E50032">
          <w:rPr>
            <w:noProof/>
          </w:rPr>
          <w:t>43</w:t>
        </w:r>
      </w:fldSimple>
      <w:r w:rsidRPr="00AA44C0">
        <w:t xml:space="preserve"> </w:t>
      </w:r>
      <w:r w:rsidRPr="001B0E95">
        <w:t>Total participant costs – AFSR projections, 2017 PC estimates and 2021-22 PBS estimates</w:t>
      </w:r>
    </w:p>
    <w:tbl>
      <w:tblPr>
        <w:tblW w:w="0" w:type="auto"/>
        <w:tblLayout w:type="fixed"/>
        <w:tblLook w:val="04A0" w:firstRow="1" w:lastRow="0" w:firstColumn="1" w:lastColumn="0" w:noHBand="0" w:noVBand="1"/>
      </w:tblPr>
      <w:tblGrid>
        <w:gridCol w:w="3114"/>
        <w:gridCol w:w="850"/>
        <w:gridCol w:w="851"/>
        <w:gridCol w:w="850"/>
        <w:gridCol w:w="851"/>
        <w:gridCol w:w="850"/>
        <w:gridCol w:w="851"/>
        <w:gridCol w:w="850"/>
        <w:gridCol w:w="851"/>
      </w:tblGrid>
      <w:tr w:rsidR="002513BD" w:rsidRPr="000166F1" w14:paraId="7CC3029D" w14:textId="77777777" w:rsidTr="00312E88">
        <w:trPr>
          <w:trHeight w:val="450"/>
          <w:tblHeader/>
        </w:trPr>
        <w:tc>
          <w:tcPr>
            <w:tcW w:w="3114"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0CC074E0" w14:textId="77777777" w:rsidR="002513BD" w:rsidRPr="000166F1" w:rsidRDefault="002513BD" w:rsidP="00312E88">
            <w:pPr>
              <w:rPr>
                <w:rFonts w:cs="Arial"/>
                <w:b/>
                <w:bCs/>
                <w:color w:val="FFFFFF"/>
                <w:sz w:val="15"/>
                <w:szCs w:val="15"/>
              </w:rPr>
            </w:pPr>
            <w:r w:rsidRPr="000166F1">
              <w:rPr>
                <w:rFonts w:cs="Arial"/>
                <w:b/>
                <w:bCs/>
                <w:color w:val="FFFFFF"/>
                <w:sz w:val="15"/>
                <w:szCs w:val="15"/>
              </w:rPr>
              <w:t>Total participant costs ($b)</w:t>
            </w:r>
          </w:p>
        </w:tc>
        <w:tc>
          <w:tcPr>
            <w:tcW w:w="850" w:type="dxa"/>
            <w:tcBorders>
              <w:top w:val="single" w:sz="4" w:space="0" w:color="auto"/>
              <w:left w:val="nil"/>
              <w:bottom w:val="single" w:sz="4" w:space="0" w:color="auto"/>
              <w:right w:val="nil"/>
            </w:tcBorders>
            <w:shd w:val="clear" w:color="000000" w:fill="6B2976"/>
            <w:noWrap/>
            <w:vAlign w:val="center"/>
            <w:hideMark/>
          </w:tcPr>
          <w:p w14:paraId="4E507391" w14:textId="77777777" w:rsidR="002513BD" w:rsidRPr="000166F1" w:rsidRDefault="002513BD" w:rsidP="00312E88">
            <w:pPr>
              <w:jc w:val="center"/>
              <w:rPr>
                <w:rFonts w:cs="Arial"/>
                <w:b/>
                <w:bCs/>
                <w:color w:val="FFFFFF"/>
                <w:sz w:val="15"/>
                <w:szCs w:val="15"/>
              </w:rPr>
            </w:pPr>
            <w:r w:rsidRPr="000166F1">
              <w:rPr>
                <w:rFonts w:cs="Arial"/>
                <w:b/>
                <w:bCs/>
                <w:color w:val="FFFFFF"/>
                <w:sz w:val="15"/>
                <w:szCs w:val="15"/>
              </w:rPr>
              <w:t>2017-18</w:t>
            </w:r>
          </w:p>
        </w:tc>
        <w:tc>
          <w:tcPr>
            <w:tcW w:w="851" w:type="dxa"/>
            <w:tcBorders>
              <w:top w:val="single" w:sz="4" w:space="0" w:color="auto"/>
              <w:left w:val="nil"/>
              <w:bottom w:val="single" w:sz="4" w:space="0" w:color="auto"/>
              <w:right w:val="nil"/>
            </w:tcBorders>
            <w:shd w:val="clear" w:color="000000" w:fill="6B2976"/>
            <w:noWrap/>
            <w:vAlign w:val="center"/>
            <w:hideMark/>
          </w:tcPr>
          <w:p w14:paraId="7F6E525F" w14:textId="77777777" w:rsidR="002513BD" w:rsidRPr="000166F1" w:rsidRDefault="002513BD" w:rsidP="00312E88">
            <w:pPr>
              <w:jc w:val="center"/>
              <w:rPr>
                <w:rFonts w:cs="Arial"/>
                <w:b/>
                <w:bCs/>
                <w:color w:val="FFFFFF"/>
                <w:sz w:val="15"/>
                <w:szCs w:val="15"/>
              </w:rPr>
            </w:pPr>
            <w:r w:rsidRPr="000166F1">
              <w:rPr>
                <w:rFonts w:cs="Arial"/>
                <w:b/>
                <w:bCs/>
                <w:color w:val="FFFFFF"/>
                <w:sz w:val="15"/>
                <w:szCs w:val="15"/>
              </w:rPr>
              <w:t>2018-19</w:t>
            </w:r>
          </w:p>
        </w:tc>
        <w:tc>
          <w:tcPr>
            <w:tcW w:w="850" w:type="dxa"/>
            <w:tcBorders>
              <w:top w:val="single" w:sz="4" w:space="0" w:color="auto"/>
              <w:left w:val="nil"/>
              <w:bottom w:val="single" w:sz="4" w:space="0" w:color="auto"/>
              <w:right w:val="nil"/>
            </w:tcBorders>
            <w:shd w:val="clear" w:color="000000" w:fill="6B2976"/>
            <w:noWrap/>
            <w:vAlign w:val="center"/>
            <w:hideMark/>
          </w:tcPr>
          <w:p w14:paraId="465AF867" w14:textId="77777777" w:rsidR="002513BD" w:rsidRPr="000166F1" w:rsidRDefault="002513BD" w:rsidP="00312E88">
            <w:pPr>
              <w:jc w:val="center"/>
              <w:rPr>
                <w:rFonts w:cs="Arial"/>
                <w:b/>
                <w:bCs/>
                <w:color w:val="FFFFFF"/>
                <w:sz w:val="15"/>
                <w:szCs w:val="15"/>
              </w:rPr>
            </w:pPr>
            <w:r w:rsidRPr="000166F1">
              <w:rPr>
                <w:rFonts w:cs="Arial"/>
                <w:b/>
                <w:bCs/>
                <w:color w:val="FFFFFF"/>
                <w:sz w:val="15"/>
                <w:szCs w:val="15"/>
              </w:rPr>
              <w:t>2019-20</w:t>
            </w:r>
          </w:p>
        </w:tc>
        <w:tc>
          <w:tcPr>
            <w:tcW w:w="851"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2AF864DB" w14:textId="77777777" w:rsidR="002513BD" w:rsidRPr="000166F1" w:rsidRDefault="002513BD" w:rsidP="00312E88">
            <w:pPr>
              <w:jc w:val="center"/>
              <w:rPr>
                <w:rFonts w:cs="Arial"/>
                <w:b/>
                <w:bCs/>
                <w:color w:val="FFFFFF"/>
                <w:sz w:val="15"/>
                <w:szCs w:val="15"/>
              </w:rPr>
            </w:pPr>
            <w:r w:rsidRPr="000166F1">
              <w:rPr>
                <w:rFonts w:cs="Arial"/>
                <w:b/>
                <w:bCs/>
                <w:color w:val="FFFFFF"/>
                <w:sz w:val="15"/>
                <w:szCs w:val="15"/>
              </w:rPr>
              <w:t>2020-21</w:t>
            </w:r>
          </w:p>
        </w:tc>
        <w:tc>
          <w:tcPr>
            <w:tcW w:w="850" w:type="dxa"/>
            <w:tcBorders>
              <w:top w:val="single" w:sz="4" w:space="0" w:color="auto"/>
              <w:left w:val="nil"/>
              <w:bottom w:val="single" w:sz="4" w:space="0" w:color="auto"/>
              <w:right w:val="nil"/>
            </w:tcBorders>
            <w:shd w:val="clear" w:color="000000" w:fill="6B2976"/>
            <w:noWrap/>
            <w:vAlign w:val="center"/>
            <w:hideMark/>
          </w:tcPr>
          <w:p w14:paraId="1641EC72" w14:textId="77777777" w:rsidR="002513BD" w:rsidRPr="000166F1" w:rsidRDefault="002513BD" w:rsidP="00312E88">
            <w:pPr>
              <w:jc w:val="center"/>
              <w:rPr>
                <w:rFonts w:cs="Arial"/>
                <w:b/>
                <w:bCs/>
                <w:color w:val="FFFFFF"/>
                <w:sz w:val="15"/>
                <w:szCs w:val="15"/>
              </w:rPr>
            </w:pPr>
            <w:r w:rsidRPr="000166F1">
              <w:rPr>
                <w:rFonts w:cs="Arial"/>
                <w:b/>
                <w:bCs/>
                <w:color w:val="FFFFFF"/>
                <w:sz w:val="15"/>
                <w:szCs w:val="15"/>
              </w:rPr>
              <w:t>2021-22</w:t>
            </w:r>
          </w:p>
        </w:tc>
        <w:tc>
          <w:tcPr>
            <w:tcW w:w="851" w:type="dxa"/>
            <w:tcBorders>
              <w:top w:val="single" w:sz="4" w:space="0" w:color="auto"/>
              <w:left w:val="nil"/>
              <w:bottom w:val="single" w:sz="4" w:space="0" w:color="auto"/>
              <w:right w:val="nil"/>
            </w:tcBorders>
            <w:shd w:val="clear" w:color="000000" w:fill="6B2976"/>
            <w:noWrap/>
            <w:vAlign w:val="center"/>
            <w:hideMark/>
          </w:tcPr>
          <w:p w14:paraId="7A187E71" w14:textId="77777777" w:rsidR="002513BD" w:rsidRPr="000166F1" w:rsidRDefault="002513BD" w:rsidP="00312E88">
            <w:pPr>
              <w:jc w:val="center"/>
              <w:rPr>
                <w:rFonts w:cs="Arial"/>
                <w:b/>
                <w:bCs/>
                <w:color w:val="FFFFFF"/>
                <w:sz w:val="15"/>
                <w:szCs w:val="15"/>
              </w:rPr>
            </w:pPr>
            <w:r w:rsidRPr="000166F1">
              <w:rPr>
                <w:rFonts w:cs="Arial"/>
                <w:b/>
                <w:bCs/>
                <w:color w:val="FFFFFF"/>
                <w:sz w:val="15"/>
                <w:szCs w:val="15"/>
              </w:rPr>
              <w:t>2022-23</w:t>
            </w:r>
          </w:p>
        </w:tc>
        <w:tc>
          <w:tcPr>
            <w:tcW w:w="850" w:type="dxa"/>
            <w:tcBorders>
              <w:top w:val="single" w:sz="4" w:space="0" w:color="auto"/>
              <w:left w:val="nil"/>
              <w:bottom w:val="single" w:sz="4" w:space="0" w:color="auto"/>
              <w:right w:val="nil"/>
            </w:tcBorders>
            <w:shd w:val="clear" w:color="000000" w:fill="6B2976"/>
            <w:noWrap/>
            <w:vAlign w:val="center"/>
            <w:hideMark/>
          </w:tcPr>
          <w:p w14:paraId="18B7BBA0" w14:textId="77777777" w:rsidR="002513BD" w:rsidRPr="000166F1" w:rsidRDefault="002513BD" w:rsidP="00312E88">
            <w:pPr>
              <w:jc w:val="center"/>
              <w:rPr>
                <w:rFonts w:cs="Arial"/>
                <w:b/>
                <w:bCs/>
                <w:color w:val="FFFFFF"/>
                <w:sz w:val="15"/>
                <w:szCs w:val="15"/>
              </w:rPr>
            </w:pPr>
            <w:r w:rsidRPr="000166F1">
              <w:rPr>
                <w:rFonts w:cs="Arial"/>
                <w:b/>
                <w:bCs/>
                <w:color w:val="FFFFFF"/>
                <w:sz w:val="15"/>
                <w:szCs w:val="15"/>
              </w:rPr>
              <w:t>2023-24</w:t>
            </w:r>
          </w:p>
        </w:tc>
        <w:tc>
          <w:tcPr>
            <w:tcW w:w="851" w:type="dxa"/>
            <w:tcBorders>
              <w:top w:val="single" w:sz="4" w:space="0" w:color="auto"/>
              <w:left w:val="nil"/>
              <w:bottom w:val="single" w:sz="4" w:space="0" w:color="auto"/>
              <w:right w:val="single" w:sz="4" w:space="0" w:color="auto"/>
            </w:tcBorders>
            <w:shd w:val="clear" w:color="000000" w:fill="6B2976"/>
            <w:noWrap/>
            <w:vAlign w:val="center"/>
            <w:hideMark/>
          </w:tcPr>
          <w:p w14:paraId="5BA5A54B" w14:textId="77777777" w:rsidR="002513BD" w:rsidRPr="000166F1" w:rsidRDefault="002513BD" w:rsidP="00312E88">
            <w:pPr>
              <w:jc w:val="center"/>
              <w:rPr>
                <w:rFonts w:cs="Arial"/>
                <w:b/>
                <w:bCs/>
                <w:color w:val="FFFFFF"/>
                <w:sz w:val="15"/>
                <w:szCs w:val="15"/>
              </w:rPr>
            </w:pPr>
            <w:r w:rsidRPr="000166F1">
              <w:rPr>
                <w:rFonts w:cs="Arial"/>
                <w:b/>
                <w:bCs/>
                <w:color w:val="FFFFFF"/>
                <w:sz w:val="15"/>
                <w:szCs w:val="15"/>
              </w:rPr>
              <w:t>2024-25</w:t>
            </w:r>
          </w:p>
        </w:tc>
      </w:tr>
      <w:tr w:rsidR="002513BD" w:rsidRPr="000166F1" w14:paraId="1B17025D" w14:textId="77777777" w:rsidTr="00312E88">
        <w:trPr>
          <w:trHeight w:val="400"/>
        </w:trPr>
        <w:tc>
          <w:tcPr>
            <w:tcW w:w="3114" w:type="dxa"/>
            <w:tcBorders>
              <w:top w:val="nil"/>
              <w:left w:val="single" w:sz="4" w:space="0" w:color="auto"/>
              <w:bottom w:val="single" w:sz="4" w:space="0" w:color="auto"/>
              <w:right w:val="nil"/>
            </w:tcBorders>
            <w:shd w:val="clear" w:color="000000" w:fill="D3C5D7"/>
            <w:noWrap/>
            <w:vAlign w:val="center"/>
            <w:hideMark/>
          </w:tcPr>
          <w:p w14:paraId="60482F1A" w14:textId="77777777" w:rsidR="002513BD" w:rsidRPr="000166F1" w:rsidRDefault="002513BD" w:rsidP="00312E88">
            <w:pPr>
              <w:rPr>
                <w:rFonts w:cs="Arial"/>
                <w:b/>
                <w:bCs/>
                <w:color w:val="000000"/>
                <w:sz w:val="15"/>
                <w:szCs w:val="15"/>
              </w:rPr>
            </w:pPr>
            <w:r w:rsidRPr="000166F1">
              <w:rPr>
                <w:rFonts w:cs="Arial"/>
                <w:b/>
                <w:bCs/>
                <w:color w:val="000000"/>
                <w:sz w:val="15"/>
                <w:szCs w:val="15"/>
              </w:rPr>
              <w:t>PC estimates</w:t>
            </w:r>
          </w:p>
        </w:tc>
        <w:tc>
          <w:tcPr>
            <w:tcW w:w="850" w:type="dxa"/>
            <w:tcBorders>
              <w:top w:val="nil"/>
              <w:left w:val="nil"/>
              <w:bottom w:val="single" w:sz="4" w:space="0" w:color="auto"/>
              <w:right w:val="nil"/>
            </w:tcBorders>
            <w:shd w:val="clear" w:color="000000" w:fill="D3C5D7"/>
            <w:noWrap/>
            <w:vAlign w:val="center"/>
            <w:hideMark/>
          </w:tcPr>
          <w:p w14:paraId="4C43F234"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nil"/>
            </w:tcBorders>
            <w:shd w:val="clear" w:color="000000" w:fill="D3C5D7"/>
            <w:noWrap/>
            <w:vAlign w:val="center"/>
            <w:hideMark/>
          </w:tcPr>
          <w:p w14:paraId="65AF9519"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nil"/>
              <w:left w:val="nil"/>
              <w:bottom w:val="single" w:sz="4" w:space="0" w:color="auto"/>
              <w:right w:val="nil"/>
            </w:tcBorders>
            <w:shd w:val="clear" w:color="000000" w:fill="D3C5D7"/>
            <w:noWrap/>
            <w:vAlign w:val="center"/>
            <w:hideMark/>
          </w:tcPr>
          <w:p w14:paraId="1BF7C29E"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nil"/>
            </w:tcBorders>
            <w:shd w:val="clear" w:color="000000" w:fill="D3C5D7"/>
            <w:noWrap/>
            <w:vAlign w:val="center"/>
            <w:hideMark/>
          </w:tcPr>
          <w:p w14:paraId="0AF1D568"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nil"/>
              <w:left w:val="nil"/>
              <w:bottom w:val="single" w:sz="4" w:space="0" w:color="auto"/>
              <w:right w:val="nil"/>
            </w:tcBorders>
            <w:shd w:val="clear" w:color="000000" w:fill="D3C5D7"/>
            <w:noWrap/>
            <w:vAlign w:val="center"/>
            <w:hideMark/>
          </w:tcPr>
          <w:p w14:paraId="7A94BE7C"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nil"/>
            </w:tcBorders>
            <w:shd w:val="clear" w:color="000000" w:fill="D3C5D7"/>
            <w:noWrap/>
            <w:vAlign w:val="center"/>
            <w:hideMark/>
          </w:tcPr>
          <w:p w14:paraId="375C94BB"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nil"/>
              <w:left w:val="nil"/>
              <w:bottom w:val="single" w:sz="4" w:space="0" w:color="auto"/>
              <w:right w:val="nil"/>
            </w:tcBorders>
            <w:shd w:val="clear" w:color="000000" w:fill="D3C5D7"/>
            <w:noWrap/>
            <w:vAlign w:val="center"/>
            <w:hideMark/>
          </w:tcPr>
          <w:p w14:paraId="75C2A32C"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single" w:sz="4" w:space="0" w:color="auto"/>
            </w:tcBorders>
            <w:shd w:val="clear" w:color="000000" w:fill="D3C5D7"/>
            <w:noWrap/>
            <w:vAlign w:val="center"/>
            <w:hideMark/>
          </w:tcPr>
          <w:p w14:paraId="46FAB5A3"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r>
      <w:tr w:rsidR="002513BD" w:rsidRPr="000166F1" w14:paraId="7CCC761C" w14:textId="77777777" w:rsidTr="00740028">
        <w:trPr>
          <w:trHeight w:hRule="exac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CC25C96" w14:textId="77777777" w:rsidR="002513BD" w:rsidRPr="000166F1" w:rsidRDefault="002513BD" w:rsidP="00312E88">
            <w:pPr>
              <w:rPr>
                <w:rFonts w:cs="Arial"/>
                <w:color w:val="000000"/>
                <w:sz w:val="15"/>
                <w:szCs w:val="15"/>
              </w:rPr>
            </w:pPr>
            <w:r w:rsidRPr="000166F1">
              <w:rPr>
                <w:rFonts w:cs="Arial"/>
                <w:color w:val="000000"/>
                <w:sz w:val="15"/>
                <w:szCs w:val="15"/>
              </w:rPr>
              <w:t>2017 Productivity Commission Estimates</w:t>
            </w:r>
          </w:p>
        </w:tc>
        <w:tc>
          <w:tcPr>
            <w:tcW w:w="850" w:type="dxa"/>
            <w:tcBorders>
              <w:top w:val="nil"/>
              <w:left w:val="nil"/>
              <w:bottom w:val="single" w:sz="4" w:space="0" w:color="auto"/>
              <w:right w:val="nil"/>
            </w:tcBorders>
            <w:shd w:val="clear" w:color="auto" w:fill="auto"/>
            <w:noWrap/>
            <w:vAlign w:val="center"/>
            <w:hideMark/>
          </w:tcPr>
          <w:p w14:paraId="2766C62D" w14:textId="77777777" w:rsidR="002513BD" w:rsidRPr="000166F1" w:rsidRDefault="002513BD" w:rsidP="00312E88">
            <w:pPr>
              <w:jc w:val="center"/>
              <w:rPr>
                <w:rFonts w:cs="Arial"/>
                <w:color w:val="000000"/>
                <w:sz w:val="15"/>
                <w:szCs w:val="15"/>
              </w:rPr>
            </w:pPr>
            <w:r w:rsidRPr="000166F1">
              <w:rPr>
                <w:rFonts w:cs="Arial"/>
                <w:color w:val="000000"/>
                <w:sz w:val="15"/>
                <w:szCs w:val="15"/>
              </w:rPr>
              <w:t>7.7</w:t>
            </w:r>
          </w:p>
        </w:tc>
        <w:tc>
          <w:tcPr>
            <w:tcW w:w="851" w:type="dxa"/>
            <w:tcBorders>
              <w:top w:val="nil"/>
              <w:left w:val="nil"/>
              <w:bottom w:val="single" w:sz="4" w:space="0" w:color="auto"/>
              <w:right w:val="nil"/>
            </w:tcBorders>
            <w:shd w:val="clear" w:color="auto" w:fill="auto"/>
            <w:noWrap/>
            <w:vAlign w:val="center"/>
            <w:hideMark/>
          </w:tcPr>
          <w:p w14:paraId="2CCD8477" w14:textId="77777777" w:rsidR="002513BD" w:rsidRPr="000166F1" w:rsidRDefault="002513BD" w:rsidP="00312E88">
            <w:pPr>
              <w:jc w:val="center"/>
              <w:rPr>
                <w:rFonts w:cs="Arial"/>
                <w:color w:val="000000"/>
                <w:sz w:val="15"/>
                <w:szCs w:val="15"/>
              </w:rPr>
            </w:pPr>
            <w:r w:rsidRPr="000166F1">
              <w:rPr>
                <w:rFonts w:cs="Arial"/>
                <w:color w:val="000000"/>
                <w:sz w:val="15"/>
                <w:szCs w:val="15"/>
              </w:rPr>
              <w:t>14.7</w:t>
            </w:r>
          </w:p>
        </w:tc>
        <w:tc>
          <w:tcPr>
            <w:tcW w:w="850" w:type="dxa"/>
            <w:tcBorders>
              <w:top w:val="nil"/>
              <w:left w:val="nil"/>
              <w:bottom w:val="single" w:sz="4" w:space="0" w:color="auto"/>
              <w:right w:val="nil"/>
            </w:tcBorders>
            <w:shd w:val="clear" w:color="auto" w:fill="auto"/>
            <w:noWrap/>
            <w:vAlign w:val="center"/>
            <w:hideMark/>
          </w:tcPr>
          <w:p w14:paraId="635F9415" w14:textId="77777777" w:rsidR="002513BD" w:rsidRPr="000166F1" w:rsidRDefault="002513BD" w:rsidP="00312E88">
            <w:pPr>
              <w:jc w:val="center"/>
              <w:rPr>
                <w:rFonts w:cs="Arial"/>
                <w:color w:val="000000"/>
                <w:sz w:val="15"/>
                <w:szCs w:val="15"/>
              </w:rPr>
            </w:pPr>
            <w:r w:rsidRPr="000166F1">
              <w:rPr>
                <w:rFonts w:cs="Arial"/>
                <w:color w:val="000000"/>
                <w:sz w:val="15"/>
                <w:szCs w:val="15"/>
              </w:rPr>
              <w:t>20.8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C0D513" w14:textId="77777777" w:rsidR="002513BD" w:rsidRPr="000166F1" w:rsidRDefault="002513BD" w:rsidP="00312E88">
            <w:pPr>
              <w:jc w:val="center"/>
              <w:rPr>
                <w:rFonts w:cs="Arial"/>
                <w:color w:val="000000"/>
                <w:sz w:val="15"/>
                <w:szCs w:val="15"/>
              </w:rPr>
            </w:pPr>
            <w:r w:rsidRPr="000166F1">
              <w:rPr>
                <w:rFonts w:cs="Arial"/>
                <w:color w:val="000000"/>
                <w:sz w:val="15"/>
                <w:szCs w:val="15"/>
              </w:rPr>
              <w:t>22.2</w:t>
            </w:r>
          </w:p>
        </w:tc>
        <w:tc>
          <w:tcPr>
            <w:tcW w:w="850" w:type="dxa"/>
            <w:tcBorders>
              <w:top w:val="nil"/>
              <w:left w:val="nil"/>
              <w:bottom w:val="single" w:sz="4" w:space="0" w:color="auto"/>
              <w:right w:val="nil"/>
            </w:tcBorders>
            <w:shd w:val="clear" w:color="auto" w:fill="auto"/>
            <w:noWrap/>
            <w:vAlign w:val="center"/>
            <w:hideMark/>
          </w:tcPr>
          <w:p w14:paraId="54BB25E0" w14:textId="77777777" w:rsidR="002513BD" w:rsidRPr="000166F1" w:rsidRDefault="002513BD" w:rsidP="00312E88">
            <w:pPr>
              <w:jc w:val="center"/>
              <w:rPr>
                <w:rFonts w:cs="Arial"/>
                <w:color w:val="000000"/>
                <w:sz w:val="15"/>
                <w:szCs w:val="15"/>
              </w:rPr>
            </w:pPr>
            <w:r w:rsidRPr="000166F1">
              <w:rPr>
                <w:rFonts w:cs="Arial"/>
                <w:color w:val="000000"/>
                <w:sz w:val="15"/>
                <w:szCs w:val="15"/>
              </w:rPr>
              <w:t>23.7</w:t>
            </w:r>
          </w:p>
        </w:tc>
        <w:tc>
          <w:tcPr>
            <w:tcW w:w="851" w:type="dxa"/>
            <w:tcBorders>
              <w:top w:val="nil"/>
              <w:left w:val="nil"/>
              <w:bottom w:val="single" w:sz="4" w:space="0" w:color="auto"/>
              <w:right w:val="nil"/>
            </w:tcBorders>
            <w:shd w:val="clear" w:color="auto" w:fill="auto"/>
            <w:noWrap/>
            <w:vAlign w:val="center"/>
            <w:hideMark/>
          </w:tcPr>
          <w:p w14:paraId="2AA8D266" w14:textId="77777777" w:rsidR="002513BD" w:rsidRPr="000166F1" w:rsidRDefault="002513BD" w:rsidP="00312E88">
            <w:pPr>
              <w:jc w:val="center"/>
              <w:rPr>
                <w:rFonts w:cs="Arial"/>
                <w:color w:val="000000"/>
                <w:sz w:val="15"/>
                <w:szCs w:val="15"/>
              </w:rPr>
            </w:pPr>
            <w:r w:rsidRPr="000166F1">
              <w:rPr>
                <w:rFonts w:cs="Arial"/>
                <w:color w:val="000000"/>
                <w:sz w:val="15"/>
                <w:szCs w:val="15"/>
              </w:rPr>
              <w:t>25.2</w:t>
            </w:r>
          </w:p>
        </w:tc>
        <w:tc>
          <w:tcPr>
            <w:tcW w:w="850" w:type="dxa"/>
            <w:tcBorders>
              <w:top w:val="nil"/>
              <w:left w:val="nil"/>
              <w:bottom w:val="single" w:sz="4" w:space="0" w:color="auto"/>
              <w:right w:val="nil"/>
            </w:tcBorders>
            <w:shd w:val="clear" w:color="auto" w:fill="auto"/>
            <w:noWrap/>
            <w:vAlign w:val="center"/>
            <w:hideMark/>
          </w:tcPr>
          <w:p w14:paraId="299C6C98" w14:textId="77777777" w:rsidR="002513BD" w:rsidRPr="000166F1" w:rsidRDefault="002513BD" w:rsidP="00312E88">
            <w:pPr>
              <w:jc w:val="center"/>
              <w:rPr>
                <w:rFonts w:cs="Arial"/>
                <w:color w:val="000000"/>
                <w:sz w:val="15"/>
                <w:szCs w:val="15"/>
              </w:rPr>
            </w:pPr>
            <w:r w:rsidRPr="000166F1">
              <w:rPr>
                <w:rFonts w:cs="Arial"/>
                <w:color w:val="000000"/>
                <w:sz w:val="15"/>
                <w:szCs w:val="15"/>
              </w:rPr>
              <w:t>26.8</w:t>
            </w:r>
          </w:p>
        </w:tc>
        <w:tc>
          <w:tcPr>
            <w:tcW w:w="851" w:type="dxa"/>
            <w:tcBorders>
              <w:top w:val="nil"/>
              <w:left w:val="nil"/>
              <w:bottom w:val="single" w:sz="4" w:space="0" w:color="auto"/>
              <w:right w:val="single" w:sz="4" w:space="0" w:color="auto"/>
            </w:tcBorders>
            <w:shd w:val="clear" w:color="auto" w:fill="auto"/>
            <w:noWrap/>
            <w:vAlign w:val="center"/>
            <w:hideMark/>
          </w:tcPr>
          <w:p w14:paraId="70FEDF61" w14:textId="77777777" w:rsidR="002513BD" w:rsidRPr="000166F1" w:rsidRDefault="002513BD" w:rsidP="00312E88">
            <w:pPr>
              <w:jc w:val="center"/>
              <w:rPr>
                <w:rFonts w:cs="Arial"/>
                <w:color w:val="000000"/>
                <w:sz w:val="15"/>
                <w:szCs w:val="15"/>
              </w:rPr>
            </w:pPr>
            <w:r w:rsidRPr="000166F1">
              <w:rPr>
                <w:rFonts w:cs="Arial"/>
                <w:color w:val="000000"/>
                <w:sz w:val="15"/>
                <w:szCs w:val="15"/>
              </w:rPr>
              <w:t>28.5</w:t>
            </w:r>
          </w:p>
        </w:tc>
      </w:tr>
      <w:tr w:rsidR="002513BD" w:rsidRPr="000166F1" w14:paraId="7A661E92" w14:textId="77777777" w:rsidTr="00740028">
        <w:trPr>
          <w:trHeight w:hRule="exact" w:val="397"/>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ADC0356" w14:textId="77777777" w:rsidR="002513BD" w:rsidRPr="000166F1" w:rsidRDefault="002513BD" w:rsidP="00312E88">
            <w:pPr>
              <w:rPr>
                <w:rFonts w:cs="Arial"/>
                <w:color w:val="000000"/>
                <w:sz w:val="15"/>
                <w:szCs w:val="15"/>
              </w:rPr>
            </w:pPr>
            <w:r w:rsidRPr="000166F1">
              <w:rPr>
                <w:rFonts w:cs="Arial"/>
                <w:color w:val="000000"/>
                <w:sz w:val="15"/>
                <w:szCs w:val="15"/>
              </w:rPr>
              <w:t>2017 Productivity Commission Estimates (including unanticipated costs)</w:t>
            </w:r>
          </w:p>
        </w:tc>
        <w:tc>
          <w:tcPr>
            <w:tcW w:w="850" w:type="dxa"/>
            <w:tcBorders>
              <w:top w:val="nil"/>
              <w:left w:val="nil"/>
              <w:bottom w:val="single" w:sz="4" w:space="0" w:color="auto"/>
              <w:right w:val="nil"/>
            </w:tcBorders>
            <w:shd w:val="clear" w:color="000000" w:fill="BFBFBF"/>
            <w:noWrap/>
            <w:vAlign w:val="center"/>
            <w:hideMark/>
          </w:tcPr>
          <w:p w14:paraId="7578DB1F"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nil"/>
              <w:bottom w:val="single" w:sz="4" w:space="0" w:color="auto"/>
              <w:right w:val="nil"/>
            </w:tcBorders>
            <w:shd w:val="clear" w:color="000000" w:fill="BFBFBF"/>
            <w:noWrap/>
            <w:vAlign w:val="center"/>
            <w:hideMark/>
          </w:tcPr>
          <w:p w14:paraId="387B2F25"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single" w:sz="4" w:space="0" w:color="auto"/>
              <w:right w:val="nil"/>
            </w:tcBorders>
            <w:shd w:val="clear" w:color="auto" w:fill="auto"/>
            <w:noWrap/>
            <w:vAlign w:val="center"/>
            <w:hideMark/>
          </w:tcPr>
          <w:p w14:paraId="68CC7415" w14:textId="77777777" w:rsidR="002513BD" w:rsidRPr="000166F1" w:rsidRDefault="002513BD" w:rsidP="00312E88">
            <w:pPr>
              <w:jc w:val="center"/>
              <w:rPr>
                <w:rFonts w:cs="Arial"/>
                <w:color w:val="000000"/>
                <w:sz w:val="15"/>
                <w:szCs w:val="15"/>
              </w:rPr>
            </w:pPr>
            <w:r w:rsidRPr="000166F1">
              <w:rPr>
                <w:rFonts w:cs="Arial"/>
                <w:color w:val="000000"/>
                <w:sz w:val="15"/>
                <w:szCs w:val="15"/>
              </w:rPr>
              <w:t>21.9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8E3B13" w14:textId="77777777" w:rsidR="002513BD" w:rsidRPr="000166F1" w:rsidRDefault="002513BD" w:rsidP="00312E88">
            <w:pPr>
              <w:jc w:val="center"/>
              <w:rPr>
                <w:rFonts w:cs="Arial"/>
                <w:color w:val="000000"/>
                <w:sz w:val="15"/>
                <w:szCs w:val="15"/>
              </w:rPr>
            </w:pPr>
            <w:r w:rsidRPr="000166F1">
              <w:rPr>
                <w:rFonts w:cs="Arial"/>
                <w:color w:val="000000"/>
                <w:sz w:val="15"/>
                <w:szCs w:val="15"/>
              </w:rPr>
              <w:t>23.8</w:t>
            </w:r>
          </w:p>
        </w:tc>
        <w:tc>
          <w:tcPr>
            <w:tcW w:w="850" w:type="dxa"/>
            <w:tcBorders>
              <w:top w:val="nil"/>
              <w:left w:val="nil"/>
              <w:bottom w:val="single" w:sz="4" w:space="0" w:color="auto"/>
              <w:right w:val="nil"/>
            </w:tcBorders>
            <w:shd w:val="clear" w:color="auto" w:fill="auto"/>
            <w:noWrap/>
            <w:vAlign w:val="center"/>
            <w:hideMark/>
          </w:tcPr>
          <w:p w14:paraId="197CFB88" w14:textId="77777777" w:rsidR="002513BD" w:rsidRPr="000166F1" w:rsidRDefault="002513BD" w:rsidP="00312E88">
            <w:pPr>
              <w:jc w:val="center"/>
              <w:rPr>
                <w:rFonts w:cs="Arial"/>
                <w:color w:val="000000"/>
                <w:sz w:val="15"/>
                <w:szCs w:val="15"/>
              </w:rPr>
            </w:pPr>
            <w:r w:rsidRPr="000166F1">
              <w:rPr>
                <w:rFonts w:cs="Arial"/>
                <w:color w:val="000000"/>
                <w:sz w:val="15"/>
                <w:szCs w:val="15"/>
              </w:rPr>
              <w:t>25.5</w:t>
            </w:r>
          </w:p>
        </w:tc>
        <w:tc>
          <w:tcPr>
            <w:tcW w:w="851" w:type="dxa"/>
            <w:tcBorders>
              <w:top w:val="nil"/>
              <w:left w:val="nil"/>
              <w:bottom w:val="single" w:sz="4" w:space="0" w:color="auto"/>
              <w:right w:val="nil"/>
            </w:tcBorders>
            <w:shd w:val="clear" w:color="auto" w:fill="auto"/>
            <w:noWrap/>
            <w:vAlign w:val="center"/>
            <w:hideMark/>
          </w:tcPr>
          <w:p w14:paraId="6ACA49A6" w14:textId="77777777" w:rsidR="002513BD" w:rsidRPr="000166F1" w:rsidRDefault="002513BD" w:rsidP="00312E88">
            <w:pPr>
              <w:jc w:val="center"/>
              <w:rPr>
                <w:rFonts w:cs="Arial"/>
                <w:color w:val="000000"/>
                <w:sz w:val="15"/>
                <w:szCs w:val="15"/>
              </w:rPr>
            </w:pPr>
            <w:r w:rsidRPr="000166F1">
              <w:rPr>
                <w:rFonts w:cs="Arial"/>
                <w:color w:val="000000"/>
                <w:sz w:val="15"/>
                <w:szCs w:val="15"/>
              </w:rPr>
              <w:t>27.2</w:t>
            </w:r>
          </w:p>
        </w:tc>
        <w:tc>
          <w:tcPr>
            <w:tcW w:w="850" w:type="dxa"/>
            <w:tcBorders>
              <w:top w:val="nil"/>
              <w:left w:val="nil"/>
              <w:bottom w:val="single" w:sz="4" w:space="0" w:color="auto"/>
              <w:right w:val="nil"/>
            </w:tcBorders>
            <w:shd w:val="clear" w:color="auto" w:fill="auto"/>
            <w:noWrap/>
            <w:vAlign w:val="center"/>
            <w:hideMark/>
          </w:tcPr>
          <w:p w14:paraId="6D785CD0" w14:textId="77777777" w:rsidR="002513BD" w:rsidRPr="000166F1" w:rsidRDefault="002513BD" w:rsidP="00312E88">
            <w:pPr>
              <w:jc w:val="center"/>
              <w:rPr>
                <w:rFonts w:cs="Arial"/>
                <w:color w:val="000000"/>
                <w:sz w:val="15"/>
                <w:szCs w:val="15"/>
              </w:rPr>
            </w:pPr>
            <w:r w:rsidRPr="000166F1">
              <w:rPr>
                <w:rFonts w:cs="Arial"/>
                <w:color w:val="000000"/>
                <w:sz w:val="15"/>
                <w:szCs w:val="15"/>
              </w:rPr>
              <w:t>29.0</w:t>
            </w:r>
          </w:p>
        </w:tc>
        <w:tc>
          <w:tcPr>
            <w:tcW w:w="851" w:type="dxa"/>
            <w:tcBorders>
              <w:top w:val="nil"/>
              <w:left w:val="nil"/>
              <w:bottom w:val="single" w:sz="4" w:space="0" w:color="auto"/>
              <w:right w:val="single" w:sz="4" w:space="0" w:color="auto"/>
            </w:tcBorders>
            <w:shd w:val="clear" w:color="auto" w:fill="auto"/>
            <w:noWrap/>
            <w:vAlign w:val="center"/>
            <w:hideMark/>
          </w:tcPr>
          <w:p w14:paraId="3D8D8CFA" w14:textId="77777777" w:rsidR="002513BD" w:rsidRPr="000166F1" w:rsidRDefault="002513BD" w:rsidP="00312E88">
            <w:pPr>
              <w:jc w:val="center"/>
              <w:rPr>
                <w:rFonts w:cs="Arial"/>
                <w:color w:val="000000"/>
                <w:sz w:val="15"/>
                <w:szCs w:val="15"/>
              </w:rPr>
            </w:pPr>
            <w:r w:rsidRPr="000166F1">
              <w:rPr>
                <w:rFonts w:cs="Arial"/>
                <w:color w:val="000000"/>
                <w:sz w:val="15"/>
                <w:szCs w:val="15"/>
              </w:rPr>
              <w:t>30.8</w:t>
            </w:r>
          </w:p>
        </w:tc>
      </w:tr>
      <w:tr w:rsidR="002513BD" w:rsidRPr="000166F1" w14:paraId="19EEBD60" w14:textId="77777777" w:rsidTr="002513BD">
        <w:trPr>
          <w:trHeight w:hRule="exact" w:val="340"/>
        </w:trPr>
        <w:tc>
          <w:tcPr>
            <w:tcW w:w="3114" w:type="dxa"/>
            <w:tcBorders>
              <w:top w:val="nil"/>
              <w:left w:val="single" w:sz="4" w:space="0" w:color="auto"/>
              <w:bottom w:val="single" w:sz="4" w:space="0" w:color="auto"/>
              <w:right w:val="nil"/>
            </w:tcBorders>
            <w:shd w:val="clear" w:color="000000" w:fill="D3C5D7"/>
            <w:noWrap/>
            <w:vAlign w:val="center"/>
            <w:hideMark/>
          </w:tcPr>
          <w:p w14:paraId="3AAFB961" w14:textId="77777777" w:rsidR="002513BD" w:rsidRPr="000166F1" w:rsidRDefault="002513BD" w:rsidP="00312E88">
            <w:pPr>
              <w:rPr>
                <w:rFonts w:cs="Arial"/>
                <w:b/>
                <w:bCs/>
                <w:color w:val="000000"/>
                <w:sz w:val="15"/>
                <w:szCs w:val="15"/>
              </w:rPr>
            </w:pPr>
            <w:r w:rsidRPr="000166F1">
              <w:rPr>
                <w:rFonts w:cs="Arial"/>
                <w:b/>
                <w:bCs/>
                <w:color w:val="000000"/>
                <w:sz w:val="15"/>
                <w:szCs w:val="15"/>
              </w:rPr>
              <w:t>PBS</w:t>
            </w:r>
          </w:p>
        </w:tc>
        <w:tc>
          <w:tcPr>
            <w:tcW w:w="850" w:type="dxa"/>
            <w:tcBorders>
              <w:top w:val="nil"/>
              <w:left w:val="nil"/>
              <w:bottom w:val="single" w:sz="4" w:space="0" w:color="auto"/>
              <w:right w:val="nil"/>
            </w:tcBorders>
            <w:shd w:val="clear" w:color="000000" w:fill="D3C5D7"/>
            <w:noWrap/>
            <w:vAlign w:val="center"/>
            <w:hideMark/>
          </w:tcPr>
          <w:p w14:paraId="02679F46"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nil"/>
            </w:tcBorders>
            <w:shd w:val="clear" w:color="000000" w:fill="D3C5D7"/>
            <w:noWrap/>
            <w:vAlign w:val="center"/>
            <w:hideMark/>
          </w:tcPr>
          <w:p w14:paraId="5C55FC85"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nil"/>
              <w:left w:val="nil"/>
              <w:bottom w:val="single" w:sz="4" w:space="0" w:color="auto"/>
              <w:right w:val="nil"/>
            </w:tcBorders>
            <w:shd w:val="clear" w:color="000000" w:fill="D3C5D7"/>
            <w:noWrap/>
            <w:vAlign w:val="center"/>
            <w:hideMark/>
          </w:tcPr>
          <w:p w14:paraId="69C56E15"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nil"/>
            </w:tcBorders>
            <w:shd w:val="clear" w:color="000000" w:fill="D3C5D7"/>
            <w:noWrap/>
            <w:vAlign w:val="center"/>
            <w:hideMark/>
          </w:tcPr>
          <w:p w14:paraId="561CFE75"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nil"/>
              <w:left w:val="nil"/>
              <w:bottom w:val="single" w:sz="4" w:space="0" w:color="auto"/>
              <w:right w:val="nil"/>
            </w:tcBorders>
            <w:shd w:val="clear" w:color="000000" w:fill="D3C5D7"/>
            <w:noWrap/>
            <w:vAlign w:val="center"/>
            <w:hideMark/>
          </w:tcPr>
          <w:p w14:paraId="315ABEBF"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nil"/>
            </w:tcBorders>
            <w:shd w:val="clear" w:color="000000" w:fill="D3C5D7"/>
            <w:noWrap/>
            <w:vAlign w:val="center"/>
            <w:hideMark/>
          </w:tcPr>
          <w:p w14:paraId="015482FA"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nil"/>
              <w:left w:val="nil"/>
              <w:bottom w:val="single" w:sz="4" w:space="0" w:color="auto"/>
              <w:right w:val="nil"/>
            </w:tcBorders>
            <w:shd w:val="clear" w:color="000000" w:fill="D3C5D7"/>
            <w:noWrap/>
            <w:vAlign w:val="center"/>
            <w:hideMark/>
          </w:tcPr>
          <w:p w14:paraId="22315F47"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single" w:sz="4" w:space="0" w:color="auto"/>
            </w:tcBorders>
            <w:shd w:val="clear" w:color="000000" w:fill="D3C5D7"/>
            <w:noWrap/>
            <w:vAlign w:val="center"/>
            <w:hideMark/>
          </w:tcPr>
          <w:p w14:paraId="5B20F1F2"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r>
      <w:tr w:rsidR="002513BD" w:rsidRPr="000166F1" w14:paraId="59F49D99" w14:textId="77777777" w:rsidTr="00740028">
        <w:trPr>
          <w:trHeight w:hRule="exact" w:val="397"/>
        </w:trPr>
        <w:tc>
          <w:tcPr>
            <w:tcW w:w="3114" w:type="dxa"/>
            <w:tcBorders>
              <w:top w:val="nil"/>
              <w:left w:val="single" w:sz="4" w:space="0" w:color="auto"/>
              <w:bottom w:val="nil"/>
              <w:right w:val="single" w:sz="4" w:space="0" w:color="auto"/>
            </w:tcBorders>
            <w:shd w:val="clear" w:color="auto" w:fill="auto"/>
            <w:noWrap/>
            <w:vAlign w:val="center"/>
            <w:hideMark/>
          </w:tcPr>
          <w:p w14:paraId="76E3CF9B" w14:textId="77777777" w:rsidR="002513BD" w:rsidRPr="000166F1" w:rsidRDefault="002513BD" w:rsidP="00312E88">
            <w:pPr>
              <w:rPr>
                <w:rFonts w:cs="Arial"/>
                <w:color w:val="000000"/>
                <w:sz w:val="15"/>
                <w:szCs w:val="15"/>
              </w:rPr>
            </w:pPr>
            <w:r w:rsidRPr="000166F1">
              <w:rPr>
                <w:rFonts w:cs="Arial"/>
                <w:color w:val="000000"/>
                <w:sz w:val="15"/>
                <w:szCs w:val="15"/>
              </w:rPr>
              <w:t>Portfolio Budget Statements 2021-22</w:t>
            </w:r>
          </w:p>
        </w:tc>
        <w:tc>
          <w:tcPr>
            <w:tcW w:w="850" w:type="dxa"/>
            <w:tcBorders>
              <w:top w:val="nil"/>
              <w:left w:val="nil"/>
              <w:bottom w:val="nil"/>
              <w:right w:val="nil"/>
            </w:tcBorders>
            <w:shd w:val="clear" w:color="000000" w:fill="BFBFBF"/>
            <w:noWrap/>
            <w:vAlign w:val="center"/>
            <w:hideMark/>
          </w:tcPr>
          <w:p w14:paraId="1CA0754E"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nil"/>
              <w:bottom w:val="nil"/>
              <w:right w:val="nil"/>
            </w:tcBorders>
            <w:shd w:val="clear" w:color="000000" w:fill="BFBFBF"/>
            <w:noWrap/>
            <w:vAlign w:val="center"/>
            <w:hideMark/>
          </w:tcPr>
          <w:p w14:paraId="52C0FEE3"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nil"/>
              <w:right w:val="nil"/>
            </w:tcBorders>
            <w:shd w:val="clear" w:color="000000" w:fill="BFBFBF"/>
            <w:noWrap/>
            <w:vAlign w:val="center"/>
            <w:hideMark/>
          </w:tcPr>
          <w:p w14:paraId="50FF243A"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single" w:sz="4" w:space="0" w:color="auto"/>
              <w:bottom w:val="nil"/>
              <w:right w:val="single" w:sz="4" w:space="0" w:color="auto"/>
            </w:tcBorders>
            <w:shd w:val="clear" w:color="000000" w:fill="BFBFBF"/>
            <w:noWrap/>
            <w:vAlign w:val="center"/>
            <w:hideMark/>
          </w:tcPr>
          <w:p w14:paraId="671DB623"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nil"/>
              <w:right w:val="nil"/>
            </w:tcBorders>
            <w:shd w:val="clear" w:color="auto" w:fill="auto"/>
            <w:noWrap/>
            <w:vAlign w:val="center"/>
            <w:hideMark/>
          </w:tcPr>
          <w:p w14:paraId="79E13A39" w14:textId="77777777" w:rsidR="002513BD" w:rsidRPr="000166F1" w:rsidRDefault="002513BD" w:rsidP="00312E88">
            <w:pPr>
              <w:jc w:val="center"/>
              <w:rPr>
                <w:rFonts w:cs="Arial"/>
                <w:color w:val="000000"/>
                <w:sz w:val="15"/>
                <w:szCs w:val="15"/>
              </w:rPr>
            </w:pPr>
            <w:r w:rsidRPr="000166F1">
              <w:rPr>
                <w:rFonts w:cs="Arial"/>
                <w:color w:val="000000"/>
                <w:sz w:val="15"/>
                <w:szCs w:val="15"/>
              </w:rPr>
              <w:t>26.5</w:t>
            </w:r>
          </w:p>
        </w:tc>
        <w:tc>
          <w:tcPr>
            <w:tcW w:w="851" w:type="dxa"/>
            <w:tcBorders>
              <w:top w:val="nil"/>
              <w:left w:val="nil"/>
              <w:bottom w:val="nil"/>
              <w:right w:val="nil"/>
            </w:tcBorders>
            <w:shd w:val="clear" w:color="auto" w:fill="auto"/>
            <w:noWrap/>
            <w:vAlign w:val="center"/>
            <w:hideMark/>
          </w:tcPr>
          <w:p w14:paraId="508390EC" w14:textId="77777777" w:rsidR="002513BD" w:rsidRPr="000166F1" w:rsidRDefault="002513BD" w:rsidP="00312E88">
            <w:pPr>
              <w:jc w:val="center"/>
              <w:rPr>
                <w:rFonts w:cs="Arial"/>
                <w:color w:val="000000"/>
                <w:sz w:val="15"/>
                <w:szCs w:val="15"/>
              </w:rPr>
            </w:pPr>
            <w:r w:rsidRPr="000166F1">
              <w:rPr>
                <w:rFonts w:cs="Arial"/>
                <w:color w:val="000000"/>
                <w:sz w:val="15"/>
                <w:szCs w:val="15"/>
              </w:rPr>
              <w:t>28.3</w:t>
            </w:r>
          </w:p>
        </w:tc>
        <w:tc>
          <w:tcPr>
            <w:tcW w:w="850" w:type="dxa"/>
            <w:tcBorders>
              <w:top w:val="nil"/>
              <w:left w:val="nil"/>
              <w:bottom w:val="nil"/>
              <w:right w:val="nil"/>
            </w:tcBorders>
            <w:shd w:val="clear" w:color="auto" w:fill="auto"/>
            <w:noWrap/>
            <w:vAlign w:val="center"/>
            <w:hideMark/>
          </w:tcPr>
          <w:p w14:paraId="625B7D15" w14:textId="77777777" w:rsidR="002513BD" w:rsidRPr="000166F1" w:rsidRDefault="002513BD" w:rsidP="00312E88">
            <w:pPr>
              <w:jc w:val="center"/>
              <w:rPr>
                <w:rFonts w:cs="Arial"/>
                <w:color w:val="000000"/>
                <w:sz w:val="15"/>
                <w:szCs w:val="15"/>
              </w:rPr>
            </w:pPr>
            <w:r w:rsidRPr="000166F1">
              <w:rPr>
                <w:rFonts w:cs="Arial"/>
                <w:color w:val="000000"/>
                <w:sz w:val="15"/>
                <w:szCs w:val="15"/>
              </w:rPr>
              <w:t>29.4</w:t>
            </w:r>
          </w:p>
        </w:tc>
        <w:tc>
          <w:tcPr>
            <w:tcW w:w="851" w:type="dxa"/>
            <w:tcBorders>
              <w:top w:val="nil"/>
              <w:left w:val="nil"/>
              <w:bottom w:val="nil"/>
              <w:right w:val="single" w:sz="4" w:space="0" w:color="auto"/>
            </w:tcBorders>
            <w:shd w:val="clear" w:color="auto" w:fill="auto"/>
            <w:noWrap/>
            <w:vAlign w:val="center"/>
            <w:hideMark/>
          </w:tcPr>
          <w:p w14:paraId="6ADA762D" w14:textId="77777777" w:rsidR="002513BD" w:rsidRPr="000166F1" w:rsidRDefault="002513BD" w:rsidP="00312E88">
            <w:pPr>
              <w:jc w:val="center"/>
              <w:rPr>
                <w:rFonts w:cs="Arial"/>
                <w:color w:val="000000"/>
                <w:sz w:val="15"/>
                <w:szCs w:val="15"/>
              </w:rPr>
            </w:pPr>
            <w:r w:rsidRPr="000166F1">
              <w:rPr>
                <w:rFonts w:cs="Arial"/>
                <w:color w:val="000000"/>
                <w:sz w:val="15"/>
                <w:szCs w:val="15"/>
              </w:rPr>
              <w:t>31.9</w:t>
            </w:r>
          </w:p>
        </w:tc>
      </w:tr>
      <w:tr w:rsidR="002513BD" w:rsidRPr="000166F1" w14:paraId="14ADAFB1" w14:textId="77777777" w:rsidTr="002513BD">
        <w:trPr>
          <w:trHeight w:hRule="exact" w:val="340"/>
        </w:trPr>
        <w:tc>
          <w:tcPr>
            <w:tcW w:w="3114" w:type="dxa"/>
            <w:tcBorders>
              <w:top w:val="single" w:sz="4" w:space="0" w:color="auto"/>
              <w:left w:val="single" w:sz="4" w:space="0" w:color="auto"/>
              <w:bottom w:val="single" w:sz="4" w:space="0" w:color="auto"/>
              <w:right w:val="nil"/>
            </w:tcBorders>
            <w:shd w:val="clear" w:color="000000" w:fill="D3C5D7"/>
            <w:noWrap/>
            <w:vAlign w:val="center"/>
            <w:hideMark/>
          </w:tcPr>
          <w:p w14:paraId="184EDD29" w14:textId="77777777" w:rsidR="002513BD" w:rsidRPr="000166F1" w:rsidRDefault="002513BD" w:rsidP="00312E88">
            <w:pPr>
              <w:rPr>
                <w:rFonts w:cs="Arial"/>
                <w:b/>
                <w:bCs/>
                <w:color w:val="000000"/>
                <w:sz w:val="15"/>
                <w:szCs w:val="15"/>
              </w:rPr>
            </w:pPr>
            <w:r w:rsidRPr="000166F1">
              <w:rPr>
                <w:rFonts w:cs="Arial"/>
                <w:b/>
                <w:bCs/>
                <w:color w:val="000000"/>
                <w:sz w:val="15"/>
                <w:szCs w:val="15"/>
              </w:rPr>
              <w:t>AFSR</w:t>
            </w:r>
          </w:p>
        </w:tc>
        <w:tc>
          <w:tcPr>
            <w:tcW w:w="850" w:type="dxa"/>
            <w:tcBorders>
              <w:top w:val="single" w:sz="4" w:space="0" w:color="auto"/>
              <w:left w:val="nil"/>
              <w:bottom w:val="single" w:sz="4" w:space="0" w:color="auto"/>
              <w:right w:val="nil"/>
            </w:tcBorders>
            <w:shd w:val="clear" w:color="000000" w:fill="D3C5D7"/>
            <w:noWrap/>
            <w:vAlign w:val="center"/>
            <w:hideMark/>
          </w:tcPr>
          <w:p w14:paraId="24873AEC"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single" w:sz="4" w:space="0" w:color="auto"/>
              <w:left w:val="nil"/>
              <w:bottom w:val="single" w:sz="4" w:space="0" w:color="auto"/>
              <w:right w:val="nil"/>
            </w:tcBorders>
            <w:shd w:val="clear" w:color="000000" w:fill="D3C5D7"/>
            <w:noWrap/>
            <w:vAlign w:val="center"/>
            <w:hideMark/>
          </w:tcPr>
          <w:p w14:paraId="72EC3F15"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single" w:sz="4" w:space="0" w:color="auto"/>
              <w:left w:val="nil"/>
              <w:bottom w:val="single" w:sz="4" w:space="0" w:color="auto"/>
              <w:right w:val="nil"/>
            </w:tcBorders>
            <w:shd w:val="clear" w:color="000000" w:fill="D3C5D7"/>
            <w:noWrap/>
            <w:vAlign w:val="center"/>
            <w:hideMark/>
          </w:tcPr>
          <w:p w14:paraId="6C3CF02D"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single" w:sz="4" w:space="0" w:color="auto"/>
              <w:left w:val="nil"/>
              <w:bottom w:val="single" w:sz="4" w:space="0" w:color="auto"/>
              <w:right w:val="nil"/>
            </w:tcBorders>
            <w:shd w:val="clear" w:color="000000" w:fill="D3C5D7"/>
            <w:noWrap/>
            <w:vAlign w:val="center"/>
            <w:hideMark/>
          </w:tcPr>
          <w:p w14:paraId="78D6EFBF"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single" w:sz="4" w:space="0" w:color="auto"/>
              <w:left w:val="nil"/>
              <w:bottom w:val="single" w:sz="4" w:space="0" w:color="auto"/>
              <w:right w:val="nil"/>
            </w:tcBorders>
            <w:shd w:val="clear" w:color="000000" w:fill="D3C5D7"/>
            <w:noWrap/>
            <w:vAlign w:val="center"/>
            <w:hideMark/>
          </w:tcPr>
          <w:p w14:paraId="68B866E6"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single" w:sz="4" w:space="0" w:color="auto"/>
              <w:left w:val="nil"/>
              <w:bottom w:val="single" w:sz="4" w:space="0" w:color="auto"/>
              <w:right w:val="nil"/>
            </w:tcBorders>
            <w:shd w:val="clear" w:color="000000" w:fill="D3C5D7"/>
            <w:noWrap/>
            <w:vAlign w:val="center"/>
            <w:hideMark/>
          </w:tcPr>
          <w:p w14:paraId="055070C8"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single" w:sz="4" w:space="0" w:color="auto"/>
              <w:left w:val="nil"/>
              <w:bottom w:val="single" w:sz="4" w:space="0" w:color="auto"/>
              <w:right w:val="nil"/>
            </w:tcBorders>
            <w:shd w:val="clear" w:color="000000" w:fill="D3C5D7"/>
            <w:noWrap/>
            <w:vAlign w:val="center"/>
            <w:hideMark/>
          </w:tcPr>
          <w:p w14:paraId="7A03595B"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single" w:sz="4" w:space="0" w:color="auto"/>
              <w:left w:val="nil"/>
              <w:bottom w:val="single" w:sz="4" w:space="0" w:color="auto"/>
              <w:right w:val="single" w:sz="4" w:space="0" w:color="auto"/>
            </w:tcBorders>
            <w:shd w:val="clear" w:color="000000" w:fill="D3C5D7"/>
            <w:noWrap/>
            <w:vAlign w:val="center"/>
            <w:hideMark/>
          </w:tcPr>
          <w:p w14:paraId="6D87FACE"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r>
      <w:tr w:rsidR="002513BD" w:rsidRPr="000166F1" w14:paraId="5D22B00B" w14:textId="77777777" w:rsidTr="002513BD">
        <w:trPr>
          <w:trHeight w:hRule="exact" w:val="34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639E0B5" w14:textId="77777777" w:rsidR="002513BD" w:rsidRPr="000166F1" w:rsidRDefault="002513BD" w:rsidP="00312E88">
            <w:pPr>
              <w:rPr>
                <w:rFonts w:cs="Arial"/>
                <w:color w:val="000000"/>
                <w:sz w:val="15"/>
                <w:szCs w:val="15"/>
              </w:rPr>
            </w:pPr>
            <w:r w:rsidRPr="000166F1">
              <w:rPr>
                <w:rFonts w:cs="Arial"/>
                <w:color w:val="000000"/>
                <w:sz w:val="15"/>
                <w:szCs w:val="15"/>
              </w:rPr>
              <w:t>30 June 2021 AFSR projection</w:t>
            </w:r>
          </w:p>
        </w:tc>
        <w:tc>
          <w:tcPr>
            <w:tcW w:w="850" w:type="dxa"/>
            <w:tcBorders>
              <w:top w:val="nil"/>
              <w:left w:val="nil"/>
              <w:bottom w:val="single" w:sz="4" w:space="0" w:color="auto"/>
              <w:right w:val="nil"/>
            </w:tcBorders>
            <w:shd w:val="clear" w:color="000000" w:fill="BFBFBF"/>
            <w:noWrap/>
            <w:vAlign w:val="center"/>
            <w:hideMark/>
          </w:tcPr>
          <w:p w14:paraId="556E5D90"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nil"/>
              <w:bottom w:val="single" w:sz="4" w:space="0" w:color="auto"/>
              <w:right w:val="nil"/>
            </w:tcBorders>
            <w:shd w:val="clear" w:color="000000" w:fill="BFBFBF"/>
            <w:noWrap/>
            <w:vAlign w:val="center"/>
            <w:hideMark/>
          </w:tcPr>
          <w:p w14:paraId="0608470A"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single" w:sz="4" w:space="0" w:color="auto"/>
              <w:right w:val="nil"/>
            </w:tcBorders>
            <w:shd w:val="clear" w:color="000000" w:fill="BFBFBF"/>
            <w:noWrap/>
            <w:vAlign w:val="center"/>
            <w:hideMark/>
          </w:tcPr>
          <w:p w14:paraId="069A096D"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single" w:sz="4" w:space="0" w:color="auto"/>
              <w:bottom w:val="single" w:sz="4" w:space="0" w:color="auto"/>
              <w:right w:val="single" w:sz="4" w:space="0" w:color="auto"/>
            </w:tcBorders>
            <w:shd w:val="clear" w:color="000000" w:fill="BFBFBF"/>
            <w:noWrap/>
            <w:vAlign w:val="center"/>
            <w:hideMark/>
          </w:tcPr>
          <w:p w14:paraId="5E685650"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single" w:sz="4" w:space="0" w:color="auto"/>
              <w:right w:val="nil"/>
            </w:tcBorders>
            <w:shd w:val="clear" w:color="auto" w:fill="auto"/>
            <w:noWrap/>
            <w:vAlign w:val="center"/>
            <w:hideMark/>
          </w:tcPr>
          <w:p w14:paraId="63C43259" w14:textId="77777777" w:rsidR="002513BD" w:rsidRPr="000166F1" w:rsidRDefault="002513BD" w:rsidP="00312E88">
            <w:pPr>
              <w:jc w:val="center"/>
              <w:rPr>
                <w:rFonts w:cs="Arial"/>
                <w:color w:val="000000"/>
                <w:sz w:val="15"/>
                <w:szCs w:val="15"/>
              </w:rPr>
            </w:pPr>
            <w:r w:rsidRPr="000166F1">
              <w:rPr>
                <w:rFonts w:cs="Arial"/>
                <w:color w:val="000000"/>
                <w:sz w:val="15"/>
                <w:szCs w:val="15"/>
              </w:rPr>
              <w:t>29.2</w:t>
            </w:r>
          </w:p>
        </w:tc>
        <w:tc>
          <w:tcPr>
            <w:tcW w:w="851" w:type="dxa"/>
            <w:tcBorders>
              <w:top w:val="nil"/>
              <w:left w:val="nil"/>
              <w:bottom w:val="single" w:sz="4" w:space="0" w:color="auto"/>
              <w:right w:val="nil"/>
            </w:tcBorders>
            <w:shd w:val="clear" w:color="auto" w:fill="auto"/>
            <w:noWrap/>
            <w:vAlign w:val="center"/>
            <w:hideMark/>
          </w:tcPr>
          <w:p w14:paraId="78CC60C3" w14:textId="77777777" w:rsidR="002513BD" w:rsidRPr="000166F1" w:rsidRDefault="002513BD" w:rsidP="00312E88">
            <w:pPr>
              <w:jc w:val="center"/>
              <w:rPr>
                <w:rFonts w:cs="Arial"/>
                <w:color w:val="000000"/>
                <w:sz w:val="15"/>
                <w:szCs w:val="15"/>
              </w:rPr>
            </w:pPr>
            <w:r w:rsidRPr="000166F1">
              <w:rPr>
                <w:rFonts w:cs="Arial"/>
                <w:color w:val="000000"/>
                <w:sz w:val="15"/>
                <w:szCs w:val="15"/>
              </w:rPr>
              <w:t>33.9</w:t>
            </w:r>
          </w:p>
        </w:tc>
        <w:tc>
          <w:tcPr>
            <w:tcW w:w="850" w:type="dxa"/>
            <w:tcBorders>
              <w:top w:val="nil"/>
              <w:left w:val="nil"/>
              <w:bottom w:val="single" w:sz="4" w:space="0" w:color="auto"/>
              <w:right w:val="nil"/>
            </w:tcBorders>
            <w:shd w:val="clear" w:color="auto" w:fill="auto"/>
            <w:noWrap/>
            <w:vAlign w:val="center"/>
            <w:hideMark/>
          </w:tcPr>
          <w:p w14:paraId="53A91046" w14:textId="77777777" w:rsidR="002513BD" w:rsidRPr="000166F1" w:rsidRDefault="002513BD" w:rsidP="00312E88">
            <w:pPr>
              <w:jc w:val="center"/>
              <w:rPr>
                <w:rFonts w:cs="Arial"/>
                <w:color w:val="000000"/>
                <w:sz w:val="15"/>
                <w:szCs w:val="15"/>
              </w:rPr>
            </w:pPr>
            <w:r w:rsidRPr="000166F1">
              <w:rPr>
                <w:rFonts w:cs="Arial"/>
                <w:color w:val="000000"/>
                <w:sz w:val="15"/>
                <w:szCs w:val="15"/>
              </w:rPr>
              <w:t>38.0</w:t>
            </w:r>
          </w:p>
        </w:tc>
        <w:tc>
          <w:tcPr>
            <w:tcW w:w="851" w:type="dxa"/>
            <w:tcBorders>
              <w:top w:val="nil"/>
              <w:left w:val="nil"/>
              <w:bottom w:val="single" w:sz="4" w:space="0" w:color="auto"/>
              <w:right w:val="single" w:sz="4" w:space="0" w:color="auto"/>
            </w:tcBorders>
            <w:shd w:val="clear" w:color="auto" w:fill="auto"/>
            <w:noWrap/>
            <w:vAlign w:val="center"/>
            <w:hideMark/>
          </w:tcPr>
          <w:p w14:paraId="17E23BF4" w14:textId="77777777" w:rsidR="002513BD" w:rsidRPr="000166F1" w:rsidRDefault="002513BD" w:rsidP="00312E88">
            <w:pPr>
              <w:jc w:val="center"/>
              <w:rPr>
                <w:rFonts w:cs="Arial"/>
                <w:color w:val="000000"/>
                <w:sz w:val="15"/>
                <w:szCs w:val="15"/>
              </w:rPr>
            </w:pPr>
            <w:r w:rsidRPr="000166F1">
              <w:rPr>
                <w:rFonts w:cs="Arial"/>
                <w:color w:val="000000"/>
                <w:sz w:val="15"/>
                <w:szCs w:val="15"/>
              </w:rPr>
              <w:t>41.4</w:t>
            </w:r>
          </w:p>
        </w:tc>
      </w:tr>
      <w:tr w:rsidR="002513BD" w:rsidRPr="000166F1" w14:paraId="047AFAE5" w14:textId="77777777" w:rsidTr="002513BD">
        <w:trPr>
          <w:trHeight w:hRule="exact" w:val="34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6C87CE0" w14:textId="5C5B9432" w:rsidR="002513BD" w:rsidRPr="000166F1" w:rsidRDefault="002513BD" w:rsidP="00312E88">
            <w:pPr>
              <w:rPr>
                <w:rFonts w:cs="Arial"/>
                <w:color w:val="000000"/>
                <w:sz w:val="15"/>
                <w:szCs w:val="15"/>
              </w:rPr>
            </w:pPr>
            <w:r w:rsidRPr="000166F1">
              <w:rPr>
                <w:rFonts w:cs="Arial"/>
                <w:color w:val="000000"/>
                <w:sz w:val="15"/>
                <w:szCs w:val="15"/>
              </w:rPr>
              <w:t>31 December 2020 AFSR projection</w:t>
            </w:r>
            <w:r w:rsidR="00604441" w:rsidRPr="00604441">
              <w:rPr>
                <w:rFonts w:cs="Arial"/>
                <w:color w:val="000000"/>
                <w:sz w:val="15"/>
                <w:szCs w:val="15"/>
                <w:vertAlign w:val="superscript"/>
              </w:rPr>
              <w:t>1</w:t>
            </w:r>
          </w:p>
        </w:tc>
        <w:tc>
          <w:tcPr>
            <w:tcW w:w="850" w:type="dxa"/>
            <w:tcBorders>
              <w:top w:val="nil"/>
              <w:left w:val="nil"/>
              <w:bottom w:val="single" w:sz="4" w:space="0" w:color="auto"/>
              <w:right w:val="nil"/>
            </w:tcBorders>
            <w:shd w:val="clear" w:color="000000" w:fill="BFBFBF"/>
            <w:noWrap/>
            <w:vAlign w:val="center"/>
            <w:hideMark/>
          </w:tcPr>
          <w:p w14:paraId="246B5FEA"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nil"/>
              <w:bottom w:val="single" w:sz="4" w:space="0" w:color="auto"/>
              <w:right w:val="nil"/>
            </w:tcBorders>
            <w:shd w:val="clear" w:color="000000" w:fill="BFBFBF"/>
            <w:noWrap/>
            <w:vAlign w:val="center"/>
            <w:hideMark/>
          </w:tcPr>
          <w:p w14:paraId="464B52DF"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single" w:sz="4" w:space="0" w:color="auto"/>
              <w:right w:val="nil"/>
            </w:tcBorders>
            <w:shd w:val="clear" w:color="000000" w:fill="BFBFBF"/>
            <w:noWrap/>
            <w:vAlign w:val="center"/>
            <w:hideMark/>
          </w:tcPr>
          <w:p w14:paraId="52B71E0F"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single" w:sz="4" w:space="0" w:color="auto"/>
              <w:bottom w:val="single" w:sz="4" w:space="0" w:color="auto"/>
              <w:right w:val="single" w:sz="4" w:space="0" w:color="auto"/>
            </w:tcBorders>
            <w:shd w:val="clear" w:color="000000" w:fill="BFBFBF"/>
            <w:noWrap/>
            <w:vAlign w:val="center"/>
            <w:hideMark/>
          </w:tcPr>
          <w:p w14:paraId="5609189D"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single" w:sz="4" w:space="0" w:color="auto"/>
              <w:right w:val="nil"/>
            </w:tcBorders>
            <w:shd w:val="clear" w:color="auto" w:fill="auto"/>
            <w:noWrap/>
            <w:vAlign w:val="center"/>
            <w:hideMark/>
          </w:tcPr>
          <w:p w14:paraId="36021FD8" w14:textId="77777777" w:rsidR="002513BD" w:rsidRPr="000166F1" w:rsidRDefault="002513BD" w:rsidP="00312E88">
            <w:pPr>
              <w:jc w:val="center"/>
              <w:rPr>
                <w:rFonts w:cs="Arial"/>
                <w:color w:val="000000"/>
                <w:sz w:val="15"/>
                <w:szCs w:val="15"/>
              </w:rPr>
            </w:pPr>
            <w:r w:rsidRPr="000166F1">
              <w:rPr>
                <w:rFonts w:cs="Arial"/>
                <w:color w:val="000000"/>
                <w:sz w:val="15"/>
                <w:szCs w:val="15"/>
              </w:rPr>
              <w:t>28.1</w:t>
            </w:r>
          </w:p>
        </w:tc>
        <w:tc>
          <w:tcPr>
            <w:tcW w:w="851" w:type="dxa"/>
            <w:tcBorders>
              <w:top w:val="nil"/>
              <w:left w:val="nil"/>
              <w:bottom w:val="single" w:sz="4" w:space="0" w:color="auto"/>
              <w:right w:val="nil"/>
            </w:tcBorders>
            <w:shd w:val="clear" w:color="auto" w:fill="auto"/>
            <w:noWrap/>
            <w:vAlign w:val="center"/>
            <w:hideMark/>
          </w:tcPr>
          <w:p w14:paraId="0A8C6F06" w14:textId="77777777" w:rsidR="002513BD" w:rsidRPr="000166F1" w:rsidRDefault="002513BD" w:rsidP="00312E88">
            <w:pPr>
              <w:jc w:val="center"/>
              <w:rPr>
                <w:rFonts w:cs="Arial"/>
                <w:color w:val="000000"/>
                <w:sz w:val="15"/>
                <w:szCs w:val="15"/>
              </w:rPr>
            </w:pPr>
            <w:r w:rsidRPr="000166F1">
              <w:rPr>
                <w:rFonts w:cs="Arial"/>
                <w:color w:val="000000"/>
                <w:sz w:val="15"/>
                <w:szCs w:val="15"/>
              </w:rPr>
              <w:t>32.9</w:t>
            </w:r>
          </w:p>
        </w:tc>
        <w:tc>
          <w:tcPr>
            <w:tcW w:w="850" w:type="dxa"/>
            <w:tcBorders>
              <w:top w:val="nil"/>
              <w:left w:val="nil"/>
              <w:bottom w:val="single" w:sz="4" w:space="0" w:color="auto"/>
              <w:right w:val="nil"/>
            </w:tcBorders>
            <w:shd w:val="clear" w:color="auto" w:fill="auto"/>
            <w:noWrap/>
            <w:vAlign w:val="center"/>
            <w:hideMark/>
          </w:tcPr>
          <w:p w14:paraId="488BEC95" w14:textId="77777777" w:rsidR="002513BD" w:rsidRPr="000166F1" w:rsidRDefault="002513BD" w:rsidP="00312E88">
            <w:pPr>
              <w:jc w:val="center"/>
              <w:rPr>
                <w:rFonts w:cs="Arial"/>
                <w:color w:val="000000"/>
                <w:sz w:val="15"/>
                <w:szCs w:val="15"/>
              </w:rPr>
            </w:pPr>
            <w:r w:rsidRPr="000166F1">
              <w:rPr>
                <w:rFonts w:cs="Arial"/>
                <w:color w:val="000000"/>
                <w:sz w:val="15"/>
                <w:szCs w:val="15"/>
              </w:rPr>
              <w:t>36.9</w:t>
            </w:r>
          </w:p>
        </w:tc>
        <w:tc>
          <w:tcPr>
            <w:tcW w:w="851" w:type="dxa"/>
            <w:tcBorders>
              <w:top w:val="nil"/>
              <w:left w:val="nil"/>
              <w:bottom w:val="single" w:sz="4" w:space="0" w:color="auto"/>
              <w:right w:val="single" w:sz="4" w:space="0" w:color="auto"/>
            </w:tcBorders>
            <w:shd w:val="clear" w:color="auto" w:fill="auto"/>
            <w:noWrap/>
            <w:vAlign w:val="center"/>
            <w:hideMark/>
          </w:tcPr>
          <w:p w14:paraId="3AFFDAD5" w14:textId="77777777" w:rsidR="002513BD" w:rsidRPr="000166F1" w:rsidRDefault="002513BD" w:rsidP="00312E88">
            <w:pPr>
              <w:jc w:val="center"/>
              <w:rPr>
                <w:rFonts w:cs="Arial"/>
                <w:color w:val="000000"/>
                <w:sz w:val="15"/>
                <w:szCs w:val="15"/>
              </w:rPr>
            </w:pPr>
            <w:r w:rsidRPr="000166F1">
              <w:rPr>
                <w:rFonts w:cs="Arial"/>
                <w:color w:val="000000"/>
                <w:sz w:val="15"/>
                <w:szCs w:val="15"/>
              </w:rPr>
              <w:t>40.7</w:t>
            </w:r>
          </w:p>
        </w:tc>
      </w:tr>
      <w:tr w:rsidR="002513BD" w:rsidRPr="000166F1" w14:paraId="46D2823C" w14:textId="77777777" w:rsidTr="002513BD">
        <w:trPr>
          <w:trHeight w:hRule="exact" w:val="34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CF7CAAD" w14:textId="77777777" w:rsidR="002513BD" w:rsidRPr="000166F1" w:rsidRDefault="002513BD" w:rsidP="00312E88">
            <w:pPr>
              <w:rPr>
                <w:rFonts w:cs="Arial"/>
                <w:color w:val="000000"/>
                <w:sz w:val="15"/>
                <w:szCs w:val="15"/>
              </w:rPr>
            </w:pPr>
            <w:r w:rsidRPr="000166F1">
              <w:rPr>
                <w:rFonts w:cs="Arial"/>
                <w:color w:val="000000"/>
                <w:sz w:val="15"/>
                <w:szCs w:val="15"/>
              </w:rPr>
              <w:t>30 June 2020 AFSR projection</w:t>
            </w:r>
          </w:p>
        </w:tc>
        <w:tc>
          <w:tcPr>
            <w:tcW w:w="850" w:type="dxa"/>
            <w:tcBorders>
              <w:top w:val="nil"/>
              <w:left w:val="nil"/>
              <w:bottom w:val="single" w:sz="4" w:space="0" w:color="auto"/>
              <w:right w:val="nil"/>
            </w:tcBorders>
            <w:shd w:val="clear" w:color="000000" w:fill="BFBFBF"/>
            <w:noWrap/>
            <w:vAlign w:val="center"/>
            <w:hideMark/>
          </w:tcPr>
          <w:p w14:paraId="4927447C"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nil"/>
              <w:bottom w:val="single" w:sz="4" w:space="0" w:color="auto"/>
              <w:right w:val="nil"/>
            </w:tcBorders>
            <w:shd w:val="clear" w:color="000000" w:fill="BFBFBF"/>
            <w:noWrap/>
            <w:vAlign w:val="center"/>
            <w:hideMark/>
          </w:tcPr>
          <w:p w14:paraId="027B29C9"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single" w:sz="4" w:space="0" w:color="auto"/>
              <w:right w:val="nil"/>
            </w:tcBorders>
            <w:shd w:val="clear" w:color="000000" w:fill="BFBFBF"/>
            <w:noWrap/>
            <w:vAlign w:val="center"/>
            <w:hideMark/>
          </w:tcPr>
          <w:p w14:paraId="49FEA43D"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single" w:sz="4" w:space="0" w:color="auto"/>
              <w:bottom w:val="single" w:sz="4" w:space="0" w:color="auto"/>
              <w:right w:val="single" w:sz="4" w:space="0" w:color="auto"/>
            </w:tcBorders>
            <w:shd w:val="clear" w:color="000000" w:fill="FFE699"/>
            <w:noWrap/>
            <w:vAlign w:val="center"/>
            <w:hideMark/>
          </w:tcPr>
          <w:p w14:paraId="48EF960C" w14:textId="77777777" w:rsidR="002513BD" w:rsidRPr="000166F1" w:rsidRDefault="002513BD" w:rsidP="00312E88">
            <w:pPr>
              <w:jc w:val="center"/>
              <w:rPr>
                <w:rFonts w:cs="Arial"/>
                <w:color w:val="000000"/>
                <w:sz w:val="15"/>
                <w:szCs w:val="15"/>
              </w:rPr>
            </w:pPr>
            <w:r w:rsidRPr="000166F1">
              <w:rPr>
                <w:rFonts w:cs="Arial"/>
                <w:color w:val="000000"/>
                <w:sz w:val="15"/>
                <w:szCs w:val="15"/>
              </w:rPr>
              <w:t>22.3</w:t>
            </w:r>
          </w:p>
        </w:tc>
        <w:tc>
          <w:tcPr>
            <w:tcW w:w="850" w:type="dxa"/>
            <w:tcBorders>
              <w:top w:val="nil"/>
              <w:left w:val="nil"/>
              <w:bottom w:val="single" w:sz="4" w:space="0" w:color="auto"/>
              <w:right w:val="nil"/>
            </w:tcBorders>
            <w:shd w:val="clear" w:color="auto" w:fill="auto"/>
            <w:noWrap/>
            <w:vAlign w:val="center"/>
            <w:hideMark/>
          </w:tcPr>
          <w:p w14:paraId="2A5C2BB1" w14:textId="77777777" w:rsidR="002513BD" w:rsidRPr="000166F1" w:rsidRDefault="002513BD" w:rsidP="00312E88">
            <w:pPr>
              <w:jc w:val="center"/>
              <w:rPr>
                <w:rFonts w:cs="Arial"/>
                <w:color w:val="000000"/>
                <w:sz w:val="15"/>
                <w:szCs w:val="15"/>
              </w:rPr>
            </w:pPr>
            <w:r w:rsidRPr="000166F1">
              <w:rPr>
                <w:rFonts w:cs="Arial"/>
                <w:color w:val="000000"/>
                <w:sz w:val="15"/>
                <w:szCs w:val="15"/>
              </w:rPr>
              <w:t>26.1</w:t>
            </w:r>
          </w:p>
        </w:tc>
        <w:tc>
          <w:tcPr>
            <w:tcW w:w="851" w:type="dxa"/>
            <w:tcBorders>
              <w:top w:val="nil"/>
              <w:left w:val="nil"/>
              <w:bottom w:val="single" w:sz="4" w:space="0" w:color="auto"/>
              <w:right w:val="nil"/>
            </w:tcBorders>
            <w:shd w:val="clear" w:color="auto" w:fill="auto"/>
            <w:noWrap/>
            <w:vAlign w:val="center"/>
            <w:hideMark/>
          </w:tcPr>
          <w:p w14:paraId="2D04FD45" w14:textId="77777777" w:rsidR="002513BD" w:rsidRPr="000166F1" w:rsidRDefault="002513BD" w:rsidP="00312E88">
            <w:pPr>
              <w:jc w:val="center"/>
              <w:rPr>
                <w:rFonts w:cs="Arial"/>
                <w:color w:val="000000"/>
                <w:sz w:val="15"/>
                <w:szCs w:val="15"/>
              </w:rPr>
            </w:pPr>
            <w:r w:rsidRPr="000166F1">
              <w:rPr>
                <w:rFonts w:cs="Arial"/>
                <w:color w:val="000000"/>
                <w:sz w:val="15"/>
                <w:szCs w:val="15"/>
              </w:rPr>
              <w:t>28.9</w:t>
            </w:r>
          </w:p>
        </w:tc>
        <w:tc>
          <w:tcPr>
            <w:tcW w:w="850" w:type="dxa"/>
            <w:tcBorders>
              <w:top w:val="nil"/>
              <w:left w:val="nil"/>
              <w:bottom w:val="single" w:sz="4" w:space="0" w:color="auto"/>
              <w:right w:val="nil"/>
            </w:tcBorders>
            <w:shd w:val="clear" w:color="auto" w:fill="auto"/>
            <w:noWrap/>
            <w:vAlign w:val="center"/>
            <w:hideMark/>
          </w:tcPr>
          <w:p w14:paraId="3374FCFC" w14:textId="77777777" w:rsidR="002513BD" w:rsidRPr="000166F1" w:rsidRDefault="002513BD" w:rsidP="00312E88">
            <w:pPr>
              <w:jc w:val="center"/>
              <w:rPr>
                <w:rFonts w:cs="Arial"/>
                <w:color w:val="000000"/>
                <w:sz w:val="15"/>
                <w:szCs w:val="15"/>
              </w:rPr>
            </w:pPr>
            <w:r w:rsidRPr="000166F1">
              <w:rPr>
                <w:rFonts w:cs="Arial"/>
                <w:color w:val="000000"/>
                <w:sz w:val="15"/>
                <w:szCs w:val="15"/>
              </w:rPr>
              <w:t>31.4</w:t>
            </w:r>
          </w:p>
        </w:tc>
        <w:tc>
          <w:tcPr>
            <w:tcW w:w="851" w:type="dxa"/>
            <w:tcBorders>
              <w:top w:val="nil"/>
              <w:left w:val="nil"/>
              <w:bottom w:val="single" w:sz="4" w:space="0" w:color="auto"/>
              <w:right w:val="single" w:sz="4" w:space="0" w:color="auto"/>
            </w:tcBorders>
            <w:shd w:val="clear" w:color="auto" w:fill="auto"/>
            <w:noWrap/>
            <w:vAlign w:val="center"/>
            <w:hideMark/>
          </w:tcPr>
          <w:p w14:paraId="2A1A1CE0" w14:textId="77777777" w:rsidR="002513BD" w:rsidRPr="000166F1" w:rsidRDefault="002513BD" w:rsidP="00312E88">
            <w:pPr>
              <w:jc w:val="center"/>
              <w:rPr>
                <w:rFonts w:cs="Arial"/>
                <w:color w:val="000000"/>
                <w:sz w:val="15"/>
                <w:szCs w:val="15"/>
              </w:rPr>
            </w:pPr>
            <w:r w:rsidRPr="000166F1">
              <w:rPr>
                <w:rFonts w:cs="Arial"/>
                <w:color w:val="000000"/>
                <w:sz w:val="15"/>
                <w:szCs w:val="15"/>
              </w:rPr>
              <w:t>34.3</w:t>
            </w:r>
          </w:p>
        </w:tc>
      </w:tr>
      <w:tr w:rsidR="002513BD" w:rsidRPr="000166F1" w14:paraId="080E0B8D" w14:textId="77777777" w:rsidTr="002513BD">
        <w:trPr>
          <w:trHeight w:hRule="exact" w:val="34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4DB0EDE" w14:textId="77777777" w:rsidR="002513BD" w:rsidRPr="000166F1" w:rsidRDefault="002513BD" w:rsidP="00312E88">
            <w:pPr>
              <w:rPr>
                <w:rFonts w:cs="Arial"/>
                <w:color w:val="000000"/>
                <w:sz w:val="15"/>
                <w:szCs w:val="15"/>
              </w:rPr>
            </w:pPr>
            <w:r w:rsidRPr="000166F1">
              <w:rPr>
                <w:rFonts w:cs="Arial"/>
                <w:color w:val="000000"/>
                <w:sz w:val="15"/>
                <w:szCs w:val="15"/>
              </w:rPr>
              <w:t>31 December 2019 AFSR projection</w:t>
            </w:r>
          </w:p>
        </w:tc>
        <w:tc>
          <w:tcPr>
            <w:tcW w:w="850" w:type="dxa"/>
            <w:tcBorders>
              <w:top w:val="nil"/>
              <w:left w:val="nil"/>
              <w:bottom w:val="single" w:sz="4" w:space="0" w:color="auto"/>
              <w:right w:val="nil"/>
            </w:tcBorders>
            <w:shd w:val="clear" w:color="000000" w:fill="BFBFBF"/>
            <w:noWrap/>
            <w:vAlign w:val="center"/>
            <w:hideMark/>
          </w:tcPr>
          <w:p w14:paraId="32D610AC"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nil"/>
              <w:bottom w:val="single" w:sz="4" w:space="0" w:color="auto"/>
              <w:right w:val="nil"/>
            </w:tcBorders>
            <w:shd w:val="clear" w:color="000000" w:fill="BFBFBF"/>
            <w:noWrap/>
            <w:vAlign w:val="center"/>
            <w:hideMark/>
          </w:tcPr>
          <w:p w14:paraId="594A6EE6"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single" w:sz="4" w:space="0" w:color="auto"/>
              <w:right w:val="nil"/>
            </w:tcBorders>
            <w:shd w:val="clear" w:color="000000" w:fill="BFBFBF"/>
            <w:noWrap/>
            <w:vAlign w:val="center"/>
            <w:hideMark/>
          </w:tcPr>
          <w:p w14:paraId="178D5449"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E7291F" w14:textId="77777777" w:rsidR="002513BD" w:rsidRPr="000166F1" w:rsidRDefault="002513BD" w:rsidP="00312E88">
            <w:pPr>
              <w:jc w:val="center"/>
              <w:rPr>
                <w:rFonts w:cs="Arial"/>
                <w:color w:val="000000"/>
                <w:sz w:val="15"/>
                <w:szCs w:val="15"/>
              </w:rPr>
            </w:pPr>
            <w:r w:rsidRPr="000166F1">
              <w:rPr>
                <w:rFonts w:cs="Arial"/>
                <w:color w:val="000000"/>
                <w:sz w:val="15"/>
                <w:szCs w:val="15"/>
              </w:rPr>
              <w:t>21.8</w:t>
            </w:r>
          </w:p>
        </w:tc>
        <w:tc>
          <w:tcPr>
            <w:tcW w:w="850" w:type="dxa"/>
            <w:tcBorders>
              <w:top w:val="nil"/>
              <w:left w:val="nil"/>
              <w:bottom w:val="single" w:sz="4" w:space="0" w:color="auto"/>
              <w:right w:val="nil"/>
            </w:tcBorders>
            <w:shd w:val="clear" w:color="auto" w:fill="auto"/>
            <w:noWrap/>
            <w:vAlign w:val="center"/>
            <w:hideMark/>
          </w:tcPr>
          <w:p w14:paraId="7621515E" w14:textId="77777777" w:rsidR="002513BD" w:rsidRPr="000166F1" w:rsidRDefault="002513BD" w:rsidP="00312E88">
            <w:pPr>
              <w:jc w:val="center"/>
              <w:rPr>
                <w:rFonts w:cs="Arial"/>
                <w:color w:val="000000"/>
                <w:sz w:val="15"/>
                <w:szCs w:val="15"/>
              </w:rPr>
            </w:pPr>
            <w:r w:rsidRPr="000166F1">
              <w:rPr>
                <w:rFonts w:cs="Arial"/>
                <w:color w:val="000000"/>
                <w:sz w:val="15"/>
                <w:szCs w:val="15"/>
              </w:rPr>
              <w:t>25.4</w:t>
            </w:r>
          </w:p>
        </w:tc>
        <w:tc>
          <w:tcPr>
            <w:tcW w:w="851" w:type="dxa"/>
            <w:tcBorders>
              <w:top w:val="nil"/>
              <w:left w:val="nil"/>
              <w:bottom w:val="single" w:sz="4" w:space="0" w:color="auto"/>
              <w:right w:val="nil"/>
            </w:tcBorders>
            <w:shd w:val="clear" w:color="auto" w:fill="auto"/>
            <w:noWrap/>
            <w:vAlign w:val="center"/>
            <w:hideMark/>
          </w:tcPr>
          <w:p w14:paraId="773B6B72" w14:textId="77777777" w:rsidR="002513BD" w:rsidRPr="000166F1" w:rsidRDefault="002513BD" w:rsidP="00312E88">
            <w:pPr>
              <w:jc w:val="center"/>
              <w:rPr>
                <w:rFonts w:cs="Arial"/>
                <w:color w:val="000000"/>
                <w:sz w:val="15"/>
                <w:szCs w:val="15"/>
              </w:rPr>
            </w:pPr>
            <w:r w:rsidRPr="000166F1">
              <w:rPr>
                <w:rFonts w:cs="Arial"/>
                <w:color w:val="000000"/>
                <w:sz w:val="15"/>
                <w:szCs w:val="15"/>
              </w:rPr>
              <w:t>28.5</w:t>
            </w:r>
          </w:p>
        </w:tc>
        <w:tc>
          <w:tcPr>
            <w:tcW w:w="850" w:type="dxa"/>
            <w:tcBorders>
              <w:top w:val="nil"/>
              <w:left w:val="nil"/>
              <w:bottom w:val="single" w:sz="4" w:space="0" w:color="auto"/>
              <w:right w:val="nil"/>
            </w:tcBorders>
            <w:shd w:val="clear" w:color="auto" w:fill="auto"/>
            <w:noWrap/>
            <w:vAlign w:val="center"/>
            <w:hideMark/>
          </w:tcPr>
          <w:p w14:paraId="3D95EE9F" w14:textId="77777777" w:rsidR="002513BD" w:rsidRPr="000166F1" w:rsidRDefault="002513BD" w:rsidP="00312E88">
            <w:pPr>
              <w:jc w:val="center"/>
              <w:rPr>
                <w:rFonts w:cs="Arial"/>
                <w:color w:val="000000"/>
                <w:sz w:val="15"/>
                <w:szCs w:val="15"/>
              </w:rPr>
            </w:pPr>
            <w:r w:rsidRPr="000166F1">
              <w:rPr>
                <w:rFonts w:cs="Arial"/>
                <w:color w:val="000000"/>
                <w:sz w:val="15"/>
                <w:szCs w:val="15"/>
              </w:rPr>
              <w:t>31.4</w:t>
            </w:r>
          </w:p>
        </w:tc>
        <w:tc>
          <w:tcPr>
            <w:tcW w:w="851" w:type="dxa"/>
            <w:tcBorders>
              <w:top w:val="nil"/>
              <w:left w:val="nil"/>
              <w:bottom w:val="single" w:sz="4" w:space="0" w:color="auto"/>
              <w:right w:val="single" w:sz="4" w:space="0" w:color="auto"/>
            </w:tcBorders>
            <w:shd w:val="clear" w:color="auto" w:fill="auto"/>
            <w:noWrap/>
            <w:vAlign w:val="center"/>
            <w:hideMark/>
          </w:tcPr>
          <w:p w14:paraId="3BF02D7E" w14:textId="77777777" w:rsidR="002513BD" w:rsidRPr="000166F1" w:rsidRDefault="002513BD" w:rsidP="00312E88">
            <w:pPr>
              <w:jc w:val="center"/>
              <w:rPr>
                <w:rFonts w:cs="Arial"/>
                <w:color w:val="000000"/>
                <w:sz w:val="15"/>
                <w:szCs w:val="15"/>
              </w:rPr>
            </w:pPr>
            <w:r w:rsidRPr="000166F1">
              <w:rPr>
                <w:rFonts w:cs="Arial"/>
                <w:color w:val="000000"/>
                <w:sz w:val="15"/>
                <w:szCs w:val="15"/>
              </w:rPr>
              <w:t>34.2</w:t>
            </w:r>
          </w:p>
        </w:tc>
      </w:tr>
      <w:tr w:rsidR="002513BD" w:rsidRPr="000166F1" w14:paraId="78EDB47C" w14:textId="77777777" w:rsidTr="002513BD">
        <w:trPr>
          <w:trHeight w:hRule="exact" w:val="34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DDDCC5C" w14:textId="77777777" w:rsidR="002513BD" w:rsidRPr="000166F1" w:rsidRDefault="002513BD" w:rsidP="00312E88">
            <w:pPr>
              <w:rPr>
                <w:rFonts w:cs="Arial"/>
                <w:color w:val="000000"/>
                <w:sz w:val="15"/>
                <w:szCs w:val="15"/>
              </w:rPr>
            </w:pPr>
            <w:r w:rsidRPr="000166F1">
              <w:rPr>
                <w:rFonts w:cs="Arial"/>
                <w:color w:val="000000"/>
                <w:sz w:val="15"/>
                <w:szCs w:val="15"/>
              </w:rPr>
              <w:t>30 June 2019 AFSR projection</w:t>
            </w:r>
          </w:p>
        </w:tc>
        <w:tc>
          <w:tcPr>
            <w:tcW w:w="850" w:type="dxa"/>
            <w:tcBorders>
              <w:top w:val="nil"/>
              <w:left w:val="nil"/>
              <w:bottom w:val="single" w:sz="4" w:space="0" w:color="auto"/>
              <w:right w:val="nil"/>
            </w:tcBorders>
            <w:shd w:val="clear" w:color="000000" w:fill="BFBFBF"/>
            <w:noWrap/>
            <w:vAlign w:val="center"/>
            <w:hideMark/>
          </w:tcPr>
          <w:p w14:paraId="60F5985F"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nil"/>
              <w:bottom w:val="single" w:sz="4" w:space="0" w:color="auto"/>
              <w:right w:val="nil"/>
            </w:tcBorders>
            <w:shd w:val="clear" w:color="000000" w:fill="BFBFBF"/>
            <w:noWrap/>
            <w:vAlign w:val="center"/>
            <w:hideMark/>
          </w:tcPr>
          <w:p w14:paraId="48E36222"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single" w:sz="4" w:space="0" w:color="auto"/>
              <w:right w:val="nil"/>
            </w:tcBorders>
            <w:shd w:val="clear" w:color="000000" w:fill="FFE699"/>
            <w:noWrap/>
            <w:vAlign w:val="center"/>
            <w:hideMark/>
          </w:tcPr>
          <w:p w14:paraId="56388239" w14:textId="77777777" w:rsidR="002513BD" w:rsidRPr="000166F1" w:rsidRDefault="002513BD" w:rsidP="00312E88">
            <w:pPr>
              <w:jc w:val="center"/>
              <w:rPr>
                <w:rFonts w:cs="Arial"/>
                <w:color w:val="000000"/>
                <w:sz w:val="15"/>
                <w:szCs w:val="15"/>
              </w:rPr>
            </w:pPr>
            <w:r w:rsidRPr="000166F1">
              <w:rPr>
                <w:rFonts w:cs="Arial"/>
                <w:color w:val="000000"/>
                <w:sz w:val="15"/>
                <w:szCs w:val="15"/>
              </w:rPr>
              <w:t>16.7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E8B6AC" w14:textId="77777777" w:rsidR="002513BD" w:rsidRPr="000166F1" w:rsidRDefault="002513BD" w:rsidP="00312E88">
            <w:pPr>
              <w:jc w:val="center"/>
              <w:rPr>
                <w:rFonts w:cs="Arial"/>
                <w:color w:val="000000"/>
                <w:sz w:val="15"/>
                <w:szCs w:val="15"/>
              </w:rPr>
            </w:pPr>
            <w:r w:rsidRPr="000166F1">
              <w:rPr>
                <w:rFonts w:cs="Arial"/>
                <w:color w:val="000000"/>
                <w:sz w:val="15"/>
                <w:szCs w:val="15"/>
              </w:rPr>
              <w:t>21.1</w:t>
            </w:r>
          </w:p>
        </w:tc>
        <w:tc>
          <w:tcPr>
            <w:tcW w:w="850" w:type="dxa"/>
            <w:tcBorders>
              <w:top w:val="nil"/>
              <w:left w:val="nil"/>
              <w:bottom w:val="single" w:sz="4" w:space="0" w:color="auto"/>
              <w:right w:val="nil"/>
            </w:tcBorders>
            <w:shd w:val="clear" w:color="auto" w:fill="auto"/>
            <w:noWrap/>
            <w:vAlign w:val="center"/>
            <w:hideMark/>
          </w:tcPr>
          <w:p w14:paraId="0AB4C8E4" w14:textId="77777777" w:rsidR="002513BD" w:rsidRPr="000166F1" w:rsidRDefault="002513BD" w:rsidP="00312E88">
            <w:pPr>
              <w:jc w:val="center"/>
              <w:rPr>
                <w:rFonts w:cs="Arial"/>
                <w:color w:val="000000"/>
                <w:sz w:val="15"/>
                <w:szCs w:val="15"/>
              </w:rPr>
            </w:pPr>
            <w:r w:rsidRPr="000166F1">
              <w:rPr>
                <w:rFonts w:cs="Arial"/>
                <w:color w:val="000000"/>
                <w:sz w:val="15"/>
                <w:szCs w:val="15"/>
              </w:rPr>
              <w:t>24.2</w:t>
            </w:r>
          </w:p>
        </w:tc>
        <w:tc>
          <w:tcPr>
            <w:tcW w:w="851" w:type="dxa"/>
            <w:tcBorders>
              <w:top w:val="nil"/>
              <w:left w:val="nil"/>
              <w:bottom w:val="single" w:sz="4" w:space="0" w:color="auto"/>
              <w:right w:val="nil"/>
            </w:tcBorders>
            <w:shd w:val="clear" w:color="auto" w:fill="auto"/>
            <w:noWrap/>
            <w:vAlign w:val="center"/>
            <w:hideMark/>
          </w:tcPr>
          <w:p w14:paraId="548B9597" w14:textId="77777777" w:rsidR="002513BD" w:rsidRPr="000166F1" w:rsidRDefault="002513BD" w:rsidP="00312E88">
            <w:pPr>
              <w:jc w:val="center"/>
              <w:rPr>
                <w:rFonts w:cs="Arial"/>
                <w:color w:val="000000"/>
                <w:sz w:val="15"/>
                <w:szCs w:val="15"/>
              </w:rPr>
            </w:pPr>
            <w:r w:rsidRPr="000166F1">
              <w:rPr>
                <w:rFonts w:cs="Arial"/>
                <w:color w:val="000000"/>
                <w:sz w:val="15"/>
                <w:szCs w:val="15"/>
              </w:rPr>
              <w:t>26.9</w:t>
            </w:r>
          </w:p>
        </w:tc>
        <w:tc>
          <w:tcPr>
            <w:tcW w:w="850" w:type="dxa"/>
            <w:tcBorders>
              <w:top w:val="nil"/>
              <w:left w:val="nil"/>
              <w:bottom w:val="single" w:sz="4" w:space="0" w:color="auto"/>
              <w:right w:val="nil"/>
            </w:tcBorders>
            <w:shd w:val="clear" w:color="auto" w:fill="auto"/>
            <w:noWrap/>
            <w:vAlign w:val="center"/>
            <w:hideMark/>
          </w:tcPr>
          <w:p w14:paraId="09F695A1" w14:textId="77777777" w:rsidR="002513BD" w:rsidRPr="000166F1" w:rsidRDefault="002513BD" w:rsidP="00312E88">
            <w:pPr>
              <w:jc w:val="center"/>
              <w:rPr>
                <w:rFonts w:cs="Arial"/>
                <w:color w:val="000000"/>
                <w:sz w:val="15"/>
                <w:szCs w:val="15"/>
              </w:rPr>
            </w:pPr>
            <w:r w:rsidRPr="000166F1">
              <w:rPr>
                <w:rFonts w:cs="Arial"/>
                <w:color w:val="000000"/>
                <w:sz w:val="15"/>
                <w:szCs w:val="15"/>
              </w:rPr>
              <w:t>28.9</w:t>
            </w:r>
          </w:p>
        </w:tc>
        <w:tc>
          <w:tcPr>
            <w:tcW w:w="851" w:type="dxa"/>
            <w:tcBorders>
              <w:top w:val="nil"/>
              <w:left w:val="nil"/>
              <w:bottom w:val="single" w:sz="4" w:space="0" w:color="auto"/>
              <w:right w:val="single" w:sz="4" w:space="0" w:color="auto"/>
            </w:tcBorders>
            <w:shd w:val="clear" w:color="auto" w:fill="auto"/>
            <w:noWrap/>
            <w:vAlign w:val="center"/>
            <w:hideMark/>
          </w:tcPr>
          <w:p w14:paraId="53D6F7CF" w14:textId="77777777" w:rsidR="002513BD" w:rsidRPr="000166F1" w:rsidRDefault="002513BD" w:rsidP="00312E88">
            <w:pPr>
              <w:jc w:val="center"/>
              <w:rPr>
                <w:rFonts w:cs="Arial"/>
                <w:color w:val="000000"/>
                <w:sz w:val="15"/>
                <w:szCs w:val="15"/>
              </w:rPr>
            </w:pPr>
            <w:r w:rsidRPr="000166F1">
              <w:rPr>
                <w:rFonts w:cs="Arial"/>
                <w:color w:val="000000"/>
                <w:sz w:val="15"/>
                <w:szCs w:val="15"/>
              </w:rPr>
              <w:t>30.8</w:t>
            </w:r>
          </w:p>
        </w:tc>
      </w:tr>
      <w:tr w:rsidR="002513BD" w:rsidRPr="000166F1" w14:paraId="416C77C6" w14:textId="77777777" w:rsidTr="002513BD">
        <w:trPr>
          <w:trHeight w:hRule="exact" w:val="34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231F5A7" w14:textId="2E3F1332" w:rsidR="002513BD" w:rsidRPr="000166F1" w:rsidRDefault="002513BD" w:rsidP="00312E88">
            <w:pPr>
              <w:rPr>
                <w:rFonts w:cs="Arial"/>
                <w:color w:val="000000"/>
                <w:sz w:val="15"/>
                <w:szCs w:val="15"/>
              </w:rPr>
            </w:pPr>
            <w:r w:rsidRPr="000166F1">
              <w:rPr>
                <w:rFonts w:cs="Arial"/>
                <w:color w:val="000000"/>
                <w:sz w:val="15"/>
                <w:szCs w:val="15"/>
              </w:rPr>
              <w:t>30 June 2018 AFSR projection</w:t>
            </w:r>
            <w:r w:rsidR="00604441">
              <w:rPr>
                <w:rFonts w:cs="Arial"/>
                <w:color w:val="000000"/>
                <w:sz w:val="15"/>
                <w:szCs w:val="15"/>
                <w:vertAlign w:val="superscript"/>
              </w:rPr>
              <w:t>2</w:t>
            </w:r>
          </w:p>
        </w:tc>
        <w:tc>
          <w:tcPr>
            <w:tcW w:w="850" w:type="dxa"/>
            <w:tcBorders>
              <w:top w:val="nil"/>
              <w:left w:val="nil"/>
              <w:bottom w:val="single" w:sz="4" w:space="0" w:color="auto"/>
              <w:right w:val="nil"/>
            </w:tcBorders>
            <w:shd w:val="clear" w:color="000000" w:fill="BFBFBF"/>
            <w:noWrap/>
            <w:vAlign w:val="center"/>
            <w:hideMark/>
          </w:tcPr>
          <w:p w14:paraId="61A9E434"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nil"/>
              <w:bottom w:val="single" w:sz="4" w:space="0" w:color="auto"/>
              <w:right w:val="nil"/>
            </w:tcBorders>
            <w:shd w:val="clear" w:color="000000" w:fill="FFE699"/>
            <w:noWrap/>
            <w:vAlign w:val="center"/>
            <w:hideMark/>
          </w:tcPr>
          <w:p w14:paraId="4DA4853E" w14:textId="77777777" w:rsidR="002513BD" w:rsidRPr="000166F1" w:rsidRDefault="002513BD" w:rsidP="00312E88">
            <w:pPr>
              <w:jc w:val="center"/>
              <w:rPr>
                <w:rFonts w:cs="Arial"/>
                <w:color w:val="000000"/>
                <w:sz w:val="15"/>
                <w:szCs w:val="15"/>
              </w:rPr>
            </w:pPr>
            <w:r w:rsidRPr="000166F1">
              <w:rPr>
                <w:rFonts w:cs="Arial"/>
                <w:color w:val="000000"/>
                <w:sz w:val="15"/>
                <w:szCs w:val="15"/>
              </w:rPr>
              <w:t>9.5</w:t>
            </w:r>
          </w:p>
        </w:tc>
        <w:tc>
          <w:tcPr>
            <w:tcW w:w="850" w:type="dxa"/>
            <w:tcBorders>
              <w:top w:val="nil"/>
              <w:left w:val="nil"/>
              <w:bottom w:val="single" w:sz="4" w:space="0" w:color="auto"/>
              <w:right w:val="nil"/>
            </w:tcBorders>
            <w:shd w:val="clear" w:color="auto" w:fill="auto"/>
            <w:noWrap/>
            <w:vAlign w:val="center"/>
            <w:hideMark/>
          </w:tcPr>
          <w:p w14:paraId="3B987A02" w14:textId="77777777" w:rsidR="002513BD" w:rsidRPr="000166F1" w:rsidRDefault="002513BD" w:rsidP="00312E88">
            <w:pPr>
              <w:jc w:val="center"/>
              <w:rPr>
                <w:rFonts w:cs="Arial"/>
                <w:color w:val="000000"/>
                <w:sz w:val="15"/>
                <w:szCs w:val="15"/>
              </w:rPr>
            </w:pPr>
            <w:r w:rsidRPr="000166F1">
              <w:rPr>
                <w:rFonts w:cs="Arial"/>
                <w:color w:val="000000"/>
                <w:sz w:val="15"/>
                <w:szCs w:val="15"/>
              </w:rPr>
              <w:t>16.0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8D7A70" w14:textId="77777777" w:rsidR="002513BD" w:rsidRPr="000166F1" w:rsidRDefault="002513BD" w:rsidP="00312E88">
            <w:pPr>
              <w:jc w:val="center"/>
              <w:rPr>
                <w:rFonts w:cs="Arial"/>
                <w:color w:val="000000"/>
                <w:sz w:val="15"/>
                <w:szCs w:val="15"/>
              </w:rPr>
            </w:pPr>
            <w:r w:rsidRPr="000166F1">
              <w:rPr>
                <w:rFonts w:cs="Arial"/>
                <w:color w:val="000000"/>
                <w:sz w:val="15"/>
                <w:szCs w:val="15"/>
              </w:rPr>
              <w:t>20.3</w:t>
            </w:r>
          </w:p>
        </w:tc>
        <w:tc>
          <w:tcPr>
            <w:tcW w:w="850" w:type="dxa"/>
            <w:tcBorders>
              <w:top w:val="nil"/>
              <w:left w:val="nil"/>
              <w:bottom w:val="single" w:sz="4" w:space="0" w:color="auto"/>
              <w:right w:val="nil"/>
            </w:tcBorders>
            <w:shd w:val="clear" w:color="auto" w:fill="auto"/>
            <w:noWrap/>
            <w:vAlign w:val="center"/>
            <w:hideMark/>
          </w:tcPr>
          <w:p w14:paraId="459F011D" w14:textId="77777777" w:rsidR="002513BD" w:rsidRPr="000166F1" w:rsidRDefault="002513BD" w:rsidP="00312E88">
            <w:pPr>
              <w:jc w:val="center"/>
              <w:rPr>
                <w:rFonts w:cs="Arial"/>
                <w:color w:val="000000"/>
                <w:sz w:val="15"/>
                <w:szCs w:val="15"/>
              </w:rPr>
            </w:pPr>
            <w:r w:rsidRPr="000166F1">
              <w:rPr>
                <w:rFonts w:cs="Arial"/>
                <w:color w:val="000000"/>
                <w:sz w:val="15"/>
                <w:szCs w:val="15"/>
              </w:rPr>
              <w:t>23.6</w:t>
            </w:r>
          </w:p>
        </w:tc>
        <w:tc>
          <w:tcPr>
            <w:tcW w:w="851" w:type="dxa"/>
            <w:tcBorders>
              <w:top w:val="nil"/>
              <w:left w:val="nil"/>
              <w:bottom w:val="single" w:sz="4" w:space="0" w:color="auto"/>
              <w:right w:val="nil"/>
            </w:tcBorders>
            <w:shd w:val="clear" w:color="auto" w:fill="auto"/>
            <w:noWrap/>
            <w:vAlign w:val="center"/>
            <w:hideMark/>
          </w:tcPr>
          <w:p w14:paraId="7FFA9AFC" w14:textId="77777777" w:rsidR="002513BD" w:rsidRPr="000166F1" w:rsidRDefault="002513BD" w:rsidP="00312E88">
            <w:pPr>
              <w:jc w:val="center"/>
              <w:rPr>
                <w:rFonts w:cs="Arial"/>
                <w:color w:val="000000"/>
                <w:sz w:val="15"/>
                <w:szCs w:val="15"/>
              </w:rPr>
            </w:pPr>
            <w:r w:rsidRPr="000166F1">
              <w:rPr>
                <w:rFonts w:cs="Arial"/>
                <w:color w:val="000000"/>
                <w:sz w:val="15"/>
                <w:szCs w:val="15"/>
              </w:rPr>
              <w:t>26.6</w:t>
            </w:r>
          </w:p>
        </w:tc>
        <w:tc>
          <w:tcPr>
            <w:tcW w:w="850" w:type="dxa"/>
            <w:tcBorders>
              <w:top w:val="nil"/>
              <w:left w:val="nil"/>
              <w:bottom w:val="single" w:sz="4" w:space="0" w:color="auto"/>
              <w:right w:val="nil"/>
            </w:tcBorders>
            <w:shd w:val="clear" w:color="auto" w:fill="auto"/>
            <w:noWrap/>
            <w:vAlign w:val="center"/>
            <w:hideMark/>
          </w:tcPr>
          <w:p w14:paraId="4C18B380" w14:textId="77777777" w:rsidR="002513BD" w:rsidRPr="000166F1" w:rsidRDefault="002513BD" w:rsidP="00312E88">
            <w:pPr>
              <w:jc w:val="center"/>
              <w:rPr>
                <w:rFonts w:cs="Arial"/>
                <w:color w:val="000000"/>
                <w:sz w:val="15"/>
                <w:szCs w:val="15"/>
              </w:rPr>
            </w:pPr>
            <w:r w:rsidRPr="000166F1">
              <w:rPr>
                <w:rFonts w:cs="Arial"/>
                <w:color w:val="000000"/>
                <w:sz w:val="15"/>
                <w:szCs w:val="15"/>
              </w:rPr>
              <w:t>29.5</w:t>
            </w:r>
          </w:p>
        </w:tc>
        <w:tc>
          <w:tcPr>
            <w:tcW w:w="851" w:type="dxa"/>
            <w:tcBorders>
              <w:top w:val="nil"/>
              <w:left w:val="nil"/>
              <w:bottom w:val="single" w:sz="4" w:space="0" w:color="auto"/>
              <w:right w:val="single" w:sz="4" w:space="0" w:color="auto"/>
            </w:tcBorders>
            <w:shd w:val="clear" w:color="auto" w:fill="auto"/>
            <w:noWrap/>
            <w:vAlign w:val="center"/>
            <w:hideMark/>
          </w:tcPr>
          <w:p w14:paraId="6AAB1C60" w14:textId="77777777" w:rsidR="002513BD" w:rsidRPr="000166F1" w:rsidRDefault="002513BD" w:rsidP="00312E88">
            <w:pPr>
              <w:jc w:val="center"/>
              <w:rPr>
                <w:rFonts w:cs="Arial"/>
                <w:color w:val="000000"/>
                <w:sz w:val="15"/>
                <w:szCs w:val="15"/>
              </w:rPr>
            </w:pPr>
            <w:r w:rsidRPr="000166F1">
              <w:rPr>
                <w:rFonts w:cs="Arial"/>
                <w:color w:val="000000"/>
                <w:sz w:val="15"/>
                <w:szCs w:val="15"/>
              </w:rPr>
              <w:t>31.7</w:t>
            </w:r>
          </w:p>
        </w:tc>
      </w:tr>
      <w:tr w:rsidR="002513BD" w:rsidRPr="000166F1" w14:paraId="7B390657" w14:textId="77777777" w:rsidTr="002513BD">
        <w:trPr>
          <w:trHeight w:hRule="exact" w:val="340"/>
        </w:trPr>
        <w:tc>
          <w:tcPr>
            <w:tcW w:w="3114" w:type="dxa"/>
            <w:tcBorders>
              <w:top w:val="nil"/>
              <w:left w:val="single" w:sz="4" w:space="0" w:color="auto"/>
              <w:bottom w:val="single" w:sz="4" w:space="0" w:color="auto"/>
              <w:right w:val="nil"/>
            </w:tcBorders>
            <w:shd w:val="clear" w:color="000000" w:fill="D3C5D7"/>
            <w:noWrap/>
            <w:vAlign w:val="center"/>
            <w:hideMark/>
          </w:tcPr>
          <w:p w14:paraId="793BCC28" w14:textId="77777777" w:rsidR="002513BD" w:rsidRPr="000166F1" w:rsidRDefault="002513BD" w:rsidP="00312E88">
            <w:pPr>
              <w:rPr>
                <w:rFonts w:cs="Arial"/>
                <w:b/>
                <w:bCs/>
                <w:color w:val="000000"/>
                <w:sz w:val="15"/>
                <w:szCs w:val="15"/>
              </w:rPr>
            </w:pPr>
            <w:r w:rsidRPr="000166F1">
              <w:rPr>
                <w:rFonts w:cs="Arial"/>
                <w:b/>
                <w:bCs/>
                <w:color w:val="000000"/>
                <w:sz w:val="15"/>
                <w:szCs w:val="15"/>
              </w:rPr>
              <w:t>Comparison with actuals</w:t>
            </w:r>
          </w:p>
        </w:tc>
        <w:tc>
          <w:tcPr>
            <w:tcW w:w="850" w:type="dxa"/>
            <w:tcBorders>
              <w:top w:val="nil"/>
              <w:left w:val="nil"/>
              <w:bottom w:val="single" w:sz="4" w:space="0" w:color="auto"/>
              <w:right w:val="nil"/>
            </w:tcBorders>
            <w:shd w:val="clear" w:color="000000" w:fill="D3C5D7"/>
            <w:noWrap/>
            <w:vAlign w:val="center"/>
            <w:hideMark/>
          </w:tcPr>
          <w:p w14:paraId="06140396"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nil"/>
            </w:tcBorders>
            <w:shd w:val="clear" w:color="000000" w:fill="D3C5D7"/>
            <w:noWrap/>
            <w:vAlign w:val="center"/>
            <w:hideMark/>
          </w:tcPr>
          <w:p w14:paraId="48DA3814"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nil"/>
              <w:left w:val="nil"/>
              <w:bottom w:val="single" w:sz="4" w:space="0" w:color="auto"/>
              <w:right w:val="nil"/>
            </w:tcBorders>
            <w:shd w:val="clear" w:color="000000" w:fill="D3C5D7"/>
            <w:noWrap/>
            <w:vAlign w:val="center"/>
            <w:hideMark/>
          </w:tcPr>
          <w:p w14:paraId="76A64602"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nil"/>
            </w:tcBorders>
            <w:shd w:val="clear" w:color="000000" w:fill="D3C5D7"/>
            <w:noWrap/>
            <w:vAlign w:val="center"/>
            <w:hideMark/>
          </w:tcPr>
          <w:p w14:paraId="63D8A666"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nil"/>
              <w:left w:val="nil"/>
              <w:bottom w:val="single" w:sz="4" w:space="0" w:color="auto"/>
              <w:right w:val="nil"/>
            </w:tcBorders>
            <w:shd w:val="clear" w:color="000000" w:fill="D3C5D7"/>
            <w:noWrap/>
            <w:vAlign w:val="center"/>
            <w:hideMark/>
          </w:tcPr>
          <w:p w14:paraId="097471A6"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nil"/>
            </w:tcBorders>
            <w:shd w:val="clear" w:color="000000" w:fill="D3C5D7"/>
            <w:noWrap/>
            <w:vAlign w:val="center"/>
            <w:hideMark/>
          </w:tcPr>
          <w:p w14:paraId="53389192"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0" w:type="dxa"/>
            <w:tcBorders>
              <w:top w:val="nil"/>
              <w:left w:val="nil"/>
              <w:bottom w:val="single" w:sz="4" w:space="0" w:color="auto"/>
              <w:right w:val="nil"/>
            </w:tcBorders>
            <w:shd w:val="clear" w:color="000000" w:fill="D3C5D7"/>
            <w:noWrap/>
            <w:vAlign w:val="center"/>
            <w:hideMark/>
          </w:tcPr>
          <w:p w14:paraId="3C356495"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c>
          <w:tcPr>
            <w:tcW w:w="851" w:type="dxa"/>
            <w:tcBorders>
              <w:top w:val="nil"/>
              <w:left w:val="nil"/>
              <w:bottom w:val="single" w:sz="4" w:space="0" w:color="auto"/>
              <w:right w:val="single" w:sz="4" w:space="0" w:color="auto"/>
            </w:tcBorders>
            <w:shd w:val="clear" w:color="000000" w:fill="D3C5D7"/>
            <w:noWrap/>
            <w:vAlign w:val="center"/>
            <w:hideMark/>
          </w:tcPr>
          <w:p w14:paraId="67607A19" w14:textId="77777777" w:rsidR="002513BD" w:rsidRPr="000166F1" w:rsidRDefault="002513BD" w:rsidP="00312E88">
            <w:pPr>
              <w:jc w:val="center"/>
              <w:rPr>
                <w:rFonts w:cs="Arial"/>
                <w:b/>
                <w:bCs/>
                <w:color w:val="000000"/>
                <w:sz w:val="15"/>
                <w:szCs w:val="15"/>
              </w:rPr>
            </w:pPr>
            <w:r w:rsidRPr="000166F1">
              <w:rPr>
                <w:rFonts w:cs="Arial"/>
                <w:b/>
                <w:bCs/>
                <w:color w:val="000000"/>
                <w:sz w:val="15"/>
                <w:szCs w:val="15"/>
              </w:rPr>
              <w:t> </w:t>
            </w:r>
          </w:p>
        </w:tc>
      </w:tr>
      <w:tr w:rsidR="002513BD" w:rsidRPr="000166F1" w14:paraId="2982E9E2" w14:textId="77777777" w:rsidTr="00740028">
        <w:trPr>
          <w:trHeight w:hRule="exac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5B54212" w14:textId="77777777" w:rsidR="002513BD" w:rsidRPr="000166F1" w:rsidRDefault="002513BD" w:rsidP="00312E88">
            <w:pPr>
              <w:rPr>
                <w:rFonts w:cs="Arial"/>
                <w:color w:val="000000"/>
                <w:sz w:val="15"/>
                <w:szCs w:val="15"/>
              </w:rPr>
            </w:pPr>
            <w:r w:rsidRPr="000166F1">
              <w:rPr>
                <w:rFonts w:cs="Arial"/>
                <w:color w:val="000000"/>
                <w:sz w:val="15"/>
                <w:szCs w:val="15"/>
              </w:rPr>
              <w:t>Actual participant costs (accrual)</w:t>
            </w:r>
          </w:p>
        </w:tc>
        <w:tc>
          <w:tcPr>
            <w:tcW w:w="850" w:type="dxa"/>
            <w:tcBorders>
              <w:top w:val="nil"/>
              <w:left w:val="nil"/>
              <w:bottom w:val="single" w:sz="4" w:space="0" w:color="auto"/>
              <w:right w:val="nil"/>
            </w:tcBorders>
            <w:shd w:val="clear" w:color="auto" w:fill="auto"/>
            <w:noWrap/>
            <w:vAlign w:val="center"/>
            <w:hideMark/>
          </w:tcPr>
          <w:p w14:paraId="25B4A028" w14:textId="77777777" w:rsidR="002513BD" w:rsidRPr="000166F1" w:rsidRDefault="002513BD" w:rsidP="00312E88">
            <w:pPr>
              <w:jc w:val="center"/>
              <w:rPr>
                <w:rFonts w:cs="Arial"/>
                <w:color w:val="000000"/>
                <w:sz w:val="15"/>
                <w:szCs w:val="15"/>
              </w:rPr>
            </w:pPr>
            <w:r w:rsidRPr="000166F1">
              <w:rPr>
                <w:rFonts w:cs="Arial"/>
                <w:color w:val="000000"/>
                <w:sz w:val="15"/>
                <w:szCs w:val="15"/>
              </w:rPr>
              <w:t>5.4</w:t>
            </w:r>
          </w:p>
        </w:tc>
        <w:tc>
          <w:tcPr>
            <w:tcW w:w="851" w:type="dxa"/>
            <w:tcBorders>
              <w:top w:val="nil"/>
              <w:left w:val="nil"/>
              <w:bottom w:val="single" w:sz="4" w:space="0" w:color="auto"/>
              <w:right w:val="nil"/>
            </w:tcBorders>
            <w:shd w:val="clear" w:color="000000" w:fill="FFE699"/>
            <w:noWrap/>
            <w:vAlign w:val="center"/>
            <w:hideMark/>
          </w:tcPr>
          <w:p w14:paraId="1D70DC6D" w14:textId="77777777" w:rsidR="002513BD" w:rsidRPr="000166F1" w:rsidRDefault="002513BD" w:rsidP="00312E88">
            <w:pPr>
              <w:jc w:val="center"/>
              <w:rPr>
                <w:rFonts w:cs="Arial"/>
                <w:color w:val="000000"/>
                <w:sz w:val="15"/>
                <w:szCs w:val="15"/>
              </w:rPr>
            </w:pPr>
            <w:r w:rsidRPr="000166F1">
              <w:rPr>
                <w:rFonts w:cs="Arial"/>
                <w:color w:val="000000"/>
                <w:sz w:val="15"/>
                <w:szCs w:val="15"/>
              </w:rPr>
              <w:t>10.5</w:t>
            </w:r>
          </w:p>
        </w:tc>
        <w:tc>
          <w:tcPr>
            <w:tcW w:w="850" w:type="dxa"/>
            <w:tcBorders>
              <w:top w:val="nil"/>
              <w:left w:val="nil"/>
              <w:bottom w:val="single" w:sz="4" w:space="0" w:color="auto"/>
              <w:right w:val="nil"/>
            </w:tcBorders>
            <w:shd w:val="clear" w:color="000000" w:fill="FFE699"/>
            <w:noWrap/>
            <w:vAlign w:val="center"/>
            <w:hideMark/>
          </w:tcPr>
          <w:p w14:paraId="0DC4F66D" w14:textId="77777777" w:rsidR="002513BD" w:rsidRPr="000166F1" w:rsidRDefault="002513BD" w:rsidP="00312E88">
            <w:pPr>
              <w:jc w:val="center"/>
              <w:rPr>
                <w:rFonts w:cs="Arial"/>
                <w:color w:val="000000"/>
                <w:sz w:val="15"/>
                <w:szCs w:val="15"/>
              </w:rPr>
            </w:pPr>
            <w:r w:rsidRPr="000166F1">
              <w:rPr>
                <w:rFonts w:cs="Arial"/>
                <w:color w:val="000000"/>
                <w:sz w:val="15"/>
                <w:szCs w:val="15"/>
              </w:rPr>
              <w:t>17.6</w:t>
            </w:r>
          </w:p>
        </w:tc>
        <w:tc>
          <w:tcPr>
            <w:tcW w:w="851" w:type="dxa"/>
            <w:tcBorders>
              <w:top w:val="nil"/>
              <w:left w:val="single" w:sz="4" w:space="0" w:color="auto"/>
              <w:bottom w:val="single" w:sz="4" w:space="0" w:color="auto"/>
              <w:right w:val="single" w:sz="4" w:space="0" w:color="auto"/>
            </w:tcBorders>
            <w:shd w:val="clear" w:color="000000" w:fill="FFE699"/>
            <w:noWrap/>
            <w:vAlign w:val="center"/>
            <w:hideMark/>
          </w:tcPr>
          <w:p w14:paraId="582E693F" w14:textId="77777777" w:rsidR="002513BD" w:rsidRPr="000166F1" w:rsidRDefault="002513BD" w:rsidP="00312E88">
            <w:pPr>
              <w:jc w:val="center"/>
              <w:rPr>
                <w:rFonts w:cs="Arial"/>
                <w:color w:val="000000"/>
                <w:sz w:val="15"/>
                <w:szCs w:val="15"/>
              </w:rPr>
            </w:pPr>
            <w:r w:rsidRPr="000166F1">
              <w:rPr>
                <w:rFonts w:cs="Arial"/>
                <w:color w:val="000000"/>
                <w:sz w:val="15"/>
                <w:szCs w:val="15"/>
              </w:rPr>
              <w:t>23.3</w:t>
            </w:r>
          </w:p>
        </w:tc>
        <w:tc>
          <w:tcPr>
            <w:tcW w:w="850" w:type="dxa"/>
            <w:tcBorders>
              <w:top w:val="nil"/>
              <w:left w:val="nil"/>
              <w:bottom w:val="single" w:sz="4" w:space="0" w:color="auto"/>
              <w:right w:val="nil"/>
            </w:tcBorders>
            <w:shd w:val="clear" w:color="000000" w:fill="BFBFBF"/>
            <w:noWrap/>
            <w:vAlign w:val="center"/>
            <w:hideMark/>
          </w:tcPr>
          <w:p w14:paraId="078871D4"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1" w:type="dxa"/>
            <w:tcBorders>
              <w:top w:val="nil"/>
              <w:left w:val="nil"/>
              <w:bottom w:val="single" w:sz="4" w:space="0" w:color="auto"/>
              <w:right w:val="nil"/>
            </w:tcBorders>
            <w:shd w:val="clear" w:color="000000" w:fill="BFBFBF"/>
            <w:noWrap/>
            <w:vAlign w:val="center"/>
            <w:hideMark/>
          </w:tcPr>
          <w:p w14:paraId="188380A0" w14:textId="77777777" w:rsidR="002513BD" w:rsidRPr="000166F1" w:rsidRDefault="002513BD" w:rsidP="00312E88">
            <w:pPr>
              <w:jc w:val="center"/>
              <w:rPr>
                <w:rFonts w:cs="Arial"/>
                <w:color w:val="000000"/>
                <w:sz w:val="15"/>
                <w:szCs w:val="15"/>
              </w:rPr>
            </w:pPr>
            <w:r w:rsidRPr="000166F1">
              <w:rPr>
                <w:rFonts w:cs="Arial"/>
                <w:color w:val="000000"/>
                <w:sz w:val="15"/>
                <w:szCs w:val="15"/>
              </w:rPr>
              <w:t> </w:t>
            </w:r>
          </w:p>
        </w:tc>
        <w:tc>
          <w:tcPr>
            <w:tcW w:w="850" w:type="dxa"/>
            <w:tcBorders>
              <w:top w:val="nil"/>
              <w:left w:val="nil"/>
              <w:bottom w:val="single" w:sz="4" w:space="0" w:color="auto"/>
              <w:right w:val="nil"/>
            </w:tcBorders>
            <w:shd w:val="clear" w:color="000000" w:fill="BFBFBF"/>
            <w:noWrap/>
            <w:vAlign w:val="center"/>
            <w:hideMark/>
          </w:tcPr>
          <w:p w14:paraId="07EA2CDB" w14:textId="77777777" w:rsidR="002513BD" w:rsidRPr="000166F1" w:rsidRDefault="002513BD" w:rsidP="00312E88">
            <w:pPr>
              <w:jc w:val="center"/>
              <w:rPr>
                <w:rFonts w:cs="Arial"/>
                <w:i/>
                <w:iCs/>
                <w:color w:val="000000"/>
                <w:sz w:val="15"/>
                <w:szCs w:val="15"/>
              </w:rPr>
            </w:pPr>
            <w:r w:rsidRPr="000166F1">
              <w:rPr>
                <w:rFonts w:cs="Arial"/>
                <w:i/>
                <w:iCs/>
                <w:color w:val="000000"/>
                <w:sz w:val="15"/>
                <w:szCs w:val="15"/>
              </w:rPr>
              <w:t> </w:t>
            </w:r>
          </w:p>
        </w:tc>
        <w:tc>
          <w:tcPr>
            <w:tcW w:w="851" w:type="dxa"/>
            <w:tcBorders>
              <w:top w:val="nil"/>
              <w:left w:val="nil"/>
              <w:bottom w:val="single" w:sz="4" w:space="0" w:color="auto"/>
              <w:right w:val="single" w:sz="4" w:space="0" w:color="auto"/>
            </w:tcBorders>
            <w:shd w:val="clear" w:color="000000" w:fill="BFBFBF"/>
            <w:noWrap/>
            <w:vAlign w:val="center"/>
            <w:hideMark/>
          </w:tcPr>
          <w:p w14:paraId="3DC77FE9" w14:textId="77777777" w:rsidR="002513BD" w:rsidRPr="000166F1" w:rsidRDefault="002513BD" w:rsidP="00312E88">
            <w:pPr>
              <w:jc w:val="center"/>
              <w:rPr>
                <w:rFonts w:cs="Arial"/>
                <w:i/>
                <w:iCs/>
                <w:color w:val="000000"/>
                <w:sz w:val="15"/>
                <w:szCs w:val="15"/>
              </w:rPr>
            </w:pPr>
            <w:r w:rsidRPr="000166F1">
              <w:rPr>
                <w:rFonts w:cs="Arial"/>
                <w:i/>
                <w:iCs/>
                <w:color w:val="000000"/>
                <w:sz w:val="15"/>
                <w:szCs w:val="15"/>
              </w:rPr>
              <w:t> </w:t>
            </w:r>
          </w:p>
        </w:tc>
      </w:tr>
      <w:tr w:rsidR="002513BD" w:rsidRPr="000166F1" w14:paraId="698053CC" w14:textId="77777777" w:rsidTr="00740028">
        <w:trPr>
          <w:trHeight w:hRule="exact" w:val="397"/>
        </w:trPr>
        <w:tc>
          <w:tcPr>
            <w:tcW w:w="3114" w:type="dxa"/>
            <w:tcBorders>
              <w:top w:val="single" w:sz="4" w:space="0" w:color="auto"/>
              <w:left w:val="single" w:sz="4" w:space="0" w:color="auto"/>
              <w:bottom w:val="single" w:sz="4" w:space="0" w:color="auto"/>
              <w:right w:val="nil"/>
            </w:tcBorders>
            <w:shd w:val="clear" w:color="auto" w:fill="auto"/>
            <w:noWrap/>
            <w:vAlign w:val="center"/>
            <w:hideMark/>
          </w:tcPr>
          <w:p w14:paraId="1E534D95" w14:textId="77777777" w:rsidR="002513BD" w:rsidRPr="000166F1" w:rsidRDefault="002513BD" w:rsidP="00312E88">
            <w:pPr>
              <w:rPr>
                <w:rFonts w:ascii="Calibri" w:hAnsi="Calibri" w:cs="Calibri"/>
                <w:color w:val="000000"/>
                <w:sz w:val="15"/>
                <w:szCs w:val="15"/>
              </w:rPr>
            </w:pPr>
            <w:r w:rsidRPr="000166F1">
              <w:rPr>
                <w:rFonts w:cs="Arial"/>
                <w:color w:val="000000"/>
                <w:sz w:val="15"/>
                <w:szCs w:val="15"/>
              </w:rPr>
              <w:t>Actual participant costs compared with June AFSR</w:t>
            </w:r>
          </w:p>
        </w:tc>
        <w:tc>
          <w:tcPr>
            <w:tcW w:w="850" w:type="dxa"/>
            <w:tcBorders>
              <w:top w:val="single" w:sz="4" w:space="0" w:color="auto"/>
              <w:left w:val="nil"/>
              <w:bottom w:val="single" w:sz="4" w:space="0" w:color="auto"/>
              <w:right w:val="nil"/>
            </w:tcBorders>
            <w:shd w:val="clear" w:color="000000" w:fill="BFBFBF"/>
            <w:noWrap/>
            <w:vAlign w:val="center"/>
            <w:hideMark/>
          </w:tcPr>
          <w:p w14:paraId="7CD415BB" w14:textId="77777777" w:rsidR="002513BD" w:rsidRPr="000166F1" w:rsidRDefault="002513BD" w:rsidP="00312E88">
            <w:pPr>
              <w:jc w:val="center"/>
              <w:rPr>
                <w:rFonts w:cs="Arial"/>
                <w:color w:val="000000"/>
                <w:sz w:val="15"/>
                <w:szCs w:val="15"/>
              </w:rPr>
            </w:pPr>
          </w:p>
        </w:tc>
        <w:tc>
          <w:tcPr>
            <w:tcW w:w="851" w:type="dxa"/>
            <w:tcBorders>
              <w:top w:val="nil"/>
              <w:left w:val="nil"/>
              <w:bottom w:val="single" w:sz="4" w:space="0" w:color="auto"/>
              <w:right w:val="nil"/>
            </w:tcBorders>
            <w:shd w:val="clear" w:color="000000" w:fill="FFE699"/>
            <w:noWrap/>
            <w:vAlign w:val="center"/>
            <w:hideMark/>
          </w:tcPr>
          <w:p w14:paraId="6F52A782" w14:textId="77777777" w:rsidR="002513BD" w:rsidRPr="000166F1" w:rsidRDefault="002513BD" w:rsidP="00312E88">
            <w:pPr>
              <w:jc w:val="center"/>
              <w:rPr>
                <w:rFonts w:cs="Arial"/>
                <w:color w:val="000000"/>
                <w:sz w:val="15"/>
                <w:szCs w:val="15"/>
              </w:rPr>
            </w:pPr>
            <w:r w:rsidRPr="000166F1">
              <w:rPr>
                <w:rFonts w:cs="Arial"/>
                <w:color w:val="000000"/>
                <w:sz w:val="15"/>
                <w:szCs w:val="15"/>
              </w:rPr>
              <w:t>0.9</w:t>
            </w:r>
          </w:p>
        </w:tc>
        <w:tc>
          <w:tcPr>
            <w:tcW w:w="850" w:type="dxa"/>
            <w:tcBorders>
              <w:top w:val="nil"/>
              <w:left w:val="nil"/>
              <w:bottom w:val="single" w:sz="4" w:space="0" w:color="auto"/>
              <w:right w:val="nil"/>
            </w:tcBorders>
            <w:shd w:val="clear" w:color="000000" w:fill="FFE699"/>
            <w:noWrap/>
            <w:vAlign w:val="center"/>
            <w:hideMark/>
          </w:tcPr>
          <w:p w14:paraId="50F11ABD" w14:textId="77777777" w:rsidR="002513BD" w:rsidRPr="000166F1" w:rsidRDefault="002513BD" w:rsidP="00312E88">
            <w:pPr>
              <w:jc w:val="center"/>
              <w:rPr>
                <w:rFonts w:cs="Arial"/>
                <w:color w:val="000000"/>
                <w:sz w:val="15"/>
                <w:szCs w:val="15"/>
              </w:rPr>
            </w:pPr>
            <w:r w:rsidRPr="000166F1">
              <w:rPr>
                <w:rFonts w:cs="Arial"/>
                <w:color w:val="000000"/>
                <w:sz w:val="15"/>
                <w:szCs w:val="15"/>
              </w:rPr>
              <w:t>0.8</w:t>
            </w:r>
          </w:p>
        </w:tc>
        <w:tc>
          <w:tcPr>
            <w:tcW w:w="851" w:type="dxa"/>
            <w:tcBorders>
              <w:top w:val="nil"/>
              <w:left w:val="single" w:sz="4" w:space="0" w:color="auto"/>
              <w:bottom w:val="single" w:sz="4" w:space="0" w:color="auto"/>
              <w:right w:val="single" w:sz="4" w:space="0" w:color="auto"/>
            </w:tcBorders>
            <w:shd w:val="clear" w:color="000000" w:fill="FFE699"/>
            <w:noWrap/>
            <w:vAlign w:val="center"/>
            <w:hideMark/>
          </w:tcPr>
          <w:p w14:paraId="4C9BAFE2" w14:textId="77777777" w:rsidR="002513BD" w:rsidRPr="000166F1" w:rsidRDefault="002513BD" w:rsidP="00312E88">
            <w:pPr>
              <w:jc w:val="center"/>
              <w:rPr>
                <w:rFonts w:cs="Arial"/>
                <w:color w:val="000000"/>
                <w:sz w:val="15"/>
                <w:szCs w:val="15"/>
              </w:rPr>
            </w:pPr>
            <w:r w:rsidRPr="000166F1">
              <w:rPr>
                <w:rFonts w:cs="Arial"/>
                <w:color w:val="000000"/>
                <w:sz w:val="15"/>
                <w:szCs w:val="15"/>
              </w:rPr>
              <w:t>1.0</w:t>
            </w:r>
          </w:p>
        </w:tc>
        <w:tc>
          <w:tcPr>
            <w:tcW w:w="850" w:type="dxa"/>
            <w:tcBorders>
              <w:top w:val="nil"/>
              <w:left w:val="nil"/>
              <w:bottom w:val="single" w:sz="4" w:space="0" w:color="auto"/>
              <w:right w:val="nil"/>
            </w:tcBorders>
            <w:shd w:val="clear" w:color="000000" w:fill="BFBFBF"/>
            <w:noWrap/>
            <w:vAlign w:val="center"/>
            <w:hideMark/>
          </w:tcPr>
          <w:p w14:paraId="0BB7482C" w14:textId="77777777" w:rsidR="002513BD" w:rsidRPr="000166F1" w:rsidRDefault="002513BD" w:rsidP="00312E88">
            <w:pPr>
              <w:rPr>
                <w:rFonts w:cs="Arial"/>
                <w:color w:val="000000"/>
                <w:sz w:val="15"/>
                <w:szCs w:val="15"/>
              </w:rPr>
            </w:pPr>
          </w:p>
        </w:tc>
        <w:tc>
          <w:tcPr>
            <w:tcW w:w="851" w:type="dxa"/>
            <w:tcBorders>
              <w:top w:val="nil"/>
              <w:left w:val="nil"/>
              <w:bottom w:val="single" w:sz="4" w:space="0" w:color="auto"/>
              <w:right w:val="nil"/>
            </w:tcBorders>
            <w:shd w:val="clear" w:color="000000" w:fill="BFBFBF"/>
            <w:noWrap/>
            <w:vAlign w:val="center"/>
            <w:hideMark/>
          </w:tcPr>
          <w:p w14:paraId="11587603" w14:textId="77777777" w:rsidR="002513BD" w:rsidRPr="000166F1" w:rsidRDefault="002513BD" w:rsidP="00312E88">
            <w:pPr>
              <w:rPr>
                <w:rFonts w:cs="Arial"/>
                <w:color w:val="000000"/>
                <w:sz w:val="15"/>
                <w:szCs w:val="15"/>
              </w:rPr>
            </w:pPr>
          </w:p>
        </w:tc>
        <w:tc>
          <w:tcPr>
            <w:tcW w:w="850" w:type="dxa"/>
            <w:tcBorders>
              <w:top w:val="nil"/>
              <w:left w:val="nil"/>
              <w:bottom w:val="single" w:sz="4" w:space="0" w:color="auto"/>
              <w:right w:val="nil"/>
            </w:tcBorders>
            <w:shd w:val="clear" w:color="000000" w:fill="BFBFBF"/>
            <w:noWrap/>
            <w:vAlign w:val="center"/>
            <w:hideMark/>
          </w:tcPr>
          <w:p w14:paraId="09B40325" w14:textId="77777777" w:rsidR="002513BD" w:rsidRPr="000166F1" w:rsidRDefault="002513BD" w:rsidP="00312E88">
            <w:pPr>
              <w:rPr>
                <w:rFonts w:cs="Arial"/>
                <w:color w:val="000000"/>
                <w:sz w:val="15"/>
                <w:szCs w:val="15"/>
              </w:rPr>
            </w:pPr>
          </w:p>
        </w:tc>
        <w:tc>
          <w:tcPr>
            <w:tcW w:w="851" w:type="dxa"/>
            <w:tcBorders>
              <w:top w:val="nil"/>
              <w:left w:val="nil"/>
              <w:bottom w:val="single" w:sz="4" w:space="0" w:color="auto"/>
              <w:right w:val="single" w:sz="4" w:space="0" w:color="auto"/>
            </w:tcBorders>
            <w:shd w:val="clear" w:color="000000" w:fill="BFBFBF"/>
            <w:noWrap/>
            <w:vAlign w:val="center"/>
            <w:hideMark/>
          </w:tcPr>
          <w:p w14:paraId="59E962CE" w14:textId="77777777" w:rsidR="002513BD" w:rsidRPr="000166F1" w:rsidRDefault="002513BD" w:rsidP="00312E88">
            <w:pPr>
              <w:rPr>
                <w:rFonts w:cs="Arial"/>
                <w:color w:val="000000"/>
                <w:sz w:val="15"/>
                <w:szCs w:val="15"/>
              </w:rPr>
            </w:pPr>
          </w:p>
        </w:tc>
      </w:tr>
      <w:tr w:rsidR="002513BD" w:rsidRPr="000166F1" w14:paraId="2AE8078C" w14:textId="77777777" w:rsidTr="00312E88">
        <w:trPr>
          <w:trHeight w:val="420"/>
        </w:trPr>
        <w:tc>
          <w:tcPr>
            <w:tcW w:w="8217" w:type="dxa"/>
            <w:gridSpan w:val="7"/>
            <w:tcBorders>
              <w:top w:val="nil"/>
              <w:left w:val="nil"/>
              <w:bottom w:val="nil"/>
              <w:right w:val="nil"/>
            </w:tcBorders>
            <w:shd w:val="clear" w:color="auto" w:fill="auto"/>
            <w:noWrap/>
            <w:vAlign w:val="center"/>
            <w:hideMark/>
          </w:tcPr>
          <w:p w14:paraId="7B1BA694" w14:textId="5146D711" w:rsidR="002513BD" w:rsidRPr="000166F1" w:rsidRDefault="00604441" w:rsidP="00604441">
            <w:pPr>
              <w:ind w:right="-390"/>
              <w:rPr>
                <w:rFonts w:cs="Arial"/>
                <w:color w:val="000000"/>
                <w:sz w:val="15"/>
                <w:szCs w:val="15"/>
              </w:rPr>
            </w:pPr>
            <w:r w:rsidRPr="00604441">
              <w:rPr>
                <w:rFonts w:cs="Arial"/>
                <w:color w:val="000000"/>
                <w:sz w:val="15"/>
                <w:szCs w:val="15"/>
                <w:vertAlign w:val="superscript"/>
              </w:rPr>
              <w:t>1</w:t>
            </w:r>
            <w:r>
              <w:rPr>
                <w:rFonts w:cs="Arial"/>
                <w:color w:val="000000"/>
                <w:sz w:val="15"/>
                <w:szCs w:val="15"/>
              </w:rPr>
              <w:t xml:space="preserve"> Previous review, released on 3 July 2021</w:t>
            </w:r>
            <w:r>
              <w:rPr>
                <w:rFonts w:cs="Arial"/>
                <w:color w:val="000000"/>
                <w:sz w:val="15"/>
                <w:szCs w:val="15"/>
              </w:rPr>
              <w:br/>
            </w:r>
            <w:r w:rsidRPr="00604441">
              <w:rPr>
                <w:rFonts w:cs="Arial"/>
                <w:color w:val="000000"/>
                <w:sz w:val="15"/>
                <w:szCs w:val="15"/>
                <w:vertAlign w:val="superscript"/>
              </w:rPr>
              <w:t>2</w:t>
            </w:r>
            <w:r>
              <w:rPr>
                <w:rFonts w:cs="Arial"/>
                <w:color w:val="000000"/>
                <w:sz w:val="15"/>
                <w:szCs w:val="15"/>
              </w:rPr>
              <w:t xml:space="preserve"> </w:t>
            </w:r>
            <w:r w:rsidR="002513BD" w:rsidRPr="000166F1">
              <w:rPr>
                <w:rFonts w:cs="Arial"/>
                <w:color w:val="000000"/>
                <w:sz w:val="15"/>
                <w:szCs w:val="15"/>
              </w:rPr>
              <w:t>Projections have been adjusted from a cash basis to an accrual basis using accrua</w:t>
            </w:r>
            <w:r>
              <w:rPr>
                <w:rFonts w:cs="Arial"/>
                <w:color w:val="000000"/>
                <w:sz w:val="15"/>
                <w:szCs w:val="15"/>
              </w:rPr>
              <w:t xml:space="preserve">l factors from the 30 June 2019 </w:t>
            </w:r>
            <w:r w:rsidR="002513BD" w:rsidRPr="000166F1">
              <w:rPr>
                <w:rFonts w:cs="Arial"/>
                <w:color w:val="000000"/>
                <w:sz w:val="15"/>
                <w:szCs w:val="15"/>
              </w:rPr>
              <w:t>AFSR</w:t>
            </w:r>
          </w:p>
        </w:tc>
        <w:tc>
          <w:tcPr>
            <w:tcW w:w="850" w:type="dxa"/>
            <w:tcBorders>
              <w:top w:val="nil"/>
              <w:left w:val="nil"/>
              <w:bottom w:val="nil"/>
              <w:right w:val="nil"/>
            </w:tcBorders>
            <w:shd w:val="clear" w:color="auto" w:fill="auto"/>
            <w:noWrap/>
            <w:vAlign w:val="bottom"/>
            <w:hideMark/>
          </w:tcPr>
          <w:p w14:paraId="6ED26410" w14:textId="77777777" w:rsidR="002513BD" w:rsidRPr="000166F1" w:rsidRDefault="002513BD" w:rsidP="00312E88">
            <w:pPr>
              <w:rPr>
                <w:rFonts w:cs="Arial"/>
                <w:color w:val="000000"/>
                <w:sz w:val="15"/>
                <w:szCs w:val="15"/>
              </w:rPr>
            </w:pPr>
          </w:p>
        </w:tc>
        <w:tc>
          <w:tcPr>
            <w:tcW w:w="851" w:type="dxa"/>
            <w:tcBorders>
              <w:top w:val="nil"/>
              <w:left w:val="nil"/>
              <w:bottom w:val="nil"/>
              <w:right w:val="nil"/>
            </w:tcBorders>
            <w:shd w:val="clear" w:color="auto" w:fill="auto"/>
            <w:noWrap/>
            <w:vAlign w:val="bottom"/>
            <w:hideMark/>
          </w:tcPr>
          <w:p w14:paraId="1855B406" w14:textId="77777777" w:rsidR="002513BD" w:rsidRPr="000166F1" w:rsidRDefault="002513BD" w:rsidP="00312E88">
            <w:pPr>
              <w:rPr>
                <w:sz w:val="15"/>
                <w:szCs w:val="15"/>
              </w:rPr>
            </w:pPr>
          </w:p>
        </w:tc>
      </w:tr>
    </w:tbl>
    <w:p w14:paraId="714C50CA" w14:textId="550A71E6" w:rsidR="00141B0B" w:rsidRPr="001B0E95" w:rsidRDefault="00141B0B" w:rsidP="00141B0B">
      <w:pPr>
        <w:spacing w:before="240"/>
      </w:pPr>
    </w:p>
    <w:p w14:paraId="17C45B95" w14:textId="023C6E8C" w:rsidR="00141B0B" w:rsidRPr="001B0E95" w:rsidRDefault="00141B0B" w:rsidP="00141B0B">
      <w:pPr>
        <w:spacing w:before="240"/>
      </w:pPr>
      <w:r w:rsidRPr="001B0E95">
        <w:t>Total participant cost projections have been revised upwards for each successive AFSR projection. Nonetheless actual costs for each of the past three years have exceeded the estimate from the most recent AFSR by amounts between $0.8</w:t>
      </w:r>
      <w:r w:rsidR="007D6333">
        <w:t xml:space="preserve"> billion</w:t>
      </w:r>
      <w:r w:rsidRPr="001B0E95">
        <w:t xml:space="preserve"> and $1.0</w:t>
      </w:r>
      <w:r w:rsidR="007D6333">
        <w:t xml:space="preserve"> billion</w:t>
      </w:r>
      <w:r w:rsidRPr="001B0E95">
        <w:t xml:space="preserve">, highlighting the challenge of achieving accurate projections of </w:t>
      </w:r>
      <w:r w:rsidR="00783DE5">
        <w:t>Scheme</w:t>
      </w:r>
      <w:r w:rsidRPr="001B0E95">
        <w:t xml:space="preserve"> cost even in the short term. </w:t>
      </w:r>
    </w:p>
    <w:p w14:paraId="62FA22E4" w14:textId="54622B6A" w:rsidR="00141B0B" w:rsidRPr="001B0E95" w:rsidRDefault="00C967DA" w:rsidP="00141B0B">
      <w:pPr>
        <w:spacing w:before="240"/>
      </w:pPr>
      <w:r w:rsidRPr="00740028">
        <w:rPr>
          <w:u w:val="single"/>
        </w:rPr>
        <w:fldChar w:fldCharType="begin"/>
      </w:r>
      <w:r w:rsidRPr="00740028">
        <w:rPr>
          <w:u w:val="single"/>
        </w:rPr>
        <w:instrText xml:space="preserve"> REF _Ref80434682 \h </w:instrText>
      </w:r>
      <w:r w:rsidR="00740028">
        <w:rPr>
          <w:u w:val="single"/>
        </w:rPr>
        <w:instrText xml:space="preserve"> \* MERGEFORMAT </w:instrText>
      </w:r>
      <w:r w:rsidRPr="00740028">
        <w:rPr>
          <w:u w:val="single"/>
        </w:rPr>
      </w:r>
      <w:r w:rsidRPr="00740028">
        <w:rPr>
          <w:u w:val="single"/>
        </w:rPr>
        <w:fldChar w:fldCharType="separate"/>
      </w:r>
      <w:r w:rsidR="00E50032" w:rsidRPr="00E50032">
        <w:rPr>
          <w:u w:val="single"/>
        </w:rPr>
        <w:t xml:space="preserve">Table </w:t>
      </w:r>
      <w:r w:rsidR="00E50032" w:rsidRPr="00E50032">
        <w:rPr>
          <w:noProof/>
          <w:u w:val="single"/>
        </w:rPr>
        <w:t>44</w:t>
      </w:r>
      <w:r w:rsidRPr="00740028">
        <w:rPr>
          <w:u w:val="single"/>
        </w:rPr>
        <w:fldChar w:fldCharType="end"/>
      </w:r>
      <w:r>
        <w:t xml:space="preserve"> </w:t>
      </w:r>
      <w:r w:rsidR="00141B0B" w:rsidRPr="001B0E95">
        <w:t>below highlights the difference between the 30 June 2021 AFSR projections with the 2017 PC estimates (including unanticipated costs), 2021-22 PBS and the 30 June 2018 AFSR projections over the next four years.</w:t>
      </w:r>
    </w:p>
    <w:p w14:paraId="7403E645" w14:textId="084333BA" w:rsidR="00141B0B" w:rsidRDefault="00141B0B" w:rsidP="00141B0B">
      <w:pPr>
        <w:pStyle w:val="Tables"/>
      </w:pPr>
      <w:bookmarkStart w:id="253" w:name="_Ref80434682"/>
      <w:r w:rsidRPr="00AA44C0">
        <w:t xml:space="preserve">Table </w:t>
      </w:r>
      <w:fldSimple w:instr=" SEQ Table \* ARABIC ">
        <w:r w:rsidR="00E50032">
          <w:rPr>
            <w:noProof/>
          </w:rPr>
          <w:t>44</w:t>
        </w:r>
      </w:fldSimple>
      <w:bookmarkEnd w:id="253"/>
      <w:r w:rsidRPr="00AA44C0">
        <w:t xml:space="preserve"> </w:t>
      </w:r>
      <w:r w:rsidRPr="001B0E95">
        <w:t>AFSR projections compared to 2017 PC estimates, 2021-22 PBS estimates and 2018 AFSR projections</w:t>
      </w:r>
    </w:p>
    <w:tbl>
      <w:tblPr>
        <w:tblW w:w="0" w:type="auto"/>
        <w:tblLook w:val="04A0" w:firstRow="1" w:lastRow="0" w:firstColumn="1" w:lastColumn="0" w:noHBand="0" w:noVBand="1"/>
      </w:tblPr>
      <w:tblGrid>
        <w:gridCol w:w="5800"/>
        <w:gridCol w:w="804"/>
        <w:gridCol w:w="804"/>
        <w:gridCol w:w="804"/>
        <w:gridCol w:w="804"/>
      </w:tblGrid>
      <w:tr w:rsidR="00BF50C3" w:rsidRPr="000166F1" w14:paraId="6DB1ABBE" w14:textId="77777777" w:rsidTr="00312E88">
        <w:trPr>
          <w:trHeight w:val="355"/>
          <w:tblHeader/>
        </w:trPr>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0F19DE66" w14:textId="77777777" w:rsidR="00BF50C3" w:rsidRPr="000166F1" w:rsidRDefault="00BF50C3" w:rsidP="00312E88">
            <w:pPr>
              <w:rPr>
                <w:rFonts w:cs="Arial"/>
                <w:b/>
                <w:bCs/>
                <w:color w:val="FFFFFF"/>
                <w:sz w:val="16"/>
                <w:szCs w:val="16"/>
              </w:rPr>
            </w:pPr>
            <w:r w:rsidRPr="000166F1">
              <w:rPr>
                <w:rFonts w:cs="Arial"/>
                <w:b/>
                <w:bCs/>
                <w:color w:val="FFFFFF"/>
                <w:sz w:val="16"/>
                <w:szCs w:val="16"/>
              </w:rPr>
              <w:t>Total participant costs ($b)</w:t>
            </w:r>
          </w:p>
        </w:tc>
        <w:tc>
          <w:tcPr>
            <w:tcW w:w="0" w:type="auto"/>
            <w:tcBorders>
              <w:top w:val="single" w:sz="4" w:space="0" w:color="auto"/>
              <w:left w:val="nil"/>
              <w:bottom w:val="single" w:sz="4" w:space="0" w:color="auto"/>
              <w:right w:val="nil"/>
            </w:tcBorders>
            <w:shd w:val="clear" w:color="000000" w:fill="6B2976"/>
            <w:noWrap/>
            <w:vAlign w:val="center"/>
            <w:hideMark/>
          </w:tcPr>
          <w:p w14:paraId="0B197413" w14:textId="77777777" w:rsidR="00BF50C3" w:rsidRPr="000166F1" w:rsidRDefault="00BF50C3" w:rsidP="00312E88">
            <w:pPr>
              <w:jc w:val="center"/>
              <w:rPr>
                <w:rFonts w:cs="Arial"/>
                <w:b/>
                <w:bCs/>
                <w:color w:val="FFFFFF"/>
                <w:sz w:val="16"/>
                <w:szCs w:val="16"/>
              </w:rPr>
            </w:pPr>
            <w:r w:rsidRPr="000166F1">
              <w:rPr>
                <w:rFonts w:cs="Arial"/>
                <w:b/>
                <w:bCs/>
                <w:color w:val="FFFFFF"/>
                <w:sz w:val="16"/>
                <w:szCs w:val="16"/>
              </w:rPr>
              <w:t>2021-22</w:t>
            </w:r>
          </w:p>
        </w:tc>
        <w:tc>
          <w:tcPr>
            <w:tcW w:w="0" w:type="auto"/>
            <w:tcBorders>
              <w:top w:val="single" w:sz="4" w:space="0" w:color="auto"/>
              <w:left w:val="nil"/>
              <w:bottom w:val="single" w:sz="4" w:space="0" w:color="auto"/>
              <w:right w:val="nil"/>
            </w:tcBorders>
            <w:shd w:val="clear" w:color="000000" w:fill="6B2976"/>
            <w:noWrap/>
            <w:vAlign w:val="center"/>
            <w:hideMark/>
          </w:tcPr>
          <w:p w14:paraId="6A86A6DC" w14:textId="77777777" w:rsidR="00BF50C3" w:rsidRPr="000166F1" w:rsidRDefault="00BF50C3" w:rsidP="00312E88">
            <w:pPr>
              <w:jc w:val="center"/>
              <w:rPr>
                <w:rFonts w:cs="Arial"/>
                <w:b/>
                <w:bCs/>
                <w:color w:val="FFFFFF"/>
                <w:sz w:val="16"/>
                <w:szCs w:val="16"/>
              </w:rPr>
            </w:pPr>
            <w:r w:rsidRPr="000166F1">
              <w:rPr>
                <w:rFonts w:cs="Arial"/>
                <w:b/>
                <w:bCs/>
                <w:color w:val="FFFFFF"/>
                <w:sz w:val="16"/>
                <w:szCs w:val="16"/>
              </w:rPr>
              <w:t>2022-23</w:t>
            </w:r>
          </w:p>
        </w:tc>
        <w:tc>
          <w:tcPr>
            <w:tcW w:w="0" w:type="auto"/>
            <w:tcBorders>
              <w:top w:val="single" w:sz="4" w:space="0" w:color="auto"/>
              <w:left w:val="nil"/>
              <w:bottom w:val="single" w:sz="4" w:space="0" w:color="auto"/>
              <w:right w:val="nil"/>
            </w:tcBorders>
            <w:shd w:val="clear" w:color="000000" w:fill="6B2976"/>
            <w:noWrap/>
            <w:vAlign w:val="center"/>
            <w:hideMark/>
          </w:tcPr>
          <w:p w14:paraId="4ABC3B56" w14:textId="77777777" w:rsidR="00BF50C3" w:rsidRPr="000166F1" w:rsidRDefault="00BF50C3" w:rsidP="00312E88">
            <w:pPr>
              <w:jc w:val="center"/>
              <w:rPr>
                <w:rFonts w:cs="Arial"/>
                <w:b/>
                <w:bCs/>
                <w:color w:val="FFFFFF"/>
                <w:sz w:val="16"/>
                <w:szCs w:val="16"/>
              </w:rPr>
            </w:pPr>
            <w:r w:rsidRPr="000166F1">
              <w:rPr>
                <w:rFonts w:cs="Arial"/>
                <w:b/>
                <w:bCs/>
                <w:color w:val="FFFFFF"/>
                <w:sz w:val="16"/>
                <w:szCs w:val="16"/>
              </w:rPr>
              <w:t>2023-24</w:t>
            </w:r>
          </w:p>
        </w:tc>
        <w:tc>
          <w:tcPr>
            <w:tcW w:w="0" w:type="auto"/>
            <w:tcBorders>
              <w:top w:val="single" w:sz="4" w:space="0" w:color="auto"/>
              <w:left w:val="nil"/>
              <w:bottom w:val="single" w:sz="4" w:space="0" w:color="auto"/>
              <w:right w:val="single" w:sz="4" w:space="0" w:color="auto"/>
            </w:tcBorders>
            <w:shd w:val="clear" w:color="000000" w:fill="6B2976"/>
            <w:noWrap/>
            <w:vAlign w:val="center"/>
            <w:hideMark/>
          </w:tcPr>
          <w:p w14:paraId="323D1DEC" w14:textId="77777777" w:rsidR="00BF50C3" w:rsidRPr="000166F1" w:rsidRDefault="00BF50C3" w:rsidP="00312E88">
            <w:pPr>
              <w:jc w:val="center"/>
              <w:rPr>
                <w:rFonts w:cs="Arial"/>
                <w:b/>
                <w:bCs/>
                <w:color w:val="FFFFFF"/>
                <w:sz w:val="16"/>
                <w:szCs w:val="16"/>
              </w:rPr>
            </w:pPr>
            <w:r w:rsidRPr="000166F1">
              <w:rPr>
                <w:rFonts w:cs="Arial"/>
                <w:b/>
                <w:bCs/>
                <w:color w:val="FFFFFF"/>
                <w:sz w:val="16"/>
                <w:szCs w:val="16"/>
              </w:rPr>
              <w:t>2024-25</w:t>
            </w:r>
          </w:p>
        </w:tc>
      </w:tr>
      <w:tr w:rsidR="00BF50C3" w:rsidRPr="000166F1" w14:paraId="6505A8BB" w14:textId="77777777" w:rsidTr="00BF50C3">
        <w:trPr>
          <w:trHeight w:hRule="exact" w:val="19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167D07" w14:textId="77777777" w:rsidR="00BF50C3" w:rsidRPr="000166F1" w:rsidRDefault="00BF50C3" w:rsidP="00312E88">
            <w:pPr>
              <w:rPr>
                <w:rFonts w:cs="Arial"/>
                <w:color w:val="000000"/>
                <w:sz w:val="16"/>
                <w:szCs w:val="16"/>
              </w:rPr>
            </w:pPr>
            <w:r w:rsidRPr="000166F1">
              <w:rPr>
                <w:rFonts w:cs="Arial"/>
                <w:color w:val="000000"/>
                <w:sz w:val="16"/>
                <w:szCs w:val="16"/>
              </w:rPr>
              <w:t>30 June 2021 AFSR projections compared with 2017 PC Estimates</w:t>
            </w:r>
          </w:p>
        </w:tc>
        <w:tc>
          <w:tcPr>
            <w:tcW w:w="0" w:type="auto"/>
            <w:tcBorders>
              <w:top w:val="nil"/>
              <w:left w:val="nil"/>
              <w:bottom w:val="single" w:sz="4" w:space="0" w:color="auto"/>
              <w:right w:val="nil"/>
            </w:tcBorders>
            <w:shd w:val="clear" w:color="auto" w:fill="auto"/>
            <w:noWrap/>
            <w:vAlign w:val="center"/>
            <w:hideMark/>
          </w:tcPr>
          <w:p w14:paraId="33096F72"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3.7</w:t>
            </w:r>
          </w:p>
        </w:tc>
        <w:tc>
          <w:tcPr>
            <w:tcW w:w="0" w:type="auto"/>
            <w:tcBorders>
              <w:top w:val="nil"/>
              <w:left w:val="nil"/>
              <w:bottom w:val="single" w:sz="4" w:space="0" w:color="auto"/>
              <w:right w:val="nil"/>
            </w:tcBorders>
            <w:shd w:val="clear" w:color="auto" w:fill="auto"/>
            <w:noWrap/>
            <w:vAlign w:val="center"/>
            <w:hideMark/>
          </w:tcPr>
          <w:p w14:paraId="0C052E40"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6.7</w:t>
            </w:r>
          </w:p>
        </w:tc>
        <w:tc>
          <w:tcPr>
            <w:tcW w:w="0" w:type="auto"/>
            <w:tcBorders>
              <w:top w:val="nil"/>
              <w:left w:val="nil"/>
              <w:bottom w:val="single" w:sz="4" w:space="0" w:color="auto"/>
              <w:right w:val="nil"/>
            </w:tcBorders>
            <w:shd w:val="clear" w:color="auto" w:fill="auto"/>
            <w:noWrap/>
            <w:vAlign w:val="center"/>
            <w:hideMark/>
          </w:tcPr>
          <w:p w14:paraId="3DCC0BD1"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9.0</w:t>
            </w:r>
          </w:p>
        </w:tc>
        <w:tc>
          <w:tcPr>
            <w:tcW w:w="0" w:type="auto"/>
            <w:tcBorders>
              <w:top w:val="nil"/>
              <w:left w:val="nil"/>
              <w:bottom w:val="single" w:sz="4" w:space="0" w:color="auto"/>
              <w:right w:val="single" w:sz="4" w:space="0" w:color="auto"/>
            </w:tcBorders>
            <w:shd w:val="clear" w:color="auto" w:fill="auto"/>
            <w:noWrap/>
            <w:vAlign w:val="center"/>
            <w:hideMark/>
          </w:tcPr>
          <w:p w14:paraId="57EE1E1A"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10.6</w:t>
            </w:r>
          </w:p>
        </w:tc>
      </w:tr>
      <w:tr w:rsidR="00BF50C3" w:rsidRPr="000166F1" w14:paraId="4DD0A20B" w14:textId="77777777" w:rsidTr="00BF50C3">
        <w:trPr>
          <w:trHeight w:hRule="exact" w:val="28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26ED3F" w14:textId="77777777" w:rsidR="00BF50C3" w:rsidRPr="000166F1" w:rsidRDefault="00BF50C3" w:rsidP="00312E88">
            <w:pPr>
              <w:rPr>
                <w:rFonts w:cs="Arial"/>
                <w:color w:val="000000"/>
                <w:sz w:val="16"/>
                <w:szCs w:val="16"/>
              </w:rPr>
            </w:pPr>
            <w:r w:rsidRPr="000166F1">
              <w:rPr>
                <w:rFonts w:cs="Arial"/>
                <w:color w:val="000000"/>
                <w:sz w:val="16"/>
                <w:szCs w:val="16"/>
              </w:rPr>
              <w:t>30 June 2021 AFSR projections compared with 2021-22 PBS</w:t>
            </w:r>
          </w:p>
        </w:tc>
        <w:tc>
          <w:tcPr>
            <w:tcW w:w="0" w:type="auto"/>
            <w:tcBorders>
              <w:top w:val="nil"/>
              <w:left w:val="nil"/>
              <w:bottom w:val="single" w:sz="4" w:space="0" w:color="auto"/>
              <w:right w:val="nil"/>
            </w:tcBorders>
            <w:shd w:val="clear" w:color="auto" w:fill="auto"/>
            <w:noWrap/>
            <w:vAlign w:val="center"/>
            <w:hideMark/>
          </w:tcPr>
          <w:p w14:paraId="4855E35A"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2.7</w:t>
            </w:r>
          </w:p>
        </w:tc>
        <w:tc>
          <w:tcPr>
            <w:tcW w:w="0" w:type="auto"/>
            <w:tcBorders>
              <w:top w:val="nil"/>
              <w:left w:val="nil"/>
              <w:bottom w:val="single" w:sz="4" w:space="0" w:color="auto"/>
              <w:right w:val="nil"/>
            </w:tcBorders>
            <w:shd w:val="clear" w:color="auto" w:fill="auto"/>
            <w:noWrap/>
            <w:vAlign w:val="center"/>
            <w:hideMark/>
          </w:tcPr>
          <w:p w14:paraId="21FFBFC0"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5.6</w:t>
            </w:r>
          </w:p>
        </w:tc>
        <w:tc>
          <w:tcPr>
            <w:tcW w:w="0" w:type="auto"/>
            <w:tcBorders>
              <w:top w:val="nil"/>
              <w:left w:val="nil"/>
              <w:bottom w:val="single" w:sz="4" w:space="0" w:color="auto"/>
              <w:right w:val="nil"/>
            </w:tcBorders>
            <w:shd w:val="clear" w:color="auto" w:fill="auto"/>
            <w:noWrap/>
            <w:vAlign w:val="center"/>
            <w:hideMark/>
          </w:tcPr>
          <w:p w14:paraId="6B6BEA3C"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2605F68F"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9.5</w:t>
            </w:r>
          </w:p>
        </w:tc>
      </w:tr>
      <w:tr w:rsidR="00BF50C3" w:rsidRPr="000166F1" w14:paraId="05CAF696" w14:textId="77777777" w:rsidTr="00BF50C3">
        <w:trPr>
          <w:trHeight w:hRule="exact" w:val="29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E54E85" w14:textId="77777777" w:rsidR="00BF50C3" w:rsidRPr="000166F1" w:rsidRDefault="00BF50C3" w:rsidP="00312E88">
            <w:pPr>
              <w:rPr>
                <w:rFonts w:cs="Arial"/>
                <w:color w:val="000000"/>
                <w:sz w:val="16"/>
                <w:szCs w:val="16"/>
              </w:rPr>
            </w:pPr>
            <w:r w:rsidRPr="000166F1">
              <w:rPr>
                <w:rFonts w:cs="Arial"/>
                <w:color w:val="000000"/>
                <w:sz w:val="16"/>
                <w:szCs w:val="16"/>
              </w:rPr>
              <w:t>30 June 2021 AFSR projections compared with 30 June 2018 AFSR projections</w:t>
            </w:r>
          </w:p>
        </w:tc>
        <w:tc>
          <w:tcPr>
            <w:tcW w:w="0" w:type="auto"/>
            <w:tcBorders>
              <w:top w:val="nil"/>
              <w:left w:val="nil"/>
              <w:bottom w:val="single" w:sz="4" w:space="0" w:color="auto"/>
              <w:right w:val="nil"/>
            </w:tcBorders>
            <w:shd w:val="clear" w:color="auto" w:fill="auto"/>
            <w:noWrap/>
            <w:vAlign w:val="center"/>
            <w:hideMark/>
          </w:tcPr>
          <w:p w14:paraId="5BCBD13F"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5.6</w:t>
            </w:r>
          </w:p>
        </w:tc>
        <w:tc>
          <w:tcPr>
            <w:tcW w:w="0" w:type="auto"/>
            <w:tcBorders>
              <w:top w:val="nil"/>
              <w:left w:val="nil"/>
              <w:bottom w:val="single" w:sz="4" w:space="0" w:color="auto"/>
              <w:right w:val="nil"/>
            </w:tcBorders>
            <w:shd w:val="clear" w:color="auto" w:fill="auto"/>
            <w:noWrap/>
            <w:vAlign w:val="center"/>
            <w:hideMark/>
          </w:tcPr>
          <w:p w14:paraId="352756E6"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7.2</w:t>
            </w:r>
          </w:p>
        </w:tc>
        <w:tc>
          <w:tcPr>
            <w:tcW w:w="0" w:type="auto"/>
            <w:tcBorders>
              <w:top w:val="nil"/>
              <w:left w:val="nil"/>
              <w:bottom w:val="single" w:sz="4" w:space="0" w:color="auto"/>
              <w:right w:val="nil"/>
            </w:tcBorders>
            <w:shd w:val="clear" w:color="auto" w:fill="auto"/>
            <w:noWrap/>
            <w:vAlign w:val="center"/>
            <w:hideMark/>
          </w:tcPr>
          <w:p w14:paraId="413D7671"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8.4</w:t>
            </w:r>
          </w:p>
        </w:tc>
        <w:tc>
          <w:tcPr>
            <w:tcW w:w="0" w:type="auto"/>
            <w:tcBorders>
              <w:top w:val="nil"/>
              <w:left w:val="nil"/>
              <w:bottom w:val="single" w:sz="4" w:space="0" w:color="auto"/>
              <w:right w:val="single" w:sz="4" w:space="0" w:color="auto"/>
            </w:tcBorders>
            <w:shd w:val="clear" w:color="auto" w:fill="auto"/>
            <w:noWrap/>
            <w:vAlign w:val="center"/>
            <w:hideMark/>
          </w:tcPr>
          <w:p w14:paraId="6DF5B26D" w14:textId="77777777" w:rsidR="00BF50C3" w:rsidRPr="000166F1" w:rsidRDefault="00BF50C3" w:rsidP="00312E88">
            <w:pPr>
              <w:jc w:val="center"/>
              <w:rPr>
                <w:rFonts w:cs="Arial"/>
                <w:color w:val="000000"/>
                <w:sz w:val="16"/>
                <w:szCs w:val="16"/>
              </w:rPr>
            </w:pPr>
            <w:r>
              <w:rPr>
                <w:rFonts w:cs="Arial"/>
                <w:color w:val="000000"/>
                <w:sz w:val="16"/>
                <w:szCs w:val="16"/>
              </w:rPr>
              <w:t>+</w:t>
            </w:r>
            <w:r w:rsidRPr="000166F1">
              <w:rPr>
                <w:rFonts w:cs="Arial"/>
                <w:color w:val="000000"/>
                <w:sz w:val="16"/>
                <w:szCs w:val="16"/>
              </w:rPr>
              <w:t>9.7</w:t>
            </w:r>
          </w:p>
        </w:tc>
      </w:tr>
    </w:tbl>
    <w:p w14:paraId="38A191A4" w14:textId="485F67B1" w:rsidR="00141B0B" w:rsidRPr="001B0E95" w:rsidRDefault="00141B0B" w:rsidP="00141B0B">
      <w:pPr>
        <w:spacing w:before="240"/>
      </w:pPr>
    </w:p>
    <w:p w14:paraId="295D25E2" w14:textId="7D39DC63" w:rsidR="00141B0B" w:rsidRPr="001B0E95" w:rsidRDefault="00141B0B" w:rsidP="00141B0B">
      <w:pPr>
        <w:spacing w:before="240"/>
      </w:pPr>
      <w:r w:rsidRPr="001B0E95">
        <w:t xml:space="preserve">While a component of the increases in the AFSR projection over time is from a greater intake of participants than previously expected, particularly in regions that phased in during the trial period, the main driver is the average </w:t>
      </w:r>
      <w:r w:rsidR="00180C52">
        <w:t>payment per</w:t>
      </w:r>
      <w:r w:rsidRPr="001B0E95">
        <w:t xml:space="preserve"> participant which has continued to significantly increase. This is discussed in further detail below.</w:t>
      </w:r>
    </w:p>
    <w:p w14:paraId="05954E00" w14:textId="77777777" w:rsidR="00B97A2B" w:rsidRDefault="00B97A2B">
      <w:pPr>
        <w:spacing w:after="160" w:line="259" w:lineRule="auto"/>
        <w:rPr>
          <w:rFonts w:eastAsiaTheme="minorHAnsi"/>
          <w:b/>
          <w:bCs/>
          <w:szCs w:val="18"/>
          <w:lang w:eastAsia="en-US"/>
        </w:rPr>
      </w:pPr>
      <w:r>
        <w:br w:type="page"/>
      </w:r>
    </w:p>
    <w:p w14:paraId="69AA7924" w14:textId="5E69D95F" w:rsidR="001C2276" w:rsidRDefault="001C2276" w:rsidP="001C2276">
      <w:pPr>
        <w:pStyle w:val="Tables"/>
      </w:pPr>
      <w:r w:rsidRPr="00AA44C0">
        <w:lastRenderedPageBreak/>
        <w:t xml:space="preserve">Table </w:t>
      </w:r>
      <w:fldSimple w:instr=" SEQ Table \* ARABIC ">
        <w:r w:rsidR="00E50032">
          <w:rPr>
            <w:noProof/>
          </w:rPr>
          <w:t>45</w:t>
        </w:r>
      </w:fldSimple>
      <w:r w:rsidRPr="00AA44C0">
        <w:t xml:space="preserve"> </w:t>
      </w:r>
      <w:r w:rsidRPr="001B0E95">
        <w:t>Participant numbers - AFSR projections, 2017 PC estimates and 2021-22 PBS estimates</w:t>
      </w:r>
    </w:p>
    <w:tbl>
      <w:tblPr>
        <w:tblW w:w="0" w:type="auto"/>
        <w:tblLook w:val="04A0" w:firstRow="1" w:lastRow="0" w:firstColumn="1" w:lastColumn="0" w:noHBand="0" w:noVBand="1"/>
      </w:tblPr>
      <w:tblGrid>
        <w:gridCol w:w="2912"/>
        <w:gridCol w:w="763"/>
        <w:gridCol w:w="763"/>
        <w:gridCol w:w="763"/>
        <w:gridCol w:w="763"/>
        <w:gridCol w:w="763"/>
        <w:gridCol w:w="763"/>
        <w:gridCol w:w="763"/>
        <w:gridCol w:w="763"/>
      </w:tblGrid>
      <w:tr w:rsidR="008D3450" w:rsidRPr="00632B14" w14:paraId="7731D7F4" w14:textId="77777777" w:rsidTr="008D3450">
        <w:trPr>
          <w:trHeight w:val="284"/>
        </w:trPr>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56ECE1C4" w14:textId="77777777" w:rsidR="008D3450" w:rsidRPr="00632B14" w:rsidRDefault="008D3450" w:rsidP="00312E88">
            <w:pPr>
              <w:rPr>
                <w:rFonts w:cs="Arial"/>
                <w:b/>
                <w:bCs/>
                <w:color w:val="FFFFFF"/>
                <w:sz w:val="15"/>
                <w:szCs w:val="15"/>
              </w:rPr>
            </w:pPr>
            <w:r w:rsidRPr="00632B14">
              <w:rPr>
                <w:rFonts w:cs="Arial"/>
                <w:b/>
                <w:bCs/>
                <w:color w:val="FFFFFF"/>
                <w:sz w:val="15"/>
                <w:szCs w:val="15"/>
              </w:rPr>
              <w:t>Total participant numbers</w:t>
            </w:r>
          </w:p>
        </w:tc>
        <w:tc>
          <w:tcPr>
            <w:tcW w:w="0" w:type="auto"/>
            <w:tcBorders>
              <w:top w:val="single" w:sz="4" w:space="0" w:color="auto"/>
              <w:left w:val="nil"/>
              <w:bottom w:val="single" w:sz="4" w:space="0" w:color="auto"/>
              <w:right w:val="nil"/>
            </w:tcBorders>
            <w:shd w:val="clear" w:color="000000" w:fill="6B2976"/>
            <w:noWrap/>
            <w:vAlign w:val="center"/>
            <w:hideMark/>
          </w:tcPr>
          <w:p w14:paraId="589E1151" w14:textId="77777777" w:rsidR="008D3450" w:rsidRPr="00632B14" w:rsidRDefault="008D3450" w:rsidP="00312E88">
            <w:pPr>
              <w:jc w:val="center"/>
              <w:rPr>
                <w:rFonts w:cs="Arial"/>
                <w:b/>
                <w:bCs/>
                <w:color w:val="FFFFFF"/>
                <w:sz w:val="15"/>
                <w:szCs w:val="15"/>
              </w:rPr>
            </w:pPr>
            <w:r w:rsidRPr="00632B14">
              <w:rPr>
                <w:rFonts w:cs="Arial"/>
                <w:b/>
                <w:bCs/>
                <w:color w:val="FFFFFF"/>
                <w:sz w:val="15"/>
                <w:szCs w:val="15"/>
              </w:rPr>
              <w:t>2017-18</w:t>
            </w:r>
          </w:p>
        </w:tc>
        <w:tc>
          <w:tcPr>
            <w:tcW w:w="0" w:type="auto"/>
            <w:tcBorders>
              <w:top w:val="single" w:sz="4" w:space="0" w:color="auto"/>
              <w:left w:val="nil"/>
              <w:bottom w:val="single" w:sz="4" w:space="0" w:color="auto"/>
              <w:right w:val="nil"/>
            </w:tcBorders>
            <w:shd w:val="clear" w:color="000000" w:fill="6B2976"/>
            <w:noWrap/>
            <w:vAlign w:val="center"/>
            <w:hideMark/>
          </w:tcPr>
          <w:p w14:paraId="430B2698" w14:textId="77777777" w:rsidR="008D3450" w:rsidRPr="00632B14" w:rsidRDefault="008D3450" w:rsidP="00312E88">
            <w:pPr>
              <w:jc w:val="center"/>
              <w:rPr>
                <w:rFonts w:cs="Arial"/>
                <w:b/>
                <w:bCs/>
                <w:color w:val="FFFFFF"/>
                <w:sz w:val="15"/>
                <w:szCs w:val="15"/>
              </w:rPr>
            </w:pPr>
            <w:r w:rsidRPr="00632B14">
              <w:rPr>
                <w:rFonts w:cs="Arial"/>
                <w:b/>
                <w:bCs/>
                <w:color w:val="FFFFFF"/>
                <w:sz w:val="15"/>
                <w:szCs w:val="15"/>
              </w:rPr>
              <w:t>2018-19</w:t>
            </w:r>
          </w:p>
        </w:tc>
        <w:tc>
          <w:tcPr>
            <w:tcW w:w="0" w:type="auto"/>
            <w:tcBorders>
              <w:top w:val="single" w:sz="4" w:space="0" w:color="auto"/>
              <w:left w:val="nil"/>
              <w:bottom w:val="single" w:sz="4" w:space="0" w:color="auto"/>
              <w:right w:val="nil"/>
            </w:tcBorders>
            <w:shd w:val="clear" w:color="000000" w:fill="6B2976"/>
            <w:noWrap/>
            <w:vAlign w:val="center"/>
            <w:hideMark/>
          </w:tcPr>
          <w:p w14:paraId="1DD46AB7" w14:textId="77777777" w:rsidR="008D3450" w:rsidRPr="00632B14" w:rsidRDefault="008D3450" w:rsidP="00312E88">
            <w:pPr>
              <w:jc w:val="center"/>
              <w:rPr>
                <w:rFonts w:cs="Arial"/>
                <w:b/>
                <w:bCs/>
                <w:color w:val="FFFFFF"/>
                <w:sz w:val="15"/>
                <w:szCs w:val="15"/>
              </w:rPr>
            </w:pPr>
            <w:r w:rsidRPr="00632B14">
              <w:rPr>
                <w:rFonts w:cs="Arial"/>
                <w:b/>
                <w:bCs/>
                <w:color w:val="FFFFFF"/>
                <w:sz w:val="15"/>
                <w:szCs w:val="15"/>
              </w:rPr>
              <w:t>2019-20</w:t>
            </w:r>
          </w:p>
        </w:tc>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790EAB9E" w14:textId="77777777" w:rsidR="008D3450" w:rsidRPr="00632B14" w:rsidRDefault="008D3450" w:rsidP="00312E88">
            <w:pPr>
              <w:jc w:val="center"/>
              <w:rPr>
                <w:rFonts w:cs="Arial"/>
                <w:b/>
                <w:bCs/>
                <w:color w:val="FFFFFF"/>
                <w:sz w:val="15"/>
                <w:szCs w:val="15"/>
              </w:rPr>
            </w:pPr>
            <w:r w:rsidRPr="00632B14">
              <w:rPr>
                <w:rFonts w:cs="Arial"/>
                <w:b/>
                <w:bCs/>
                <w:color w:val="FFFFFF"/>
                <w:sz w:val="15"/>
                <w:szCs w:val="15"/>
              </w:rPr>
              <w:t>2020-21</w:t>
            </w:r>
          </w:p>
        </w:tc>
        <w:tc>
          <w:tcPr>
            <w:tcW w:w="0" w:type="auto"/>
            <w:tcBorders>
              <w:top w:val="single" w:sz="4" w:space="0" w:color="auto"/>
              <w:left w:val="nil"/>
              <w:bottom w:val="single" w:sz="4" w:space="0" w:color="auto"/>
              <w:right w:val="nil"/>
            </w:tcBorders>
            <w:shd w:val="clear" w:color="000000" w:fill="6B2976"/>
            <w:noWrap/>
            <w:vAlign w:val="center"/>
            <w:hideMark/>
          </w:tcPr>
          <w:p w14:paraId="42DAD4FE" w14:textId="77777777" w:rsidR="008D3450" w:rsidRPr="00632B14" w:rsidRDefault="008D3450" w:rsidP="00312E88">
            <w:pPr>
              <w:jc w:val="center"/>
              <w:rPr>
                <w:rFonts w:cs="Arial"/>
                <w:b/>
                <w:bCs/>
                <w:color w:val="FFFFFF"/>
                <w:sz w:val="15"/>
                <w:szCs w:val="15"/>
              </w:rPr>
            </w:pPr>
            <w:r w:rsidRPr="00632B14">
              <w:rPr>
                <w:rFonts w:cs="Arial"/>
                <w:b/>
                <w:bCs/>
                <w:color w:val="FFFFFF"/>
                <w:sz w:val="15"/>
                <w:szCs w:val="15"/>
              </w:rPr>
              <w:t>2021-22</w:t>
            </w:r>
          </w:p>
        </w:tc>
        <w:tc>
          <w:tcPr>
            <w:tcW w:w="0" w:type="auto"/>
            <w:tcBorders>
              <w:top w:val="single" w:sz="4" w:space="0" w:color="auto"/>
              <w:left w:val="nil"/>
              <w:bottom w:val="single" w:sz="4" w:space="0" w:color="auto"/>
              <w:right w:val="nil"/>
            </w:tcBorders>
            <w:shd w:val="clear" w:color="000000" w:fill="6B2976"/>
            <w:noWrap/>
            <w:vAlign w:val="center"/>
            <w:hideMark/>
          </w:tcPr>
          <w:p w14:paraId="6029F335" w14:textId="77777777" w:rsidR="008D3450" w:rsidRPr="00632B14" w:rsidRDefault="008D3450" w:rsidP="00312E88">
            <w:pPr>
              <w:jc w:val="center"/>
              <w:rPr>
                <w:rFonts w:cs="Arial"/>
                <w:b/>
                <w:bCs/>
                <w:color w:val="FFFFFF"/>
                <w:sz w:val="15"/>
                <w:szCs w:val="15"/>
              </w:rPr>
            </w:pPr>
            <w:r w:rsidRPr="00632B14">
              <w:rPr>
                <w:rFonts w:cs="Arial"/>
                <w:b/>
                <w:bCs/>
                <w:color w:val="FFFFFF"/>
                <w:sz w:val="15"/>
                <w:szCs w:val="15"/>
              </w:rPr>
              <w:t>2022-23</w:t>
            </w:r>
          </w:p>
        </w:tc>
        <w:tc>
          <w:tcPr>
            <w:tcW w:w="0" w:type="auto"/>
            <w:tcBorders>
              <w:top w:val="single" w:sz="4" w:space="0" w:color="auto"/>
              <w:left w:val="nil"/>
              <w:bottom w:val="single" w:sz="4" w:space="0" w:color="auto"/>
              <w:right w:val="nil"/>
            </w:tcBorders>
            <w:shd w:val="clear" w:color="000000" w:fill="6B2976"/>
            <w:noWrap/>
            <w:vAlign w:val="center"/>
            <w:hideMark/>
          </w:tcPr>
          <w:p w14:paraId="4464176A" w14:textId="77777777" w:rsidR="008D3450" w:rsidRPr="00632B14" w:rsidRDefault="008D3450" w:rsidP="00312E88">
            <w:pPr>
              <w:jc w:val="center"/>
              <w:rPr>
                <w:rFonts w:cs="Arial"/>
                <w:b/>
                <w:bCs/>
                <w:color w:val="FFFFFF"/>
                <w:sz w:val="15"/>
                <w:szCs w:val="15"/>
              </w:rPr>
            </w:pPr>
            <w:r w:rsidRPr="00632B14">
              <w:rPr>
                <w:rFonts w:cs="Arial"/>
                <w:b/>
                <w:bCs/>
                <w:color w:val="FFFFFF"/>
                <w:sz w:val="15"/>
                <w:szCs w:val="15"/>
              </w:rPr>
              <w:t>2023-24</w:t>
            </w:r>
          </w:p>
        </w:tc>
        <w:tc>
          <w:tcPr>
            <w:tcW w:w="0" w:type="auto"/>
            <w:tcBorders>
              <w:top w:val="single" w:sz="4" w:space="0" w:color="auto"/>
              <w:left w:val="nil"/>
              <w:bottom w:val="single" w:sz="4" w:space="0" w:color="auto"/>
              <w:right w:val="single" w:sz="4" w:space="0" w:color="auto"/>
            </w:tcBorders>
            <w:shd w:val="clear" w:color="000000" w:fill="6B2976"/>
            <w:noWrap/>
            <w:vAlign w:val="center"/>
            <w:hideMark/>
          </w:tcPr>
          <w:p w14:paraId="4EE30B35" w14:textId="77777777" w:rsidR="008D3450" w:rsidRPr="00632B14" w:rsidRDefault="008D3450" w:rsidP="00312E88">
            <w:pPr>
              <w:jc w:val="center"/>
              <w:rPr>
                <w:rFonts w:cs="Arial"/>
                <w:b/>
                <w:bCs/>
                <w:color w:val="FFFFFF"/>
                <w:sz w:val="15"/>
                <w:szCs w:val="15"/>
              </w:rPr>
            </w:pPr>
            <w:r w:rsidRPr="00632B14">
              <w:rPr>
                <w:rFonts w:cs="Arial"/>
                <w:b/>
                <w:bCs/>
                <w:color w:val="FFFFFF"/>
                <w:sz w:val="15"/>
                <w:szCs w:val="15"/>
              </w:rPr>
              <w:t>2024-25</w:t>
            </w:r>
          </w:p>
        </w:tc>
      </w:tr>
      <w:tr w:rsidR="008D3450" w:rsidRPr="00632B14" w14:paraId="159C2E9E" w14:textId="77777777" w:rsidTr="008D3450">
        <w:trPr>
          <w:trHeight w:val="284"/>
        </w:trPr>
        <w:tc>
          <w:tcPr>
            <w:tcW w:w="0" w:type="auto"/>
            <w:tcBorders>
              <w:top w:val="nil"/>
              <w:left w:val="single" w:sz="4" w:space="0" w:color="auto"/>
              <w:bottom w:val="single" w:sz="4" w:space="0" w:color="auto"/>
              <w:right w:val="nil"/>
            </w:tcBorders>
            <w:shd w:val="clear" w:color="000000" w:fill="D3C5D7"/>
            <w:noWrap/>
            <w:vAlign w:val="center"/>
            <w:hideMark/>
          </w:tcPr>
          <w:p w14:paraId="4E369477" w14:textId="77777777" w:rsidR="008D3450" w:rsidRPr="00632B14" w:rsidRDefault="008D3450" w:rsidP="00312E88">
            <w:pPr>
              <w:rPr>
                <w:rFonts w:cs="Arial"/>
                <w:b/>
                <w:bCs/>
                <w:color w:val="000000"/>
                <w:sz w:val="15"/>
                <w:szCs w:val="15"/>
              </w:rPr>
            </w:pPr>
            <w:r w:rsidRPr="00632B14">
              <w:rPr>
                <w:rFonts w:cs="Arial"/>
                <w:b/>
                <w:bCs/>
                <w:color w:val="000000"/>
                <w:sz w:val="15"/>
                <w:szCs w:val="15"/>
              </w:rPr>
              <w:t>PC estimates</w:t>
            </w:r>
          </w:p>
        </w:tc>
        <w:tc>
          <w:tcPr>
            <w:tcW w:w="0" w:type="auto"/>
            <w:tcBorders>
              <w:top w:val="nil"/>
              <w:left w:val="nil"/>
              <w:bottom w:val="single" w:sz="4" w:space="0" w:color="auto"/>
              <w:right w:val="nil"/>
            </w:tcBorders>
            <w:shd w:val="clear" w:color="000000" w:fill="D3C5D7"/>
            <w:noWrap/>
            <w:vAlign w:val="center"/>
            <w:hideMark/>
          </w:tcPr>
          <w:p w14:paraId="1EEA7791"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23F9C374"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3FCC0172"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1060571F"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5AFAF888"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691D630E"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276DEE46"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single" w:sz="4" w:space="0" w:color="auto"/>
            </w:tcBorders>
            <w:shd w:val="clear" w:color="000000" w:fill="D3C5D7"/>
            <w:noWrap/>
            <w:vAlign w:val="center"/>
            <w:hideMark/>
          </w:tcPr>
          <w:p w14:paraId="3F5AB345"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r>
      <w:tr w:rsidR="008D3450" w:rsidRPr="00632B14" w14:paraId="16671CBC" w14:textId="77777777" w:rsidTr="008D3450">
        <w:trPr>
          <w:trHeight w:hRule="exac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B520FE" w14:textId="77777777" w:rsidR="008D3450" w:rsidRPr="00632B14" w:rsidRDefault="008D3450" w:rsidP="00312E88">
            <w:pPr>
              <w:rPr>
                <w:rFonts w:cs="Arial"/>
                <w:color w:val="000000"/>
                <w:sz w:val="15"/>
                <w:szCs w:val="15"/>
              </w:rPr>
            </w:pPr>
            <w:r w:rsidRPr="00632B14">
              <w:rPr>
                <w:rFonts w:cs="Arial"/>
                <w:color w:val="000000"/>
                <w:sz w:val="15"/>
                <w:szCs w:val="15"/>
              </w:rPr>
              <w:t>2017 Productivity Commission Estimates</w:t>
            </w:r>
          </w:p>
        </w:tc>
        <w:tc>
          <w:tcPr>
            <w:tcW w:w="0" w:type="auto"/>
            <w:tcBorders>
              <w:top w:val="nil"/>
              <w:left w:val="nil"/>
              <w:bottom w:val="single" w:sz="4" w:space="0" w:color="auto"/>
              <w:right w:val="nil"/>
            </w:tcBorders>
            <w:shd w:val="clear" w:color="auto" w:fill="auto"/>
            <w:noWrap/>
            <w:vAlign w:val="center"/>
            <w:hideMark/>
          </w:tcPr>
          <w:p w14:paraId="76BF6F96" w14:textId="77777777" w:rsidR="008D3450" w:rsidRPr="00632B14" w:rsidRDefault="008D3450" w:rsidP="00312E88">
            <w:pPr>
              <w:jc w:val="center"/>
              <w:rPr>
                <w:rFonts w:cs="Arial"/>
                <w:color w:val="000000"/>
                <w:sz w:val="15"/>
                <w:szCs w:val="15"/>
              </w:rPr>
            </w:pPr>
            <w:r w:rsidRPr="00632B14">
              <w:rPr>
                <w:rFonts w:cs="Arial"/>
                <w:color w:val="000000"/>
                <w:sz w:val="15"/>
                <w:szCs w:val="15"/>
              </w:rPr>
              <w:t>264,100</w:t>
            </w:r>
          </w:p>
        </w:tc>
        <w:tc>
          <w:tcPr>
            <w:tcW w:w="0" w:type="auto"/>
            <w:tcBorders>
              <w:top w:val="nil"/>
              <w:left w:val="nil"/>
              <w:bottom w:val="single" w:sz="4" w:space="0" w:color="auto"/>
              <w:right w:val="nil"/>
            </w:tcBorders>
            <w:shd w:val="clear" w:color="auto" w:fill="auto"/>
            <w:noWrap/>
            <w:vAlign w:val="center"/>
            <w:hideMark/>
          </w:tcPr>
          <w:p w14:paraId="2928B9FD" w14:textId="77777777" w:rsidR="008D3450" w:rsidRPr="00632B14" w:rsidRDefault="008D3450" w:rsidP="00312E88">
            <w:pPr>
              <w:jc w:val="center"/>
              <w:rPr>
                <w:rFonts w:cs="Arial"/>
                <w:color w:val="000000"/>
                <w:sz w:val="15"/>
                <w:szCs w:val="15"/>
              </w:rPr>
            </w:pPr>
            <w:r w:rsidRPr="00632B14">
              <w:rPr>
                <w:rFonts w:cs="Arial"/>
                <w:color w:val="000000"/>
                <w:sz w:val="15"/>
                <w:szCs w:val="15"/>
              </w:rPr>
              <w:t>447,300</w:t>
            </w:r>
          </w:p>
        </w:tc>
        <w:tc>
          <w:tcPr>
            <w:tcW w:w="0" w:type="auto"/>
            <w:tcBorders>
              <w:top w:val="nil"/>
              <w:left w:val="nil"/>
              <w:bottom w:val="single" w:sz="4" w:space="0" w:color="auto"/>
              <w:right w:val="nil"/>
            </w:tcBorders>
            <w:shd w:val="clear" w:color="auto" w:fill="auto"/>
            <w:noWrap/>
            <w:vAlign w:val="center"/>
            <w:hideMark/>
          </w:tcPr>
          <w:p w14:paraId="1A73F95A" w14:textId="77777777" w:rsidR="008D3450" w:rsidRPr="00632B14" w:rsidRDefault="008D3450" w:rsidP="00312E88">
            <w:pPr>
              <w:jc w:val="center"/>
              <w:rPr>
                <w:rFonts w:cs="Arial"/>
                <w:color w:val="000000"/>
                <w:sz w:val="15"/>
                <w:szCs w:val="15"/>
              </w:rPr>
            </w:pPr>
            <w:r w:rsidRPr="00632B14">
              <w:rPr>
                <w:rFonts w:cs="Arial"/>
                <w:color w:val="000000"/>
                <w:sz w:val="15"/>
                <w:szCs w:val="15"/>
              </w:rPr>
              <w:t>473,700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31AE62" w14:textId="77777777" w:rsidR="008D3450" w:rsidRPr="00632B14" w:rsidRDefault="008D3450" w:rsidP="00312E88">
            <w:pPr>
              <w:jc w:val="center"/>
              <w:rPr>
                <w:rFonts w:cs="Arial"/>
                <w:color w:val="000000"/>
                <w:sz w:val="15"/>
                <w:szCs w:val="15"/>
              </w:rPr>
            </w:pPr>
            <w:r w:rsidRPr="00632B14">
              <w:rPr>
                <w:rFonts w:cs="Arial"/>
                <w:color w:val="000000"/>
                <w:sz w:val="15"/>
                <w:szCs w:val="15"/>
              </w:rPr>
              <w:t>485,900</w:t>
            </w:r>
          </w:p>
        </w:tc>
        <w:tc>
          <w:tcPr>
            <w:tcW w:w="0" w:type="auto"/>
            <w:tcBorders>
              <w:top w:val="nil"/>
              <w:left w:val="nil"/>
              <w:bottom w:val="single" w:sz="4" w:space="0" w:color="auto"/>
              <w:right w:val="nil"/>
            </w:tcBorders>
            <w:shd w:val="clear" w:color="auto" w:fill="auto"/>
            <w:noWrap/>
            <w:vAlign w:val="center"/>
            <w:hideMark/>
          </w:tcPr>
          <w:p w14:paraId="02FBEAC1" w14:textId="77777777" w:rsidR="008D3450" w:rsidRPr="00632B14" w:rsidRDefault="008D3450" w:rsidP="00312E88">
            <w:pPr>
              <w:jc w:val="center"/>
              <w:rPr>
                <w:rFonts w:cs="Arial"/>
                <w:color w:val="000000"/>
                <w:sz w:val="15"/>
                <w:szCs w:val="15"/>
              </w:rPr>
            </w:pPr>
            <w:r w:rsidRPr="00632B14">
              <w:rPr>
                <w:rFonts w:cs="Arial"/>
                <w:color w:val="000000"/>
                <w:sz w:val="15"/>
                <w:szCs w:val="15"/>
              </w:rPr>
              <w:t>497,700</w:t>
            </w:r>
          </w:p>
        </w:tc>
        <w:tc>
          <w:tcPr>
            <w:tcW w:w="0" w:type="auto"/>
            <w:tcBorders>
              <w:top w:val="nil"/>
              <w:left w:val="nil"/>
              <w:bottom w:val="single" w:sz="4" w:space="0" w:color="auto"/>
              <w:right w:val="nil"/>
            </w:tcBorders>
            <w:shd w:val="clear" w:color="auto" w:fill="auto"/>
            <w:noWrap/>
            <w:vAlign w:val="center"/>
            <w:hideMark/>
          </w:tcPr>
          <w:p w14:paraId="1569990D" w14:textId="77777777" w:rsidR="008D3450" w:rsidRPr="00632B14" w:rsidRDefault="008D3450" w:rsidP="00312E88">
            <w:pPr>
              <w:jc w:val="center"/>
              <w:rPr>
                <w:rFonts w:cs="Arial"/>
                <w:color w:val="000000"/>
                <w:sz w:val="15"/>
                <w:szCs w:val="15"/>
              </w:rPr>
            </w:pPr>
            <w:r w:rsidRPr="00632B14">
              <w:rPr>
                <w:rFonts w:cs="Arial"/>
                <w:color w:val="000000"/>
                <w:sz w:val="15"/>
                <w:szCs w:val="15"/>
              </w:rPr>
              <w:t>509,300</w:t>
            </w:r>
          </w:p>
        </w:tc>
        <w:tc>
          <w:tcPr>
            <w:tcW w:w="0" w:type="auto"/>
            <w:tcBorders>
              <w:top w:val="nil"/>
              <w:left w:val="nil"/>
              <w:bottom w:val="single" w:sz="4" w:space="0" w:color="auto"/>
              <w:right w:val="nil"/>
            </w:tcBorders>
            <w:shd w:val="clear" w:color="auto" w:fill="auto"/>
            <w:noWrap/>
            <w:vAlign w:val="center"/>
            <w:hideMark/>
          </w:tcPr>
          <w:p w14:paraId="0F213E47" w14:textId="77777777" w:rsidR="008D3450" w:rsidRPr="00632B14" w:rsidRDefault="008D3450" w:rsidP="00312E88">
            <w:pPr>
              <w:jc w:val="center"/>
              <w:rPr>
                <w:rFonts w:cs="Arial"/>
                <w:color w:val="000000"/>
                <w:sz w:val="15"/>
                <w:szCs w:val="15"/>
              </w:rPr>
            </w:pPr>
            <w:r w:rsidRPr="00632B14">
              <w:rPr>
                <w:rFonts w:cs="Arial"/>
                <w:color w:val="000000"/>
                <w:sz w:val="15"/>
                <w:szCs w:val="15"/>
              </w:rPr>
              <w:t>520,800</w:t>
            </w:r>
          </w:p>
        </w:tc>
        <w:tc>
          <w:tcPr>
            <w:tcW w:w="0" w:type="auto"/>
            <w:tcBorders>
              <w:top w:val="nil"/>
              <w:left w:val="nil"/>
              <w:bottom w:val="single" w:sz="4" w:space="0" w:color="auto"/>
              <w:right w:val="single" w:sz="4" w:space="0" w:color="auto"/>
            </w:tcBorders>
            <w:shd w:val="clear" w:color="auto" w:fill="auto"/>
            <w:noWrap/>
            <w:vAlign w:val="center"/>
            <w:hideMark/>
          </w:tcPr>
          <w:p w14:paraId="095ED6E7" w14:textId="77777777" w:rsidR="008D3450" w:rsidRPr="00632B14" w:rsidRDefault="008D3450" w:rsidP="00312E88">
            <w:pPr>
              <w:jc w:val="center"/>
              <w:rPr>
                <w:rFonts w:cs="Arial"/>
                <w:color w:val="000000"/>
                <w:sz w:val="15"/>
                <w:szCs w:val="15"/>
              </w:rPr>
            </w:pPr>
            <w:r w:rsidRPr="00632B14">
              <w:rPr>
                <w:rFonts w:cs="Arial"/>
                <w:color w:val="000000"/>
                <w:sz w:val="15"/>
                <w:szCs w:val="15"/>
              </w:rPr>
              <w:t>532,000</w:t>
            </w:r>
          </w:p>
        </w:tc>
      </w:tr>
      <w:tr w:rsidR="008D3450" w:rsidRPr="00632B14" w14:paraId="3448A899" w14:textId="77777777" w:rsidTr="008D3450">
        <w:trPr>
          <w:trHeight w:hRule="exact" w:val="397"/>
        </w:trPr>
        <w:tc>
          <w:tcPr>
            <w:tcW w:w="0" w:type="auto"/>
            <w:tcBorders>
              <w:top w:val="nil"/>
              <w:left w:val="single" w:sz="4" w:space="0" w:color="auto"/>
              <w:bottom w:val="single" w:sz="4" w:space="0" w:color="auto"/>
              <w:right w:val="nil"/>
            </w:tcBorders>
            <w:shd w:val="clear" w:color="000000" w:fill="D3C5D7"/>
            <w:noWrap/>
            <w:vAlign w:val="center"/>
            <w:hideMark/>
          </w:tcPr>
          <w:p w14:paraId="0CC61059" w14:textId="77777777" w:rsidR="008D3450" w:rsidRPr="00632B14" w:rsidRDefault="008D3450" w:rsidP="00312E88">
            <w:pPr>
              <w:rPr>
                <w:rFonts w:cs="Arial"/>
                <w:b/>
                <w:bCs/>
                <w:color w:val="000000"/>
                <w:sz w:val="15"/>
                <w:szCs w:val="15"/>
              </w:rPr>
            </w:pPr>
            <w:r w:rsidRPr="00632B14">
              <w:rPr>
                <w:rFonts w:cs="Arial"/>
                <w:b/>
                <w:bCs/>
                <w:color w:val="000000"/>
                <w:sz w:val="15"/>
                <w:szCs w:val="15"/>
              </w:rPr>
              <w:t>PBS</w:t>
            </w:r>
          </w:p>
        </w:tc>
        <w:tc>
          <w:tcPr>
            <w:tcW w:w="0" w:type="auto"/>
            <w:tcBorders>
              <w:top w:val="nil"/>
              <w:left w:val="nil"/>
              <w:bottom w:val="single" w:sz="4" w:space="0" w:color="auto"/>
              <w:right w:val="nil"/>
            </w:tcBorders>
            <w:shd w:val="clear" w:color="000000" w:fill="D3C5D7"/>
            <w:noWrap/>
            <w:vAlign w:val="center"/>
            <w:hideMark/>
          </w:tcPr>
          <w:p w14:paraId="256DD4B7"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018634AB"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149F42D7"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3CD3E6DB"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284C401B"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10441431"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1EC7611D"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single" w:sz="4" w:space="0" w:color="auto"/>
            </w:tcBorders>
            <w:shd w:val="clear" w:color="000000" w:fill="D3C5D7"/>
            <w:noWrap/>
            <w:vAlign w:val="center"/>
            <w:hideMark/>
          </w:tcPr>
          <w:p w14:paraId="61E549AF"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r>
      <w:tr w:rsidR="008D3450" w:rsidRPr="00632B14" w14:paraId="57BFC89F" w14:textId="77777777" w:rsidTr="008D3450">
        <w:trPr>
          <w:trHeight w:hRule="exac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78D03E" w14:textId="77777777" w:rsidR="008D3450" w:rsidRPr="00632B14" w:rsidRDefault="008D3450" w:rsidP="00312E88">
            <w:pPr>
              <w:rPr>
                <w:rFonts w:cs="Arial"/>
                <w:color w:val="000000"/>
                <w:sz w:val="15"/>
                <w:szCs w:val="15"/>
              </w:rPr>
            </w:pPr>
            <w:r w:rsidRPr="00632B14">
              <w:rPr>
                <w:rFonts w:cs="Arial"/>
                <w:color w:val="000000"/>
                <w:sz w:val="15"/>
                <w:szCs w:val="15"/>
              </w:rPr>
              <w:t>Portfolio Budget Statements 2021-22</w:t>
            </w:r>
          </w:p>
        </w:tc>
        <w:tc>
          <w:tcPr>
            <w:tcW w:w="0" w:type="auto"/>
            <w:tcBorders>
              <w:top w:val="nil"/>
              <w:left w:val="nil"/>
              <w:bottom w:val="single" w:sz="4" w:space="0" w:color="auto"/>
              <w:right w:val="nil"/>
            </w:tcBorders>
            <w:shd w:val="clear" w:color="000000" w:fill="BFBFBF"/>
            <w:noWrap/>
            <w:vAlign w:val="center"/>
            <w:hideMark/>
          </w:tcPr>
          <w:p w14:paraId="4FD9D27C"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726CB177"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4EE11AF0"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D35B01" w14:textId="77777777" w:rsidR="008D3450" w:rsidRPr="00632B14" w:rsidRDefault="008D3450" w:rsidP="00312E88">
            <w:pPr>
              <w:jc w:val="center"/>
              <w:rPr>
                <w:rFonts w:cs="Arial"/>
                <w:color w:val="000000"/>
                <w:sz w:val="15"/>
                <w:szCs w:val="15"/>
              </w:rPr>
            </w:pPr>
            <w:r w:rsidRPr="00632B14">
              <w:rPr>
                <w:rFonts w:cs="Arial"/>
                <w:color w:val="000000"/>
                <w:sz w:val="15"/>
                <w:szCs w:val="15"/>
              </w:rPr>
              <w:t>468,700</w:t>
            </w:r>
          </w:p>
        </w:tc>
        <w:tc>
          <w:tcPr>
            <w:tcW w:w="0" w:type="auto"/>
            <w:tcBorders>
              <w:top w:val="nil"/>
              <w:left w:val="nil"/>
              <w:bottom w:val="single" w:sz="4" w:space="0" w:color="auto"/>
              <w:right w:val="nil"/>
            </w:tcBorders>
            <w:shd w:val="clear" w:color="auto" w:fill="auto"/>
            <w:noWrap/>
            <w:vAlign w:val="center"/>
            <w:hideMark/>
          </w:tcPr>
          <w:p w14:paraId="43570BD5" w14:textId="77777777" w:rsidR="008D3450" w:rsidRPr="00632B14" w:rsidRDefault="008D3450" w:rsidP="00312E88">
            <w:pPr>
              <w:jc w:val="center"/>
              <w:rPr>
                <w:rFonts w:cs="Arial"/>
                <w:color w:val="000000"/>
                <w:sz w:val="15"/>
                <w:szCs w:val="15"/>
              </w:rPr>
            </w:pPr>
            <w:r w:rsidRPr="00632B14">
              <w:rPr>
                <w:rFonts w:cs="Arial"/>
                <w:color w:val="000000"/>
                <w:sz w:val="15"/>
                <w:szCs w:val="15"/>
              </w:rPr>
              <w:t>531,000</w:t>
            </w:r>
          </w:p>
        </w:tc>
        <w:tc>
          <w:tcPr>
            <w:tcW w:w="0" w:type="auto"/>
            <w:tcBorders>
              <w:top w:val="nil"/>
              <w:left w:val="nil"/>
              <w:bottom w:val="single" w:sz="4" w:space="0" w:color="auto"/>
              <w:right w:val="nil"/>
            </w:tcBorders>
            <w:shd w:val="clear" w:color="auto" w:fill="auto"/>
            <w:noWrap/>
            <w:vAlign w:val="center"/>
            <w:hideMark/>
          </w:tcPr>
          <w:p w14:paraId="7D6DB561" w14:textId="77777777" w:rsidR="008D3450" w:rsidRPr="00632B14" w:rsidRDefault="008D3450" w:rsidP="00312E88">
            <w:pPr>
              <w:jc w:val="center"/>
              <w:rPr>
                <w:rFonts w:cs="Arial"/>
                <w:color w:val="000000"/>
                <w:sz w:val="15"/>
                <w:szCs w:val="15"/>
              </w:rPr>
            </w:pPr>
            <w:r w:rsidRPr="00632B14">
              <w:rPr>
                <w:rFonts w:cs="Arial"/>
                <w:color w:val="000000"/>
                <w:sz w:val="15"/>
                <w:szCs w:val="15"/>
              </w:rPr>
              <w:t>565,300</w:t>
            </w:r>
          </w:p>
        </w:tc>
        <w:tc>
          <w:tcPr>
            <w:tcW w:w="0" w:type="auto"/>
            <w:tcBorders>
              <w:top w:val="nil"/>
              <w:left w:val="nil"/>
              <w:bottom w:val="single" w:sz="4" w:space="0" w:color="auto"/>
              <w:right w:val="nil"/>
            </w:tcBorders>
            <w:shd w:val="clear" w:color="auto" w:fill="auto"/>
            <w:noWrap/>
            <w:vAlign w:val="center"/>
            <w:hideMark/>
          </w:tcPr>
          <w:p w14:paraId="74D4439F" w14:textId="77777777" w:rsidR="008D3450" w:rsidRPr="00632B14" w:rsidRDefault="008D3450" w:rsidP="00312E88">
            <w:pPr>
              <w:jc w:val="center"/>
              <w:rPr>
                <w:rFonts w:cs="Arial"/>
                <w:color w:val="000000"/>
                <w:sz w:val="15"/>
                <w:szCs w:val="15"/>
              </w:rPr>
            </w:pPr>
            <w:r w:rsidRPr="00632B14">
              <w:rPr>
                <w:rFonts w:cs="Arial"/>
                <w:color w:val="000000"/>
                <w:sz w:val="15"/>
                <w:szCs w:val="15"/>
              </w:rPr>
              <w:t>583,100</w:t>
            </w:r>
          </w:p>
        </w:tc>
        <w:tc>
          <w:tcPr>
            <w:tcW w:w="0" w:type="auto"/>
            <w:tcBorders>
              <w:top w:val="nil"/>
              <w:left w:val="nil"/>
              <w:bottom w:val="single" w:sz="4" w:space="0" w:color="auto"/>
              <w:right w:val="single" w:sz="4" w:space="0" w:color="auto"/>
            </w:tcBorders>
            <w:shd w:val="clear" w:color="auto" w:fill="auto"/>
            <w:noWrap/>
            <w:vAlign w:val="center"/>
            <w:hideMark/>
          </w:tcPr>
          <w:p w14:paraId="0E330E7F" w14:textId="77777777" w:rsidR="008D3450" w:rsidRPr="00632B14" w:rsidRDefault="008D3450" w:rsidP="00312E88">
            <w:pPr>
              <w:jc w:val="center"/>
              <w:rPr>
                <w:rFonts w:cs="Arial"/>
                <w:color w:val="000000"/>
                <w:sz w:val="15"/>
                <w:szCs w:val="15"/>
              </w:rPr>
            </w:pPr>
            <w:r w:rsidRPr="00632B14">
              <w:rPr>
                <w:rFonts w:cs="Arial"/>
                <w:color w:val="000000"/>
                <w:sz w:val="15"/>
                <w:szCs w:val="15"/>
              </w:rPr>
              <w:t>590,700</w:t>
            </w:r>
          </w:p>
        </w:tc>
      </w:tr>
      <w:tr w:rsidR="008D3450" w:rsidRPr="00632B14" w14:paraId="77C4A94E" w14:textId="77777777" w:rsidTr="008D3450">
        <w:trPr>
          <w:trHeight w:hRule="exact" w:val="397"/>
        </w:trPr>
        <w:tc>
          <w:tcPr>
            <w:tcW w:w="0" w:type="auto"/>
            <w:tcBorders>
              <w:top w:val="nil"/>
              <w:left w:val="single" w:sz="4" w:space="0" w:color="auto"/>
              <w:bottom w:val="single" w:sz="4" w:space="0" w:color="auto"/>
              <w:right w:val="nil"/>
            </w:tcBorders>
            <w:shd w:val="clear" w:color="000000" w:fill="D3C5D7"/>
            <w:noWrap/>
            <w:vAlign w:val="center"/>
            <w:hideMark/>
          </w:tcPr>
          <w:p w14:paraId="73805539" w14:textId="77777777" w:rsidR="008D3450" w:rsidRPr="00632B14" w:rsidRDefault="008D3450" w:rsidP="00312E88">
            <w:pPr>
              <w:rPr>
                <w:rFonts w:cs="Arial"/>
                <w:b/>
                <w:bCs/>
                <w:color w:val="000000"/>
                <w:sz w:val="15"/>
                <w:szCs w:val="15"/>
              </w:rPr>
            </w:pPr>
            <w:r w:rsidRPr="00632B14">
              <w:rPr>
                <w:rFonts w:cs="Arial"/>
                <w:b/>
                <w:bCs/>
                <w:color w:val="000000"/>
                <w:sz w:val="15"/>
                <w:szCs w:val="15"/>
              </w:rPr>
              <w:t>AFSR</w:t>
            </w:r>
          </w:p>
        </w:tc>
        <w:tc>
          <w:tcPr>
            <w:tcW w:w="0" w:type="auto"/>
            <w:tcBorders>
              <w:top w:val="nil"/>
              <w:left w:val="nil"/>
              <w:bottom w:val="single" w:sz="4" w:space="0" w:color="auto"/>
              <w:right w:val="nil"/>
            </w:tcBorders>
            <w:shd w:val="clear" w:color="000000" w:fill="D3C5D7"/>
            <w:noWrap/>
            <w:vAlign w:val="center"/>
            <w:hideMark/>
          </w:tcPr>
          <w:p w14:paraId="1D526744"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7D506368"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10028678"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4BED5C78"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6C014E3E"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09239AE3"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35F99B68"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single" w:sz="4" w:space="0" w:color="auto"/>
            </w:tcBorders>
            <w:shd w:val="clear" w:color="000000" w:fill="D3C5D7"/>
            <w:noWrap/>
            <w:vAlign w:val="center"/>
            <w:hideMark/>
          </w:tcPr>
          <w:p w14:paraId="43CBAD50"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r>
      <w:tr w:rsidR="008D3450" w:rsidRPr="00632B14" w14:paraId="6EAC6918" w14:textId="77777777" w:rsidTr="008D3450">
        <w:trPr>
          <w:trHeight w:hRule="exac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A00DF8" w14:textId="77777777" w:rsidR="008D3450" w:rsidRPr="00632B14" w:rsidRDefault="008D3450" w:rsidP="00312E88">
            <w:pPr>
              <w:rPr>
                <w:rFonts w:cs="Arial"/>
                <w:color w:val="000000"/>
                <w:sz w:val="15"/>
                <w:szCs w:val="15"/>
              </w:rPr>
            </w:pPr>
            <w:r w:rsidRPr="00632B14">
              <w:rPr>
                <w:rFonts w:cs="Arial"/>
                <w:color w:val="000000"/>
                <w:sz w:val="15"/>
                <w:szCs w:val="15"/>
              </w:rPr>
              <w:t>30 June 2021 AFSR projection</w:t>
            </w:r>
          </w:p>
        </w:tc>
        <w:tc>
          <w:tcPr>
            <w:tcW w:w="0" w:type="auto"/>
            <w:tcBorders>
              <w:top w:val="nil"/>
              <w:left w:val="nil"/>
              <w:bottom w:val="single" w:sz="4" w:space="0" w:color="auto"/>
              <w:right w:val="nil"/>
            </w:tcBorders>
            <w:shd w:val="clear" w:color="000000" w:fill="BFBFBF"/>
            <w:noWrap/>
            <w:vAlign w:val="center"/>
            <w:hideMark/>
          </w:tcPr>
          <w:p w14:paraId="6D44CE04"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03A05104"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3850A6BF"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0919D23E"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auto" w:fill="auto"/>
            <w:noWrap/>
            <w:vAlign w:val="center"/>
            <w:hideMark/>
          </w:tcPr>
          <w:p w14:paraId="3EA35ABB" w14:textId="77777777" w:rsidR="008D3450" w:rsidRPr="00632B14" w:rsidRDefault="008D3450" w:rsidP="00312E88">
            <w:pPr>
              <w:jc w:val="center"/>
              <w:rPr>
                <w:rFonts w:cs="Arial"/>
                <w:color w:val="000000"/>
                <w:sz w:val="15"/>
                <w:szCs w:val="15"/>
              </w:rPr>
            </w:pPr>
            <w:r w:rsidRPr="00632B14">
              <w:rPr>
                <w:rFonts w:cs="Arial"/>
                <w:color w:val="000000"/>
                <w:sz w:val="15"/>
                <w:szCs w:val="15"/>
              </w:rPr>
              <w:t>530,500</w:t>
            </w:r>
          </w:p>
        </w:tc>
        <w:tc>
          <w:tcPr>
            <w:tcW w:w="0" w:type="auto"/>
            <w:tcBorders>
              <w:top w:val="nil"/>
              <w:left w:val="nil"/>
              <w:bottom w:val="single" w:sz="4" w:space="0" w:color="auto"/>
              <w:right w:val="nil"/>
            </w:tcBorders>
            <w:shd w:val="clear" w:color="auto" w:fill="auto"/>
            <w:noWrap/>
            <w:vAlign w:val="center"/>
            <w:hideMark/>
          </w:tcPr>
          <w:p w14:paraId="1BDC9958" w14:textId="77777777" w:rsidR="008D3450" w:rsidRPr="00632B14" w:rsidRDefault="008D3450" w:rsidP="00312E88">
            <w:pPr>
              <w:jc w:val="center"/>
              <w:rPr>
                <w:rFonts w:cs="Arial"/>
                <w:color w:val="000000"/>
                <w:sz w:val="15"/>
                <w:szCs w:val="15"/>
              </w:rPr>
            </w:pPr>
            <w:r w:rsidRPr="00632B14">
              <w:rPr>
                <w:rFonts w:cs="Arial"/>
                <w:color w:val="000000"/>
                <w:sz w:val="15"/>
                <w:szCs w:val="15"/>
              </w:rPr>
              <w:t>586,400</w:t>
            </w:r>
          </w:p>
        </w:tc>
        <w:tc>
          <w:tcPr>
            <w:tcW w:w="0" w:type="auto"/>
            <w:tcBorders>
              <w:top w:val="nil"/>
              <w:left w:val="nil"/>
              <w:bottom w:val="single" w:sz="4" w:space="0" w:color="auto"/>
              <w:right w:val="nil"/>
            </w:tcBorders>
            <w:shd w:val="clear" w:color="auto" w:fill="auto"/>
            <w:noWrap/>
            <w:vAlign w:val="center"/>
            <w:hideMark/>
          </w:tcPr>
          <w:p w14:paraId="78F37D89" w14:textId="77777777" w:rsidR="008D3450" w:rsidRPr="00632B14" w:rsidRDefault="008D3450" w:rsidP="00312E88">
            <w:pPr>
              <w:jc w:val="center"/>
              <w:rPr>
                <w:rFonts w:cs="Arial"/>
                <w:color w:val="000000"/>
                <w:sz w:val="15"/>
                <w:szCs w:val="15"/>
              </w:rPr>
            </w:pPr>
            <w:r w:rsidRPr="00632B14">
              <w:rPr>
                <w:rFonts w:cs="Arial"/>
                <w:color w:val="000000"/>
                <w:sz w:val="15"/>
                <w:szCs w:val="15"/>
              </w:rPr>
              <w:t>630,300</w:t>
            </w:r>
          </w:p>
        </w:tc>
        <w:tc>
          <w:tcPr>
            <w:tcW w:w="0" w:type="auto"/>
            <w:tcBorders>
              <w:top w:val="nil"/>
              <w:left w:val="nil"/>
              <w:bottom w:val="single" w:sz="4" w:space="0" w:color="auto"/>
              <w:right w:val="single" w:sz="4" w:space="0" w:color="auto"/>
            </w:tcBorders>
            <w:shd w:val="clear" w:color="auto" w:fill="auto"/>
            <w:noWrap/>
            <w:vAlign w:val="center"/>
            <w:hideMark/>
          </w:tcPr>
          <w:p w14:paraId="3023F64B" w14:textId="77777777" w:rsidR="008D3450" w:rsidRPr="00632B14" w:rsidRDefault="008D3450" w:rsidP="00312E88">
            <w:pPr>
              <w:jc w:val="center"/>
              <w:rPr>
                <w:rFonts w:cs="Arial"/>
                <w:color w:val="000000"/>
                <w:sz w:val="15"/>
                <w:szCs w:val="15"/>
              </w:rPr>
            </w:pPr>
            <w:r w:rsidRPr="00632B14">
              <w:rPr>
                <w:rFonts w:cs="Arial"/>
                <w:color w:val="000000"/>
                <w:sz w:val="15"/>
                <w:szCs w:val="15"/>
              </w:rPr>
              <w:t>670,400</w:t>
            </w:r>
          </w:p>
        </w:tc>
      </w:tr>
      <w:tr w:rsidR="008D3450" w:rsidRPr="00632B14" w14:paraId="5A5EDDC8" w14:textId="77777777" w:rsidTr="008D3450">
        <w:trPr>
          <w:trHeight w:hRule="exac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48B35B" w14:textId="77777777" w:rsidR="008D3450" w:rsidRPr="00632B14" w:rsidRDefault="008D3450" w:rsidP="00312E88">
            <w:pPr>
              <w:rPr>
                <w:rFonts w:cs="Arial"/>
                <w:color w:val="000000"/>
                <w:sz w:val="15"/>
                <w:szCs w:val="15"/>
              </w:rPr>
            </w:pPr>
            <w:r w:rsidRPr="00632B14">
              <w:rPr>
                <w:rFonts w:cs="Arial"/>
                <w:color w:val="000000"/>
                <w:sz w:val="15"/>
                <w:szCs w:val="15"/>
              </w:rPr>
              <w:t>31 December 2020 AFSR projection</w:t>
            </w:r>
          </w:p>
        </w:tc>
        <w:tc>
          <w:tcPr>
            <w:tcW w:w="0" w:type="auto"/>
            <w:tcBorders>
              <w:top w:val="nil"/>
              <w:left w:val="nil"/>
              <w:bottom w:val="single" w:sz="4" w:space="0" w:color="auto"/>
              <w:right w:val="nil"/>
            </w:tcBorders>
            <w:shd w:val="clear" w:color="000000" w:fill="BFBFBF"/>
            <w:noWrap/>
            <w:vAlign w:val="center"/>
            <w:hideMark/>
          </w:tcPr>
          <w:p w14:paraId="6B158ACA"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347A5454"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5401F88D"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6AA9117C"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auto" w:fill="auto"/>
            <w:noWrap/>
            <w:vAlign w:val="center"/>
            <w:hideMark/>
          </w:tcPr>
          <w:p w14:paraId="7310C133" w14:textId="77777777" w:rsidR="008D3450" w:rsidRPr="00632B14" w:rsidRDefault="008D3450" w:rsidP="00312E88">
            <w:pPr>
              <w:jc w:val="center"/>
              <w:rPr>
                <w:rFonts w:cs="Arial"/>
                <w:color w:val="000000"/>
                <w:sz w:val="15"/>
                <w:szCs w:val="15"/>
              </w:rPr>
            </w:pPr>
            <w:r w:rsidRPr="00632B14">
              <w:rPr>
                <w:rFonts w:cs="Arial"/>
                <w:color w:val="000000"/>
                <w:sz w:val="15"/>
                <w:szCs w:val="15"/>
              </w:rPr>
              <w:t>537,900</w:t>
            </w:r>
          </w:p>
        </w:tc>
        <w:tc>
          <w:tcPr>
            <w:tcW w:w="0" w:type="auto"/>
            <w:tcBorders>
              <w:top w:val="nil"/>
              <w:left w:val="nil"/>
              <w:bottom w:val="single" w:sz="4" w:space="0" w:color="auto"/>
              <w:right w:val="nil"/>
            </w:tcBorders>
            <w:shd w:val="clear" w:color="auto" w:fill="auto"/>
            <w:noWrap/>
            <w:vAlign w:val="center"/>
            <w:hideMark/>
          </w:tcPr>
          <w:p w14:paraId="64D0A4BB" w14:textId="77777777" w:rsidR="008D3450" w:rsidRPr="00632B14" w:rsidRDefault="008D3450" w:rsidP="00312E88">
            <w:pPr>
              <w:jc w:val="center"/>
              <w:rPr>
                <w:rFonts w:cs="Arial"/>
                <w:color w:val="000000"/>
                <w:sz w:val="15"/>
                <w:szCs w:val="15"/>
              </w:rPr>
            </w:pPr>
            <w:r w:rsidRPr="00632B14">
              <w:rPr>
                <w:rFonts w:cs="Arial"/>
                <w:color w:val="000000"/>
                <w:sz w:val="15"/>
                <w:szCs w:val="15"/>
              </w:rPr>
              <w:t>596,600</w:t>
            </w:r>
          </w:p>
        </w:tc>
        <w:tc>
          <w:tcPr>
            <w:tcW w:w="0" w:type="auto"/>
            <w:tcBorders>
              <w:top w:val="nil"/>
              <w:left w:val="nil"/>
              <w:bottom w:val="single" w:sz="4" w:space="0" w:color="auto"/>
              <w:right w:val="nil"/>
            </w:tcBorders>
            <w:shd w:val="clear" w:color="auto" w:fill="auto"/>
            <w:noWrap/>
            <w:vAlign w:val="center"/>
            <w:hideMark/>
          </w:tcPr>
          <w:p w14:paraId="334C86A8" w14:textId="77777777" w:rsidR="008D3450" w:rsidRPr="00632B14" w:rsidRDefault="008D3450" w:rsidP="00312E88">
            <w:pPr>
              <w:jc w:val="center"/>
              <w:rPr>
                <w:rFonts w:cs="Arial"/>
                <w:color w:val="000000"/>
                <w:sz w:val="15"/>
                <w:szCs w:val="15"/>
              </w:rPr>
            </w:pPr>
            <w:r w:rsidRPr="00632B14">
              <w:rPr>
                <w:rFonts w:cs="Arial"/>
                <w:color w:val="000000"/>
                <w:sz w:val="15"/>
                <w:szCs w:val="15"/>
              </w:rPr>
              <w:t>643,200</w:t>
            </w:r>
          </w:p>
        </w:tc>
        <w:tc>
          <w:tcPr>
            <w:tcW w:w="0" w:type="auto"/>
            <w:tcBorders>
              <w:top w:val="nil"/>
              <w:left w:val="nil"/>
              <w:bottom w:val="single" w:sz="4" w:space="0" w:color="auto"/>
              <w:right w:val="single" w:sz="4" w:space="0" w:color="auto"/>
            </w:tcBorders>
            <w:shd w:val="clear" w:color="auto" w:fill="auto"/>
            <w:noWrap/>
            <w:vAlign w:val="center"/>
            <w:hideMark/>
          </w:tcPr>
          <w:p w14:paraId="19D6A404" w14:textId="77777777" w:rsidR="008D3450" w:rsidRPr="00632B14" w:rsidRDefault="008D3450" w:rsidP="00312E88">
            <w:pPr>
              <w:jc w:val="center"/>
              <w:rPr>
                <w:rFonts w:cs="Arial"/>
                <w:color w:val="000000"/>
                <w:sz w:val="15"/>
                <w:szCs w:val="15"/>
              </w:rPr>
            </w:pPr>
            <w:r w:rsidRPr="00632B14">
              <w:rPr>
                <w:rFonts w:cs="Arial"/>
                <w:color w:val="000000"/>
                <w:sz w:val="15"/>
                <w:szCs w:val="15"/>
              </w:rPr>
              <w:t>682,800</w:t>
            </w:r>
          </w:p>
        </w:tc>
      </w:tr>
      <w:tr w:rsidR="008D3450" w:rsidRPr="00632B14" w14:paraId="3DF2DC32" w14:textId="77777777" w:rsidTr="008D3450">
        <w:trPr>
          <w:trHeight w:hRule="exac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6F2192" w14:textId="77777777" w:rsidR="008D3450" w:rsidRPr="00632B14" w:rsidRDefault="008D3450" w:rsidP="00312E88">
            <w:pPr>
              <w:rPr>
                <w:rFonts w:cs="Arial"/>
                <w:color w:val="000000"/>
                <w:sz w:val="15"/>
                <w:szCs w:val="15"/>
              </w:rPr>
            </w:pPr>
            <w:r w:rsidRPr="00632B14">
              <w:rPr>
                <w:rFonts w:cs="Arial"/>
                <w:color w:val="000000"/>
                <w:sz w:val="15"/>
                <w:szCs w:val="15"/>
              </w:rPr>
              <w:t>30 June 2020 AFSR projection</w:t>
            </w:r>
          </w:p>
        </w:tc>
        <w:tc>
          <w:tcPr>
            <w:tcW w:w="0" w:type="auto"/>
            <w:tcBorders>
              <w:top w:val="nil"/>
              <w:left w:val="nil"/>
              <w:bottom w:val="single" w:sz="4" w:space="0" w:color="auto"/>
              <w:right w:val="nil"/>
            </w:tcBorders>
            <w:shd w:val="clear" w:color="000000" w:fill="BFBFBF"/>
            <w:noWrap/>
            <w:vAlign w:val="center"/>
            <w:hideMark/>
          </w:tcPr>
          <w:p w14:paraId="36677E56"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3B6667BC"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62A65D81"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single" w:sz="4" w:space="0" w:color="auto"/>
              <w:bottom w:val="single" w:sz="4" w:space="0" w:color="auto"/>
              <w:right w:val="single" w:sz="4" w:space="0" w:color="auto"/>
            </w:tcBorders>
            <w:shd w:val="clear" w:color="000000" w:fill="FFE699"/>
            <w:noWrap/>
            <w:vAlign w:val="center"/>
            <w:hideMark/>
          </w:tcPr>
          <w:p w14:paraId="235DFF46" w14:textId="77777777" w:rsidR="008D3450" w:rsidRPr="00632B14" w:rsidRDefault="008D3450" w:rsidP="00312E88">
            <w:pPr>
              <w:jc w:val="center"/>
              <w:rPr>
                <w:rFonts w:cs="Arial"/>
                <w:color w:val="000000"/>
                <w:sz w:val="15"/>
                <w:szCs w:val="15"/>
              </w:rPr>
            </w:pPr>
            <w:r w:rsidRPr="00632B14">
              <w:rPr>
                <w:rFonts w:cs="Arial"/>
                <w:color w:val="000000"/>
                <w:sz w:val="15"/>
                <w:szCs w:val="15"/>
              </w:rPr>
              <w:t>456,300</w:t>
            </w:r>
          </w:p>
        </w:tc>
        <w:tc>
          <w:tcPr>
            <w:tcW w:w="0" w:type="auto"/>
            <w:tcBorders>
              <w:top w:val="nil"/>
              <w:left w:val="nil"/>
              <w:bottom w:val="single" w:sz="4" w:space="0" w:color="auto"/>
              <w:right w:val="nil"/>
            </w:tcBorders>
            <w:shd w:val="clear" w:color="auto" w:fill="auto"/>
            <w:noWrap/>
            <w:vAlign w:val="center"/>
            <w:hideMark/>
          </w:tcPr>
          <w:p w14:paraId="6816D900" w14:textId="77777777" w:rsidR="008D3450" w:rsidRPr="00632B14" w:rsidRDefault="008D3450" w:rsidP="00312E88">
            <w:pPr>
              <w:jc w:val="center"/>
              <w:rPr>
                <w:rFonts w:cs="Arial"/>
                <w:color w:val="000000"/>
                <w:sz w:val="15"/>
                <w:szCs w:val="15"/>
              </w:rPr>
            </w:pPr>
            <w:r w:rsidRPr="00632B14">
              <w:rPr>
                <w:rFonts w:cs="Arial"/>
                <w:color w:val="000000"/>
                <w:sz w:val="15"/>
                <w:szCs w:val="15"/>
              </w:rPr>
              <w:t>500,200</w:t>
            </w:r>
          </w:p>
        </w:tc>
        <w:tc>
          <w:tcPr>
            <w:tcW w:w="0" w:type="auto"/>
            <w:tcBorders>
              <w:top w:val="nil"/>
              <w:left w:val="nil"/>
              <w:bottom w:val="single" w:sz="4" w:space="0" w:color="auto"/>
              <w:right w:val="nil"/>
            </w:tcBorders>
            <w:shd w:val="clear" w:color="auto" w:fill="auto"/>
            <w:noWrap/>
            <w:vAlign w:val="center"/>
            <w:hideMark/>
          </w:tcPr>
          <w:p w14:paraId="4F8FB429" w14:textId="77777777" w:rsidR="008D3450" w:rsidRPr="00632B14" w:rsidRDefault="008D3450" w:rsidP="00312E88">
            <w:pPr>
              <w:jc w:val="center"/>
              <w:rPr>
                <w:rFonts w:cs="Arial"/>
                <w:color w:val="000000"/>
                <w:sz w:val="15"/>
                <w:szCs w:val="15"/>
              </w:rPr>
            </w:pPr>
            <w:r w:rsidRPr="00632B14">
              <w:rPr>
                <w:rFonts w:cs="Arial"/>
                <w:color w:val="000000"/>
                <w:sz w:val="15"/>
                <w:szCs w:val="15"/>
              </w:rPr>
              <w:t>532,300</w:t>
            </w:r>
          </w:p>
        </w:tc>
        <w:tc>
          <w:tcPr>
            <w:tcW w:w="0" w:type="auto"/>
            <w:tcBorders>
              <w:top w:val="nil"/>
              <w:left w:val="nil"/>
              <w:bottom w:val="single" w:sz="4" w:space="0" w:color="auto"/>
              <w:right w:val="nil"/>
            </w:tcBorders>
            <w:shd w:val="clear" w:color="auto" w:fill="auto"/>
            <w:noWrap/>
            <w:vAlign w:val="center"/>
            <w:hideMark/>
          </w:tcPr>
          <w:p w14:paraId="56FF5698" w14:textId="77777777" w:rsidR="008D3450" w:rsidRPr="00632B14" w:rsidRDefault="008D3450" w:rsidP="00312E88">
            <w:pPr>
              <w:jc w:val="center"/>
              <w:rPr>
                <w:rFonts w:cs="Arial"/>
                <w:color w:val="000000"/>
                <w:sz w:val="15"/>
                <w:szCs w:val="15"/>
              </w:rPr>
            </w:pPr>
            <w:r w:rsidRPr="00632B14">
              <w:rPr>
                <w:rFonts w:cs="Arial"/>
                <w:color w:val="000000"/>
                <w:sz w:val="15"/>
                <w:szCs w:val="15"/>
              </w:rPr>
              <w:t>558,100</w:t>
            </w:r>
          </w:p>
        </w:tc>
        <w:tc>
          <w:tcPr>
            <w:tcW w:w="0" w:type="auto"/>
            <w:tcBorders>
              <w:top w:val="nil"/>
              <w:left w:val="nil"/>
              <w:bottom w:val="single" w:sz="4" w:space="0" w:color="auto"/>
              <w:right w:val="single" w:sz="4" w:space="0" w:color="auto"/>
            </w:tcBorders>
            <w:shd w:val="clear" w:color="auto" w:fill="auto"/>
            <w:noWrap/>
            <w:vAlign w:val="center"/>
            <w:hideMark/>
          </w:tcPr>
          <w:p w14:paraId="1CA9ECEC" w14:textId="77777777" w:rsidR="008D3450" w:rsidRPr="00632B14" w:rsidRDefault="008D3450" w:rsidP="00312E88">
            <w:pPr>
              <w:jc w:val="center"/>
              <w:rPr>
                <w:rFonts w:cs="Arial"/>
                <w:color w:val="000000"/>
                <w:sz w:val="15"/>
                <w:szCs w:val="15"/>
              </w:rPr>
            </w:pPr>
            <w:r w:rsidRPr="00632B14">
              <w:rPr>
                <w:rFonts w:cs="Arial"/>
                <w:color w:val="000000"/>
                <w:sz w:val="15"/>
                <w:szCs w:val="15"/>
              </w:rPr>
              <w:t>583,500</w:t>
            </w:r>
          </w:p>
        </w:tc>
      </w:tr>
      <w:tr w:rsidR="008D3450" w:rsidRPr="00632B14" w14:paraId="1897841F" w14:textId="77777777" w:rsidTr="008D3450">
        <w:trPr>
          <w:trHeight w:hRule="exac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F6486D" w14:textId="77777777" w:rsidR="008D3450" w:rsidRPr="00632B14" w:rsidRDefault="008D3450" w:rsidP="00312E88">
            <w:pPr>
              <w:rPr>
                <w:rFonts w:cs="Arial"/>
                <w:color w:val="000000"/>
                <w:sz w:val="15"/>
                <w:szCs w:val="15"/>
              </w:rPr>
            </w:pPr>
            <w:r w:rsidRPr="00632B14">
              <w:rPr>
                <w:rFonts w:cs="Arial"/>
                <w:color w:val="000000"/>
                <w:sz w:val="15"/>
                <w:szCs w:val="15"/>
              </w:rPr>
              <w:t>31 December 2019 AFSR projection</w:t>
            </w:r>
          </w:p>
        </w:tc>
        <w:tc>
          <w:tcPr>
            <w:tcW w:w="0" w:type="auto"/>
            <w:tcBorders>
              <w:top w:val="nil"/>
              <w:left w:val="nil"/>
              <w:bottom w:val="single" w:sz="4" w:space="0" w:color="auto"/>
              <w:right w:val="nil"/>
            </w:tcBorders>
            <w:shd w:val="clear" w:color="000000" w:fill="BFBFBF"/>
            <w:noWrap/>
            <w:vAlign w:val="center"/>
            <w:hideMark/>
          </w:tcPr>
          <w:p w14:paraId="0B454469"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7B5E1634"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6386D395"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6FDD5C" w14:textId="77777777" w:rsidR="008D3450" w:rsidRPr="00632B14" w:rsidRDefault="008D3450" w:rsidP="00312E88">
            <w:pPr>
              <w:jc w:val="center"/>
              <w:rPr>
                <w:rFonts w:cs="Arial"/>
                <w:color w:val="000000"/>
                <w:sz w:val="15"/>
                <w:szCs w:val="15"/>
              </w:rPr>
            </w:pPr>
            <w:r w:rsidRPr="00632B14">
              <w:rPr>
                <w:rFonts w:cs="Arial"/>
                <w:color w:val="000000"/>
                <w:sz w:val="15"/>
                <w:szCs w:val="15"/>
              </w:rPr>
              <w:t>443,200</w:t>
            </w:r>
          </w:p>
        </w:tc>
        <w:tc>
          <w:tcPr>
            <w:tcW w:w="0" w:type="auto"/>
            <w:tcBorders>
              <w:top w:val="nil"/>
              <w:left w:val="nil"/>
              <w:bottom w:val="single" w:sz="4" w:space="0" w:color="auto"/>
              <w:right w:val="nil"/>
            </w:tcBorders>
            <w:shd w:val="clear" w:color="auto" w:fill="auto"/>
            <w:noWrap/>
            <w:vAlign w:val="center"/>
            <w:hideMark/>
          </w:tcPr>
          <w:p w14:paraId="4C8BF148" w14:textId="77777777" w:rsidR="008D3450" w:rsidRPr="00632B14" w:rsidRDefault="008D3450" w:rsidP="00312E88">
            <w:pPr>
              <w:jc w:val="center"/>
              <w:rPr>
                <w:rFonts w:cs="Arial"/>
                <w:color w:val="000000"/>
                <w:sz w:val="15"/>
                <w:szCs w:val="15"/>
              </w:rPr>
            </w:pPr>
            <w:r w:rsidRPr="00632B14">
              <w:rPr>
                <w:rFonts w:cs="Arial"/>
                <w:color w:val="000000"/>
                <w:sz w:val="15"/>
                <w:szCs w:val="15"/>
              </w:rPr>
              <w:t>485,200</w:t>
            </w:r>
          </w:p>
        </w:tc>
        <w:tc>
          <w:tcPr>
            <w:tcW w:w="0" w:type="auto"/>
            <w:tcBorders>
              <w:top w:val="nil"/>
              <w:left w:val="nil"/>
              <w:bottom w:val="single" w:sz="4" w:space="0" w:color="auto"/>
              <w:right w:val="nil"/>
            </w:tcBorders>
            <w:shd w:val="clear" w:color="auto" w:fill="auto"/>
            <w:noWrap/>
            <w:vAlign w:val="center"/>
            <w:hideMark/>
          </w:tcPr>
          <w:p w14:paraId="2FB42F59" w14:textId="77777777" w:rsidR="008D3450" w:rsidRPr="00632B14" w:rsidRDefault="008D3450" w:rsidP="00312E88">
            <w:pPr>
              <w:jc w:val="center"/>
              <w:rPr>
                <w:rFonts w:cs="Arial"/>
                <w:color w:val="000000"/>
                <w:sz w:val="15"/>
                <w:szCs w:val="15"/>
              </w:rPr>
            </w:pPr>
            <w:r w:rsidRPr="00632B14">
              <w:rPr>
                <w:rFonts w:cs="Arial"/>
                <w:color w:val="000000"/>
                <w:sz w:val="15"/>
                <w:szCs w:val="15"/>
              </w:rPr>
              <w:t>518,400</w:t>
            </w:r>
          </w:p>
        </w:tc>
        <w:tc>
          <w:tcPr>
            <w:tcW w:w="0" w:type="auto"/>
            <w:tcBorders>
              <w:top w:val="nil"/>
              <w:left w:val="nil"/>
              <w:bottom w:val="single" w:sz="4" w:space="0" w:color="auto"/>
              <w:right w:val="nil"/>
            </w:tcBorders>
            <w:shd w:val="clear" w:color="auto" w:fill="auto"/>
            <w:noWrap/>
            <w:vAlign w:val="center"/>
            <w:hideMark/>
          </w:tcPr>
          <w:p w14:paraId="2E893B28" w14:textId="77777777" w:rsidR="008D3450" w:rsidRPr="00632B14" w:rsidRDefault="008D3450" w:rsidP="00312E88">
            <w:pPr>
              <w:jc w:val="center"/>
              <w:rPr>
                <w:rFonts w:cs="Arial"/>
                <w:color w:val="000000"/>
                <w:sz w:val="15"/>
                <w:szCs w:val="15"/>
              </w:rPr>
            </w:pPr>
            <w:r w:rsidRPr="00632B14">
              <w:rPr>
                <w:rFonts w:cs="Arial"/>
                <w:color w:val="000000"/>
                <w:sz w:val="15"/>
                <w:szCs w:val="15"/>
              </w:rPr>
              <w:t>544,000</w:t>
            </w:r>
          </w:p>
        </w:tc>
        <w:tc>
          <w:tcPr>
            <w:tcW w:w="0" w:type="auto"/>
            <w:tcBorders>
              <w:top w:val="nil"/>
              <w:left w:val="nil"/>
              <w:bottom w:val="single" w:sz="4" w:space="0" w:color="auto"/>
              <w:right w:val="single" w:sz="4" w:space="0" w:color="auto"/>
            </w:tcBorders>
            <w:shd w:val="clear" w:color="auto" w:fill="auto"/>
            <w:noWrap/>
            <w:vAlign w:val="center"/>
            <w:hideMark/>
          </w:tcPr>
          <w:p w14:paraId="61AF2E7E" w14:textId="77777777" w:rsidR="008D3450" w:rsidRPr="00632B14" w:rsidRDefault="008D3450" w:rsidP="00312E88">
            <w:pPr>
              <w:jc w:val="center"/>
              <w:rPr>
                <w:rFonts w:cs="Arial"/>
                <w:color w:val="000000"/>
                <w:sz w:val="15"/>
                <w:szCs w:val="15"/>
              </w:rPr>
            </w:pPr>
            <w:r w:rsidRPr="00632B14">
              <w:rPr>
                <w:rFonts w:cs="Arial"/>
                <w:color w:val="000000"/>
                <w:sz w:val="15"/>
                <w:szCs w:val="15"/>
              </w:rPr>
              <w:t>568,500</w:t>
            </w:r>
          </w:p>
        </w:tc>
      </w:tr>
      <w:tr w:rsidR="008D3450" w:rsidRPr="00632B14" w14:paraId="39D123EB" w14:textId="77777777" w:rsidTr="008D3450">
        <w:trPr>
          <w:trHeight w:hRule="exac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B465C4" w14:textId="77777777" w:rsidR="008D3450" w:rsidRPr="00632B14" w:rsidRDefault="008D3450" w:rsidP="00312E88">
            <w:pPr>
              <w:rPr>
                <w:rFonts w:cs="Arial"/>
                <w:color w:val="000000"/>
                <w:sz w:val="15"/>
                <w:szCs w:val="15"/>
              </w:rPr>
            </w:pPr>
            <w:r w:rsidRPr="00632B14">
              <w:rPr>
                <w:rFonts w:cs="Arial"/>
                <w:color w:val="000000"/>
                <w:sz w:val="15"/>
                <w:szCs w:val="15"/>
              </w:rPr>
              <w:t>30 June 2019 AFSR projection</w:t>
            </w:r>
          </w:p>
        </w:tc>
        <w:tc>
          <w:tcPr>
            <w:tcW w:w="0" w:type="auto"/>
            <w:tcBorders>
              <w:top w:val="nil"/>
              <w:left w:val="nil"/>
              <w:bottom w:val="single" w:sz="4" w:space="0" w:color="auto"/>
              <w:right w:val="nil"/>
            </w:tcBorders>
            <w:shd w:val="clear" w:color="000000" w:fill="BFBFBF"/>
            <w:noWrap/>
            <w:vAlign w:val="center"/>
            <w:hideMark/>
          </w:tcPr>
          <w:p w14:paraId="2EB0D523"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50ED7DC0"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FFE699"/>
            <w:noWrap/>
            <w:vAlign w:val="center"/>
            <w:hideMark/>
          </w:tcPr>
          <w:p w14:paraId="41FE0704" w14:textId="77777777" w:rsidR="008D3450" w:rsidRPr="00632B14" w:rsidRDefault="008D3450" w:rsidP="00312E88">
            <w:pPr>
              <w:jc w:val="center"/>
              <w:rPr>
                <w:rFonts w:cs="Arial"/>
                <w:color w:val="000000"/>
                <w:sz w:val="15"/>
                <w:szCs w:val="15"/>
              </w:rPr>
            </w:pPr>
            <w:r w:rsidRPr="00632B14">
              <w:rPr>
                <w:rFonts w:cs="Arial"/>
                <w:color w:val="000000"/>
                <w:sz w:val="15"/>
                <w:szCs w:val="15"/>
              </w:rPr>
              <w:t>369,100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5FFD3E" w14:textId="77777777" w:rsidR="008D3450" w:rsidRPr="00632B14" w:rsidRDefault="008D3450" w:rsidP="00312E88">
            <w:pPr>
              <w:jc w:val="center"/>
              <w:rPr>
                <w:rFonts w:cs="Arial"/>
                <w:color w:val="000000"/>
                <w:sz w:val="15"/>
                <w:szCs w:val="15"/>
              </w:rPr>
            </w:pPr>
            <w:r w:rsidRPr="00632B14">
              <w:rPr>
                <w:rFonts w:cs="Arial"/>
                <w:color w:val="000000"/>
                <w:sz w:val="15"/>
                <w:szCs w:val="15"/>
              </w:rPr>
              <w:t>423,900</w:t>
            </w:r>
          </w:p>
        </w:tc>
        <w:tc>
          <w:tcPr>
            <w:tcW w:w="0" w:type="auto"/>
            <w:tcBorders>
              <w:top w:val="nil"/>
              <w:left w:val="nil"/>
              <w:bottom w:val="single" w:sz="4" w:space="0" w:color="auto"/>
              <w:right w:val="nil"/>
            </w:tcBorders>
            <w:shd w:val="clear" w:color="auto" w:fill="auto"/>
            <w:noWrap/>
            <w:vAlign w:val="center"/>
            <w:hideMark/>
          </w:tcPr>
          <w:p w14:paraId="028316BC" w14:textId="77777777" w:rsidR="008D3450" w:rsidRPr="00632B14" w:rsidRDefault="008D3450" w:rsidP="00312E88">
            <w:pPr>
              <w:jc w:val="center"/>
              <w:rPr>
                <w:rFonts w:cs="Arial"/>
                <w:color w:val="000000"/>
                <w:sz w:val="15"/>
                <w:szCs w:val="15"/>
              </w:rPr>
            </w:pPr>
            <w:r w:rsidRPr="00632B14">
              <w:rPr>
                <w:rFonts w:cs="Arial"/>
                <w:color w:val="000000"/>
                <w:sz w:val="15"/>
                <w:szCs w:val="15"/>
              </w:rPr>
              <w:t>470,600</w:t>
            </w:r>
          </w:p>
        </w:tc>
        <w:tc>
          <w:tcPr>
            <w:tcW w:w="0" w:type="auto"/>
            <w:tcBorders>
              <w:top w:val="nil"/>
              <w:left w:val="nil"/>
              <w:bottom w:val="single" w:sz="4" w:space="0" w:color="auto"/>
              <w:right w:val="nil"/>
            </w:tcBorders>
            <w:shd w:val="clear" w:color="auto" w:fill="auto"/>
            <w:noWrap/>
            <w:vAlign w:val="center"/>
            <w:hideMark/>
          </w:tcPr>
          <w:p w14:paraId="7A0BCA4A" w14:textId="77777777" w:rsidR="008D3450" w:rsidRPr="00632B14" w:rsidRDefault="008D3450" w:rsidP="00312E88">
            <w:pPr>
              <w:jc w:val="center"/>
              <w:rPr>
                <w:rFonts w:cs="Arial"/>
                <w:color w:val="000000"/>
                <w:sz w:val="15"/>
                <w:szCs w:val="15"/>
              </w:rPr>
            </w:pPr>
            <w:r w:rsidRPr="00632B14">
              <w:rPr>
                <w:rFonts w:cs="Arial"/>
                <w:color w:val="000000"/>
                <w:sz w:val="15"/>
                <w:szCs w:val="15"/>
              </w:rPr>
              <w:t>501,500</w:t>
            </w:r>
          </w:p>
        </w:tc>
        <w:tc>
          <w:tcPr>
            <w:tcW w:w="0" w:type="auto"/>
            <w:tcBorders>
              <w:top w:val="nil"/>
              <w:left w:val="nil"/>
              <w:bottom w:val="single" w:sz="4" w:space="0" w:color="auto"/>
              <w:right w:val="nil"/>
            </w:tcBorders>
            <w:shd w:val="clear" w:color="auto" w:fill="auto"/>
            <w:noWrap/>
            <w:vAlign w:val="center"/>
            <w:hideMark/>
          </w:tcPr>
          <w:p w14:paraId="315C683B" w14:textId="77777777" w:rsidR="008D3450" w:rsidRPr="00632B14" w:rsidRDefault="008D3450" w:rsidP="00312E88">
            <w:pPr>
              <w:jc w:val="center"/>
              <w:rPr>
                <w:rFonts w:cs="Arial"/>
                <w:color w:val="000000"/>
                <w:sz w:val="15"/>
                <w:szCs w:val="15"/>
              </w:rPr>
            </w:pPr>
            <w:r w:rsidRPr="00632B14">
              <w:rPr>
                <w:rFonts w:cs="Arial"/>
                <w:color w:val="000000"/>
                <w:sz w:val="15"/>
                <w:szCs w:val="15"/>
              </w:rPr>
              <w:t>523,700</w:t>
            </w:r>
          </w:p>
        </w:tc>
        <w:tc>
          <w:tcPr>
            <w:tcW w:w="0" w:type="auto"/>
            <w:tcBorders>
              <w:top w:val="nil"/>
              <w:left w:val="nil"/>
              <w:bottom w:val="single" w:sz="4" w:space="0" w:color="auto"/>
              <w:right w:val="single" w:sz="4" w:space="0" w:color="auto"/>
            </w:tcBorders>
            <w:shd w:val="clear" w:color="auto" w:fill="auto"/>
            <w:noWrap/>
            <w:vAlign w:val="center"/>
            <w:hideMark/>
          </w:tcPr>
          <w:p w14:paraId="411766D7" w14:textId="77777777" w:rsidR="008D3450" w:rsidRPr="00632B14" w:rsidRDefault="008D3450" w:rsidP="00312E88">
            <w:pPr>
              <w:jc w:val="center"/>
              <w:rPr>
                <w:rFonts w:cs="Arial"/>
                <w:color w:val="000000"/>
                <w:sz w:val="15"/>
                <w:szCs w:val="15"/>
              </w:rPr>
            </w:pPr>
            <w:r w:rsidRPr="00632B14">
              <w:rPr>
                <w:rFonts w:cs="Arial"/>
                <w:color w:val="000000"/>
                <w:sz w:val="15"/>
                <w:szCs w:val="15"/>
              </w:rPr>
              <w:t>544,600</w:t>
            </w:r>
          </w:p>
        </w:tc>
      </w:tr>
      <w:tr w:rsidR="008D3450" w:rsidRPr="00632B14" w14:paraId="2EAE5FCA" w14:textId="77777777" w:rsidTr="008D3450">
        <w:trPr>
          <w:trHeight w:hRule="exac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5BB1BC" w14:textId="77777777" w:rsidR="008D3450" w:rsidRPr="00632B14" w:rsidRDefault="008D3450" w:rsidP="00312E88">
            <w:pPr>
              <w:rPr>
                <w:rFonts w:cs="Arial"/>
                <w:color w:val="000000"/>
                <w:sz w:val="15"/>
                <w:szCs w:val="15"/>
              </w:rPr>
            </w:pPr>
            <w:r w:rsidRPr="00632B14">
              <w:rPr>
                <w:rFonts w:cs="Arial"/>
                <w:color w:val="000000"/>
                <w:sz w:val="15"/>
                <w:szCs w:val="15"/>
              </w:rPr>
              <w:t>30 June 2018 AFSR projection</w:t>
            </w:r>
          </w:p>
        </w:tc>
        <w:tc>
          <w:tcPr>
            <w:tcW w:w="0" w:type="auto"/>
            <w:tcBorders>
              <w:top w:val="nil"/>
              <w:left w:val="nil"/>
              <w:bottom w:val="single" w:sz="4" w:space="0" w:color="auto"/>
              <w:right w:val="nil"/>
            </w:tcBorders>
            <w:shd w:val="clear" w:color="000000" w:fill="BFBFBF"/>
            <w:noWrap/>
            <w:vAlign w:val="center"/>
            <w:hideMark/>
          </w:tcPr>
          <w:p w14:paraId="03BE3817"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FFE699"/>
            <w:noWrap/>
            <w:vAlign w:val="center"/>
            <w:hideMark/>
          </w:tcPr>
          <w:p w14:paraId="337A8613" w14:textId="77777777" w:rsidR="008D3450" w:rsidRPr="00632B14" w:rsidRDefault="008D3450" w:rsidP="00312E88">
            <w:pPr>
              <w:jc w:val="center"/>
              <w:rPr>
                <w:rFonts w:cs="Arial"/>
                <w:color w:val="000000"/>
                <w:sz w:val="15"/>
                <w:szCs w:val="15"/>
              </w:rPr>
            </w:pPr>
            <w:r w:rsidRPr="00632B14">
              <w:rPr>
                <w:rFonts w:cs="Arial"/>
                <w:color w:val="000000"/>
                <w:sz w:val="15"/>
                <w:szCs w:val="15"/>
              </w:rPr>
              <w:t>306,200</w:t>
            </w:r>
          </w:p>
        </w:tc>
        <w:tc>
          <w:tcPr>
            <w:tcW w:w="0" w:type="auto"/>
            <w:tcBorders>
              <w:top w:val="nil"/>
              <w:left w:val="nil"/>
              <w:bottom w:val="single" w:sz="4" w:space="0" w:color="auto"/>
              <w:right w:val="nil"/>
            </w:tcBorders>
            <w:shd w:val="clear" w:color="auto" w:fill="auto"/>
            <w:noWrap/>
            <w:vAlign w:val="center"/>
            <w:hideMark/>
          </w:tcPr>
          <w:p w14:paraId="7E7657D2" w14:textId="77777777" w:rsidR="008D3450" w:rsidRPr="00632B14" w:rsidRDefault="008D3450" w:rsidP="00312E88">
            <w:pPr>
              <w:jc w:val="center"/>
              <w:rPr>
                <w:rFonts w:cs="Arial"/>
                <w:color w:val="000000"/>
                <w:sz w:val="15"/>
                <w:szCs w:val="15"/>
              </w:rPr>
            </w:pPr>
            <w:r w:rsidRPr="00632B14">
              <w:rPr>
                <w:rFonts w:cs="Arial"/>
                <w:color w:val="000000"/>
                <w:sz w:val="15"/>
                <w:szCs w:val="15"/>
              </w:rPr>
              <w:t>380,500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141A16" w14:textId="77777777" w:rsidR="008D3450" w:rsidRPr="00632B14" w:rsidRDefault="008D3450" w:rsidP="00312E88">
            <w:pPr>
              <w:jc w:val="center"/>
              <w:rPr>
                <w:rFonts w:cs="Arial"/>
                <w:color w:val="000000"/>
                <w:sz w:val="15"/>
                <w:szCs w:val="15"/>
              </w:rPr>
            </w:pPr>
            <w:r w:rsidRPr="00632B14">
              <w:rPr>
                <w:rFonts w:cs="Arial"/>
                <w:color w:val="000000"/>
                <w:sz w:val="15"/>
                <w:szCs w:val="15"/>
              </w:rPr>
              <w:t>426,600</w:t>
            </w:r>
          </w:p>
        </w:tc>
        <w:tc>
          <w:tcPr>
            <w:tcW w:w="0" w:type="auto"/>
            <w:tcBorders>
              <w:top w:val="nil"/>
              <w:left w:val="nil"/>
              <w:bottom w:val="single" w:sz="4" w:space="0" w:color="auto"/>
              <w:right w:val="nil"/>
            </w:tcBorders>
            <w:shd w:val="clear" w:color="auto" w:fill="auto"/>
            <w:noWrap/>
            <w:vAlign w:val="center"/>
            <w:hideMark/>
          </w:tcPr>
          <w:p w14:paraId="27398F24" w14:textId="77777777" w:rsidR="008D3450" w:rsidRPr="00632B14" w:rsidRDefault="008D3450" w:rsidP="00312E88">
            <w:pPr>
              <w:jc w:val="center"/>
              <w:rPr>
                <w:rFonts w:cs="Arial"/>
                <w:color w:val="000000"/>
                <w:sz w:val="15"/>
                <w:szCs w:val="15"/>
              </w:rPr>
            </w:pPr>
            <w:r w:rsidRPr="00632B14">
              <w:rPr>
                <w:rFonts w:cs="Arial"/>
                <w:color w:val="000000"/>
                <w:sz w:val="15"/>
                <w:szCs w:val="15"/>
              </w:rPr>
              <w:t>465,100</w:t>
            </w:r>
          </w:p>
        </w:tc>
        <w:tc>
          <w:tcPr>
            <w:tcW w:w="0" w:type="auto"/>
            <w:tcBorders>
              <w:top w:val="nil"/>
              <w:left w:val="nil"/>
              <w:bottom w:val="single" w:sz="4" w:space="0" w:color="auto"/>
              <w:right w:val="nil"/>
            </w:tcBorders>
            <w:shd w:val="clear" w:color="auto" w:fill="auto"/>
            <w:noWrap/>
            <w:vAlign w:val="center"/>
            <w:hideMark/>
          </w:tcPr>
          <w:p w14:paraId="6635270D" w14:textId="77777777" w:rsidR="008D3450" w:rsidRPr="00632B14" w:rsidRDefault="008D3450" w:rsidP="00312E88">
            <w:pPr>
              <w:jc w:val="center"/>
              <w:rPr>
                <w:rFonts w:cs="Arial"/>
                <w:color w:val="000000"/>
                <w:sz w:val="15"/>
                <w:szCs w:val="15"/>
              </w:rPr>
            </w:pPr>
            <w:r w:rsidRPr="00632B14">
              <w:rPr>
                <w:rFonts w:cs="Arial"/>
                <w:color w:val="000000"/>
                <w:sz w:val="15"/>
                <w:szCs w:val="15"/>
              </w:rPr>
              <w:t>499,300</w:t>
            </w:r>
          </w:p>
        </w:tc>
        <w:tc>
          <w:tcPr>
            <w:tcW w:w="0" w:type="auto"/>
            <w:tcBorders>
              <w:top w:val="nil"/>
              <w:left w:val="nil"/>
              <w:bottom w:val="single" w:sz="4" w:space="0" w:color="auto"/>
              <w:right w:val="nil"/>
            </w:tcBorders>
            <w:shd w:val="clear" w:color="auto" w:fill="auto"/>
            <w:noWrap/>
            <w:vAlign w:val="center"/>
            <w:hideMark/>
          </w:tcPr>
          <w:p w14:paraId="202808CC" w14:textId="77777777" w:rsidR="008D3450" w:rsidRPr="00632B14" w:rsidRDefault="008D3450" w:rsidP="00312E88">
            <w:pPr>
              <w:jc w:val="center"/>
              <w:rPr>
                <w:rFonts w:cs="Arial"/>
                <w:color w:val="000000"/>
                <w:sz w:val="15"/>
                <w:szCs w:val="15"/>
              </w:rPr>
            </w:pPr>
            <w:r w:rsidRPr="00632B14">
              <w:rPr>
                <w:rFonts w:cs="Arial"/>
                <w:color w:val="000000"/>
                <w:sz w:val="15"/>
                <w:szCs w:val="15"/>
              </w:rPr>
              <w:t>521,000</w:t>
            </w:r>
          </w:p>
        </w:tc>
        <w:tc>
          <w:tcPr>
            <w:tcW w:w="0" w:type="auto"/>
            <w:tcBorders>
              <w:top w:val="nil"/>
              <w:left w:val="nil"/>
              <w:bottom w:val="single" w:sz="4" w:space="0" w:color="auto"/>
              <w:right w:val="single" w:sz="4" w:space="0" w:color="auto"/>
            </w:tcBorders>
            <w:shd w:val="clear" w:color="auto" w:fill="auto"/>
            <w:noWrap/>
            <w:vAlign w:val="center"/>
            <w:hideMark/>
          </w:tcPr>
          <w:p w14:paraId="3AE6433D" w14:textId="77777777" w:rsidR="008D3450" w:rsidRPr="00632B14" w:rsidRDefault="008D3450" w:rsidP="00312E88">
            <w:pPr>
              <w:jc w:val="center"/>
              <w:rPr>
                <w:rFonts w:cs="Arial"/>
                <w:color w:val="000000"/>
                <w:sz w:val="15"/>
                <w:szCs w:val="15"/>
              </w:rPr>
            </w:pPr>
            <w:r w:rsidRPr="00632B14">
              <w:rPr>
                <w:rFonts w:cs="Arial"/>
                <w:color w:val="000000"/>
                <w:sz w:val="15"/>
                <w:szCs w:val="15"/>
              </w:rPr>
              <w:t>541,700</w:t>
            </w:r>
          </w:p>
        </w:tc>
      </w:tr>
      <w:tr w:rsidR="008D3450" w:rsidRPr="00632B14" w14:paraId="4CC4E5B8" w14:textId="77777777" w:rsidTr="008D3450">
        <w:trPr>
          <w:trHeight w:hRule="exact" w:val="397"/>
        </w:trPr>
        <w:tc>
          <w:tcPr>
            <w:tcW w:w="0" w:type="auto"/>
            <w:tcBorders>
              <w:top w:val="nil"/>
              <w:left w:val="single" w:sz="4" w:space="0" w:color="auto"/>
              <w:bottom w:val="single" w:sz="4" w:space="0" w:color="auto"/>
              <w:right w:val="nil"/>
            </w:tcBorders>
            <w:shd w:val="clear" w:color="000000" w:fill="D3C5D7"/>
            <w:noWrap/>
            <w:vAlign w:val="center"/>
            <w:hideMark/>
          </w:tcPr>
          <w:p w14:paraId="729DA00C" w14:textId="77777777" w:rsidR="008D3450" w:rsidRPr="00632B14" w:rsidRDefault="008D3450" w:rsidP="00312E88">
            <w:pPr>
              <w:rPr>
                <w:rFonts w:cs="Arial"/>
                <w:b/>
                <w:bCs/>
                <w:color w:val="000000"/>
                <w:sz w:val="15"/>
                <w:szCs w:val="15"/>
              </w:rPr>
            </w:pPr>
            <w:r w:rsidRPr="00632B14">
              <w:rPr>
                <w:rFonts w:cs="Arial"/>
                <w:b/>
                <w:bCs/>
                <w:color w:val="000000"/>
                <w:sz w:val="15"/>
                <w:szCs w:val="15"/>
              </w:rPr>
              <w:t>Comparison with actuals</w:t>
            </w:r>
          </w:p>
        </w:tc>
        <w:tc>
          <w:tcPr>
            <w:tcW w:w="0" w:type="auto"/>
            <w:tcBorders>
              <w:top w:val="nil"/>
              <w:left w:val="nil"/>
              <w:bottom w:val="single" w:sz="4" w:space="0" w:color="auto"/>
              <w:right w:val="nil"/>
            </w:tcBorders>
            <w:shd w:val="clear" w:color="000000" w:fill="D3C5D7"/>
            <w:noWrap/>
            <w:vAlign w:val="center"/>
            <w:hideMark/>
          </w:tcPr>
          <w:p w14:paraId="2411DA22"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5BEA01DF"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3B56B8B4"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08F8B26D"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47E1BBB1"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39EA42B4"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nil"/>
            </w:tcBorders>
            <w:shd w:val="clear" w:color="000000" w:fill="D3C5D7"/>
            <w:noWrap/>
            <w:vAlign w:val="center"/>
            <w:hideMark/>
          </w:tcPr>
          <w:p w14:paraId="6B0DBF37"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c>
          <w:tcPr>
            <w:tcW w:w="0" w:type="auto"/>
            <w:tcBorders>
              <w:top w:val="nil"/>
              <w:left w:val="nil"/>
              <w:bottom w:val="single" w:sz="4" w:space="0" w:color="auto"/>
              <w:right w:val="single" w:sz="4" w:space="0" w:color="auto"/>
            </w:tcBorders>
            <w:shd w:val="clear" w:color="000000" w:fill="D3C5D7"/>
            <w:noWrap/>
            <w:vAlign w:val="center"/>
            <w:hideMark/>
          </w:tcPr>
          <w:p w14:paraId="096D9A4B" w14:textId="77777777" w:rsidR="008D3450" w:rsidRPr="00632B14" w:rsidRDefault="008D3450" w:rsidP="00312E88">
            <w:pPr>
              <w:jc w:val="center"/>
              <w:rPr>
                <w:rFonts w:cs="Arial"/>
                <w:b/>
                <w:bCs/>
                <w:color w:val="000000"/>
                <w:sz w:val="15"/>
                <w:szCs w:val="15"/>
              </w:rPr>
            </w:pPr>
            <w:r w:rsidRPr="00632B14">
              <w:rPr>
                <w:rFonts w:cs="Arial"/>
                <w:b/>
                <w:bCs/>
                <w:color w:val="000000"/>
                <w:sz w:val="15"/>
                <w:szCs w:val="15"/>
              </w:rPr>
              <w:t> </w:t>
            </w:r>
          </w:p>
        </w:tc>
      </w:tr>
      <w:tr w:rsidR="008D3450" w:rsidRPr="00632B14" w14:paraId="3977CBF6" w14:textId="77777777" w:rsidTr="008D3450">
        <w:trPr>
          <w:trHeight w:hRule="exac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AD9FB5" w14:textId="77777777" w:rsidR="008D3450" w:rsidRPr="00632B14" w:rsidRDefault="008D3450" w:rsidP="00312E88">
            <w:pPr>
              <w:rPr>
                <w:rFonts w:cs="Arial"/>
                <w:color w:val="000000"/>
                <w:sz w:val="15"/>
                <w:szCs w:val="15"/>
              </w:rPr>
            </w:pPr>
            <w:r w:rsidRPr="00632B14">
              <w:rPr>
                <w:rFonts w:cs="Arial"/>
                <w:color w:val="000000"/>
                <w:sz w:val="15"/>
                <w:szCs w:val="15"/>
              </w:rPr>
              <w:t>Actual participant numbers</w:t>
            </w:r>
          </w:p>
        </w:tc>
        <w:tc>
          <w:tcPr>
            <w:tcW w:w="0" w:type="auto"/>
            <w:tcBorders>
              <w:top w:val="nil"/>
              <w:left w:val="nil"/>
              <w:bottom w:val="single" w:sz="4" w:space="0" w:color="auto"/>
              <w:right w:val="nil"/>
            </w:tcBorders>
            <w:shd w:val="clear" w:color="auto" w:fill="auto"/>
            <w:noWrap/>
            <w:vAlign w:val="center"/>
            <w:hideMark/>
          </w:tcPr>
          <w:p w14:paraId="77D4B0C0" w14:textId="77777777" w:rsidR="008D3450" w:rsidRPr="00632B14" w:rsidRDefault="008D3450" w:rsidP="00312E88">
            <w:pPr>
              <w:jc w:val="center"/>
              <w:rPr>
                <w:rFonts w:cs="Arial"/>
                <w:color w:val="000000"/>
                <w:sz w:val="15"/>
                <w:szCs w:val="15"/>
              </w:rPr>
            </w:pPr>
            <w:r w:rsidRPr="00632B14">
              <w:rPr>
                <w:rFonts w:cs="Arial"/>
                <w:color w:val="000000"/>
                <w:sz w:val="15"/>
                <w:szCs w:val="15"/>
              </w:rPr>
              <w:t>172,300</w:t>
            </w:r>
          </w:p>
        </w:tc>
        <w:tc>
          <w:tcPr>
            <w:tcW w:w="0" w:type="auto"/>
            <w:tcBorders>
              <w:top w:val="nil"/>
              <w:left w:val="nil"/>
              <w:bottom w:val="single" w:sz="4" w:space="0" w:color="auto"/>
              <w:right w:val="nil"/>
            </w:tcBorders>
            <w:shd w:val="clear" w:color="000000" w:fill="FFE699"/>
            <w:noWrap/>
            <w:vAlign w:val="center"/>
            <w:hideMark/>
          </w:tcPr>
          <w:p w14:paraId="358DB953" w14:textId="77777777" w:rsidR="008D3450" w:rsidRPr="00632B14" w:rsidRDefault="008D3450" w:rsidP="00312E88">
            <w:pPr>
              <w:jc w:val="center"/>
              <w:rPr>
                <w:rFonts w:cs="Arial"/>
                <w:color w:val="000000"/>
                <w:sz w:val="15"/>
                <w:szCs w:val="15"/>
              </w:rPr>
            </w:pPr>
            <w:r w:rsidRPr="00632B14">
              <w:rPr>
                <w:rFonts w:cs="Arial"/>
                <w:color w:val="000000"/>
                <w:sz w:val="15"/>
                <w:szCs w:val="15"/>
              </w:rPr>
              <w:t>286,000</w:t>
            </w:r>
          </w:p>
        </w:tc>
        <w:tc>
          <w:tcPr>
            <w:tcW w:w="0" w:type="auto"/>
            <w:tcBorders>
              <w:top w:val="nil"/>
              <w:left w:val="nil"/>
              <w:bottom w:val="single" w:sz="4" w:space="0" w:color="auto"/>
              <w:right w:val="nil"/>
            </w:tcBorders>
            <w:shd w:val="clear" w:color="000000" w:fill="FFE699"/>
            <w:noWrap/>
            <w:vAlign w:val="center"/>
            <w:hideMark/>
          </w:tcPr>
          <w:p w14:paraId="190B7D7F" w14:textId="77777777" w:rsidR="008D3450" w:rsidRPr="00632B14" w:rsidRDefault="008D3450" w:rsidP="00312E88">
            <w:pPr>
              <w:jc w:val="center"/>
              <w:rPr>
                <w:rFonts w:cs="Arial"/>
                <w:color w:val="000000"/>
                <w:sz w:val="15"/>
                <w:szCs w:val="15"/>
              </w:rPr>
            </w:pPr>
            <w:r w:rsidRPr="00632B14">
              <w:rPr>
                <w:rFonts w:cs="Arial"/>
                <w:color w:val="000000"/>
                <w:sz w:val="15"/>
                <w:szCs w:val="15"/>
              </w:rPr>
              <w:t>392,000</w:t>
            </w:r>
          </w:p>
        </w:tc>
        <w:tc>
          <w:tcPr>
            <w:tcW w:w="0" w:type="auto"/>
            <w:tcBorders>
              <w:top w:val="nil"/>
              <w:left w:val="single" w:sz="4" w:space="0" w:color="auto"/>
              <w:bottom w:val="single" w:sz="4" w:space="0" w:color="auto"/>
              <w:right w:val="single" w:sz="4" w:space="0" w:color="auto"/>
            </w:tcBorders>
            <w:shd w:val="clear" w:color="000000" w:fill="FFE699"/>
            <w:noWrap/>
            <w:vAlign w:val="center"/>
            <w:hideMark/>
          </w:tcPr>
          <w:p w14:paraId="68DA2A88" w14:textId="77777777" w:rsidR="008D3450" w:rsidRPr="00632B14" w:rsidRDefault="008D3450" w:rsidP="00312E88">
            <w:pPr>
              <w:jc w:val="center"/>
              <w:rPr>
                <w:rFonts w:cs="Arial"/>
                <w:color w:val="000000"/>
                <w:sz w:val="15"/>
                <w:szCs w:val="15"/>
              </w:rPr>
            </w:pPr>
            <w:r w:rsidRPr="00632B14">
              <w:rPr>
                <w:rFonts w:cs="Arial"/>
                <w:color w:val="000000"/>
                <w:sz w:val="15"/>
                <w:szCs w:val="15"/>
              </w:rPr>
              <w:t>466,600</w:t>
            </w:r>
          </w:p>
        </w:tc>
        <w:tc>
          <w:tcPr>
            <w:tcW w:w="0" w:type="auto"/>
            <w:tcBorders>
              <w:top w:val="nil"/>
              <w:left w:val="nil"/>
              <w:bottom w:val="single" w:sz="4" w:space="0" w:color="auto"/>
              <w:right w:val="nil"/>
            </w:tcBorders>
            <w:shd w:val="clear" w:color="000000" w:fill="BFBFBF"/>
            <w:noWrap/>
            <w:vAlign w:val="center"/>
            <w:hideMark/>
          </w:tcPr>
          <w:p w14:paraId="149E827E"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2000E282"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5CFE5AAF" w14:textId="77777777" w:rsidR="008D3450" w:rsidRPr="00632B14" w:rsidRDefault="008D3450" w:rsidP="00312E88">
            <w:pPr>
              <w:jc w:val="center"/>
              <w:rPr>
                <w:rFonts w:cs="Arial"/>
                <w:i/>
                <w:iCs/>
                <w:color w:val="000000"/>
                <w:sz w:val="15"/>
                <w:szCs w:val="15"/>
              </w:rPr>
            </w:pPr>
            <w:r w:rsidRPr="00632B14">
              <w:rPr>
                <w:rFonts w:cs="Arial"/>
                <w:i/>
                <w:iCs/>
                <w:color w:val="000000"/>
                <w:sz w:val="15"/>
                <w:szCs w:val="15"/>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24E9D407" w14:textId="77777777" w:rsidR="008D3450" w:rsidRPr="00632B14" w:rsidRDefault="008D3450" w:rsidP="00312E88">
            <w:pPr>
              <w:jc w:val="center"/>
              <w:rPr>
                <w:rFonts w:cs="Arial"/>
                <w:i/>
                <w:iCs/>
                <w:color w:val="000000"/>
                <w:sz w:val="15"/>
                <w:szCs w:val="15"/>
              </w:rPr>
            </w:pPr>
            <w:r w:rsidRPr="00632B14">
              <w:rPr>
                <w:rFonts w:cs="Arial"/>
                <w:i/>
                <w:iCs/>
                <w:color w:val="000000"/>
                <w:sz w:val="15"/>
                <w:szCs w:val="15"/>
              </w:rPr>
              <w:t> </w:t>
            </w:r>
          </w:p>
        </w:tc>
      </w:tr>
      <w:tr w:rsidR="008D3450" w:rsidRPr="00632B14" w14:paraId="525A9AD1" w14:textId="77777777" w:rsidTr="008D3450">
        <w:trPr>
          <w:trHeight w:hRule="exac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D877C8" w14:textId="77777777" w:rsidR="008D3450" w:rsidRPr="00632B14" w:rsidRDefault="008D3450" w:rsidP="00312E88">
            <w:pPr>
              <w:rPr>
                <w:rFonts w:cs="Arial"/>
                <w:color w:val="000000"/>
                <w:sz w:val="15"/>
                <w:szCs w:val="15"/>
              </w:rPr>
            </w:pPr>
            <w:r w:rsidRPr="00632B14">
              <w:rPr>
                <w:rFonts w:cs="Arial"/>
                <w:color w:val="000000"/>
                <w:sz w:val="15"/>
                <w:szCs w:val="15"/>
              </w:rPr>
              <w:t>Actual participant numbers compared with June AFSR</w:t>
            </w:r>
          </w:p>
        </w:tc>
        <w:tc>
          <w:tcPr>
            <w:tcW w:w="0" w:type="auto"/>
            <w:tcBorders>
              <w:top w:val="nil"/>
              <w:left w:val="nil"/>
              <w:bottom w:val="single" w:sz="4" w:space="0" w:color="auto"/>
              <w:right w:val="nil"/>
            </w:tcBorders>
            <w:shd w:val="clear" w:color="000000" w:fill="BFBFBF"/>
            <w:noWrap/>
            <w:vAlign w:val="center"/>
            <w:hideMark/>
          </w:tcPr>
          <w:p w14:paraId="6277FE35"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FFE699"/>
            <w:noWrap/>
            <w:vAlign w:val="center"/>
            <w:hideMark/>
          </w:tcPr>
          <w:p w14:paraId="30602D31" w14:textId="77777777" w:rsidR="008D3450" w:rsidRPr="00632B14" w:rsidRDefault="008D3450" w:rsidP="00312E88">
            <w:pPr>
              <w:jc w:val="center"/>
              <w:rPr>
                <w:rFonts w:cs="Arial"/>
                <w:color w:val="000000"/>
                <w:sz w:val="15"/>
                <w:szCs w:val="15"/>
              </w:rPr>
            </w:pPr>
            <w:r w:rsidRPr="00632B14">
              <w:rPr>
                <w:rFonts w:cs="Arial"/>
                <w:color w:val="000000"/>
                <w:sz w:val="15"/>
                <w:szCs w:val="15"/>
              </w:rPr>
              <w:t>-20,200</w:t>
            </w:r>
          </w:p>
        </w:tc>
        <w:tc>
          <w:tcPr>
            <w:tcW w:w="0" w:type="auto"/>
            <w:tcBorders>
              <w:top w:val="nil"/>
              <w:left w:val="nil"/>
              <w:bottom w:val="single" w:sz="4" w:space="0" w:color="auto"/>
              <w:right w:val="nil"/>
            </w:tcBorders>
            <w:shd w:val="clear" w:color="000000" w:fill="FFE699"/>
            <w:noWrap/>
            <w:vAlign w:val="center"/>
            <w:hideMark/>
          </w:tcPr>
          <w:p w14:paraId="74B286E4" w14:textId="77777777" w:rsidR="008D3450" w:rsidRPr="00632B14" w:rsidRDefault="008D3450" w:rsidP="00312E88">
            <w:pPr>
              <w:jc w:val="center"/>
              <w:rPr>
                <w:rFonts w:cs="Arial"/>
                <w:color w:val="000000"/>
                <w:sz w:val="15"/>
                <w:szCs w:val="15"/>
              </w:rPr>
            </w:pPr>
            <w:r w:rsidRPr="00632B14">
              <w:rPr>
                <w:rFonts w:cs="Arial"/>
                <w:color w:val="000000"/>
                <w:sz w:val="15"/>
                <w:szCs w:val="15"/>
              </w:rPr>
              <w:t>22,900</w:t>
            </w:r>
          </w:p>
        </w:tc>
        <w:tc>
          <w:tcPr>
            <w:tcW w:w="0" w:type="auto"/>
            <w:tcBorders>
              <w:top w:val="nil"/>
              <w:left w:val="single" w:sz="4" w:space="0" w:color="auto"/>
              <w:bottom w:val="single" w:sz="4" w:space="0" w:color="auto"/>
              <w:right w:val="single" w:sz="4" w:space="0" w:color="auto"/>
            </w:tcBorders>
            <w:shd w:val="clear" w:color="000000" w:fill="FFE699"/>
            <w:noWrap/>
            <w:vAlign w:val="center"/>
            <w:hideMark/>
          </w:tcPr>
          <w:p w14:paraId="7FEDCDB6" w14:textId="77777777" w:rsidR="008D3450" w:rsidRPr="00632B14" w:rsidRDefault="008D3450" w:rsidP="00312E88">
            <w:pPr>
              <w:jc w:val="center"/>
              <w:rPr>
                <w:rFonts w:cs="Arial"/>
                <w:color w:val="000000"/>
                <w:sz w:val="15"/>
                <w:szCs w:val="15"/>
              </w:rPr>
            </w:pPr>
            <w:r w:rsidRPr="00632B14">
              <w:rPr>
                <w:rFonts w:cs="Arial"/>
                <w:color w:val="000000"/>
                <w:sz w:val="15"/>
                <w:szCs w:val="15"/>
              </w:rPr>
              <w:t>10,300</w:t>
            </w:r>
          </w:p>
        </w:tc>
        <w:tc>
          <w:tcPr>
            <w:tcW w:w="0" w:type="auto"/>
            <w:tcBorders>
              <w:top w:val="nil"/>
              <w:left w:val="nil"/>
              <w:bottom w:val="single" w:sz="4" w:space="0" w:color="auto"/>
              <w:right w:val="nil"/>
            </w:tcBorders>
            <w:shd w:val="clear" w:color="000000" w:fill="BFBFBF"/>
            <w:noWrap/>
            <w:vAlign w:val="center"/>
            <w:hideMark/>
          </w:tcPr>
          <w:p w14:paraId="60F9CD1B"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6A3E66BD"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nil"/>
            </w:tcBorders>
            <w:shd w:val="clear" w:color="000000" w:fill="BFBFBF"/>
            <w:noWrap/>
            <w:vAlign w:val="center"/>
            <w:hideMark/>
          </w:tcPr>
          <w:p w14:paraId="76F84A02"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2E3C1767" w14:textId="77777777" w:rsidR="008D3450" w:rsidRPr="00632B14" w:rsidRDefault="008D3450" w:rsidP="00312E88">
            <w:pPr>
              <w:jc w:val="center"/>
              <w:rPr>
                <w:rFonts w:cs="Arial"/>
                <w:color w:val="000000"/>
                <w:sz w:val="15"/>
                <w:szCs w:val="15"/>
              </w:rPr>
            </w:pPr>
            <w:r w:rsidRPr="00632B14">
              <w:rPr>
                <w:rFonts w:cs="Arial"/>
                <w:color w:val="000000"/>
                <w:sz w:val="15"/>
                <w:szCs w:val="15"/>
              </w:rPr>
              <w:t> </w:t>
            </w:r>
          </w:p>
        </w:tc>
      </w:tr>
    </w:tbl>
    <w:p w14:paraId="41599328" w14:textId="7B0A585D" w:rsidR="00141B0B" w:rsidRPr="001B0E95" w:rsidRDefault="00141B0B" w:rsidP="00141B0B">
      <w:pPr>
        <w:spacing w:before="240"/>
      </w:pPr>
      <w:r w:rsidRPr="001B0E95" w:rsidDel="00962D50">
        <w:t xml:space="preserve"> </w:t>
      </w:r>
    </w:p>
    <w:p w14:paraId="246F46DD" w14:textId="35B16DA7" w:rsidR="00141B0B" w:rsidRPr="001B0E95" w:rsidRDefault="00141B0B" w:rsidP="00141B0B">
      <w:pPr>
        <w:spacing w:before="240"/>
      </w:pPr>
      <w:r w:rsidRPr="001B0E95">
        <w:t xml:space="preserve">Participants entered the Scheme more slowly than initially anticipated in the bilateral agreements between the Commonwealth and State/Territory governments. The PC estimates also assumed that participants would </w:t>
      </w:r>
      <w:r w:rsidR="006A1320">
        <w:t xml:space="preserve">initially </w:t>
      </w:r>
      <w:r w:rsidRPr="001B0E95">
        <w:t xml:space="preserve">enter the Scheme more rapidly. Participant projections for each successive AFSR projection have been revised to reflect the pace at which participants have entered the Scheme, with increases in assumptions at each review to 31 December 2020. In the 30 June 2021 AFSR, participant intake assumptions have been revised downwards slightly to reflect the emerging experience of lower than expected participant intake into the Scheme relative to expectations at the </w:t>
      </w:r>
      <w:r w:rsidR="000E0962">
        <w:t>previous review</w:t>
      </w:r>
      <w:r w:rsidR="00CD5914">
        <w:t>.</w:t>
      </w:r>
      <w:r w:rsidR="000E0962">
        <w:t xml:space="preserve"> </w:t>
      </w:r>
      <w:r w:rsidR="00CD5914">
        <w:t>H</w:t>
      </w:r>
      <w:r w:rsidR="00CD5914" w:rsidRPr="001B0E95">
        <w:t xml:space="preserve">owever </w:t>
      </w:r>
      <w:r w:rsidRPr="001B0E95">
        <w:t xml:space="preserve">future projections remain well above all </w:t>
      </w:r>
      <w:r w:rsidR="006A1320">
        <w:t xml:space="preserve">earlier </w:t>
      </w:r>
      <w:r w:rsidRPr="001B0E95">
        <w:t>estimates as well as the PC estimates.</w:t>
      </w:r>
    </w:p>
    <w:p w14:paraId="0EDE04E6" w14:textId="77777777" w:rsidR="00B97A2B" w:rsidRDefault="00B97A2B">
      <w:pPr>
        <w:spacing w:after="160" w:line="259" w:lineRule="auto"/>
        <w:rPr>
          <w:rFonts w:eastAsiaTheme="minorHAnsi"/>
          <w:b/>
          <w:bCs/>
          <w:szCs w:val="18"/>
          <w:lang w:eastAsia="en-US"/>
        </w:rPr>
      </w:pPr>
      <w:r>
        <w:br w:type="page"/>
      </w:r>
    </w:p>
    <w:p w14:paraId="3293A95D" w14:textId="795E748F" w:rsidR="001C2276" w:rsidRDefault="001C2276" w:rsidP="001C2276">
      <w:pPr>
        <w:pStyle w:val="Tables"/>
      </w:pPr>
      <w:r w:rsidRPr="00AA44C0">
        <w:lastRenderedPageBreak/>
        <w:t xml:space="preserve">Table </w:t>
      </w:r>
      <w:fldSimple w:instr=" SEQ Table \* ARABIC ">
        <w:r w:rsidR="00E50032">
          <w:rPr>
            <w:noProof/>
          </w:rPr>
          <w:t>46</w:t>
        </w:r>
      </w:fldSimple>
      <w:r w:rsidRPr="00AA44C0">
        <w:t xml:space="preserve"> </w:t>
      </w:r>
      <w:r w:rsidR="004050C5">
        <w:t>Average participant payments</w:t>
      </w:r>
      <w:r w:rsidRPr="001B0E95">
        <w:t xml:space="preserve"> - AFSR projections, 2017 PC estimates and 2021-22 PBS estimates</w:t>
      </w:r>
    </w:p>
    <w:tbl>
      <w:tblPr>
        <w:tblW w:w="0" w:type="auto"/>
        <w:tblLook w:val="04A0" w:firstRow="1" w:lastRow="0" w:firstColumn="1" w:lastColumn="0" w:noHBand="0" w:noVBand="1"/>
      </w:tblPr>
      <w:tblGrid>
        <w:gridCol w:w="3464"/>
        <w:gridCol w:w="694"/>
        <w:gridCol w:w="694"/>
        <w:gridCol w:w="694"/>
        <w:gridCol w:w="694"/>
        <w:gridCol w:w="694"/>
        <w:gridCol w:w="694"/>
        <w:gridCol w:w="694"/>
        <w:gridCol w:w="694"/>
      </w:tblGrid>
      <w:tr w:rsidR="00117E64" w:rsidRPr="00632B14" w14:paraId="0DA264F1" w14:textId="77777777" w:rsidTr="00312E88">
        <w:trPr>
          <w:trHeight w:val="284"/>
          <w:tblHeader/>
        </w:trPr>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0ADC7F93" w14:textId="77777777" w:rsidR="00117E64" w:rsidRPr="00632B14" w:rsidRDefault="00117E64" w:rsidP="00312E88">
            <w:pPr>
              <w:jc w:val="center"/>
              <w:rPr>
                <w:rFonts w:cs="Arial"/>
                <w:b/>
                <w:bCs/>
                <w:color w:val="FFFFFF"/>
                <w:sz w:val="13"/>
                <w:szCs w:val="13"/>
              </w:rPr>
            </w:pPr>
            <w:r w:rsidRPr="00632B14">
              <w:rPr>
                <w:rFonts w:cs="Arial"/>
                <w:b/>
                <w:bCs/>
                <w:color w:val="FFFFFF"/>
                <w:sz w:val="13"/>
                <w:szCs w:val="13"/>
              </w:rPr>
              <w:t>Average participant payments</w:t>
            </w:r>
          </w:p>
        </w:tc>
        <w:tc>
          <w:tcPr>
            <w:tcW w:w="0" w:type="auto"/>
            <w:tcBorders>
              <w:top w:val="single" w:sz="4" w:space="0" w:color="auto"/>
              <w:left w:val="nil"/>
              <w:bottom w:val="single" w:sz="4" w:space="0" w:color="auto"/>
              <w:right w:val="nil"/>
            </w:tcBorders>
            <w:shd w:val="clear" w:color="000000" w:fill="6B2976"/>
            <w:noWrap/>
            <w:vAlign w:val="center"/>
            <w:hideMark/>
          </w:tcPr>
          <w:p w14:paraId="4816CFCB" w14:textId="77777777" w:rsidR="00117E64" w:rsidRPr="00632B14" w:rsidRDefault="00117E64" w:rsidP="00312E88">
            <w:pPr>
              <w:jc w:val="center"/>
              <w:rPr>
                <w:rFonts w:cs="Arial"/>
                <w:b/>
                <w:bCs/>
                <w:color w:val="FFFFFF"/>
                <w:sz w:val="13"/>
                <w:szCs w:val="13"/>
              </w:rPr>
            </w:pPr>
            <w:r w:rsidRPr="00632B14">
              <w:rPr>
                <w:rFonts w:cs="Arial"/>
                <w:b/>
                <w:bCs/>
                <w:color w:val="FFFFFF"/>
                <w:sz w:val="13"/>
                <w:szCs w:val="13"/>
              </w:rPr>
              <w:t>2017-18</w:t>
            </w:r>
          </w:p>
        </w:tc>
        <w:tc>
          <w:tcPr>
            <w:tcW w:w="0" w:type="auto"/>
            <w:tcBorders>
              <w:top w:val="single" w:sz="4" w:space="0" w:color="auto"/>
              <w:left w:val="nil"/>
              <w:bottom w:val="single" w:sz="4" w:space="0" w:color="auto"/>
              <w:right w:val="nil"/>
            </w:tcBorders>
            <w:shd w:val="clear" w:color="000000" w:fill="6B2976"/>
            <w:noWrap/>
            <w:vAlign w:val="center"/>
            <w:hideMark/>
          </w:tcPr>
          <w:p w14:paraId="2E2E6ABA" w14:textId="77777777" w:rsidR="00117E64" w:rsidRPr="00632B14" w:rsidRDefault="00117E64" w:rsidP="00312E88">
            <w:pPr>
              <w:jc w:val="center"/>
              <w:rPr>
                <w:rFonts w:cs="Arial"/>
                <w:b/>
                <w:bCs/>
                <w:color w:val="FFFFFF"/>
                <w:sz w:val="13"/>
                <w:szCs w:val="13"/>
              </w:rPr>
            </w:pPr>
            <w:r w:rsidRPr="00632B14">
              <w:rPr>
                <w:rFonts w:cs="Arial"/>
                <w:b/>
                <w:bCs/>
                <w:color w:val="FFFFFF"/>
                <w:sz w:val="13"/>
                <w:szCs w:val="13"/>
              </w:rPr>
              <w:t>2018-19</w:t>
            </w:r>
          </w:p>
        </w:tc>
        <w:tc>
          <w:tcPr>
            <w:tcW w:w="0" w:type="auto"/>
            <w:tcBorders>
              <w:top w:val="single" w:sz="4" w:space="0" w:color="auto"/>
              <w:left w:val="nil"/>
              <w:bottom w:val="single" w:sz="4" w:space="0" w:color="auto"/>
              <w:right w:val="nil"/>
            </w:tcBorders>
            <w:shd w:val="clear" w:color="000000" w:fill="6B2976"/>
            <w:noWrap/>
            <w:vAlign w:val="center"/>
            <w:hideMark/>
          </w:tcPr>
          <w:p w14:paraId="45C11C17" w14:textId="77777777" w:rsidR="00117E64" w:rsidRPr="00632B14" w:rsidRDefault="00117E64" w:rsidP="00312E88">
            <w:pPr>
              <w:jc w:val="center"/>
              <w:rPr>
                <w:rFonts w:cs="Arial"/>
                <w:b/>
                <w:bCs/>
                <w:color w:val="FFFFFF"/>
                <w:sz w:val="13"/>
                <w:szCs w:val="13"/>
              </w:rPr>
            </w:pPr>
            <w:r w:rsidRPr="00632B14">
              <w:rPr>
                <w:rFonts w:cs="Arial"/>
                <w:b/>
                <w:bCs/>
                <w:color w:val="FFFFFF"/>
                <w:sz w:val="13"/>
                <w:szCs w:val="13"/>
              </w:rPr>
              <w:t>2019-20</w:t>
            </w:r>
          </w:p>
        </w:tc>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1C5F72E1" w14:textId="77777777" w:rsidR="00117E64" w:rsidRPr="00632B14" w:rsidRDefault="00117E64" w:rsidP="00312E88">
            <w:pPr>
              <w:jc w:val="center"/>
              <w:rPr>
                <w:rFonts w:cs="Arial"/>
                <w:b/>
                <w:bCs/>
                <w:color w:val="FFFFFF"/>
                <w:sz w:val="13"/>
                <w:szCs w:val="13"/>
              </w:rPr>
            </w:pPr>
            <w:r w:rsidRPr="00632B14">
              <w:rPr>
                <w:rFonts w:cs="Arial"/>
                <w:b/>
                <w:bCs/>
                <w:color w:val="FFFFFF"/>
                <w:sz w:val="13"/>
                <w:szCs w:val="13"/>
              </w:rPr>
              <w:t>2020-21</w:t>
            </w:r>
          </w:p>
        </w:tc>
        <w:tc>
          <w:tcPr>
            <w:tcW w:w="0" w:type="auto"/>
            <w:tcBorders>
              <w:top w:val="single" w:sz="4" w:space="0" w:color="auto"/>
              <w:left w:val="nil"/>
              <w:bottom w:val="single" w:sz="4" w:space="0" w:color="auto"/>
              <w:right w:val="nil"/>
            </w:tcBorders>
            <w:shd w:val="clear" w:color="000000" w:fill="6B2976"/>
            <w:noWrap/>
            <w:vAlign w:val="center"/>
            <w:hideMark/>
          </w:tcPr>
          <w:p w14:paraId="14C6D105" w14:textId="77777777" w:rsidR="00117E64" w:rsidRPr="00632B14" w:rsidRDefault="00117E64" w:rsidP="00312E88">
            <w:pPr>
              <w:jc w:val="center"/>
              <w:rPr>
                <w:rFonts w:cs="Arial"/>
                <w:b/>
                <w:bCs/>
                <w:color w:val="FFFFFF"/>
                <w:sz w:val="13"/>
                <w:szCs w:val="13"/>
              </w:rPr>
            </w:pPr>
            <w:r w:rsidRPr="00632B14">
              <w:rPr>
                <w:rFonts w:cs="Arial"/>
                <w:b/>
                <w:bCs/>
                <w:color w:val="FFFFFF"/>
                <w:sz w:val="13"/>
                <w:szCs w:val="13"/>
              </w:rPr>
              <w:t>2021-22</w:t>
            </w:r>
          </w:p>
        </w:tc>
        <w:tc>
          <w:tcPr>
            <w:tcW w:w="0" w:type="auto"/>
            <w:tcBorders>
              <w:top w:val="single" w:sz="4" w:space="0" w:color="auto"/>
              <w:left w:val="nil"/>
              <w:bottom w:val="single" w:sz="4" w:space="0" w:color="auto"/>
              <w:right w:val="nil"/>
            </w:tcBorders>
            <w:shd w:val="clear" w:color="000000" w:fill="6B2976"/>
            <w:noWrap/>
            <w:vAlign w:val="center"/>
            <w:hideMark/>
          </w:tcPr>
          <w:p w14:paraId="2A4D77E5" w14:textId="77777777" w:rsidR="00117E64" w:rsidRPr="00632B14" w:rsidRDefault="00117E64" w:rsidP="00312E88">
            <w:pPr>
              <w:jc w:val="center"/>
              <w:rPr>
                <w:rFonts w:cs="Arial"/>
                <w:b/>
                <w:bCs/>
                <w:color w:val="FFFFFF"/>
                <w:sz w:val="13"/>
                <w:szCs w:val="13"/>
              </w:rPr>
            </w:pPr>
            <w:r w:rsidRPr="00632B14">
              <w:rPr>
                <w:rFonts w:cs="Arial"/>
                <w:b/>
                <w:bCs/>
                <w:color w:val="FFFFFF"/>
                <w:sz w:val="13"/>
                <w:szCs w:val="13"/>
              </w:rPr>
              <w:t>2022-23</w:t>
            </w:r>
          </w:p>
        </w:tc>
        <w:tc>
          <w:tcPr>
            <w:tcW w:w="0" w:type="auto"/>
            <w:tcBorders>
              <w:top w:val="single" w:sz="4" w:space="0" w:color="auto"/>
              <w:left w:val="nil"/>
              <w:bottom w:val="single" w:sz="4" w:space="0" w:color="auto"/>
              <w:right w:val="nil"/>
            </w:tcBorders>
            <w:shd w:val="clear" w:color="000000" w:fill="6B2976"/>
            <w:noWrap/>
            <w:vAlign w:val="center"/>
            <w:hideMark/>
          </w:tcPr>
          <w:p w14:paraId="78FD662D" w14:textId="77777777" w:rsidR="00117E64" w:rsidRPr="00632B14" w:rsidRDefault="00117E64" w:rsidP="00312E88">
            <w:pPr>
              <w:jc w:val="center"/>
              <w:rPr>
                <w:rFonts w:cs="Arial"/>
                <w:b/>
                <w:bCs/>
                <w:color w:val="FFFFFF"/>
                <w:sz w:val="13"/>
                <w:szCs w:val="13"/>
              </w:rPr>
            </w:pPr>
            <w:r w:rsidRPr="00632B14">
              <w:rPr>
                <w:rFonts w:cs="Arial"/>
                <w:b/>
                <w:bCs/>
                <w:color w:val="FFFFFF"/>
                <w:sz w:val="13"/>
                <w:szCs w:val="13"/>
              </w:rPr>
              <w:t>2023-24</w:t>
            </w:r>
          </w:p>
        </w:tc>
        <w:tc>
          <w:tcPr>
            <w:tcW w:w="0" w:type="auto"/>
            <w:tcBorders>
              <w:top w:val="single" w:sz="4" w:space="0" w:color="auto"/>
              <w:left w:val="nil"/>
              <w:bottom w:val="single" w:sz="4" w:space="0" w:color="auto"/>
              <w:right w:val="single" w:sz="4" w:space="0" w:color="auto"/>
            </w:tcBorders>
            <w:shd w:val="clear" w:color="000000" w:fill="6B2976"/>
            <w:noWrap/>
            <w:vAlign w:val="center"/>
            <w:hideMark/>
          </w:tcPr>
          <w:p w14:paraId="2C45D252" w14:textId="77777777" w:rsidR="00117E64" w:rsidRPr="00632B14" w:rsidRDefault="00117E64" w:rsidP="00312E88">
            <w:pPr>
              <w:jc w:val="center"/>
              <w:rPr>
                <w:rFonts w:cs="Arial"/>
                <w:b/>
                <w:bCs/>
                <w:color w:val="FFFFFF"/>
                <w:sz w:val="13"/>
                <w:szCs w:val="13"/>
              </w:rPr>
            </w:pPr>
            <w:r w:rsidRPr="00632B14">
              <w:rPr>
                <w:rFonts w:cs="Arial"/>
                <w:b/>
                <w:bCs/>
                <w:color w:val="FFFFFF"/>
                <w:sz w:val="13"/>
                <w:szCs w:val="13"/>
              </w:rPr>
              <w:t>2024-25</w:t>
            </w:r>
          </w:p>
        </w:tc>
      </w:tr>
      <w:tr w:rsidR="00117E64" w:rsidRPr="00632B14" w14:paraId="0DA5C02A" w14:textId="77777777" w:rsidTr="00117E64">
        <w:trPr>
          <w:trHeight w:hRule="exact" w:val="397"/>
        </w:trPr>
        <w:tc>
          <w:tcPr>
            <w:tcW w:w="0" w:type="auto"/>
            <w:tcBorders>
              <w:top w:val="nil"/>
              <w:left w:val="single" w:sz="4" w:space="0" w:color="auto"/>
              <w:bottom w:val="single" w:sz="4" w:space="0" w:color="auto"/>
              <w:right w:val="nil"/>
            </w:tcBorders>
            <w:shd w:val="clear" w:color="000000" w:fill="D3C5D7"/>
            <w:noWrap/>
            <w:hideMark/>
          </w:tcPr>
          <w:p w14:paraId="2A071A2A" w14:textId="77777777" w:rsidR="00117E64" w:rsidRPr="00632B14" w:rsidRDefault="00117E64" w:rsidP="00312E88">
            <w:pPr>
              <w:rPr>
                <w:rFonts w:cs="Arial"/>
                <w:b/>
                <w:bCs/>
                <w:color w:val="000000"/>
                <w:sz w:val="13"/>
                <w:szCs w:val="13"/>
              </w:rPr>
            </w:pPr>
            <w:r w:rsidRPr="00632B14">
              <w:rPr>
                <w:rFonts w:cs="Arial"/>
                <w:b/>
                <w:bCs/>
                <w:color w:val="000000"/>
                <w:sz w:val="13"/>
                <w:szCs w:val="13"/>
              </w:rPr>
              <w:t>PC estimates</w:t>
            </w:r>
          </w:p>
        </w:tc>
        <w:tc>
          <w:tcPr>
            <w:tcW w:w="0" w:type="auto"/>
            <w:tcBorders>
              <w:top w:val="nil"/>
              <w:left w:val="nil"/>
              <w:bottom w:val="single" w:sz="4" w:space="0" w:color="auto"/>
              <w:right w:val="nil"/>
            </w:tcBorders>
            <w:shd w:val="clear" w:color="000000" w:fill="D3C5D7"/>
            <w:noWrap/>
            <w:hideMark/>
          </w:tcPr>
          <w:p w14:paraId="6D8381F7"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691DD039"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37C9FF56"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5B555DE8"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75007B0C"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2E7D7F89"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1F926E22"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single" w:sz="4" w:space="0" w:color="auto"/>
            </w:tcBorders>
            <w:shd w:val="clear" w:color="000000" w:fill="D3C5D7"/>
            <w:noWrap/>
            <w:hideMark/>
          </w:tcPr>
          <w:p w14:paraId="4F97CD24"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r>
      <w:tr w:rsidR="00117E64" w:rsidRPr="00632B14" w14:paraId="4F1A19D8" w14:textId="77777777" w:rsidTr="00117E64">
        <w:trPr>
          <w:trHeight w:hRule="exact" w:val="397"/>
        </w:trPr>
        <w:tc>
          <w:tcPr>
            <w:tcW w:w="0" w:type="auto"/>
            <w:tcBorders>
              <w:top w:val="nil"/>
              <w:left w:val="single" w:sz="4" w:space="0" w:color="auto"/>
              <w:bottom w:val="single" w:sz="4" w:space="0" w:color="auto"/>
              <w:right w:val="single" w:sz="4" w:space="0" w:color="auto"/>
            </w:tcBorders>
            <w:shd w:val="clear" w:color="auto" w:fill="auto"/>
            <w:noWrap/>
            <w:hideMark/>
          </w:tcPr>
          <w:p w14:paraId="2AC9B5D2" w14:textId="77777777" w:rsidR="00117E64" w:rsidRPr="00632B14" w:rsidRDefault="00117E64" w:rsidP="00312E88">
            <w:pPr>
              <w:rPr>
                <w:rFonts w:cs="Arial"/>
                <w:color w:val="000000"/>
                <w:sz w:val="13"/>
                <w:szCs w:val="13"/>
              </w:rPr>
            </w:pPr>
            <w:r w:rsidRPr="00632B14">
              <w:rPr>
                <w:rFonts w:cs="Arial"/>
                <w:color w:val="000000"/>
                <w:sz w:val="13"/>
                <w:szCs w:val="13"/>
              </w:rPr>
              <w:t>2017 Productivity Commission Estimates</w:t>
            </w:r>
          </w:p>
        </w:tc>
        <w:tc>
          <w:tcPr>
            <w:tcW w:w="0" w:type="auto"/>
            <w:tcBorders>
              <w:top w:val="nil"/>
              <w:left w:val="nil"/>
              <w:bottom w:val="single" w:sz="4" w:space="0" w:color="auto"/>
              <w:right w:val="nil"/>
            </w:tcBorders>
            <w:shd w:val="clear" w:color="auto" w:fill="auto"/>
            <w:noWrap/>
            <w:hideMark/>
          </w:tcPr>
          <w:p w14:paraId="1750F35C" w14:textId="77777777" w:rsidR="00117E64" w:rsidRPr="00632B14" w:rsidRDefault="00117E64" w:rsidP="00312E88">
            <w:pPr>
              <w:jc w:val="center"/>
              <w:rPr>
                <w:rFonts w:cs="Arial"/>
                <w:color w:val="000000"/>
                <w:sz w:val="13"/>
                <w:szCs w:val="13"/>
              </w:rPr>
            </w:pPr>
            <w:r w:rsidRPr="00632B14">
              <w:rPr>
                <w:rFonts w:cs="Arial"/>
                <w:color w:val="000000"/>
                <w:sz w:val="13"/>
                <w:szCs w:val="13"/>
              </w:rPr>
              <w:t>39,900</w:t>
            </w:r>
          </w:p>
        </w:tc>
        <w:tc>
          <w:tcPr>
            <w:tcW w:w="0" w:type="auto"/>
            <w:tcBorders>
              <w:top w:val="nil"/>
              <w:left w:val="nil"/>
              <w:bottom w:val="single" w:sz="4" w:space="0" w:color="auto"/>
              <w:right w:val="nil"/>
            </w:tcBorders>
            <w:shd w:val="clear" w:color="auto" w:fill="auto"/>
            <w:noWrap/>
            <w:hideMark/>
          </w:tcPr>
          <w:p w14:paraId="1794E17F" w14:textId="77777777" w:rsidR="00117E64" w:rsidRPr="00632B14" w:rsidRDefault="00117E64" w:rsidP="00312E88">
            <w:pPr>
              <w:jc w:val="center"/>
              <w:rPr>
                <w:rFonts w:cs="Arial"/>
                <w:color w:val="000000"/>
                <w:sz w:val="13"/>
                <w:szCs w:val="13"/>
              </w:rPr>
            </w:pPr>
            <w:r w:rsidRPr="00632B14">
              <w:rPr>
                <w:rFonts w:cs="Arial"/>
                <w:color w:val="000000"/>
                <w:sz w:val="13"/>
                <w:szCs w:val="13"/>
              </w:rPr>
              <w:t>41,300</w:t>
            </w:r>
          </w:p>
        </w:tc>
        <w:tc>
          <w:tcPr>
            <w:tcW w:w="0" w:type="auto"/>
            <w:tcBorders>
              <w:top w:val="nil"/>
              <w:left w:val="nil"/>
              <w:bottom w:val="single" w:sz="4" w:space="0" w:color="auto"/>
              <w:right w:val="nil"/>
            </w:tcBorders>
            <w:shd w:val="clear" w:color="auto" w:fill="auto"/>
            <w:noWrap/>
            <w:hideMark/>
          </w:tcPr>
          <w:p w14:paraId="459B8D25" w14:textId="77777777" w:rsidR="00117E64" w:rsidRPr="00632B14" w:rsidRDefault="00117E64" w:rsidP="00312E88">
            <w:pPr>
              <w:jc w:val="center"/>
              <w:rPr>
                <w:rFonts w:cs="Arial"/>
                <w:color w:val="000000"/>
                <w:sz w:val="13"/>
                <w:szCs w:val="13"/>
              </w:rPr>
            </w:pPr>
            <w:r w:rsidRPr="00632B14">
              <w:rPr>
                <w:rFonts w:cs="Arial"/>
                <w:color w:val="000000"/>
                <w:sz w:val="13"/>
                <w:szCs w:val="13"/>
              </w:rPr>
              <w:t>45,100</w:t>
            </w:r>
          </w:p>
        </w:tc>
        <w:tc>
          <w:tcPr>
            <w:tcW w:w="0" w:type="auto"/>
            <w:tcBorders>
              <w:top w:val="nil"/>
              <w:left w:val="single" w:sz="4" w:space="0" w:color="auto"/>
              <w:bottom w:val="single" w:sz="4" w:space="0" w:color="auto"/>
              <w:right w:val="single" w:sz="4" w:space="0" w:color="auto"/>
            </w:tcBorders>
            <w:shd w:val="clear" w:color="auto" w:fill="auto"/>
            <w:noWrap/>
            <w:hideMark/>
          </w:tcPr>
          <w:p w14:paraId="7B828D45" w14:textId="77777777" w:rsidR="00117E64" w:rsidRPr="00632B14" w:rsidRDefault="00117E64" w:rsidP="00312E88">
            <w:pPr>
              <w:jc w:val="center"/>
              <w:rPr>
                <w:rFonts w:cs="Arial"/>
                <w:color w:val="000000"/>
                <w:sz w:val="13"/>
                <w:szCs w:val="13"/>
              </w:rPr>
            </w:pPr>
            <w:r w:rsidRPr="00632B14">
              <w:rPr>
                <w:rFonts w:cs="Arial"/>
                <w:color w:val="000000"/>
                <w:sz w:val="13"/>
                <w:szCs w:val="13"/>
              </w:rPr>
              <w:t>46,400</w:t>
            </w:r>
          </w:p>
        </w:tc>
        <w:tc>
          <w:tcPr>
            <w:tcW w:w="0" w:type="auto"/>
            <w:tcBorders>
              <w:top w:val="nil"/>
              <w:left w:val="nil"/>
              <w:bottom w:val="single" w:sz="4" w:space="0" w:color="auto"/>
              <w:right w:val="nil"/>
            </w:tcBorders>
            <w:shd w:val="clear" w:color="auto" w:fill="auto"/>
            <w:noWrap/>
            <w:hideMark/>
          </w:tcPr>
          <w:p w14:paraId="5A727F2F" w14:textId="77777777" w:rsidR="00117E64" w:rsidRPr="00632B14" w:rsidRDefault="00117E64" w:rsidP="00312E88">
            <w:pPr>
              <w:jc w:val="center"/>
              <w:rPr>
                <w:rFonts w:cs="Arial"/>
                <w:color w:val="000000"/>
                <w:sz w:val="13"/>
                <w:szCs w:val="13"/>
              </w:rPr>
            </w:pPr>
            <w:r w:rsidRPr="00632B14">
              <w:rPr>
                <w:rFonts w:cs="Arial"/>
                <w:color w:val="000000"/>
                <w:sz w:val="13"/>
                <w:szCs w:val="13"/>
              </w:rPr>
              <w:t>48,200</w:t>
            </w:r>
          </w:p>
        </w:tc>
        <w:tc>
          <w:tcPr>
            <w:tcW w:w="0" w:type="auto"/>
            <w:tcBorders>
              <w:top w:val="nil"/>
              <w:left w:val="nil"/>
              <w:bottom w:val="single" w:sz="4" w:space="0" w:color="auto"/>
              <w:right w:val="nil"/>
            </w:tcBorders>
            <w:shd w:val="clear" w:color="auto" w:fill="auto"/>
            <w:noWrap/>
            <w:hideMark/>
          </w:tcPr>
          <w:p w14:paraId="7586164C" w14:textId="77777777" w:rsidR="00117E64" w:rsidRPr="00632B14" w:rsidRDefault="00117E64" w:rsidP="00312E88">
            <w:pPr>
              <w:jc w:val="center"/>
              <w:rPr>
                <w:rFonts w:cs="Arial"/>
                <w:color w:val="000000"/>
                <w:sz w:val="13"/>
                <w:szCs w:val="13"/>
              </w:rPr>
            </w:pPr>
            <w:r w:rsidRPr="00632B14">
              <w:rPr>
                <w:rFonts w:cs="Arial"/>
                <w:color w:val="000000"/>
                <w:sz w:val="13"/>
                <w:szCs w:val="13"/>
              </w:rPr>
              <w:t>50,100</w:t>
            </w:r>
          </w:p>
        </w:tc>
        <w:tc>
          <w:tcPr>
            <w:tcW w:w="0" w:type="auto"/>
            <w:tcBorders>
              <w:top w:val="nil"/>
              <w:left w:val="nil"/>
              <w:bottom w:val="single" w:sz="4" w:space="0" w:color="auto"/>
              <w:right w:val="nil"/>
            </w:tcBorders>
            <w:shd w:val="clear" w:color="auto" w:fill="auto"/>
            <w:noWrap/>
            <w:hideMark/>
          </w:tcPr>
          <w:p w14:paraId="341254DA" w14:textId="77777777" w:rsidR="00117E64" w:rsidRPr="00632B14" w:rsidRDefault="00117E64" w:rsidP="00312E88">
            <w:pPr>
              <w:jc w:val="center"/>
              <w:rPr>
                <w:rFonts w:cs="Arial"/>
                <w:color w:val="000000"/>
                <w:sz w:val="13"/>
                <w:szCs w:val="13"/>
              </w:rPr>
            </w:pPr>
            <w:r w:rsidRPr="00632B14">
              <w:rPr>
                <w:rFonts w:cs="Arial"/>
                <w:color w:val="000000"/>
                <w:sz w:val="13"/>
                <w:szCs w:val="13"/>
              </w:rPr>
              <w:t>52,100</w:t>
            </w:r>
          </w:p>
        </w:tc>
        <w:tc>
          <w:tcPr>
            <w:tcW w:w="0" w:type="auto"/>
            <w:tcBorders>
              <w:top w:val="nil"/>
              <w:left w:val="nil"/>
              <w:bottom w:val="single" w:sz="4" w:space="0" w:color="auto"/>
              <w:right w:val="single" w:sz="4" w:space="0" w:color="auto"/>
            </w:tcBorders>
            <w:shd w:val="clear" w:color="auto" w:fill="auto"/>
            <w:noWrap/>
            <w:hideMark/>
          </w:tcPr>
          <w:p w14:paraId="3E4DF0C2" w14:textId="77777777" w:rsidR="00117E64" w:rsidRPr="00632B14" w:rsidRDefault="00117E64" w:rsidP="00312E88">
            <w:pPr>
              <w:jc w:val="center"/>
              <w:rPr>
                <w:rFonts w:cs="Arial"/>
                <w:color w:val="000000"/>
                <w:sz w:val="13"/>
                <w:szCs w:val="13"/>
              </w:rPr>
            </w:pPr>
            <w:r w:rsidRPr="00632B14">
              <w:rPr>
                <w:rFonts w:cs="Arial"/>
                <w:color w:val="000000"/>
                <w:sz w:val="13"/>
                <w:szCs w:val="13"/>
              </w:rPr>
              <w:t>54,100</w:t>
            </w:r>
          </w:p>
        </w:tc>
      </w:tr>
      <w:tr w:rsidR="00117E64" w:rsidRPr="00632B14" w14:paraId="5337A3E2" w14:textId="77777777" w:rsidTr="00117E64">
        <w:trPr>
          <w:trHeight w:hRule="exact" w:val="397"/>
        </w:trPr>
        <w:tc>
          <w:tcPr>
            <w:tcW w:w="0" w:type="auto"/>
            <w:tcBorders>
              <w:top w:val="nil"/>
              <w:left w:val="single" w:sz="4" w:space="0" w:color="auto"/>
              <w:bottom w:val="single" w:sz="4" w:space="0" w:color="auto"/>
              <w:right w:val="single" w:sz="4" w:space="0" w:color="auto"/>
            </w:tcBorders>
            <w:shd w:val="clear" w:color="auto" w:fill="auto"/>
            <w:hideMark/>
          </w:tcPr>
          <w:p w14:paraId="375E455E" w14:textId="77777777" w:rsidR="00117E64" w:rsidRPr="00632B14" w:rsidRDefault="00117E64" w:rsidP="00312E88">
            <w:pPr>
              <w:rPr>
                <w:rFonts w:cs="Arial"/>
                <w:color w:val="000000"/>
                <w:sz w:val="13"/>
                <w:szCs w:val="13"/>
              </w:rPr>
            </w:pPr>
            <w:r w:rsidRPr="00632B14">
              <w:rPr>
                <w:rFonts w:cs="Arial"/>
                <w:color w:val="000000"/>
                <w:sz w:val="13"/>
                <w:szCs w:val="13"/>
              </w:rPr>
              <w:t>2017 Productivity Commission Estimates (including unanticipated costs)</w:t>
            </w:r>
          </w:p>
        </w:tc>
        <w:tc>
          <w:tcPr>
            <w:tcW w:w="0" w:type="auto"/>
            <w:tcBorders>
              <w:top w:val="nil"/>
              <w:left w:val="nil"/>
              <w:bottom w:val="single" w:sz="4" w:space="0" w:color="auto"/>
              <w:right w:val="nil"/>
            </w:tcBorders>
            <w:shd w:val="clear" w:color="000000" w:fill="BFBFBF"/>
            <w:noWrap/>
            <w:hideMark/>
          </w:tcPr>
          <w:p w14:paraId="3697EF15"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7DBBBA7D"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auto" w:fill="auto"/>
            <w:noWrap/>
            <w:hideMark/>
          </w:tcPr>
          <w:p w14:paraId="25EE40A7" w14:textId="77777777" w:rsidR="00117E64" w:rsidRPr="00632B14" w:rsidRDefault="00117E64" w:rsidP="00312E88">
            <w:pPr>
              <w:jc w:val="center"/>
              <w:rPr>
                <w:rFonts w:cs="Arial"/>
                <w:color w:val="000000"/>
                <w:sz w:val="13"/>
                <w:szCs w:val="13"/>
              </w:rPr>
            </w:pPr>
            <w:r w:rsidRPr="00632B14">
              <w:rPr>
                <w:rFonts w:cs="Arial"/>
                <w:color w:val="000000"/>
                <w:sz w:val="13"/>
                <w:szCs w:val="13"/>
              </w:rPr>
              <w:t>47,500</w:t>
            </w:r>
          </w:p>
        </w:tc>
        <w:tc>
          <w:tcPr>
            <w:tcW w:w="0" w:type="auto"/>
            <w:tcBorders>
              <w:top w:val="nil"/>
              <w:left w:val="single" w:sz="4" w:space="0" w:color="auto"/>
              <w:bottom w:val="single" w:sz="4" w:space="0" w:color="auto"/>
              <w:right w:val="single" w:sz="4" w:space="0" w:color="auto"/>
            </w:tcBorders>
            <w:shd w:val="clear" w:color="auto" w:fill="auto"/>
            <w:noWrap/>
            <w:hideMark/>
          </w:tcPr>
          <w:p w14:paraId="4033083B" w14:textId="77777777" w:rsidR="00117E64" w:rsidRPr="00632B14" w:rsidRDefault="00117E64" w:rsidP="00312E88">
            <w:pPr>
              <w:jc w:val="center"/>
              <w:rPr>
                <w:rFonts w:cs="Arial"/>
                <w:color w:val="000000"/>
                <w:sz w:val="13"/>
                <w:szCs w:val="13"/>
              </w:rPr>
            </w:pPr>
            <w:r w:rsidRPr="00632B14">
              <w:rPr>
                <w:rFonts w:cs="Arial"/>
                <w:color w:val="000000"/>
                <w:sz w:val="13"/>
                <w:szCs w:val="13"/>
              </w:rPr>
              <w:t>49,500</w:t>
            </w:r>
          </w:p>
        </w:tc>
        <w:tc>
          <w:tcPr>
            <w:tcW w:w="0" w:type="auto"/>
            <w:tcBorders>
              <w:top w:val="nil"/>
              <w:left w:val="nil"/>
              <w:bottom w:val="single" w:sz="4" w:space="0" w:color="auto"/>
              <w:right w:val="nil"/>
            </w:tcBorders>
            <w:shd w:val="clear" w:color="auto" w:fill="auto"/>
            <w:noWrap/>
            <w:hideMark/>
          </w:tcPr>
          <w:p w14:paraId="00CF96CE" w14:textId="77777777" w:rsidR="00117E64" w:rsidRPr="00632B14" w:rsidRDefault="00117E64" w:rsidP="00312E88">
            <w:pPr>
              <w:jc w:val="center"/>
              <w:rPr>
                <w:rFonts w:cs="Arial"/>
                <w:color w:val="000000"/>
                <w:sz w:val="13"/>
                <w:szCs w:val="13"/>
              </w:rPr>
            </w:pPr>
            <w:r w:rsidRPr="00632B14">
              <w:rPr>
                <w:rFonts w:cs="Arial"/>
                <w:color w:val="000000"/>
                <w:sz w:val="13"/>
                <w:szCs w:val="13"/>
              </w:rPr>
              <w:t>51,900</w:t>
            </w:r>
          </w:p>
        </w:tc>
        <w:tc>
          <w:tcPr>
            <w:tcW w:w="0" w:type="auto"/>
            <w:tcBorders>
              <w:top w:val="nil"/>
              <w:left w:val="nil"/>
              <w:bottom w:val="single" w:sz="4" w:space="0" w:color="auto"/>
              <w:right w:val="nil"/>
            </w:tcBorders>
            <w:shd w:val="clear" w:color="auto" w:fill="auto"/>
            <w:noWrap/>
            <w:hideMark/>
          </w:tcPr>
          <w:p w14:paraId="36D9085F" w14:textId="77777777" w:rsidR="00117E64" w:rsidRPr="00632B14" w:rsidRDefault="00117E64" w:rsidP="00312E88">
            <w:pPr>
              <w:jc w:val="center"/>
              <w:rPr>
                <w:rFonts w:cs="Arial"/>
                <w:color w:val="000000"/>
                <w:sz w:val="13"/>
                <w:szCs w:val="13"/>
              </w:rPr>
            </w:pPr>
            <w:r w:rsidRPr="00632B14">
              <w:rPr>
                <w:rFonts w:cs="Arial"/>
                <w:color w:val="000000"/>
                <w:sz w:val="13"/>
                <w:szCs w:val="13"/>
              </w:rPr>
              <w:t>54,100</w:t>
            </w:r>
          </w:p>
        </w:tc>
        <w:tc>
          <w:tcPr>
            <w:tcW w:w="0" w:type="auto"/>
            <w:tcBorders>
              <w:top w:val="nil"/>
              <w:left w:val="nil"/>
              <w:bottom w:val="single" w:sz="4" w:space="0" w:color="auto"/>
              <w:right w:val="nil"/>
            </w:tcBorders>
            <w:shd w:val="clear" w:color="auto" w:fill="auto"/>
            <w:noWrap/>
            <w:hideMark/>
          </w:tcPr>
          <w:p w14:paraId="3F22EC72" w14:textId="77777777" w:rsidR="00117E64" w:rsidRPr="00632B14" w:rsidRDefault="00117E64" w:rsidP="00312E88">
            <w:pPr>
              <w:jc w:val="center"/>
              <w:rPr>
                <w:rFonts w:cs="Arial"/>
                <w:color w:val="000000"/>
                <w:sz w:val="13"/>
                <w:szCs w:val="13"/>
              </w:rPr>
            </w:pPr>
            <w:r w:rsidRPr="00632B14">
              <w:rPr>
                <w:rFonts w:cs="Arial"/>
                <w:color w:val="000000"/>
                <w:sz w:val="13"/>
                <w:szCs w:val="13"/>
              </w:rPr>
              <w:t>56,300</w:t>
            </w:r>
          </w:p>
        </w:tc>
        <w:tc>
          <w:tcPr>
            <w:tcW w:w="0" w:type="auto"/>
            <w:tcBorders>
              <w:top w:val="nil"/>
              <w:left w:val="nil"/>
              <w:bottom w:val="single" w:sz="4" w:space="0" w:color="auto"/>
              <w:right w:val="single" w:sz="4" w:space="0" w:color="auto"/>
            </w:tcBorders>
            <w:shd w:val="clear" w:color="auto" w:fill="auto"/>
            <w:noWrap/>
            <w:hideMark/>
          </w:tcPr>
          <w:p w14:paraId="39D59EBE" w14:textId="77777777" w:rsidR="00117E64" w:rsidRPr="00632B14" w:rsidRDefault="00117E64" w:rsidP="00312E88">
            <w:pPr>
              <w:jc w:val="center"/>
              <w:rPr>
                <w:rFonts w:cs="Arial"/>
                <w:color w:val="000000"/>
                <w:sz w:val="13"/>
                <w:szCs w:val="13"/>
              </w:rPr>
            </w:pPr>
            <w:r w:rsidRPr="00632B14">
              <w:rPr>
                <w:rFonts w:cs="Arial"/>
                <w:color w:val="000000"/>
                <w:sz w:val="13"/>
                <w:szCs w:val="13"/>
              </w:rPr>
              <w:t>58,500</w:t>
            </w:r>
          </w:p>
        </w:tc>
      </w:tr>
      <w:tr w:rsidR="00117E64" w:rsidRPr="00632B14" w14:paraId="4E483980" w14:textId="77777777" w:rsidTr="00117E64">
        <w:trPr>
          <w:trHeight w:hRule="exact" w:val="397"/>
        </w:trPr>
        <w:tc>
          <w:tcPr>
            <w:tcW w:w="0" w:type="auto"/>
            <w:tcBorders>
              <w:top w:val="nil"/>
              <w:left w:val="single" w:sz="4" w:space="0" w:color="auto"/>
              <w:bottom w:val="single" w:sz="4" w:space="0" w:color="auto"/>
              <w:right w:val="nil"/>
            </w:tcBorders>
            <w:shd w:val="clear" w:color="000000" w:fill="D3C5D7"/>
            <w:noWrap/>
            <w:hideMark/>
          </w:tcPr>
          <w:p w14:paraId="1896EC2C" w14:textId="77777777" w:rsidR="00117E64" w:rsidRPr="00632B14" w:rsidRDefault="00117E64" w:rsidP="00312E88">
            <w:pPr>
              <w:rPr>
                <w:rFonts w:cs="Arial"/>
                <w:b/>
                <w:bCs/>
                <w:color w:val="000000"/>
                <w:sz w:val="13"/>
                <w:szCs w:val="13"/>
              </w:rPr>
            </w:pPr>
            <w:r w:rsidRPr="00632B14">
              <w:rPr>
                <w:rFonts w:cs="Arial"/>
                <w:b/>
                <w:bCs/>
                <w:color w:val="000000"/>
                <w:sz w:val="13"/>
                <w:szCs w:val="13"/>
              </w:rPr>
              <w:t>PBS</w:t>
            </w:r>
          </w:p>
        </w:tc>
        <w:tc>
          <w:tcPr>
            <w:tcW w:w="0" w:type="auto"/>
            <w:tcBorders>
              <w:top w:val="nil"/>
              <w:left w:val="nil"/>
              <w:bottom w:val="single" w:sz="4" w:space="0" w:color="auto"/>
              <w:right w:val="nil"/>
            </w:tcBorders>
            <w:shd w:val="clear" w:color="000000" w:fill="D3C5D7"/>
            <w:noWrap/>
            <w:hideMark/>
          </w:tcPr>
          <w:p w14:paraId="70EF0A01"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1D5FC725"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7E6796CD"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671137CC"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1A967ABB"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19EF27CF"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06D6FBCE"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single" w:sz="4" w:space="0" w:color="auto"/>
            </w:tcBorders>
            <w:shd w:val="clear" w:color="000000" w:fill="D3C5D7"/>
            <w:noWrap/>
            <w:hideMark/>
          </w:tcPr>
          <w:p w14:paraId="0086CBE1"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r>
      <w:tr w:rsidR="00117E64" w:rsidRPr="00632B14" w14:paraId="266714B8" w14:textId="77777777" w:rsidTr="00117E64">
        <w:trPr>
          <w:trHeight w:hRule="exact" w:val="397"/>
        </w:trPr>
        <w:tc>
          <w:tcPr>
            <w:tcW w:w="0" w:type="auto"/>
            <w:tcBorders>
              <w:top w:val="nil"/>
              <w:left w:val="single" w:sz="4" w:space="0" w:color="auto"/>
              <w:bottom w:val="single" w:sz="4" w:space="0" w:color="auto"/>
              <w:right w:val="single" w:sz="4" w:space="0" w:color="auto"/>
            </w:tcBorders>
            <w:shd w:val="clear" w:color="auto" w:fill="auto"/>
            <w:noWrap/>
            <w:hideMark/>
          </w:tcPr>
          <w:p w14:paraId="43D2B745" w14:textId="77777777" w:rsidR="00117E64" w:rsidRPr="00632B14" w:rsidRDefault="00117E64" w:rsidP="00312E88">
            <w:pPr>
              <w:rPr>
                <w:rFonts w:cs="Arial"/>
                <w:color w:val="000000"/>
                <w:sz w:val="13"/>
                <w:szCs w:val="13"/>
              </w:rPr>
            </w:pPr>
            <w:r w:rsidRPr="00632B14">
              <w:rPr>
                <w:rFonts w:cs="Arial"/>
                <w:color w:val="000000"/>
                <w:sz w:val="13"/>
                <w:szCs w:val="13"/>
              </w:rPr>
              <w:t>Portfolio Budget Statements 2021-22</w:t>
            </w:r>
          </w:p>
        </w:tc>
        <w:tc>
          <w:tcPr>
            <w:tcW w:w="0" w:type="auto"/>
            <w:tcBorders>
              <w:top w:val="nil"/>
              <w:left w:val="nil"/>
              <w:bottom w:val="single" w:sz="4" w:space="0" w:color="auto"/>
              <w:right w:val="nil"/>
            </w:tcBorders>
            <w:shd w:val="clear" w:color="000000" w:fill="BFBFBF"/>
            <w:noWrap/>
            <w:hideMark/>
          </w:tcPr>
          <w:p w14:paraId="05CDBA38"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406DBC41"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4CDBCF25"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single" w:sz="4" w:space="0" w:color="auto"/>
              <w:bottom w:val="single" w:sz="4" w:space="0" w:color="auto"/>
              <w:right w:val="single" w:sz="4" w:space="0" w:color="auto"/>
            </w:tcBorders>
            <w:shd w:val="clear" w:color="000000" w:fill="BFBFBF"/>
            <w:noWrap/>
            <w:hideMark/>
          </w:tcPr>
          <w:p w14:paraId="27A6ADDD"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auto" w:fill="auto"/>
            <w:noWrap/>
            <w:hideMark/>
          </w:tcPr>
          <w:p w14:paraId="4068AE95" w14:textId="77777777" w:rsidR="00117E64" w:rsidRPr="00632B14" w:rsidRDefault="00117E64" w:rsidP="00312E88">
            <w:pPr>
              <w:jc w:val="center"/>
              <w:rPr>
                <w:rFonts w:cs="Arial"/>
                <w:color w:val="000000"/>
                <w:sz w:val="13"/>
                <w:szCs w:val="13"/>
              </w:rPr>
            </w:pPr>
            <w:r w:rsidRPr="00632B14">
              <w:rPr>
                <w:rFonts w:cs="Arial"/>
                <w:color w:val="000000"/>
                <w:sz w:val="13"/>
                <w:szCs w:val="13"/>
              </w:rPr>
              <w:t>53,000</w:t>
            </w:r>
          </w:p>
        </w:tc>
        <w:tc>
          <w:tcPr>
            <w:tcW w:w="0" w:type="auto"/>
            <w:tcBorders>
              <w:top w:val="nil"/>
              <w:left w:val="nil"/>
              <w:bottom w:val="single" w:sz="4" w:space="0" w:color="auto"/>
              <w:right w:val="nil"/>
            </w:tcBorders>
            <w:shd w:val="clear" w:color="auto" w:fill="auto"/>
            <w:noWrap/>
            <w:hideMark/>
          </w:tcPr>
          <w:p w14:paraId="0AFE65EB" w14:textId="77777777" w:rsidR="00117E64" w:rsidRPr="00632B14" w:rsidRDefault="00117E64" w:rsidP="00312E88">
            <w:pPr>
              <w:jc w:val="center"/>
              <w:rPr>
                <w:rFonts w:cs="Arial"/>
                <w:color w:val="000000"/>
                <w:sz w:val="13"/>
                <w:szCs w:val="13"/>
              </w:rPr>
            </w:pPr>
            <w:r w:rsidRPr="00632B14">
              <w:rPr>
                <w:rFonts w:cs="Arial"/>
                <w:color w:val="000000"/>
                <w:sz w:val="13"/>
                <w:szCs w:val="13"/>
              </w:rPr>
              <w:t>51,600</w:t>
            </w:r>
          </w:p>
        </w:tc>
        <w:tc>
          <w:tcPr>
            <w:tcW w:w="0" w:type="auto"/>
            <w:tcBorders>
              <w:top w:val="nil"/>
              <w:left w:val="nil"/>
              <w:bottom w:val="single" w:sz="4" w:space="0" w:color="auto"/>
              <w:right w:val="nil"/>
            </w:tcBorders>
            <w:shd w:val="clear" w:color="auto" w:fill="auto"/>
            <w:noWrap/>
            <w:hideMark/>
          </w:tcPr>
          <w:p w14:paraId="5C98AF67" w14:textId="77777777" w:rsidR="00117E64" w:rsidRPr="00632B14" w:rsidRDefault="00117E64" w:rsidP="00312E88">
            <w:pPr>
              <w:jc w:val="center"/>
              <w:rPr>
                <w:rFonts w:cs="Arial"/>
                <w:color w:val="000000"/>
                <w:sz w:val="13"/>
                <w:szCs w:val="13"/>
              </w:rPr>
            </w:pPr>
            <w:r w:rsidRPr="00632B14">
              <w:rPr>
                <w:rFonts w:cs="Arial"/>
                <w:color w:val="000000"/>
                <w:sz w:val="13"/>
                <w:szCs w:val="13"/>
              </w:rPr>
              <w:t>51,200</w:t>
            </w:r>
          </w:p>
        </w:tc>
        <w:tc>
          <w:tcPr>
            <w:tcW w:w="0" w:type="auto"/>
            <w:tcBorders>
              <w:top w:val="nil"/>
              <w:left w:val="nil"/>
              <w:bottom w:val="single" w:sz="4" w:space="0" w:color="auto"/>
              <w:right w:val="single" w:sz="4" w:space="0" w:color="auto"/>
            </w:tcBorders>
            <w:shd w:val="clear" w:color="auto" w:fill="auto"/>
            <w:noWrap/>
            <w:hideMark/>
          </w:tcPr>
          <w:p w14:paraId="688DE3BF" w14:textId="77777777" w:rsidR="00117E64" w:rsidRPr="00632B14" w:rsidRDefault="00117E64" w:rsidP="00312E88">
            <w:pPr>
              <w:jc w:val="center"/>
              <w:rPr>
                <w:rFonts w:cs="Arial"/>
                <w:color w:val="000000"/>
                <w:sz w:val="13"/>
                <w:szCs w:val="13"/>
              </w:rPr>
            </w:pPr>
            <w:r w:rsidRPr="00632B14">
              <w:rPr>
                <w:rFonts w:cs="Arial"/>
                <w:color w:val="000000"/>
                <w:sz w:val="13"/>
                <w:szCs w:val="13"/>
              </w:rPr>
              <w:t>54,300</w:t>
            </w:r>
          </w:p>
        </w:tc>
      </w:tr>
      <w:tr w:rsidR="00117E64" w:rsidRPr="00632B14" w14:paraId="0ECDB86F" w14:textId="77777777" w:rsidTr="00117E64">
        <w:trPr>
          <w:trHeight w:hRule="exact" w:val="397"/>
        </w:trPr>
        <w:tc>
          <w:tcPr>
            <w:tcW w:w="0" w:type="auto"/>
            <w:tcBorders>
              <w:top w:val="nil"/>
              <w:left w:val="single" w:sz="4" w:space="0" w:color="auto"/>
              <w:bottom w:val="single" w:sz="4" w:space="0" w:color="auto"/>
              <w:right w:val="nil"/>
            </w:tcBorders>
            <w:shd w:val="clear" w:color="000000" w:fill="D3C5D7"/>
            <w:noWrap/>
            <w:hideMark/>
          </w:tcPr>
          <w:p w14:paraId="5B9293C2" w14:textId="77777777" w:rsidR="00117E64" w:rsidRPr="00632B14" w:rsidRDefault="00117E64" w:rsidP="00312E88">
            <w:pPr>
              <w:rPr>
                <w:rFonts w:cs="Arial"/>
                <w:b/>
                <w:bCs/>
                <w:color w:val="000000"/>
                <w:sz w:val="13"/>
                <w:szCs w:val="13"/>
              </w:rPr>
            </w:pPr>
            <w:r w:rsidRPr="00632B14">
              <w:rPr>
                <w:rFonts w:cs="Arial"/>
                <w:b/>
                <w:bCs/>
                <w:color w:val="000000"/>
                <w:sz w:val="13"/>
                <w:szCs w:val="13"/>
              </w:rPr>
              <w:t>AFSR</w:t>
            </w:r>
          </w:p>
        </w:tc>
        <w:tc>
          <w:tcPr>
            <w:tcW w:w="0" w:type="auto"/>
            <w:tcBorders>
              <w:top w:val="nil"/>
              <w:left w:val="nil"/>
              <w:bottom w:val="single" w:sz="4" w:space="0" w:color="auto"/>
              <w:right w:val="nil"/>
            </w:tcBorders>
            <w:shd w:val="clear" w:color="000000" w:fill="D3C5D7"/>
            <w:noWrap/>
            <w:hideMark/>
          </w:tcPr>
          <w:p w14:paraId="213B6D2B"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7FD7CF7A"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153F78C1"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3F083A49"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39B0E8DF"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52E2917F"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58F490D9"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single" w:sz="4" w:space="0" w:color="auto"/>
            </w:tcBorders>
            <w:shd w:val="clear" w:color="000000" w:fill="D3C5D7"/>
            <w:noWrap/>
            <w:hideMark/>
          </w:tcPr>
          <w:p w14:paraId="3965BB42"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r>
      <w:tr w:rsidR="00117E64" w:rsidRPr="00632B14" w14:paraId="69387395" w14:textId="77777777" w:rsidTr="00117E64">
        <w:trPr>
          <w:trHeight w:hRule="exact" w:val="397"/>
        </w:trPr>
        <w:tc>
          <w:tcPr>
            <w:tcW w:w="0" w:type="auto"/>
            <w:tcBorders>
              <w:top w:val="nil"/>
              <w:left w:val="single" w:sz="4" w:space="0" w:color="auto"/>
              <w:bottom w:val="single" w:sz="4" w:space="0" w:color="auto"/>
              <w:right w:val="single" w:sz="4" w:space="0" w:color="auto"/>
            </w:tcBorders>
            <w:shd w:val="clear" w:color="auto" w:fill="auto"/>
            <w:noWrap/>
            <w:hideMark/>
          </w:tcPr>
          <w:p w14:paraId="05292B8E" w14:textId="77777777" w:rsidR="00117E64" w:rsidRPr="00632B14" w:rsidRDefault="00117E64" w:rsidP="00312E88">
            <w:pPr>
              <w:rPr>
                <w:rFonts w:cs="Arial"/>
                <w:color w:val="000000"/>
                <w:sz w:val="13"/>
                <w:szCs w:val="13"/>
              </w:rPr>
            </w:pPr>
            <w:r w:rsidRPr="00632B14">
              <w:rPr>
                <w:rFonts w:cs="Arial"/>
                <w:color w:val="000000"/>
                <w:sz w:val="13"/>
                <w:szCs w:val="13"/>
              </w:rPr>
              <w:t>30 June 2021 AFSR projection</w:t>
            </w:r>
          </w:p>
        </w:tc>
        <w:tc>
          <w:tcPr>
            <w:tcW w:w="0" w:type="auto"/>
            <w:tcBorders>
              <w:top w:val="nil"/>
              <w:left w:val="nil"/>
              <w:bottom w:val="single" w:sz="4" w:space="0" w:color="auto"/>
              <w:right w:val="nil"/>
            </w:tcBorders>
            <w:shd w:val="clear" w:color="000000" w:fill="BFBFBF"/>
            <w:noWrap/>
            <w:hideMark/>
          </w:tcPr>
          <w:p w14:paraId="1778A707"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0AAC731D"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14C8E286"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single" w:sz="4" w:space="0" w:color="auto"/>
              <w:bottom w:val="single" w:sz="4" w:space="0" w:color="auto"/>
              <w:right w:val="single" w:sz="4" w:space="0" w:color="auto"/>
            </w:tcBorders>
            <w:shd w:val="clear" w:color="000000" w:fill="BFBFBF"/>
            <w:noWrap/>
            <w:hideMark/>
          </w:tcPr>
          <w:p w14:paraId="79A6F0FD"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auto" w:fill="auto"/>
            <w:noWrap/>
            <w:hideMark/>
          </w:tcPr>
          <w:p w14:paraId="14781099" w14:textId="77777777" w:rsidR="00117E64" w:rsidRPr="00632B14" w:rsidRDefault="00117E64" w:rsidP="00312E88">
            <w:pPr>
              <w:jc w:val="center"/>
              <w:rPr>
                <w:rFonts w:cs="Arial"/>
                <w:color w:val="000000"/>
                <w:sz w:val="13"/>
                <w:szCs w:val="13"/>
              </w:rPr>
            </w:pPr>
            <w:r w:rsidRPr="00632B14">
              <w:rPr>
                <w:rFonts w:cs="Arial"/>
                <w:color w:val="000000"/>
                <w:sz w:val="13"/>
                <w:szCs w:val="13"/>
              </w:rPr>
              <w:t>58,600</w:t>
            </w:r>
          </w:p>
        </w:tc>
        <w:tc>
          <w:tcPr>
            <w:tcW w:w="0" w:type="auto"/>
            <w:tcBorders>
              <w:top w:val="nil"/>
              <w:left w:val="nil"/>
              <w:bottom w:val="single" w:sz="4" w:space="0" w:color="auto"/>
              <w:right w:val="nil"/>
            </w:tcBorders>
            <w:shd w:val="clear" w:color="auto" w:fill="auto"/>
            <w:noWrap/>
            <w:hideMark/>
          </w:tcPr>
          <w:p w14:paraId="5D218CA1" w14:textId="77777777" w:rsidR="00117E64" w:rsidRPr="00632B14" w:rsidRDefault="00117E64" w:rsidP="00312E88">
            <w:pPr>
              <w:jc w:val="center"/>
              <w:rPr>
                <w:rFonts w:cs="Arial"/>
                <w:color w:val="000000"/>
                <w:sz w:val="13"/>
                <w:szCs w:val="13"/>
              </w:rPr>
            </w:pPr>
            <w:r w:rsidRPr="00632B14">
              <w:rPr>
                <w:rFonts w:cs="Arial"/>
                <w:color w:val="000000"/>
                <w:sz w:val="13"/>
                <w:szCs w:val="13"/>
              </w:rPr>
              <w:t>60,700</w:t>
            </w:r>
          </w:p>
        </w:tc>
        <w:tc>
          <w:tcPr>
            <w:tcW w:w="0" w:type="auto"/>
            <w:tcBorders>
              <w:top w:val="nil"/>
              <w:left w:val="nil"/>
              <w:bottom w:val="single" w:sz="4" w:space="0" w:color="auto"/>
              <w:right w:val="nil"/>
            </w:tcBorders>
            <w:shd w:val="clear" w:color="auto" w:fill="auto"/>
            <w:noWrap/>
            <w:hideMark/>
          </w:tcPr>
          <w:p w14:paraId="6B1CEE87" w14:textId="77777777" w:rsidR="00117E64" w:rsidRPr="00632B14" w:rsidRDefault="00117E64" w:rsidP="00312E88">
            <w:pPr>
              <w:jc w:val="center"/>
              <w:rPr>
                <w:rFonts w:cs="Arial"/>
                <w:color w:val="000000"/>
                <w:sz w:val="13"/>
                <w:szCs w:val="13"/>
              </w:rPr>
            </w:pPr>
            <w:r w:rsidRPr="00632B14">
              <w:rPr>
                <w:rFonts w:cs="Arial"/>
                <w:color w:val="000000"/>
                <w:sz w:val="13"/>
                <w:szCs w:val="13"/>
              </w:rPr>
              <w:t>62,400</w:t>
            </w:r>
          </w:p>
        </w:tc>
        <w:tc>
          <w:tcPr>
            <w:tcW w:w="0" w:type="auto"/>
            <w:tcBorders>
              <w:top w:val="nil"/>
              <w:left w:val="nil"/>
              <w:bottom w:val="single" w:sz="4" w:space="0" w:color="auto"/>
              <w:right w:val="single" w:sz="4" w:space="0" w:color="auto"/>
            </w:tcBorders>
            <w:shd w:val="clear" w:color="auto" w:fill="auto"/>
            <w:noWrap/>
            <w:hideMark/>
          </w:tcPr>
          <w:p w14:paraId="4FF79C6A" w14:textId="77777777" w:rsidR="00117E64" w:rsidRPr="00632B14" w:rsidRDefault="00117E64" w:rsidP="00312E88">
            <w:pPr>
              <w:jc w:val="center"/>
              <w:rPr>
                <w:rFonts w:cs="Arial"/>
                <w:color w:val="000000"/>
                <w:sz w:val="13"/>
                <w:szCs w:val="13"/>
              </w:rPr>
            </w:pPr>
            <w:r w:rsidRPr="00632B14">
              <w:rPr>
                <w:rFonts w:cs="Arial"/>
                <w:color w:val="000000"/>
                <w:sz w:val="13"/>
                <w:szCs w:val="13"/>
              </w:rPr>
              <w:t>63,600</w:t>
            </w:r>
          </w:p>
        </w:tc>
      </w:tr>
      <w:tr w:rsidR="00117E64" w:rsidRPr="00632B14" w14:paraId="1BC0B944" w14:textId="77777777" w:rsidTr="00117E64">
        <w:trPr>
          <w:trHeight w:hRule="exact" w:val="397"/>
        </w:trPr>
        <w:tc>
          <w:tcPr>
            <w:tcW w:w="0" w:type="auto"/>
            <w:tcBorders>
              <w:top w:val="nil"/>
              <w:left w:val="single" w:sz="4" w:space="0" w:color="auto"/>
              <w:bottom w:val="single" w:sz="4" w:space="0" w:color="auto"/>
              <w:right w:val="single" w:sz="4" w:space="0" w:color="auto"/>
            </w:tcBorders>
            <w:shd w:val="clear" w:color="auto" w:fill="auto"/>
            <w:noWrap/>
            <w:hideMark/>
          </w:tcPr>
          <w:p w14:paraId="35B71C9B" w14:textId="77777777" w:rsidR="00117E64" w:rsidRPr="00632B14" w:rsidRDefault="00117E64" w:rsidP="00312E88">
            <w:pPr>
              <w:rPr>
                <w:rFonts w:cs="Arial"/>
                <w:color w:val="000000"/>
                <w:sz w:val="13"/>
                <w:szCs w:val="13"/>
              </w:rPr>
            </w:pPr>
            <w:r w:rsidRPr="00632B14">
              <w:rPr>
                <w:rFonts w:cs="Arial"/>
                <w:color w:val="000000"/>
                <w:sz w:val="13"/>
                <w:szCs w:val="13"/>
              </w:rPr>
              <w:t>31 December 2020 AFSR projection</w:t>
            </w:r>
          </w:p>
        </w:tc>
        <w:tc>
          <w:tcPr>
            <w:tcW w:w="0" w:type="auto"/>
            <w:tcBorders>
              <w:top w:val="nil"/>
              <w:left w:val="nil"/>
              <w:bottom w:val="single" w:sz="4" w:space="0" w:color="auto"/>
              <w:right w:val="nil"/>
            </w:tcBorders>
            <w:shd w:val="clear" w:color="000000" w:fill="BFBFBF"/>
            <w:noWrap/>
            <w:hideMark/>
          </w:tcPr>
          <w:p w14:paraId="4CD13B5A"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11DECBC2"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2B3B7FB5"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single" w:sz="4" w:space="0" w:color="auto"/>
              <w:bottom w:val="single" w:sz="4" w:space="0" w:color="auto"/>
              <w:right w:val="single" w:sz="4" w:space="0" w:color="auto"/>
            </w:tcBorders>
            <w:shd w:val="clear" w:color="000000" w:fill="BFBFBF"/>
            <w:noWrap/>
            <w:hideMark/>
          </w:tcPr>
          <w:p w14:paraId="249F1F5E"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auto" w:fill="auto"/>
            <w:noWrap/>
            <w:hideMark/>
          </w:tcPr>
          <w:p w14:paraId="0783201C" w14:textId="77777777" w:rsidR="00117E64" w:rsidRPr="00632B14" w:rsidRDefault="00117E64" w:rsidP="00312E88">
            <w:pPr>
              <w:jc w:val="center"/>
              <w:rPr>
                <w:rFonts w:cs="Arial"/>
                <w:color w:val="000000"/>
                <w:sz w:val="13"/>
                <w:szCs w:val="13"/>
              </w:rPr>
            </w:pPr>
            <w:r w:rsidRPr="00632B14">
              <w:rPr>
                <w:rFonts w:cs="Arial"/>
                <w:color w:val="000000"/>
                <w:sz w:val="13"/>
                <w:szCs w:val="13"/>
              </w:rPr>
              <w:t>55,900</w:t>
            </w:r>
          </w:p>
        </w:tc>
        <w:tc>
          <w:tcPr>
            <w:tcW w:w="0" w:type="auto"/>
            <w:tcBorders>
              <w:top w:val="nil"/>
              <w:left w:val="nil"/>
              <w:bottom w:val="single" w:sz="4" w:space="0" w:color="auto"/>
              <w:right w:val="nil"/>
            </w:tcBorders>
            <w:shd w:val="clear" w:color="auto" w:fill="auto"/>
            <w:noWrap/>
            <w:hideMark/>
          </w:tcPr>
          <w:p w14:paraId="4C73862C" w14:textId="77777777" w:rsidR="00117E64" w:rsidRPr="00632B14" w:rsidRDefault="00117E64" w:rsidP="00312E88">
            <w:pPr>
              <w:jc w:val="center"/>
              <w:rPr>
                <w:rFonts w:cs="Arial"/>
                <w:color w:val="000000"/>
                <w:sz w:val="13"/>
                <w:szCs w:val="13"/>
              </w:rPr>
            </w:pPr>
            <w:r w:rsidRPr="00632B14">
              <w:rPr>
                <w:rFonts w:cs="Arial"/>
                <w:color w:val="000000"/>
                <w:sz w:val="13"/>
                <w:szCs w:val="13"/>
              </w:rPr>
              <w:t>58,000</w:t>
            </w:r>
          </w:p>
        </w:tc>
        <w:tc>
          <w:tcPr>
            <w:tcW w:w="0" w:type="auto"/>
            <w:tcBorders>
              <w:top w:val="nil"/>
              <w:left w:val="nil"/>
              <w:bottom w:val="single" w:sz="4" w:space="0" w:color="auto"/>
              <w:right w:val="nil"/>
            </w:tcBorders>
            <w:shd w:val="clear" w:color="auto" w:fill="auto"/>
            <w:noWrap/>
            <w:hideMark/>
          </w:tcPr>
          <w:p w14:paraId="06EF2213" w14:textId="77777777" w:rsidR="00117E64" w:rsidRPr="00632B14" w:rsidRDefault="00117E64" w:rsidP="00312E88">
            <w:pPr>
              <w:jc w:val="center"/>
              <w:rPr>
                <w:rFonts w:cs="Arial"/>
                <w:color w:val="000000"/>
                <w:sz w:val="13"/>
                <w:szCs w:val="13"/>
              </w:rPr>
            </w:pPr>
            <w:r w:rsidRPr="00632B14">
              <w:rPr>
                <w:rFonts w:cs="Arial"/>
                <w:color w:val="000000"/>
                <w:sz w:val="13"/>
                <w:szCs w:val="13"/>
              </w:rPr>
              <w:t>59,500</w:t>
            </w:r>
          </w:p>
        </w:tc>
        <w:tc>
          <w:tcPr>
            <w:tcW w:w="0" w:type="auto"/>
            <w:tcBorders>
              <w:top w:val="nil"/>
              <w:left w:val="nil"/>
              <w:bottom w:val="single" w:sz="4" w:space="0" w:color="auto"/>
              <w:right w:val="single" w:sz="4" w:space="0" w:color="auto"/>
            </w:tcBorders>
            <w:shd w:val="clear" w:color="auto" w:fill="auto"/>
            <w:noWrap/>
            <w:hideMark/>
          </w:tcPr>
          <w:p w14:paraId="1EFAEF72" w14:textId="77777777" w:rsidR="00117E64" w:rsidRPr="00632B14" w:rsidRDefault="00117E64" w:rsidP="00312E88">
            <w:pPr>
              <w:jc w:val="center"/>
              <w:rPr>
                <w:rFonts w:cs="Arial"/>
                <w:color w:val="000000"/>
                <w:sz w:val="13"/>
                <w:szCs w:val="13"/>
              </w:rPr>
            </w:pPr>
            <w:r w:rsidRPr="00632B14">
              <w:rPr>
                <w:rFonts w:cs="Arial"/>
                <w:color w:val="000000"/>
                <w:sz w:val="13"/>
                <w:szCs w:val="13"/>
              </w:rPr>
              <w:t>61,300</w:t>
            </w:r>
          </w:p>
        </w:tc>
      </w:tr>
      <w:tr w:rsidR="00117E64" w:rsidRPr="00632B14" w14:paraId="249FD1A2" w14:textId="77777777" w:rsidTr="00117E64">
        <w:trPr>
          <w:trHeight w:hRule="exact" w:val="397"/>
        </w:trPr>
        <w:tc>
          <w:tcPr>
            <w:tcW w:w="0" w:type="auto"/>
            <w:tcBorders>
              <w:top w:val="nil"/>
              <w:left w:val="single" w:sz="4" w:space="0" w:color="auto"/>
              <w:bottom w:val="single" w:sz="4" w:space="0" w:color="auto"/>
              <w:right w:val="single" w:sz="4" w:space="0" w:color="auto"/>
            </w:tcBorders>
            <w:shd w:val="clear" w:color="auto" w:fill="auto"/>
            <w:noWrap/>
            <w:hideMark/>
          </w:tcPr>
          <w:p w14:paraId="4B9018CE" w14:textId="77777777" w:rsidR="00117E64" w:rsidRPr="00632B14" w:rsidRDefault="00117E64" w:rsidP="00312E88">
            <w:pPr>
              <w:rPr>
                <w:rFonts w:cs="Arial"/>
                <w:color w:val="000000"/>
                <w:sz w:val="13"/>
                <w:szCs w:val="13"/>
              </w:rPr>
            </w:pPr>
            <w:r w:rsidRPr="00632B14">
              <w:rPr>
                <w:rFonts w:cs="Arial"/>
                <w:color w:val="000000"/>
                <w:sz w:val="13"/>
                <w:szCs w:val="13"/>
              </w:rPr>
              <w:t>30 June 2020 AFSR projection</w:t>
            </w:r>
          </w:p>
        </w:tc>
        <w:tc>
          <w:tcPr>
            <w:tcW w:w="0" w:type="auto"/>
            <w:tcBorders>
              <w:top w:val="nil"/>
              <w:left w:val="nil"/>
              <w:bottom w:val="single" w:sz="4" w:space="0" w:color="auto"/>
              <w:right w:val="nil"/>
            </w:tcBorders>
            <w:shd w:val="clear" w:color="000000" w:fill="BFBFBF"/>
            <w:noWrap/>
            <w:hideMark/>
          </w:tcPr>
          <w:p w14:paraId="72146C07"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1481368A"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3C16187C"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single" w:sz="4" w:space="0" w:color="auto"/>
              <w:bottom w:val="single" w:sz="4" w:space="0" w:color="auto"/>
              <w:right w:val="single" w:sz="4" w:space="0" w:color="auto"/>
            </w:tcBorders>
            <w:shd w:val="clear" w:color="000000" w:fill="FFE699"/>
            <w:noWrap/>
            <w:hideMark/>
          </w:tcPr>
          <w:p w14:paraId="36B62A69" w14:textId="77777777" w:rsidR="00117E64" w:rsidRPr="00632B14" w:rsidRDefault="00117E64" w:rsidP="00312E88">
            <w:pPr>
              <w:jc w:val="center"/>
              <w:rPr>
                <w:rFonts w:cs="Arial"/>
                <w:color w:val="000000"/>
                <w:sz w:val="13"/>
                <w:szCs w:val="13"/>
              </w:rPr>
            </w:pPr>
            <w:r w:rsidRPr="00632B14">
              <w:rPr>
                <w:rFonts w:cs="Arial"/>
                <w:color w:val="000000"/>
                <w:sz w:val="13"/>
                <w:szCs w:val="13"/>
              </w:rPr>
              <w:t>52,500</w:t>
            </w:r>
          </w:p>
        </w:tc>
        <w:tc>
          <w:tcPr>
            <w:tcW w:w="0" w:type="auto"/>
            <w:tcBorders>
              <w:top w:val="nil"/>
              <w:left w:val="nil"/>
              <w:bottom w:val="single" w:sz="4" w:space="0" w:color="auto"/>
              <w:right w:val="nil"/>
            </w:tcBorders>
            <w:shd w:val="clear" w:color="auto" w:fill="auto"/>
            <w:noWrap/>
            <w:hideMark/>
          </w:tcPr>
          <w:p w14:paraId="0585BE10" w14:textId="77777777" w:rsidR="00117E64" w:rsidRPr="00632B14" w:rsidRDefault="00117E64" w:rsidP="00312E88">
            <w:pPr>
              <w:jc w:val="center"/>
              <w:rPr>
                <w:rFonts w:cs="Arial"/>
                <w:color w:val="000000"/>
                <w:sz w:val="13"/>
                <w:szCs w:val="13"/>
              </w:rPr>
            </w:pPr>
            <w:r w:rsidRPr="00632B14">
              <w:rPr>
                <w:rFonts w:cs="Arial"/>
                <w:color w:val="000000"/>
                <w:sz w:val="13"/>
                <w:szCs w:val="13"/>
              </w:rPr>
              <w:t>54,500</w:t>
            </w:r>
          </w:p>
        </w:tc>
        <w:tc>
          <w:tcPr>
            <w:tcW w:w="0" w:type="auto"/>
            <w:tcBorders>
              <w:top w:val="nil"/>
              <w:left w:val="nil"/>
              <w:bottom w:val="single" w:sz="4" w:space="0" w:color="auto"/>
              <w:right w:val="nil"/>
            </w:tcBorders>
            <w:shd w:val="clear" w:color="auto" w:fill="auto"/>
            <w:noWrap/>
            <w:hideMark/>
          </w:tcPr>
          <w:p w14:paraId="76D91CF6" w14:textId="77777777" w:rsidR="00117E64" w:rsidRPr="00632B14" w:rsidRDefault="00117E64" w:rsidP="00312E88">
            <w:pPr>
              <w:jc w:val="center"/>
              <w:rPr>
                <w:rFonts w:cs="Arial"/>
                <w:color w:val="000000"/>
                <w:sz w:val="13"/>
                <w:szCs w:val="13"/>
              </w:rPr>
            </w:pPr>
            <w:r w:rsidRPr="00632B14">
              <w:rPr>
                <w:rFonts w:cs="Arial"/>
                <w:color w:val="000000"/>
                <w:sz w:val="13"/>
                <w:szCs w:val="13"/>
              </w:rPr>
              <w:t>55,900</w:t>
            </w:r>
          </w:p>
        </w:tc>
        <w:tc>
          <w:tcPr>
            <w:tcW w:w="0" w:type="auto"/>
            <w:tcBorders>
              <w:top w:val="nil"/>
              <w:left w:val="nil"/>
              <w:bottom w:val="single" w:sz="4" w:space="0" w:color="auto"/>
              <w:right w:val="nil"/>
            </w:tcBorders>
            <w:shd w:val="clear" w:color="auto" w:fill="auto"/>
            <w:noWrap/>
            <w:hideMark/>
          </w:tcPr>
          <w:p w14:paraId="02390F91" w14:textId="77777777" w:rsidR="00117E64" w:rsidRPr="00632B14" w:rsidRDefault="00117E64" w:rsidP="00312E88">
            <w:pPr>
              <w:jc w:val="center"/>
              <w:rPr>
                <w:rFonts w:cs="Arial"/>
                <w:color w:val="000000"/>
                <w:sz w:val="13"/>
                <w:szCs w:val="13"/>
              </w:rPr>
            </w:pPr>
            <w:r w:rsidRPr="00632B14">
              <w:rPr>
                <w:rFonts w:cs="Arial"/>
                <w:color w:val="000000"/>
                <w:sz w:val="13"/>
                <w:szCs w:val="13"/>
              </w:rPr>
              <w:t>57,700</w:t>
            </w:r>
          </w:p>
        </w:tc>
        <w:tc>
          <w:tcPr>
            <w:tcW w:w="0" w:type="auto"/>
            <w:tcBorders>
              <w:top w:val="nil"/>
              <w:left w:val="nil"/>
              <w:bottom w:val="single" w:sz="4" w:space="0" w:color="auto"/>
              <w:right w:val="single" w:sz="4" w:space="0" w:color="auto"/>
            </w:tcBorders>
            <w:shd w:val="clear" w:color="auto" w:fill="auto"/>
            <w:noWrap/>
            <w:hideMark/>
          </w:tcPr>
          <w:p w14:paraId="6216ED70" w14:textId="77777777" w:rsidR="00117E64" w:rsidRPr="00632B14" w:rsidRDefault="00117E64" w:rsidP="00312E88">
            <w:pPr>
              <w:jc w:val="center"/>
              <w:rPr>
                <w:rFonts w:cs="Arial"/>
                <w:color w:val="000000"/>
                <w:sz w:val="13"/>
                <w:szCs w:val="13"/>
              </w:rPr>
            </w:pPr>
            <w:r w:rsidRPr="00632B14">
              <w:rPr>
                <w:rFonts w:cs="Arial"/>
                <w:color w:val="000000"/>
                <w:sz w:val="13"/>
                <w:szCs w:val="13"/>
              </w:rPr>
              <w:t>60,100</w:t>
            </w:r>
          </w:p>
        </w:tc>
      </w:tr>
      <w:tr w:rsidR="00117E64" w:rsidRPr="00632B14" w14:paraId="071220F9" w14:textId="77777777" w:rsidTr="00117E64">
        <w:trPr>
          <w:trHeight w:hRule="exact" w:val="397"/>
        </w:trPr>
        <w:tc>
          <w:tcPr>
            <w:tcW w:w="0" w:type="auto"/>
            <w:tcBorders>
              <w:top w:val="nil"/>
              <w:left w:val="single" w:sz="4" w:space="0" w:color="auto"/>
              <w:bottom w:val="single" w:sz="4" w:space="0" w:color="auto"/>
              <w:right w:val="single" w:sz="4" w:space="0" w:color="auto"/>
            </w:tcBorders>
            <w:shd w:val="clear" w:color="auto" w:fill="auto"/>
            <w:noWrap/>
            <w:hideMark/>
          </w:tcPr>
          <w:p w14:paraId="223A0C92" w14:textId="77777777" w:rsidR="00117E64" w:rsidRPr="00632B14" w:rsidRDefault="00117E64" w:rsidP="00312E88">
            <w:pPr>
              <w:rPr>
                <w:rFonts w:cs="Arial"/>
                <w:color w:val="000000"/>
                <w:sz w:val="13"/>
                <w:szCs w:val="13"/>
              </w:rPr>
            </w:pPr>
            <w:r w:rsidRPr="00632B14">
              <w:rPr>
                <w:rFonts w:cs="Arial"/>
                <w:color w:val="000000"/>
                <w:sz w:val="13"/>
                <w:szCs w:val="13"/>
              </w:rPr>
              <w:t>31 December 2019 AFSR projection</w:t>
            </w:r>
          </w:p>
        </w:tc>
        <w:tc>
          <w:tcPr>
            <w:tcW w:w="0" w:type="auto"/>
            <w:tcBorders>
              <w:top w:val="nil"/>
              <w:left w:val="nil"/>
              <w:bottom w:val="single" w:sz="4" w:space="0" w:color="auto"/>
              <w:right w:val="nil"/>
            </w:tcBorders>
            <w:shd w:val="clear" w:color="000000" w:fill="BFBFBF"/>
            <w:noWrap/>
            <w:hideMark/>
          </w:tcPr>
          <w:p w14:paraId="2800F2EA"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4773C57D"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3F6C1504"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single" w:sz="4" w:space="0" w:color="auto"/>
              <w:bottom w:val="single" w:sz="4" w:space="0" w:color="auto"/>
              <w:right w:val="single" w:sz="4" w:space="0" w:color="auto"/>
            </w:tcBorders>
            <w:shd w:val="clear" w:color="auto" w:fill="auto"/>
            <w:noWrap/>
            <w:hideMark/>
          </w:tcPr>
          <w:p w14:paraId="306F14AB" w14:textId="77777777" w:rsidR="00117E64" w:rsidRPr="00632B14" w:rsidRDefault="00117E64" w:rsidP="00312E88">
            <w:pPr>
              <w:jc w:val="center"/>
              <w:rPr>
                <w:rFonts w:cs="Arial"/>
                <w:color w:val="000000"/>
                <w:sz w:val="13"/>
                <w:szCs w:val="13"/>
              </w:rPr>
            </w:pPr>
            <w:r w:rsidRPr="00632B14">
              <w:rPr>
                <w:rFonts w:cs="Arial"/>
                <w:color w:val="000000"/>
                <w:sz w:val="13"/>
                <w:szCs w:val="13"/>
              </w:rPr>
              <w:t>52,600</w:t>
            </w:r>
          </w:p>
        </w:tc>
        <w:tc>
          <w:tcPr>
            <w:tcW w:w="0" w:type="auto"/>
            <w:tcBorders>
              <w:top w:val="nil"/>
              <w:left w:val="nil"/>
              <w:bottom w:val="single" w:sz="4" w:space="0" w:color="auto"/>
              <w:right w:val="nil"/>
            </w:tcBorders>
            <w:shd w:val="clear" w:color="auto" w:fill="auto"/>
            <w:noWrap/>
            <w:hideMark/>
          </w:tcPr>
          <w:p w14:paraId="3078B246" w14:textId="77777777" w:rsidR="00117E64" w:rsidRPr="00632B14" w:rsidRDefault="00117E64" w:rsidP="00312E88">
            <w:pPr>
              <w:jc w:val="center"/>
              <w:rPr>
                <w:rFonts w:cs="Arial"/>
                <w:color w:val="000000"/>
                <w:sz w:val="13"/>
                <w:szCs w:val="13"/>
              </w:rPr>
            </w:pPr>
            <w:r w:rsidRPr="00632B14">
              <w:rPr>
                <w:rFonts w:cs="Arial"/>
                <w:color w:val="000000"/>
                <w:sz w:val="13"/>
                <w:szCs w:val="13"/>
              </w:rPr>
              <w:t>54,600</w:t>
            </w:r>
          </w:p>
        </w:tc>
        <w:tc>
          <w:tcPr>
            <w:tcW w:w="0" w:type="auto"/>
            <w:tcBorders>
              <w:top w:val="nil"/>
              <w:left w:val="nil"/>
              <w:bottom w:val="single" w:sz="4" w:space="0" w:color="auto"/>
              <w:right w:val="nil"/>
            </w:tcBorders>
            <w:shd w:val="clear" w:color="auto" w:fill="auto"/>
            <w:noWrap/>
            <w:hideMark/>
          </w:tcPr>
          <w:p w14:paraId="215BEC37" w14:textId="77777777" w:rsidR="00117E64" w:rsidRPr="00632B14" w:rsidRDefault="00117E64" w:rsidP="00312E88">
            <w:pPr>
              <w:jc w:val="center"/>
              <w:rPr>
                <w:rFonts w:cs="Arial"/>
                <w:color w:val="000000"/>
                <w:sz w:val="13"/>
                <w:szCs w:val="13"/>
              </w:rPr>
            </w:pPr>
            <w:r w:rsidRPr="00632B14">
              <w:rPr>
                <w:rFonts w:cs="Arial"/>
                <w:color w:val="000000"/>
                <w:sz w:val="13"/>
                <w:szCs w:val="13"/>
              </w:rPr>
              <w:t>56,900</w:t>
            </w:r>
          </w:p>
        </w:tc>
        <w:tc>
          <w:tcPr>
            <w:tcW w:w="0" w:type="auto"/>
            <w:tcBorders>
              <w:top w:val="nil"/>
              <w:left w:val="nil"/>
              <w:bottom w:val="single" w:sz="4" w:space="0" w:color="auto"/>
              <w:right w:val="nil"/>
            </w:tcBorders>
            <w:shd w:val="clear" w:color="auto" w:fill="auto"/>
            <w:noWrap/>
            <w:hideMark/>
          </w:tcPr>
          <w:p w14:paraId="5E81CA14" w14:textId="77777777" w:rsidR="00117E64" w:rsidRPr="00632B14" w:rsidRDefault="00117E64" w:rsidP="00312E88">
            <w:pPr>
              <w:jc w:val="center"/>
              <w:rPr>
                <w:rFonts w:cs="Arial"/>
                <w:color w:val="000000"/>
                <w:sz w:val="13"/>
                <w:szCs w:val="13"/>
              </w:rPr>
            </w:pPr>
            <w:r w:rsidRPr="00632B14">
              <w:rPr>
                <w:rFonts w:cs="Arial"/>
                <w:color w:val="000000"/>
                <w:sz w:val="13"/>
                <w:szCs w:val="13"/>
              </w:rPr>
              <w:t>59,200</w:t>
            </w:r>
          </w:p>
        </w:tc>
        <w:tc>
          <w:tcPr>
            <w:tcW w:w="0" w:type="auto"/>
            <w:tcBorders>
              <w:top w:val="nil"/>
              <w:left w:val="nil"/>
              <w:bottom w:val="single" w:sz="4" w:space="0" w:color="auto"/>
              <w:right w:val="single" w:sz="4" w:space="0" w:color="auto"/>
            </w:tcBorders>
            <w:shd w:val="clear" w:color="auto" w:fill="auto"/>
            <w:noWrap/>
            <w:hideMark/>
          </w:tcPr>
          <w:p w14:paraId="343241C6" w14:textId="77777777" w:rsidR="00117E64" w:rsidRPr="00632B14" w:rsidRDefault="00117E64" w:rsidP="00312E88">
            <w:pPr>
              <w:jc w:val="center"/>
              <w:rPr>
                <w:rFonts w:cs="Arial"/>
                <w:color w:val="000000"/>
                <w:sz w:val="13"/>
                <w:szCs w:val="13"/>
              </w:rPr>
            </w:pPr>
            <w:r w:rsidRPr="00632B14">
              <w:rPr>
                <w:rFonts w:cs="Arial"/>
                <w:color w:val="000000"/>
                <w:sz w:val="13"/>
                <w:szCs w:val="13"/>
              </w:rPr>
              <w:t>61,500</w:t>
            </w:r>
          </w:p>
        </w:tc>
      </w:tr>
      <w:tr w:rsidR="00117E64" w:rsidRPr="00632B14" w14:paraId="453F145C" w14:textId="77777777" w:rsidTr="00117E64">
        <w:trPr>
          <w:trHeight w:hRule="exact" w:val="397"/>
        </w:trPr>
        <w:tc>
          <w:tcPr>
            <w:tcW w:w="0" w:type="auto"/>
            <w:tcBorders>
              <w:top w:val="nil"/>
              <w:left w:val="single" w:sz="4" w:space="0" w:color="auto"/>
              <w:bottom w:val="single" w:sz="4" w:space="0" w:color="auto"/>
              <w:right w:val="single" w:sz="4" w:space="0" w:color="auto"/>
            </w:tcBorders>
            <w:shd w:val="clear" w:color="auto" w:fill="auto"/>
            <w:noWrap/>
            <w:hideMark/>
          </w:tcPr>
          <w:p w14:paraId="5D87B457" w14:textId="77777777" w:rsidR="00117E64" w:rsidRPr="00632B14" w:rsidRDefault="00117E64" w:rsidP="00312E88">
            <w:pPr>
              <w:rPr>
                <w:rFonts w:cs="Arial"/>
                <w:color w:val="000000"/>
                <w:sz w:val="13"/>
                <w:szCs w:val="13"/>
              </w:rPr>
            </w:pPr>
            <w:r w:rsidRPr="00632B14">
              <w:rPr>
                <w:rFonts w:cs="Arial"/>
                <w:color w:val="000000"/>
                <w:sz w:val="13"/>
                <w:szCs w:val="13"/>
              </w:rPr>
              <w:t>30 June 2019 AFSR projection</w:t>
            </w:r>
          </w:p>
        </w:tc>
        <w:tc>
          <w:tcPr>
            <w:tcW w:w="0" w:type="auto"/>
            <w:tcBorders>
              <w:top w:val="nil"/>
              <w:left w:val="nil"/>
              <w:bottom w:val="single" w:sz="4" w:space="0" w:color="auto"/>
              <w:right w:val="nil"/>
            </w:tcBorders>
            <w:shd w:val="clear" w:color="000000" w:fill="BFBFBF"/>
            <w:noWrap/>
            <w:hideMark/>
          </w:tcPr>
          <w:p w14:paraId="3A1E5D2D"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39E94C95"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FFE699"/>
            <w:noWrap/>
            <w:hideMark/>
          </w:tcPr>
          <w:p w14:paraId="462BC3AD" w14:textId="77777777" w:rsidR="00117E64" w:rsidRPr="00632B14" w:rsidRDefault="00117E64" w:rsidP="00312E88">
            <w:pPr>
              <w:jc w:val="center"/>
              <w:rPr>
                <w:rFonts w:cs="Arial"/>
                <w:color w:val="000000"/>
                <w:sz w:val="13"/>
                <w:szCs w:val="13"/>
              </w:rPr>
            </w:pPr>
            <w:r w:rsidRPr="00632B14">
              <w:rPr>
                <w:rFonts w:cs="Arial"/>
                <w:color w:val="000000"/>
                <w:sz w:val="13"/>
                <w:szCs w:val="13"/>
              </w:rPr>
              <w:t>51,100</w:t>
            </w:r>
          </w:p>
        </w:tc>
        <w:tc>
          <w:tcPr>
            <w:tcW w:w="0" w:type="auto"/>
            <w:tcBorders>
              <w:top w:val="nil"/>
              <w:left w:val="single" w:sz="4" w:space="0" w:color="auto"/>
              <w:bottom w:val="single" w:sz="4" w:space="0" w:color="auto"/>
              <w:right w:val="single" w:sz="4" w:space="0" w:color="auto"/>
            </w:tcBorders>
            <w:shd w:val="clear" w:color="auto" w:fill="auto"/>
            <w:noWrap/>
            <w:hideMark/>
          </w:tcPr>
          <w:p w14:paraId="17FE8BA2" w14:textId="77777777" w:rsidR="00117E64" w:rsidRPr="00632B14" w:rsidRDefault="00117E64" w:rsidP="00312E88">
            <w:pPr>
              <w:jc w:val="center"/>
              <w:rPr>
                <w:rFonts w:cs="Arial"/>
                <w:color w:val="000000"/>
                <w:sz w:val="13"/>
                <w:szCs w:val="13"/>
              </w:rPr>
            </w:pPr>
            <w:r w:rsidRPr="00632B14">
              <w:rPr>
                <w:rFonts w:cs="Arial"/>
                <w:color w:val="000000"/>
                <w:sz w:val="13"/>
                <w:szCs w:val="13"/>
              </w:rPr>
              <w:t>53,100</w:t>
            </w:r>
          </w:p>
        </w:tc>
        <w:tc>
          <w:tcPr>
            <w:tcW w:w="0" w:type="auto"/>
            <w:tcBorders>
              <w:top w:val="nil"/>
              <w:left w:val="nil"/>
              <w:bottom w:val="single" w:sz="4" w:space="0" w:color="auto"/>
              <w:right w:val="nil"/>
            </w:tcBorders>
            <w:shd w:val="clear" w:color="auto" w:fill="auto"/>
            <w:noWrap/>
            <w:hideMark/>
          </w:tcPr>
          <w:p w14:paraId="1B3F79C8" w14:textId="77777777" w:rsidR="00117E64" w:rsidRPr="00632B14" w:rsidRDefault="00117E64" w:rsidP="00312E88">
            <w:pPr>
              <w:jc w:val="center"/>
              <w:rPr>
                <w:rFonts w:cs="Arial"/>
                <w:color w:val="000000"/>
                <w:sz w:val="13"/>
                <w:szCs w:val="13"/>
              </w:rPr>
            </w:pPr>
            <w:r w:rsidRPr="00632B14">
              <w:rPr>
                <w:rFonts w:cs="Arial"/>
                <w:color w:val="000000"/>
                <w:sz w:val="13"/>
                <w:szCs w:val="13"/>
              </w:rPr>
              <w:t>54,200</w:t>
            </w:r>
          </w:p>
        </w:tc>
        <w:tc>
          <w:tcPr>
            <w:tcW w:w="0" w:type="auto"/>
            <w:tcBorders>
              <w:top w:val="nil"/>
              <w:left w:val="nil"/>
              <w:bottom w:val="single" w:sz="4" w:space="0" w:color="auto"/>
              <w:right w:val="nil"/>
            </w:tcBorders>
            <w:shd w:val="clear" w:color="auto" w:fill="auto"/>
            <w:noWrap/>
            <w:hideMark/>
          </w:tcPr>
          <w:p w14:paraId="6D2F9C69" w14:textId="77777777" w:rsidR="00117E64" w:rsidRPr="00632B14" w:rsidRDefault="00117E64" w:rsidP="00312E88">
            <w:pPr>
              <w:jc w:val="center"/>
              <w:rPr>
                <w:rFonts w:cs="Arial"/>
                <w:color w:val="000000"/>
                <w:sz w:val="13"/>
                <w:szCs w:val="13"/>
              </w:rPr>
            </w:pPr>
            <w:r w:rsidRPr="00632B14">
              <w:rPr>
                <w:rFonts w:cs="Arial"/>
                <w:color w:val="000000"/>
                <w:sz w:val="13"/>
                <w:szCs w:val="13"/>
              </w:rPr>
              <w:t>55,300</w:t>
            </w:r>
          </w:p>
        </w:tc>
        <w:tc>
          <w:tcPr>
            <w:tcW w:w="0" w:type="auto"/>
            <w:tcBorders>
              <w:top w:val="nil"/>
              <w:left w:val="nil"/>
              <w:bottom w:val="single" w:sz="4" w:space="0" w:color="auto"/>
              <w:right w:val="nil"/>
            </w:tcBorders>
            <w:shd w:val="clear" w:color="auto" w:fill="auto"/>
            <w:noWrap/>
            <w:hideMark/>
          </w:tcPr>
          <w:p w14:paraId="56904F2B" w14:textId="77777777" w:rsidR="00117E64" w:rsidRPr="00632B14" w:rsidRDefault="00117E64" w:rsidP="00312E88">
            <w:pPr>
              <w:jc w:val="center"/>
              <w:rPr>
                <w:rFonts w:cs="Arial"/>
                <w:color w:val="000000"/>
                <w:sz w:val="13"/>
                <w:szCs w:val="13"/>
              </w:rPr>
            </w:pPr>
            <w:r w:rsidRPr="00632B14">
              <w:rPr>
                <w:rFonts w:cs="Arial"/>
                <w:color w:val="000000"/>
                <w:sz w:val="13"/>
                <w:szCs w:val="13"/>
              </w:rPr>
              <w:t>56,300</w:t>
            </w:r>
          </w:p>
        </w:tc>
        <w:tc>
          <w:tcPr>
            <w:tcW w:w="0" w:type="auto"/>
            <w:tcBorders>
              <w:top w:val="nil"/>
              <w:left w:val="nil"/>
              <w:bottom w:val="single" w:sz="4" w:space="0" w:color="auto"/>
              <w:right w:val="single" w:sz="4" w:space="0" w:color="auto"/>
            </w:tcBorders>
            <w:shd w:val="clear" w:color="auto" w:fill="auto"/>
            <w:noWrap/>
            <w:hideMark/>
          </w:tcPr>
          <w:p w14:paraId="793A1B87" w14:textId="77777777" w:rsidR="00117E64" w:rsidRPr="00632B14" w:rsidRDefault="00117E64" w:rsidP="00312E88">
            <w:pPr>
              <w:jc w:val="center"/>
              <w:rPr>
                <w:rFonts w:cs="Arial"/>
                <w:color w:val="000000"/>
                <w:sz w:val="13"/>
                <w:szCs w:val="13"/>
              </w:rPr>
            </w:pPr>
            <w:r w:rsidRPr="00632B14">
              <w:rPr>
                <w:rFonts w:cs="Arial"/>
                <w:color w:val="000000"/>
                <w:sz w:val="13"/>
                <w:szCs w:val="13"/>
              </w:rPr>
              <w:t>57,700</w:t>
            </w:r>
          </w:p>
        </w:tc>
      </w:tr>
      <w:tr w:rsidR="00117E64" w:rsidRPr="00632B14" w14:paraId="330474DD" w14:textId="77777777" w:rsidTr="00117E64">
        <w:trPr>
          <w:trHeight w:hRule="exact" w:val="397"/>
        </w:trPr>
        <w:tc>
          <w:tcPr>
            <w:tcW w:w="0" w:type="auto"/>
            <w:tcBorders>
              <w:top w:val="nil"/>
              <w:left w:val="single" w:sz="4" w:space="0" w:color="auto"/>
              <w:bottom w:val="single" w:sz="4" w:space="0" w:color="auto"/>
              <w:right w:val="single" w:sz="4" w:space="0" w:color="auto"/>
            </w:tcBorders>
            <w:shd w:val="clear" w:color="auto" w:fill="auto"/>
            <w:noWrap/>
            <w:hideMark/>
          </w:tcPr>
          <w:p w14:paraId="1FFCF340" w14:textId="77777777" w:rsidR="00117E64" w:rsidRPr="00632B14" w:rsidRDefault="00117E64" w:rsidP="00312E88">
            <w:pPr>
              <w:rPr>
                <w:rFonts w:cs="Arial"/>
                <w:color w:val="000000"/>
                <w:sz w:val="13"/>
                <w:szCs w:val="13"/>
              </w:rPr>
            </w:pPr>
            <w:r w:rsidRPr="00632B14">
              <w:rPr>
                <w:rFonts w:cs="Arial"/>
                <w:color w:val="000000"/>
                <w:sz w:val="13"/>
                <w:szCs w:val="13"/>
              </w:rPr>
              <w:t>30 June 2018 AFSR projection</w:t>
            </w:r>
            <w:r w:rsidRPr="00632B14">
              <w:rPr>
                <w:rFonts w:cs="Arial"/>
                <w:color w:val="000000"/>
                <w:sz w:val="13"/>
                <w:szCs w:val="13"/>
                <w:vertAlign w:val="superscript"/>
              </w:rPr>
              <w:t>1</w:t>
            </w:r>
          </w:p>
        </w:tc>
        <w:tc>
          <w:tcPr>
            <w:tcW w:w="0" w:type="auto"/>
            <w:tcBorders>
              <w:top w:val="nil"/>
              <w:left w:val="nil"/>
              <w:bottom w:val="single" w:sz="4" w:space="0" w:color="auto"/>
              <w:right w:val="nil"/>
            </w:tcBorders>
            <w:shd w:val="clear" w:color="000000" w:fill="BFBFBF"/>
            <w:noWrap/>
            <w:hideMark/>
          </w:tcPr>
          <w:p w14:paraId="460CB252"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FFE699"/>
            <w:noWrap/>
            <w:hideMark/>
          </w:tcPr>
          <w:p w14:paraId="7021C5FC" w14:textId="77777777" w:rsidR="00117E64" w:rsidRPr="00632B14" w:rsidRDefault="00117E64" w:rsidP="00312E88">
            <w:pPr>
              <w:jc w:val="center"/>
              <w:rPr>
                <w:rFonts w:cs="Arial"/>
                <w:color w:val="000000"/>
                <w:sz w:val="13"/>
                <w:szCs w:val="13"/>
              </w:rPr>
            </w:pPr>
            <w:r w:rsidRPr="00632B14">
              <w:rPr>
                <w:rFonts w:cs="Arial"/>
                <w:color w:val="000000"/>
                <w:sz w:val="13"/>
                <w:szCs w:val="13"/>
              </w:rPr>
              <w:t>39,800</w:t>
            </w:r>
          </w:p>
        </w:tc>
        <w:tc>
          <w:tcPr>
            <w:tcW w:w="0" w:type="auto"/>
            <w:tcBorders>
              <w:top w:val="nil"/>
              <w:left w:val="nil"/>
              <w:bottom w:val="single" w:sz="4" w:space="0" w:color="auto"/>
              <w:right w:val="nil"/>
            </w:tcBorders>
            <w:shd w:val="clear" w:color="auto" w:fill="auto"/>
            <w:noWrap/>
            <w:hideMark/>
          </w:tcPr>
          <w:p w14:paraId="5AB5385A" w14:textId="77777777" w:rsidR="00117E64" w:rsidRPr="00632B14" w:rsidRDefault="00117E64" w:rsidP="00312E88">
            <w:pPr>
              <w:jc w:val="center"/>
              <w:rPr>
                <w:rFonts w:cs="Arial"/>
                <w:color w:val="000000"/>
                <w:sz w:val="13"/>
                <w:szCs w:val="13"/>
              </w:rPr>
            </w:pPr>
            <w:r w:rsidRPr="00632B14">
              <w:rPr>
                <w:rFonts w:cs="Arial"/>
                <w:color w:val="000000"/>
                <w:sz w:val="13"/>
                <w:szCs w:val="13"/>
              </w:rPr>
              <w:t>46,500</w:t>
            </w:r>
          </w:p>
        </w:tc>
        <w:tc>
          <w:tcPr>
            <w:tcW w:w="0" w:type="auto"/>
            <w:tcBorders>
              <w:top w:val="nil"/>
              <w:left w:val="single" w:sz="4" w:space="0" w:color="auto"/>
              <w:bottom w:val="single" w:sz="4" w:space="0" w:color="auto"/>
              <w:right w:val="single" w:sz="4" w:space="0" w:color="auto"/>
            </w:tcBorders>
            <w:shd w:val="clear" w:color="auto" w:fill="auto"/>
            <w:noWrap/>
            <w:hideMark/>
          </w:tcPr>
          <w:p w14:paraId="753FAC6F" w14:textId="77777777" w:rsidR="00117E64" w:rsidRPr="00632B14" w:rsidRDefault="00117E64" w:rsidP="00312E88">
            <w:pPr>
              <w:jc w:val="center"/>
              <w:rPr>
                <w:rFonts w:cs="Arial"/>
                <w:color w:val="000000"/>
                <w:sz w:val="13"/>
                <w:szCs w:val="13"/>
              </w:rPr>
            </w:pPr>
            <w:r w:rsidRPr="00632B14">
              <w:rPr>
                <w:rFonts w:cs="Arial"/>
                <w:color w:val="000000"/>
                <w:sz w:val="13"/>
                <w:szCs w:val="13"/>
              </w:rPr>
              <w:t>50,200</w:t>
            </w:r>
          </w:p>
        </w:tc>
        <w:tc>
          <w:tcPr>
            <w:tcW w:w="0" w:type="auto"/>
            <w:tcBorders>
              <w:top w:val="nil"/>
              <w:left w:val="nil"/>
              <w:bottom w:val="single" w:sz="4" w:space="0" w:color="auto"/>
              <w:right w:val="nil"/>
            </w:tcBorders>
            <w:shd w:val="clear" w:color="auto" w:fill="auto"/>
            <w:noWrap/>
            <w:hideMark/>
          </w:tcPr>
          <w:p w14:paraId="26C71310" w14:textId="77777777" w:rsidR="00117E64" w:rsidRPr="00632B14" w:rsidRDefault="00117E64" w:rsidP="00312E88">
            <w:pPr>
              <w:jc w:val="center"/>
              <w:rPr>
                <w:rFonts w:cs="Arial"/>
                <w:color w:val="000000"/>
                <w:sz w:val="13"/>
                <w:szCs w:val="13"/>
              </w:rPr>
            </w:pPr>
            <w:r w:rsidRPr="00632B14">
              <w:rPr>
                <w:rFonts w:cs="Arial"/>
                <w:color w:val="000000"/>
                <w:sz w:val="13"/>
                <w:szCs w:val="13"/>
              </w:rPr>
              <w:t>52,900</w:t>
            </w:r>
          </w:p>
        </w:tc>
        <w:tc>
          <w:tcPr>
            <w:tcW w:w="0" w:type="auto"/>
            <w:tcBorders>
              <w:top w:val="nil"/>
              <w:left w:val="nil"/>
              <w:bottom w:val="single" w:sz="4" w:space="0" w:color="auto"/>
              <w:right w:val="nil"/>
            </w:tcBorders>
            <w:shd w:val="clear" w:color="auto" w:fill="auto"/>
            <w:noWrap/>
            <w:hideMark/>
          </w:tcPr>
          <w:p w14:paraId="3E3326A7" w14:textId="77777777" w:rsidR="00117E64" w:rsidRPr="00632B14" w:rsidRDefault="00117E64" w:rsidP="00312E88">
            <w:pPr>
              <w:jc w:val="center"/>
              <w:rPr>
                <w:rFonts w:cs="Arial"/>
                <w:color w:val="000000"/>
                <w:sz w:val="13"/>
                <w:szCs w:val="13"/>
              </w:rPr>
            </w:pPr>
            <w:r w:rsidRPr="00632B14">
              <w:rPr>
                <w:rFonts w:cs="Arial"/>
                <w:color w:val="000000"/>
                <w:sz w:val="13"/>
                <w:szCs w:val="13"/>
              </w:rPr>
              <w:t>55,300</w:t>
            </w:r>
          </w:p>
        </w:tc>
        <w:tc>
          <w:tcPr>
            <w:tcW w:w="0" w:type="auto"/>
            <w:tcBorders>
              <w:top w:val="nil"/>
              <w:left w:val="nil"/>
              <w:bottom w:val="single" w:sz="4" w:space="0" w:color="auto"/>
              <w:right w:val="nil"/>
            </w:tcBorders>
            <w:shd w:val="clear" w:color="auto" w:fill="auto"/>
            <w:noWrap/>
            <w:hideMark/>
          </w:tcPr>
          <w:p w14:paraId="4B5EA657" w14:textId="77777777" w:rsidR="00117E64" w:rsidRPr="00632B14" w:rsidRDefault="00117E64" w:rsidP="00312E88">
            <w:pPr>
              <w:jc w:val="center"/>
              <w:rPr>
                <w:rFonts w:cs="Arial"/>
                <w:color w:val="000000"/>
                <w:sz w:val="13"/>
                <w:szCs w:val="13"/>
              </w:rPr>
            </w:pPr>
            <w:r w:rsidRPr="00632B14">
              <w:rPr>
                <w:rFonts w:cs="Arial"/>
                <w:color w:val="000000"/>
                <w:sz w:val="13"/>
                <w:szCs w:val="13"/>
              </w:rPr>
              <w:t>57,900</w:t>
            </w:r>
          </w:p>
        </w:tc>
        <w:tc>
          <w:tcPr>
            <w:tcW w:w="0" w:type="auto"/>
            <w:tcBorders>
              <w:top w:val="nil"/>
              <w:left w:val="nil"/>
              <w:bottom w:val="single" w:sz="4" w:space="0" w:color="auto"/>
              <w:right w:val="single" w:sz="4" w:space="0" w:color="auto"/>
            </w:tcBorders>
            <w:shd w:val="clear" w:color="auto" w:fill="auto"/>
            <w:noWrap/>
            <w:hideMark/>
          </w:tcPr>
          <w:p w14:paraId="09203100" w14:textId="77777777" w:rsidR="00117E64" w:rsidRPr="00632B14" w:rsidRDefault="00117E64" w:rsidP="00312E88">
            <w:pPr>
              <w:jc w:val="center"/>
              <w:rPr>
                <w:rFonts w:cs="Arial"/>
                <w:color w:val="000000"/>
                <w:sz w:val="13"/>
                <w:szCs w:val="13"/>
              </w:rPr>
            </w:pPr>
            <w:r w:rsidRPr="00632B14">
              <w:rPr>
                <w:rFonts w:cs="Arial"/>
                <w:color w:val="000000"/>
                <w:sz w:val="13"/>
                <w:szCs w:val="13"/>
              </w:rPr>
              <w:t>59,700</w:t>
            </w:r>
          </w:p>
        </w:tc>
      </w:tr>
      <w:tr w:rsidR="00117E64" w:rsidRPr="00632B14" w14:paraId="51C8E6ED" w14:textId="77777777" w:rsidTr="00117E64">
        <w:trPr>
          <w:trHeight w:hRule="exact" w:val="397"/>
        </w:trPr>
        <w:tc>
          <w:tcPr>
            <w:tcW w:w="0" w:type="auto"/>
            <w:tcBorders>
              <w:top w:val="nil"/>
              <w:left w:val="single" w:sz="4" w:space="0" w:color="auto"/>
              <w:bottom w:val="single" w:sz="4" w:space="0" w:color="auto"/>
              <w:right w:val="nil"/>
            </w:tcBorders>
            <w:shd w:val="clear" w:color="000000" w:fill="D3C5D7"/>
            <w:noWrap/>
            <w:hideMark/>
          </w:tcPr>
          <w:p w14:paraId="4D040E0A" w14:textId="77777777" w:rsidR="00117E64" w:rsidRPr="00632B14" w:rsidRDefault="00117E64" w:rsidP="00312E88">
            <w:pPr>
              <w:rPr>
                <w:rFonts w:cs="Arial"/>
                <w:b/>
                <w:bCs/>
                <w:color w:val="000000"/>
                <w:sz w:val="13"/>
                <w:szCs w:val="13"/>
              </w:rPr>
            </w:pPr>
            <w:r w:rsidRPr="00632B14">
              <w:rPr>
                <w:rFonts w:cs="Arial"/>
                <w:b/>
                <w:bCs/>
                <w:color w:val="000000"/>
                <w:sz w:val="13"/>
                <w:szCs w:val="13"/>
              </w:rPr>
              <w:t>Comparison with actuals</w:t>
            </w:r>
          </w:p>
        </w:tc>
        <w:tc>
          <w:tcPr>
            <w:tcW w:w="0" w:type="auto"/>
            <w:tcBorders>
              <w:top w:val="nil"/>
              <w:left w:val="nil"/>
              <w:bottom w:val="single" w:sz="4" w:space="0" w:color="auto"/>
              <w:right w:val="nil"/>
            </w:tcBorders>
            <w:shd w:val="clear" w:color="000000" w:fill="D3C5D7"/>
            <w:noWrap/>
            <w:hideMark/>
          </w:tcPr>
          <w:p w14:paraId="2F9B619D"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76FC7E8D"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4F8FE21B"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5DE1FB73"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41785C38"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4176AA55"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nil"/>
            </w:tcBorders>
            <w:shd w:val="clear" w:color="000000" w:fill="D3C5D7"/>
            <w:noWrap/>
            <w:hideMark/>
          </w:tcPr>
          <w:p w14:paraId="00715E7E"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c>
          <w:tcPr>
            <w:tcW w:w="0" w:type="auto"/>
            <w:tcBorders>
              <w:top w:val="nil"/>
              <w:left w:val="nil"/>
              <w:bottom w:val="single" w:sz="4" w:space="0" w:color="auto"/>
              <w:right w:val="single" w:sz="4" w:space="0" w:color="auto"/>
            </w:tcBorders>
            <w:shd w:val="clear" w:color="000000" w:fill="D3C5D7"/>
            <w:noWrap/>
            <w:hideMark/>
          </w:tcPr>
          <w:p w14:paraId="1842B28F" w14:textId="77777777" w:rsidR="00117E64" w:rsidRPr="00632B14" w:rsidRDefault="00117E64" w:rsidP="00312E88">
            <w:pPr>
              <w:jc w:val="center"/>
              <w:rPr>
                <w:rFonts w:cs="Arial"/>
                <w:b/>
                <w:bCs/>
                <w:color w:val="000000"/>
                <w:sz w:val="13"/>
                <w:szCs w:val="13"/>
              </w:rPr>
            </w:pPr>
            <w:r w:rsidRPr="00632B14">
              <w:rPr>
                <w:rFonts w:cs="Arial"/>
                <w:b/>
                <w:bCs/>
                <w:color w:val="000000"/>
                <w:sz w:val="13"/>
                <w:szCs w:val="13"/>
              </w:rPr>
              <w:t> </w:t>
            </w:r>
          </w:p>
        </w:tc>
      </w:tr>
      <w:tr w:rsidR="00117E64" w:rsidRPr="00632B14" w14:paraId="3367FF20" w14:textId="77777777" w:rsidTr="00117E64">
        <w:trPr>
          <w:trHeight w:hRule="exact" w:val="397"/>
        </w:trPr>
        <w:tc>
          <w:tcPr>
            <w:tcW w:w="0" w:type="auto"/>
            <w:tcBorders>
              <w:top w:val="nil"/>
              <w:left w:val="single" w:sz="4" w:space="0" w:color="auto"/>
              <w:bottom w:val="single" w:sz="4" w:space="0" w:color="auto"/>
              <w:right w:val="single" w:sz="4" w:space="0" w:color="auto"/>
            </w:tcBorders>
            <w:shd w:val="clear" w:color="auto" w:fill="auto"/>
            <w:noWrap/>
            <w:hideMark/>
          </w:tcPr>
          <w:p w14:paraId="234FE24F" w14:textId="77777777" w:rsidR="00117E64" w:rsidRPr="00632B14" w:rsidRDefault="00117E64" w:rsidP="00312E88">
            <w:pPr>
              <w:rPr>
                <w:rFonts w:cs="Arial"/>
                <w:color w:val="000000"/>
                <w:sz w:val="13"/>
                <w:szCs w:val="13"/>
              </w:rPr>
            </w:pPr>
            <w:r w:rsidRPr="00632B14">
              <w:rPr>
                <w:rFonts w:cs="Arial"/>
                <w:color w:val="000000"/>
                <w:sz w:val="13"/>
                <w:szCs w:val="13"/>
              </w:rPr>
              <w:t>Actual average participant payments (accrual)</w:t>
            </w:r>
          </w:p>
        </w:tc>
        <w:tc>
          <w:tcPr>
            <w:tcW w:w="0" w:type="auto"/>
            <w:tcBorders>
              <w:top w:val="nil"/>
              <w:left w:val="nil"/>
              <w:bottom w:val="single" w:sz="4" w:space="0" w:color="auto"/>
              <w:right w:val="nil"/>
            </w:tcBorders>
            <w:shd w:val="clear" w:color="auto" w:fill="auto"/>
            <w:noWrap/>
            <w:hideMark/>
          </w:tcPr>
          <w:p w14:paraId="4AA9C884" w14:textId="77777777" w:rsidR="00117E64" w:rsidRPr="00632B14" w:rsidRDefault="00117E64" w:rsidP="00312E88">
            <w:pPr>
              <w:jc w:val="center"/>
              <w:rPr>
                <w:rFonts w:cs="Arial"/>
                <w:color w:val="000000"/>
                <w:sz w:val="13"/>
                <w:szCs w:val="13"/>
              </w:rPr>
            </w:pPr>
            <w:r w:rsidRPr="00632B14">
              <w:rPr>
                <w:rFonts w:cs="Arial"/>
                <w:color w:val="000000"/>
                <w:sz w:val="13"/>
                <w:szCs w:val="13"/>
              </w:rPr>
              <w:t>41,400</w:t>
            </w:r>
          </w:p>
        </w:tc>
        <w:tc>
          <w:tcPr>
            <w:tcW w:w="0" w:type="auto"/>
            <w:tcBorders>
              <w:top w:val="nil"/>
              <w:left w:val="nil"/>
              <w:bottom w:val="single" w:sz="4" w:space="0" w:color="auto"/>
              <w:right w:val="nil"/>
            </w:tcBorders>
            <w:shd w:val="clear" w:color="000000" w:fill="FFE699"/>
            <w:noWrap/>
            <w:hideMark/>
          </w:tcPr>
          <w:p w14:paraId="6E7E454B" w14:textId="77777777" w:rsidR="00117E64" w:rsidRPr="00632B14" w:rsidRDefault="00117E64" w:rsidP="00312E88">
            <w:pPr>
              <w:jc w:val="center"/>
              <w:rPr>
                <w:rFonts w:cs="Arial"/>
                <w:color w:val="000000"/>
                <w:sz w:val="13"/>
                <w:szCs w:val="13"/>
              </w:rPr>
            </w:pPr>
            <w:r w:rsidRPr="00632B14">
              <w:rPr>
                <w:rFonts w:cs="Arial"/>
                <w:color w:val="000000"/>
                <w:sz w:val="13"/>
                <w:szCs w:val="13"/>
              </w:rPr>
              <w:t>45,600</w:t>
            </w:r>
          </w:p>
        </w:tc>
        <w:tc>
          <w:tcPr>
            <w:tcW w:w="0" w:type="auto"/>
            <w:tcBorders>
              <w:top w:val="nil"/>
              <w:left w:val="nil"/>
              <w:bottom w:val="single" w:sz="4" w:space="0" w:color="auto"/>
              <w:right w:val="nil"/>
            </w:tcBorders>
            <w:shd w:val="clear" w:color="000000" w:fill="FFE699"/>
            <w:noWrap/>
            <w:hideMark/>
          </w:tcPr>
          <w:p w14:paraId="7D354A2D" w14:textId="77777777" w:rsidR="00117E64" w:rsidRPr="00632B14" w:rsidRDefault="00117E64" w:rsidP="00312E88">
            <w:pPr>
              <w:jc w:val="center"/>
              <w:rPr>
                <w:rFonts w:cs="Arial"/>
                <w:color w:val="000000"/>
                <w:sz w:val="13"/>
                <w:szCs w:val="13"/>
              </w:rPr>
            </w:pPr>
            <w:r w:rsidRPr="00632B14">
              <w:rPr>
                <w:rFonts w:cs="Arial"/>
                <w:color w:val="000000"/>
                <w:sz w:val="13"/>
                <w:szCs w:val="13"/>
              </w:rPr>
              <w:t>51,900</w:t>
            </w:r>
          </w:p>
        </w:tc>
        <w:tc>
          <w:tcPr>
            <w:tcW w:w="0" w:type="auto"/>
            <w:tcBorders>
              <w:top w:val="nil"/>
              <w:left w:val="single" w:sz="4" w:space="0" w:color="auto"/>
              <w:bottom w:val="single" w:sz="4" w:space="0" w:color="auto"/>
              <w:right w:val="single" w:sz="4" w:space="0" w:color="auto"/>
            </w:tcBorders>
            <w:shd w:val="clear" w:color="000000" w:fill="FFE699"/>
            <w:noWrap/>
            <w:hideMark/>
          </w:tcPr>
          <w:p w14:paraId="006B8AFA" w14:textId="77777777" w:rsidR="00117E64" w:rsidRPr="00632B14" w:rsidRDefault="00117E64" w:rsidP="00312E88">
            <w:pPr>
              <w:jc w:val="center"/>
              <w:rPr>
                <w:rFonts w:cs="Arial"/>
                <w:color w:val="000000"/>
                <w:sz w:val="13"/>
                <w:szCs w:val="13"/>
              </w:rPr>
            </w:pPr>
            <w:r w:rsidRPr="00632B14">
              <w:rPr>
                <w:rFonts w:cs="Arial"/>
                <w:color w:val="000000"/>
                <w:sz w:val="13"/>
                <w:szCs w:val="13"/>
              </w:rPr>
              <w:t>54,300</w:t>
            </w:r>
          </w:p>
        </w:tc>
        <w:tc>
          <w:tcPr>
            <w:tcW w:w="0" w:type="auto"/>
            <w:tcBorders>
              <w:top w:val="nil"/>
              <w:left w:val="nil"/>
              <w:bottom w:val="single" w:sz="4" w:space="0" w:color="auto"/>
              <w:right w:val="nil"/>
            </w:tcBorders>
            <w:shd w:val="clear" w:color="000000" w:fill="BFBFBF"/>
            <w:noWrap/>
            <w:hideMark/>
          </w:tcPr>
          <w:p w14:paraId="38BF3837"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1ADC73F2"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single" w:sz="4" w:space="0" w:color="auto"/>
              <w:right w:val="nil"/>
            </w:tcBorders>
            <w:shd w:val="clear" w:color="000000" w:fill="BFBFBF"/>
            <w:noWrap/>
            <w:hideMark/>
          </w:tcPr>
          <w:p w14:paraId="1658C151" w14:textId="77777777" w:rsidR="00117E64" w:rsidRPr="00632B14" w:rsidRDefault="00117E64" w:rsidP="00312E88">
            <w:pPr>
              <w:jc w:val="center"/>
              <w:rPr>
                <w:rFonts w:cs="Arial"/>
                <w:i/>
                <w:iCs/>
                <w:color w:val="000000"/>
                <w:sz w:val="13"/>
                <w:szCs w:val="13"/>
              </w:rPr>
            </w:pPr>
            <w:r w:rsidRPr="00632B14">
              <w:rPr>
                <w:rFonts w:cs="Arial"/>
                <w:i/>
                <w:iCs/>
                <w:color w:val="000000"/>
                <w:sz w:val="13"/>
                <w:szCs w:val="13"/>
              </w:rPr>
              <w:t> </w:t>
            </w:r>
          </w:p>
        </w:tc>
        <w:tc>
          <w:tcPr>
            <w:tcW w:w="0" w:type="auto"/>
            <w:tcBorders>
              <w:top w:val="nil"/>
              <w:left w:val="nil"/>
              <w:bottom w:val="single" w:sz="4" w:space="0" w:color="auto"/>
              <w:right w:val="single" w:sz="4" w:space="0" w:color="auto"/>
            </w:tcBorders>
            <w:shd w:val="clear" w:color="000000" w:fill="BFBFBF"/>
            <w:noWrap/>
            <w:hideMark/>
          </w:tcPr>
          <w:p w14:paraId="65FCEEF4" w14:textId="77777777" w:rsidR="00117E64" w:rsidRPr="00632B14" w:rsidRDefault="00117E64" w:rsidP="00312E88">
            <w:pPr>
              <w:jc w:val="center"/>
              <w:rPr>
                <w:rFonts w:cs="Arial"/>
                <w:i/>
                <w:iCs/>
                <w:color w:val="000000"/>
                <w:sz w:val="13"/>
                <w:szCs w:val="13"/>
              </w:rPr>
            </w:pPr>
            <w:r w:rsidRPr="00632B14">
              <w:rPr>
                <w:rFonts w:cs="Arial"/>
                <w:i/>
                <w:iCs/>
                <w:color w:val="000000"/>
                <w:sz w:val="13"/>
                <w:szCs w:val="13"/>
              </w:rPr>
              <w:t> </w:t>
            </w:r>
          </w:p>
        </w:tc>
      </w:tr>
      <w:tr w:rsidR="00117E64" w:rsidRPr="00632B14" w14:paraId="5E7BF1D2" w14:textId="77777777" w:rsidTr="00117E64">
        <w:trPr>
          <w:trHeight w:hRule="exact" w:val="397"/>
        </w:trPr>
        <w:tc>
          <w:tcPr>
            <w:tcW w:w="0" w:type="auto"/>
            <w:tcBorders>
              <w:top w:val="nil"/>
              <w:left w:val="single" w:sz="4" w:space="0" w:color="auto"/>
              <w:bottom w:val="nil"/>
              <w:right w:val="single" w:sz="4" w:space="0" w:color="auto"/>
            </w:tcBorders>
            <w:shd w:val="clear" w:color="auto" w:fill="auto"/>
            <w:hideMark/>
          </w:tcPr>
          <w:p w14:paraId="37B34B76" w14:textId="77777777" w:rsidR="00117E64" w:rsidRPr="00632B14" w:rsidRDefault="00117E64" w:rsidP="00312E88">
            <w:pPr>
              <w:rPr>
                <w:rFonts w:cs="Arial"/>
                <w:color w:val="000000"/>
                <w:sz w:val="13"/>
                <w:szCs w:val="13"/>
              </w:rPr>
            </w:pPr>
            <w:r w:rsidRPr="00632B14">
              <w:rPr>
                <w:rFonts w:cs="Arial"/>
                <w:color w:val="000000"/>
                <w:sz w:val="13"/>
                <w:szCs w:val="13"/>
              </w:rPr>
              <w:t>Actual average participant payments compared with AFSR</w:t>
            </w:r>
          </w:p>
        </w:tc>
        <w:tc>
          <w:tcPr>
            <w:tcW w:w="0" w:type="auto"/>
            <w:tcBorders>
              <w:top w:val="nil"/>
              <w:left w:val="nil"/>
              <w:bottom w:val="nil"/>
              <w:right w:val="nil"/>
            </w:tcBorders>
            <w:shd w:val="clear" w:color="000000" w:fill="BFBFBF"/>
            <w:noWrap/>
            <w:hideMark/>
          </w:tcPr>
          <w:p w14:paraId="7462C9BA"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nil"/>
              <w:right w:val="nil"/>
            </w:tcBorders>
            <w:shd w:val="clear" w:color="000000" w:fill="FFE699"/>
            <w:noWrap/>
            <w:hideMark/>
          </w:tcPr>
          <w:p w14:paraId="0CE1D8F0" w14:textId="77777777" w:rsidR="00117E64" w:rsidRPr="00632B14" w:rsidRDefault="00117E64" w:rsidP="00312E88">
            <w:pPr>
              <w:jc w:val="center"/>
              <w:rPr>
                <w:rFonts w:cs="Arial"/>
                <w:color w:val="000000"/>
                <w:sz w:val="13"/>
                <w:szCs w:val="13"/>
              </w:rPr>
            </w:pPr>
            <w:r w:rsidRPr="00632B14">
              <w:rPr>
                <w:rFonts w:cs="Arial"/>
                <w:color w:val="000000"/>
                <w:sz w:val="13"/>
                <w:szCs w:val="13"/>
              </w:rPr>
              <w:t>5,800</w:t>
            </w:r>
          </w:p>
        </w:tc>
        <w:tc>
          <w:tcPr>
            <w:tcW w:w="0" w:type="auto"/>
            <w:tcBorders>
              <w:top w:val="nil"/>
              <w:left w:val="nil"/>
              <w:bottom w:val="nil"/>
              <w:right w:val="nil"/>
            </w:tcBorders>
            <w:shd w:val="clear" w:color="000000" w:fill="FFE699"/>
            <w:noWrap/>
            <w:hideMark/>
          </w:tcPr>
          <w:p w14:paraId="4F4C261C" w14:textId="77777777" w:rsidR="00117E64" w:rsidRPr="00632B14" w:rsidRDefault="00117E64" w:rsidP="00312E88">
            <w:pPr>
              <w:jc w:val="center"/>
              <w:rPr>
                <w:rFonts w:cs="Arial"/>
                <w:color w:val="000000"/>
                <w:sz w:val="13"/>
                <w:szCs w:val="13"/>
              </w:rPr>
            </w:pPr>
            <w:r w:rsidRPr="00632B14">
              <w:rPr>
                <w:rFonts w:cs="Arial"/>
                <w:color w:val="000000"/>
                <w:sz w:val="13"/>
                <w:szCs w:val="13"/>
              </w:rPr>
              <w:t>800</w:t>
            </w:r>
          </w:p>
        </w:tc>
        <w:tc>
          <w:tcPr>
            <w:tcW w:w="0" w:type="auto"/>
            <w:tcBorders>
              <w:top w:val="nil"/>
              <w:left w:val="single" w:sz="4" w:space="0" w:color="auto"/>
              <w:bottom w:val="nil"/>
              <w:right w:val="single" w:sz="4" w:space="0" w:color="auto"/>
            </w:tcBorders>
            <w:shd w:val="clear" w:color="000000" w:fill="FFE699"/>
            <w:noWrap/>
            <w:hideMark/>
          </w:tcPr>
          <w:p w14:paraId="375EDF7B" w14:textId="77777777" w:rsidR="00117E64" w:rsidRPr="00632B14" w:rsidRDefault="00117E64" w:rsidP="00312E88">
            <w:pPr>
              <w:jc w:val="center"/>
              <w:rPr>
                <w:rFonts w:cs="Arial"/>
                <w:color w:val="000000"/>
                <w:sz w:val="13"/>
                <w:szCs w:val="13"/>
              </w:rPr>
            </w:pPr>
            <w:r w:rsidRPr="00632B14">
              <w:rPr>
                <w:rFonts w:cs="Arial"/>
                <w:color w:val="000000"/>
                <w:sz w:val="13"/>
                <w:szCs w:val="13"/>
              </w:rPr>
              <w:t>1,800</w:t>
            </w:r>
          </w:p>
        </w:tc>
        <w:tc>
          <w:tcPr>
            <w:tcW w:w="0" w:type="auto"/>
            <w:tcBorders>
              <w:top w:val="nil"/>
              <w:left w:val="nil"/>
              <w:bottom w:val="nil"/>
              <w:right w:val="nil"/>
            </w:tcBorders>
            <w:shd w:val="clear" w:color="000000" w:fill="BFBFBF"/>
            <w:noWrap/>
            <w:hideMark/>
          </w:tcPr>
          <w:p w14:paraId="4DB04D52"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nil"/>
              <w:right w:val="nil"/>
            </w:tcBorders>
            <w:shd w:val="clear" w:color="000000" w:fill="BFBFBF"/>
            <w:noWrap/>
            <w:hideMark/>
          </w:tcPr>
          <w:p w14:paraId="7F93223F"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nil"/>
              <w:right w:val="nil"/>
            </w:tcBorders>
            <w:shd w:val="clear" w:color="000000" w:fill="BFBFBF"/>
            <w:noWrap/>
            <w:hideMark/>
          </w:tcPr>
          <w:p w14:paraId="4A95B476"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c>
          <w:tcPr>
            <w:tcW w:w="0" w:type="auto"/>
            <w:tcBorders>
              <w:top w:val="nil"/>
              <w:left w:val="nil"/>
              <w:bottom w:val="nil"/>
              <w:right w:val="single" w:sz="4" w:space="0" w:color="auto"/>
            </w:tcBorders>
            <w:shd w:val="clear" w:color="000000" w:fill="BFBFBF"/>
            <w:noWrap/>
            <w:hideMark/>
          </w:tcPr>
          <w:p w14:paraId="6C38EA28" w14:textId="77777777" w:rsidR="00117E64" w:rsidRPr="00632B14" w:rsidRDefault="00117E64" w:rsidP="00312E88">
            <w:pPr>
              <w:jc w:val="center"/>
              <w:rPr>
                <w:rFonts w:cs="Arial"/>
                <w:color w:val="000000"/>
                <w:sz w:val="13"/>
                <w:szCs w:val="13"/>
              </w:rPr>
            </w:pPr>
            <w:r w:rsidRPr="00632B14">
              <w:rPr>
                <w:rFonts w:cs="Arial"/>
                <w:color w:val="000000"/>
                <w:sz w:val="13"/>
                <w:szCs w:val="13"/>
              </w:rPr>
              <w:t> </w:t>
            </w:r>
          </w:p>
        </w:tc>
      </w:tr>
      <w:tr w:rsidR="00117E64" w:rsidRPr="00632B14" w14:paraId="69CDC6EB" w14:textId="77777777" w:rsidTr="00117E64">
        <w:trPr>
          <w:trHeight w:hRule="exact" w:val="301"/>
        </w:trPr>
        <w:tc>
          <w:tcPr>
            <w:tcW w:w="0" w:type="auto"/>
            <w:gridSpan w:val="9"/>
            <w:tcBorders>
              <w:top w:val="nil"/>
              <w:left w:val="single" w:sz="4" w:space="0" w:color="auto"/>
              <w:bottom w:val="single" w:sz="4" w:space="0" w:color="auto"/>
              <w:right w:val="single" w:sz="4" w:space="0" w:color="auto"/>
            </w:tcBorders>
            <w:shd w:val="clear" w:color="auto" w:fill="auto"/>
          </w:tcPr>
          <w:p w14:paraId="11439C3F" w14:textId="0FCB38E5" w:rsidR="00117E64" w:rsidRPr="00632B14" w:rsidRDefault="00117E64" w:rsidP="00117E64">
            <w:pPr>
              <w:spacing w:line="360" w:lineRule="auto"/>
              <w:rPr>
                <w:rFonts w:cs="Arial"/>
                <w:color w:val="000000"/>
                <w:sz w:val="13"/>
                <w:szCs w:val="13"/>
              </w:rPr>
            </w:pPr>
            <w:r w:rsidRPr="00632B14">
              <w:rPr>
                <w:rFonts w:cs="Arial"/>
                <w:color w:val="000000"/>
                <w:sz w:val="13"/>
                <w:szCs w:val="13"/>
              </w:rPr>
              <w:t>Projections have been adjusted from a cash basis to an accrual basis using accrual factors from the 30 June 2019 AFSR</w:t>
            </w:r>
          </w:p>
        </w:tc>
      </w:tr>
    </w:tbl>
    <w:p w14:paraId="4958CE88" w14:textId="3435B138" w:rsidR="00141B0B" w:rsidRPr="001B0E95" w:rsidRDefault="00141B0B" w:rsidP="00141B0B">
      <w:pPr>
        <w:spacing w:before="240"/>
      </w:pPr>
    </w:p>
    <w:p w14:paraId="5D5949EF" w14:textId="4BB2C1DA" w:rsidR="006A1320" w:rsidRDefault="00141B0B" w:rsidP="00141B0B">
      <w:pPr>
        <w:spacing w:before="240"/>
      </w:pPr>
      <w:r w:rsidRPr="001B0E95">
        <w:t xml:space="preserve">Assumptions for average participant </w:t>
      </w:r>
      <w:r w:rsidR="004050C5">
        <w:t>payment</w:t>
      </w:r>
      <w:r w:rsidRPr="001B0E95">
        <w:t>s ha</w:t>
      </w:r>
      <w:r w:rsidR="006A1320">
        <w:t xml:space="preserve">ve generally </w:t>
      </w:r>
      <w:r w:rsidRPr="001B0E95">
        <w:t xml:space="preserve">been revised upwards </w:t>
      </w:r>
      <w:r w:rsidR="006A1320">
        <w:t xml:space="preserve">at </w:t>
      </w:r>
      <w:r w:rsidRPr="001B0E95">
        <w:t>successive AFSR projection</w:t>
      </w:r>
      <w:r w:rsidR="006A1320">
        <w:t>s</w:t>
      </w:r>
      <w:r w:rsidRPr="001B0E95">
        <w:t xml:space="preserve">. This reflects the emerging experience of sustained significant growth in actual average participant </w:t>
      </w:r>
      <w:r w:rsidR="004050C5">
        <w:t>payment</w:t>
      </w:r>
      <w:r w:rsidRPr="001B0E95">
        <w:t xml:space="preserve">s over an extended period of time. Despite these substantial increases, the AFSR projections have under-projected average </w:t>
      </w:r>
      <w:r w:rsidR="004050C5">
        <w:t>payment</w:t>
      </w:r>
      <w:r w:rsidRPr="001B0E95">
        <w:t xml:space="preserve">s in each following year. Projections have assumed operational initiatives would lead to reduced inflation in average payments over time, however, inflation has not subsided. </w:t>
      </w:r>
      <w:r w:rsidR="00211344" w:rsidRPr="00211344">
        <w:t xml:space="preserve">Further detail on average participant payments by </w:t>
      </w:r>
      <w:r w:rsidR="001A5ECE">
        <w:t>SIL type</w:t>
      </w:r>
      <w:r w:rsidR="00211344" w:rsidRPr="00211344">
        <w:t xml:space="preserve"> over time can be seen in </w:t>
      </w:r>
      <w:hyperlink w:anchor="_Appendix_E:_Historical" w:history="1">
        <w:r w:rsidR="00211344" w:rsidRPr="00BC1282">
          <w:rPr>
            <w:rStyle w:val="Hyperlink"/>
            <w:color w:val="auto"/>
            <w:u w:val="none"/>
          </w:rPr>
          <w:t>Appendix E</w:t>
        </w:r>
      </w:hyperlink>
      <w:r w:rsidR="00211344">
        <w:t>.</w:t>
      </w:r>
      <w:r w:rsidR="00211344" w:rsidRPr="001B0E95">
        <w:t xml:space="preserve"> </w:t>
      </w:r>
    </w:p>
    <w:p w14:paraId="28E3F9EE" w14:textId="77777777" w:rsidR="00E50032" w:rsidRDefault="00141B0B">
      <w:pPr>
        <w:spacing w:after="160" w:line="259" w:lineRule="auto"/>
        <w:rPr>
          <w:rFonts w:eastAsiaTheme="minorHAnsi"/>
          <w:b/>
          <w:bCs/>
          <w:szCs w:val="18"/>
          <w:lang w:eastAsia="en-US"/>
        </w:rPr>
      </w:pPr>
      <w:r w:rsidRPr="001B0E95">
        <w:t xml:space="preserve">Actual inflation and </w:t>
      </w:r>
      <w:r w:rsidR="006A1320">
        <w:t xml:space="preserve">assumed </w:t>
      </w:r>
      <w:r w:rsidRPr="001B0E95">
        <w:t xml:space="preserve">inflation assumptions are included in </w:t>
      </w:r>
      <w:r w:rsidR="000923B7">
        <w:fldChar w:fldCharType="begin"/>
      </w:r>
      <w:r w:rsidR="000923B7">
        <w:instrText xml:space="preserve"> REF _Ref80736173 \h </w:instrText>
      </w:r>
      <w:r w:rsidR="000923B7">
        <w:fldChar w:fldCharType="separate"/>
      </w:r>
      <w:r w:rsidR="00E50032">
        <w:br w:type="page"/>
      </w:r>
    </w:p>
    <w:p w14:paraId="6EF804BB" w14:textId="5E6084F2" w:rsidR="00141B0B" w:rsidRPr="005F4426" w:rsidRDefault="00E50032" w:rsidP="005F4426">
      <w:pPr>
        <w:spacing w:after="160" w:line="259" w:lineRule="auto"/>
        <w:rPr>
          <w:rFonts w:eastAsiaTheme="minorHAnsi"/>
          <w:b/>
          <w:bCs/>
          <w:szCs w:val="18"/>
          <w:lang w:eastAsia="en-US"/>
        </w:rPr>
      </w:pPr>
      <w:r w:rsidRPr="00AA44C0">
        <w:lastRenderedPageBreak/>
        <w:t xml:space="preserve">Table </w:t>
      </w:r>
      <w:r>
        <w:rPr>
          <w:noProof/>
        </w:rPr>
        <w:t>47</w:t>
      </w:r>
      <w:r w:rsidR="000923B7">
        <w:fldChar w:fldCharType="end"/>
      </w:r>
      <w:r w:rsidR="00141B0B" w:rsidRPr="001B0E95">
        <w:t>.</w:t>
      </w:r>
      <w:r w:rsidR="006A1320">
        <w:t xml:space="preserve"> Lower inflation is assumed at this review, primarily as a result of the change in mix of participants (with fewer assumed future SIL participants). </w:t>
      </w:r>
    </w:p>
    <w:p w14:paraId="195F7063" w14:textId="77777777" w:rsidR="00B97A2B" w:rsidRDefault="00B97A2B">
      <w:pPr>
        <w:spacing w:after="160" w:line="259" w:lineRule="auto"/>
        <w:rPr>
          <w:rFonts w:eastAsiaTheme="minorHAnsi"/>
          <w:b/>
          <w:bCs/>
          <w:szCs w:val="18"/>
          <w:lang w:eastAsia="en-US"/>
        </w:rPr>
      </w:pPr>
      <w:bookmarkStart w:id="254" w:name="_Ref80736173"/>
      <w:r>
        <w:br w:type="page"/>
      </w:r>
    </w:p>
    <w:p w14:paraId="4B58991A" w14:textId="71C7EEB6" w:rsidR="001C2276" w:rsidRDefault="001C2276" w:rsidP="001C2276">
      <w:pPr>
        <w:pStyle w:val="Tables"/>
      </w:pPr>
      <w:r w:rsidRPr="00AA44C0">
        <w:lastRenderedPageBreak/>
        <w:t xml:space="preserve">Table </w:t>
      </w:r>
      <w:fldSimple w:instr=" SEQ Table \* ARABIC ">
        <w:r w:rsidR="00E50032">
          <w:rPr>
            <w:noProof/>
          </w:rPr>
          <w:t>47</w:t>
        </w:r>
      </w:fldSimple>
      <w:bookmarkEnd w:id="254"/>
      <w:r w:rsidRPr="00AA44C0">
        <w:t xml:space="preserve"> </w:t>
      </w:r>
      <w:r w:rsidRPr="001B0E95">
        <w:t xml:space="preserve">Actual and assumed rates of </w:t>
      </w:r>
      <w:r w:rsidR="00211344">
        <w:t>growth</w:t>
      </w:r>
      <w:r w:rsidR="00211344" w:rsidRPr="001B0E95">
        <w:t xml:space="preserve"> </w:t>
      </w:r>
      <w:r w:rsidRPr="001B0E95">
        <w:t>in average payments per participant</w:t>
      </w:r>
    </w:p>
    <w:tbl>
      <w:tblPr>
        <w:tblW w:w="0" w:type="auto"/>
        <w:tblLook w:val="04A0" w:firstRow="1" w:lastRow="0" w:firstColumn="1" w:lastColumn="0" w:noHBand="0" w:noVBand="1"/>
      </w:tblPr>
      <w:tblGrid>
        <w:gridCol w:w="2787"/>
        <w:gridCol w:w="804"/>
        <w:gridCol w:w="804"/>
        <w:gridCol w:w="804"/>
        <w:gridCol w:w="804"/>
        <w:gridCol w:w="804"/>
        <w:gridCol w:w="804"/>
        <w:gridCol w:w="804"/>
      </w:tblGrid>
      <w:tr w:rsidR="0084703B" w:rsidRPr="0072366D" w14:paraId="43C1CD0F" w14:textId="77777777" w:rsidTr="0084703B">
        <w:trPr>
          <w:trHeight w:hRule="exact" w:val="284"/>
          <w:tblHeader/>
        </w:trPr>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2A200FD3" w14:textId="77777777" w:rsidR="0084703B" w:rsidRPr="0072366D" w:rsidRDefault="0084703B" w:rsidP="00312E88">
            <w:pPr>
              <w:rPr>
                <w:rFonts w:cs="Arial"/>
                <w:b/>
                <w:bCs/>
                <w:color w:val="FFFFFF"/>
                <w:sz w:val="16"/>
                <w:szCs w:val="16"/>
              </w:rPr>
            </w:pPr>
            <w:r w:rsidRPr="0072366D">
              <w:rPr>
                <w:rFonts w:cs="Arial"/>
                <w:b/>
                <w:bCs/>
                <w:color w:val="FFFFFF"/>
                <w:sz w:val="16"/>
                <w:szCs w:val="16"/>
              </w:rPr>
              <w:t>Total growth rate</w:t>
            </w:r>
          </w:p>
        </w:tc>
        <w:tc>
          <w:tcPr>
            <w:tcW w:w="0" w:type="auto"/>
            <w:tcBorders>
              <w:top w:val="single" w:sz="4" w:space="0" w:color="auto"/>
              <w:left w:val="nil"/>
              <w:bottom w:val="single" w:sz="4" w:space="0" w:color="auto"/>
              <w:right w:val="nil"/>
            </w:tcBorders>
            <w:shd w:val="clear" w:color="000000" w:fill="6B2976"/>
            <w:noWrap/>
            <w:vAlign w:val="center"/>
            <w:hideMark/>
          </w:tcPr>
          <w:p w14:paraId="2B0BE845" w14:textId="77777777" w:rsidR="0084703B" w:rsidRPr="0072366D" w:rsidRDefault="0084703B" w:rsidP="00312E88">
            <w:pPr>
              <w:jc w:val="center"/>
              <w:rPr>
                <w:rFonts w:cs="Arial"/>
                <w:b/>
                <w:bCs/>
                <w:color w:val="FFFFFF"/>
                <w:sz w:val="16"/>
                <w:szCs w:val="16"/>
              </w:rPr>
            </w:pPr>
            <w:r w:rsidRPr="0072366D">
              <w:rPr>
                <w:rFonts w:cs="Arial"/>
                <w:b/>
                <w:bCs/>
                <w:color w:val="FFFFFF"/>
                <w:sz w:val="16"/>
                <w:szCs w:val="16"/>
              </w:rPr>
              <w:t>2018-19</w:t>
            </w:r>
          </w:p>
        </w:tc>
        <w:tc>
          <w:tcPr>
            <w:tcW w:w="0" w:type="auto"/>
            <w:tcBorders>
              <w:top w:val="single" w:sz="4" w:space="0" w:color="auto"/>
              <w:left w:val="nil"/>
              <w:bottom w:val="single" w:sz="4" w:space="0" w:color="auto"/>
              <w:right w:val="nil"/>
            </w:tcBorders>
            <w:shd w:val="clear" w:color="000000" w:fill="6B2976"/>
            <w:noWrap/>
            <w:vAlign w:val="center"/>
            <w:hideMark/>
          </w:tcPr>
          <w:p w14:paraId="02DA7803" w14:textId="77777777" w:rsidR="0084703B" w:rsidRPr="0072366D" w:rsidRDefault="0084703B" w:rsidP="00312E88">
            <w:pPr>
              <w:jc w:val="center"/>
              <w:rPr>
                <w:rFonts w:cs="Arial"/>
                <w:b/>
                <w:bCs/>
                <w:color w:val="FFFFFF"/>
                <w:sz w:val="16"/>
                <w:szCs w:val="16"/>
              </w:rPr>
            </w:pPr>
            <w:r w:rsidRPr="0072366D">
              <w:rPr>
                <w:rFonts w:cs="Arial"/>
                <w:b/>
                <w:bCs/>
                <w:color w:val="FFFFFF"/>
                <w:sz w:val="16"/>
                <w:szCs w:val="16"/>
              </w:rPr>
              <w:t>2019-20</w:t>
            </w:r>
          </w:p>
        </w:tc>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123AAF82" w14:textId="77777777" w:rsidR="0084703B" w:rsidRPr="0072366D" w:rsidRDefault="0084703B" w:rsidP="00312E88">
            <w:pPr>
              <w:jc w:val="center"/>
              <w:rPr>
                <w:rFonts w:cs="Arial"/>
                <w:b/>
                <w:bCs/>
                <w:color w:val="FFFFFF"/>
                <w:sz w:val="16"/>
                <w:szCs w:val="16"/>
              </w:rPr>
            </w:pPr>
            <w:r w:rsidRPr="0072366D">
              <w:rPr>
                <w:rFonts w:cs="Arial"/>
                <w:b/>
                <w:bCs/>
                <w:color w:val="FFFFFF"/>
                <w:sz w:val="16"/>
                <w:szCs w:val="16"/>
              </w:rPr>
              <w:t>2020-21</w:t>
            </w:r>
          </w:p>
        </w:tc>
        <w:tc>
          <w:tcPr>
            <w:tcW w:w="0" w:type="auto"/>
            <w:tcBorders>
              <w:top w:val="single" w:sz="4" w:space="0" w:color="auto"/>
              <w:left w:val="nil"/>
              <w:bottom w:val="single" w:sz="4" w:space="0" w:color="auto"/>
              <w:right w:val="nil"/>
            </w:tcBorders>
            <w:shd w:val="clear" w:color="000000" w:fill="6B2976"/>
            <w:noWrap/>
            <w:vAlign w:val="center"/>
            <w:hideMark/>
          </w:tcPr>
          <w:p w14:paraId="706BCC58" w14:textId="77777777" w:rsidR="0084703B" w:rsidRPr="0072366D" w:rsidRDefault="0084703B" w:rsidP="00312E88">
            <w:pPr>
              <w:jc w:val="center"/>
              <w:rPr>
                <w:rFonts w:cs="Arial"/>
                <w:b/>
                <w:bCs/>
                <w:color w:val="FFFFFF"/>
                <w:sz w:val="16"/>
                <w:szCs w:val="16"/>
              </w:rPr>
            </w:pPr>
            <w:r w:rsidRPr="0072366D">
              <w:rPr>
                <w:rFonts w:cs="Arial"/>
                <w:b/>
                <w:bCs/>
                <w:color w:val="FFFFFF"/>
                <w:sz w:val="16"/>
                <w:szCs w:val="16"/>
              </w:rPr>
              <w:t>2021-22</w:t>
            </w:r>
          </w:p>
        </w:tc>
        <w:tc>
          <w:tcPr>
            <w:tcW w:w="0" w:type="auto"/>
            <w:tcBorders>
              <w:top w:val="single" w:sz="4" w:space="0" w:color="auto"/>
              <w:left w:val="nil"/>
              <w:bottom w:val="single" w:sz="4" w:space="0" w:color="auto"/>
              <w:right w:val="nil"/>
            </w:tcBorders>
            <w:shd w:val="clear" w:color="000000" w:fill="6B2976"/>
            <w:noWrap/>
            <w:vAlign w:val="center"/>
            <w:hideMark/>
          </w:tcPr>
          <w:p w14:paraId="728B2CB3" w14:textId="77777777" w:rsidR="0084703B" w:rsidRPr="0072366D" w:rsidRDefault="0084703B" w:rsidP="00312E88">
            <w:pPr>
              <w:jc w:val="center"/>
              <w:rPr>
                <w:rFonts w:cs="Arial"/>
                <w:b/>
                <w:bCs/>
                <w:color w:val="FFFFFF"/>
                <w:sz w:val="16"/>
                <w:szCs w:val="16"/>
              </w:rPr>
            </w:pPr>
            <w:r w:rsidRPr="0072366D">
              <w:rPr>
                <w:rFonts w:cs="Arial"/>
                <w:b/>
                <w:bCs/>
                <w:color w:val="FFFFFF"/>
                <w:sz w:val="16"/>
                <w:szCs w:val="16"/>
              </w:rPr>
              <w:t>2022-23</w:t>
            </w:r>
          </w:p>
        </w:tc>
        <w:tc>
          <w:tcPr>
            <w:tcW w:w="0" w:type="auto"/>
            <w:tcBorders>
              <w:top w:val="single" w:sz="4" w:space="0" w:color="auto"/>
              <w:left w:val="nil"/>
              <w:bottom w:val="single" w:sz="4" w:space="0" w:color="auto"/>
              <w:right w:val="nil"/>
            </w:tcBorders>
            <w:shd w:val="clear" w:color="000000" w:fill="6B2976"/>
            <w:noWrap/>
            <w:vAlign w:val="center"/>
            <w:hideMark/>
          </w:tcPr>
          <w:p w14:paraId="603EBC0C" w14:textId="77777777" w:rsidR="0084703B" w:rsidRPr="0072366D" w:rsidRDefault="0084703B" w:rsidP="00312E88">
            <w:pPr>
              <w:jc w:val="center"/>
              <w:rPr>
                <w:rFonts w:cs="Arial"/>
                <w:b/>
                <w:bCs/>
                <w:color w:val="FFFFFF"/>
                <w:sz w:val="16"/>
                <w:szCs w:val="16"/>
              </w:rPr>
            </w:pPr>
            <w:r w:rsidRPr="0072366D">
              <w:rPr>
                <w:rFonts w:cs="Arial"/>
                <w:b/>
                <w:bCs/>
                <w:color w:val="FFFFFF"/>
                <w:sz w:val="16"/>
                <w:szCs w:val="16"/>
              </w:rPr>
              <w:t>2023-24</w:t>
            </w:r>
          </w:p>
        </w:tc>
        <w:tc>
          <w:tcPr>
            <w:tcW w:w="0" w:type="auto"/>
            <w:tcBorders>
              <w:top w:val="single" w:sz="4" w:space="0" w:color="auto"/>
              <w:left w:val="nil"/>
              <w:bottom w:val="single" w:sz="4" w:space="0" w:color="auto"/>
              <w:right w:val="single" w:sz="4" w:space="0" w:color="auto"/>
            </w:tcBorders>
            <w:shd w:val="clear" w:color="000000" w:fill="6B2976"/>
            <w:noWrap/>
            <w:vAlign w:val="center"/>
            <w:hideMark/>
          </w:tcPr>
          <w:p w14:paraId="61C0FD49" w14:textId="77777777" w:rsidR="0084703B" w:rsidRPr="0072366D" w:rsidRDefault="0084703B" w:rsidP="00312E88">
            <w:pPr>
              <w:jc w:val="center"/>
              <w:rPr>
                <w:rFonts w:cs="Arial"/>
                <w:b/>
                <w:bCs/>
                <w:color w:val="FFFFFF"/>
                <w:sz w:val="16"/>
                <w:szCs w:val="16"/>
              </w:rPr>
            </w:pPr>
            <w:r w:rsidRPr="0072366D">
              <w:rPr>
                <w:rFonts w:cs="Arial"/>
                <w:b/>
                <w:bCs/>
                <w:color w:val="FFFFFF"/>
                <w:sz w:val="16"/>
                <w:szCs w:val="16"/>
              </w:rPr>
              <w:t>2024-25</w:t>
            </w:r>
          </w:p>
        </w:tc>
      </w:tr>
      <w:tr w:rsidR="0084703B" w:rsidRPr="0072366D" w14:paraId="0AF0CFDF" w14:textId="77777777" w:rsidTr="0084703B">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E495BB" w14:textId="77777777" w:rsidR="0084703B" w:rsidRPr="0072366D" w:rsidRDefault="0084703B" w:rsidP="00312E88">
            <w:pPr>
              <w:rPr>
                <w:rFonts w:cs="Arial"/>
                <w:color w:val="000000"/>
                <w:sz w:val="16"/>
                <w:szCs w:val="16"/>
              </w:rPr>
            </w:pPr>
            <w:r w:rsidRPr="0072366D">
              <w:rPr>
                <w:rFonts w:cs="Arial"/>
                <w:color w:val="000000"/>
                <w:sz w:val="16"/>
                <w:szCs w:val="16"/>
              </w:rPr>
              <w:t>30 June 2021 AFSR projection</w:t>
            </w:r>
          </w:p>
        </w:tc>
        <w:tc>
          <w:tcPr>
            <w:tcW w:w="0" w:type="auto"/>
            <w:tcBorders>
              <w:top w:val="nil"/>
              <w:left w:val="nil"/>
              <w:bottom w:val="single" w:sz="4" w:space="0" w:color="auto"/>
              <w:right w:val="nil"/>
            </w:tcBorders>
            <w:shd w:val="clear" w:color="000000" w:fill="BFBFBF"/>
            <w:noWrap/>
            <w:vAlign w:val="center"/>
            <w:hideMark/>
          </w:tcPr>
          <w:p w14:paraId="68512C9B"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nil"/>
              <w:bottom w:val="single" w:sz="4" w:space="0" w:color="auto"/>
              <w:right w:val="nil"/>
            </w:tcBorders>
            <w:shd w:val="clear" w:color="000000" w:fill="BFBFBF"/>
            <w:noWrap/>
            <w:vAlign w:val="center"/>
            <w:hideMark/>
          </w:tcPr>
          <w:p w14:paraId="0D2911F3"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7BA2505F"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nil"/>
              <w:bottom w:val="single" w:sz="4" w:space="0" w:color="auto"/>
              <w:right w:val="nil"/>
            </w:tcBorders>
            <w:shd w:val="clear" w:color="auto" w:fill="auto"/>
            <w:noWrap/>
            <w:vAlign w:val="center"/>
            <w:hideMark/>
          </w:tcPr>
          <w:p w14:paraId="1CF23617" w14:textId="77777777" w:rsidR="0084703B" w:rsidRPr="0072366D" w:rsidRDefault="0084703B" w:rsidP="00312E88">
            <w:pPr>
              <w:jc w:val="center"/>
              <w:rPr>
                <w:rFonts w:cs="Arial"/>
                <w:color w:val="000000"/>
                <w:sz w:val="16"/>
                <w:szCs w:val="16"/>
              </w:rPr>
            </w:pPr>
            <w:r w:rsidRPr="0072366D">
              <w:rPr>
                <w:rFonts w:cs="Arial"/>
                <w:color w:val="000000"/>
                <w:sz w:val="16"/>
                <w:szCs w:val="16"/>
              </w:rPr>
              <w:t>6.7%</w:t>
            </w:r>
          </w:p>
        </w:tc>
        <w:tc>
          <w:tcPr>
            <w:tcW w:w="0" w:type="auto"/>
            <w:tcBorders>
              <w:top w:val="nil"/>
              <w:left w:val="nil"/>
              <w:bottom w:val="single" w:sz="4" w:space="0" w:color="auto"/>
              <w:right w:val="nil"/>
            </w:tcBorders>
            <w:shd w:val="clear" w:color="auto" w:fill="auto"/>
            <w:noWrap/>
            <w:vAlign w:val="center"/>
            <w:hideMark/>
          </w:tcPr>
          <w:p w14:paraId="1311C149" w14:textId="77777777" w:rsidR="0084703B" w:rsidRPr="0072366D" w:rsidRDefault="0084703B" w:rsidP="00312E88">
            <w:pPr>
              <w:jc w:val="center"/>
              <w:rPr>
                <w:rFonts w:cs="Arial"/>
                <w:color w:val="000000"/>
                <w:sz w:val="16"/>
                <w:szCs w:val="16"/>
              </w:rPr>
            </w:pPr>
            <w:r w:rsidRPr="0072366D">
              <w:rPr>
                <w:rFonts w:cs="Arial"/>
                <w:color w:val="000000"/>
                <w:sz w:val="16"/>
                <w:szCs w:val="16"/>
              </w:rPr>
              <w:t>3.5%</w:t>
            </w:r>
          </w:p>
        </w:tc>
        <w:tc>
          <w:tcPr>
            <w:tcW w:w="0" w:type="auto"/>
            <w:tcBorders>
              <w:top w:val="nil"/>
              <w:left w:val="nil"/>
              <w:bottom w:val="single" w:sz="4" w:space="0" w:color="auto"/>
              <w:right w:val="nil"/>
            </w:tcBorders>
            <w:shd w:val="clear" w:color="auto" w:fill="auto"/>
            <w:noWrap/>
            <w:vAlign w:val="center"/>
            <w:hideMark/>
          </w:tcPr>
          <w:p w14:paraId="2B30D873" w14:textId="77777777" w:rsidR="0084703B" w:rsidRPr="0072366D" w:rsidRDefault="0084703B" w:rsidP="00312E88">
            <w:pPr>
              <w:jc w:val="center"/>
              <w:rPr>
                <w:rFonts w:cs="Arial"/>
                <w:color w:val="000000"/>
                <w:sz w:val="16"/>
                <w:szCs w:val="16"/>
              </w:rPr>
            </w:pPr>
            <w:r w:rsidRPr="0072366D">
              <w:rPr>
                <w:rFonts w:cs="Arial"/>
                <w:color w:val="000000"/>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0BEC7FD5" w14:textId="77777777" w:rsidR="0084703B" w:rsidRPr="0072366D" w:rsidRDefault="0084703B" w:rsidP="00312E88">
            <w:pPr>
              <w:jc w:val="center"/>
              <w:rPr>
                <w:rFonts w:cs="Arial"/>
                <w:color w:val="000000"/>
                <w:sz w:val="16"/>
                <w:szCs w:val="16"/>
              </w:rPr>
            </w:pPr>
            <w:r w:rsidRPr="0072366D">
              <w:rPr>
                <w:rFonts w:cs="Arial"/>
                <w:color w:val="000000"/>
                <w:sz w:val="16"/>
                <w:szCs w:val="16"/>
              </w:rPr>
              <w:t>1.9%</w:t>
            </w:r>
          </w:p>
        </w:tc>
      </w:tr>
      <w:tr w:rsidR="0084703B" w:rsidRPr="0072366D" w14:paraId="294AB1B7" w14:textId="77777777" w:rsidTr="0084703B">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63480C" w14:textId="77777777" w:rsidR="0084703B" w:rsidRPr="0072366D" w:rsidRDefault="0084703B" w:rsidP="00312E88">
            <w:pPr>
              <w:rPr>
                <w:rFonts w:cs="Arial"/>
                <w:color w:val="000000"/>
                <w:sz w:val="16"/>
                <w:szCs w:val="16"/>
              </w:rPr>
            </w:pPr>
            <w:r w:rsidRPr="0072366D">
              <w:rPr>
                <w:rFonts w:cs="Arial"/>
                <w:color w:val="000000"/>
                <w:sz w:val="16"/>
                <w:szCs w:val="16"/>
              </w:rPr>
              <w:t>31 December 2020 AFSR projection</w:t>
            </w:r>
          </w:p>
        </w:tc>
        <w:tc>
          <w:tcPr>
            <w:tcW w:w="0" w:type="auto"/>
            <w:tcBorders>
              <w:top w:val="nil"/>
              <w:left w:val="nil"/>
              <w:bottom w:val="single" w:sz="4" w:space="0" w:color="auto"/>
              <w:right w:val="nil"/>
            </w:tcBorders>
            <w:shd w:val="clear" w:color="000000" w:fill="BFBFBF"/>
            <w:noWrap/>
            <w:vAlign w:val="center"/>
            <w:hideMark/>
          </w:tcPr>
          <w:p w14:paraId="22CFCA61"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nil"/>
              <w:bottom w:val="single" w:sz="4" w:space="0" w:color="auto"/>
              <w:right w:val="nil"/>
            </w:tcBorders>
            <w:shd w:val="clear" w:color="000000" w:fill="BFBFBF"/>
            <w:noWrap/>
            <w:vAlign w:val="center"/>
            <w:hideMark/>
          </w:tcPr>
          <w:p w14:paraId="1893B2CC"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753F017D"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nil"/>
              <w:bottom w:val="single" w:sz="4" w:space="0" w:color="auto"/>
              <w:right w:val="nil"/>
            </w:tcBorders>
            <w:shd w:val="clear" w:color="auto" w:fill="auto"/>
            <w:noWrap/>
            <w:vAlign w:val="center"/>
            <w:hideMark/>
          </w:tcPr>
          <w:p w14:paraId="0D292042" w14:textId="77777777" w:rsidR="0084703B" w:rsidRPr="0072366D" w:rsidRDefault="0084703B" w:rsidP="00312E88">
            <w:pPr>
              <w:jc w:val="center"/>
              <w:rPr>
                <w:rFonts w:cs="Arial"/>
                <w:color w:val="000000"/>
                <w:sz w:val="16"/>
                <w:szCs w:val="16"/>
              </w:rPr>
            </w:pPr>
            <w:r w:rsidRPr="0072366D">
              <w:rPr>
                <w:rFonts w:cs="Arial"/>
                <w:color w:val="000000"/>
                <w:sz w:val="16"/>
                <w:szCs w:val="16"/>
              </w:rPr>
              <w:t>5.2%</w:t>
            </w:r>
          </w:p>
        </w:tc>
        <w:tc>
          <w:tcPr>
            <w:tcW w:w="0" w:type="auto"/>
            <w:tcBorders>
              <w:top w:val="nil"/>
              <w:left w:val="nil"/>
              <w:bottom w:val="single" w:sz="4" w:space="0" w:color="auto"/>
              <w:right w:val="nil"/>
            </w:tcBorders>
            <w:shd w:val="clear" w:color="auto" w:fill="auto"/>
            <w:noWrap/>
            <w:vAlign w:val="center"/>
            <w:hideMark/>
          </w:tcPr>
          <w:p w14:paraId="7DC74396" w14:textId="77777777" w:rsidR="0084703B" w:rsidRPr="0072366D" w:rsidRDefault="0084703B" w:rsidP="00312E88">
            <w:pPr>
              <w:jc w:val="center"/>
              <w:rPr>
                <w:rFonts w:cs="Arial"/>
                <w:color w:val="000000"/>
                <w:sz w:val="16"/>
                <w:szCs w:val="16"/>
              </w:rPr>
            </w:pPr>
            <w:r w:rsidRPr="0072366D">
              <w:rPr>
                <w:rFonts w:cs="Arial"/>
                <w:color w:val="000000"/>
                <w:sz w:val="16"/>
                <w:szCs w:val="16"/>
              </w:rPr>
              <w:t>3.9%</w:t>
            </w:r>
          </w:p>
        </w:tc>
        <w:tc>
          <w:tcPr>
            <w:tcW w:w="0" w:type="auto"/>
            <w:tcBorders>
              <w:top w:val="nil"/>
              <w:left w:val="nil"/>
              <w:bottom w:val="single" w:sz="4" w:space="0" w:color="auto"/>
              <w:right w:val="nil"/>
            </w:tcBorders>
            <w:shd w:val="clear" w:color="auto" w:fill="auto"/>
            <w:noWrap/>
            <w:vAlign w:val="center"/>
            <w:hideMark/>
          </w:tcPr>
          <w:p w14:paraId="6078D9DC" w14:textId="77777777" w:rsidR="0084703B" w:rsidRPr="0072366D" w:rsidRDefault="0084703B" w:rsidP="00312E88">
            <w:pPr>
              <w:jc w:val="center"/>
              <w:rPr>
                <w:rFonts w:cs="Arial"/>
                <w:color w:val="000000"/>
                <w:sz w:val="16"/>
                <w:szCs w:val="16"/>
              </w:rPr>
            </w:pPr>
            <w:r w:rsidRPr="0072366D">
              <w:rPr>
                <w:rFonts w:cs="Arial"/>
                <w:color w:val="000000"/>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174ABD3E" w14:textId="77777777" w:rsidR="0084703B" w:rsidRPr="0072366D" w:rsidRDefault="0084703B" w:rsidP="00312E88">
            <w:pPr>
              <w:jc w:val="center"/>
              <w:rPr>
                <w:rFonts w:cs="Arial"/>
                <w:color w:val="000000"/>
                <w:sz w:val="16"/>
                <w:szCs w:val="16"/>
              </w:rPr>
            </w:pPr>
            <w:r w:rsidRPr="0072366D">
              <w:rPr>
                <w:rFonts w:cs="Arial"/>
                <w:color w:val="000000"/>
                <w:sz w:val="16"/>
                <w:szCs w:val="16"/>
              </w:rPr>
              <w:t>3.1%</w:t>
            </w:r>
          </w:p>
        </w:tc>
      </w:tr>
      <w:tr w:rsidR="0084703B" w:rsidRPr="0072366D" w14:paraId="300F169A" w14:textId="77777777" w:rsidTr="0084703B">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908A2E" w14:textId="77777777" w:rsidR="0084703B" w:rsidRPr="0072366D" w:rsidRDefault="0084703B" w:rsidP="00312E88">
            <w:pPr>
              <w:rPr>
                <w:rFonts w:cs="Arial"/>
                <w:color w:val="000000"/>
                <w:sz w:val="16"/>
                <w:szCs w:val="16"/>
              </w:rPr>
            </w:pPr>
            <w:r w:rsidRPr="0072366D">
              <w:rPr>
                <w:rFonts w:cs="Arial"/>
                <w:color w:val="000000"/>
                <w:sz w:val="16"/>
                <w:szCs w:val="16"/>
              </w:rPr>
              <w:t>30 June 2020 AFSR projection</w:t>
            </w:r>
          </w:p>
        </w:tc>
        <w:tc>
          <w:tcPr>
            <w:tcW w:w="0" w:type="auto"/>
            <w:tcBorders>
              <w:top w:val="nil"/>
              <w:left w:val="nil"/>
              <w:bottom w:val="single" w:sz="4" w:space="0" w:color="auto"/>
              <w:right w:val="nil"/>
            </w:tcBorders>
            <w:shd w:val="clear" w:color="000000" w:fill="BFBFBF"/>
            <w:noWrap/>
            <w:vAlign w:val="center"/>
            <w:hideMark/>
          </w:tcPr>
          <w:p w14:paraId="1111D23E"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nil"/>
              <w:bottom w:val="single" w:sz="4" w:space="0" w:color="auto"/>
              <w:right w:val="nil"/>
            </w:tcBorders>
            <w:shd w:val="clear" w:color="000000" w:fill="BFBFBF"/>
            <w:noWrap/>
            <w:vAlign w:val="center"/>
            <w:hideMark/>
          </w:tcPr>
          <w:p w14:paraId="73BB4B98"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single" w:sz="4" w:space="0" w:color="auto"/>
              <w:bottom w:val="single" w:sz="4" w:space="0" w:color="auto"/>
              <w:right w:val="single" w:sz="4" w:space="0" w:color="auto"/>
            </w:tcBorders>
            <w:shd w:val="clear" w:color="000000" w:fill="FFE699"/>
            <w:noWrap/>
            <w:vAlign w:val="center"/>
            <w:hideMark/>
          </w:tcPr>
          <w:p w14:paraId="734FF376" w14:textId="77777777" w:rsidR="0084703B" w:rsidRPr="0072366D" w:rsidRDefault="0084703B" w:rsidP="00312E88">
            <w:pPr>
              <w:jc w:val="center"/>
              <w:rPr>
                <w:rFonts w:cs="Arial"/>
                <w:color w:val="000000"/>
                <w:sz w:val="16"/>
                <w:szCs w:val="16"/>
              </w:rPr>
            </w:pPr>
            <w:r w:rsidRPr="0072366D">
              <w:rPr>
                <w:rFonts w:cs="Arial"/>
                <w:color w:val="000000"/>
                <w:sz w:val="16"/>
                <w:szCs w:val="16"/>
              </w:rPr>
              <w:t>1.2%</w:t>
            </w:r>
          </w:p>
        </w:tc>
        <w:tc>
          <w:tcPr>
            <w:tcW w:w="0" w:type="auto"/>
            <w:tcBorders>
              <w:top w:val="nil"/>
              <w:left w:val="nil"/>
              <w:bottom w:val="single" w:sz="4" w:space="0" w:color="auto"/>
              <w:right w:val="nil"/>
            </w:tcBorders>
            <w:shd w:val="clear" w:color="auto" w:fill="auto"/>
            <w:noWrap/>
            <w:vAlign w:val="center"/>
            <w:hideMark/>
          </w:tcPr>
          <w:p w14:paraId="5D3BEFC6" w14:textId="77777777" w:rsidR="0084703B" w:rsidRPr="0072366D" w:rsidRDefault="0084703B" w:rsidP="00312E88">
            <w:pPr>
              <w:jc w:val="center"/>
              <w:rPr>
                <w:rFonts w:cs="Arial"/>
                <w:color w:val="000000"/>
                <w:sz w:val="16"/>
                <w:szCs w:val="16"/>
              </w:rPr>
            </w:pPr>
            <w:r w:rsidRPr="0072366D">
              <w:rPr>
                <w:rFonts w:cs="Arial"/>
                <w:color w:val="000000"/>
                <w:sz w:val="16"/>
                <w:szCs w:val="16"/>
              </w:rPr>
              <w:t>3.8%</w:t>
            </w:r>
          </w:p>
        </w:tc>
        <w:tc>
          <w:tcPr>
            <w:tcW w:w="0" w:type="auto"/>
            <w:tcBorders>
              <w:top w:val="nil"/>
              <w:left w:val="nil"/>
              <w:bottom w:val="single" w:sz="4" w:space="0" w:color="auto"/>
              <w:right w:val="nil"/>
            </w:tcBorders>
            <w:shd w:val="clear" w:color="auto" w:fill="auto"/>
            <w:noWrap/>
            <w:vAlign w:val="center"/>
            <w:hideMark/>
          </w:tcPr>
          <w:p w14:paraId="5F6A6D26" w14:textId="77777777" w:rsidR="0084703B" w:rsidRPr="0072366D" w:rsidRDefault="0084703B" w:rsidP="00312E88">
            <w:pPr>
              <w:jc w:val="center"/>
              <w:rPr>
                <w:rFonts w:cs="Arial"/>
                <w:color w:val="000000"/>
                <w:sz w:val="16"/>
                <w:szCs w:val="16"/>
              </w:rPr>
            </w:pPr>
            <w:r w:rsidRPr="0072366D">
              <w:rPr>
                <w:rFonts w:cs="Arial"/>
                <w:color w:val="000000"/>
                <w:sz w:val="16"/>
                <w:szCs w:val="16"/>
              </w:rPr>
              <w:t>2.6%</w:t>
            </w:r>
          </w:p>
        </w:tc>
        <w:tc>
          <w:tcPr>
            <w:tcW w:w="0" w:type="auto"/>
            <w:tcBorders>
              <w:top w:val="nil"/>
              <w:left w:val="nil"/>
              <w:bottom w:val="single" w:sz="4" w:space="0" w:color="auto"/>
              <w:right w:val="nil"/>
            </w:tcBorders>
            <w:shd w:val="clear" w:color="auto" w:fill="auto"/>
            <w:noWrap/>
            <w:vAlign w:val="center"/>
            <w:hideMark/>
          </w:tcPr>
          <w:p w14:paraId="10EA2C11" w14:textId="77777777" w:rsidR="0084703B" w:rsidRPr="0072366D" w:rsidRDefault="0084703B" w:rsidP="00312E88">
            <w:pPr>
              <w:jc w:val="center"/>
              <w:rPr>
                <w:rFonts w:cs="Arial"/>
                <w:color w:val="000000"/>
                <w:sz w:val="16"/>
                <w:szCs w:val="16"/>
              </w:rPr>
            </w:pPr>
            <w:r w:rsidRPr="0072366D">
              <w:rPr>
                <w:rFonts w:cs="Arial"/>
                <w:color w:val="000000"/>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02A932D0" w14:textId="77777777" w:rsidR="0084703B" w:rsidRPr="0072366D" w:rsidRDefault="0084703B" w:rsidP="00312E88">
            <w:pPr>
              <w:jc w:val="center"/>
              <w:rPr>
                <w:rFonts w:cs="Arial"/>
                <w:color w:val="000000"/>
                <w:sz w:val="16"/>
                <w:szCs w:val="16"/>
              </w:rPr>
            </w:pPr>
            <w:r w:rsidRPr="0072366D">
              <w:rPr>
                <w:rFonts w:cs="Arial"/>
                <w:color w:val="000000"/>
                <w:sz w:val="16"/>
                <w:szCs w:val="16"/>
              </w:rPr>
              <w:t>4.2%</w:t>
            </w:r>
          </w:p>
        </w:tc>
      </w:tr>
      <w:tr w:rsidR="0084703B" w:rsidRPr="0072366D" w14:paraId="5C8E407B" w14:textId="77777777" w:rsidTr="0084703B">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E2DEE6" w14:textId="77777777" w:rsidR="0084703B" w:rsidRPr="0072366D" w:rsidRDefault="0084703B" w:rsidP="00312E88">
            <w:pPr>
              <w:rPr>
                <w:rFonts w:cs="Arial"/>
                <w:color w:val="000000"/>
                <w:sz w:val="16"/>
                <w:szCs w:val="16"/>
              </w:rPr>
            </w:pPr>
            <w:r w:rsidRPr="0072366D">
              <w:rPr>
                <w:rFonts w:cs="Arial"/>
                <w:color w:val="000000"/>
                <w:sz w:val="16"/>
                <w:szCs w:val="16"/>
              </w:rPr>
              <w:t>31 December 2019 AFSR projection</w:t>
            </w:r>
          </w:p>
        </w:tc>
        <w:tc>
          <w:tcPr>
            <w:tcW w:w="0" w:type="auto"/>
            <w:tcBorders>
              <w:top w:val="nil"/>
              <w:left w:val="nil"/>
              <w:bottom w:val="single" w:sz="4" w:space="0" w:color="auto"/>
              <w:right w:val="nil"/>
            </w:tcBorders>
            <w:shd w:val="clear" w:color="000000" w:fill="BFBFBF"/>
            <w:noWrap/>
            <w:vAlign w:val="center"/>
            <w:hideMark/>
          </w:tcPr>
          <w:p w14:paraId="138DFCF1"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nil"/>
              <w:bottom w:val="single" w:sz="4" w:space="0" w:color="auto"/>
              <w:right w:val="nil"/>
            </w:tcBorders>
            <w:shd w:val="clear" w:color="000000" w:fill="BFBFBF"/>
            <w:noWrap/>
            <w:vAlign w:val="center"/>
            <w:hideMark/>
          </w:tcPr>
          <w:p w14:paraId="492D65CB"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A6F815" w14:textId="77777777" w:rsidR="0084703B" w:rsidRPr="0072366D" w:rsidRDefault="0084703B" w:rsidP="00312E88">
            <w:pPr>
              <w:jc w:val="center"/>
              <w:rPr>
                <w:rFonts w:cs="Arial"/>
                <w:color w:val="000000"/>
                <w:sz w:val="16"/>
                <w:szCs w:val="16"/>
              </w:rPr>
            </w:pPr>
            <w:r w:rsidRPr="0072366D">
              <w:rPr>
                <w:rFonts w:cs="Arial"/>
                <w:color w:val="000000"/>
                <w:sz w:val="16"/>
                <w:szCs w:val="16"/>
              </w:rPr>
              <w:t>1.3%</w:t>
            </w:r>
          </w:p>
        </w:tc>
        <w:tc>
          <w:tcPr>
            <w:tcW w:w="0" w:type="auto"/>
            <w:tcBorders>
              <w:top w:val="nil"/>
              <w:left w:val="nil"/>
              <w:bottom w:val="single" w:sz="4" w:space="0" w:color="auto"/>
              <w:right w:val="nil"/>
            </w:tcBorders>
            <w:shd w:val="clear" w:color="auto" w:fill="auto"/>
            <w:noWrap/>
            <w:vAlign w:val="center"/>
            <w:hideMark/>
          </w:tcPr>
          <w:p w14:paraId="39882794" w14:textId="77777777" w:rsidR="0084703B" w:rsidRPr="0072366D" w:rsidRDefault="0084703B" w:rsidP="00312E88">
            <w:pPr>
              <w:jc w:val="center"/>
              <w:rPr>
                <w:rFonts w:cs="Arial"/>
                <w:color w:val="000000"/>
                <w:sz w:val="16"/>
                <w:szCs w:val="16"/>
              </w:rPr>
            </w:pPr>
            <w:r w:rsidRPr="0072366D">
              <w:rPr>
                <w:rFonts w:cs="Arial"/>
                <w:color w:val="000000"/>
                <w:sz w:val="16"/>
                <w:szCs w:val="16"/>
              </w:rPr>
              <w:t>3.9%</w:t>
            </w:r>
          </w:p>
        </w:tc>
        <w:tc>
          <w:tcPr>
            <w:tcW w:w="0" w:type="auto"/>
            <w:tcBorders>
              <w:top w:val="nil"/>
              <w:left w:val="nil"/>
              <w:bottom w:val="single" w:sz="4" w:space="0" w:color="auto"/>
              <w:right w:val="nil"/>
            </w:tcBorders>
            <w:shd w:val="clear" w:color="auto" w:fill="auto"/>
            <w:noWrap/>
            <w:vAlign w:val="center"/>
            <w:hideMark/>
          </w:tcPr>
          <w:p w14:paraId="37632C9C" w14:textId="77777777" w:rsidR="0084703B" w:rsidRPr="0072366D" w:rsidRDefault="0084703B" w:rsidP="00312E88">
            <w:pPr>
              <w:jc w:val="center"/>
              <w:rPr>
                <w:rFonts w:cs="Arial"/>
                <w:color w:val="000000"/>
                <w:sz w:val="16"/>
                <w:szCs w:val="16"/>
              </w:rPr>
            </w:pPr>
            <w:r w:rsidRPr="0072366D">
              <w:rPr>
                <w:rFonts w:cs="Arial"/>
                <w:color w:val="000000"/>
                <w:sz w:val="16"/>
                <w:szCs w:val="16"/>
              </w:rPr>
              <w:t>4.1%</w:t>
            </w:r>
          </w:p>
        </w:tc>
        <w:tc>
          <w:tcPr>
            <w:tcW w:w="0" w:type="auto"/>
            <w:tcBorders>
              <w:top w:val="nil"/>
              <w:left w:val="nil"/>
              <w:bottom w:val="single" w:sz="4" w:space="0" w:color="auto"/>
              <w:right w:val="nil"/>
            </w:tcBorders>
            <w:shd w:val="clear" w:color="auto" w:fill="auto"/>
            <w:noWrap/>
            <w:vAlign w:val="center"/>
            <w:hideMark/>
          </w:tcPr>
          <w:p w14:paraId="72B34053" w14:textId="77777777" w:rsidR="0084703B" w:rsidRPr="0072366D" w:rsidRDefault="0084703B" w:rsidP="00312E88">
            <w:pPr>
              <w:jc w:val="center"/>
              <w:rPr>
                <w:rFonts w:cs="Arial"/>
                <w:color w:val="000000"/>
                <w:sz w:val="16"/>
                <w:szCs w:val="16"/>
              </w:rPr>
            </w:pPr>
            <w:r w:rsidRPr="0072366D">
              <w:rPr>
                <w:rFonts w:cs="Arial"/>
                <w:color w:val="000000"/>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61B7A051" w14:textId="77777777" w:rsidR="0084703B" w:rsidRPr="0072366D" w:rsidRDefault="0084703B" w:rsidP="00312E88">
            <w:pPr>
              <w:jc w:val="center"/>
              <w:rPr>
                <w:rFonts w:cs="Arial"/>
                <w:color w:val="000000"/>
                <w:sz w:val="16"/>
                <w:szCs w:val="16"/>
              </w:rPr>
            </w:pPr>
            <w:r w:rsidRPr="0072366D">
              <w:rPr>
                <w:rFonts w:cs="Arial"/>
                <w:color w:val="000000"/>
                <w:sz w:val="16"/>
                <w:szCs w:val="16"/>
              </w:rPr>
              <w:t>3.9%</w:t>
            </w:r>
          </w:p>
        </w:tc>
      </w:tr>
      <w:tr w:rsidR="0084703B" w:rsidRPr="0072366D" w14:paraId="5D9ED036" w14:textId="77777777" w:rsidTr="0084703B">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4C8E97" w14:textId="77777777" w:rsidR="0084703B" w:rsidRPr="0072366D" w:rsidRDefault="0084703B" w:rsidP="00312E88">
            <w:pPr>
              <w:rPr>
                <w:rFonts w:cs="Arial"/>
                <w:color w:val="000000"/>
                <w:sz w:val="16"/>
                <w:szCs w:val="16"/>
              </w:rPr>
            </w:pPr>
            <w:r w:rsidRPr="0072366D">
              <w:rPr>
                <w:rFonts w:cs="Arial"/>
                <w:color w:val="000000"/>
                <w:sz w:val="16"/>
                <w:szCs w:val="16"/>
              </w:rPr>
              <w:t>30 June 2019 AFSR projection</w:t>
            </w:r>
          </w:p>
        </w:tc>
        <w:tc>
          <w:tcPr>
            <w:tcW w:w="0" w:type="auto"/>
            <w:tcBorders>
              <w:top w:val="nil"/>
              <w:left w:val="nil"/>
              <w:bottom w:val="single" w:sz="4" w:space="0" w:color="auto"/>
              <w:right w:val="nil"/>
            </w:tcBorders>
            <w:shd w:val="clear" w:color="000000" w:fill="BFBFBF"/>
            <w:noWrap/>
            <w:vAlign w:val="center"/>
            <w:hideMark/>
          </w:tcPr>
          <w:p w14:paraId="0C0723E1"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nil"/>
              <w:bottom w:val="single" w:sz="4" w:space="0" w:color="auto"/>
              <w:right w:val="nil"/>
            </w:tcBorders>
            <w:shd w:val="clear" w:color="000000" w:fill="FFE699"/>
            <w:noWrap/>
            <w:vAlign w:val="center"/>
            <w:hideMark/>
          </w:tcPr>
          <w:p w14:paraId="08F82D3B" w14:textId="77777777" w:rsidR="0084703B" w:rsidRPr="0072366D" w:rsidRDefault="0084703B" w:rsidP="00312E88">
            <w:pPr>
              <w:jc w:val="center"/>
              <w:rPr>
                <w:rFonts w:cs="Arial"/>
                <w:color w:val="000000"/>
                <w:sz w:val="16"/>
                <w:szCs w:val="16"/>
              </w:rPr>
            </w:pPr>
            <w:r w:rsidRPr="0072366D">
              <w:rPr>
                <w:rFonts w:cs="Arial"/>
                <w:color w:val="000000"/>
                <w:sz w:val="16"/>
                <w:szCs w:val="16"/>
              </w:rPr>
              <w:t>12.0%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EBF6A4" w14:textId="77777777" w:rsidR="0084703B" w:rsidRPr="0072366D" w:rsidRDefault="0084703B" w:rsidP="00312E88">
            <w:pPr>
              <w:jc w:val="center"/>
              <w:rPr>
                <w:rFonts w:cs="Arial"/>
                <w:color w:val="000000"/>
                <w:sz w:val="16"/>
                <w:szCs w:val="16"/>
              </w:rPr>
            </w:pPr>
            <w:r w:rsidRPr="0072366D">
              <w:rPr>
                <w:rFonts w:cs="Arial"/>
                <w:color w:val="000000"/>
                <w:sz w:val="16"/>
                <w:szCs w:val="16"/>
              </w:rPr>
              <w:t>3.8%</w:t>
            </w:r>
          </w:p>
        </w:tc>
        <w:tc>
          <w:tcPr>
            <w:tcW w:w="0" w:type="auto"/>
            <w:tcBorders>
              <w:top w:val="nil"/>
              <w:left w:val="nil"/>
              <w:bottom w:val="single" w:sz="4" w:space="0" w:color="auto"/>
              <w:right w:val="nil"/>
            </w:tcBorders>
            <w:shd w:val="clear" w:color="auto" w:fill="auto"/>
            <w:noWrap/>
            <w:vAlign w:val="center"/>
            <w:hideMark/>
          </w:tcPr>
          <w:p w14:paraId="7E61D2FB" w14:textId="77777777" w:rsidR="0084703B" w:rsidRPr="0072366D" w:rsidRDefault="0084703B" w:rsidP="00312E88">
            <w:pPr>
              <w:jc w:val="center"/>
              <w:rPr>
                <w:rFonts w:cs="Arial"/>
                <w:color w:val="000000"/>
                <w:sz w:val="16"/>
                <w:szCs w:val="16"/>
              </w:rPr>
            </w:pPr>
            <w:r w:rsidRPr="0072366D">
              <w:rPr>
                <w:rFonts w:cs="Arial"/>
                <w:color w:val="000000"/>
                <w:sz w:val="16"/>
                <w:szCs w:val="16"/>
              </w:rPr>
              <w:t>2.0%</w:t>
            </w:r>
          </w:p>
        </w:tc>
        <w:tc>
          <w:tcPr>
            <w:tcW w:w="0" w:type="auto"/>
            <w:tcBorders>
              <w:top w:val="nil"/>
              <w:left w:val="nil"/>
              <w:bottom w:val="single" w:sz="4" w:space="0" w:color="auto"/>
              <w:right w:val="nil"/>
            </w:tcBorders>
            <w:shd w:val="clear" w:color="auto" w:fill="auto"/>
            <w:noWrap/>
            <w:vAlign w:val="center"/>
            <w:hideMark/>
          </w:tcPr>
          <w:p w14:paraId="09E7EC7C" w14:textId="77777777" w:rsidR="0084703B" w:rsidRPr="0072366D" w:rsidRDefault="0084703B" w:rsidP="00312E88">
            <w:pPr>
              <w:jc w:val="center"/>
              <w:rPr>
                <w:rFonts w:cs="Arial"/>
                <w:color w:val="000000"/>
                <w:sz w:val="16"/>
                <w:szCs w:val="16"/>
              </w:rPr>
            </w:pPr>
            <w:r w:rsidRPr="0072366D">
              <w:rPr>
                <w:rFonts w:cs="Arial"/>
                <w:color w:val="000000"/>
                <w:sz w:val="16"/>
                <w:szCs w:val="16"/>
              </w:rPr>
              <w:t>2.0%</w:t>
            </w:r>
          </w:p>
        </w:tc>
        <w:tc>
          <w:tcPr>
            <w:tcW w:w="0" w:type="auto"/>
            <w:tcBorders>
              <w:top w:val="nil"/>
              <w:left w:val="nil"/>
              <w:bottom w:val="single" w:sz="4" w:space="0" w:color="auto"/>
              <w:right w:val="nil"/>
            </w:tcBorders>
            <w:shd w:val="clear" w:color="auto" w:fill="auto"/>
            <w:noWrap/>
            <w:vAlign w:val="center"/>
            <w:hideMark/>
          </w:tcPr>
          <w:p w14:paraId="216809EB" w14:textId="77777777" w:rsidR="0084703B" w:rsidRPr="0072366D" w:rsidRDefault="0084703B" w:rsidP="00312E88">
            <w:pPr>
              <w:jc w:val="center"/>
              <w:rPr>
                <w:rFonts w:cs="Arial"/>
                <w:color w:val="000000"/>
                <w:sz w:val="16"/>
                <w:szCs w:val="16"/>
              </w:rPr>
            </w:pPr>
            <w:r w:rsidRPr="0072366D">
              <w:rPr>
                <w:rFonts w:cs="Arial"/>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2F51510B" w14:textId="77777777" w:rsidR="0084703B" w:rsidRPr="0072366D" w:rsidRDefault="0084703B" w:rsidP="00312E88">
            <w:pPr>
              <w:jc w:val="center"/>
              <w:rPr>
                <w:rFonts w:cs="Arial"/>
                <w:color w:val="000000"/>
                <w:sz w:val="16"/>
                <w:szCs w:val="16"/>
              </w:rPr>
            </w:pPr>
            <w:r w:rsidRPr="0072366D">
              <w:rPr>
                <w:rFonts w:cs="Arial"/>
                <w:color w:val="000000"/>
                <w:sz w:val="16"/>
                <w:szCs w:val="16"/>
              </w:rPr>
              <w:t>2.4%</w:t>
            </w:r>
          </w:p>
        </w:tc>
      </w:tr>
      <w:tr w:rsidR="0084703B" w:rsidRPr="0072366D" w14:paraId="2C7D9EC5" w14:textId="77777777" w:rsidTr="0084703B">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A690D1" w14:textId="77777777" w:rsidR="0084703B" w:rsidRPr="0072366D" w:rsidRDefault="0084703B" w:rsidP="00312E88">
            <w:pPr>
              <w:rPr>
                <w:rFonts w:cs="Arial"/>
                <w:color w:val="000000"/>
                <w:sz w:val="16"/>
                <w:szCs w:val="16"/>
              </w:rPr>
            </w:pPr>
            <w:r w:rsidRPr="0072366D">
              <w:rPr>
                <w:rFonts w:cs="Arial"/>
                <w:color w:val="000000"/>
                <w:sz w:val="16"/>
                <w:szCs w:val="16"/>
              </w:rPr>
              <w:t>30 June 2018 AFSR projection</w:t>
            </w:r>
          </w:p>
        </w:tc>
        <w:tc>
          <w:tcPr>
            <w:tcW w:w="0" w:type="auto"/>
            <w:tcBorders>
              <w:top w:val="nil"/>
              <w:left w:val="nil"/>
              <w:bottom w:val="single" w:sz="4" w:space="0" w:color="auto"/>
              <w:right w:val="nil"/>
            </w:tcBorders>
            <w:shd w:val="clear" w:color="000000" w:fill="FFE699"/>
            <w:noWrap/>
            <w:vAlign w:val="center"/>
            <w:hideMark/>
          </w:tcPr>
          <w:p w14:paraId="010E7CAB" w14:textId="77777777" w:rsidR="0084703B" w:rsidRPr="0072366D" w:rsidRDefault="0084703B" w:rsidP="00312E88">
            <w:pPr>
              <w:jc w:val="center"/>
              <w:rPr>
                <w:rFonts w:cs="Arial"/>
                <w:color w:val="000000"/>
                <w:sz w:val="16"/>
                <w:szCs w:val="16"/>
              </w:rPr>
            </w:pPr>
            <w:r w:rsidRPr="0072366D">
              <w:rPr>
                <w:rFonts w:cs="Arial"/>
                <w:color w:val="000000"/>
                <w:sz w:val="16"/>
                <w:szCs w:val="16"/>
              </w:rPr>
              <w:t>-3.7%</w:t>
            </w:r>
          </w:p>
        </w:tc>
        <w:tc>
          <w:tcPr>
            <w:tcW w:w="0" w:type="auto"/>
            <w:tcBorders>
              <w:top w:val="nil"/>
              <w:left w:val="nil"/>
              <w:bottom w:val="single" w:sz="4" w:space="0" w:color="auto"/>
              <w:right w:val="nil"/>
            </w:tcBorders>
            <w:shd w:val="clear" w:color="auto" w:fill="auto"/>
            <w:noWrap/>
            <w:vAlign w:val="center"/>
            <w:hideMark/>
          </w:tcPr>
          <w:p w14:paraId="23D15E53" w14:textId="77777777" w:rsidR="0084703B" w:rsidRPr="0072366D" w:rsidRDefault="0084703B" w:rsidP="00312E88">
            <w:pPr>
              <w:jc w:val="center"/>
              <w:rPr>
                <w:rFonts w:cs="Arial"/>
                <w:color w:val="000000"/>
                <w:sz w:val="16"/>
                <w:szCs w:val="16"/>
              </w:rPr>
            </w:pPr>
            <w:r w:rsidRPr="0072366D">
              <w:rPr>
                <w:rFonts w:cs="Arial"/>
                <w:color w:val="000000"/>
                <w:sz w:val="16"/>
                <w:szCs w:val="16"/>
              </w:rPr>
              <w:t>16.8%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1C6474" w14:textId="77777777" w:rsidR="0084703B" w:rsidRPr="0072366D" w:rsidRDefault="0084703B" w:rsidP="00312E88">
            <w:pPr>
              <w:jc w:val="center"/>
              <w:rPr>
                <w:rFonts w:cs="Arial"/>
                <w:color w:val="000000"/>
                <w:sz w:val="16"/>
                <w:szCs w:val="16"/>
              </w:rPr>
            </w:pPr>
            <w:r w:rsidRPr="0072366D">
              <w:rPr>
                <w:rFonts w:cs="Arial"/>
                <w:color w:val="000000"/>
                <w:sz w:val="16"/>
                <w:szCs w:val="16"/>
              </w:rPr>
              <w:t>7.9%</w:t>
            </w:r>
          </w:p>
        </w:tc>
        <w:tc>
          <w:tcPr>
            <w:tcW w:w="0" w:type="auto"/>
            <w:tcBorders>
              <w:top w:val="nil"/>
              <w:left w:val="nil"/>
              <w:bottom w:val="single" w:sz="4" w:space="0" w:color="auto"/>
              <w:right w:val="nil"/>
            </w:tcBorders>
            <w:shd w:val="clear" w:color="auto" w:fill="auto"/>
            <w:noWrap/>
            <w:vAlign w:val="center"/>
            <w:hideMark/>
          </w:tcPr>
          <w:p w14:paraId="0646945E" w14:textId="77777777" w:rsidR="0084703B" w:rsidRPr="0072366D" w:rsidRDefault="0084703B" w:rsidP="00312E88">
            <w:pPr>
              <w:jc w:val="center"/>
              <w:rPr>
                <w:rFonts w:cs="Arial"/>
                <w:color w:val="000000"/>
                <w:sz w:val="16"/>
                <w:szCs w:val="16"/>
              </w:rPr>
            </w:pPr>
            <w:r w:rsidRPr="0072366D">
              <w:rPr>
                <w:rFonts w:cs="Arial"/>
                <w:color w:val="000000"/>
                <w:sz w:val="16"/>
                <w:szCs w:val="16"/>
              </w:rPr>
              <w:t>5.3%</w:t>
            </w:r>
          </w:p>
        </w:tc>
        <w:tc>
          <w:tcPr>
            <w:tcW w:w="0" w:type="auto"/>
            <w:tcBorders>
              <w:top w:val="nil"/>
              <w:left w:val="nil"/>
              <w:bottom w:val="single" w:sz="4" w:space="0" w:color="auto"/>
              <w:right w:val="nil"/>
            </w:tcBorders>
            <w:shd w:val="clear" w:color="auto" w:fill="auto"/>
            <w:noWrap/>
            <w:vAlign w:val="center"/>
            <w:hideMark/>
          </w:tcPr>
          <w:p w14:paraId="5CB68A4A" w14:textId="77777777" w:rsidR="0084703B" w:rsidRPr="0072366D" w:rsidRDefault="0084703B" w:rsidP="00312E88">
            <w:pPr>
              <w:jc w:val="center"/>
              <w:rPr>
                <w:rFonts w:cs="Arial"/>
                <w:color w:val="000000"/>
                <w:sz w:val="16"/>
                <w:szCs w:val="16"/>
              </w:rPr>
            </w:pPr>
            <w:r w:rsidRPr="0072366D">
              <w:rPr>
                <w:rFonts w:cs="Arial"/>
                <w:color w:val="000000"/>
                <w:sz w:val="16"/>
                <w:szCs w:val="16"/>
              </w:rPr>
              <w:t>4.4%</w:t>
            </w:r>
          </w:p>
        </w:tc>
        <w:tc>
          <w:tcPr>
            <w:tcW w:w="0" w:type="auto"/>
            <w:tcBorders>
              <w:top w:val="nil"/>
              <w:left w:val="nil"/>
              <w:bottom w:val="single" w:sz="4" w:space="0" w:color="auto"/>
              <w:right w:val="nil"/>
            </w:tcBorders>
            <w:shd w:val="clear" w:color="auto" w:fill="auto"/>
            <w:noWrap/>
            <w:vAlign w:val="center"/>
            <w:hideMark/>
          </w:tcPr>
          <w:p w14:paraId="61E41A8D" w14:textId="77777777" w:rsidR="0084703B" w:rsidRPr="0072366D" w:rsidRDefault="0084703B" w:rsidP="00312E88">
            <w:pPr>
              <w:jc w:val="center"/>
              <w:rPr>
                <w:rFonts w:cs="Arial"/>
                <w:color w:val="000000"/>
                <w:sz w:val="16"/>
                <w:szCs w:val="16"/>
              </w:rPr>
            </w:pPr>
            <w:r w:rsidRPr="0072366D">
              <w:rPr>
                <w:rFonts w:cs="Arial"/>
                <w:color w:val="000000"/>
                <w:sz w:val="16"/>
                <w:szCs w:val="16"/>
              </w:rPr>
              <w:t>4.8%</w:t>
            </w:r>
          </w:p>
        </w:tc>
        <w:tc>
          <w:tcPr>
            <w:tcW w:w="0" w:type="auto"/>
            <w:tcBorders>
              <w:top w:val="nil"/>
              <w:left w:val="nil"/>
              <w:bottom w:val="single" w:sz="4" w:space="0" w:color="auto"/>
              <w:right w:val="single" w:sz="4" w:space="0" w:color="auto"/>
            </w:tcBorders>
            <w:shd w:val="clear" w:color="auto" w:fill="auto"/>
            <w:noWrap/>
            <w:vAlign w:val="center"/>
            <w:hideMark/>
          </w:tcPr>
          <w:p w14:paraId="06DB7755" w14:textId="77777777" w:rsidR="0084703B" w:rsidRPr="0072366D" w:rsidRDefault="0084703B" w:rsidP="00312E88">
            <w:pPr>
              <w:jc w:val="center"/>
              <w:rPr>
                <w:rFonts w:cs="Arial"/>
                <w:color w:val="000000"/>
                <w:sz w:val="16"/>
                <w:szCs w:val="16"/>
              </w:rPr>
            </w:pPr>
            <w:r w:rsidRPr="0072366D">
              <w:rPr>
                <w:rFonts w:cs="Arial"/>
                <w:color w:val="000000"/>
                <w:sz w:val="16"/>
                <w:szCs w:val="16"/>
              </w:rPr>
              <w:t>3.1%</w:t>
            </w:r>
          </w:p>
        </w:tc>
      </w:tr>
      <w:tr w:rsidR="0084703B" w:rsidRPr="0072366D" w14:paraId="2123D83E" w14:textId="77777777" w:rsidTr="0084703B">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40A974" w14:textId="77777777" w:rsidR="0084703B" w:rsidRPr="0072366D" w:rsidRDefault="0084703B" w:rsidP="00312E88">
            <w:pPr>
              <w:rPr>
                <w:rFonts w:cs="Arial"/>
                <w:color w:val="000000"/>
                <w:sz w:val="16"/>
                <w:szCs w:val="16"/>
              </w:rPr>
            </w:pPr>
            <w:r w:rsidRPr="0072366D">
              <w:rPr>
                <w:rFonts w:cs="Arial"/>
                <w:color w:val="000000"/>
                <w:sz w:val="16"/>
                <w:szCs w:val="16"/>
              </w:rPr>
              <w:t>Actual experience as at 30 June</w:t>
            </w:r>
          </w:p>
        </w:tc>
        <w:tc>
          <w:tcPr>
            <w:tcW w:w="0" w:type="auto"/>
            <w:tcBorders>
              <w:top w:val="nil"/>
              <w:left w:val="nil"/>
              <w:bottom w:val="single" w:sz="4" w:space="0" w:color="auto"/>
              <w:right w:val="nil"/>
            </w:tcBorders>
            <w:shd w:val="clear" w:color="000000" w:fill="FFE699"/>
            <w:noWrap/>
            <w:vAlign w:val="center"/>
            <w:hideMark/>
          </w:tcPr>
          <w:p w14:paraId="4DB1C8B1" w14:textId="77777777" w:rsidR="0084703B" w:rsidRPr="0072366D" w:rsidRDefault="0084703B" w:rsidP="00312E88">
            <w:pPr>
              <w:jc w:val="center"/>
              <w:rPr>
                <w:rFonts w:cs="Arial"/>
                <w:color w:val="000000"/>
                <w:sz w:val="16"/>
                <w:szCs w:val="16"/>
              </w:rPr>
            </w:pPr>
            <w:r w:rsidRPr="0072366D">
              <w:rPr>
                <w:rFonts w:cs="Arial"/>
                <w:color w:val="000000"/>
                <w:sz w:val="16"/>
                <w:szCs w:val="16"/>
              </w:rPr>
              <w:t>10.3%</w:t>
            </w:r>
          </w:p>
        </w:tc>
        <w:tc>
          <w:tcPr>
            <w:tcW w:w="0" w:type="auto"/>
            <w:tcBorders>
              <w:top w:val="nil"/>
              <w:left w:val="nil"/>
              <w:bottom w:val="single" w:sz="4" w:space="0" w:color="auto"/>
              <w:right w:val="nil"/>
            </w:tcBorders>
            <w:shd w:val="clear" w:color="000000" w:fill="FFE699"/>
            <w:noWrap/>
            <w:vAlign w:val="center"/>
            <w:hideMark/>
          </w:tcPr>
          <w:p w14:paraId="386D0A50" w14:textId="77777777" w:rsidR="0084703B" w:rsidRPr="0072366D" w:rsidRDefault="0084703B" w:rsidP="00312E88">
            <w:pPr>
              <w:jc w:val="center"/>
              <w:rPr>
                <w:rFonts w:cs="Arial"/>
                <w:color w:val="000000"/>
                <w:sz w:val="16"/>
                <w:szCs w:val="16"/>
              </w:rPr>
            </w:pPr>
            <w:r w:rsidRPr="0072366D">
              <w:rPr>
                <w:rFonts w:cs="Arial"/>
                <w:color w:val="000000"/>
                <w:sz w:val="16"/>
                <w:szCs w:val="16"/>
              </w:rPr>
              <w:t>13.7%</w:t>
            </w:r>
          </w:p>
        </w:tc>
        <w:tc>
          <w:tcPr>
            <w:tcW w:w="0" w:type="auto"/>
            <w:tcBorders>
              <w:top w:val="nil"/>
              <w:left w:val="single" w:sz="4" w:space="0" w:color="auto"/>
              <w:bottom w:val="single" w:sz="4" w:space="0" w:color="auto"/>
              <w:right w:val="single" w:sz="4" w:space="0" w:color="auto"/>
            </w:tcBorders>
            <w:shd w:val="clear" w:color="000000" w:fill="FFE699"/>
            <w:noWrap/>
            <w:vAlign w:val="center"/>
            <w:hideMark/>
          </w:tcPr>
          <w:p w14:paraId="4A317B00" w14:textId="77777777" w:rsidR="0084703B" w:rsidRPr="0072366D" w:rsidRDefault="0084703B" w:rsidP="00312E88">
            <w:pPr>
              <w:jc w:val="center"/>
              <w:rPr>
                <w:rFonts w:cs="Arial"/>
                <w:color w:val="000000"/>
                <w:sz w:val="16"/>
                <w:szCs w:val="16"/>
              </w:rPr>
            </w:pPr>
            <w:r w:rsidRPr="0072366D">
              <w:rPr>
                <w:rFonts w:cs="Arial"/>
                <w:color w:val="000000"/>
                <w:sz w:val="16"/>
                <w:szCs w:val="16"/>
              </w:rPr>
              <w:t>4.7%</w:t>
            </w:r>
          </w:p>
        </w:tc>
        <w:tc>
          <w:tcPr>
            <w:tcW w:w="0" w:type="auto"/>
            <w:tcBorders>
              <w:top w:val="nil"/>
              <w:left w:val="nil"/>
              <w:bottom w:val="single" w:sz="4" w:space="0" w:color="auto"/>
              <w:right w:val="nil"/>
            </w:tcBorders>
            <w:shd w:val="clear" w:color="000000" w:fill="BFBFBF"/>
            <w:noWrap/>
            <w:vAlign w:val="center"/>
            <w:hideMark/>
          </w:tcPr>
          <w:p w14:paraId="674883F7"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nil"/>
              <w:bottom w:val="single" w:sz="4" w:space="0" w:color="auto"/>
              <w:right w:val="nil"/>
            </w:tcBorders>
            <w:shd w:val="clear" w:color="000000" w:fill="BFBFBF"/>
            <w:noWrap/>
            <w:vAlign w:val="center"/>
            <w:hideMark/>
          </w:tcPr>
          <w:p w14:paraId="63FB9A2E" w14:textId="77777777" w:rsidR="0084703B" w:rsidRPr="0072366D" w:rsidRDefault="0084703B" w:rsidP="00312E88">
            <w:pPr>
              <w:jc w:val="center"/>
              <w:rPr>
                <w:rFonts w:cs="Arial"/>
                <w:color w:val="000000"/>
                <w:sz w:val="16"/>
                <w:szCs w:val="16"/>
              </w:rPr>
            </w:pPr>
            <w:r w:rsidRPr="0072366D">
              <w:rPr>
                <w:rFonts w:cs="Arial"/>
                <w:color w:val="000000"/>
                <w:sz w:val="16"/>
                <w:szCs w:val="16"/>
              </w:rPr>
              <w:t> </w:t>
            </w:r>
          </w:p>
        </w:tc>
        <w:tc>
          <w:tcPr>
            <w:tcW w:w="0" w:type="auto"/>
            <w:tcBorders>
              <w:top w:val="nil"/>
              <w:left w:val="nil"/>
              <w:bottom w:val="single" w:sz="4" w:space="0" w:color="auto"/>
              <w:right w:val="nil"/>
            </w:tcBorders>
            <w:shd w:val="clear" w:color="000000" w:fill="BFBFBF"/>
            <w:noWrap/>
            <w:vAlign w:val="center"/>
            <w:hideMark/>
          </w:tcPr>
          <w:p w14:paraId="4656D5CA" w14:textId="77777777" w:rsidR="0084703B" w:rsidRPr="0072366D" w:rsidRDefault="0084703B" w:rsidP="00312E88">
            <w:pPr>
              <w:jc w:val="center"/>
              <w:rPr>
                <w:rFonts w:cs="Arial"/>
                <w:i/>
                <w:iCs/>
                <w:color w:val="000000"/>
                <w:sz w:val="16"/>
                <w:szCs w:val="16"/>
              </w:rPr>
            </w:pPr>
            <w:r w:rsidRPr="0072366D">
              <w:rPr>
                <w:rFonts w:cs="Arial"/>
                <w:i/>
                <w:iCs/>
                <w:color w:val="000000"/>
                <w:sz w:val="16"/>
                <w:szCs w:val="16"/>
              </w:rPr>
              <w:t> </w:t>
            </w:r>
          </w:p>
        </w:tc>
        <w:tc>
          <w:tcPr>
            <w:tcW w:w="0" w:type="auto"/>
            <w:tcBorders>
              <w:top w:val="nil"/>
              <w:left w:val="nil"/>
              <w:bottom w:val="single" w:sz="4" w:space="0" w:color="auto"/>
              <w:right w:val="single" w:sz="4" w:space="0" w:color="auto"/>
            </w:tcBorders>
            <w:shd w:val="clear" w:color="000000" w:fill="BFBFBF"/>
            <w:noWrap/>
            <w:vAlign w:val="center"/>
            <w:hideMark/>
          </w:tcPr>
          <w:p w14:paraId="0C54829F" w14:textId="77777777" w:rsidR="0084703B" w:rsidRPr="0072366D" w:rsidRDefault="0084703B" w:rsidP="00312E88">
            <w:pPr>
              <w:jc w:val="center"/>
              <w:rPr>
                <w:rFonts w:cs="Arial"/>
                <w:i/>
                <w:iCs/>
                <w:color w:val="000000"/>
                <w:sz w:val="16"/>
                <w:szCs w:val="16"/>
              </w:rPr>
            </w:pPr>
            <w:r w:rsidRPr="0072366D">
              <w:rPr>
                <w:rFonts w:cs="Arial"/>
                <w:i/>
                <w:iCs/>
                <w:color w:val="000000"/>
                <w:sz w:val="16"/>
                <w:szCs w:val="16"/>
              </w:rPr>
              <w:t> </w:t>
            </w:r>
          </w:p>
        </w:tc>
      </w:tr>
    </w:tbl>
    <w:p w14:paraId="446786AC" w14:textId="2DF1BEBD" w:rsidR="00141B0B" w:rsidRPr="001B0E95" w:rsidRDefault="00141B0B" w:rsidP="00141B0B">
      <w:pPr>
        <w:spacing w:before="240"/>
      </w:pPr>
    </w:p>
    <w:p w14:paraId="1388AAE7" w14:textId="20C1EF6F" w:rsidR="00141B0B" w:rsidRDefault="00141B0B" w:rsidP="00141B0B">
      <w:r w:rsidRPr="001B0E95">
        <w:t>As noted above, the AFSR projection is not an extrapolation of past trends. Instead, assumptions have been set using a forward-looking approach. Hence, there is significant upside risk in the projection.</w:t>
      </w:r>
      <w:r w:rsidR="00766F41">
        <w:t xml:space="preserve"> Appendix </w:t>
      </w:r>
      <w:r w:rsidR="00211344">
        <w:t>F</w:t>
      </w:r>
      <w:r w:rsidR="00766F41">
        <w:t xml:space="preserve"> summarises the range of scenarios that have been considered in </w:t>
      </w:r>
      <w:r w:rsidR="00A2569E">
        <w:t>historic</w:t>
      </w:r>
      <w:r w:rsidR="00766F41">
        <w:t xml:space="preserve"> AFSR projections. </w:t>
      </w:r>
    </w:p>
    <w:p w14:paraId="01EECFB0" w14:textId="77777777" w:rsidR="00AB0120" w:rsidRDefault="00AB0120" w:rsidP="00AB0120">
      <w:pPr>
        <w:pStyle w:val="Heading3"/>
        <w:keepNext/>
        <w:keepLines/>
      </w:pPr>
      <w:bookmarkStart w:id="255" w:name="_Toc83220857"/>
      <w:bookmarkStart w:id="256" w:name="_Toc85031268"/>
      <w:r w:rsidRPr="00405627">
        <w:t>Comparison</w:t>
      </w:r>
      <w:r w:rsidRPr="00C578EB">
        <w:t xml:space="preserve"> with PBS estimates and the Productivity Commission estimates</w:t>
      </w:r>
      <w:bookmarkEnd w:id="255"/>
      <w:bookmarkEnd w:id="256"/>
      <w:r>
        <w:t xml:space="preserve"> </w:t>
      </w:r>
    </w:p>
    <w:p w14:paraId="41A24763" w14:textId="77777777" w:rsidR="00AB0120" w:rsidRDefault="00AB0120" w:rsidP="00AB0120">
      <w:pPr>
        <w:pStyle w:val="FSRHeading4"/>
        <w:keepLines/>
      </w:pPr>
      <w:r>
        <w:t>Comparison with Portfolio Budget Statements</w:t>
      </w:r>
    </w:p>
    <w:p w14:paraId="09998081" w14:textId="18E5A3AC" w:rsidR="00AB0120" w:rsidRPr="008B6466" w:rsidRDefault="00AB0120" w:rsidP="00AB0120">
      <w:pPr>
        <w:pStyle w:val="FSRnormal"/>
        <w:keepNext/>
        <w:keepLines/>
      </w:pPr>
      <w:r>
        <w:t>T</w:t>
      </w:r>
      <w:r w:rsidRPr="008B6466">
        <w:t xml:space="preserve">he baseline projection is higher than the estimate of reasonable and necessary supports </w:t>
      </w:r>
      <w:r>
        <w:t xml:space="preserve">included in </w:t>
      </w:r>
      <w:r w:rsidRPr="008B6466">
        <w:t>the 2021-22 PBS over the next four years</w:t>
      </w:r>
      <w:r>
        <w:t xml:space="preserve"> (</w:t>
      </w:r>
      <w:r>
        <w:fldChar w:fldCharType="begin"/>
      </w:r>
      <w:r>
        <w:instrText xml:space="preserve"> REF _Ref80109711 \h </w:instrText>
      </w:r>
      <w:r>
        <w:fldChar w:fldCharType="separate"/>
      </w:r>
      <w:r w:rsidR="00E50032" w:rsidRPr="00405627">
        <w:t xml:space="preserve">Table </w:t>
      </w:r>
      <w:r w:rsidR="00E50032">
        <w:rPr>
          <w:noProof/>
        </w:rPr>
        <w:t>48</w:t>
      </w:r>
      <w:r>
        <w:fldChar w:fldCharType="end"/>
      </w:r>
      <w:r>
        <w:t>)</w:t>
      </w:r>
      <w:r w:rsidRPr="008B6466">
        <w:t xml:space="preserve">. </w:t>
      </w:r>
    </w:p>
    <w:p w14:paraId="60E38FAE" w14:textId="52A144FA" w:rsidR="00AB0120" w:rsidRPr="00405627" w:rsidRDefault="00AB0120" w:rsidP="00AB0120">
      <w:pPr>
        <w:pStyle w:val="Tables"/>
      </w:pPr>
      <w:bookmarkStart w:id="257" w:name="_Ref80109711"/>
      <w:r w:rsidRPr="00405627">
        <w:t xml:space="preserve">Table </w:t>
      </w:r>
      <w:fldSimple w:instr=" SEQ Table \* ARABIC ">
        <w:r w:rsidR="00E50032">
          <w:rPr>
            <w:noProof/>
          </w:rPr>
          <w:t>48</w:t>
        </w:r>
      </w:fldSimple>
      <w:bookmarkEnd w:id="257"/>
      <w:r w:rsidRPr="00405627">
        <w:t xml:space="preserve"> Total Participant costs (accrual basis) compared to PBS</w:t>
      </w:r>
    </w:p>
    <w:tbl>
      <w:tblPr>
        <w:tblW w:w="0" w:type="auto"/>
        <w:tblLook w:val="04A0" w:firstRow="1" w:lastRow="0" w:firstColumn="1" w:lastColumn="0" w:noHBand="0" w:noVBand="1"/>
      </w:tblPr>
      <w:tblGrid>
        <w:gridCol w:w="4759"/>
        <w:gridCol w:w="804"/>
        <w:gridCol w:w="804"/>
        <w:gridCol w:w="804"/>
        <w:gridCol w:w="804"/>
        <w:gridCol w:w="795"/>
      </w:tblGrid>
      <w:tr w:rsidR="00055274" w:rsidRPr="00632B14" w14:paraId="39EC7742" w14:textId="77777777" w:rsidTr="00312E88">
        <w:trPr>
          <w:trHeight w:val="300"/>
          <w:tblHeader/>
        </w:trPr>
        <w:tc>
          <w:tcPr>
            <w:tcW w:w="0" w:type="auto"/>
            <w:tcBorders>
              <w:top w:val="single" w:sz="4" w:space="0" w:color="auto"/>
              <w:left w:val="single" w:sz="4" w:space="0" w:color="auto"/>
              <w:bottom w:val="single" w:sz="4" w:space="0" w:color="000000"/>
              <w:right w:val="nil"/>
            </w:tcBorders>
            <w:shd w:val="clear" w:color="000000" w:fill="6B2976"/>
            <w:vAlign w:val="center"/>
            <w:hideMark/>
          </w:tcPr>
          <w:p w14:paraId="4BED4373" w14:textId="77777777" w:rsidR="00055274" w:rsidRPr="00632B14" w:rsidRDefault="00055274" w:rsidP="00312E88">
            <w:pPr>
              <w:rPr>
                <w:rFonts w:cs="Arial"/>
                <w:b/>
                <w:bCs/>
                <w:color w:val="FFFFFF"/>
                <w:sz w:val="16"/>
                <w:szCs w:val="16"/>
              </w:rPr>
            </w:pPr>
            <w:r w:rsidRPr="00632B14">
              <w:rPr>
                <w:rFonts w:cs="Arial"/>
                <w:b/>
                <w:bCs/>
                <w:color w:val="FFFFFF"/>
                <w:sz w:val="16"/>
                <w:szCs w:val="16"/>
              </w:rPr>
              <w:t>Comparison to Portfolio Budget Statements (PBS)</w:t>
            </w:r>
            <w:r>
              <w:rPr>
                <w:rFonts w:cs="Arial"/>
                <w:b/>
                <w:bCs/>
                <w:color w:val="FFFFFF"/>
                <w:sz w:val="16"/>
                <w:szCs w:val="16"/>
              </w:rPr>
              <w:t xml:space="preserve"> </w:t>
            </w:r>
            <w:r w:rsidRPr="00632B14">
              <w:rPr>
                <w:rFonts w:cs="Arial"/>
                <w:b/>
                <w:bCs/>
                <w:color w:val="FFFFFF"/>
                <w:sz w:val="16"/>
                <w:szCs w:val="16"/>
              </w:rPr>
              <w:t>($m)</w:t>
            </w:r>
          </w:p>
        </w:tc>
        <w:tc>
          <w:tcPr>
            <w:tcW w:w="0" w:type="auto"/>
            <w:tcBorders>
              <w:top w:val="nil"/>
              <w:left w:val="single" w:sz="4" w:space="0" w:color="auto"/>
              <w:bottom w:val="single" w:sz="4" w:space="0" w:color="auto"/>
              <w:right w:val="nil"/>
            </w:tcBorders>
            <w:shd w:val="clear" w:color="000000" w:fill="6B2976"/>
            <w:noWrap/>
            <w:vAlign w:val="bottom"/>
            <w:hideMark/>
          </w:tcPr>
          <w:p w14:paraId="68416725" w14:textId="77777777" w:rsidR="00055274" w:rsidRPr="00632B14" w:rsidRDefault="00055274" w:rsidP="00312E88">
            <w:pPr>
              <w:jc w:val="right"/>
              <w:rPr>
                <w:rFonts w:cs="Arial"/>
                <w:b/>
                <w:bCs/>
                <w:color w:val="FFFFFF"/>
                <w:sz w:val="16"/>
                <w:szCs w:val="16"/>
              </w:rPr>
            </w:pPr>
            <w:r w:rsidRPr="00632B14">
              <w:rPr>
                <w:rFonts w:cs="Arial"/>
                <w:b/>
                <w:bCs/>
                <w:color w:val="FFFFFF"/>
                <w:sz w:val="16"/>
                <w:szCs w:val="16"/>
              </w:rPr>
              <w:t>2021-22</w:t>
            </w:r>
          </w:p>
        </w:tc>
        <w:tc>
          <w:tcPr>
            <w:tcW w:w="0" w:type="auto"/>
            <w:tcBorders>
              <w:top w:val="nil"/>
              <w:left w:val="nil"/>
              <w:bottom w:val="single" w:sz="4" w:space="0" w:color="auto"/>
              <w:right w:val="nil"/>
            </w:tcBorders>
            <w:shd w:val="clear" w:color="000000" w:fill="6B2976"/>
            <w:noWrap/>
            <w:vAlign w:val="bottom"/>
            <w:hideMark/>
          </w:tcPr>
          <w:p w14:paraId="301EE483" w14:textId="77777777" w:rsidR="00055274" w:rsidRPr="00632B14" w:rsidRDefault="00055274" w:rsidP="00312E88">
            <w:pPr>
              <w:jc w:val="right"/>
              <w:rPr>
                <w:rFonts w:cs="Arial"/>
                <w:b/>
                <w:bCs/>
                <w:color w:val="FFFFFF"/>
                <w:sz w:val="16"/>
                <w:szCs w:val="16"/>
              </w:rPr>
            </w:pPr>
            <w:r w:rsidRPr="00632B14">
              <w:rPr>
                <w:rFonts w:cs="Arial"/>
                <w:b/>
                <w:bCs/>
                <w:color w:val="FFFFFF"/>
                <w:sz w:val="16"/>
                <w:szCs w:val="16"/>
              </w:rPr>
              <w:t>2022-23</w:t>
            </w:r>
          </w:p>
        </w:tc>
        <w:tc>
          <w:tcPr>
            <w:tcW w:w="0" w:type="auto"/>
            <w:tcBorders>
              <w:top w:val="nil"/>
              <w:left w:val="nil"/>
              <w:bottom w:val="single" w:sz="4" w:space="0" w:color="auto"/>
              <w:right w:val="nil"/>
            </w:tcBorders>
            <w:shd w:val="clear" w:color="000000" w:fill="6B2976"/>
            <w:noWrap/>
            <w:vAlign w:val="bottom"/>
            <w:hideMark/>
          </w:tcPr>
          <w:p w14:paraId="2C3148E9" w14:textId="77777777" w:rsidR="00055274" w:rsidRPr="00632B14" w:rsidRDefault="00055274" w:rsidP="00312E88">
            <w:pPr>
              <w:jc w:val="right"/>
              <w:rPr>
                <w:rFonts w:cs="Arial"/>
                <w:b/>
                <w:bCs/>
                <w:color w:val="FFFFFF"/>
                <w:sz w:val="16"/>
                <w:szCs w:val="16"/>
              </w:rPr>
            </w:pPr>
            <w:r w:rsidRPr="00632B14">
              <w:rPr>
                <w:rFonts w:cs="Arial"/>
                <w:b/>
                <w:bCs/>
                <w:color w:val="FFFFFF"/>
                <w:sz w:val="16"/>
                <w:szCs w:val="16"/>
              </w:rPr>
              <w:t>2023-24</w:t>
            </w:r>
          </w:p>
        </w:tc>
        <w:tc>
          <w:tcPr>
            <w:tcW w:w="0" w:type="auto"/>
            <w:tcBorders>
              <w:top w:val="nil"/>
              <w:left w:val="nil"/>
              <w:bottom w:val="single" w:sz="4" w:space="0" w:color="auto"/>
              <w:right w:val="single" w:sz="4" w:space="0" w:color="auto"/>
            </w:tcBorders>
            <w:shd w:val="clear" w:color="000000" w:fill="6B2976"/>
            <w:noWrap/>
            <w:vAlign w:val="bottom"/>
            <w:hideMark/>
          </w:tcPr>
          <w:p w14:paraId="79C6EBE2" w14:textId="77777777" w:rsidR="00055274" w:rsidRPr="00632B14" w:rsidRDefault="00055274" w:rsidP="00312E88">
            <w:pPr>
              <w:jc w:val="right"/>
              <w:rPr>
                <w:rFonts w:cs="Arial"/>
                <w:b/>
                <w:bCs/>
                <w:color w:val="FFFFFF"/>
                <w:sz w:val="16"/>
                <w:szCs w:val="16"/>
              </w:rPr>
            </w:pPr>
            <w:r w:rsidRPr="00632B14">
              <w:rPr>
                <w:rFonts w:cs="Arial"/>
                <w:b/>
                <w:bCs/>
                <w:color w:val="FFFFFF"/>
                <w:sz w:val="16"/>
                <w:szCs w:val="16"/>
              </w:rPr>
              <w:t>2024-25</w:t>
            </w:r>
          </w:p>
        </w:tc>
        <w:tc>
          <w:tcPr>
            <w:tcW w:w="0" w:type="auto"/>
            <w:tcBorders>
              <w:top w:val="nil"/>
              <w:left w:val="nil"/>
              <w:bottom w:val="single" w:sz="4" w:space="0" w:color="auto"/>
              <w:right w:val="single" w:sz="4" w:space="0" w:color="auto"/>
            </w:tcBorders>
            <w:shd w:val="clear" w:color="000000" w:fill="6B2976"/>
            <w:noWrap/>
            <w:vAlign w:val="bottom"/>
            <w:hideMark/>
          </w:tcPr>
          <w:p w14:paraId="5F5423C0" w14:textId="77777777" w:rsidR="00055274" w:rsidRPr="00632B14" w:rsidRDefault="00055274" w:rsidP="00312E88">
            <w:pPr>
              <w:jc w:val="right"/>
              <w:rPr>
                <w:rFonts w:cs="Arial"/>
                <w:b/>
                <w:bCs/>
                <w:color w:val="FFFFFF"/>
                <w:sz w:val="16"/>
                <w:szCs w:val="16"/>
              </w:rPr>
            </w:pPr>
            <w:r w:rsidRPr="00632B14">
              <w:rPr>
                <w:rFonts w:cs="Arial"/>
                <w:b/>
                <w:bCs/>
                <w:color w:val="FFFFFF"/>
                <w:sz w:val="16"/>
                <w:szCs w:val="16"/>
              </w:rPr>
              <w:t>Total</w:t>
            </w:r>
          </w:p>
        </w:tc>
      </w:tr>
      <w:tr w:rsidR="00055274" w:rsidRPr="00632B14" w14:paraId="2673013F" w14:textId="77777777" w:rsidTr="00312E88">
        <w:trPr>
          <w:trHeight w:hRule="exact" w:val="301"/>
        </w:trPr>
        <w:tc>
          <w:tcPr>
            <w:tcW w:w="0" w:type="auto"/>
            <w:tcBorders>
              <w:top w:val="nil"/>
              <w:left w:val="single" w:sz="4" w:space="0" w:color="auto"/>
              <w:bottom w:val="nil"/>
              <w:right w:val="single" w:sz="4" w:space="0" w:color="auto"/>
            </w:tcBorders>
            <w:shd w:val="clear" w:color="auto" w:fill="auto"/>
            <w:noWrap/>
            <w:vAlign w:val="bottom"/>
            <w:hideMark/>
          </w:tcPr>
          <w:p w14:paraId="3FA7F824" w14:textId="77777777" w:rsidR="00055274" w:rsidRPr="00632B14" w:rsidRDefault="00055274" w:rsidP="00312E88">
            <w:pPr>
              <w:rPr>
                <w:rFonts w:cs="Arial"/>
                <w:b/>
                <w:bCs/>
                <w:color w:val="000000"/>
                <w:sz w:val="16"/>
                <w:szCs w:val="16"/>
              </w:rPr>
            </w:pPr>
            <w:r w:rsidRPr="00632B14">
              <w:rPr>
                <w:rFonts w:cs="Arial"/>
                <w:b/>
                <w:bCs/>
                <w:color w:val="000000"/>
                <w:sz w:val="16"/>
                <w:szCs w:val="16"/>
              </w:rPr>
              <w:t>2021-22 Portfolio Budget Statements (PBS)</w:t>
            </w:r>
          </w:p>
          <w:p w14:paraId="29E75CC3" w14:textId="77777777" w:rsidR="00055274" w:rsidRPr="00632B14" w:rsidRDefault="00055274" w:rsidP="00312E88">
            <w:pPr>
              <w:rPr>
                <w:rFonts w:cs="Arial"/>
                <w:color w:val="000000"/>
                <w:sz w:val="16"/>
                <w:szCs w:val="16"/>
              </w:rPr>
            </w:pPr>
            <w:r w:rsidRPr="00632B14">
              <w:rPr>
                <w:rFonts w:cs="Arial"/>
                <w:color w:val="000000"/>
                <w:sz w:val="16"/>
                <w:szCs w:val="16"/>
              </w:rPr>
              <w:t> </w:t>
            </w:r>
          </w:p>
        </w:tc>
        <w:tc>
          <w:tcPr>
            <w:tcW w:w="0" w:type="auto"/>
            <w:tcBorders>
              <w:top w:val="nil"/>
              <w:left w:val="nil"/>
              <w:bottom w:val="nil"/>
              <w:right w:val="nil"/>
            </w:tcBorders>
            <w:shd w:val="clear" w:color="auto" w:fill="auto"/>
            <w:noWrap/>
            <w:vAlign w:val="bottom"/>
            <w:hideMark/>
          </w:tcPr>
          <w:p w14:paraId="2BDE7CF5" w14:textId="77777777" w:rsidR="00055274" w:rsidRPr="00632B14" w:rsidRDefault="00055274" w:rsidP="00312E88">
            <w:pPr>
              <w:jc w:val="right"/>
              <w:rPr>
                <w:rFonts w:cs="Arial"/>
                <w:b/>
                <w:bCs/>
                <w:color w:val="000000"/>
                <w:sz w:val="16"/>
                <w:szCs w:val="16"/>
              </w:rPr>
            </w:pPr>
            <w:r w:rsidRPr="00632B14">
              <w:rPr>
                <w:rFonts w:cs="Arial"/>
                <w:b/>
                <w:bCs/>
                <w:color w:val="000000"/>
                <w:sz w:val="16"/>
                <w:szCs w:val="16"/>
              </w:rPr>
              <w:t>26,487</w:t>
            </w:r>
          </w:p>
        </w:tc>
        <w:tc>
          <w:tcPr>
            <w:tcW w:w="0" w:type="auto"/>
            <w:tcBorders>
              <w:top w:val="nil"/>
              <w:left w:val="nil"/>
              <w:bottom w:val="nil"/>
              <w:right w:val="nil"/>
            </w:tcBorders>
            <w:shd w:val="clear" w:color="auto" w:fill="auto"/>
            <w:noWrap/>
            <w:vAlign w:val="bottom"/>
            <w:hideMark/>
          </w:tcPr>
          <w:p w14:paraId="116C8DDC" w14:textId="77777777" w:rsidR="00055274" w:rsidRPr="00632B14" w:rsidRDefault="00055274" w:rsidP="00312E88">
            <w:pPr>
              <w:jc w:val="right"/>
              <w:rPr>
                <w:rFonts w:cs="Arial"/>
                <w:b/>
                <w:bCs/>
                <w:color w:val="000000"/>
                <w:sz w:val="16"/>
                <w:szCs w:val="16"/>
              </w:rPr>
            </w:pPr>
            <w:r w:rsidRPr="00632B14">
              <w:rPr>
                <w:rFonts w:cs="Arial"/>
                <w:b/>
                <w:bCs/>
                <w:color w:val="000000"/>
                <w:sz w:val="16"/>
                <w:szCs w:val="16"/>
              </w:rPr>
              <w:t>28,257</w:t>
            </w:r>
          </w:p>
        </w:tc>
        <w:tc>
          <w:tcPr>
            <w:tcW w:w="0" w:type="auto"/>
            <w:tcBorders>
              <w:top w:val="nil"/>
              <w:left w:val="nil"/>
              <w:bottom w:val="nil"/>
              <w:right w:val="nil"/>
            </w:tcBorders>
            <w:shd w:val="clear" w:color="auto" w:fill="auto"/>
            <w:noWrap/>
            <w:vAlign w:val="bottom"/>
            <w:hideMark/>
          </w:tcPr>
          <w:p w14:paraId="0C8AF602" w14:textId="77777777" w:rsidR="00055274" w:rsidRPr="00632B14" w:rsidRDefault="00055274" w:rsidP="00312E88">
            <w:pPr>
              <w:jc w:val="right"/>
              <w:rPr>
                <w:rFonts w:cs="Arial"/>
                <w:b/>
                <w:bCs/>
                <w:color w:val="000000"/>
                <w:sz w:val="16"/>
                <w:szCs w:val="16"/>
              </w:rPr>
            </w:pPr>
            <w:r w:rsidRPr="00632B14">
              <w:rPr>
                <w:rFonts w:cs="Arial"/>
                <w:b/>
                <w:bCs/>
                <w:color w:val="000000"/>
                <w:sz w:val="16"/>
                <w:szCs w:val="16"/>
              </w:rPr>
              <w:t>29,425</w:t>
            </w:r>
          </w:p>
        </w:tc>
        <w:tc>
          <w:tcPr>
            <w:tcW w:w="0" w:type="auto"/>
            <w:tcBorders>
              <w:top w:val="nil"/>
              <w:left w:val="nil"/>
              <w:bottom w:val="nil"/>
              <w:right w:val="single" w:sz="4" w:space="0" w:color="auto"/>
            </w:tcBorders>
            <w:shd w:val="clear" w:color="auto" w:fill="auto"/>
            <w:noWrap/>
            <w:vAlign w:val="bottom"/>
            <w:hideMark/>
          </w:tcPr>
          <w:p w14:paraId="4A0C7056" w14:textId="77777777" w:rsidR="00055274" w:rsidRPr="00632B14" w:rsidRDefault="00055274" w:rsidP="00312E88">
            <w:pPr>
              <w:jc w:val="right"/>
              <w:rPr>
                <w:rFonts w:cs="Arial"/>
                <w:b/>
                <w:bCs/>
                <w:color w:val="000000"/>
                <w:sz w:val="16"/>
                <w:szCs w:val="16"/>
              </w:rPr>
            </w:pPr>
            <w:r w:rsidRPr="00632B14">
              <w:rPr>
                <w:rFonts w:cs="Arial"/>
                <w:b/>
                <w:bCs/>
                <w:color w:val="000000"/>
                <w:sz w:val="16"/>
                <w:szCs w:val="16"/>
              </w:rPr>
              <w:t>31,884</w:t>
            </w:r>
          </w:p>
        </w:tc>
        <w:tc>
          <w:tcPr>
            <w:tcW w:w="0" w:type="auto"/>
            <w:tcBorders>
              <w:top w:val="nil"/>
              <w:left w:val="nil"/>
              <w:bottom w:val="nil"/>
              <w:right w:val="single" w:sz="4" w:space="0" w:color="auto"/>
            </w:tcBorders>
            <w:shd w:val="clear" w:color="auto" w:fill="auto"/>
            <w:noWrap/>
            <w:vAlign w:val="bottom"/>
            <w:hideMark/>
          </w:tcPr>
          <w:p w14:paraId="5A3E6344" w14:textId="77777777" w:rsidR="00055274" w:rsidRPr="00632B14" w:rsidRDefault="00055274" w:rsidP="00312E88">
            <w:pPr>
              <w:jc w:val="right"/>
              <w:rPr>
                <w:rFonts w:cs="Arial"/>
                <w:b/>
                <w:bCs/>
                <w:color w:val="000000"/>
                <w:sz w:val="16"/>
                <w:szCs w:val="16"/>
              </w:rPr>
            </w:pPr>
            <w:r w:rsidRPr="00632B14">
              <w:rPr>
                <w:rFonts w:cs="Arial"/>
                <w:b/>
                <w:bCs/>
                <w:color w:val="000000"/>
                <w:sz w:val="16"/>
                <w:szCs w:val="16"/>
              </w:rPr>
              <w:t>116,053</w:t>
            </w:r>
          </w:p>
        </w:tc>
      </w:tr>
      <w:tr w:rsidR="00055274" w:rsidRPr="00632B14" w14:paraId="228B6DA8" w14:textId="77777777" w:rsidTr="00312E88">
        <w:trPr>
          <w:trHeight w:hRule="exact" w:val="301"/>
        </w:trPr>
        <w:tc>
          <w:tcPr>
            <w:tcW w:w="0" w:type="auto"/>
            <w:tcBorders>
              <w:top w:val="nil"/>
              <w:left w:val="single" w:sz="4" w:space="0" w:color="auto"/>
              <w:bottom w:val="nil"/>
              <w:right w:val="single" w:sz="4" w:space="0" w:color="auto"/>
            </w:tcBorders>
            <w:shd w:val="clear" w:color="auto" w:fill="auto"/>
            <w:noWrap/>
            <w:vAlign w:val="bottom"/>
            <w:hideMark/>
          </w:tcPr>
          <w:p w14:paraId="250383B0" w14:textId="77777777" w:rsidR="00055274" w:rsidRPr="00632B14" w:rsidRDefault="00055274" w:rsidP="00312E88">
            <w:pPr>
              <w:rPr>
                <w:rFonts w:cs="Arial"/>
                <w:color w:val="000000"/>
                <w:sz w:val="16"/>
                <w:szCs w:val="16"/>
              </w:rPr>
            </w:pPr>
            <w:r w:rsidRPr="00632B14">
              <w:rPr>
                <w:rFonts w:cs="Arial"/>
                <w:color w:val="000000"/>
                <w:sz w:val="16"/>
                <w:szCs w:val="16"/>
              </w:rPr>
              <w:t>Participant costs from Jun21 AFSR (cash basis)</w:t>
            </w:r>
          </w:p>
          <w:p w14:paraId="12DFBA73" w14:textId="77777777" w:rsidR="00055274" w:rsidRPr="00632B14" w:rsidRDefault="00055274" w:rsidP="00312E88">
            <w:pPr>
              <w:rPr>
                <w:rFonts w:cs="Arial"/>
                <w:color w:val="000000"/>
                <w:sz w:val="16"/>
                <w:szCs w:val="16"/>
              </w:rPr>
            </w:pPr>
            <w:r w:rsidRPr="00632B14">
              <w:rPr>
                <w:rFonts w:cs="Arial"/>
                <w:color w:val="000000"/>
                <w:sz w:val="16"/>
                <w:szCs w:val="16"/>
              </w:rPr>
              <w:t> </w:t>
            </w:r>
          </w:p>
        </w:tc>
        <w:tc>
          <w:tcPr>
            <w:tcW w:w="0" w:type="auto"/>
            <w:tcBorders>
              <w:top w:val="nil"/>
              <w:left w:val="nil"/>
              <w:bottom w:val="nil"/>
              <w:right w:val="nil"/>
            </w:tcBorders>
            <w:shd w:val="clear" w:color="auto" w:fill="auto"/>
            <w:noWrap/>
            <w:vAlign w:val="bottom"/>
            <w:hideMark/>
          </w:tcPr>
          <w:p w14:paraId="2C009A81" w14:textId="77777777" w:rsidR="00055274" w:rsidRPr="00632B14" w:rsidRDefault="00055274" w:rsidP="00312E88">
            <w:pPr>
              <w:jc w:val="right"/>
              <w:rPr>
                <w:rFonts w:cs="Arial"/>
                <w:color w:val="000000"/>
                <w:sz w:val="16"/>
                <w:szCs w:val="16"/>
              </w:rPr>
            </w:pPr>
            <w:r w:rsidRPr="00632B14">
              <w:rPr>
                <w:rFonts w:cs="Arial"/>
                <w:color w:val="000000"/>
                <w:sz w:val="16"/>
                <w:szCs w:val="16"/>
              </w:rPr>
              <w:t>28,831</w:t>
            </w:r>
          </w:p>
        </w:tc>
        <w:tc>
          <w:tcPr>
            <w:tcW w:w="0" w:type="auto"/>
            <w:tcBorders>
              <w:top w:val="nil"/>
              <w:left w:val="nil"/>
              <w:bottom w:val="nil"/>
              <w:right w:val="nil"/>
            </w:tcBorders>
            <w:shd w:val="clear" w:color="auto" w:fill="auto"/>
            <w:noWrap/>
            <w:vAlign w:val="bottom"/>
            <w:hideMark/>
          </w:tcPr>
          <w:p w14:paraId="2E3420B4" w14:textId="77777777" w:rsidR="00055274" w:rsidRPr="00632B14" w:rsidRDefault="00055274" w:rsidP="00312E88">
            <w:pPr>
              <w:jc w:val="right"/>
              <w:rPr>
                <w:rFonts w:cs="Arial"/>
                <w:color w:val="000000"/>
                <w:sz w:val="16"/>
                <w:szCs w:val="16"/>
              </w:rPr>
            </w:pPr>
            <w:r w:rsidRPr="00632B14">
              <w:rPr>
                <w:rFonts w:cs="Arial"/>
                <w:color w:val="000000"/>
                <w:sz w:val="16"/>
                <w:szCs w:val="16"/>
              </w:rPr>
              <w:t>33,429</w:t>
            </w:r>
          </w:p>
        </w:tc>
        <w:tc>
          <w:tcPr>
            <w:tcW w:w="0" w:type="auto"/>
            <w:tcBorders>
              <w:top w:val="nil"/>
              <w:left w:val="nil"/>
              <w:bottom w:val="nil"/>
              <w:right w:val="nil"/>
            </w:tcBorders>
            <w:shd w:val="clear" w:color="auto" w:fill="auto"/>
            <w:noWrap/>
            <w:vAlign w:val="bottom"/>
            <w:hideMark/>
          </w:tcPr>
          <w:p w14:paraId="20D76B11" w14:textId="77777777" w:rsidR="00055274" w:rsidRPr="00632B14" w:rsidRDefault="00055274" w:rsidP="00312E88">
            <w:pPr>
              <w:jc w:val="right"/>
              <w:rPr>
                <w:rFonts w:cs="Arial"/>
                <w:color w:val="000000"/>
                <w:sz w:val="16"/>
                <w:szCs w:val="16"/>
              </w:rPr>
            </w:pPr>
            <w:r w:rsidRPr="00632B14">
              <w:rPr>
                <w:rFonts w:cs="Arial"/>
                <w:color w:val="000000"/>
                <w:sz w:val="16"/>
                <w:szCs w:val="16"/>
              </w:rPr>
              <w:t>37,459</w:t>
            </w:r>
          </w:p>
        </w:tc>
        <w:tc>
          <w:tcPr>
            <w:tcW w:w="0" w:type="auto"/>
            <w:tcBorders>
              <w:top w:val="nil"/>
              <w:left w:val="nil"/>
              <w:bottom w:val="nil"/>
              <w:right w:val="single" w:sz="4" w:space="0" w:color="auto"/>
            </w:tcBorders>
            <w:shd w:val="clear" w:color="auto" w:fill="auto"/>
            <w:noWrap/>
            <w:vAlign w:val="bottom"/>
            <w:hideMark/>
          </w:tcPr>
          <w:p w14:paraId="03331E35" w14:textId="77777777" w:rsidR="00055274" w:rsidRPr="00632B14" w:rsidRDefault="00055274" w:rsidP="00312E88">
            <w:pPr>
              <w:jc w:val="right"/>
              <w:rPr>
                <w:rFonts w:cs="Arial"/>
                <w:color w:val="000000"/>
                <w:sz w:val="16"/>
                <w:szCs w:val="16"/>
              </w:rPr>
            </w:pPr>
            <w:r w:rsidRPr="00632B14">
              <w:rPr>
                <w:rFonts w:cs="Arial"/>
                <w:color w:val="000000"/>
                <w:sz w:val="16"/>
                <w:szCs w:val="16"/>
              </w:rPr>
              <w:t>40,814</w:t>
            </w:r>
          </w:p>
        </w:tc>
        <w:tc>
          <w:tcPr>
            <w:tcW w:w="0" w:type="auto"/>
            <w:tcBorders>
              <w:top w:val="nil"/>
              <w:left w:val="nil"/>
              <w:bottom w:val="nil"/>
              <w:right w:val="single" w:sz="4" w:space="0" w:color="auto"/>
            </w:tcBorders>
            <w:shd w:val="clear" w:color="auto" w:fill="auto"/>
            <w:noWrap/>
            <w:vAlign w:val="bottom"/>
            <w:hideMark/>
          </w:tcPr>
          <w:p w14:paraId="5B1A7F1D" w14:textId="77777777" w:rsidR="00055274" w:rsidRPr="00632B14" w:rsidRDefault="00055274" w:rsidP="00312E88">
            <w:pPr>
              <w:jc w:val="right"/>
              <w:rPr>
                <w:rFonts w:cs="Arial"/>
                <w:color w:val="000000"/>
                <w:sz w:val="16"/>
                <w:szCs w:val="16"/>
              </w:rPr>
            </w:pPr>
            <w:r w:rsidRPr="00632B14">
              <w:rPr>
                <w:rFonts w:cs="Arial"/>
                <w:color w:val="000000"/>
                <w:sz w:val="16"/>
                <w:szCs w:val="16"/>
              </w:rPr>
              <w:t>140,534</w:t>
            </w:r>
          </w:p>
        </w:tc>
      </w:tr>
      <w:tr w:rsidR="00055274" w:rsidRPr="00632B14" w14:paraId="3BF4A56D" w14:textId="77777777" w:rsidTr="00312E88">
        <w:trPr>
          <w:trHeight w:hRule="exact" w:val="30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FA82A6" w14:textId="77777777" w:rsidR="00055274" w:rsidRPr="00632B14" w:rsidRDefault="00055274" w:rsidP="00312E88">
            <w:pPr>
              <w:rPr>
                <w:rFonts w:cs="Arial"/>
                <w:color w:val="000000"/>
                <w:sz w:val="16"/>
                <w:szCs w:val="16"/>
              </w:rPr>
            </w:pPr>
            <w:r w:rsidRPr="00632B14">
              <w:rPr>
                <w:rFonts w:cs="Arial"/>
                <w:color w:val="000000"/>
                <w:sz w:val="16"/>
                <w:szCs w:val="16"/>
              </w:rPr>
              <w:t>Estimated costs for support provided but not yet paid</w:t>
            </w:r>
          </w:p>
          <w:p w14:paraId="7A72F21E" w14:textId="77777777" w:rsidR="00055274" w:rsidRPr="00632B14" w:rsidRDefault="00055274" w:rsidP="00312E88">
            <w:pPr>
              <w:rPr>
                <w:rFonts w:cs="Arial"/>
                <w:color w:val="000000"/>
                <w:sz w:val="16"/>
                <w:szCs w:val="16"/>
              </w:rPr>
            </w:pPr>
            <w:r w:rsidRPr="00632B14">
              <w:rPr>
                <w:rFonts w:cs="Arial"/>
                <w:color w:val="000000"/>
                <w:sz w:val="16"/>
                <w:szCs w:val="16"/>
              </w:rPr>
              <w:t> </w:t>
            </w:r>
          </w:p>
          <w:p w14:paraId="26BF649B" w14:textId="77777777" w:rsidR="00055274" w:rsidRPr="00632B14" w:rsidRDefault="00055274" w:rsidP="00312E88">
            <w:pPr>
              <w:rPr>
                <w:rFonts w:cs="Arial"/>
                <w:color w:val="000000"/>
                <w:sz w:val="16"/>
                <w:szCs w:val="16"/>
              </w:rPr>
            </w:pPr>
            <w:r w:rsidRPr="00632B14">
              <w:rPr>
                <w:rFonts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178363F4" w14:textId="77777777" w:rsidR="00055274" w:rsidRPr="00632B14" w:rsidRDefault="00055274" w:rsidP="00312E88">
            <w:pPr>
              <w:jc w:val="right"/>
              <w:rPr>
                <w:rFonts w:cs="Arial"/>
                <w:color w:val="000000"/>
                <w:sz w:val="16"/>
                <w:szCs w:val="16"/>
              </w:rPr>
            </w:pPr>
            <w:r w:rsidRPr="00632B14">
              <w:rPr>
                <w:rFonts w:cs="Arial"/>
                <w:color w:val="000000"/>
                <w:sz w:val="16"/>
                <w:szCs w:val="16"/>
              </w:rPr>
              <w:t>392</w:t>
            </w:r>
          </w:p>
        </w:tc>
        <w:tc>
          <w:tcPr>
            <w:tcW w:w="0" w:type="auto"/>
            <w:tcBorders>
              <w:top w:val="nil"/>
              <w:left w:val="nil"/>
              <w:bottom w:val="single" w:sz="4" w:space="0" w:color="auto"/>
              <w:right w:val="nil"/>
            </w:tcBorders>
            <w:shd w:val="clear" w:color="auto" w:fill="auto"/>
            <w:noWrap/>
            <w:vAlign w:val="bottom"/>
            <w:hideMark/>
          </w:tcPr>
          <w:p w14:paraId="269E52B8" w14:textId="77777777" w:rsidR="00055274" w:rsidRPr="00632B14" w:rsidRDefault="00055274" w:rsidP="00312E88">
            <w:pPr>
              <w:jc w:val="right"/>
              <w:rPr>
                <w:rFonts w:cs="Arial"/>
                <w:color w:val="000000"/>
                <w:sz w:val="16"/>
                <w:szCs w:val="16"/>
              </w:rPr>
            </w:pPr>
            <w:r w:rsidRPr="00632B14">
              <w:rPr>
                <w:rFonts w:cs="Arial"/>
                <w:color w:val="000000"/>
                <w:sz w:val="16"/>
                <w:szCs w:val="16"/>
              </w:rPr>
              <w:t>457</w:t>
            </w:r>
          </w:p>
        </w:tc>
        <w:tc>
          <w:tcPr>
            <w:tcW w:w="0" w:type="auto"/>
            <w:tcBorders>
              <w:top w:val="nil"/>
              <w:left w:val="nil"/>
              <w:bottom w:val="single" w:sz="4" w:space="0" w:color="auto"/>
              <w:right w:val="nil"/>
            </w:tcBorders>
            <w:shd w:val="clear" w:color="auto" w:fill="auto"/>
            <w:noWrap/>
            <w:vAlign w:val="bottom"/>
            <w:hideMark/>
          </w:tcPr>
          <w:p w14:paraId="22D836D6" w14:textId="77777777" w:rsidR="00055274" w:rsidRPr="00632B14" w:rsidRDefault="00055274" w:rsidP="00312E88">
            <w:pPr>
              <w:jc w:val="right"/>
              <w:rPr>
                <w:rFonts w:cs="Arial"/>
                <w:color w:val="000000"/>
                <w:sz w:val="16"/>
                <w:szCs w:val="16"/>
              </w:rPr>
            </w:pPr>
            <w:r w:rsidRPr="00632B14">
              <w:rPr>
                <w:rFonts w:cs="Arial"/>
                <w:color w:val="000000"/>
                <w:sz w:val="16"/>
                <w:szCs w:val="16"/>
              </w:rPr>
              <w:t>513</w:t>
            </w:r>
          </w:p>
        </w:tc>
        <w:tc>
          <w:tcPr>
            <w:tcW w:w="0" w:type="auto"/>
            <w:tcBorders>
              <w:top w:val="nil"/>
              <w:left w:val="nil"/>
              <w:bottom w:val="single" w:sz="4" w:space="0" w:color="auto"/>
              <w:right w:val="single" w:sz="4" w:space="0" w:color="auto"/>
            </w:tcBorders>
            <w:shd w:val="clear" w:color="auto" w:fill="auto"/>
            <w:noWrap/>
            <w:vAlign w:val="bottom"/>
            <w:hideMark/>
          </w:tcPr>
          <w:p w14:paraId="5BBC68FC" w14:textId="77777777" w:rsidR="00055274" w:rsidRPr="00632B14" w:rsidRDefault="00055274" w:rsidP="00312E88">
            <w:pPr>
              <w:jc w:val="right"/>
              <w:rPr>
                <w:rFonts w:cs="Arial"/>
                <w:color w:val="000000"/>
                <w:sz w:val="16"/>
                <w:szCs w:val="16"/>
              </w:rPr>
            </w:pPr>
            <w:r w:rsidRPr="00632B14">
              <w:rPr>
                <w:rFonts w:cs="Arial"/>
                <w:color w:val="000000"/>
                <w:sz w:val="16"/>
                <w:szCs w:val="16"/>
              </w:rPr>
              <w:t>558</w:t>
            </w:r>
          </w:p>
        </w:tc>
        <w:tc>
          <w:tcPr>
            <w:tcW w:w="0" w:type="auto"/>
            <w:tcBorders>
              <w:top w:val="nil"/>
              <w:left w:val="nil"/>
              <w:bottom w:val="single" w:sz="4" w:space="0" w:color="auto"/>
              <w:right w:val="single" w:sz="4" w:space="0" w:color="auto"/>
            </w:tcBorders>
            <w:shd w:val="clear" w:color="auto" w:fill="auto"/>
            <w:noWrap/>
            <w:vAlign w:val="bottom"/>
            <w:hideMark/>
          </w:tcPr>
          <w:p w14:paraId="6614830E" w14:textId="77777777" w:rsidR="00055274" w:rsidRPr="00632B14" w:rsidRDefault="00055274" w:rsidP="00312E88">
            <w:pPr>
              <w:jc w:val="right"/>
              <w:rPr>
                <w:rFonts w:cs="Arial"/>
                <w:color w:val="000000"/>
                <w:sz w:val="16"/>
                <w:szCs w:val="16"/>
              </w:rPr>
            </w:pPr>
            <w:r w:rsidRPr="00632B14">
              <w:rPr>
                <w:rFonts w:cs="Arial"/>
                <w:color w:val="000000"/>
                <w:sz w:val="16"/>
                <w:szCs w:val="16"/>
              </w:rPr>
              <w:t>1,921</w:t>
            </w:r>
          </w:p>
        </w:tc>
      </w:tr>
      <w:tr w:rsidR="00055274" w:rsidRPr="00632B14" w14:paraId="327387E0" w14:textId="77777777" w:rsidTr="00312E88">
        <w:trPr>
          <w:trHeight w:hRule="exact" w:val="301"/>
        </w:trPr>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337B0B4F" w14:textId="77777777" w:rsidR="00055274" w:rsidRPr="00632B14" w:rsidRDefault="00055274" w:rsidP="00312E88">
            <w:pPr>
              <w:rPr>
                <w:rFonts w:cs="Arial"/>
                <w:b/>
                <w:bCs/>
                <w:sz w:val="16"/>
                <w:szCs w:val="16"/>
              </w:rPr>
            </w:pPr>
            <w:r w:rsidRPr="00632B14">
              <w:rPr>
                <w:rFonts w:cs="Arial"/>
                <w:b/>
                <w:bCs/>
                <w:sz w:val="16"/>
                <w:szCs w:val="16"/>
              </w:rPr>
              <w:t>Participant costs from Jun21 AFSR (accrual basis)</w:t>
            </w:r>
          </w:p>
          <w:p w14:paraId="126D9ED5" w14:textId="77777777" w:rsidR="00055274" w:rsidRPr="00632B14" w:rsidRDefault="00055274" w:rsidP="00312E88">
            <w:pPr>
              <w:rPr>
                <w:rFonts w:cs="Arial"/>
                <w:sz w:val="16"/>
                <w:szCs w:val="16"/>
              </w:rPr>
            </w:pPr>
            <w:r w:rsidRPr="00632B14">
              <w:rPr>
                <w:rFonts w:cs="Arial"/>
                <w:sz w:val="16"/>
                <w:szCs w:val="16"/>
              </w:rPr>
              <w:t> </w:t>
            </w:r>
          </w:p>
          <w:p w14:paraId="12730FA6" w14:textId="77777777" w:rsidR="00055274" w:rsidRPr="00632B14" w:rsidRDefault="00055274" w:rsidP="00312E88">
            <w:pPr>
              <w:rPr>
                <w:rFonts w:cs="Arial"/>
                <w:sz w:val="16"/>
                <w:szCs w:val="16"/>
              </w:rPr>
            </w:pPr>
            <w:r w:rsidRPr="00632B14">
              <w:rPr>
                <w:rFonts w:cs="Arial"/>
                <w:sz w:val="16"/>
                <w:szCs w:val="16"/>
              </w:rPr>
              <w:t> </w:t>
            </w:r>
          </w:p>
        </w:tc>
        <w:tc>
          <w:tcPr>
            <w:tcW w:w="0" w:type="auto"/>
            <w:tcBorders>
              <w:top w:val="nil"/>
              <w:left w:val="nil"/>
              <w:bottom w:val="nil"/>
              <w:right w:val="nil"/>
            </w:tcBorders>
            <w:shd w:val="clear" w:color="auto" w:fill="auto"/>
            <w:noWrap/>
            <w:vAlign w:val="bottom"/>
            <w:hideMark/>
          </w:tcPr>
          <w:p w14:paraId="632C049B" w14:textId="77777777" w:rsidR="00055274" w:rsidRPr="00632B14" w:rsidRDefault="00055274" w:rsidP="00312E88">
            <w:pPr>
              <w:jc w:val="right"/>
              <w:rPr>
                <w:rFonts w:cs="Arial"/>
                <w:b/>
                <w:bCs/>
                <w:sz w:val="16"/>
                <w:szCs w:val="16"/>
              </w:rPr>
            </w:pPr>
            <w:r w:rsidRPr="00632B14">
              <w:rPr>
                <w:rFonts w:cs="Arial"/>
                <w:b/>
                <w:bCs/>
                <w:sz w:val="16"/>
                <w:szCs w:val="16"/>
              </w:rPr>
              <w:t>29,223</w:t>
            </w:r>
          </w:p>
        </w:tc>
        <w:tc>
          <w:tcPr>
            <w:tcW w:w="0" w:type="auto"/>
            <w:tcBorders>
              <w:top w:val="nil"/>
              <w:left w:val="nil"/>
              <w:bottom w:val="nil"/>
              <w:right w:val="nil"/>
            </w:tcBorders>
            <w:shd w:val="clear" w:color="auto" w:fill="auto"/>
            <w:noWrap/>
            <w:vAlign w:val="bottom"/>
            <w:hideMark/>
          </w:tcPr>
          <w:p w14:paraId="2AB99C15" w14:textId="77777777" w:rsidR="00055274" w:rsidRPr="00632B14" w:rsidRDefault="00055274" w:rsidP="00312E88">
            <w:pPr>
              <w:jc w:val="right"/>
              <w:rPr>
                <w:rFonts w:cs="Arial"/>
                <w:b/>
                <w:bCs/>
                <w:sz w:val="16"/>
                <w:szCs w:val="16"/>
              </w:rPr>
            </w:pPr>
            <w:r w:rsidRPr="00632B14">
              <w:rPr>
                <w:rFonts w:cs="Arial"/>
                <w:b/>
                <w:bCs/>
                <w:sz w:val="16"/>
                <w:szCs w:val="16"/>
              </w:rPr>
              <w:t>33,886</w:t>
            </w:r>
          </w:p>
        </w:tc>
        <w:tc>
          <w:tcPr>
            <w:tcW w:w="0" w:type="auto"/>
            <w:tcBorders>
              <w:top w:val="nil"/>
              <w:left w:val="nil"/>
              <w:bottom w:val="nil"/>
              <w:right w:val="nil"/>
            </w:tcBorders>
            <w:shd w:val="clear" w:color="auto" w:fill="auto"/>
            <w:noWrap/>
            <w:vAlign w:val="bottom"/>
            <w:hideMark/>
          </w:tcPr>
          <w:p w14:paraId="2DA58914" w14:textId="77777777" w:rsidR="00055274" w:rsidRPr="00632B14" w:rsidRDefault="00055274" w:rsidP="00312E88">
            <w:pPr>
              <w:jc w:val="right"/>
              <w:rPr>
                <w:rFonts w:cs="Arial"/>
                <w:b/>
                <w:bCs/>
                <w:sz w:val="16"/>
                <w:szCs w:val="16"/>
              </w:rPr>
            </w:pPr>
            <w:r w:rsidRPr="00632B14">
              <w:rPr>
                <w:rFonts w:cs="Arial"/>
                <w:b/>
                <w:bCs/>
                <w:sz w:val="16"/>
                <w:szCs w:val="16"/>
              </w:rPr>
              <w:t>37,973</w:t>
            </w:r>
          </w:p>
        </w:tc>
        <w:tc>
          <w:tcPr>
            <w:tcW w:w="0" w:type="auto"/>
            <w:tcBorders>
              <w:top w:val="nil"/>
              <w:left w:val="nil"/>
              <w:bottom w:val="nil"/>
              <w:right w:val="single" w:sz="4" w:space="0" w:color="auto"/>
            </w:tcBorders>
            <w:shd w:val="clear" w:color="auto" w:fill="auto"/>
            <w:noWrap/>
            <w:vAlign w:val="bottom"/>
            <w:hideMark/>
          </w:tcPr>
          <w:p w14:paraId="428887A0" w14:textId="77777777" w:rsidR="00055274" w:rsidRPr="00632B14" w:rsidRDefault="00055274" w:rsidP="00312E88">
            <w:pPr>
              <w:jc w:val="right"/>
              <w:rPr>
                <w:rFonts w:cs="Arial"/>
                <w:b/>
                <w:bCs/>
                <w:sz w:val="16"/>
                <w:szCs w:val="16"/>
              </w:rPr>
            </w:pPr>
            <w:r w:rsidRPr="00632B14">
              <w:rPr>
                <w:rFonts w:cs="Arial"/>
                <w:b/>
                <w:bCs/>
                <w:sz w:val="16"/>
                <w:szCs w:val="16"/>
              </w:rPr>
              <w:t>41,373</w:t>
            </w:r>
          </w:p>
        </w:tc>
        <w:tc>
          <w:tcPr>
            <w:tcW w:w="0" w:type="auto"/>
            <w:tcBorders>
              <w:top w:val="nil"/>
              <w:left w:val="nil"/>
              <w:bottom w:val="nil"/>
              <w:right w:val="single" w:sz="4" w:space="0" w:color="auto"/>
            </w:tcBorders>
            <w:shd w:val="clear" w:color="auto" w:fill="auto"/>
            <w:noWrap/>
            <w:vAlign w:val="bottom"/>
            <w:hideMark/>
          </w:tcPr>
          <w:p w14:paraId="0AC7EA48" w14:textId="77777777" w:rsidR="00055274" w:rsidRPr="00632B14" w:rsidRDefault="00055274" w:rsidP="00312E88">
            <w:pPr>
              <w:jc w:val="right"/>
              <w:rPr>
                <w:rFonts w:cs="Arial"/>
                <w:b/>
                <w:bCs/>
                <w:sz w:val="16"/>
                <w:szCs w:val="16"/>
              </w:rPr>
            </w:pPr>
            <w:r w:rsidRPr="00632B14">
              <w:rPr>
                <w:rFonts w:cs="Arial"/>
                <w:b/>
                <w:bCs/>
                <w:sz w:val="16"/>
                <w:szCs w:val="16"/>
              </w:rPr>
              <w:t>142,455</w:t>
            </w:r>
          </w:p>
        </w:tc>
      </w:tr>
      <w:tr w:rsidR="00055274" w:rsidRPr="00632B14" w14:paraId="1EDD25CF" w14:textId="77777777" w:rsidTr="00312E88">
        <w:trPr>
          <w:trHeight w:hRule="exact" w:val="30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306D4D" w14:textId="77777777" w:rsidR="00055274" w:rsidRPr="00632B14" w:rsidRDefault="00055274" w:rsidP="00312E88">
            <w:pPr>
              <w:rPr>
                <w:rFonts w:cs="Arial"/>
                <w:b/>
                <w:bCs/>
                <w:sz w:val="16"/>
                <w:szCs w:val="16"/>
              </w:rPr>
            </w:pPr>
            <w:r w:rsidRPr="00632B14">
              <w:rPr>
                <w:rFonts w:cs="Arial"/>
                <w:b/>
                <w:bCs/>
                <w:sz w:val="16"/>
                <w:szCs w:val="16"/>
              </w:rPr>
              <w:t>Participant costs, compared to Portfolio Budget Statements</w:t>
            </w:r>
          </w:p>
          <w:p w14:paraId="7DDDDD0A" w14:textId="77777777" w:rsidR="00055274" w:rsidRPr="00632B14" w:rsidRDefault="00055274" w:rsidP="00312E88">
            <w:pPr>
              <w:rPr>
                <w:rFonts w:cs="Arial"/>
                <w:color w:val="000000"/>
                <w:sz w:val="16"/>
                <w:szCs w:val="16"/>
              </w:rPr>
            </w:pPr>
            <w:r w:rsidRPr="00632B14">
              <w:rPr>
                <w:rFonts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4375C012" w14:textId="77777777" w:rsidR="00055274" w:rsidRPr="00632B14" w:rsidRDefault="00055274" w:rsidP="00312E88">
            <w:pPr>
              <w:jc w:val="right"/>
              <w:rPr>
                <w:rFonts w:cs="Arial"/>
                <w:b/>
                <w:bCs/>
                <w:color w:val="000000"/>
                <w:sz w:val="16"/>
                <w:szCs w:val="16"/>
              </w:rPr>
            </w:pPr>
            <w:r w:rsidRPr="00632B14">
              <w:rPr>
                <w:rFonts w:cs="Arial"/>
                <w:b/>
                <w:bCs/>
                <w:color w:val="000000"/>
                <w:sz w:val="16"/>
                <w:szCs w:val="16"/>
              </w:rPr>
              <w:t>2,736</w:t>
            </w:r>
          </w:p>
        </w:tc>
        <w:tc>
          <w:tcPr>
            <w:tcW w:w="0" w:type="auto"/>
            <w:tcBorders>
              <w:top w:val="nil"/>
              <w:left w:val="nil"/>
              <w:bottom w:val="single" w:sz="4" w:space="0" w:color="auto"/>
              <w:right w:val="nil"/>
            </w:tcBorders>
            <w:shd w:val="clear" w:color="auto" w:fill="auto"/>
            <w:noWrap/>
            <w:vAlign w:val="bottom"/>
            <w:hideMark/>
          </w:tcPr>
          <w:p w14:paraId="17563AB3" w14:textId="77777777" w:rsidR="00055274" w:rsidRPr="00632B14" w:rsidRDefault="00055274" w:rsidP="00312E88">
            <w:pPr>
              <w:jc w:val="right"/>
              <w:rPr>
                <w:rFonts w:cs="Arial"/>
                <w:b/>
                <w:bCs/>
                <w:color w:val="000000"/>
                <w:sz w:val="16"/>
                <w:szCs w:val="16"/>
              </w:rPr>
            </w:pPr>
            <w:r w:rsidRPr="00632B14">
              <w:rPr>
                <w:rFonts w:cs="Arial"/>
                <w:b/>
                <w:bCs/>
                <w:color w:val="000000"/>
                <w:sz w:val="16"/>
                <w:szCs w:val="16"/>
              </w:rPr>
              <w:t>5,629</w:t>
            </w:r>
          </w:p>
        </w:tc>
        <w:tc>
          <w:tcPr>
            <w:tcW w:w="0" w:type="auto"/>
            <w:tcBorders>
              <w:top w:val="nil"/>
              <w:left w:val="nil"/>
              <w:bottom w:val="single" w:sz="4" w:space="0" w:color="auto"/>
              <w:right w:val="nil"/>
            </w:tcBorders>
            <w:shd w:val="clear" w:color="auto" w:fill="auto"/>
            <w:noWrap/>
            <w:vAlign w:val="bottom"/>
            <w:hideMark/>
          </w:tcPr>
          <w:p w14:paraId="6216956E" w14:textId="77777777" w:rsidR="00055274" w:rsidRPr="00632B14" w:rsidRDefault="00055274" w:rsidP="00312E88">
            <w:pPr>
              <w:jc w:val="right"/>
              <w:rPr>
                <w:rFonts w:cs="Arial"/>
                <w:b/>
                <w:bCs/>
                <w:color w:val="000000"/>
                <w:sz w:val="16"/>
                <w:szCs w:val="16"/>
              </w:rPr>
            </w:pPr>
            <w:r w:rsidRPr="00632B14">
              <w:rPr>
                <w:rFonts w:cs="Arial"/>
                <w:b/>
                <w:bCs/>
                <w:color w:val="000000"/>
                <w:sz w:val="16"/>
                <w:szCs w:val="16"/>
              </w:rPr>
              <w:t>8,548</w:t>
            </w:r>
          </w:p>
        </w:tc>
        <w:tc>
          <w:tcPr>
            <w:tcW w:w="0" w:type="auto"/>
            <w:tcBorders>
              <w:top w:val="nil"/>
              <w:left w:val="nil"/>
              <w:bottom w:val="single" w:sz="4" w:space="0" w:color="auto"/>
              <w:right w:val="single" w:sz="4" w:space="0" w:color="auto"/>
            </w:tcBorders>
            <w:shd w:val="clear" w:color="auto" w:fill="auto"/>
            <w:noWrap/>
            <w:vAlign w:val="bottom"/>
            <w:hideMark/>
          </w:tcPr>
          <w:p w14:paraId="176F83D7" w14:textId="77777777" w:rsidR="00055274" w:rsidRPr="00632B14" w:rsidRDefault="00055274" w:rsidP="00312E88">
            <w:pPr>
              <w:jc w:val="right"/>
              <w:rPr>
                <w:rFonts w:cs="Arial"/>
                <w:b/>
                <w:bCs/>
                <w:color w:val="000000"/>
                <w:sz w:val="16"/>
                <w:szCs w:val="16"/>
              </w:rPr>
            </w:pPr>
            <w:r w:rsidRPr="00632B14">
              <w:rPr>
                <w:rFonts w:cs="Arial"/>
                <w:b/>
                <w:bCs/>
                <w:color w:val="000000"/>
                <w:sz w:val="16"/>
                <w:szCs w:val="16"/>
              </w:rPr>
              <w:t>9,489</w:t>
            </w:r>
          </w:p>
        </w:tc>
        <w:tc>
          <w:tcPr>
            <w:tcW w:w="0" w:type="auto"/>
            <w:tcBorders>
              <w:top w:val="nil"/>
              <w:left w:val="nil"/>
              <w:bottom w:val="single" w:sz="4" w:space="0" w:color="auto"/>
              <w:right w:val="single" w:sz="4" w:space="0" w:color="auto"/>
            </w:tcBorders>
            <w:shd w:val="clear" w:color="auto" w:fill="auto"/>
            <w:noWrap/>
            <w:vAlign w:val="bottom"/>
            <w:hideMark/>
          </w:tcPr>
          <w:p w14:paraId="2C2191A5" w14:textId="77777777" w:rsidR="00055274" w:rsidRPr="00632B14" w:rsidRDefault="00055274" w:rsidP="00312E88">
            <w:pPr>
              <w:jc w:val="right"/>
              <w:rPr>
                <w:rFonts w:cs="Arial"/>
                <w:b/>
                <w:bCs/>
                <w:color w:val="000000"/>
                <w:sz w:val="16"/>
                <w:szCs w:val="16"/>
              </w:rPr>
            </w:pPr>
            <w:r w:rsidRPr="00632B14">
              <w:rPr>
                <w:rFonts w:cs="Arial"/>
                <w:b/>
                <w:bCs/>
                <w:color w:val="000000"/>
                <w:sz w:val="16"/>
                <w:szCs w:val="16"/>
              </w:rPr>
              <w:t>26,402</w:t>
            </w:r>
          </w:p>
        </w:tc>
      </w:tr>
    </w:tbl>
    <w:p w14:paraId="150BF69B" w14:textId="59F29FE7" w:rsidR="00AB0120" w:rsidRPr="00C578EB" w:rsidRDefault="00AB0120" w:rsidP="00AB0120">
      <w:pPr>
        <w:pStyle w:val="FSRnormal"/>
      </w:pPr>
    </w:p>
    <w:p w14:paraId="07005D79" w14:textId="77777777" w:rsidR="00AB0120" w:rsidRDefault="00AB0120" w:rsidP="00AB0120">
      <w:pPr>
        <w:pStyle w:val="FSRHeading4"/>
      </w:pPr>
      <w:r>
        <w:t>Comparison with 2017 Productivity Commission report</w:t>
      </w:r>
    </w:p>
    <w:p w14:paraId="340E912C" w14:textId="0F641EBF" w:rsidR="00AB0120" w:rsidRPr="00405627" w:rsidRDefault="00AB0120" w:rsidP="00AB0120">
      <w:pPr>
        <w:pStyle w:val="FSRnormal"/>
      </w:pPr>
      <w:r w:rsidRPr="00405627">
        <w:t xml:space="preserve">The baseline projection can be compared against the projections outlined in </w:t>
      </w:r>
      <w:r>
        <w:t xml:space="preserve">the </w:t>
      </w:r>
      <w:r w:rsidRPr="00405627">
        <w:t>2017 PC study report</w:t>
      </w:r>
      <w:r>
        <w:rPr>
          <w:rStyle w:val="FootnoteReference"/>
        </w:rPr>
        <w:footnoteReference w:id="76"/>
      </w:r>
      <w:r w:rsidRPr="00405627">
        <w:t>, updated for unanticipated costs</w:t>
      </w:r>
      <w:r>
        <w:t xml:space="preserve"> (</w:t>
      </w:r>
      <w:r>
        <w:fldChar w:fldCharType="begin"/>
      </w:r>
      <w:r>
        <w:instrText xml:space="preserve"> REF _Ref80109843 \h </w:instrText>
      </w:r>
      <w:r>
        <w:fldChar w:fldCharType="separate"/>
      </w:r>
      <w:r w:rsidR="00E50032" w:rsidRPr="00405627">
        <w:t xml:space="preserve">Table </w:t>
      </w:r>
      <w:r w:rsidR="00E50032">
        <w:rPr>
          <w:noProof/>
        </w:rPr>
        <w:t>49</w:t>
      </w:r>
      <w:r>
        <w:fldChar w:fldCharType="end"/>
      </w:r>
      <w:r>
        <w:t>)</w:t>
      </w:r>
      <w:r w:rsidRPr="00405627">
        <w:t xml:space="preserve">. </w:t>
      </w:r>
    </w:p>
    <w:p w14:paraId="2DE410E3" w14:textId="62CE9D2D" w:rsidR="00AB0120" w:rsidRPr="00405627" w:rsidRDefault="00AB0120" w:rsidP="00AB0120">
      <w:pPr>
        <w:pStyle w:val="Tables"/>
      </w:pPr>
      <w:bookmarkStart w:id="258" w:name="_Ref80109843"/>
      <w:r w:rsidRPr="00405627">
        <w:lastRenderedPageBreak/>
        <w:t xml:space="preserve">Table </w:t>
      </w:r>
      <w:fldSimple w:instr=" SEQ Table \* ARABIC ">
        <w:r w:rsidR="00E50032">
          <w:rPr>
            <w:noProof/>
          </w:rPr>
          <w:t>49</w:t>
        </w:r>
      </w:fldSimple>
      <w:bookmarkEnd w:id="258"/>
      <w:r w:rsidRPr="00405627">
        <w:t xml:space="preserve"> Estimates of Scheme costs in the 2017 PC study report</w:t>
      </w:r>
      <w:r>
        <w:rPr>
          <w:rStyle w:val="FootnoteReference"/>
        </w:rPr>
        <w:footnoteReference w:id="77"/>
      </w:r>
    </w:p>
    <w:tbl>
      <w:tblPr>
        <w:tblW w:w="0" w:type="auto"/>
        <w:tblLook w:val="04A0" w:firstRow="1" w:lastRow="0" w:firstColumn="1" w:lastColumn="0" w:noHBand="0" w:noVBand="1"/>
      </w:tblPr>
      <w:tblGrid>
        <w:gridCol w:w="4129"/>
        <w:gridCol w:w="804"/>
        <w:gridCol w:w="804"/>
        <w:gridCol w:w="804"/>
        <w:gridCol w:w="804"/>
        <w:gridCol w:w="804"/>
      </w:tblGrid>
      <w:tr w:rsidR="008566DB" w:rsidRPr="00632B14" w14:paraId="4615E51D" w14:textId="77777777" w:rsidTr="00312E88">
        <w:trPr>
          <w:trHeight w:val="300"/>
          <w:tblHeader/>
        </w:trPr>
        <w:tc>
          <w:tcPr>
            <w:tcW w:w="0" w:type="auto"/>
            <w:tcBorders>
              <w:top w:val="single" w:sz="4" w:space="0" w:color="auto"/>
              <w:left w:val="single" w:sz="4" w:space="0" w:color="auto"/>
              <w:bottom w:val="single" w:sz="4" w:space="0" w:color="auto"/>
              <w:right w:val="nil"/>
            </w:tcBorders>
            <w:shd w:val="clear" w:color="000000" w:fill="6B2F76"/>
            <w:noWrap/>
            <w:vAlign w:val="bottom"/>
            <w:hideMark/>
          </w:tcPr>
          <w:p w14:paraId="0FA40C05" w14:textId="47B2C952" w:rsidR="008566DB" w:rsidRPr="00632B14" w:rsidRDefault="008566DB" w:rsidP="00312E88">
            <w:pPr>
              <w:rPr>
                <w:rFonts w:cs="Arial"/>
                <w:b/>
                <w:bCs/>
                <w:color w:val="FFFFFF"/>
                <w:sz w:val="16"/>
                <w:szCs w:val="16"/>
              </w:rPr>
            </w:pPr>
            <w:r w:rsidRPr="00632B14">
              <w:rPr>
                <w:rFonts w:cs="Arial"/>
                <w:b/>
                <w:bCs/>
                <w:color w:val="FFFFFF"/>
                <w:sz w:val="16"/>
                <w:szCs w:val="16"/>
              </w:rPr>
              <w:t>Parti</w:t>
            </w:r>
            <w:r w:rsidR="00604441">
              <w:rPr>
                <w:rFonts w:cs="Arial"/>
                <w:b/>
                <w:bCs/>
                <w:color w:val="FFFFFF"/>
                <w:sz w:val="16"/>
                <w:szCs w:val="16"/>
              </w:rPr>
              <w:t>cipant costs - accrual basis ($m</w:t>
            </w:r>
            <w:r w:rsidRPr="00632B14">
              <w:rPr>
                <w:rFonts w:cs="Arial"/>
                <w:b/>
                <w:bCs/>
                <w:color w:val="FFFFFF"/>
                <w:sz w:val="16"/>
                <w:szCs w:val="16"/>
              </w:rPr>
              <w:t>)</w:t>
            </w:r>
          </w:p>
        </w:tc>
        <w:tc>
          <w:tcPr>
            <w:tcW w:w="0" w:type="auto"/>
            <w:tcBorders>
              <w:top w:val="single" w:sz="4" w:space="0" w:color="auto"/>
              <w:left w:val="single" w:sz="4" w:space="0" w:color="auto"/>
              <w:bottom w:val="single" w:sz="4" w:space="0" w:color="auto"/>
              <w:right w:val="nil"/>
            </w:tcBorders>
            <w:shd w:val="clear" w:color="000000" w:fill="6B2F76"/>
            <w:noWrap/>
            <w:vAlign w:val="bottom"/>
            <w:hideMark/>
          </w:tcPr>
          <w:p w14:paraId="236DE2C7" w14:textId="77777777" w:rsidR="008566DB" w:rsidRPr="00632B14" w:rsidRDefault="008566DB" w:rsidP="00312E88">
            <w:pPr>
              <w:jc w:val="right"/>
              <w:rPr>
                <w:rFonts w:cs="Arial"/>
                <w:b/>
                <w:bCs/>
                <w:color w:val="FFFFFF"/>
                <w:sz w:val="16"/>
                <w:szCs w:val="16"/>
              </w:rPr>
            </w:pPr>
            <w:r w:rsidRPr="00632B14">
              <w:rPr>
                <w:rFonts w:cs="Arial"/>
                <w:b/>
                <w:bCs/>
                <w:color w:val="FFFFFF"/>
                <w:sz w:val="16"/>
                <w:szCs w:val="16"/>
              </w:rPr>
              <w:t>2021-22</w:t>
            </w:r>
          </w:p>
        </w:tc>
        <w:tc>
          <w:tcPr>
            <w:tcW w:w="0" w:type="auto"/>
            <w:tcBorders>
              <w:top w:val="single" w:sz="4" w:space="0" w:color="auto"/>
              <w:left w:val="nil"/>
              <w:bottom w:val="single" w:sz="4" w:space="0" w:color="auto"/>
              <w:right w:val="nil"/>
            </w:tcBorders>
            <w:shd w:val="clear" w:color="000000" w:fill="6B2F76"/>
            <w:noWrap/>
            <w:vAlign w:val="bottom"/>
            <w:hideMark/>
          </w:tcPr>
          <w:p w14:paraId="49A1A04B" w14:textId="77777777" w:rsidR="008566DB" w:rsidRPr="00632B14" w:rsidRDefault="008566DB" w:rsidP="00312E88">
            <w:pPr>
              <w:jc w:val="right"/>
              <w:rPr>
                <w:rFonts w:cs="Arial"/>
                <w:b/>
                <w:bCs/>
                <w:color w:val="FFFFFF"/>
                <w:sz w:val="16"/>
                <w:szCs w:val="16"/>
              </w:rPr>
            </w:pPr>
            <w:r w:rsidRPr="00632B14">
              <w:rPr>
                <w:rFonts w:cs="Arial"/>
                <w:b/>
                <w:bCs/>
                <w:color w:val="FFFFFF"/>
                <w:sz w:val="16"/>
                <w:szCs w:val="16"/>
              </w:rPr>
              <w:t>2022-23</w:t>
            </w:r>
          </w:p>
        </w:tc>
        <w:tc>
          <w:tcPr>
            <w:tcW w:w="0" w:type="auto"/>
            <w:tcBorders>
              <w:top w:val="single" w:sz="4" w:space="0" w:color="auto"/>
              <w:left w:val="nil"/>
              <w:bottom w:val="single" w:sz="4" w:space="0" w:color="auto"/>
              <w:right w:val="nil"/>
            </w:tcBorders>
            <w:shd w:val="clear" w:color="000000" w:fill="6B2F76"/>
            <w:noWrap/>
            <w:vAlign w:val="bottom"/>
            <w:hideMark/>
          </w:tcPr>
          <w:p w14:paraId="588F3955" w14:textId="77777777" w:rsidR="008566DB" w:rsidRPr="00632B14" w:rsidRDefault="008566DB" w:rsidP="00312E88">
            <w:pPr>
              <w:jc w:val="right"/>
              <w:rPr>
                <w:rFonts w:cs="Arial"/>
                <w:b/>
                <w:bCs/>
                <w:color w:val="FFFFFF"/>
                <w:sz w:val="16"/>
                <w:szCs w:val="16"/>
              </w:rPr>
            </w:pPr>
            <w:r w:rsidRPr="00632B14">
              <w:rPr>
                <w:rFonts w:cs="Arial"/>
                <w:b/>
                <w:bCs/>
                <w:color w:val="FFFFFF"/>
                <w:sz w:val="16"/>
                <w:szCs w:val="16"/>
              </w:rPr>
              <w:t>2023-24</w:t>
            </w:r>
          </w:p>
        </w:tc>
        <w:tc>
          <w:tcPr>
            <w:tcW w:w="0" w:type="auto"/>
            <w:tcBorders>
              <w:top w:val="single" w:sz="4" w:space="0" w:color="auto"/>
              <w:left w:val="nil"/>
              <w:bottom w:val="single" w:sz="4" w:space="0" w:color="auto"/>
              <w:right w:val="nil"/>
            </w:tcBorders>
            <w:shd w:val="clear" w:color="000000" w:fill="6B2F76"/>
            <w:noWrap/>
            <w:vAlign w:val="bottom"/>
            <w:hideMark/>
          </w:tcPr>
          <w:p w14:paraId="099754CA" w14:textId="77777777" w:rsidR="008566DB" w:rsidRPr="00632B14" w:rsidRDefault="008566DB" w:rsidP="00312E88">
            <w:pPr>
              <w:jc w:val="right"/>
              <w:rPr>
                <w:rFonts w:cs="Arial"/>
                <w:b/>
                <w:bCs/>
                <w:color w:val="FFFFFF"/>
                <w:sz w:val="16"/>
                <w:szCs w:val="16"/>
              </w:rPr>
            </w:pPr>
            <w:r w:rsidRPr="00632B14">
              <w:rPr>
                <w:rFonts w:cs="Arial"/>
                <w:b/>
                <w:bCs/>
                <w:color w:val="FFFFFF"/>
                <w:sz w:val="16"/>
                <w:szCs w:val="16"/>
              </w:rPr>
              <w:t>2024-25</w:t>
            </w:r>
          </w:p>
        </w:tc>
        <w:tc>
          <w:tcPr>
            <w:tcW w:w="0" w:type="auto"/>
            <w:tcBorders>
              <w:top w:val="single" w:sz="4" w:space="0" w:color="auto"/>
              <w:left w:val="single" w:sz="4" w:space="0" w:color="auto"/>
              <w:bottom w:val="single" w:sz="4" w:space="0" w:color="auto"/>
              <w:right w:val="single" w:sz="4" w:space="0" w:color="auto"/>
            </w:tcBorders>
            <w:shd w:val="clear" w:color="000000" w:fill="6B2F76"/>
            <w:noWrap/>
            <w:vAlign w:val="bottom"/>
            <w:hideMark/>
          </w:tcPr>
          <w:p w14:paraId="0D9C73DF" w14:textId="77777777" w:rsidR="008566DB" w:rsidRPr="00632B14" w:rsidRDefault="008566DB" w:rsidP="00312E88">
            <w:pPr>
              <w:jc w:val="right"/>
              <w:rPr>
                <w:rFonts w:cs="Arial"/>
                <w:b/>
                <w:bCs/>
                <w:color w:val="FFFFFF"/>
                <w:sz w:val="16"/>
                <w:szCs w:val="16"/>
              </w:rPr>
            </w:pPr>
            <w:r w:rsidRPr="00632B14">
              <w:rPr>
                <w:rFonts w:cs="Arial"/>
                <w:b/>
                <w:bCs/>
                <w:color w:val="FFFFFF"/>
                <w:sz w:val="16"/>
                <w:szCs w:val="16"/>
              </w:rPr>
              <w:t>2029-30</w:t>
            </w:r>
          </w:p>
        </w:tc>
      </w:tr>
      <w:tr w:rsidR="008566DB" w:rsidRPr="00632B14" w14:paraId="27BF330C" w14:textId="77777777" w:rsidTr="008566DB">
        <w:trPr>
          <w:trHeight w:hRule="exact" w:val="284"/>
        </w:trPr>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51035EBA" w14:textId="77777777" w:rsidR="008566DB" w:rsidRPr="00632B14" w:rsidRDefault="008566DB" w:rsidP="00312E88">
            <w:pPr>
              <w:rPr>
                <w:rFonts w:cs="Arial"/>
                <w:sz w:val="16"/>
                <w:szCs w:val="16"/>
              </w:rPr>
            </w:pPr>
            <w:r w:rsidRPr="00632B14">
              <w:rPr>
                <w:rFonts w:cs="Arial"/>
                <w:sz w:val="16"/>
                <w:szCs w:val="16"/>
              </w:rPr>
              <w:t>2017 Productivity Commission report</w:t>
            </w:r>
          </w:p>
        </w:tc>
        <w:tc>
          <w:tcPr>
            <w:tcW w:w="0" w:type="auto"/>
            <w:tcBorders>
              <w:top w:val="nil"/>
              <w:left w:val="single" w:sz="4" w:space="0" w:color="auto"/>
              <w:bottom w:val="nil"/>
              <w:right w:val="nil"/>
            </w:tcBorders>
            <w:shd w:val="clear" w:color="auto" w:fill="auto"/>
            <w:noWrap/>
            <w:vAlign w:val="bottom"/>
            <w:hideMark/>
          </w:tcPr>
          <w:p w14:paraId="0955F392" w14:textId="77777777" w:rsidR="008566DB" w:rsidRPr="00632B14" w:rsidRDefault="008566DB" w:rsidP="00312E88">
            <w:pPr>
              <w:jc w:val="right"/>
              <w:rPr>
                <w:rFonts w:cs="Arial"/>
                <w:color w:val="000000"/>
                <w:sz w:val="16"/>
                <w:szCs w:val="16"/>
              </w:rPr>
            </w:pPr>
            <w:r w:rsidRPr="00632B14">
              <w:rPr>
                <w:rFonts w:cs="Arial"/>
                <w:color w:val="000000"/>
                <w:sz w:val="16"/>
                <w:szCs w:val="16"/>
              </w:rPr>
              <w:t>25</w:t>
            </w:r>
            <w:r>
              <w:rPr>
                <w:rFonts w:cs="Arial"/>
                <w:color w:val="000000"/>
                <w:sz w:val="16"/>
                <w:szCs w:val="16"/>
              </w:rPr>
              <w:t>,158</w:t>
            </w:r>
          </w:p>
        </w:tc>
        <w:tc>
          <w:tcPr>
            <w:tcW w:w="0" w:type="auto"/>
            <w:tcBorders>
              <w:top w:val="nil"/>
              <w:left w:val="nil"/>
              <w:bottom w:val="nil"/>
              <w:right w:val="nil"/>
            </w:tcBorders>
            <w:shd w:val="clear" w:color="auto" w:fill="auto"/>
            <w:noWrap/>
            <w:vAlign w:val="bottom"/>
            <w:hideMark/>
          </w:tcPr>
          <w:p w14:paraId="416DCE07" w14:textId="77777777" w:rsidR="008566DB" w:rsidRPr="00632B14" w:rsidRDefault="008566DB" w:rsidP="00312E88">
            <w:pPr>
              <w:jc w:val="right"/>
              <w:rPr>
                <w:rFonts w:cs="Arial"/>
                <w:color w:val="000000"/>
                <w:sz w:val="16"/>
                <w:szCs w:val="16"/>
              </w:rPr>
            </w:pPr>
            <w:r>
              <w:rPr>
                <w:rFonts w:cs="Arial"/>
                <w:color w:val="000000"/>
                <w:sz w:val="16"/>
                <w:szCs w:val="16"/>
              </w:rPr>
              <w:t>26,740</w:t>
            </w:r>
          </w:p>
        </w:tc>
        <w:tc>
          <w:tcPr>
            <w:tcW w:w="0" w:type="auto"/>
            <w:tcBorders>
              <w:top w:val="nil"/>
              <w:left w:val="nil"/>
              <w:bottom w:val="nil"/>
              <w:right w:val="nil"/>
            </w:tcBorders>
            <w:shd w:val="clear" w:color="auto" w:fill="auto"/>
            <w:noWrap/>
            <w:vAlign w:val="bottom"/>
            <w:hideMark/>
          </w:tcPr>
          <w:p w14:paraId="2C85BFE8" w14:textId="77777777" w:rsidR="008566DB" w:rsidRPr="00632B14" w:rsidRDefault="008566DB" w:rsidP="00312E88">
            <w:pPr>
              <w:jc w:val="right"/>
              <w:rPr>
                <w:rFonts w:cs="Arial"/>
                <w:color w:val="000000"/>
                <w:sz w:val="16"/>
                <w:szCs w:val="16"/>
              </w:rPr>
            </w:pPr>
            <w:r>
              <w:rPr>
                <w:rFonts w:cs="Arial"/>
                <w:color w:val="000000"/>
                <w:sz w:val="16"/>
                <w:szCs w:val="16"/>
              </w:rPr>
              <w:t>28,351</w:t>
            </w:r>
          </w:p>
        </w:tc>
        <w:tc>
          <w:tcPr>
            <w:tcW w:w="0" w:type="auto"/>
            <w:tcBorders>
              <w:top w:val="nil"/>
              <w:left w:val="nil"/>
              <w:bottom w:val="nil"/>
              <w:right w:val="nil"/>
            </w:tcBorders>
            <w:shd w:val="clear" w:color="auto" w:fill="auto"/>
            <w:noWrap/>
            <w:vAlign w:val="bottom"/>
            <w:hideMark/>
          </w:tcPr>
          <w:p w14:paraId="221FE732" w14:textId="77777777" w:rsidR="008566DB" w:rsidRPr="00632B14" w:rsidRDefault="008566DB" w:rsidP="00312E88">
            <w:pPr>
              <w:jc w:val="right"/>
              <w:rPr>
                <w:rFonts w:cs="Arial"/>
                <w:color w:val="000000"/>
                <w:sz w:val="16"/>
                <w:szCs w:val="16"/>
              </w:rPr>
            </w:pPr>
            <w:r>
              <w:rPr>
                <w:rFonts w:cs="Arial"/>
                <w:color w:val="000000"/>
                <w:sz w:val="16"/>
                <w:szCs w:val="16"/>
              </w:rPr>
              <w:t>30,555</w:t>
            </w:r>
          </w:p>
        </w:tc>
        <w:tc>
          <w:tcPr>
            <w:tcW w:w="0" w:type="auto"/>
            <w:tcBorders>
              <w:top w:val="nil"/>
              <w:left w:val="single" w:sz="4" w:space="0" w:color="auto"/>
              <w:bottom w:val="nil"/>
              <w:right w:val="single" w:sz="4" w:space="0" w:color="auto"/>
            </w:tcBorders>
            <w:shd w:val="clear" w:color="auto" w:fill="auto"/>
            <w:noWrap/>
            <w:vAlign w:val="bottom"/>
            <w:hideMark/>
          </w:tcPr>
          <w:p w14:paraId="3CF540AE" w14:textId="77777777" w:rsidR="008566DB" w:rsidRPr="00632B14" w:rsidRDefault="008566DB" w:rsidP="00312E88">
            <w:pPr>
              <w:jc w:val="right"/>
              <w:rPr>
                <w:rFonts w:cs="Arial"/>
                <w:color w:val="000000"/>
                <w:sz w:val="16"/>
                <w:szCs w:val="16"/>
              </w:rPr>
            </w:pPr>
            <w:r>
              <w:rPr>
                <w:rFonts w:cs="Arial"/>
                <w:color w:val="000000"/>
                <w:sz w:val="16"/>
                <w:szCs w:val="16"/>
              </w:rPr>
              <w:t>40,915</w:t>
            </w:r>
          </w:p>
        </w:tc>
      </w:tr>
      <w:tr w:rsidR="008566DB" w:rsidRPr="00632B14" w14:paraId="71037FDD" w14:textId="77777777" w:rsidTr="008566DB">
        <w:trPr>
          <w:trHeight w:hRule="exact" w:val="284"/>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14:paraId="6D16130C" w14:textId="77777777" w:rsidR="008566DB" w:rsidRPr="00632B14" w:rsidRDefault="008566DB" w:rsidP="00312E88">
            <w:pPr>
              <w:rPr>
                <w:rFonts w:cs="Arial"/>
                <w:color w:val="000000"/>
                <w:sz w:val="16"/>
                <w:szCs w:val="16"/>
              </w:rPr>
            </w:pPr>
            <w:r w:rsidRPr="00632B14">
              <w:rPr>
                <w:rFonts w:cs="Arial"/>
                <w:color w:val="000000"/>
                <w:sz w:val="16"/>
                <w:szCs w:val="16"/>
              </w:rPr>
              <w:t> </w:t>
            </w:r>
            <w:r w:rsidRPr="00632B14">
              <w:rPr>
                <w:rFonts w:cs="Arial"/>
                <w:i/>
                <w:iCs/>
                <w:color w:val="000000"/>
                <w:sz w:val="16"/>
                <w:szCs w:val="16"/>
              </w:rPr>
              <w:t>less operating costs</w:t>
            </w:r>
          </w:p>
        </w:tc>
        <w:tc>
          <w:tcPr>
            <w:tcW w:w="0" w:type="auto"/>
            <w:tcBorders>
              <w:top w:val="nil"/>
              <w:left w:val="single" w:sz="4" w:space="0" w:color="auto"/>
              <w:bottom w:val="single" w:sz="4" w:space="0" w:color="auto"/>
              <w:right w:val="nil"/>
            </w:tcBorders>
            <w:shd w:val="clear" w:color="auto" w:fill="auto"/>
            <w:noWrap/>
            <w:vAlign w:val="bottom"/>
            <w:hideMark/>
          </w:tcPr>
          <w:p w14:paraId="02E59C57" w14:textId="77777777" w:rsidR="008566DB" w:rsidRPr="00632B14" w:rsidRDefault="008566DB" w:rsidP="00312E88">
            <w:pPr>
              <w:jc w:val="right"/>
              <w:rPr>
                <w:rFonts w:cs="Arial"/>
                <w:color w:val="000000"/>
                <w:sz w:val="16"/>
                <w:szCs w:val="16"/>
              </w:rPr>
            </w:pPr>
            <w:r>
              <w:rPr>
                <w:rFonts w:cs="Arial"/>
                <w:color w:val="000000"/>
                <w:sz w:val="16"/>
                <w:szCs w:val="16"/>
              </w:rPr>
              <w:t>-1,450</w:t>
            </w:r>
          </w:p>
        </w:tc>
        <w:tc>
          <w:tcPr>
            <w:tcW w:w="0" w:type="auto"/>
            <w:tcBorders>
              <w:top w:val="nil"/>
              <w:left w:val="nil"/>
              <w:bottom w:val="single" w:sz="4" w:space="0" w:color="auto"/>
              <w:right w:val="nil"/>
            </w:tcBorders>
            <w:shd w:val="clear" w:color="auto" w:fill="auto"/>
            <w:noWrap/>
            <w:vAlign w:val="bottom"/>
            <w:hideMark/>
          </w:tcPr>
          <w:p w14:paraId="3DAB5527" w14:textId="77777777" w:rsidR="008566DB" w:rsidRPr="00632B14" w:rsidRDefault="008566DB" w:rsidP="00312E88">
            <w:pPr>
              <w:jc w:val="right"/>
              <w:rPr>
                <w:rFonts w:cs="Arial"/>
                <w:color w:val="000000"/>
                <w:sz w:val="16"/>
                <w:szCs w:val="16"/>
              </w:rPr>
            </w:pPr>
            <w:r>
              <w:rPr>
                <w:rFonts w:cs="Arial"/>
                <w:color w:val="000000"/>
                <w:sz w:val="16"/>
                <w:szCs w:val="16"/>
              </w:rPr>
              <w:t>-1,503</w:t>
            </w:r>
          </w:p>
        </w:tc>
        <w:tc>
          <w:tcPr>
            <w:tcW w:w="0" w:type="auto"/>
            <w:tcBorders>
              <w:top w:val="nil"/>
              <w:left w:val="nil"/>
              <w:bottom w:val="single" w:sz="4" w:space="0" w:color="auto"/>
              <w:right w:val="nil"/>
            </w:tcBorders>
            <w:shd w:val="clear" w:color="auto" w:fill="auto"/>
            <w:noWrap/>
            <w:vAlign w:val="bottom"/>
            <w:hideMark/>
          </w:tcPr>
          <w:p w14:paraId="70EE7EB3" w14:textId="77777777" w:rsidR="008566DB" w:rsidRPr="00632B14" w:rsidRDefault="008566DB" w:rsidP="00312E88">
            <w:pPr>
              <w:jc w:val="right"/>
              <w:rPr>
                <w:rFonts w:cs="Arial"/>
                <w:color w:val="000000"/>
                <w:sz w:val="16"/>
                <w:szCs w:val="16"/>
              </w:rPr>
            </w:pPr>
            <w:r>
              <w:rPr>
                <w:rFonts w:cs="Arial"/>
                <w:color w:val="000000"/>
                <w:sz w:val="16"/>
                <w:szCs w:val="16"/>
              </w:rPr>
              <w:t>-1,511</w:t>
            </w:r>
          </w:p>
        </w:tc>
        <w:tc>
          <w:tcPr>
            <w:tcW w:w="0" w:type="auto"/>
            <w:tcBorders>
              <w:top w:val="nil"/>
              <w:left w:val="nil"/>
              <w:bottom w:val="single" w:sz="4" w:space="0" w:color="auto"/>
              <w:right w:val="nil"/>
            </w:tcBorders>
            <w:shd w:val="clear" w:color="auto" w:fill="auto"/>
            <w:noWrap/>
            <w:vAlign w:val="bottom"/>
            <w:hideMark/>
          </w:tcPr>
          <w:p w14:paraId="087F9F74" w14:textId="77777777" w:rsidR="008566DB" w:rsidRPr="00632B14" w:rsidRDefault="008566DB" w:rsidP="00312E88">
            <w:pPr>
              <w:jc w:val="right"/>
              <w:rPr>
                <w:rFonts w:cs="Arial"/>
                <w:color w:val="000000"/>
                <w:sz w:val="16"/>
                <w:szCs w:val="16"/>
              </w:rPr>
            </w:pPr>
            <w:r>
              <w:rPr>
                <w:rFonts w:cs="Arial"/>
                <w:color w:val="000000"/>
                <w:sz w:val="16"/>
                <w:szCs w:val="16"/>
              </w:rPr>
              <w:t>-2,054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14D386" w14:textId="77777777" w:rsidR="008566DB" w:rsidRPr="00632B14" w:rsidRDefault="008566DB" w:rsidP="00312E88">
            <w:pPr>
              <w:jc w:val="right"/>
              <w:rPr>
                <w:rFonts w:cs="Arial"/>
                <w:color w:val="000000"/>
                <w:sz w:val="16"/>
                <w:szCs w:val="16"/>
              </w:rPr>
            </w:pPr>
            <w:r>
              <w:rPr>
                <w:rFonts w:cs="Arial"/>
                <w:color w:val="000000"/>
                <w:sz w:val="16"/>
                <w:szCs w:val="16"/>
              </w:rPr>
              <w:t>-2,784</w:t>
            </w:r>
          </w:p>
        </w:tc>
      </w:tr>
      <w:tr w:rsidR="008566DB" w:rsidRPr="00632B14" w14:paraId="55938872" w14:textId="77777777" w:rsidTr="008566DB">
        <w:trPr>
          <w:trHeight w:hRule="exact" w:val="284"/>
        </w:trPr>
        <w:tc>
          <w:tcPr>
            <w:tcW w:w="0" w:type="auto"/>
            <w:tcBorders>
              <w:top w:val="dotted" w:sz="4" w:space="0" w:color="auto"/>
              <w:left w:val="single" w:sz="4" w:space="0" w:color="auto"/>
              <w:bottom w:val="nil"/>
              <w:right w:val="single" w:sz="4" w:space="0" w:color="auto"/>
            </w:tcBorders>
            <w:shd w:val="clear" w:color="auto" w:fill="auto"/>
            <w:noWrap/>
            <w:vAlign w:val="bottom"/>
            <w:hideMark/>
          </w:tcPr>
          <w:p w14:paraId="2E4D265D" w14:textId="77777777" w:rsidR="008566DB" w:rsidRPr="00632B14" w:rsidRDefault="008566DB" w:rsidP="00312E88">
            <w:pPr>
              <w:rPr>
                <w:rFonts w:cs="Arial"/>
                <w:b/>
                <w:bCs/>
                <w:color w:val="000000"/>
                <w:sz w:val="16"/>
                <w:szCs w:val="16"/>
              </w:rPr>
            </w:pPr>
            <w:r w:rsidRPr="00632B14">
              <w:rPr>
                <w:rFonts w:cs="Arial"/>
                <w:b/>
                <w:bCs/>
                <w:color w:val="000000"/>
                <w:sz w:val="16"/>
                <w:szCs w:val="16"/>
              </w:rPr>
              <w:t>2017 Productivity Commission participant costs</w:t>
            </w:r>
          </w:p>
        </w:tc>
        <w:tc>
          <w:tcPr>
            <w:tcW w:w="0" w:type="auto"/>
            <w:tcBorders>
              <w:top w:val="nil"/>
              <w:left w:val="single" w:sz="4" w:space="0" w:color="auto"/>
              <w:bottom w:val="nil"/>
              <w:right w:val="nil"/>
            </w:tcBorders>
            <w:shd w:val="clear" w:color="auto" w:fill="auto"/>
            <w:noWrap/>
            <w:vAlign w:val="bottom"/>
            <w:hideMark/>
          </w:tcPr>
          <w:p w14:paraId="60C598F9" w14:textId="77777777" w:rsidR="008566DB" w:rsidRPr="00632B14" w:rsidRDefault="008566DB" w:rsidP="00312E88">
            <w:pPr>
              <w:jc w:val="right"/>
              <w:rPr>
                <w:rFonts w:cs="Arial"/>
                <w:b/>
                <w:bCs/>
                <w:color w:val="000000"/>
                <w:sz w:val="16"/>
                <w:szCs w:val="16"/>
              </w:rPr>
            </w:pPr>
            <w:r w:rsidRPr="00632B14">
              <w:rPr>
                <w:rFonts w:cs="Arial"/>
                <w:b/>
                <w:bCs/>
                <w:color w:val="000000"/>
                <w:sz w:val="16"/>
                <w:szCs w:val="16"/>
              </w:rPr>
              <w:t>23</w:t>
            </w:r>
            <w:r>
              <w:rPr>
                <w:rFonts w:cs="Arial"/>
                <w:b/>
                <w:bCs/>
                <w:color w:val="000000"/>
                <w:sz w:val="16"/>
                <w:szCs w:val="16"/>
              </w:rPr>
              <w:t>,708</w:t>
            </w:r>
          </w:p>
        </w:tc>
        <w:tc>
          <w:tcPr>
            <w:tcW w:w="0" w:type="auto"/>
            <w:tcBorders>
              <w:top w:val="nil"/>
              <w:left w:val="nil"/>
              <w:bottom w:val="nil"/>
              <w:right w:val="nil"/>
            </w:tcBorders>
            <w:shd w:val="clear" w:color="auto" w:fill="auto"/>
            <w:noWrap/>
            <w:vAlign w:val="bottom"/>
            <w:hideMark/>
          </w:tcPr>
          <w:p w14:paraId="178A6479" w14:textId="77777777" w:rsidR="008566DB" w:rsidRPr="00632B14" w:rsidRDefault="008566DB" w:rsidP="00312E88">
            <w:pPr>
              <w:jc w:val="right"/>
              <w:rPr>
                <w:rFonts w:cs="Arial"/>
                <w:b/>
                <w:bCs/>
                <w:color w:val="000000"/>
                <w:sz w:val="16"/>
                <w:szCs w:val="16"/>
              </w:rPr>
            </w:pPr>
            <w:r w:rsidRPr="00632B14">
              <w:rPr>
                <w:rFonts w:cs="Arial"/>
                <w:b/>
                <w:bCs/>
                <w:color w:val="000000"/>
                <w:sz w:val="16"/>
                <w:szCs w:val="16"/>
              </w:rPr>
              <w:t>25</w:t>
            </w:r>
            <w:r>
              <w:rPr>
                <w:rFonts w:cs="Arial"/>
                <w:b/>
                <w:bCs/>
                <w:color w:val="000000"/>
                <w:sz w:val="16"/>
                <w:szCs w:val="16"/>
              </w:rPr>
              <w:t>,238</w:t>
            </w:r>
          </w:p>
        </w:tc>
        <w:tc>
          <w:tcPr>
            <w:tcW w:w="0" w:type="auto"/>
            <w:tcBorders>
              <w:top w:val="nil"/>
              <w:left w:val="nil"/>
              <w:bottom w:val="nil"/>
              <w:right w:val="nil"/>
            </w:tcBorders>
            <w:shd w:val="clear" w:color="auto" w:fill="auto"/>
            <w:noWrap/>
            <w:vAlign w:val="bottom"/>
            <w:hideMark/>
          </w:tcPr>
          <w:p w14:paraId="333D2B88" w14:textId="77777777" w:rsidR="008566DB" w:rsidRPr="00632B14" w:rsidRDefault="008566DB" w:rsidP="00312E88">
            <w:pPr>
              <w:jc w:val="right"/>
              <w:rPr>
                <w:rFonts w:cs="Arial"/>
                <w:b/>
                <w:bCs/>
                <w:color w:val="000000"/>
                <w:sz w:val="16"/>
                <w:szCs w:val="16"/>
              </w:rPr>
            </w:pPr>
            <w:r w:rsidRPr="00632B14">
              <w:rPr>
                <w:rFonts w:cs="Arial"/>
                <w:b/>
                <w:bCs/>
                <w:color w:val="000000"/>
                <w:sz w:val="16"/>
                <w:szCs w:val="16"/>
              </w:rPr>
              <w:t>26</w:t>
            </w:r>
            <w:r>
              <w:rPr>
                <w:rFonts w:cs="Arial"/>
                <w:b/>
                <w:bCs/>
                <w:color w:val="000000"/>
                <w:sz w:val="16"/>
                <w:szCs w:val="16"/>
              </w:rPr>
              <w:t>,839</w:t>
            </w:r>
          </w:p>
        </w:tc>
        <w:tc>
          <w:tcPr>
            <w:tcW w:w="0" w:type="auto"/>
            <w:tcBorders>
              <w:top w:val="nil"/>
              <w:left w:val="nil"/>
              <w:bottom w:val="nil"/>
              <w:right w:val="nil"/>
            </w:tcBorders>
            <w:shd w:val="clear" w:color="auto" w:fill="auto"/>
            <w:noWrap/>
            <w:vAlign w:val="bottom"/>
            <w:hideMark/>
          </w:tcPr>
          <w:p w14:paraId="4CBBD560" w14:textId="77777777" w:rsidR="008566DB" w:rsidRPr="00632B14" w:rsidRDefault="008566DB" w:rsidP="00312E88">
            <w:pPr>
              <w:jc w:val="right"/>
              <w:rPr>
                <w:rFonts w:cs="Arial"/>
                <w:b/>
                <w:bCs/>
                <w:color w:val="000000"/>
                <w:sz w:val="16"/>
                <w:szCs w:val="16"/>
              </w:rPr>
            </w:pPr>
            <w:r>
              <w:rPr>
                <w:rFonts w:cs="Arial"/>
                <w:b/>
                <w:bCs/>
                <w:color w:val="000000"/>
                <w:sz w:val="16"/>
                <w:szCs w:val="16"/>
              </w:rPr>
              <w:t>28,500</w:t>
            </w:r>
          </w:p>
        </w:tc>
        <w:tc>
          <w:tcPr>
            <w:tcW w:w="0" w:type="auto"/>
            <w:tcBorders>
              <w:top w:val="nil"/>
              <w:left w:val="single" w:sz="4" w:space="0" w:color="auto"/>
              <w:bottom w:val="nil"/>
              <w:right w:val="single" w:sz="4" w:space="0" w:color="auto"/>
            </w:tcBorders>
            <w:shd w:val="clear" w:color="auto" w:fill="auto"/>
            <w:noWrap/>
            <w:vAlign w:val="bottom"/>
            <w:hideMark/>
          </w:tcPr>
          <w:p w14:paraId="5CF59CF7" w14:textId="77777777" w:rsidR="008566DB" w:rsidRPr="00632B14" w:rsidRDefault="008566DB" w:rsidP="00312E88">
            <w:pPr>
              <w:jc w:val="right"/>
              <w:rPr>
                <w:rFonts w:cs="Arial"/>
                <w:b/>
                <w:bCs/>
                <w:color w:val="000000"/>
                <w:sz w:val="16"/>
                <w:szCs w:val="16"/>
              </w:rPr>
            </w:pPr>
            <w:r>
              <w:rPr>
                <w:rFonts w:cs="Arial"/>
                <w:b/>
                <w:bCs/>
                <w:color w:val="000000"/>
                <w:sz w:val="16"/>
                <w:szCs w:val="16"/>
              </w:rPr>
              <w:t>38,130</w:t>
            </w:r>
          </w:p>
        </w:tc>
      </w:tr>
      <w:tr w:rsidR="008566DB" w:rsidRPr="00632B14" w14:paraId="21F4BE6F" w14:textId="77777777" w:rsidTr="008566DB">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17E659A7" w14:textId="77777777" w:rsidR="008566DB" w:rsidRPr="00632B14" w:rsidRDefault="008566DB" w:rsidP="00312E88">
            <w:pPr>
              <w:rPr>
                <w:rFonts w:cs="Arial"/>
                <w:color w:val="000000"/>
                <w:sz w:val="16"/>
                <w:szCs w:val="16"/>
              </w:rPr>
            </w:pPr>
            <w:r w:rsidRPr="00632B14">
              <w:rPr>
                <w:rFonts w:cs="Arial"/>
                <w:color w:val="000000"/>
                <w:sz w:val="16"/>
                <w:szCs w:val="16"/>
              </w:rPr>
              <w:t> </w:t>
            </w:r>
            <w:r w:rsidRPr="00632B14">
              <w:rPr>
                <w:rFonts w:cs="Arial"/>
                <w:i/>
                <w:iCs/>
                <w:color w:val="000000"/>
                <w:sz w:val="16"/>
                <w:szCs w:val="16"/>
              </w:rPr>
              <w:t>add unanticipated costs:</w:t>
            </w:r>
          </w:p>
        </w:tc>
        <w:tc>
          <w:tcPr>
            <w:tcW w:w="0" w:type="auto"/>
            <w:gridSpan w:val="4"/>
            <w:tcBorders>
              <w:top w:val="nil"/>
              <w:left w:val="single" w:sz="4" w:space="0" w:color="auto"/>
              <w:bottom w:val="nil"/>
              <w:right w:val="nil"/>
            </w:tcBorders>
            <w:shd w:val="clear" w:color="auto" w:fill="auto"/>
            <w:noWrap/>
            <w:vAlign w:val="bottom"/>
            <w:hideMark/>
          </w:tcPr>
          <w:p w14:paraId="7B0A2625" w14:textId="77777777" w:rsidR="008566DB" w:rsidRPr="00632B14" w:rsidRDefault="008566DB" w:rsidP="00312E88">
            <w:pPr>
              <w:rPr>
                <w:sz w:val="16"/>
                <w:szCs w:val="16"/>
              </w:rPr>
            </w:pPr>
          </w:p>
        </w:tc>
        <w:tc>
          <w:tcPr>
            <w:tcW w:w="0" w:type="auto"/>
            <w:tcBorders>
              <w:top w:val="nil"/>
              <w:left w:val="single" w:sz="4" w:space="0" w:color="auto"/>
              <w:bottom w:val="nil"/>
              <w:right w:val="single" w:sz="4" w:space="0" w:color="auto"/>
            </w:tcBorders>
            <w:shd w:val="clear" w:color="auto" w:fill="auto"/>
            <w:noWrap/>
            <w:vAlign w:val="bottom"/>
            <w:hideMark/>
          </w:tcPr>
          <w:p w14:paraId="4F664869" w14:textId="77777777" w:rsidR="008566DB" w:rsidRPr="00632B14" w:rsidRDefault="008566DB" w:rsidP="00312E88">
            <w:pPr>
              <w:rPr>
                <w:rFonts w:cs="Arial"/>
                <w:color w:val="000000"/>
                <w:sz w:val="16"/>
                <w:szCs w:val="16"/>
              </w:rPr>
            </w:pPr>
            <w:r w:rsidRPr="00632B14">
              <w:rPr>
                <w:rFonts w:cs="Arial"/>
                <w:color w:val="000000"/>
                <w:sz w:val="16"/>
                <w:szCs w:val="16"/>
              </w:rPr>
              <w:t> </w:t>
            </w:r>
          </w:p>
        </w:tc>
      </w:tr>
      <w:tr w:rsidR="008566DB" w:rsidRPr="00632B14" w14:paraId="4C9B3505" w14:textId="77777777" w:rsidTr="008566DB">
        <w:trPr>
          <w:trHeight w:hRule="exact" w:val="284"/>
        </w:trPr>
        <w:tc>
          <w:tcPr>
            <w:tcW w:w="0" w:type="auto"/>
            <w:tcBorders>
              <w:top w:val="nil"/>
              <w:left w:val="single" w:sz="4" w:space="0" w:color="auto"/>
              <w:bottom w:val="nil"/>
              <w:right w:val="single" w:sz="4" w:space="0" w:color="auto"/>
            </w:tcBorders>
            <w:shd w:val="clear" w:color="auto" w:fill="auto"/>
            <w:noWrap/>
            <w:vAlign w:val="bottom"/>
            <w:hideMark/>
          </w:tcPr>
          <w:p w14:paraId="453A7D71" w14:textId="77777777" w:rsidR="008566DB" w:rsidRPr="00632B14" w:rsidRDefault="008566DB" w:rsidP="00312E88">
            <w:pPr>
              <w:rPr>
                <w:rFonts w:cs="Arial"/>
                <w:color w:val="000000"/>
                <w:sz w:val="16"/>
                <w:szCs w:val="16"/>
              </w:rPr>
            </w:pPr>
            <w:r w:rsidRPr="00632B14">
              <w:rPr>
                <w:rFonts w:cs="Arial"/>
                <w:color w:val="000000"/>
                <w:sz w:val="16"/>
                <w:szCs w:val="16"/>
              </w:rPr>
              <w:t>Decrease in NIIS offset as not fully operational</w:t>
            </w:r>
          </w:p>
        </w:tc>
        <w:tc>
          <w:tcPr>
            <w:tcW w:w="0" w:type="auto"/>
            <w:tcBorders>
              <w:top w:val="nil"/>
              <w:left w:val="single" w:sz="4" w:space="0" w:color="auto"/>
              <w:bottom w:val="nil"/>
              <w:right w:val="nil"/>
            </w:tcBorders>
            <w:shd w:val="clear" w:color="auto" w:fill="auto"/>
            <w:noWrap/>
            <w:vAlign w:val="bottom"/>
            <w:hideMark/>
          </w:tcPr>
          <w:p w14:paraId="6FEB3F13" w14:textId="77777777" w:rsidR="008566DB" w:rsidRPr="00632B14" w:rsidRDefault="008566DB" w:rsidP="00312E88">
            <w:pPr>
              <w:jc w:val="right"/>
              <w:rPr>
                <w:rFonts w:cs="Arial"/>
                <w:color w:val="000000"/>
                <w:sz w:val="16"/>
                <w:szCs w:val="16"/>
              </w:rPr>
            </w:pPr>
            <w:r>
              <w:rPr>
                <w:rFonts w:cs="Arial"/>
                <w:color w:val="000000"/>
                <w:sz w:val="16"/>
                <w:szCs w:val="16"/>
              </w:rPr>
              <w:t>463</w:t>
            </w:r>
          </w:p>
        </w:tc>
        <w:tc>
          <w:tcPr>
            <w:tcW w:w="0" w:type="auto"/>
            <w:tcBorders>
              <w:top w:val="nil"/>
              <w:left w:val="nil"/>
              <w:bottom w:val="nil"/>
              <w:right w:val="nil"/>
            </w:tcBorders>
            <w:shd w:val="clear" w:color="auto" w:fill="auto"/>
            <w:noWrap/>
            <w:vAlign w:val="bottom"/>
            <w:hideMark/>
          </w:tcPr>
          <w:p w14:paraId="2EDFB2BD" w14:textId="77777777" w:rsidR="008566DB" w:rsidRPr="00632B14" w:rsidRDefault="008566DB" w:rsidP="00312E88">
            <w:pPr>
              <w:jc w:val="right"/>
              <w:rPr>
                <w:rFonts w:cs="Arial"/>
                <w:color w:val="000000"/>
                <w:sz w:val="16"/>
                <w:szCs w:val="16"/>
              </w:rPr>
            </w:pPr>
            <w:r>
              <w:rPr>
                <w:rFonts w:cs="Arial"/>
                <w:color w:val="000000"/>
                <w:sz w:val="16"/>
                <w:szCs w:val="16"/>
              </w:rPr>
              <w:t>507</w:t>
            </w:r>
          </w:p>
        </w:tc>
        <w:tc>
          <w:tcPr>
            <w:tcW w:w="0" w:type="auto"/>
            <w:tcBorders>
              <w:top w:val="nil"/>
              <w:left w:val="nil"/>
              <w:bottom w:val="nil"/>
              <w:right w:val="nil"/>
            </w:tcBorders>
            <w:shd w:val="clear" w:color="auto" w:fill="auto"/>
            <w:noWrap/>
            <w:vAlign w:val="bottom"/>
            <w:hideMark/>
          </w:tcPr>
          <w:p w14:paraId="56D8D9CC" w14:textId="77777777" w:rsidR="008566DB" w:rsidRPr="00632B14" w:rsidRDefault="008566DB" w:rsidP="00312E88">
            <w:pPr>
              <w:jc w:val="right"/>
              <w:rPr>
                <w:rFonts w:cs="Arial"/>
                <w:color w:val="000000"/>
                <w:sz w:val="16"/>
                <w:szCs w:val="16"/>
              </w:rPr>
            </w:pPr>
            <w:r>
              <w:rPr>
                <w:rFonts w:cs="Arial"/>
                <w:color w:val="000000"/>
                <w:sz w:val="16"/>
                <w:szCs w:val="16"/>
              </w:rPr>
              <w:t>552</w:t>
            </w:r>
          </w:p>
        </w:tc>
        <w:tc>
          <w:tcPr>
            <w:tcW w:w="0" w:type="auto"/>
            <w:tcBorders>
              <w:top w:val="nil"/>
              <w:left w:val="nil"/>
              <w:bottom w:val="nil"/>
              <w:right w:val="nil"/>
            </w:tcBorders>
            <w:shd w:val="clear" w:color="auto" w:fill="auto"/>
            <w:noWrap/>
            <w:vAlign w:val="bottom"/>
            <w:hideMark/>
          </w:tcPr>
          <w:p w14:paraId="5828387B" w14:textId="77777777" w:rsidR="008566DB" w:rsidRPr="00632B14" w:rsidRDefault="008566DB" w:rsidP="00312E88">
            <w:pPr>
              <w:jc w:val="right"/>
              <w:rPr>
                <w:rFonts w:cs="Arial"/>
                <w:color w:val="000000"/>
                <w:sz w:val="16"/>
                <w:szCs w:val="16"/>
              </w:rPr>
            </w:pPr>
            <w:r>
              <w:rPr>
                <w:rFonts w:cs="Arial"/>
                <w:color w:val="000000"/>
                <w:sz w:val="16"/>
                <w:szCs w:val="16"/>
              </w:rPr>
              <w:t>599</w:t>
            </w:r>
          </w:p>
        </w:tc>
        <w:tc>
          <w:tcPr>
            <w:tcW w:w="0" w:type="auto"/>
            <w:tcBorders>
              <w:top w:val="nil"/>
              <w:left w:val="single" w:sz="4" w:space="0" w:color="auto"/>
              <w:bottom w:val="nil"/>
              <w:right w:val="single" w:sz="4" w:space="0" w:color="auto"/>
            </w:tcBorders>
            <w:shd w:val="clear" w:color="auto" w:fill="auto"/>
            <w:noWrap/>
            <w:vAlign w:val="bottom"/>
            <w:hideMark/>
          </w:tcPr>
          <w:p w14:paraId="1A0BAA91" w14:textId="77777777" w:rsidR="008566DB" w:rsidRPr="00632B14" w:rsidRDefault="008566DB" w:rsidP="00312E88">
            <w:pPr>
              <w:jc w:val="right"/>
              <w:rPr>
                <w:rFonts w:cs="Arial"/>
                <w:color w:val="000000"/>
                <w:sz w:val="16"/>
                <w:szCs w:val="16"/>
              </w:rPr>
            </w:pPr>
            <w:r>
              <w:rPr>
                <w:rFonts w:cs="Arial"/>
                <w:color w:val="000000"/>
                <w:sz w:val="16"/>
                <w:szCs w:val="16"/>
              </w:rPr>
              <w:t>864</w:t>
            </w:r>
          </w:p>
        </w:tc>
      </w:tr>
      <w:tr w:rsidR="008566DB" w:rsidRPr="00632B14" w14:paraId="51D09420" w14:textId="77777777" w:rsidTr="008566DB">
        <w:trPr>
          <w:trHeight w:hRule="exact" w:val="284"/>
        </w:trPr>
        <w:tc>
          <w:tcPr>
            <w:tcW w:w="0" w:type="auto"/>
            <w:tcBorders>
              <w:top w:val="nil"/>
              <w:left w:val="single" w:sz="4" w:space="0" w:color="auto"/>
              <w:right w:val="single" w:sz="4" w:space="0" w:color="auto"/>
            </w:tcBorders>
            <w:shd w:val="clear" w:color="auto" w:fill="auto"/>
            <w:noWrap/>
            <w:vAlign w:val="bottom"/>
            <w:hideMark/>
          </w:tcPr>
          <w:p w14:paraId="794DF16E" w14:textId="77777777" w:rsidR="008566DB" w:rsidRPr="00632B14" w:rsidRDefault="008566DB" w:rsidP="00312E88">
            <w:pPr>
              <w:rPr>
                <w:rFonts w:cs="Arial"/>
                <w:color w:val="000000"/>
                <w:sz w:val="16"/>
                <w:szCs w:val="16"/>
              </w:rPr>
            </w:pPr>
            <w:r w:rsidRPr="00632B14">
              <w:rPr>
                <w:rFonts w:cs="Arial"/>
                <w:color w:val="000000"/>
                <w:sz w:val="16"/>
                <w:szCs w:val="16"/>
              </w:rPr>
              <w:t>Children with developmental delay</w:t>
            </w:r>
          </w:p>
        </w:tc>
        <w:tc>
          <w:tcPr>
            <w:tcW w:w="0" w:type="auto"/>
            <w:tcBorders>
              <w:top w:val="nil"/>
              <w:left w:val="single" w:sz="4" w:space="0" w:color="auto"/>
              <w:right w:val="nil"/>
            </w:tcBorders>
            <w:shd w:val="clear" w:color="auto" w:fill="auto"/>
            <w:noWrap/>
            <w:vAlign w:val="bottom"/>
            <w:hideMark/>
          </w:tcPr>
          <w:p w14:paraId="3E340963" w14:textId="77777777" w:rsidR="008566DB" w:rsidRPr="00632B14" w:rsidRDefault="008566DB" w:rsidP="00312E88">
            <w:pPr>
              <w:jc w:val="right"/>
              <w:rPr>
                <w:rFonts w:cs="Arial"/>
                <w:color w:val="000000"/>
                <w:sz w:val="16"/>
                <w:szCs w:val="16"/>
              </w:rPr>
            </w:pPr>
            <w:r>
              <w:rPr>
                <w:rFonts w:cs="Arial"/>
                <w:color w:val="000000"/>
                <w:sz w:val="16"/>
                <w:szCs w:val="16"/>
              </w:rPr>
              <w:t>452</w:t>
            </w:r>
          </w:p>
        </w:tc>
        <w:tc>
          <w:tcPr>
            <w:tcW w:w="0" w:type="auto"/>
            <w:tcBorders>
              <w:top w:val="nil"/>
              <w:left w:val="nil"/>
              <w:right w:val="nil"/>
            </w:tcBorders>
            <w:shd w:val="clear" w:color="auto" w:fill="auto"/>
            <w:noWrap/>
            <w:vAlign w:val="bottom"/>
            <w:hideMark/>
          </w:tcPr>
          <w:p w14:paraId="6D5901B0" w14:textId="77777777" w:rsidR="008566DB" w:rsidRPr="00632B14" w:rsidRDefault="008566DB" w:rsidP="00312E88">
            <w:pPr>
              <w:jc w:val="right"/>
              <w:rPr>
                <w:rFonts w:cs="Arial"/>
                <w:color w:val="000000"/>
                <w:sz w:val="16"/>
                <w:szCs w:val="16"/>
              </w:rPr>
            </w:pPr>
            <w:r>
              <w:rPr>
                <w:rFonts w:cs="Arial"/>
                <w:color w:val="000000"/>
                <w:sz w:val="16"/>
                <w:szCs w:val="16"/>
              </w:rPr>
              <w:t>511</w:t>
            </w:r>
          </w:p>
        </w:tc>
        <w:tc>
          <w:tcPr>
            <w:tcW w:w="0" w:type="auto"/>
            <w:tcBorders>
              <w:top w:val="nil"/>
              <w:left w:val="nil"/>
              <w:right w:val="nil"/>
            </w:tcBorders>
            <w:shd w:val="clear" w:color="auto" w:fill="auto"/>
            <w:noWrap/>
            <w:vAlign w:val="bottom"/>
            <w:hideMark/>
          </w:tcPr>
          <w:p w14:paraId="0AA2BE44" w14:textId="77777777" w:rsidR="008566DB" w:rsidRPr="00632B14" w:rsidRDefault="008566DB" w:rsidP="00312E88">
            <w:pPr>
              <w:jc w:val="right"/>
              <w:rPr>
                <w:rFonts w:cs="Arial"/>
                <w:color w:val="000000"/>
                <w:sz w:val="16"/>
                <w:szCs w:val="16"/>
              </w:rPr>
            </w:pPr>
            <w:r>
              <w:rPr>
                <w:rFonts w:cs="Arial"/>
                <w:color w:val="000000"/>
                <w:sz w:val="16"/>
                <w:szCs w:val="16"/>
              </w:rPr>
              <w:t>567</w:t>
            </w:r>
          </w:p>
        </w:tc>
        <w:tc>
          <w:tcPr>
            <w:tcW w:w="0" w:type="auto"/>
            <w:tcBorders>
              <w:top w:val="nil"/>
              <w:left w:val="nil"/>
              <w:right w:val="nil"/>
            </w:tcBorders>
            <w:shd w:val="clear" w:color="auto" w:fill="auto"/>
            <w:noWrap/>
            <w:vAlign w:val="bottom"/>
            <w:hideMark/>
          </w:tcPr>
          <w:p w14:paraId="2069FDF6" w14:textId="77777777" w:rsidR="008566DB" w:rsidRPr="00632B14" w:rsidRDefault="008566DB" w:rsidP="00312E88">
            <w:pPr>
              <w:jc w:val="right"/>
              <w:rPr>
                <w:rFonts w:cs="Arial"/>
                <w:color w:val="000000"/>
                <w:sz w:val="16"/>
                <w:szCs w:val="16"/>
              </w:rPr>
            </w:pPr>
            <w:r>
              <w:rPr>
                <w:rFonts w:cs="Arial"/>
                <w:color w:val="000000"/>
                <w:sz w:val="16"/>
                <w:szCs w:val="16"/>
              </w:rPr>
              <w:t>621</w:t>
            </w:r>
          </w:p>
        </w:tc>
        <w:tc>
          <w:tcPr>
            <w:tcW w:w="0" w:type="auto"/>
            <w:tcBorders>
              <w:top w:val="nil"/>
              <w:left w:val="single" w:sz="4" w:space="0" w:color="auto"/>
              <w:right w:val="single" w:sz="4" w:space="0" w:color="auto"/>
            </w:tcBorders>
            <w:shd w:val="clear" w:color="auto" w:fill="auto"/>
            <w:noWrap/>
            <w:vAlign w:val="bottom"/>
            <w:hideMark/>
          </w:tcPr>
          <w:p w14:paraId="1D40963E" w14:textId="77777777" w:rsidR="008566DB" w:rsidRPr="00632B14" w:rsidRDefault="008566DB" w:rsidP="00312E88">
            <w:pPr>
              <w:jc w:val="right"/>
              <w:rPr>
                <w:rFonts w:cs="Arial"/>
                <w:color w:val="000000"/>
                <w:sz w:val="16"/>
                <w:szCs w:val="16"/>
              </w:rPr>
            </w:pPr>
            <w:r>
              <w:rPr>
                <w:rFonts w:cs="Arial"/>
                <w:color w:val="000000"/>
                <w:sz w:val="16"/>
                <w:szCs w:val="16"/>
              </w:rPr>
              <w:t>845</w:t>
            </w:r>
          </w:p>
        </w:tc>
      </w:tr>
      <w:tr w:rsidR="008566DB" w:rsidRPr="00632B14" w14:paraId="5005DAA5" w14:textId="77777777" w:rsidTr="008566DB">
        <w:trPr>
          <w:trHeight w:hRule="exact" w:val="284"/>
        </w:trPr>
        <w:tc>
          <w:tcPr>
            <w:tcW w:w="0" w:type="auto"/>
            <w:tcBorders>
              <w:top w:val="nil"/>
              <w:left w:val="single" w:sz="4" w:space="0" w:color="auto"/>
              <w:right w:val="single" w:sz="4" w:space="0" w:color="auto"/>
            </w:tcBorders>
            <w:shd w:val="clear" w:color="auto" w:fill="auto"/>
            <w:noWrap/>
            <w:vAlign w:val="bottom"/>
            <w:hideMark/>
          </w:tcPr>
          <w:p w14:paraId="49CF7407" w14:textId="77777777" w:rsidR="008566DB" w:rsidRPr="00632B14" w:rsidRDefault="008566DB" w:rsidP="00312E88">
            <w:pPr>
              <w:rPr>
                <w:rFonts w:cs="Arial"/>
                <w:color w:val="000000"/>
                <w:sz w:val="16"/>
                <w:szCs w:val="16"/>
              </w:rPr>
            </w:pPr>
            <w:r w:rsidRPr="00632B14">
              <w:rPr>
                <w:rFonts w:cs="Arial"/>
                <w:color w:val="000000"/>
                <w:sz w:val="16"/>
                <w:szCs w:val="16"/>
              </w:rPr>
              <w:t>School transport</w:t>
            </w:r>
          </w:p>
        </w:tc>
        <w:tc>
          <w:tcPr>
            <w:tcW w:w="0" w:type="auto"/>
            <w:tcBorders>
              <w:top w:val="nil"/>
              <w:left w:val="single" w:sz="4" w:space="0" w:color="auto"/>
              <w:right w:val="nil"/>
            </w:tcBorders>
            <w:shd w:val="clear" w:color="auto" w:fill="auto"/>
            <w:noWrap/>
            <w:vAlign w:val="bottom"/>
            <w:hideMark/>
          </w:tcPr>
          <w:p w14:paraId="36A319AB" w14:textId="77777777" w:rsidR="008566DB" w:rsidRPr="00632B14" w:rsidRDefault="008566DB" w:rsidP="00312E88">
            <w:pPr>
              <w:jc w:val="right"/>
              <w:rPr>
                <w:rFonts w:cs="Arial"/>
                <w:color w:val="000000"/>
                <w:sz w:val="16"/>
                <w:szCs w:val="16"/>
              </w:rPr>
            </w:pPr>
            <w:r>
              <w:rPr>
                <w:rFonts w:cs="Arial"/>
                <w:color w:val="000000"/>
                <w:sz w:val="16"/>
                <w:szCs w:val="16"/>
              </w:rPr>
              <w:t>387</w:t>
            </w:r>
          </w:p>
        </w:tc>
        <w:tc>
          <w:tcPr>
            <w:tcW w:w="0" w:type="auto"/>
            <w:tcBorders>
              <w:top w:val="nil"/>
              <w:left w:val="nil"/>
              <w:right w:val="nil"/>
            </w:tcBorders>
            <w:shd w:val="clear" w:color="auto" w:fill="auto"/>
            <w:noWrap/>
            <w:vAlign w:val="bottom"/>
            <w:hideMark/>
          </w:tcPr>
          <w:p w14:paraId="2A1C88E5" w14:textId="77777777" w:rsidR="008566DB" w:rsidRPr="00632B14" w:rsidRDefault="008566DB" w:rsidP="00312E88">
            <w:pPr>
              <w:jc w:val="right"/>
              <w:rPr>
                <w:rFonts w:cs="Arial"/>
                <w:color w:val="000000"/>
                <w:sz w:val="16"/>
                <w:szCs w:val="16"/>
              </w:rPr>
            </w:pPr>
            <w:r>
              <w:rPr>
                <w:rFonts w:cs="Arial"/>
                <w:color w:val="000000"/>
                <w:sz w:val="16"/>
                <w:szCs w:val="16"/>
              </w:rPr>
              <w:t>409</w:t>
            </w:r>
          </w:p>
        </w:tc>
        <w:tc>
          <w:tcPr>
            <w:tcW w:w="0" w:type="auto"/>
            <w:tcBorders>
              <w:top w:val="nil"/>
              <w:left w:val="nil"/>
              <w:right w:val="nil"/>
            </w:tcBorders>
            <w:shd w:val="clear" w:color="auto" w:fill="auto"/>
            <w:noWrap/>
            <w:vAlign w:val="bottom"/>
            <w:hideMark/>
          </w:tcPr>
          <w:p w14:paraId="23BC6F84" w14:textId="77777777" w:rsidR="008566DB" w:rsidRPr="00632B14" w:rsidRDefault="008566DB" w:rsidP="00312E88">
            <w:pPr>
              <w:jc w:val="right"/>
              <w:rPr>
                <w:rFonts w:cs="Arial"/>
                <w:color w:val="000000"/>
                <w:sz w:val="16"/>
                <w:szCs w:val="16"/>
              </w:rPr>
            </w:pPr>
            <w:r>
              <w:rPr>
                <w:rFonts w:cs="Arial"/>
                <w:color w:val="000000"/>
                <w:sz w:val="16"/>
                <w:szCs w:val="16"/>
              </w:rPr>
              <w:t>426</w:t>
            </w:r>
          </w:p>
        </w:tc>
        <w:tc>
          <w:tcPr>
            <w:tcW w:w="0" w:type="auto"/>
            <w:tcBorders>
              <w:top w:val="nil"/>
              <w:left w:val="nil"/>
              <w:right w:val="nil"/>
            </w:tcBorders>
            <w:shd w:val="clear" w:color="auto" w:fill="auto"/>
            <w:noWrap/>
            <w:vAlign w:val="bottom"/>
            <w:hideMark/>
          </w:tcPr>
          <w:p w14:paraId="0F0EE8E2" w14:textId="77777777" w:rsidR="008566DB" w:rsidRPr="00632B14" w:rsidRDefault="008566DB" w:rsidP="00312E88">
            <w:pPr>
              <w:jc w:val="right"/>
              <w:rPr>
                <w:rFonts w:cs="Arial"/>
                <w:color w:val="000000"/>
                <w:sz w:val="16"/>
                <w:szCs w:val="16"/>
              </w:rPr>
            </w:pPr>
            <w:r>
              <w:rPr>
                <w:rFonts w:cs="Arial"/>
                <w:color w:val="000000"/>
                <w:sz w:val="16"/>
                <w:szCs w:val="16"/>
              </w:rPr>
              <w:t>443</w:t>
            </w:r>
          </w:p>
        </w:tc>
        <w:tc>
          <w:tcPr>
            <w:tcW w:w="0" w:type="auto"/>
            <w:tcBorders>
              <w:top w:val="nil"/>
              <w:left w:val="single" w:sz="4" w:space="0" w:color="auto"/>
              <w:right w:val="single" w:sz="4" w:space="0" w:color="auto"/>
            </w:tcBorders>
            <w:shd w:val="clear" w:color="auto" w:fill="auto"/>
            <w:noWrap/>
            <w:vAlign w:val="bottom"/>
            <w:hideMark/>
          </w:tcPr>
          <w:p w14:paraId="4A08D5FB" w14:textId="77777777" w:rsidR="008566DB" w:rsidRPr="00632B14" w:rsidRDefault="008566DB" w:rsidP="00312E88">
            <w:pPr>
              <w:jc w:val="right"/>
              <w:rPr>
                <w:rFonts w:cs="Arial"/>
                <w:color w:val="000000"/>
                <w:sz w:val="16"/>
                <w:szCs w:val="16"/>
              </w:rPr>
            </w:pPr>
            <w:r>
              <w:rPr>
                <w:rFonts w:cs="Arial"/>
                <w:color w:val="000000"/>
                <w:sz w:val="16"/>
                <w:szCs w:val="16"/>
              </w:rPr>
              <w:t>539</w:t>
            </w:r>
          </w:p>
        </w:tc>
      </w:tr>
      <w:tr w:rsidR="008566DB" w:rsidRPr="00632B14" w14:paraId="74396434" w14:textId="77777777" w:rsidTr="008566DB">
        <w:trPr>
          <w:trHeight w:hRule="exact" w:val="284"/>
        </w:trPr>
        <w:tc>
          <w:tcPr>
            <w:tcW w:w="0" w:type="auto"/>
            <w:tcBorders>
              <w:left w:val="single" w:sz="4" w:space="0" w:color="auto"/>
              <w:bottom w:val="nil"/>
              <w:right w:val="single" w:sz="4" w:space="0" w:color="auto"/>
            </w:tcBorders>
            <w:shd w:val="clear" w:color="auto" w:fill="auto"/>
            <w:noWrap/>
            <w:vAlign w:val="bottom"/>
            <w:hideMark/>
          </w:tcPr>
          <w:p w14:paraId="0BA1CB54" w14:textId="77777777" w:rsidR="008566DB" w:rsidRPr="00632B14" w:rsidRDefault="008566DB" w:rsidP="00312E88">
            <w:pPr>
              <w:rPr>
                <w:rFonts w:cs="Arial"/>
                <w:color w:val="000000"/>
                <w:sz w:val="16"/>
                <w:szCs w:val="16"/>
              </w:rPr>
            </w:pPr>
            <w:r w:rsidRPr="00632B14">
              <w:rPr>
                <w:rFonts w:cs="Arial"/>
                <w:color w:val="000000"/>
                <w:sz w:val="16"/>
                <w:szCs w:val="16"/>
              </w:rPr>
              <w:t>Personal care in schools</w:t>
            </w:r>
          </w:p>
        </w:tc>
        <w:tc>
          <w:tcPr>
            <w:tcW w:w="0" w:type="auto"/>
            <w:tcBorders>
              <w:left w:val="single" w:sz="4" w:space="0" w:color="auto"/>
              <w:bottom w:val="nil"/>
              <w:right w:val="nil"/>
            </w:tcBorders>
            <w:shd w:val="clear" w:color="auto" w:fill="auto"/>
            <w:noWrap/>
            <w:vAlign w:val="bottom"/>
            <w:hideMark/>
          </w:tcPr>
          <w:p w14:paraId="590211C2" w14:textId="77777777" w:rsidR="008566DB" w:rsidRPr="00632B14" w:rsidRDefault="008566DB" w:rsidP="00312E88">
            <w:pPr>
              <w:jc w:val="right"/>
              <w:rPr>
                <w:rFonts w:cs="Arial"/>
                <w:color w:val="000000"/>
                <w:sz w:val="16"/>
                <w:szCs w:val="16"/>
              </w:rPr>
            </w:pPr>
            <w:r>
              <w:rPr>
                <w:rFonts w:cs="Arial"/>
                <w:color w:val="000000"/>
                <w:sz w:val="16"/>
                <w:szCs w:val="16"/>
              </w:rPr>
              <w:t>269</w:t>
            </w:r>
          </w:p>
        </w:tc>
        <w:tc>
          <w:tcPr>
            <w:tcW w:w="0" w:type="auto"/>
            <w:tcBorders>
              <w:left w:val="nil"/>
              <w:bottom w:val="nil"/>
              <w:right w:val="nil"/>
            </w:tcBorders>
            <w:shd w:val="clear" w:color="auto" w:fill="auto"/>
            <w:noWrap/>
            <w:vAlign w:val="bottom"/>
            <w:hideMark/>
          </w:tcPr>
          <w:p w14:paraId="3F701AD1" w14:textId="77777777" w:rsidR="008566DB" w:rsidRPr="00632B14" w:rsidRDefault="008566DB" w:rsidP="00312E88">
            <w:pPr>
              <w:jc w:val="right"/>
              <w:rPr>
                <w:rFonts w:cs="Arial"/>
                <w:color w:val="000000"/>
                <w:sz w:val="16"/>
                <w:szCs w:val="16"/>
              </w:rPr>
            </w:pPr>
            <w:r>
              <w:rPr>
                <w:rFonts w:cs="Arial"/>
                <w:color w:val="000000"/>
                <w:sz w:val="16"/>
                <w:szCs w:val="16"/>
              </w:rPr>
              <w:t>292</w:t>
            </w:r>
          </w:p>
        </w:tc>
        <w:tc>
          <w:tcPr>
            <w:tcW w:w="0" w:type="auto"/>
            <w:tcBorders>
              <w:left w:val="nil"/>
              <w:bottom w:val="nil"/>
              <w:right w:val="nil"/>
            </w:tcBorders>
            <w:shd w:val="clear" w:color="auto" w:fill="auto"/>
            <w:noWrap/>
            <w:vAlign w:val="bottom"/>
            <w:hideMark/>
          </w:tcPr>
          <w:p w14:paraId="4AC18783" w14:textId="77777777" w:rsidR="008566DB" w:rsidRPr="00632B14" w:rsidRDefault="008566DB" w:rsidP="00312E88">
            <w:pPr>
              <w:jc w:val="right"/>
              <w:rPr>
                <w:rFonts w:cs="Arial"/>
                <w:color w:val="000000"/>
                <w:sz w:val="16"/>
                <w:szCs w:val="16"/>
              </w:rPr>
            </w:pPr>
            <w:r>
              <w:rPr>
                <w:rFonts w:cs="Arial"/>
                <w:color w:val="000000"/>
                <w:sz w:val="16"/>
                <w:szCs w:val="16"/>
              </w:rPr>
              <w:t>304</w:t>
            </w:r>
          </w:p>
        </w:tc>
        <w:tc>
          <w:tcPr>
            <w:tcW w:w="0" w:type="auto"/>
            <w:tcBorders>
              <w:left w:val="nil"/>
              <w:bottom w:val="nil"/>
              <w:right w:val="nil"/>
            </w:tcBorders>
            <w:shd w:val="clear" w:color="auto" w:fill="auto"/>
            <w:noWrap/>
            <w:vAlign w:val="bottom"/>
            <w:hideMark/>
          </w:tcPr>
          <w:p w14:paraId="7D788048" w14:textId="77777777" w:rsidR="008566DB" w:rsidRPr="00632B14" w:rsidRDefault="008566DB" w:rsidP="00312E88">
            <w:pPr>
              <w:jc w:val="right"/>
              <w:rPr>
                <w:rFonts w:cs="Arial"/>
                <w:color w:val="000000"/>
                <w:sz w:val="16"/>
                <w:szCs w:val="16"/>
              </w:rPr>
            </w:pPr>
            <w:r>
              <w:rPr>
                <w:rFonts w:cs="Arial"/>
                <w:color w:val="000000"/>
                <w:sz w:val="16"/>
                <w:szCs w:val="16"/>
              </w:rPr>
              <w:t>316</w:t>
            </w:r>
          </w:p>
        </w:tc>
        <w:tc>
          <w:tcPr>
            <w:tcW w:w="0" w:type="auto"/>
            <w:tcBorders>
              <w:left w:val="single" w:sz="4" w:space="0" w:color="auto"/>
              <w:bottom w:val="nil"/>
              <w:right w:val="single" w:sz="4" w:space="0" w:color="auto"/>
            </w:tcBorders>
            <w:shd w:val="clear" w:color="auto" w:fill="auto"/>
            <w:noWrap/>
            <w:vAlign w:val="bottom"/>
            <w:hideMark/>
          </w:tcPr>
          <w:p w14:paraId="12DE463E" w14:textId="77777777" w:rsidR="008566DB" w:rsidRPr="00632B14" w:rsidRDefault="008566DB" w:rsidP="00312E88">
            <w:pPr>
              <w:jc w:val="right"/>
              <w:rPr>
                <w:rFonts w:cs="Arial"/>
                <w:color w:val="000000"/>
                <w:sz w:val="16"/>
                <w:szCs w:val="16"/>
              </w:rPr>
            </w:pPr>
            <w:r>
              <w:rPr>
                <w:rFonts w:cs="Arial"/>
                <w:color w:val="000000"/>
                <w:sz w:val="16"/>
                <w:szCs w:val="16"/>
              </w:rPr>
              <w:t>385</w:t>
            </w:r>
          </w:p>
        </w:tc>
      </w:tr>
      <w:tr w:rsidR="008566DB" w:rsidRPr="00632B14" w14:paraId="2D684F38" w14:textId="77777777" w:rsidTr="008566DB">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C61B1F" w14:textId="77777777" w:rsidR="008566DB" w:rsidRPr="00632B14" w:rsidRDefault="008566DB" w:rsidP="00312E88">
            <w:pPr>
              <w:rPr>
                <w:rFonts w:cs="Arial"/>
                <w:color w:val="000000"/>
                <w:sz w:val="16"/>
                <w:szCs w:val="16"/>
              </w:rPr>
            </w:pPr>
            <w:r w:rsidRPr="00632B14">
              <w:rPr>
                <w:rFonts w:cs="Arial"/>
                <w:color w:val="000000"/>
                <w:sz w:val="16"/>
                <w:szCs w:val="16"/>
              </w:rPr>
              <w:t>Disability related health supports</w:t>
            </w:r>
          </w:p>
        </w:tc>
        <w:tc>
          <w:tcPr>
            <w:tcW w:w="0" w:type="auto"/>
            <w:tcBorders>
              <w:top w:val="nil"/>
              <w:left w:val="single" w:sz="4" w:space="0" w:color="auto"/>
              <w:bottom w:val="nil"/>
              <w:right w:val="nil"/>
            </w:tcBorders>
            <w:shd w:val="clear" w:color="auto" w:fill="auto"/>
            <w:noWrap/>
            <w:vAlign w:val="bottom"/>
            <w:hideMark/>
          </w:tcPr>
          <w:p w14:paraId="430B5465" w14:textId="77777777" w:rsidR="008566DB" w:rsidRPr="00632B14" w:rsidRDefault="008566DB" w:rsidP="00312E88">
            <w:pPr>
              <w:jc w:val="right"/>
              <w:rPr>
                <w:rFonts w:cs="Arial"/>
                <w:color w:val="000000"/>
                <w:sz w:val="16"/>
                <w:szCs w:val="16"/>
              </w:rPr>
            </w:pPr>
            <w:r>
              <w:rPr>
                <w:rFonts w:cs="Arial"/>
                <w:color w:val="000000"/>
                <w:sz w:val="16"/>
                <w:szCs w:val="16"/>
              </w:rPr>
              <w:t>242</w:t>
            </w:r>
          </w:p>
        </w:tc>
        <w:tc>
          <w:tcPr>
            <w:tcW w:w="0" w:type="auto"/>
            <w:tcBorders>
              <w:top w:val="nil"/>
              <w:left w:val="nil"/>
              <w:bottom w:val="nil"/>
              <w:right w:val="nil"/>
            </w:tcBorders>
            <w:shd w:val="clear" w:color="auto" w:fill="auto"/>
            <w:noWrap/>
            <w:vAlign w:val="bottom"/>
            <w:hideMark/>
          </w:tcPr>
          <w:p w14:paraId="24B18241" w14:textId="77777777" w:rsidR="008566DB" w:rsidRPr="00632B14" w:rsidRDefault="008566DB" w:rsidP="00312E88">
            <w:pPr>
              <w:jc w:val="right"/>
              <w:rPr>
                <w:rFonts w:cs="Arial"/>
                <w:color w:val="000000"/>
                <w:sz w:val="16"/>
                <w:szCs w:val="16"/>
              </w:rPr>
            </w:pPr>
            <w:r>
              <w:rPr>
                <w:rFonts w:cs="Arial"/>
                <w:color w:val="000000"/>
                <w:sz w:val="16"/>
                <w:szCs w:val="16"/>
              </w:rPr>
              <w:t>270</w:t>
            </w:r>
          </w:p>
        </w:tc>
        <w:tc>
          <w:tcPr>
            <w:tcW w:w="0" w:type="auto"/>
            <w:tcBorders>
              <w:top w:val="nil"/>
              <w:left w:val="nil"/>
              <w:bottom w:val="nil"/>
              <w:right w:val="nil"/>
            </w:tcBorders>
            <w:shd w:val="clear" w:color="auto" w:fill="auto"/>
            <w:noWrap/>
            <w:vAlign w:val="bottom"/>
            <w:hideMark/>
          </w:tcPr>
          <w:p w14:paraId="48DED01A" w14:textId="77777777" w:rsidR="008566DB" w:rsidRPr="00632B14" w:rsidRDefault="008566DB" w:rsidP="00312E88">
            <w:pPr>
              <w:jc w:val="right"/>
              <w:rPr>
                <w:rFonts w:cs="Arial"/>
                <w:color w:val="000000"/>
                <w:sz w:val="16"/>
                <w:szCs w:val="16"/>
              </w:rPr>
            </w:pPr>
            <w:r>
              <w:rPr>
                <w:rFonts w:cs="Arial"/>
                <w:color w:val="000000"/>
                <w:sz w:val="16"/>
                <w:szCs w:val="16"/>
              </w:rPr>
              <w:t>296</w:t>
            </w:r>
          </w:p>
        </w:tc>
        <w:tc>
          <w:tcPr>
            <w:tcW w:w="0" w:type="auto"/>
            <w:tcBorders>
              <w:top w:val="nil"/>
              <w:left w:val="nil"/>
              <w:bottom w:val="nil"/>
              <w:right w:val="nil"/>
            </w:tcBorders>
            <w:shd w:val="clear" w:color="auto" w:fill="auto"/>
            <w:noWrap/>
            <w:vAlign w:val="bottom"/>
            <w:hideMark/>
          </w:tcPr>
          <w:p w14:paraId="26E26324" w14:textId="77777777" w:rsidR="008566DB" w:rsidRPr="00632B14" w:rsidRDefault="008566DB" w:rsidP="00312E88">
            <w:pPr>
              <w:jc w:val="right"/>
              <w:rPr>
                <w:rFonts w:cs="Arial"/>
                <w:color w:val="000000"/>
                <w:sz w:val="16"/>
                <w:szCs w:val="16"/>
              </w:rPr>
            </w:pPr>
            <w:r>
              <w:rPr>
                <w:rFonts w:cs="Arial"/>
                <w:color w:val="000000"/>
                <w:sz w:val="16"/>
                <w:szCs w:val="16"/>
              </w:rPr>
              <w:t>320</w:t>
            </w:r>
          </w:p>
        </w:tc>
        <w:tc>
          <w:tcPr>
            <w:tcW w:w="0" w:type="auto"/>
            <w:tcBorders>
              <w:top w:val="nil"/>
              <w:left w:val="single" w:sz="4" w:space="0" w:color="auto"/>
              <w:bottom w:val="nil"/>
              <w:right w:val="single" w:sz="4" w:space="0" w:color="auto"/>
            </w:tcBorders>
            <w:shd w:val="clear" w:color="auto" w:fill="auto"/>
            <w:noWrap/>
            <w:vAlign w:val="bottom"/>
            <w:hideMark/>
          </w:tcPr>
          <w:p w14:paraId="560232EB" w14:textId="77777777" w:rsidR="008566DB" w:rsidRPr="00632B14" w:rsidRDefault="008566DB" w:rsidP="00312E88">
            <w:pPr>
              <w:jc w:val="right"/>
              <w:rPr>
                <w:rFonts w:cs="Arial"/>
                <w:color w:val="000000"/>
                <w:sz w:val="16"/>
                <w:szCs w:val="16"/>
              </w:rPr>
            </w:pPr>
            <w:r>
              <w:rPr>
                <w:rFonts w:cs="Arial"/>
                <w:color w:val="000000"/>
                <w:sz w:val="16"/>
                <w:szCs w:val="16"/>
              </w:rPr>
              <w:t>420</w:t>
            </w:r>
          </w:p>
        </w:tc>
      </w:tr>
      <w:tr w:rsidR="008566DB" w:rsidRPr="00632B14" w14:paraId="24A8E116" w14:textId="77777777" w:rsidTr="00604441">
        <w:trPr>
          <w:trHeight w:hRule="exact" w:val="284"/>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B3D5C3" w14:textId="77777777" w:rsidR="008566DB" w:rsidRPr="00632B14" w:rsidRDefault="008566DB" w:rsidP="00312E88">
            <w:pPr>
              <w:rPr>
                <w:rFonts w:cs="Arial"/>
                <w:b/>
                <w:bCs/>
                <w:color w:val="000000"/>
                <w:sz w:val="16"/>
                <w:szCs w:val="16"/>
              </w:rPr>
            </w:pPr>
            <w:r w:rsidRPr="00632B14">
              <w:rPr>
                <w:rFonts w:cs="Arial"/>
                <w:b/>
                <w:bCs/>
                <w:color w:val="000000"/>
                <w:sz w:val="16"/>
                <w:szCs w:val="16"/>
              </w:rPr>
              <w:t>Participant cost allowing for unanticipated costs</w:t>
            </w:r>
          </w:p>
        </w:tc>
        <w:tc>
          <w:tcPr>
            <w:tcW w:w="0" w:type="auto"/>
            <w:tcBorders>
              <w:top w:val="single" w:sz="4" w:space="0" w:color="auto"/>
              <w:left w:val="nil"/>
              <w:bottom w:val="single" w:sz="4" w:space="0" w:color="auto"/>
              <w:right w:val="nil"/>
            </w:tcBorders>
            <w:shd w:val="clear" w:color="auto" w:fill="auto"/>
            <w:noWrap/>
            <w:vAlign w:val="bottom"/>
            <w:hideMark/>
          </w:tcPr>
          <w:p w14:paraId="2F1C5915" w14:textId="77777777" w:rsidR="008566DB" w:rsidRPr="00632B14" w:rsidRDefault="008566DB" w:rsidP="00312E88">
            <w:pPr>
              <w:jc w:val="right"/>
              <w:rPr>
                <w:rFonts w:cs="Arial"/>
                <w:b/>
                <w:bCs/>
                <w:color w:val="000000"/>
                <w:sz w:val="16"/>
                <w:szCs w:val="16"/>
              </w:rPr>
            </w:pPr>
            <w:r>
              <w:rPr>
                <w:rFonts w:cs="Arial"/>
                <w:b/>
                <w:bCs/>
                <w:color w:val="000000"/>
                <w:sz w:val="16"/>
                <w:szCs w:val="16"/>
              </w:rPr>
              <w:t>25,521</w:t>
            </w:r>
          </w:p>
        </w:tc>
        <w:tc>
          <w:tcPr>
            <w:tcW w:w="0" w:type="auto"/>
            <w:tcBorders>
              <w:top w:val="single" w:sz="4" w:space="0" w:color="auto"/>
              <w:left w:val="nil"/>
              <w:bottom w:val="single" w:sz="4" w:space="0" w:color="auto"/>
              <w:right w:val="nil"/>
            </w:tcBorders>
            <w:shd w:val="clear" w:color="auto" w:fill="auto"/>
            <w:noWrap/>
            <w:vAlign w:val="bottom"/>
            <w:hideMark/>
          </w:tcPr>
          <w:p w14:paraId="6D9239CA" w14:textId="77777777" w:rsidR="008566DB" w:rsidRPr="00632B14" w:rsidRDefault="008566DB" w:rsidP="00312E88">
            <w:pPr>
              <w:jc w:val="right"/>
              <w:rPr>
                <w:rFonts w:cs="Arial"/>
                <w:b/>
                <w:bCs/>
                <w:color w:val="000000"/>
                <w:sz w:val="16"/>
                <w:szCs w:val="16"/>
              </w:rPr>
            </w:pPr>
            <w:r>
              <w:rPr>
                <w:rFonts w:cs="Arial"/>
                <w:b/>
                <w:bCs/>
                <w:color w:val="000000"/>
                <w:sz w:val="16"/>
                <w:szCs w:val="16"/>
              </w:rPr>
              <w:t>27,227</w:t>
            </w:r>
          </w:p>
        </w:tc>
        <w:tc>
          <w:tcPr>
            <w:tcW w:w="0" w:type="auto"/>
            <w:tcBorders>
              <w:top w:val="single" w:sz="4" w:space="0" w:color="auto"/>
              <w:left w:val="nil"/>
              <w:bottom w:val="single" w:sz="4" w:space="0" w:color="auto"/>
              <w:right w:val="nil"/>
            </w:tcBorders>
            <w:shd w:val="clear" w:color="auto" w:fill="auto"/>
            <w:noWrap/>
            <w:vAlign w:val="bottom"/>
            <w:hideMark/>
          </w:tcPr>
          <w:p w14:paraId="1DBFFF4F" w14:textId="77777777" w:rsidR="008566DB" w:rsidRPr="00632B14" w:rsidRDefault="008566DB" w:rsidP="00312E88">
            <w:pPr>
              <w:jc w:val="right"/>
              <w:rPr>
                <w:rFonts w:cs="Arial"/>
                <w:b/>
                <w:bCs/>
                <w:color w:val="000000"/>
                <w:sz w:val="16"/>
                <w:szCs w:val="16"/>
              </w:rPr>
            </w:pPr>
            <w:r>
              <w:rPr>
                <w:rFonts w:cs="Arial"/>
                <w:b/>
                <w:bCs/>
                <w:color w:val="000000"/>
                <w:sz w:val="16"/>
                <w:szCs w:val="16"/>
              </w:rPr>
              <w:t>28,984</w:t>
            </w:r>
          </w:p>
        </w:tc>
        <w:tc>
          <w:tcPr>
            <w:tcW w:w="0" w:type="auto"/>
            <w:tcBorders>
              <w:top w:val="single" w:sz="4" w:space="0" w:color="auto"/>
              <w:left w:val="nil"/>
              <w:bottom w:val="single" w:sz="4" w:space="0" w:color="auto"/>
              <w:right w:val="nil"/>
            </w:tcBorders>
            <w:shd w:val="clear" w:color="auto" w:fill="auto"/>
            <w:noWrap/>
            <w:vAlign w:val="bottom"/>
            <w:hideMark/>
          </w:tcPr>
          <w:p w14:paraId="69B2362A" w14:textId="77777777" w:rsidR="008566DB" w:rsidRPr="00632B14" w:rsidRDefault="008566DB" w:rsidP="00312E88">
            <w:pPr>
              <w:jc w:val="right"/>
              <w:rPr>
                <w:rFonts w:cs="Arial"/>
                <w:b/>
                <w:bCs/>
                <w:color w:val="000000"/>
                <w:sz w:val="16"/>
                <w:szCs w:val="16"/>
              </w:rPr>
            </w:pPr>
            <w:r>
              <w:rPr>
                <w:rFonts w:cs="Arial"/>
                <w:b/>
                <w:bCs/>
                <w:color w:val="000000"/>
                <w:sz w:val="16"/>
                <w:szCs w:val="16"/>
              </w:rPr>
              <w:t>30,800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4D97F" w14:textId="77777777" w:rsidR="008566DB" w:rsidRPr="00632B14" w:rsidRDefault="008566DB" w:rsidP="00312E88">
            <w:pPr>
              <w:jc w:val="right"/>
              <w:rPr>
                <w:rFonts w:cs="Arial"/>
                <w:b/>
                <w:bCs/>
                <w:color w:val="000000"/>
                <w:sz w:val="16"/>
                <w:szCs w:val="16"/>
              </w:rPr>
            </w:pPr>
            <w:r>
              <w:rPr>
                <w:rFonts w:cs="Arial"/>
                <w:b/>
                <w:bCs/>
                <w:color w:val="000000"/>
                <w:sz w:val="16"/>
                <w:szCs w:val="16"/>
              </w:rPr>
              <w:t>41,182</w:t>
            </w:r>
          </w:p>
        </w:tc>
      </w:tr>
      <w:tr w:rsidR="008566DB" w:rsidRPr="00632B14" w14:paraId="36BCB4DB" w14:textId="77777777" w:rsidTr="00604441">
        <w:trPr>
          <w:trHeight w:hRule="exact" w:val="284"/>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CFDDE2" w14:textId="77777777" w:rsidR="008566DB" w:rsidRPr="00632B14" w:rsidRDefault="008566DB" w:rsidP="00312E88">
            <w:pPr>
              <w:rPr>
                <w:rFonts w:cs="Arial"/>
                <w:b/>
                <w:bCs/>
                <w:color w:val="000000"/>
                <w:sz w:val="16"/>
                <w:szCs w:val="16"/>
              </w:rPr>
            </w:pPr>
            <w:r w:rsidRPr="00632B14">
              <w:rPr>
                <w:rFonts w:cs="Arial"/>
                <w:b/>
                <w:bCs/>
                <w:color w:val="000000"/>
                <w:sz w:val="16"/>
                <w:szCs w:val="16"/>
              </w:rPr>
              <w:t>Baseline projected participant costs (accrual basis)</w:t>
            </w:r>
          </w:p>
        </w:tc>
        <w:tc>
          <w:tcPr>
            <w:tcW w:w="0" w:type="auto"/>
            <w:tcBorders>
              <w:top w:val="single" w:sz="4" w:space="0" w:color="auto"/>
              <w:left w:val="nil"/>
              <w:bottom w:val="single" w:sz="4" w:space="0" w:color="auto"/>
              <w:right w:val="nil"/>
            </w:tcBorders>
            <w:shd w:val="clear" w:color="auto" w:fill="auto"/>
            <w:noWrap/>
            <w:vAlign w:val="bottom"/>
            <w:hideMark/>
          </w:tcPr>
          <w:p w14:paraId="2A801F96" w14:textId="77777777" w:rsidR="008566DB" w:rsidRPr="00632B14" w:rsidRDefault="008566DB" w:rsidP="00312E88">
            <w:pPr>
              <w:jc w:val="right"/>
              <w:rPr>
                <w:rFonts w:cs="Arial"/>
                <w:b/>
                <w:bCs/>
                <w:color w:val="000000"/>
                <w:sz w:val="16"/>
                <w:szCs w:val="16"/>
              </w:rPr>
            </w:pPr>
            <w:r>
              <w:rPr>
                <w:rFonts w:cs="Arial"/>
                <w:b/>
                <w:bCs/>
                <w:color w:val="000000"/>
                <w:sz w:val="16"/>
                <w:szCs w:val="16"/>
              </w:rPr>
              <w:t>29,223</w:t>
            </w:r>
          </w:p>
        </w:tc>
        <w:tc>
          <w:tcPr>
            <w:tcW w:w="0" w:type="auto"/>
            <w:tcBorders>
              <w:top w:val="single" w:sz="4" w:space="0" w:color="auto"/>
              <w:left w:val="nil"/>
              <w:bottom w:val="single" w:sz="4" w:space="0" w:color="auto"/>
              <w:right w:val="nil"/>
            </w:tcBorders>
            <w:shd w:val="clear" w:color="auto" w:fill="auto"/>
            <w:noWrap/>
            <w:vAlign w:val="bottom"/>
            <w:hideMark/>
          </w:tcPr>
          <w:p w14:paraId="10489A55" w14:textId="77777777" w:rsidR="008566DB" w:rsidRPr="00632B14" w:rsidRDefault="008566DB" w:rsidP="00312E88">
            <w:pPr>
              <w:jc w:val="right"/>
              <w:rPr>
                <w:rFonts w:cs="Arial"/>
                <w:b/>
                <w:bCs/>
                <w:color w:val="000000"/>
                <w:sz w:val="16"/>
                <w:szCs w:val="16"/>
              </w:rPr>
            </w:pPr>
            <w:r>
              <w:rPr>
                <w:rFonts w:cs="Arial"/>
                <w:b/>
                <w:bCs/>
                <w:color w:val="000000"/>
                <w:sz w:val="16"/>
                <w:szCs w:val="16"/>
              </w:rPr>
              <w:t>33,886</w:t>
            </w:r>
          </w:p>
        </w:tc>
        <w:tc>
          <w:tcPr>
            <w:tcW w:w="0" w:type="auto"/>
            <w:tcBorders>
              <w:top w:val="single" w:sz="4" w:space="0" w:color="auto"/>
              <w:left w:val="nil"/>
              <w:bottom w:val="single" w:sz="4" w:space="0" w:color="auto"/>
              <w:right w:val="nil"/>
            </w:tcBorders>
            <w:shd w:val="clear" w:color="auto" w:fill="auto"/>
            <w:noWrap/>
            <w:vAlign w:val="bottom"/>
            <w:hideMark/>
          </w:tcPr>
          <w:p w14:paraId="4C556461" w14:textId="77777777" w:rsidR="008566DB" w:rsidRPr="00632B14" w:rsidRDefault="008566DB" w:rsidP="00312E88">
            <w:pPr>
              <w:jc w:val="right"/>
              <w:rPr>
                <w:rFonts w:cs="Arial"/>
                <w:b/>
                <w:bCs/>
                <w:color w:val="000000"/>
                <w:sz w:val="16"/>
                <w:szCs w:val="16"/>
              </w:rPr>
            </w:pPr>
            <w:r>
              <w:rPr>
                <w:rFonts w:cs="Arial"/>
                <w:b/>
                <w:bCs/>
                <w:color w:val="000000"/>
                <w:sz w:val="16"/>
                <w:szCs w:val="16"/>
              </w:rPr>
              <w:t>37,973</w:t>
            </w:r>
          </w:p>
        </w:tc>
        <w:tc>
          <w:tcPr>
            <w:tcW w:w="0" w:type="auto"/>
            <w:tcBorders>
              <w:top w:val="single" w:sz="4" w:space="0" w:color="auto"/>
              <w:left w:val="nil"/>
              <w:bottom w:val="single" w:sz="4" w:space="0" w:color="auto"/>
              <w:right w:val="nil"/>
            </w:tcBorders>
            <w:shd w:val="clear" w:color="auto" w:fill="auto"/>
            <w:noWrap/>
            <w:vAlign w:val="bottom"/>
            <w:hideMark/>
          </w:tcPr>
          <w:p w14:paraId="02F8AB3E" w14:textId="77777777" w:rsidR="008566DB" w:rsidRPr="00632B14" w:rsidRDefault="008566DB" w:rsidP="00312E88">
            <w:pPr>
              <w:jc w:val="right"/>
              <w:rPr>
                <w:rFonts w:cs="Arial"/>
                <w:b/>
                <w:bCs/>
                <w:color w:val="000000"/>
                <w:sz w:val="16"/>
                <w:szCs w:val="16"/>
              </w:rPr>
            </w:pPr>
            <w:r>
              <w:rPr>
                <w:rFonts w:cs="Arial"/>
                <w:b/>
                <w:bCs/>
                <w:color w:val="000000"/>
                <w:sz w:val="16"/>
                <w:szCs w:val="16"/>
              </w:rPr>
              <w:t>41,373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E2060" w14:textId="77777777" w:rsidR="008566DB" w:rsidRPr="00632B14" w:rsidRDefault="008566DB" w:rsidP="00312E88">
            <w:pPr>
              <w:jc w:val="right"/>
              <w:rPr>
                <w:rFonts w:cs="Arial"/>
                <w:b/>
                <w:bCs/>
                <w:color w:val="000000"/>
                <w:sz w:val="16"/>
                <w:szCs w:val="16"/>
              </w:rPr>
            </w:pPr>
            <w:r>
              <w:rPr>
                <w:rFonts w:cs="Arial"/>
                <w:b/>
                <w:bCs/>
                <w:color w:val="000000"/>
                <w:sz w:val="16"/>
                <w:szCs w:val="16"/>
              </w:rPr>
              <w:t>59,284</w:t>
            </w:r>
          </w:p>
        </w:tc>
      </w:tr>
      <w:tr w:rsidR="008566DB" w:rsidRPr="00632B14" w14:paraId="5FF5C4C4" w14:textId="77777777" w:rsidTr="00604441">
        <w:trPr>
          <w:trHeight w:hRule="exact" w:val="284"/>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tcPr>
          <w:p w14:paraId="007305F6" w14:textId="77777777" w:rsidR="008566DB" w:rsidRPr="00632B14" w:rsidRDefault="008566DB" w:rsidP="00312E88">
            <w:pPr>
              <w:rPr>
                <w:rFonts w:cs="Arial"/>
                <w:b/>
                <w:bCs/>
                <w:color w:val="000000"/>
                <w:sz w:val="16"/>
                <w:szCs w:val="16"/>
              </w:rPr>
            </w:pPr>
            <w:r>
              <w:rPr>
                <w:rFonts w:cs="Arial"/>
                <w:b/>
                <w:bCs/>
                <w:color w:val="000000"/>
                <w:sz w:val="16"/>
                <w:szCs w:val="16"/>
              </w:rPr>
              <w:t>Difference</w:t>
            </w:r>
          </w:p>
        </w:tc>
        <w:tc>
          <w:tcPr>
            <w:tcW w:w="0" w:type="auto"/>
            <w:tcBorders>
              <w:top w:val="single" w:sz="4" w:space="0" w:color="auto"/>
              <w:left w:val="nil"/>
              <w:bottom w:val="single" w:sz="4" w:space="0" w:color="auto"/>
              <w:right w:val="nil"/>
            </w:tcBorders>
            <w:shd w:val="clear" w:color="auto" w:fill="auto"/>
            <w:noWrap/>
            <w:vAlign w:val="bottom"/>
          </w:tcPr>
          <w:p w14:paraId="57B85E05" w14:textId="77777777" w:rsidR="008566DB" w:rsidRPr="00632B14" w:rsidRDefault="008566DB" w:rsidP="00312E88">
            <w:pPr>
              <w:jc w:val="right"/>
              <w:rPr>
                <w:rFonts w:cs="Arial"/>
                <w:b/>
                <w:bCs/>
                <w:color w:val="000000"/>
                <w:sz w:val="16"/>
                <w:szCs w:val="16"/>
              </w:rPr>
            </w:pPr>
            <w:r>
              <w:rPr>
                <w:rFonts w:cs="Arial"/>
                <w:b/>
                <w:bCs/>
                <w:color w:val="000000"/>
                <w:sz w:val="16"/>
                <w:szCs w:val="16"/>
              </w:rPr>
              <w:t>3,703</w:t>
            </w:r>
          </w:p>
        </w:tc>
        <w:tc>
          <w:tcPr>
            <w:tcW w:w="0" w:type="auto"/>
            <w:tcBorders>
              <w:top w:val="single" w:sz="4" w:space="0" w:color="auto"/>
              <w:left w:val="nil"/>
              <w:bottom w:val="single" w:sz="4" w:space="0" w:color="auto"/>
              <w:right w:val="nil"/>
            </w:tcBorders>
            <w:shd w:val="clear" w:color="auto" w:fill="auto"/>
            <w:noWrap/>
            <w:vAlign w:val="bottom"/>
          </w:tcPr>
          <w:p w14:paraId="56FBD3BC" w14:textId="77777777" w:rsidR="008566DB" w:rsidRPr="00632B14" w:rsidRDefault="008566DB" w:rsidP="00312E88">
            <w:pPr>
              <w:jc w:val="right"/>
              <w:rPr>
                <w:rFonts w:cs="Arial"/>
                <w:b/>
                <w:bCs/>
                <w:color w:val="000000"/>
                <w:sz w:val="16"/>
                <w:szCs w:val="16"/>
              </w:rPr>
            </w:pPr>
            <w:r>
              <w:rPr>
                <w:rFonts w:cs="Arial"/>
                <w:b/>
                <w:bCs/>
                <w:color w:val="000000"/>
                <w:sz w:val="16"/>
                <w:szCs w:val="16"/>
              </w:rPr>
              <w:t>6,659</w:t>
            </w:r>
          </w:p>
        </w:tc>
        <w:tc>
          <w:tcPr>
            <w:tcW w:w="0" w:type="auto"/>
            <w:tcBorders>
              <w:top w:val="single" w:sz="4" w:space="0" w:color="auto"/>
              <w:left w:val="nil"/>
              <w:bottom w:val="single" w:sz="4" w:space="0" w:color="auto"/>
              <w:right w:val="nil"/>
            </w:tcBorders>
            <w:shd w:val="clear" w:color="auto" w:fill="auto"/>
            <w:noWrap/>
            <w:vAlign w:val="bottom"/>
          </w:tcPr>
          <w:p w14:paraId="15F6CA83" w14:textId="77777777" w:rsidR="008566DB" w:rsidRPr="00632B14" w:rsidRDefault="008566DB" w:rsidP="00312E88">
            <w:pPr>
              <w:jc w:val="right"/>
              <w:rPr>
                <w:rFonts w:cs="Arial"/>
                <w:b/>
                <w:bCs/>
                <w:color w:val="000000"/>
                <w:sz w:val="16"/>
                <w:szCs w:val="16"/>
              </w:rPr>
            </w:pPr>
            <w:r>
              <w:rPr>
                <w:rFonts w:cs="Arial"/>
                <w:b/>
                <w:bCs/>
                <w:color w:val="000000"/>
                <w:sz w:val="16"/>
                <w:szCs w:val="16"/>
              </w:rPr>
              <w:t>8,988</w:t>
            </w:r>
          </w:p>
        </w:tc>
        <w:tc>
          <w:tcPr>
            <w:tcW w:w="0" w:type="auto"/>
            <w:tcBorders>
              <w:top w:val="single" w:sz="4" w:space="0" w:color="auto"/>
              <w:left w:val="nil"/>
              <w:bottom w:val="single" w:sz="4" w:space="0" w:color="auto"/>
              <w:right w:val="nil"/>
            </w:tcBorders>
            <w:shd w:val="clear" w:color="auto" w:fill="auto"/>
            <w:noWrap/>
            <w:vAlign w:val="bottom"/>
          </w:tcPr>
          <w:p w14:paraId="37C3B6B1" w14:textId="77777777" w:rsidR="008566DB" w:rsidRPr="00632B14" w:rsidRDefault="008566DB" w:rsidP="00312E88">
            <w:pPr>
              <w:jc w:val="right"/>
              <w:rPr>
                <w:rFonts w:cs="Arial"/>
                <w:b/>
                <w:bCs/>
                <w:color w:val="000000"/>
                <w:sz w:val="16"/>
                <w:szCs w:val="16"/>
              </w:rPr>
            </w:pPr>
            <w:r>
              <w:rPr>
                <w:rFonts w:cs="Arial"/>
                <w:b/>
                <w:bCs/>
                <w:color w:val="000000"/>
                <w:sz w:val="16"/>
                <w:szCs w:val="16"/>
              </w:rPr>
              <w:t>10,573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44797E" w14:textId="77777777" w:rsidR="008566DB" w:rsidRPr="00632B14" w:rsidRDefault="008566DB" w:rsidP="00312E88">
            <w:pPr>
              <w:jc w:val="right"/>
              <w:rPr>
                <w:rFonts w:cs="Arial"/>
                <w:b/>
                <w:bCs/>
                <w:color w:val="000000"/>
                <w:sz w:val="16"/>
                <w:szCs w:val="16"/>
              </w:rPr>
            </w:pPr>
            <w:r>
              <w:rPr>
                <w:rFonts w:cs="Arial"/>
                <w:b/>
                <w:bCs/>
                <w:color w:val="000000"/>
                <w:sz w:val="16"/>
                <w:szCs w:val="16"/>
              </w:rPr>
              <w:t>18,102</w:t>
            </w:r>
          </w:p>
        </w:tc>
      </w:tr>
    </w:tbl>
    <w:p w14:paraId="47F697E1" w14:textId="75107014" w:rsidR="00AB0120" w:rsidRPr="00405627" w:rsidRDefault="00AB0120" w:rsidP="00AB0120">
      <w:pPr>
        <w:pStyle w:val="FSRnormal"/>
      </w:pPr>
      <w:r w:rsidRPr="008566DB">
        <w:rPr>
          <w:u w:val="single"/>
        </w:rPr>
        <w:fldChar w:fldCharType="begin"/>
      </w:r>
      <w:r w:rsidRPr="008566DB">
        <w:rPr>
          <w:u w:val="single"/>
        </w:rPr>
        <w:instrText xml:space="preserve"> REF _Ref80109843 \h </w:instrText>
      </w:r>
      <w:r w:rsidR="008566DB">
        <w:rPr>
          <w:u w:val="single"/>
        </w:rPr>
        <w:instrText xml:space="preserve"> \* MERGEFORMAT </w:instrText>
      </w:r>
      <w:r w:rsidRPr="008566DB">
        <w:rPr>
          <w:u w:val="single"/>
        </w:rPr>
      </w:r>
      <w:r w:rsidRPr="008566DB">
        <w:rPr>
          <w:u w:val="single"/>
        </w:rPr>
        <w:fldChar w:fldCharType="separate"/>
      </w:r>
      <w:r w:rsidR="00E50032" w:rsidRPr="00E50032">
        <w:rPr>
          <w:u w:val="single"/>
        </w:rPr>
        <w:t xml:space="preserve">Table </w:t>
      </w:r>
      <w:r w:rsidR="00E50032" w:rsidRPr="00E50032">
        <w:rPr>
          <w:noProof/>
          <w:u w:val="single"/>
        </w:rPr>
        <w:t>49</w:t>
      </w:r>
      <w:r w:rsidRPr="008566DB">
        <w:rPr>
          <w:u w:val="single"/>
        </w:rPr>
        <w:fldChar w:fldCharType="end"/>
      </w:r>
      <w:r>
        <w:t xml:space="preserve"> </w:t>
      </w:r>
      <w:r w:rsidRPr="00405627">
        <w:t xml:space="preserve">shows that based on the 2017 PC study report, the expected annual cost of the Scheme in 2021-22 was $25.2 billion, or $23.7 billion attributable to participant costs. </w:t>
      </w:r>
    </w:p>
    <w:p w14:paraId="5A2D6801" w14:textId="77777777" w:rsidR="00AB0120" w:rsidRPr="00405627" w:rsidRDefault="00AB0120" w:rsidP="00AB0120">
      <w:pPr>
        <w:pStyle w:val="FSRnormal"/>
      </w:pPr>
      <w:r w:rsidRPr="00405627">
        <w:t>By allowing for unanticipated costs such as children with developmental delay, school transport, personal care in schools, disability related health supports and a</w:t>
      </w:r>
      <w:r>
        <w:t>n</w:t>
      </w:r>
      <w:r w:rsidRPr="00405627">
        <w:t xml:space="preserve"> NIIS offset for motor/workplace injuries only, the annual participant cost of the Scheme is about $25.5 billion. By comparison, the baseline projected participant costs in 2021</w:t>
      </w:r>
      <w:r w:rsidRPr="00405627">
        <w:noBreakHyphen/>
        <w:t xml:space="preserve">22 are about $29.2 billion, or about 15% above the 2017 PC estimate, allowing for unanticipated costs. </w:t>
      </w:r>
    </w:p>
    <w:p w14:paraId="1AFBE354" w14:textId="77777777" w:rsidR="00AB0120" w:rsidRPr="00405627" w:rsidRDefault="00AB0120" w:rsidP="00AB0120">
      <w:pPr>
        <w:pStyle w:val="FSRnormal"/>
      </w:pPr>
      <w:r w:rsidRPr="00405627">
        <w:t>This difference is expected to continue to grow. By 2029</w:t>
      </w:r>
      <w:r w:rsidRPr="00405627">
        <w:noBreakHyphen/>
        <w:t xml:space="preserve">30, the baseline projected participant costs ($59.3 billion) are 44% above the 2017 PC estimate of $41.2 billion, after allowing for unanticipated costs. This difference is driven by higher expected future participant intake and significantly higher average </w:t>
      </w:r>
      <w:r>
        <w:t>payment</w:t>
      </w:r>
      <w:r w:rsidRPr="00405627">
        <w:t xml:space="preserve">s in the baseline projection and is reflective of the emerging experience over the recent period. </w:t>
      </w:r>
    </w:p>
    <w:p w14:paraId="19ADD5F9" w14:textId="77777777" w:rsidR="00AB0120" w:rsidRPr="00141B0B" w:rsidRDefault="00AB0120" w:rsidP="00141B0B"/>
    <w:p w14:paraId="362E618A" w14:textId="26745217" w:rsidR="00447D4E" w:rsidRDefault="00447D4E" w:rsidP="00447D4E">
      <w:pPr>
        <w:pStyle w:val="Heading2"/>
      </w:pPr>
      <w:bookmarkStart w:id="259" w:name="_Toc83220858"/>
      <w:bookmarkStart w:id="260" w:name="_Toc85031269"/>
      <w:r>
        <w:lastRenderedPageBreak/>
        <w:t>Outcomes</w:t>
      </w:r>
      <w:bookmarkEnd w:id="259"/>
      <w:bookmarkEnd w:id="260"/>
    </w:p>
    <w:p w14:paraId="38238BB7" w14:textId="77777777" w:rsidR="00A62861" w:rsidRPr="000D6ECE" w:rsidRDefault="00A62861" w:rsidP="00A62861">
      <w:pPr>
        <w:pStyle w:val="FSRnormal"/>
      </w:pPr>
      <w:r w:rsidRPr="000D6ECE">
        <w:t>The achievement of participant outcomes is critical to the financial sustainability of the Scheme. As an insurance-principles based support model, the Scheme takes a lifetime approach to supporting people with disability. This means investing in participants in the short term in order to maximise their opportunities for independence and economic and social participation over their lifetime.</w:t>
      </w:r>
      <w:r w:rsidRPr="000D6ECE">
        <w:rPr>
          <w:rStyle w:val="FootnoteReference"/>
        </w:rPr>
        <w:footnoteReference w:id="78"/>
      </w:r>
      <w:r w:rsidRPr="000D6ECE">
        <w:t xml:space="preserve"> Over time, the Scheme is expected to help participants engage more in the community, thereby reducing their need for funded supports. This would be a positive reflection on the Scheme’s functions and demonstrate the effectiveness of the Scheme in helping participants achieve better outcomes while simultaneously reducing the long-term costs of disability support, especially compared to the old disability systems.</w:t>
      </w:r>
    </w:p>
    <w:p w14:paraId="46B3C71E" w14:textId="6207D226" w:rsidR="00A62861" w:rsidRPr="000D6ECE" w:rsidRDefault="005908CD" w:rsidP="00A62861">
      <w:pPr>
        <w:pStyle w:val="FSRnormal"/>
      </w:pPr>
      <w:r>
        <w:t xml:space="preserve">As the cost of the </w:t>
      </w:r>
      <w:r w:rsidR="00783DE5">
        <w:t>Scheme</w:t>
      </w:r>
      <w:r>
        <w:t xml:space="preserve"> increases</w:t>
      </w:r>
      <w:r w:rsidR="00DC36CD">
        <w:t>,</w:t>
      </w:r>
      <w:r>
        <w:t xml:space="preserve"> </w:t>
      </w:r>
      <w:r w:rsidR="00A62861" w:rsidRPr="000D6ECE">
        <w:t>it become</w:t>
      </w:r>
      <w:r>
        <w:t>s</w:t>
      </w:r>
      <w:r w:rsidR="00A62861" w:rsidRPr="000D6ECE">
        <w:t xml:space="preserve"> increasingly important for the Agency to demonstrate how the Scheme is successfully building the capacity of participants to increase their independence and economic and social participation. </w:t>
      </w:r>
      <w:r w:rsidRPr="000D6ECE">
        <w:t xml:space="preserve">The perception of the Scheme by the general public, who contribute through taxation, needs to be considered to ensure the Scheme receives </w:t>
      </w:r>
      <w:r w:rsidR="00DC36CD">
        <w:t xml:space="preserve">ongoing </w:t>
      </w:r>
      <w:r w:rsidRPr="000D6ECE">
        <w:t>support from the community. A positive cost/benefit analysis, where there is evidence of marginal gains being achieved with the funding, will help to demonstrate the success of</w:t>
      </w:r>
      <w:r w:rsidR="00AD1370">
        <w:t>,</w:t>
      </w:r>
      <w:r w:rsidRPr="000D6ECE">
        <w:t xml:space="preserve"> and engender trust in the Scheme.</w:t>
      </w:r>
    </w:p>
    <w:p w14:paraId="7BACB8CD" w14:textId="264B196F" w:rsidR="00A62861" w:rsidRPr="000D6ECE" w:rsidRDefault="005908CD" w:rsidP="00A62861">
      <w:pPr>
        <w:pStyle w:val="FSRnormal"/>
      </w:pPr>
      <w:r>
        <w:t xml:space="preserve">Central to the </w:t>
      </w:r>
      <w:r w:rsidR="00A62861" w:rsidRPr="000D6ECE">
        <w:t xml:space="preserve">NDIS Outcomes Framework is a series of questionnaires that collect information on how participants and their families/carers are progressing in different areas (domains) of their lives. </w:t>
      </w:r>
      <w:r w:rsidR="00A62861" w:rsidRPr="000D6ECE">
        <w:rPr>
          <w:rFonts w:cs="Arial"/>
        </w:rPr>
        <w:t xml:space="preserve">The questionnaires are </w:t>
      </w:r>
      <w:r>
        <w:rPr>
          <w:rFonts w:cs="Arial"/>
        </w:rPr>
        <w:t xml:space="preserve">administered </w:t>
      </w:r>
      <w:r w:rsidR="00A62861" w:rsidRPr="000D6ECE">
        <w:rPr>
          <w:rFonts w:cs="Arial"/>
        </w:rPr>
        <w:t>approximately annual</w:t>
      </w:r>
      <w:r>
        <w:rPr>
          <w:rFonts w:cs="Arial"/>
        </w:rPr>
        <w:t>ly</w:t>
      </w:r>
      <w:r w:rsidR="00A62861" w:rsidRPr="000D6ECE">
        <w:rPr>
          <w:rFonts w:cs="Arial"/>
        </w:rPr>
        <w:t xml:space="preserve"> to track changes in individual outcomes over time.</w:t>
      </w:r>
      <w:r w:rsidR="00AD1370" w:rsidRPr="000D6ECE" w:rsidDel="00AD1370">
        <w:rPr>
          <w:rStyle w:val="FootnoteReference"/>
          <w:rFonts w:cs="Arial"/>
        </w:rPr>
        <w:t xml:space="preserve"> </w:t>
      </w:r>
      <w:r w:rsidR="00A62861">
        <w:rPr>
          <w:rFonts w:cs="Arial"/>
        </w:rPr>
        <w:t>Consistent with the insurance principles on which the Scheme is based, t</w:t>
      </w:r>
      <w:r w:rsidR="00A62861" w:rsidRPr="000D6ECE">
        <w:rPr>
          <w:rFonts w:cs="Arial"/>
        </w:rPr>
        <w:t xml:space="preserve">his longitudinal data </w:t>
      </w:r>
      <w:r>
        <w:rPr>
          <w:rFonts w:cs="Arial"/>
        </w:rPr>
        <w:t xml:space="preserve">is able to </w:t>
      </w:r>
      <w:r w:rsidR="00A62861" w:rsidRPr="000D6ECE">
        <w:rPr>
          <w:rFonts w:cs="Arial"/>
        </w:rPr>
        <w:t xml:space="preserve">be used to assess </w:t>
      </w:r>
      <w:r>
        <w:rPr>
          <w:rFonts w:cs="Arial"/>
        </w:rPr>
        <w:t xml:space="preserve">the relationship between participant outcomes, </w:t>
      </w:r>
      <w:r w:rsidR="00A62861" w:rsidRPr="000D6ECE">
        <w:rPr>
          <w:rFonts w:cs="Arial"/>
        </w:rPr>
        <w:t xml:space="preserve">funded supports </w:t>
      </w:r>
      <w:r>
        <w:rPr>
          <w:rFonts w:cs="Arial"/>
        </w:rPr>
        <w:t xml:space="preserve">at an individual participant level, and ultimately overall </w:t>
      </w:r>
      <w:r w:rsidR="00A62861" w:rsidRPr="000D6ECE">
        <w:rPr>
          <w:rFonts w:cs="Arial"/>
        </w:rPr>
        <w:t>Scheme costs.</w:t>
      </w:r>
      <w:r w:rsidR="00A62861" w:rsidRPr="000D6ECE">
        <w:rPr>
          <w:rStyle w:val="FootnoteReference"/>
          <w:rFonts w:cs="Arial"/>
        </w:rPr>
        <w:footnoteReference w:id="79"/>
      </w:r>
      <w:r w:rsidR="00A62861" w:rsidRPr="000D6ECE">
        <w:rPr>
          <w:rFonts w:cs="Arial"/>
        </w:rPr>
        <w:t xml:space="preserve"> </w:t>
      </w:r>
      <w:r w:rsidR="00A62861">
        <w:rPr>
          <w:rFonts w:cs="Arial"/>
        </w:rPr>
        <w:t xml:space="preserve">An insurance-based approach considers the lifetime </w:t>
      </w:r>
      <w:r w:rsidR="009F2CB7">
        <w:rPr>
          <w:rFonts w:cs="Arial"/>
        </w:rPr>
        <w:t xml:space="preserve">average payment for </w:t>
      </w:r>
      <w:r w:rsidR="00A62861">
        <w:rPr>
          <w:rFonts w:cs="Arial"/>
        </w:rPr>
        <w:t>participants (including early investment), and the outcomes achieved across participants’ lifetimes.</w:t>
      </w:r>
    </w:p>
    <w:p w14:paraId="2C3A9ACB" w14:textId="77777777" w:rsidR="00A62861" w:rsidRPr="000D6ECE" w:rsidRDefault="00A62861" w:rsidP="00A62861">
      <w:pPr>
        <w:pStyle w:val="FSRHeading2"/>
        <w:numPr>
          <w:ilvl w:val="1"/>
          <w:numId w:val="1"/>
        </w:numPr>
        <w:ind w:left="851" w:hanging="851"/>
      </w:pPr>
      <w:bookmarkStart w:id="261" w:name="_Toc79751004"/>
      <w:bookmarkStart w:id="262" w:name="_Toc83220859"/>
      <w:bookmarkStart w:id="263" w:name="_Toc85031270"/>
      <w:r w:rsidRPr="000D6ECE">
        <w:t>Participant outcomes</w:t>
      </w:r>
      <w:bookmarkEnd w:id="261"/>
      <w:bookmarkEnd w:id="262"/>
      <w:bookmarkEnd w:id="263"/>
    </w:p>
    <w:p w14:paraId="5F511D35" w14:textId="77777777" w:rsidR="00A62861" w:rsidRPr="000D6ECE" w:rsidRDefault="00A62861" w:rsidP="00A62861">
      <w:pPr>
        <w:pStyle w:val="Heading4"/>
        <w:ind w:left="907" w:hanging="907"/>
      </w:pPr>
      <w:bookmarkStart w:id="264" w:name="_Ref47448028"/>
      <w:r w:rsidRPr="000D6ECE">
        <w:t>Economic and social participation</w:t>
      </w:r>
      <w:bookmarkEnd w:id="264"/>
    </w:p>
    <w:p w14:paraId="3EA67F5A" w14:textId="72ED5756" w:rsidR="007E66E1" w:rsidRDefault="005908CD" w:rsidP="00A62861">
      <w:pPr>
        <w:pStyle w:val="FSRnormal"/>
      </w:pPr>
      <w:r>
        <w:t xml:space="preserve">Understanding </w:t>
      </w:r>
      <w:r w:rsidR="00A62861" w:rsidRPr="000D6ECE">
        <w:t>changes in participants’ economic and social participation is important for understanding whether the reasonable and necessary supports funded by the Scheme are resulting in better participant outcomes. In the NDIS Corporate Plan 2020-2024, Aspiration 2 is “</w:t>
      </w:r>
      <w:r w:rsidR="00A62861" w:rsidRPr="000D6ECE">
        <w:rPr>
          <w:i/>
        </w:rPr>
        <w:t>a</w:t>
      </w:r>
      <w:r w:rsidR="00A62861" w:rsidRPr="000D6ECE">
        <w:t xml:space="preserve"> </w:t>
      </w:r>
      <w:r w:rsidR="00A62861" w:rsidRPr="000D6ECE">
        <w:rPr>
          <w:i/>
        </w:rPr>
        <w:t>quality experience and outcomes for participants”</w:t>
      </w:r>
      <w:r w:rsidR="00A62861" w:rsidRPr="000D6ECE">
        <w:t xml:space="preserve">, and there are specific performance metrics and targets outlined, such as the proportion of participants in work and the </w:t>
      </w:r>
      <w:r w:rsidR="00A62861" w:rsidRPr="000D6ECE">
        <w:lastRenderedPageBreak/>
        <w:t xml:space="preserve">proportion of participants involved in community and social activities. </w:t>
      </w:r>
      <w:r w:rsidR="00997A66" w:rsidRPr="000D6ECE">
        <w:t>Changes in outcomes have been measured for participants who have been in the Scheme for at least two years</w:t>
      </w:r>
      <w:r w:rsidR="00997A66">
        <w:t xml:space="preserve">, </w:t>
      </w:r>
      <w:r w:rsidR="00997A66" w:rsidRPr="000D6ECE">
        <w:t>to allow sufficient time for the reasonable and necessary supports provided by the Scheme to have an influence on participant outcomes.</w:t>
      </w:r>
    </w:p>
    <w:p w14:paraId="6C7F3076" w14:textId="68C22435" w:rsidR="00997A66" w:rsidRDefault="004C7587" w:rsidP="00A62861">
      <w:pPr>
        <w:pStyle w:val="FSRnormal"/>
      </w:pPr>
      <w:r w:rsidRPr="00445023">
        <w:t xml:space="preserve">Sections </w:t>
      </w:r>
      <w:r w:rsidRPr="00445023">
        <w:fldChar w:fldCharType="begin"/>
      </w:r>
      <w:r w:rsidRPr="00445023">
        <w:instrText xml:space="preserve"> REF _Ref47448028 \n \h  \* MERGEFORMAT </w:instrText>
      </w:r>
      <w:r w:rsidRPr="00445023">
        <w:fldChar w:fldCharType="separate"/>
      </w:r>
      <w:r w:rsidR="00E50032">
        <w:t>7.1.1</w:t>
      </w:r>
      <w:r w:rsidRPr="00445023">
        <w:fldChar w:fldCharType="end"/>
      </w:r>
      <w:r w:rsidRPr="00445023">
        <w:t xml:space="preserve"> and </w:t>
      </w:r>
      <w:r w:rsidRPr="00445023">
        <w:fldChar w:fldCharType="begin"/>
      </w:r>
      <w:r w:rsidRPr="00445023">
        <w:instrText xml:space="preserve"> REF _Ref47448035 \n \h  \* MERGEFORMAT </w:instrText>
      </w:r>
      <w:r w:rsidRPr="00445023">
        <w:fldChar w:fldCharType="separate"/>
      </w:r>
      <w:r w:rsidR="00E50032">
        <w:t>7.1.2</w:t>
      </w:r>
      <w:r w:rsidRPr="00445023">
        <w:fldChar w:fldCharType="end"/>
      </w:r>
      <w:r w:rsidRPr="00445023">
        <w:t xml:space="preserve"> show analyses of participant outcomes as at 30 June 2021. </w:t>
      </w:r>
      <w:r>
        <w:t>It is worth bearing in mind that the global COVID-19 pandemic that took hold from early 2020 has had an impact on at least some participant and family/carer outcomes, such as employment and community participation. The nature and extent of the impact to 30 June 2020 has been investigated using multiple regression models, the results of which are summarised in a publicly available report.</w:t>
      </w:r>
      <w:r>
        <w:rPr>
          <w:rStyle w:val="FootnoteReference"/>
        </w:rPr>
        <w:footnoteReference w:id="80"/>
      </w:r>
      <w:r w:rsidR="0047113A">
        <w:t xml:space="preserve"> </w:t>
      </w:r>
      <w:r>
        <w:t>Comparing outcomes before the start of the pandemic with those during the pandemic identified a number of indicators potentially affected by the pandemic</w:t>
      </w:r>
      <w:r w:rsidR="00FB600A">
        <w:t>;</w:t>
      </w:r>
      <w:r>
        <w:t xml:space="preserve"> the longitudinal analysis showed that participants aged 15 to 24 were less likely to deteriorate between baseline and second review in relation to wanting to do certain things in the last 12 months but being unable to, when the later response occurred during the COVID period. For families and carers of participants aged 0 to 14, the longitudinal analysis showed that they were more likely to deteriorate over two years with respect to having a paid job. However, they were less likely to deteriorate in having people they can ask for practical help.</w:t>
      </w:r>
    </w:p>
    <w:p w14:paraId="3BCD5DB9" w14:textId="6FEF1601" w:rsidR="005F7A4F" w:rsidRPr="000D0CA3" w:rsidRDefault="005F7A4F" w:rsidP="005F7A4F">
      <w:pPr>
        <w:pStyle w:val="FSRnormal"/>
        <w:rPr>
          <w:i/>
          <w:highlight w:val="yellow"/>
        </w:rPr>
      </w:pPr>
      <w:r w:rsidRPr="000D6ECE">
        <w:t>The ‘</w:t>
      </w:r>
      <w:r w:rsidRPr="005F7A4F">
        <w:rPr>
          <w:i/>
        </w:rPr>
        <w:t>Baseline outcomes for</w:t>
      </w:r>
      <w:r>
        <w:rPr>
          <w:i/>
        </w:rPr>
        <w:t xml:space="preserve"> </w:t>
      </w:r>
      <w:r w:rsidRPr="005F7A4F">
        <w:rPr>
          <w:i/>
        </w:rPr>
        <w:t>NDIS participants</w:t>
      </w:r>
      <w:r w:rsidRPr="000D6ECE">
        <w:rPr>
          <w:i/>
        </w:rPr>
        <w:t xml:space="preserve"> 30 June 2020</w:t>
      </w:r>
      <w:r w:rsidRPr="000D6ECE">
        <w:t>’ report</w:t>
      </w:r>
      <w:r w:rsidRPr="00DB3EDD">
        <w:rPr>
          <w:rStyle w:val="FootnoteReference"/>
        </w:rPr>
        <w:footnoteReference w:id="81"/>
      </w:r>
      <w:r>
        <w:t xml:space="preserve"> (which </w:t>
      </w:r>
      <w:r w:rsidRPr="000D6ECE">
        <w:t>summarises the baseline results for NDIS participants entering the Scheme during the four year period from 1 July 2016 to 30 June 2020</w:t>
      </w:r>
      <w:r>
        <w:t>), as well as t</w:t>
      </w:r>
      <w:r w:rsidRPr="00204555">
        <w:t>he ‘</w:t>
      </w:r>
      <w:r w:rsidRPr="000D6ECE">
        <w:rPr>
          <w:i/>
        </w:rPr>
        <w:t xml:space="preserve">Longitudinal </w:t>
      </w:r>
      <w:r w:rsidRPr="00204555">
        <w:rPr>
          <w:i/>
        </w:rPr>
        <w:t>outcomes for NDIS participants 30 June 2020</w:t>
      </w:r>
      <w:r w:rsidRPr="00204555">
        <w:t>’ report</w:t>
      </w:r>
      <w:r w:rsidRPr="00DB3EDD">
        <w:rPr>
          <w:rStyle w:val="FootnoteReference"/>
        </w:rPr>
        <w:footnoteReference w:id="82"/>
      </w:r>
      <w:r>
        <w:t xml:space="preserve"> (which</w:t>
      </w:r>
      <w:r w:rsidRPr="00204555">
        <w:t xml:space="preserve"> summarises </w:t>
      </w:r>
      <w:r>
        <w:t xml:space="preserve">longitudinal outcomes for </w:t>
      </w:r>
      <w:r w:rsidRPr="00204555">
        <w:t xml:space="preserve">families and carers of NDIS participants </w:t>
      </w:r>
      <w:r>
        <w:t xml:space="preserve">who have been in the Scheme for one year or more at 30 June 2020), have both been publicly </w:t>
      </w:r>
      <w:r w:rsidRPr="004C16A1">
        <w:t>released</w:t>
      </w:r>
      <w:r w:rsidRPr="000D6ECE">
        <w:t>.</w:t>
      </w:r>
    </w:p>
    <w:p w14:paraId="75E43A27" w14:textId="77777777" w:rsidR="00A62861" w:rsidRPr="000D6ECE" w:rsidRDefault="00A62861" w:rsidP="00A62861">
      <w:pPr>
        <w:pStyle w:val="FSRHeading4"/>
      </w:pPr>
      <w:r w:rsidRPr="000D6ECE">
        <w:t>Employment</w:t>
      </w:r>
    </w:p>
    <w:p w14:paraId="4F97E846" w14:textId="56E259A6" w:rsidR="00A62861" w:rsidRPr="000D6ECE" w:rsidRDefault="00A62861" w:rsidP="00A62861">
      <w:r w:rsidRPr="000D6ECE">
        <w:t>The NDIA recognises the critical role of employment in boosting the well-being, economic security and social inclusion of people with disability.</w:t>
      </w:r>
      <w:r>
        <w:t xml:space="preserve"> From a sustainability perspective, when an NDIS participant works they contribute to the economy, NDIS participants use less support for other activities to fill their days, and family members and carers can also return to work and contribute to the economy. The NDIA has a target of 30 per cent of working-age participants in paid employment by June 2023 (</w:t>
      </w:r>
      <w:r w:rsidR="007E66E1">
        <w:t xml:space="preserve">relative to a current rate of </w:t>
      </w:r>
      <w:r>
        <w:t xml:space="preserve">23 per cent). The NDIS Participant Employment </w:t>
      </w:r>
      <w:r w:rsidRPr="000D6ECE">
        <w:t>Strategy 2019-22</w:t>
      </w:r>
      <w:r w:rsidRPr="000D6ECE">
        <w:rPr>
          <w:rStyle w:val="FootnoteReference"/>
        </w:rPr>
        <w:footnoteReference w:id="83"/>
      </w:r>
      <w:r w:rsidRPr="000D6ECE">
        <w:t xml:space="preserve"> which was re</w:t>
      </w:r>
      <w:r>
        <w:t xml:space="preserve">leased on 30 September 2019, sets out how this target will be reached. The strategy aims to improve employment outcomes for participants and people with disability more broadly, and to guide the Agency over the next two to four years in becoming a leader and advocate of disability </w:t>
      </w:r>
      <w:r w:rsidRPr="000D6ECE">
        <w:t>employment.</w:t>
      </w:r>
    </w:p>
    <w:p w14:paraId="2A32CA8F" w14:textId="3215A83E" w:rsidR="0047113A" w:rsidRDefault="0047113A" w:rsidP="00BC1282">
      <w:r>
        <w:t xml:space="preserve">The table below shows the progress against the NDIA’s corporate plan metrics for </w:t>
      </w:r>
      <w:r w:rsidR="006A1320">
        <w:t xml:space="preserve">the </w:t>
      </w:r>
      <w:r>
        <w:t>participant employment rate at entry, first, second, third and fourth plan review, for participants who entered the Scheme between 1 July 2016 and 30 June 2017.</w:t>
      </w:r>
    </w:p>
    <w:p w14:paraId="7991A60A" w14:textId="3DE295DB" w:rsidR="0047113A" w:rsidRPr="00445023" w:rsidRDefault="0047113A" w:rsidP="00BC1282">
      <w:pPr>
        <w:pStyle w:val="Caption"/>
        <w:keepNext/>
      </w:pPr>
      <w:r w:rsidRPr="00445023">
        <w:lastRenderedPageBreak/>
        <w:t xml:space="preserve">Table </w:t>
      </w:r>
      <w:fldSimple w:instr=" SEQ Table \* ARABIC ">
        <w:r w:rsidR="00E50032">
          <w:rPr>
            <w:noProof/>
          </w:rPr>
          <w:t>50</w:t>
        </w:r>
      </w:fldSimple>
      <w:r w:rsidRPr="00445023">
        <w:t xml:space="preserve"> </w:t>
      </w:r>
      <w:r>
        <w:t>Longitudinal changes in participant employment outcomes between baseline and subsequent plan reviews</w:t>
      </w:r>
    </w:p>
    <w:tbl>
      <w:tblPr>
        <w:tblW w:w="5000" w:type="pct"/>
        <w:tblLook w:val="04A0" w:firstRow="1" w:lastRow="0" w:firstColumn="1" w:lastColumn="0" w:noHBand="0" w:noVBand="1"/>
      </w:tblPr>
      <w:tblGrid>
        <w:gridCol w:w="2603"/>
        <w:gridCol w:w="963"/>
        <w:gridCol w:w="990"/>
        <w:gridCol w:w="990"/>
        <w:gridCol w:w="990"/>
        <w:gridCol w:w="990"/>
        <w:gridCol w:w="1470"/>
      </w:tblGrid>
      <w:tr w:rsidR="00C71504" w:rsidRPr="00B804F9" w14:paraId="28F661AA" w14:textId="77777777" w:rsidTr="00312E88">
        <w:trPr>
          <w:trHeight w:val="640"/>
          <w:tblHeader/>
        </w:trPr>
        <w:tc>
          <w:tcPr>
            <w:tcW w:w="1447" w:type="pct"/>
            <w:tcBorders>
              <w:top w:val="single" w:sz="12" w:space="0" w:color="auto"/>
              <w:left w:val="single" w:sz="12" w:space="0" w:color="auto"/>
              <w:bottom w:val="single" w:sz="12" w:space="0" w:color="auto"/>
              <w:right w:val="single" w:sz="12" w:space="0" w:color="auto"/>
            </w:tcBorders>
            <w:shd w:val="clear" w:color="000000" w:fill="6B2976"/>
            <w:noWrap/>
            <w:vAlign w:val="center"/>
            <w:hideMark/>
          </w:tcPr>
          <w:p w14:paraId="456CA65F" w14:textId="77777777" w:rsidR="00C71504" w:rsidRPr="00B804F9" w:rsidRDefault="00C71504" w:rsidP="00312E88">
            <w:pPr>
              <w:rPr>
                <w:rFonts w:cs="Arial"/>
                <w:b/>
                <w:bCs/>
                <w:color w:val="FFFFFF"/>
                <w:sz w:val="16"/>
                <w:szCs w:val="16"/>
              </w:rPr>
            </w:pPr>
            <w:r w:rsidRPr="00B804F9">
              <w:rPr>
                <w:rFonts w:cs="Arial"/>
                <w:b/>
                <w:bCs/>
                <w:color w:val="FFFFFF"/>
                <w:sz w:val="16"/>
                <w:szCs w:val="16"/>
              </w:rPr>
              <w:t>Participant employment rate</w:t>
            </w:r>
          </w:p>
        </w:tc>
        <w:tc>
          <w:tcPr>
            <w:tcW w:w="535" w:type="pct"/>
            <w:tcBorders>
              <w:top w:val="single" w:sz="12" w:space="0" w:color="auto"/>
              <w:left w:val="nil"/>
              <w:bottom w:val="single" w:sz="12" w:space="0" w:color="auto"/>
              <w:right w:val="single" w:sz="12" w:space="0" w:color="auto"/>
            </w:tcBorders>
            <w:shd w:val="clear" w:color="000000" w:fill="6B2976"/>
            <w:noWrap/>
            <w:vAlign w:val="center"/>
            <w:hideMark/>
          </w:tcPr>
          <w:p w14:paraId="743753DD" w14:textId="77777777" w:rsidR="00C71504" w:rsidRPr="00B804F9" w:rsidRDefault="00C71504" w:rsidP="00312E88">
            <w:pPr>
              <w:jc w:val="center"/>
              <w:rPr>
                <w:rFonts w:cs="Arial"/>
                <w:b/>
                <w:bCs/>
                <w:color w:val="FFFFFF"/>
                <w:sz w:val="16"/>
                <w:szCs w:val="16"/>
              </w:rPr>
            </w:pPr>
            <w:r w:rsidRPr="00B804F9">
              <w:rPr>
                <w:rFonts w:cs="Arial"/>
                <w:b/>
                <w:bCs/>
                <w:color w:val="FFFFFF"/>
                <w:sz w:val="16"/>
                <w:szCs w:val="16"/>
              </w:rPr>
              <w:t>Baseline</w:t>
            </w:r>
          </w:p>
        </w:tc>
        <w:tc>
          <w:tcPr>
            <w:tcW w:w="550" w:type="pct"/>
            <w:tcBorders>
              <w:top w:val="single" w:sz="12" w:space="0" w:color="auto"/>
              <w:left w:val="nil"/>
              <w:bottom w:val="single" w:sz="12" w:space="0" w:color="auto"/>
              <w:right w:val="single" w:sz="12" w:space="0" w:color="auto"/>
            </w:tcBorders>
            <w:shd w:val="clear" w:color="000000" w:fill="6B2976"/>
            <w:noWrap/>
            <w:vAlign w:val="center"/>
            <w:hideMark/>
          </w:tcPr>
          <w:p w14:paraId="09993ED3" w14:textId="77777777" w:rsidR="00C71504" w:rsidRPr="00B804F9" w:rsidRDefault="00C71504" w:rsidP="00312E88">
            <w:pPr>
              <w:jc w:val="center"/>
              <w:rPr>
                <w:rFonts w:cs="Arial"/>
                <w:b/>
                <w:bCs/>
                <w:color w:val="FFFFFF"/>
                <w:sz w:val="16"/>
                <w:szCs w:val="16"/>
              </w:rPr>
            </w:pPr>
            <w:r w:rsidRPr="00B804F9">
              <w:rPr>
                <w:rFonts w:cs="Arial"/>
                <w:b/>
                <w:bCs/>
                <w:color w:val="FFFFFF"/>
                <w:sz w:val="16"/>
                <w:szCs w:val="16"/>
              </w:rPr>
              <w:t>Review 1</w:t>
            </w:r>
          </w:p>
        </w:tc>
        <w:tc>
          <w:tcPr>
            <w:tcW w:w="550" w:type="pct"/>
            <w:tcBorders>
              <w:top w:val="single" w:sz="12" w:space="0" w:color="auto"/>
              <w:left w:val="nil"/>
              <w:bottom w:val="single" w:sz="12" w:space="0" w:color="auto"/>
              <w:right w:val="single" w:sz="12" w:space="0" w:color="auto"/>
            </w:tcBorders>
            <w:shd w:val="clear" w:color="000000" w:fill="6B2976"/>
            <w:noWrap/>
            <w:vAlign w:val="center"/>
            <w:hideMark/>
          </w:tcPr>
          <w:p w14:paraId="570BC9BE" w14:textId="77777777" w:rsidR="00C71504" w:rsidRPr="00B804F9" w:rsidRDefault="00C71504" w:rsidP="00312E88">
            <w:pPr>
              <w:jc w:val="center"/>
              <w:rPr>
                <w:rFonts w:cs="Arial"/>
                <w:b/>
                <w:bCs/>
                <w:color w:val="FFFFFF"/>
                <w:sz w:val="16"/>
                <w:szCs w:val="16"/>
              </w:rPr>
            </w:pPr>
            <w:r w:rsidRPr="00B804F9">
              <w:rPr>
                <w:rFonts w:cs="Arial"/>
                <w:b/>
                <w:bCs/>
                <w:color w:val="FFFFFF"/>
                <w:sz w:val="16"/>
                <w:szCs w:val="16"/>
              </w:rPr>
              <w:t>Review 2</w:t>
            </w:r>
          </w:p>
        </w:tc>
        <w:tc>
          <w:tcPr>
            <w:tcW w:w="550" w:type="pct"/>
            <w:tcBorders>
              <w:top w:val="single" w:sz="12" w:space="0" w:color="auto"/>
              <w:left w:val="nil"/>
              <w:bottom w:val="single" w:sz="12" w:space="0" w:color="auto"/>
              <w:right w:val="single" w:sz="12" w:space="0" w:color="auto"/>
            </w:tcBorders>
            <w:shd w:val="clear" w:color="000000" w:fill="6B2976"/>
            <w:noWrap/>
            <w:vAlign w:val="center"/>
            <w:hideMark/>
          </w:tcPr>
          <w:p w14:paraId="7A47547D" w14:textId="77777777" w:rsidR="00C71504" w:rsidRPr="00B804F9" w:rsidRDefault="00C71504" w:rsidP="00312E88">
            <w:pPr>
              <w:jc w:val="center"/>
              <w:rPr>
                <w:rFonts w:cs="Arial"/>
                <w:b/>
                <w:bCs/>
                <w:color w:val="FFFFFF"/>
                <w:sz w:val="16"/>
                <w:szCs w:val="16"/>
              </w:rPr>
            </w:pPr>
            <w:r w:rsidRPr="00B804F9">
              <w:rPr>
                <w:rFonts w:cs="Arial"/>
                <w:b/>
                <w:bCs/>
                <w:color w:val="FFFFFF"/>
                <w:sz w:val="16"/>
                <w:szCs w:val="16"/>
              </w:rPr>
              <w:t>Review 3</w:t>
            </w:r>
          </w:p>
        </w:tc>
        <w:tc>
          <w:tcPr>
            <w:tcW w:w="550" w:type="pct"/>
            <w:tcBorders>
              <w:top w:val="single" w:sz="12" w:space="0" w:color="auto"/>
              <w:left w:val="nil"/>
              <w:bottom w:val="single" w:sz="12" w:space="0" w:color="auto"/>
              <w:right w:val="nil"/>
            </w:tcBorders>
            <w:shd w:val="clear" w:color="000000" w:fill="6B2976"/>
            <w:noWrap/>
            <w:vAlign w:val="center"/>
            <w:hideMark/>
          </w:tcPr>
          <w:p w14:paraId="1D8130C7" w14:textId="77777777" w:rsidR="00C71504" w:rsidRPr="00B804F9" w:rsidRDefault="00C71504" w:rsidP="00312E88">
            <w:pPr>
              <w:jc w:val="center"/>
              <w:rPr>
                <w:rFonts w:cs="Arial"/>
                <w:b/>
                <w:bCs/>
                <w:color w:val="FFFFFF"/>
                <w:sz w:val="16"/>
                <w:szCs w:val="16"/>
              </w:rPr>
            </w:pPr>
            <w:r w:rsidRPr="00B804F9">
              <w:rPr>
                <w:rFonts w:cs="Arial"/>
                <w:b/>
                <w:bCs/>
                <w:color w:val="FFFFFF"/>
                <w:sz w:val="16"/>
                <w:szCs w:val="16"/>
              </w:rPr>
              <w:t>Review 4</w:t>
            </w:r>
          </w:p>
        </w:tc>
        <w:tc>
          <w:tcPr>
            <w:tcW w:w="817" w:type="pct"/>
            <w:tcBorders>
              <w:top w:val="single" w:sz="12" w:space="0" w:color="auto"/>
              <w:left w:val="single" w:sz="12" w:space="0" w:color="auto"/>
              <w:bottom w:val="single" w:sz="12" w:space="0" w:color="auto"/>
              <w:right w:val="single" w:sz="12" w:space="0" w:color="auto"/>
            </w:tcBorders>
            <w:shd w:val="clear" w:color="000000" w:fill="6B2976"/>
            <w:vAlign w:val="center"/>
            <w:hideMark/>
          </w:tcPr>
          <w:p w14:paraId="00391565" w14:textId="77777777" w:rsidR="00C71504" w:rsidRPr="00B804F9" w:rsidRDefault="00C71504" w:rsidP="00312E88">
            <w:pPr>
              <w:jc w:val="center"/>
              <w:rPr>
                <w:rFonts w:cs="Arial"/>
                <w:b/>
                <w:bCs/>
                <w:color w:val="FFFFFF"/>
                <w:sz w:val="16"/>
                <w:szCs w:val="16"/>
              </w:rPr>
            </w:pPr>
            <w:r w:rsidRPr="00B804F9">
              <w:rPr>
                <w:rFonts w:cs="Arial"/>
                <w:b/>
                <w:bCs/>
                <w:color w:val="FFFFFF"/>
                <w:sz w:val="16"/>
                <w:szCs w:val="16"/>
              </w:rPr>
              <w:t>2020-21 Target</w:t>
            </w:r>
          </w:p>
        </w:tc>
      </w:tr>
      <w:tr w:rsidR="00C71504" w:rsidRPr="00B804F9" w14:paraId="47F59326" w14:textId="77777777" w:rsidTr="00C71504">
        <w:trPr>
          <w:trHeight w:hRule="exact" w:val="340"/>
        </w:trPr>
        <w:tc>
          <w:tcPr>
            <w:tcW w:w="1447" w:type="pct"/>
            <w:tcBorders>
              <w:top w:val="nil"/>
              <w:left w:val="single" w:sz="12" w:space="0" w:color="auto"/>
              <w:bottom w:val="nil"/>
              <w:right w:val="single" w:sz="12" w:space="0" w:color="auto"/>
            </w:tcBorders>
            <w:shd w:val="clear" w:color="auto" w:fill="auto"/>
            <w:noWrap/>
            <w:vAlign w:val="center"/>
            <w:hideMark/>
          </w:tcPr>
          <w:p w14:paraId="0F0D836A" w14:textId="77777777" w:rsidR="00C71504" w:rsidRPr="00B804F9" w:rsidRDefault="00C71504" w:rsidP="00312E88">
            <w:pPr>
              <w:rPr>
                <w:rFonts w:cs="Arial"/>
                <w:color w:val="000000"/>
                <w:sz w:val="16"/>
                <w:szCs w:val="16"/>
              </w:rPr>
            </w:pPr>
            <w:r w:rsidRPr="00B804F9">
              <w:rPr>
                <w:rFonts w:cs="Arial"/>
                <w:color w:val="000000"/>
                <w:sz w:val="16"/>
                <w:szCs w:val="16"/>
              </w:rPr>
              <w:t>Aged 15 to 24 years</w:t>
            </w:r>
          </w:p>
        </w:tc>
        <w:tc>
          <w:tcPr>
            <w:tcW w:w="535" w:type="pct"/>
            <w:tcBorders>
              <w:top w:val="nil"/>
              <w:left w:val="nil"/>
              <w:bottom w:val="nil"/>
              <w:right w:val="single" w:sz="12" w:space="0" w:color="auto"/>
            </w:tcBorders>
            <w:shd w:val="clear" w:color="auto" w:fill="auto"/>
            <w:noWrap/>
            <w:vAlign w:val="center"/>
            <w:hideMark/>
          </w:tcPr>
          <w:p w14:paraId="14773468" w14:textId="77777777" w:rsidR="00C71504" w:rsidRPr="00B804F9" w:rsidRDefault="00C71504" w:rsidP="00312E88">
            <w:pPr>
              <w:jc w:val="center"/>
              <w:rPr>
                <w:rFonts w:cs="Arial"/>
                <w:color w:val="000000"/>
                <w:sz w:val="16"/>
                <w:szCs w:val="16"/>
              </w:rPr>
            </w:pPr>
            <w:r w:rsidRPr="00B804F9">
              <w:rPr>
                <w:rFonts w:cs="Arial"/>
                <w:color w:val="000000"/>
                <w:sz w:val="16"/>
                <w:szCs w:val="16"/>
              </w:rPr>
              <w:t>12%</w:t>
            </w:r>
          </w:p>
        </w:tc>
        <w:tc>
          <w:tcPr>
            <w:tcW w:w="550" w:type="pct"/>
            <w:tcBorders>
              <w:top w:val="nil"/>
              <w:left w:val="nil"/>
              <w:bottom w:val="nil"/>
              <w:right w:val="single" w:sz="12" w:space="0" w:color="auto"/>
            </w:tcBorders>
            <w:shd w:val="clear" w:color="auto" w:fill="auto"/>
            <w:noWrap/>
            <w:vAlign w:val="center"/>
            <w:hideMark/>
          </w:tcPr>
          <w:p w14:paraId="3C22246A" w14:textId="77777777" w:rsidR="00C71504" w:rsidRPr="00B804F9" w:rsidRDefault="00C71504" w:rsidP="00312E88">
            <w:pPr>
              <w:jc w:val="center"/>
              <w:rPr>
                <w:rFonts w:cs="Arial"/>
                <w:color w:val="000000"/>
                <w:sz w:val="16"/>
                <w:szCs w:val="16"/>
              </w:rPr>
            </w:pPr>
            <w:r w:rsidRPr="00B804F9">
              <w:rPr>
                <w:rFonts w:cs="Arial"/>
                <w:color w:val="000000"/>
                <w:sz w:val="16"/>
                <w:szCs w:val="16"/>
              </w:rPr>
              <w:t>16%</w:t>
            </w:r>
          </w:p>
        </w:tc>
        <w:tc>
          <w:tcPr>
            <w:tcW w:w="550" w:type="pct"/>
            <w:tcBorders>
              <w:top w:val="nil"/>
              <w:left w:val="nil"/>
              <w:bottom w:val="nil"/>
              <w:right w:val="single" w:sz="12" w:space="0" w:color="auto"/>
            </w:tcBorders>
            <w:shd w:val="clear" w:color="auto" w:fill="auto"/>
            <w:noWrap/>
            <w:vAlign w:val="center"/>
            <w:hideMark/>
          </w:tcPr>
          <w:p w14:paraId="04DBDDEA" w14:textId="77777777" w:rsidR="00C71504" w:rsidRPr="00B804F9" w:rsidRDefault="00C71504" w:rsidP="00312E88">
            <w:pPr>
              <w:jc w:val="center"/>
              <w:rPr>
                <w:rFonts w:cs="Arial"/>
                <w:color w:val="000000"/>
                <w:sz w:val="16"/>
                <w:szCs w:val="16"/>
              </w:rPr>
            </w:pPr>
            <w:r w:rsidRPr="00B804F9">
              <w:rPr>
                <w:rFonts w:cs="Arial"/>
                <w:color w:val="000000"/>
                <w:sz w:val="16"/>
                <w:szCs w:val="16"/>
              </w:rPr>
              <w:t>21%</w:t>
            </w:r>
          </w:p>
        </w:tc>
        <w:tc>
          <w:tcPr>
            <w:tcW w:w="550" w:type="pct"/>
            <w:tcBorders>
              <w:top w:val="nil"/>
              <w:left w:val="nil"/>
              <w:bottom w:val="nil"/>
              <w:right w:val="single" w:sz="12" w:space="0" w:color="auto"/>
            </w:tcBorders>
            <w:shd w:val="clear" w:color="auto" w:fill="auto"/>
            <w:noWrap/>
            <w:vAlign w:val="center"/>
            <w:hideMark/>
          </w:tcPr>
          <w:p w14:paraId="01DD009A" w14:textId="77777777" w:rsidR="00C71504" w:rsidRPr="00B804F9" w:rsidRDefault="00C71504" w:rsidP="00312E88">
            <w:pPr>
              <w:jc w:val="center"/>
              <w:rPr>
                <w:rFonts w:cs="Arial"/>
                <w:color w:val="000000"/>
                <w:sz w:val="16"/>
                <w:szCs w:val="16"/>
              </w:rPr>
            </w:pPr>
            <w:r w:rsidRPr="00B804F9">
              <w:rPr>
                <w:rFonts w:cs="Arial"/>
                <w:color w:val="000000"/>
                <w:sz w:val="16"/>
                <w:szCs w:val="16"/>
              </w:rPr>
              <w:t>25%</w:t>
            </w:r>
          </w:p>
        </w:tc>
        <w:tc>
          <w:tcPr>
            <w:tcW w:w="550" w:type="pct"/>
            <w:tcBorders>
              <w:top w:val="nil"/>
              <w:left w:val="nil"/>
              <w:bottom w:val="nil"/>
              <w:right w:val="nil"/>
            </w:tcBorders>
            <w:shd w:val="clear" w:color="auto" w:fill="auto"/>
            <w:noWrap/>
            <w:vAlign w:val="center"/>
            <w:hideMark/>
          </w:tcPr>
          <w:p w14:paraId="166CB5F7" w14:textId="77777777" w:rsidR="00C71504" w:rsidRPr="00B804F9" w:rsidRDefault="00C71504" w:rsidP="00312E88">
            <w:pPr>
              <w:jc w:val="center"/>
              <w:rPr>
                <w:rFonts w:cs="Arial"/>
                <w:color w:val="000000"/>
                <w:sz w:val="16"/>
                <w:szCs w:val="16"/>
              </w:rPr>
            </w:pPr>
            <w:r w:rsidRPr="00B804F9">
              <w:rPr>
                <w:rFonts w:cs="Arial"/>
                <w:color w:val="000000"/>
                <w:sz w:val="16"/>
                <w:szCs w:val="16"/>
              </w:rPr>
              <w:t>26%</w:t>
            </w:r>
          </w:p>
        </w:tc>
        <w:tc>
          <w:tcPr>
            <w:tcW w:w="817" w:type="pct"/>
            <w:tcBorders>
              <w:top w:val="nil"/>
              <w:left w:val="single" w:sz="12" w:space="0" w:color="auto"/>
              <w:bottom w:val="nil"/>
              <w:right w:val="single" w:sz="12" w:space="0" w:color="auto"/>
            </w:tcBorders>
            <w:shd w:val="clear" w:color="auto" w:fill="auto"/>
            <w:noWrap/>
            <w:vAlign w:val="center"/>
            <w:hideMark/>
          </w:tcPr>
          <w:p w14:paraId="638D8A0A" w14:textId="77777777" w:rsidR="00C71504" w:rsidRPr="00B804F9" w:rsidRDefault="00C71504" w:rsidP="00312E88">
            <w:pPr>
              <w:jc w:val="center"/>
              <w:rPr>
                <w:rFonts w:cs="Arial"/>
                <w:color w:val="000000"/>
                <w:sz w:val="16"/>
                <w:szCs w:val="16"/>
              </w:rPr>
            </w:pPr>
            <w:r w:rsidRPr="00B804F9">
              <w:rPr>
                <w:rFonts w:cs="Arial"/>
                <w:color w:val="000000"/>
                <w:sz w:val="16"/>
                <w:szCs w:val="16"/>
              </w:rPr>
              <w:t> </w:t>
            </w:r>
          </w:p>
        </w:tc>
      </w:tr>
      <w:tr w:rsidR="00C71504" w:rsidRPr="00B804F9" w14:paraId="76582BA2" w14:textId="77777777" w:rsidTr="00C71504">
        <w:trPr>
          <w:trHeight w:hRule="exact" w:val="340"/>
        </w:trPr>
        <w:tc>
          <w:tcPr>
            <w:tcW w:w="1447" w:type="pct"/>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31AF9C3" w14:textId="77777777" w:rsidR="00C71504" w:rsidRPr="00B804F9" w:rsidRDefault="00C71504" w:rsidP="00312E88">
            <w:pPr>
              <w:rPr>
                <w:rFonts w:cs="Arial"/>
                <w:color w:val="000000"/>
                <w:sz w:val="16"/>
                <w:szCs w:val="16"/>
              </w:rPr>
            </w:pPr>
            <w:r w:rsidRPr="00B804F9">
              <w:rPr>
                <w:rFonts w:cs="Arial"/>
                <w:color w:val="000000"/>
                <w:sz w:val="16"/>
                <w:szCs w:val="16"/>
              </w:rPr>
              <w:t>Aged 25+</w:t>
            </w:r>
          </w:p>
        </w:tc>
        <w:tc>
          <w:tcPr>
            <w:tcW w:w="535" w:type="pct"/>
            <w:tcBorders>
              <w:top w:val="single" w:sz="4" w:space="0" w:color="auto"/>
              <w:left w:val="nil"/>
              <w:bottom w:val="single" w:sz="4" w:space="0" w:color="auto"/>
              <w:right w:val="single" w:sz="12" w:space="0" w:color="auto"/>
            </w:tcBorders>
            <w:shd w:val="clear" w:color="auto" w:fill="auto"/>
            <w:noWrap/>
            <w:vAlign w:val="center"/>
            <w:hideMark/>
          </w:tcPr>
          <w:p w14:paraId="2CEC8954" w14:textId="77777777" w:rsidR="00C71504" w:rsidRPr="00B804F9" w:rsidRDefault="00C71504" w:rsidP="00312E88">
            <w:pPr>
              <w:jc w:val="center"/>
              <w:rPr>
                <w:rFonts w:cs="Arial"/>
                <w:color w:val="000000"/>
                <w:sz w:val="16"/>
                <w:szCs w:val="16"/>
              </w:rPr>
            </w:pPr>
            <w:r w:rsidRPr="00B804F9">
              <w:rPr>
                <w:rFonts w:cs="Arial"/>
                <w:color w:val="000000"/>
                <w:sz w:val="16"/>
                <w:szCs w:val="16"/>
              </w:rPr>
              <w:t>26%</w:t>
            </w:r>
          </w:p>
        </w:tc>
        <w:tc>
          <w:tcPr>
            <w:tcW w:w="550" w:type="pct"/>
            <w:tcBorders>
              <w:top w:val="single" w:sz="4" w:space="0" w:color="auto"/>
              <w:left w:val="nil"/>
              <w:bottom w:val="single" w:sz="4" w:space="0" w:color="auto"/>
              <w:right w:val="single" w:sz="12" w:space="0" w:color="auto"/>
            </w:tcBorders>
            <w:shd w:val="clear" w:color="auto" w:fill="auto"/>
            <w:noWrap/>
            <w:vAlign w:val="center"/>
            <w:hideMark/>
          </w:tcPr>
          <w:p w14:paraId="095D2D0B" w14:textId="77777777" w:rsidR="00C71504" w:rsidRPr="00B804F9" w:rsidRDefault="00C71504" w:rsidP="00312E88">
            <w:pPr>
              <w:jc w:val="center"/>
              <w:rPr>
                <w:rFonts w:cs="Arial"/>
                <w:color w:val="000000"/>
                <w:sz w:val="16"/>
                <w:szCs w:val="16"/>
              </w:rPr>
            </w:pPr>
            <w:r w:rsidRPr="00B804F9">
              <w:rPr>
                <w:rFonts w:cs="Arial"/>
                <w:color w:val="000000"/>
                <w:sz w:val="16"/>
                <w:szCs w:val="16"/>
              </w:rPr>
              <w:t>26%</w:t>
            </w:r>
          </w:p>
        </w:tc>
        <w:tc>
          <w:tcPr>
            <w:tcW w:w="550" w:type="pct"/>
            <w:tcBorders>
              <w:top w:val="single" w:sz="4" w:space="0" w:color="auto"/>
              <w:left w:val="nil"/>
              <w:bottom w:val="single" w:sz="4" w:space="0" w:color="auto"/>
              <w:right w:val="single" w:sz="12" w:space="0" w:color="auto"/>
            </w:tcBorders>
            <w:shd w:val="clear" w:color="auto" w:fill="auto"/>
            <w:noWrap/>
            <w:vAlign w:val="center"/>
            <w:hideMark/>
          </w:tcPr>
          <w:p w14:paraId="5695A416" w14:textId="77777777" w:rsidR="00C71504" w:rsidRPr="00B804F9" w:rsidRDefault="00C71504" w:rsidP="00312E88">
            <w:pPr>
              <w:jc w:val="center"/>
              <w:rPr>
                <w:rFonts w:cs="Arial"/>
                <w:color w:val="000000"/>
                <w:sz w:val="16"/>
                <w:szCs w:val="16"/>
              </w:rPr>
            </w:pPr>
            <w:r w:rsidRPr="00B804F9">
              <w:rPr>
                <w:rFonts w:cs="Arial"/>
                <w:color w:val="000000"/>
                <w:sz w:val="16"/>
                <w:szCs w:val="16"/>
              </w:rPr>
              <w:t>24%</w:t>
            </w:r>
          </w:p>
        </w:tc>
        <w:tc>
          <w:tcPr>
            <w:tcW w:w="550" w:type="pct"/>
            <w:tcBorders>
              <w:top w:val="single" w:sz="4" w:space="0" w:color="auto"/>
              <w:left w:val="nil"/>
              <w:bottom w:val="single" w:sz="4" w:space="0" w:color="auto"/>
              <w:right w:val="single" w:sz="12" w:space="0" w:color="auto"/>
            </w:tcBorders>
            <w:shd w:val="clear" w:color="auto" w:fill="auto"/>
            <w:noWrap/>
            <w:vAlign w:val="center"/>
            <w:hideMark/>
          </w:tcPr>
          <w:p w14:paraId="45C4B676" w14:textId="77777777" w:rsidR="00C71504" w:rsidRPr="00B804F9" w:rsidRDefault="00C71504" w:rsidP="00312E88">
            <w:pPr>
              <w:jc w:val="center"/>
              <w:rPr>
                <w:rFonts w:cs="Arial"/>
                <w:color w:val="000000"/>
                <w:sz w:val="16"/>
                <w:szCs w:val="16"/>
              </w:rPr>
            </w:pPr>
            <w:r w:rsidRPr="00B804F9">
              <w:rPr>
                <w:rFonts w:cs="Arial"/>
                <w:color w:val="000000"/>
                <w:sz w:val="16"/>
                <w:szCs w:val="16"/>
              </w:rPr>
              <w:t>21%</w:t>
            </w:r>
          </w:p>
        </w:tc>
        <w:tc>
          <w:tcPr>
            <w:tcW w:w="550" w:type="pct"/>
            <w:tcBorders>
              <w:top w:val="single" w:sz="4" w:space="0" w:color="auto"/>
              <w:left w:val="nil"/>
              <w:bottom w:val="single" w:sz="4" w:space="0" w:color="auto"/>
              <w:right w:val="single" w:sz="12" w:space="0" w:color="auto"/>
            </w:tcBorders>
            <w:shd w:val="clear" w:color="auto" w:fill="auto"/>
            <w:noWrap/>
            <w:vAlign w:val="center"/>
            <w:hideMark/>
          </w:tcPr>
          <w:p w14:paraId="269897DF" w14:textId="77777777" w:rsidR="00C71504" w:rsidRPr="00B804F9" w:rsidRDefault="00C71504" w:rsidP="00312E88">
            <w:pPr>
              <w:jc w:val="center"/>
              <w:rPr>
                <w:rFonts w:cs="Arial"/>
                <w:color w:val="000000"/>
                <w:sz w:val="16"/>
                <w:szCs w:val="16"/>
              </w:rPr>
            </w:pPr>
            <w:r w:rsidRPr="00B804F9">
              <w:rPr>
                <w:rFonts w:cs="Arial"/>
                <w:color w:val="000000"/>
                <w:sz w:val="16"/>
                <w:szCs w:val="16"/>
              </w:rPr>
              <w:t>22%</w:t>
            </w:r>
          </w:p>
        </w:tc>
        <w:tc>
          <w:tcPr>
            <w:tcW w:w="817" w:type="pct"/>
            <w:tcBorders>
              <w:top w:val="nil"/>
              <w:left w:val="nil"/>
              <w:bottom w:val="nil"/>
              <w:right w:val="single" w:sz="12" w:space="0" w:color="auto"/>
            </w:tcBorders>
            <w:shd w:val="clear" w:color="auto" w:fill="auto"/>
            <w:noWrap/>
            <w:vAlign w:val="center"/>
            <w:hideMark/>
          </w:tcPr>
          <w:p w14:paraId="47071908" w14:textId="77777777" w:rsidR="00C71504" w:rsidRPr="00B804F9" w:rsidRDefault="00C71504" w:rsidP="00312E88">
            <w:pPr>
              <w:jc w:val="center"/>
              <w:rPr>
                <w:rFonts w:cs="Arial"/>
                <w:color w:val="000000"/>
                <w:sz w:val="16"/>
                <w:szCs w:val="16"/>
              </w:rPr>
            </w:pPr>
            <w:r w:rsidRPr="00B804F9">
              <w:rPr>
                <w:rFonts w:cs="Arial"/>
                <w:color w:val="000000"/>
                <w:sz w:val="16"/>
                <w:szCs w:val="16"/>
              </w:rPr>
              <w:t>24%</w:t>
            </w:r>
          </w:p>
        </w:tc>
      </w:tr>
      <w:tr w:rsidR="00C71504" w:rsidRPr="00B804F9" w14:paraId="0BFDBD23" w14:textId="77777777" w:rsidTr="00C71504">
        <w:trPr>
          <w:trHeight w:hRule="exact" w:val="340"/>
        </w:trPr>
        <w:tc>
          <w:tcPr>
            <w:tcW w:w="1447" w:type="pct"/>
            <w:tcBorders>
              <w:top w:val="nil"/>
              <w:left w:val="single" w:sz="12" w:space="0" w:color="auto"/>
              <w:bottom w:val="single" w:sz="12" w:space="0" w:color="auto"/>
              <w:right w:val="single" w:sz="12" w:space="0" w:color="auto"/>
            </w:tcBorders>
            <w:shd w:val="clear" w:color="000000" w:fill="D3C5D7"/>
            <w:noWrap/>
            <w:vAlign w:val="center"/>
            <w:hideMark/>
          </w:tcPr>
          <w:p w14:paraId="2F8EDCFD" w14:textId="77777777" w:rsidR="00C71504" w:rsidRPr="00B804F9" w:rsidRDefault="00C71504" w:rsidP="00312E88">
            <w:pPr>
              <w:rPr>
                <w:rFonts w:cs="Arial"/>
                <w:b/>
                <w:bCs/>
                <w:color w:val="000000"/>
                <w:sz w:val="16"/>
                <w:szCs w:val="16"/>
              </w:rPr>
            </w:pPr>
            <w:r w:rsidRPr="00B804F9">
              <w:rPr>
                <w:rFonts w:cs="Arial"/>
                <w:b/>
                <w:bCs/>
                <w:color w:val="000000"/>
                <w:sz w:val="16"/>
                <w:szCs w:val="16"/>
              </w:rPr>
              <w:t>Aged 15+ (average)</w:t>
            </w:r>
          </w:p>
        </w:tc>
        <w:tc>
          <w:tcPr>
            <w:tcW w:w="535" w:type="pct"/>
            <w:tcBorders>
              <w:top w:val="nil"/>
              <w:left w:val="nil"/>
              <w:bottom w:val="single" w:sz="12" w:space="0" w:color="auto"/>
              <w:right w:val="single" w:sz="12" w:space="0" w:color="auto"/>
            </w:tcBorders>
            <w:shd w:val="clear" w:color="000000" w:fill="D3C5D7"/>
            <w:noWrap/>
            <w:vAlign w:val="center"/>
            <w:hideMark/>
          </w:tcPr>
          <w:p w14:paraId="16C0A88F" w14:textId="77777777" w:rsidR="00C71504" w:rsidRPr="00B804F9" w:rsidRDefault="00C71504" w:rsidP="00312E88">
            <w:pPr>
              <w:jc w:val="center"/>
              <w:rPr>
                <w:rFonts w:cs="Arial"/>
                <w:b/>
                <w:bCs/>
                <w:color w:val="000000"/>
                <w:sz w:val="16"/>
                <w:szCs w:val="16"/>
              </w:rPr>
            </w:pPr>
            <w:r w:rsidRPr="00B804F9">
              <w:rPr>
                <w:rFonts w:cs="Arial"/>
                <w:b/>
                <w:bCs/>
                <w:color w:val="000000"/>
                <w:sz w:val="16"/>
                <w:szCs w:val="16"/>
              </w:rPr>
              <w:t>23%</w:t>
            </w:r>
          </w:p>
        </w:tc>
        <w:tc>
          <w:tcPr>
            <w:tcW w:w="550" w:type="pct"/>
            <w:tcBorders>
              <w:top w:val="nil"/>
              <w:left w:val="nil"/>
              <w:bottom w:val="single" w:sz="12" w:space="0" w:color="auto"/>
              <w:right w:val="single" w:sz="12" w:space="0" w:color="auto"/>
            </w:tcBorders>
            <w:shd w:val="clear" w:color="000000" w:fill="D3C5D7"/>
            <w:noWrap/>
            <w:vAlign w:val="center"/>
            <w:hideMark/>
          </w:tcPr>
          <w:p w14:paraId="780F36D6" w14:textId="77777777" w:rsidR="00C71504" w:rsidRPr="00B804F9" w:rsidRDefault="00C71504" w:rsidP="00312E88">
            <w:pPr>
              <w:jc w:val="center"/>
              <w:rPr>
                <w:rFonts w:cs="Arial"/>
                <w:b/>
                <w:bCs/>
                <w:color w:val="000000"/>
                <w:sz w:val="16"/>
                <w:szCs w:val="16"/>
              </w:rPr>
            </w:pPr>
            <w:r w:rsidRPr="00B804F9">
              <w:rPr>
                <w:rFonts w:cs="Arial"/>
                <w:b/>
                <w:bCs/>
                <w:color w:val="000000"/>
                <w:sz w:val="16"/>
                <w:szCs w:val="16"/>
              </w:rPr>
              <w:t>24%</w:t>
            </w:r>
          </w:p>
        </w:tc>
        <w:tc>
          <w:tcPr>
            <w:tcW w:w="550" w:type="pct"/>
            <w:tcBorders>
              <w:top w:val="nil"/>
              <w:left w:val="nil"/>
              <w:bottom w:val="single" w:sz="12" w:space="0" w:color="auto"/>
              <w:right w:val="single" w:sz="12" w:space="0" w:color="auto"/>
            </w:tcBorders>
            <w:shd w:val="clear" w:color="000000" w:fill="D3C5D7"/>
            <w:noWrap/>
            <w:vAlign w:val="center"/>
            <w:hideMark/>
          </w:tcPr>
          <w:p w14:paraId="7AB7951E" w14:textId="77777777" w:rsidR="00C71504" w:rsidRPr="00B804F9" w:rsidRDefault="00C71504" w:rsidP="00312E88">
            <w:pPr>
              <w:jc w:val="center"/>
              <w:rPr>
                <w:rFonts w:cs="Arial"/>
                <w:b/>
                <w:bCs/>
                <w:color w:val="000000"/>
                <w:sz w:val="16"/>
                <w:szCs w:val="16"/>
              </w:rPr>
            </w:pPr>
            <w:r w:rsidRPr="00B804F9">
              <w:rPr>
                <w:rFonts w:cs="Arial"/>
                <w:b/>
                <w:bCs/>
                <w:color w:val="000000"/>
                <w:sz w:val="16"/>
                <w:szCs w:val="16"/>
              </w:rPr>
              <w:t>23%</w:t>
            </w:r>
          </w:p>
        </w:tc>
        <w:tc>
          <w:tcPr>
            <w:tcW w:w="550" w:type="pct"/>
            <w:tcBorders>
              <w:top w:val="nil"/>
              <w:left w:val="nil"/>
              <w:bottom w:val="single" w:sz="12" w:space="0" w:color="auto"/>
              <w:right w:val="single" w:sz="12" w:space="0" w:color="auto"/>
            </w:tcBorders>
            <w:shd w:val="clear" w:color="000000" w:fill="D3C5D7"/>
            <w:noWrap/>
            <w:vAlign w:val="center"/>
            <w:hideMark/>
          </w:tcPr>
          <w:p w14:paraId="6FE096F5" w14:textId="77777777" w:rsidR="00C71504" w:rsidRPr="00B804F9" w:rsidRDefault="00C71504" w:rsidP="00312E88">
            <w:pPr>
              <w:jc w:val="center"/>
              <w:rPr>
                <w:rFonts w:cs="Arial"/>
                <w:b/>
                <w:bCs/>
                <w:color w:val="000000"/>
                <w:sz w:val="16"/>
                <w:szCs w:val="16"/>
              </w:rPr>
            </w:pPr>
            <w:r w:rsidRPr="00B804F9">
              <w:rPr>
                <w:rFonts w:cs="Arial"/>
                <w:b/>
                <w:bCs/>
                <w:color w:val="000000"/>
                <w:sz w:val="16"/>
                <w:szCs w:val="16"/>
              </w:rPr>
              <w:t>22%</w:t>
            </w:r>
          </w:p>
        </w:tc>
        <w:tc>
          <w:tcPr>
            <w:tcW w:w="550" w:type="pct"/>
            <w:tcBorders>
              <w:top w:val="nil"/>
              <w:left w:val="nil"/>
              <w:bottom w:val="single" w:sz="12" w:space="0" w:color="auto"/>
              <w:right w:val="nil"/>
            </w:tcBorders>
            <w:shd w:val="clear" w:color="000000" w:fill="D3C5D7"/>
            <w:noWrap/>
            <w:vAlign w:val="center"/>
            <w:hideMark/>
          </w:tcPr>
          <w:p w14:paraId="160C26F9" w14:textId="77777777" w:rsidR="00C71504" w:rsidRPr="00B804F9" w:rsidRDefault="00C71504" w:rsidP="00312E88">
            <w:pPr>
              <w:jc w:val="center"/>
              <w:rPr>
                <w:rFonts w:cs="Arial"/>
                <w:b/>
                <w:bCs/>
                <w:color w:val="000000"/>
                <w:sz w:val="16"/>
                <w:szCs w:val="16"/>
              </w:rPr>
            </w:pPr>
            <w:r w:rsidRPr="00B804F9">
              <w:rPr>
                <w:rFonts w:cs="Arial"/>
                <w:b/>
                <w:bCs/>
                <w:color w:val="000000"/>
                <w:sz w:val="16"/>
                <w:szCs w:val="16"/>
              </w:rPr>
              <w:t>23%</w:t>
            </w:r>
          </w:p>
        </w:tc>
        <w:tc>
          <w:tcPr>
            <w:tcW w:w="817" w:type="pct"/>
            <w:tcBorders>
              <w:top w:val="nil"/>
              <w:left w:val="single" w:sz="12" w:space="0" w:color="auto"/>
              <w:bottom w:val="single" w:sz="12" w:space="0" w:color="auto"/>
              <w:right w:val="single" w:sz="12" w:space="0" w:color="auto"/>
            </w:tcBorders>
            <w:shd w:val="clear" w:color="auto" w:fill="auto"/>
            <w:noWrap/>
            <w:vAlign w:val="center"/>
            <w:hideMark/>
          </w:tcPr>
          <w:p w14:paraId="6B3FDC92" w14:textId="77777777" w:rsidR="00C71504" w:rsidRPr="00B804F9" w:rsidRDefault="00C71504" w:rsidP="00312E88">
            <w:pPr>
              <w:jc w:val="center"/>
              <w:rPr>
                <w:rFonts w:cs="Arial"/>
                <w:color w:val="000000"/>
                <w:sz w:val="16"/>
                <w:szCs w:val="16"/>
              </w:rPr>
            </w:pPr>
            <w:r w:rsidRPr="00B804F9">
              <w:rPr>
                <w:rFonts w:cs="Arial"/>
                <w:color w:val="000000"/>
                <w:sz w:val="16"/>
                <w:szCs w:val="16"/>
              </w:rPr>
              <w:t> </w:t>
            </w:r>
          </w:p>
        </w:tc>
      </w:tr>
    </w:tbl>
    <w:p w14:paraId="639BC285" w14:textId="5D98AE89" w:rsidR="0047113A" w:rsidRDefault="0047113A" w:rsidP="00BC1282"/>
    <w:p w14:paraId="60DD048B" w14:textId="51AA8718" w:rsidR="00A62861" w:rsidRPr="00DA5B75" w:rsidRDefault="0047113A" w:rsidP="00BC1282">
      <w:r>
        <w:t xml:space="preserve">Further details about the employment outcomes for NDIS participants can be found in the publicly available report titled “Employment outcomes for NDIS participants </w:t>
      </w:r>
      <w:r w:rsidR="005F7A4F">
        <w:t>a</w:t>
      </w:r>
      <w:r>
        <w:t>s at 31 December 2020”.</w:t>
      </w:r>
      <w:r>
        <w:rPr>
          <w:rStyle w:val="FootnoteReference"/>
        </w:rPr>
        <w:footnoteReference w:id="84"/>
      </w:r>
    </w:p>
    <w:p w14:paraId="34245FCE" w14:textId="77777777" w:rsidR="00A62861" w:rsidRPr="000D6ECE" w:rsidRDefault="00A62861" w:rsidP="00A62861">
      <w:pPr>
        <w:pStyle w:val="FSRHeading4"/>
      </w:pPr>
      <w:r w:rsidRPr="000D6ECE">
        <w:t>Social and community participation</w:t>
      </w:r>
    </w:p>
    <w:p w14:paraId="00B6A43E" w14:textId="36E52FE1" w:rsidR="0047113A" w:rsidRDefault="0047113A" w:rsidP="0047113A">
      <w:r>
        <w:t xml:space="preserve">The table below shows the progress against the NDIA’s corporate plan metrics for </w:t>
      </w:r>
      <w:r w:rsidR="006A1320">
        <w:t xml:space="preserve">the </w:t>
      </w:r>
      <w:r>
        <w:t xml:space="preserve">participant social and community </w:t>
      </w:r>
      <w:r w:rsidR="006A1320">
        <w:t xml:space="preserve">engagement </w:t>
      </w:r>
      <w:r>
        <w:t>rate at entry, first, second, third and fourth plan review, for participants who entered the Scheme between 1 July 2016 and 30 June 2017.</w:t>
      </w:r>
    </w:p>
    <w:p w14:paraId="79C79452" w14:textId="1FF605E4" w:rsidR="0047113A" w:rsidRPr="001D4BDB" w:rsidRDefault="0047113A" w:rsidP="0047113A">
      <w:pPr>
        <w:pStyle w:val="Caption"/>
        <w:keepNext/>
      </w:pPr>
      <w:r w:rsidRPr="00445023">
        <w:t xml:space="preserve">Table </w:t>
      </w:r>
      <w:fldSimple w:instr=" SEQ Table \* ARABIC ">
        <w:r w:rsidR="00E50032">
          <w:rPr>
            <w:noProof/>
          </w:rPr>
          <w:t>51</w:t>
        </w:r>
      </w:fldSimple>
      <w:r w:rsidRPr="00445023">
        <w:t xml:space="preserve"> </w:t>
      </w:r>
      <w:r>
        <w:t>Longitudinal changes in participant social and community engagement outcomes between baseline and subsequent plan reviews</w:t>
      </w:r>
    </w:p>
    <w:tbl>
      <w:tblPr>
        <w:tblW w:w="5000" w:type="pct"/>
        <w:tblLook w:val="04A0" w:firstRow="1" w:lastRow="0" w:firstColumn="1" w:lastColumn="0" w:noHBand="0" w:noVBand="1"/>
      </w:tblPr>
      <w:tblGrid>
        <w:gridCol w:w="2892"/>
        <w:gridCol w:w="1018"/>
        <w:gridCol w:w="1017"/>
        <w:gridCol w:w="1017"/>
        <w:gridCol w:w="1017"/>
        <w:gridCol w:w="1076"/>
        <w:gridCol w:w="959"/>
      </w:tblGrid>
      <w:tr w:rsidR="00563DAF" w:rsidRPr="00B804F9" w14:paraId="050C3965" w14:textId="77777777" w:rsidTr="00312E88">
        <w:trPr>
          <w:trHeight w:val="640"/>
          <w:tblHeader/>
        </w:trPr>
        <w:tc>
          <w:tcPr>
            <w:tcW w:w="1607" w:type="pct"/>
            <w:tcBorders>
              <w:top w:val="single" w:sz="12" w:space="0" w:color="auto"/>
              <w:left w:val="single" w:sz="12" w:space="0" w:color="auto"/>
              <w:bottom w:val="single" w:sz="12" w:space="0" w:color="auto"/>
              <w:right w:val="single" w:sz="12" w:space="0" w:color="auto"/>
            </w:tcBorders>
            <w:shd w:val="clear" w:color="000000" w:fill="6B2976"/>
            <w:vAlign w:val="center"/>
            <w:hideMark/>
          </w:tcPr>
          <w:p w14:paraId="0FC7F51A" w14:textId="77777777" w:rsidR="00563DAF" w:rsidRPr="00B804F9" w:rsidRDefault="00563DAF" w:rsidP="00312E88">
            <w:pPr>
              <w:rPr>
                <w:rFonts w:cs="Arial"/>
                <w:b/>
                <w:bCs/>
                <w:color w:val="FFFFFF"/>
                <w:sz w:val="16"/>
                <w:szCs w:val="16"/>
              </w:rPr>
            </w:pPr>
            <w:r w:rsidRPr="00B804F9">
              <w:rPr>
                <w:rFonts w:cs="Arial"/>
                <w:b/>
                <w:bCs/>
                <w:color w:val="FFFFFF"/>
                <w:sz w:val="16"/>
                <w:szCs w:val="16"/>
              </w:rPr>
              <w:t>Participant social and community engagement rate</w:t>
            </w:r>
          </w:p>
        </w:tc>
        <w:tc>
          <w:tcPr>
            <w:tcW w:w="566" w:type="pct"/>
            <w:tcBorders>
              <w:top w:val="single" w:sz="12" w:space="0" w:color="auto"/>
              <w:left w:val="nil"/>
              <w:bottom w:val="single" w:sz="12" w:space="0" w:color="auto"/>
              <w:right w:val="single" w:sz="12" w:space="0" w:color="auto"/>
            </w:tcBorders>
            <w:shd w:val="clear" w:color="000000" w:fill="6B2976"/>
            <w:noWrap/>
            <w:vAlign w:val="center"/>
            <w:hideMark/>
          </w:tcPr>
          <w:p w14:paraId="0512A444" w14:textId="77777777" w:rsidR="00563DAF" w:rsidRPr="00B804F9" w:rsidRDefault="00563DAF" w:rsidP="00312E88">
            <w:pPr>
              <w:jc w:val="center"/>
              <w:rPr>
                <w:rFonts w:cs="Arial"/>
                <w:b/>
                <w:bCs/>
                <w:color w:val="FFFFFF"/>
                <w:sz w:val="16"/>
                <w:szCs w:val="16"/>
              </w:rPr>
            </w:pPr>
            <w:r w:rsidRPr="00B804F9">
              <w:rPr>
                <w:rFonts w:cs="Arial"/>
                <w:b/>
                <w:bCs/>
                <w:color w:val="FFFFFF"/>
                <w:sz w:val="16"/>
                <w:szCs w:val="16"/>
              </w:rPr>
              <w:t>Baseline</w:t>
            </w:r>
          </w:p>
        </w:tc>
        <w:tc>
          <w:tcPr>
            <w:tcW w:w="565" w:type="pct"/>
            <w:tcBorders>
              <w:top w:val="single" w:sz="12" w:space="0" w:color="auto"/>
              <w:left w:val="nil"/>
              <w:bottom w:val="single" w:sz="12" w:space="0" w:color="auto"/>
              <w:right w:val="single" w:sz="12" w:space="0" w:color="auto"/>
            </w:tcBorders>
            <w:shd w:val="clear" w:color="000000" w:fill="6B2976"/>
            <w:noWrap/>
            <w:vAlign w:val="center"/>
            <w:hideMark/>
          </w:tcPr>
          <w:p w14:paraId="3734728F" w14:textId="77777777" w:rsidR="00563DAF" w:rsidRPr="00B804F9" w:rsidRDefault="00563DAF" w:rsidP="00312E88">
            <w:pPr>
              <w:jc w:val="center"/>
              <w:rPr>
                <w:rFonts w:cs="Arial"/>
                <w:b/>
                <w:bCs/>
                <w:color w:val="FFFFFF"/>
                <w:sz w:val="16"/>
                <w:szCs w:val="16"/>
              </w:rPr>
            </w:pPr>
            <w:r w:rsidRPr="00B804F9">
              <w:rPr>
                <w:rFonts w:cs="Arial"/>
                <w:b/>
                <w:bCs/>
                <w:color w:val="FFFFFF"/>
                <w:sz w:val="16"/>
                <w:szCs w:val="16"/>
              </w:rPr>
              <w:t>Review 1</w:t>
            </w:r>
          </w:p>
        </w:tc>
        <w:tc>
          <w:tcPr>
            <w:tcW w:w="565" w:type="pct"/>
            <w:tcBorders>
              <w:top w:val="single" w:sz="12" w:space="0" w:color="auto"/>
              <w:left w:val="nil"/>
              <w:bottom w:val="single" w:sz="12" w:space="0" w:color="auto"/>
              <w:right w:val="single" w:sz="12" w:space="0" w:color="auto"/>
            </w:tcBorders>
            <w:shd w:val="clear" w:color="000000" w:fill="6B2976"/>
            <w:noWrap/>
            <w:vAlign w:val="center"/>
            <w:hideMark/>
          </w:tcPr>
          <w:p w14:paraId="721BB814" w14:textId="77777777" w:rsidR="00563DAF" w:rsidRPr="00B804F9" w:rsidRDefault="00563DAF" w:rsidP="00312E88">
            <w:pPr>
              <w:jc w:val="center"/>
              <w:rPr>
                <w:rFonts w:cs="Arial"/>
                <w:b/>
                <w:bCs/>
                <w:color w:val="FFFFFF"/>
                <w:sz w:val="16"/>
                <w:szCs w:val="16"/>
              </w:rPr>
            </w:pPr>
            <w:r w:rsidRPr="00B804F9">
              <w:rPr>
                <w:rFonts w:cs="Arial"/>
                <w:b/>
                <w:bCs/>
                <w:color w:val="FFFFFF"/>
                <w:sz w:val="16"/>
                <w:szCs w:val="16"/>
              </w:rPr>
              <w:t>Review 2</w:t>
            </w:r>
          </w:p>
        </w:tc>
        <w:tc>
          <w:tcPr>
            <w:tcW w:w="565" w:type="pct"/>
            <w:tcBorders>
              <w:top w:val="single" w:sz="12" w:space="0" w:color="auto"/>
              <w:left w:val="nil"/>
              <w:bottom w:val="single" w:sz="12" w:space="0" w:color="auto"/>
              <w:right w:val="single" w:sz="12" w:space="0" w:color="auto"/>
            </w:tcBorders>
            <w:shd w:val="clear" w:color="000000" w:fill="6B2976"/>
            <w:noWrap/>
            <w:vAlign w:val="center"/>
            <w:hideMark/>
          </w:tcPr>
          <w:p w14:paraId="2C71D931" w14:textId="77777777" w:rsidR="00563DAF" w:rsidRPr="00B804F9" w:rsidRDefault="00563DAF" w:rsidP="00312E88">
            <w:pPr>
              <w:jc w:val="center"/>
              <w:rPr>
                <w:rFonts w:cs="Arial"/>
                <w:b/>
                <w:bCs/>
                <w:color w:val="FFFFFF"/>
                <w:sz w:val="16"/>
                <w:szCs w:val="16"/>
              </w:rPr>
            </w:pPr>
            <w:r w:rsidRPr="00B804F9">
              <w:rPr>
                <w:rFonts w:cs="Arial"/>
                <w:b/>
                <w:bCs/>
                <w:color w:val="FFFFFF"/>
                <w:sz w:val="16"/>
                <w:szCs w:val="16"/>
              </w:rPr>
              <w:t>Review 3</w:t>
            </w:r>
          </w:p>
        </w:tc>
        <w:tc>
          <w:tcPr>
            <w:tcW w:w="598" w:type="pct"/>
            <w:tcBorders>
              <w:top w:val="single" w:sz="12" w:space="0" w:color="auto"/>
              <w:left w:val="nil"/>
              <w:bottom w:val="single" w:sz="12" w:space="0" w:color="auto"/>
              <w:right w:val="nil"/>
            </w:tcBorders>
            <w:shd w:val="clear" w:color="000000" w:fill="6B2976"/>
            <w:noWrap/>
            <w:vAlign w:val="center"/>
            <w:hideMark/>
          </w:tcPr>
          <w:p w14:paraId="26A60571" w14:textId="77777777" w:rsidR="00563DAF" w:rsidRPr="00B804F9" w:rsidRDefault="00563DAF" w:rsidP="00312E88">
            <w:pPr>
              <w:jc w:val="center"/>
              <w:rPr>
                <w:rFonts w:cs="Arial"/>
                <w:b/>
                <w:bCs/>
                <w:color w:val="FFFFFF"/>
                <w:sz w:val="16"/>
                <w:szCs w:val="16"/>
              </w:rPr>
            </w:pPr>
            <w:r w:rsidRPr="00B804F9">
              <w:rPr>
                <w:rFonts w:cs="Arial"/>
                <w:b/>
                <w:bCs/>
                <w:color w:val="FFFFFF"/>
                <w:sz w:val="16"/>
                <w:szCs w:val="16"/>
              </w:rPr>
              <w:t>Review 4</w:t>
            </w:r>
          </w:p>
        </w:tc>
        <w:tc>
          <w:tcPr>
            <w:tcW w:w="533" w:type="pct"/>
            <w:tcBorders>
              <w:top w:val="single" w:sz="12" w:space="0" w:color="auto"/>
              <w:left w:val="single" w:sz="12" w:space="0" w:color="auto"/>
              <w:bottom w:val="single" w:sz="12" w:space="0" w:color="auto"/>
              <w:right w:val="single" w:sz="12" w:space="0" w:color="auto"/>
            </w:tcBorders>
            <w:shd w:val="clear" w:color="000000" w:fill="6B2976"/>
            <w:vAlign w:val="center"/>
            <w:hideMark/>
          </w:tcPr>
          <w:p w14:paraId="4A2B9552" w14:textId="77777777" w:rsidR="00563DAF" w:rsidRPr="00B804F9" w:rsidRDefault="00563DAF" w:rsidP="00312E88">
            <w:pPr>
              <w:jc w:val="center"/>
              <w:rPr>
                <w:rFonts w:cs="Arial"/>
                <w:b/>
                <w:bCs/>
                <w:color w:val="FFFFFF"/>
                <w:sz w:val="16"/>
                <w:szCs w:val="16"/>
              </w:rPr>
            </w:pPr>
            <w:r w:rsidRPr="00B804F9">
              <w:rPr>
                <w:rFonts w:cs="Arial"/>
                <w:b/>
                <w:bCs/>
                <w:color w:val="FFFFFF"/>
                <w:sz w:val="16"/>
                <w:szCs w:val="16"/>
              </w:rPr>
              <w:t>2020-21 Target</w:t>
            </w:r>
          </w:p>
        </w:tc>
      </w:tr>
      <w:tr w:rsidR="00563DAF" w:rsidRPr="00B804F9" w14:paraId="09342028" w14:textId="77777777" w:rsidTr="00563DAF">
        <w:trPr>
          <w:trHeight w:hRule="exact" w:val="340"/>
        </w:trPr>
        <w:tc>
          <w:tcPr>
            <w:tcW w:w="1607" w:type="pct"/>
            <w:tcBorders>
              <w:top w:val="nil"/>
              <w:left w:val="single" w:sz="12" w:space="0" w:color="auto"/>
              <w:bottom w:val="nil"/>
              <w:right w:val="single" w:sz="12" w:space="0" w:color="auto"/>
            </w:tcBorders>
            <w:shd w:val="clear" w:color="auto" w:fill="auto"/>
            <w:noWrap/>
            <w:vAlign w:val="center"/>
            <w:hideMark/>
          </w:tcPr>
          <w:p w14:paraId="4102798F" w14:textId="77777777" w:rsidR="00563DAF" w:rsidRPr="00B804F9" w:rsidRDefault="00563DAF" w:rsidP="00312E88">
            <w:pPr>
              <w:rPr>
                <w:rFonts w:cs="Arial"/>
                <w:color w:val="000000"/>
                <w:sz w:val="16"/>
                <w:szCs w:val="16"/>
              </w:rPr>
            </w:pPr>
            <w:r w:rsidRPr="00B804F9">
              <w:rPr>
                <w:rFonts w:cs="Arial"/>
                <w:color w:val="000000"/>
                <w:sz w:val="16"/>
                <w:szCs w:val="16"/>
              </w:rPr>
              <w:t>Aged 15 to 24 years</w:t>
            </w:r>
          </w:p>
        </w:tc>
        <w:tc>
          <w:tcPr>
            <w:tcW w:w="566" w:type="pct"/>
            <w:tcBorders>
              <w:top w:val="nil"/>
              <w:left w:val="nil"/>
              <w:bottom w:val="nil"/>
              <w:right w:val="single" w:sz="12" w:space="0" w:color="auto"/>
            </w:tcBorders>
            <w:shd w:val="clear" w:color="auto" w:fill="auto"/>
            <w:noWrap/>
            <w:vAlign w:val="center"/>
            <w:hideMark/>
          </w:tcPr>
          <w:p w14:paraId="16FE40B0" w14:textId="77777777" w:rsidR="00563DAF" w:rsidRPr="00B804F9" w:rsidRDefault="00563DAF" w:rsidP="00312E88">
            <w:pPr>
              <w:jc w:val="center"/>
              <w:rPr>
                <w:rFonts w:cs="Arial"/>
                <w:color w:val="000000"/>
                <w:sz w:val="16"/>
                <w:szCs w:val="16"/>
              </w:rPr>
            </w:pPr>
            <w:r w:rsidRPr="00B804F9">
              <w:rPr>
                <w:rFonts w:cs="Arial"/>
                <w:color w:val="000000"/>
                <w:sz w:val="16"/>
                <w:szCs w:val="16"/>
              </w:rPr>
              <w:t>32%</w:t>
            </w:r>
          </w:p>
        </w:tc>
        <w:tc>
          <w:tcPr>
            <w:tcW w:w="565" w:type="pct"/>
            <w:tcBorders>
              <w:top w:val="nil"/>
              <w:left w:val="nil"/>
              <w:bottom w:val="nil"/>
              <w:right w:val="single" w:sz="12" w:space="0" w:color="auto"/>
            </w:tcBorders>
            <w:shd w:val="clear" w:color="auto" w:fill="auto"/>
            <w:noWrap/>
            <w:vAlign w:val="center"/>
            <w:hideMark/>
          </w:tcPr>
          <w:p w14:paraId="33045C55" w14:textId="77777777" w:rsidR="00563DAF" w:rsidRPr="00B804F9" w:rsidRDefault="00563DAF" w:rsidP="00312E88">
            <w:pPr>
              <w:jc w:val="center"/>
              <w:rPr>
                <w:rFonts w:cs="Arial"/>
                <w:color w:val="000000"/>
                <w:sz w:val="16"/>
                <w:szCs w:val="16"/>
              </w:rPr>
            </w:pPr>
            <w:r w:rsidRPr="00B804F9">
              <w:rPr>
                <w:rFonts w:cs="Arial"/>
                <w:color w:val="000000"/>
                <w:sz w:val="16"/>
                <w:szCs w:val="16"/>
              </w:rPr>
              <w:t>38%</w:t>
            </w:r>
          </w:p>
        </w:tc>
        <w:tc>
          <w:tcPr>
            <w:tcW w:w="565" w:type="pct"/>
            <w:tcBorders>
              <w:top w:val="nil"/>
              <w:left w:val="nil"/>
              <w:bottom w:val="nil"/>
              <w:right w:val="single" w:sz="12" w:space="0" w:color="auto"/>
            </w:tcBorders>
            <w:shd w:val="clear" w:color="auto" w:fill="auto"/>
            <w:noWrap/>
            <w:vAlign w:val="center"/>
            <w:hideMark/>
          </w:tcPr>
          <w:p w14:paraId="4956EBCA" w14:textId="77777777" w:rsidR="00563DAF" w:rsidRPr="00B804F9" w:rsidRDefault="00563DAF" w:rsidP="00312E88">
            <w:pPr>
              <w:jc w:val="center"/>
              <w:rPr>
                <w:rFonts w:cs="Arial"/>
                <w:color w:val="000000"/>
                <w:sz w:val="16"/>
                <w:szCs w:val="16"/>
              </w:rPr>
            </w:pPr>
            <w:r w:rsidRPr="00B804F9">
              <w:rPr>
                <w:rFonts w:cs="Arial"/>
                <w:color w:val="000000"/>
                <w:sz w:val="16"/>
                <w:szCs w:val="16"/>
              </w:rPr>
              <w:t>44%</w:t>
            </w:r>
          </w:p>
        </w:tc>
        <w:tc>
          <w:tcPr>
            <w:tcW w:w="565" w:type="pct"/>
            <w:tcBorders>
              <w:top w:val="nil"/>
              <w:left w:val="nil"/>
              <w:bottom w:val="nil"/>
              <w:right w:val="single" w:sz="12" w:space="0" w:color="auto"/>
            </w:tcBorders>
            <w:shd w:val="clear" w:color="auto" w:fill="auto"/>
            <w:noWrap/>
            <w:vAlign w:val="center"/>
            <w:hideMark/>
          </w:tcPr>
          <w:p w14:paraId="26A08617" w14:textId="77777777" w:rsidR="00563DAF" w:rsidRPr="00B804F9" w:rsidRDefault="00563DAF" w:rsidP="00312E88">
            <w:pPr>
              <w:jc w:val="center"/>
              <w:rPr>
                <w:rFonts w:cs="Arial"/>
                <w:color w:val="000000"/>
                <w:sz w:val="16"/>
                <w:szCs w:val="16"/>
              </w:rPr>
            </w:pPr>
            <w:r w:rsidRPr="00B804F9">
              <w:rPr>
                <w:rFonts w:cs="Arial"/>
                <w:color w:val="000000"/>
                <w:sz w:val="16"/>
                <w:szCs w:val="16"/>
              </w:rPr>
              <w:t>45%</w:t>
            </w:r>
          </w:p>
        </w:tc>
        <w:tc>
          <w:tcPr>
            <w:tcW w:w="598" w:type="pct"/>
            <w:tcBorders>
              <w:top w:val="nil"/>
              <w:left w:val="nil"/>
              <w:bottom w:val="nil"/>
              <w:right w:val="nil"/>
            </w:tcBorders>
            <w:shd w:val="clear" w:color="auto" w:fill="auto"/>
            <w:noWrap/>
            <w:vAlign w:val="center"/>
            <w:hideMark/>
          </w:tcPr>
          <w:p w14:paraId="7744F4CC" w14:textId="77777777" w:rsidR="00563DAF" w:rsidRPr="00B804F9" w:rsidRDefault="00563DAF" w:rsidP="00312E88">
            <w:pPr>
              <w:jc w:val="center"/>
              <w:rPr>
                <w:rFonts w:cs="Arial"/>
                <w:color w:val="000000"/>
                <w:sz w:val="16"/>
                <w:szCs w:val="16"/>
              </w:rPr>
            </w:pPr>
            <w:r w:rsidRPr="00B804F9">
              <w:rPr>
                <w:rFonts w:cs="Arial"/>
                <w:color w:val="000000"/>
                <w:sz w:val="16"/>
                <w:szCs w:val="16"/>
              </w:rPr>
              <w:t>46%</w:t>
            </w:r>
          </w:p>
        </w:tc>
        <w:tc>
          <w:tcPr>
            <w:tcW w:w="533" w:type="pct"/>
            <w:tcBorders>
              <w:top w:val="nil"/>
              <w:left w:val="single" w:sz="12" w:space="0" w:color="auto"/>
              <w:bottom w:val="nil"/>
              <w:right w:val="single" w:sz="12" w:space="0" w:color="auto"/>
            </w:tcBorders>
            <w:shd w:val="clear" w:color="auto" w:fill="auto"/>
            <w:noWrap/>
            <w:vAlign w:val="center"/>
            <w:hideMark/>
          </w:tcPr>
          <w:p w14:paraId="2B702B26" w14:textId="77777777" w:rsidR="00563DAF" w:rsidRPr="00B804F9" w:rsidRDefault="00563DAF" w:rsidP="00312E88">
            <w:pPr>
              <w:jc w:val="center"/>
              <w:rPr>
                <w:rFonts w:cs="Arial"/>
                <w:color w:val="000000"/>
                <w:sz w:val="16"/>
                <w:szCs w:val="16"/>
              </w:rPr>
            </w:pPr>
            <w:r w:rsidRPr="00B804F9">
              <w:rPr>
                <w:rFonts w:cs="Arial"/>
                <w:color w:val="000000"/>
                <w:sz w:val="16"/>
                <w:szCs w:val="16"/>
              </w:rPr>
              <w:t> </w:t>
            </w:r>
          </w:p>
        </w:tc>
      </w:tr>
      <w:tr w:rsidR="00563DAF" w:rsidRPr="00B804F9" w14:paraId="3767025F" w14:textId="77777777" w:rsidTr="00563DAF">
        <w:trPr>
          <w:trHeight w:hRule="exact" w:val="340"/>
        </w:trPr>
        <w:tc>
          <w:tcPr>
            <w:tcW w:w="1607" w:type="pct"/>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FC25FB8" w14:textId="77777777" w:rsidR="00563DAF" w:rsidRPr="00B804F9" w:rsidRDefault="00563DAF" w:rsidP="00312E88">
            <w:pPr>
              <w:rPr>
                <w:rFonts w:cs="Arial"/>
                <w:color w:val="000000"/>
                <w:sz w:val="16"/>
                <w:szCs w:val="16"/>
              </w:rPr>
            </w:pPr>
            <w:r w:rsidRPr="00B804F9">
              <w:rPr>
                <w:rFonts w:cs="Arial"/>
                <w:color w:val="000000"/>
                <w:sz w:val="16"/>
                <w:szCs w:val="16"/>
              </w:rPr>
              <w:t>Aged 25+</w:t>
            </w:r>
          </w:p>
        </w:tc>
        <w:tc>
          <w:tcPr>
            <w:tcW w:w="566" w:type="pct"/>
            <w:tcBorders>
              <w:top w:val="single" w:sz="4" w:space="0" w:color="auto"/>
              <w:left w:val="nil"/>
              <w:bottom w:val="single" w:sz="4" w:space="0" w:color="auto"/>
              <w:right w:val="single" w:sz="12" w:space="0" w:color="auto"/>
            </w:tcBorders>
            <w:shd w:val="clear" w:color="auto" w:fill="auto"/>
            <w:noWrap/>
            <w:vAlign w:val="center"/>
            <w:hideMark/>
          </w:tcPr>
          <w:p w14:paraId="4EDEF0BB" w14:textId="77777777" w:rsidR="00563DAF" w:rsidRPr="00B804F9" w:rsidRDefault="00563DAF" w:rsidP="00312E88">
            <w:pPr>
              <w:jc w:val="center"/>
              <w:rPr>
                <w:rFonts w:cs="Arial"/>
                <w:color w:val="000000"/>
                <w:sz w:val="16"/>
                <w:szCs w:val="16"/>
              </w:rPr>
            </w:pPr>
            <w:r w:rsidRPr="00B804F9">
              <w:rPr>
                <w:rFonts w:cs="Arial"/>
                <w:color w:val="000000"/>
                <w:sz w:val="16"/>
                <w:szCs w:val="16"/>
              </w:rPr>
              <w:t>36%</w:t>
            </w:r>
          </w:p>
        </w:tc>
        <w:tc>
          <w:tcPr>
            <w:tcW w:w="565" w:type="pct"/>
            <w:tcBorders>
              <w:top w:val="single" w:sz="4" w:space="0" w:color="auto"/>
              <w:left w:val="nil"/>
              <w:bottom w:val="single" w:sz="4" w:space="0" w:color="auto"/>
              <w:right w:val="single" w:sz="12" w:space="0" w:color="auto"/>
            </w:tcBorders>
            <w:shd w:val="clear" w:color="auto" w:fill="auto"/>
            <w:noWrap/>
            <w:vAlign w:val="center"/>
            <w:hideMark/>
          </w:tcPr>
          <w:p w14:paraId="59C61C6F" w14:textId="77777777" w:rsidR="00563DAF" w:rsidRPr="00B804F9" w:rsidRDefault="00563DAF" w:rsidP="00312E88">
            <w:pPr>
              <w:jc w:val="center"/>
              <w:rPr>
                <w:rFonts w:cs="Arial"/>
                <w:color w:val="000000"/>
                <w:sz w:val="16"/>
                <w:szCs w:val="16"/>
              </w:rPr>
            </w:pPr>
            <w:r w:rsidRPr="00B804F9">
              <w:rPr>
                <w:rFonts w:cs="Arial"/>
                <w:color w:val="000000"/>
                <w:sz w:val="16"/>
                <w:szCs w:val="16"/>
              </w:rPr>
              <w:t>41%</w:t>
            </w:r>
          </w:p>
        </w:tc>
        <w:tc>
          <w:tcPr>
            <w:tcW w:w="565" w:type="pct"/>
            <w:tcBorders>
              <w:top w:val="single" w:sz="4" w:space="0" w:color="auto"/>
              <w:left w:val="nil"/>
              <w:bottom w:val="single" w:sz="4" w:space="0" w:color="auto"/>
              <w:right w:val="single" w:sz="12" w:space="0" w:color="auto"/>
            </w:tcBorders>
            <w:shd w:val="clear" w:color="auto" w:fill="auto"/>
            <w:noWrap/>
            <w:vAlign w:val="center"/>
            <w:hideMark/>
          </w:tcPr>
          <w:p w14:paraId="203DBABF" w14:textId="77777777" w:rsidR="00563DAF" w:rsidRPr="00B804F9" w:rsidRDefault="00563DAF" w:rsidP="00312E88">
            <w:pPr>
              <w:jc w:val="center"/>
              <w:rPr>
                <w:rFonts w:cs="Arial"/>
                <w:color w:val="000000"/>
                <w:sz w:val="16"/>
                <w:szCs w:val="16"/>
              </w:rPr>
            </w:pPr>
            <w:r w:rsidRPr="00B804F9">
              <w:rPr>
                <w:rFonts w:cs="Arial"/>
                <w:color w:val="000000"/>
                <w:sz w:val="16"/>
                <w:szCs w:val="16"/>
              </w:rPr>
              <w:t>47%</w:t>
            </w:r>
          </w:p>
        </w:tc>
        <w:tc>
          <w:tcPr>
            <w:tcW w:w="565" w:type="pct"/>
            <w:tcBorders>
              <w:top w:val="single" w:sz="4" w:space="0" w:color="auto"/>
              <w:left w:val="nil"/>
              <w:bottom w:val="single" w:sz="4" w:space="0" w:color="auto"/>
              <w:right w:val="single" w:sz="12" w:space="0" w:color="auto"/>
            </w:tcBorders>
            <w:shd w:val="clear" w:color="auto" w:fill="auto"/>
            <w:noWrap/>
            <w:vAlign w:val="center"/>
            <w:hideMark/>
          </w:tcPr>
          <w:p w14:paraId="7B3204DB" w14:textId="77777777" w:rsidR="00563DAF" w:rsidRPr="00B804F9" w:rsidRDefault="00563DAF" w:rsidP="00312E88">
            <w:pPr>
              <w:jc w:val="center"/>
              <w:rPr>
                <w:rFonts w:cs="Arial"/>
                <w:color w:val="000000"/>
                <w:sz w:val="16"/>
                <w:szCs w:val="16"/>
              </w:rPr>
            </w:pPr>
            <w:r w:rsidRPr="00B804F9">
              <w:rPr>
                <w:rFonts w:cs="Arial"/>
                <w:color w:val="000000"/>
                <w:sz w:val="16"/>
                <w:szCs w:val="16"/>
              </w:rPr>
              <w:t>48%</w:t>
            </w:r>
          </w:p>
        </w:tc>
        <w:tc>
          <w:tcPr>
            <w:tcW w:w="598" w:type="pct"/>
            <w:tcBorders>
              <w:top w:val="single" w:sz="4" w:space="0" w:color="auto"/>
              <w:left w:val="nil"/>
              <w:bottom w:val="single" w:sz="4" w:space="0" w:color="auto"/>
              <w:right w:val="single" w:sz="12" w:space="0" w:color="auto"/>
            </w:tcBorders>
            <w:shd w:val="clear" w:color="auto" w:fill="auto"/>
            <w:noWrap/>
            <w:vAlign w:val="center"/>
            <w:hideMark/>
          </w:tcPr>
          <w:p w14:paraId="48F12CBC" w14:textId="77777777" w:rsidR="00563DAF" w:rsidRPr="00B804F9" w:rsidRDefault="00563DAF" w:rsidP="00312E88">
            <w:pPr>
              <w:jc w:val="center"/>
              <w:rPr>
                <w:rFonts w:cs="Arial"/>
                <w:color w:val="000000"/>
                <w:sz w:val="16"/>
                <w:szCs w:val="16"/>
              </w:rPr>
            </w:pPr>
            <w:r w:rsidRPr="00B804F9">
              <w:rPr>
                <w:rFonts w:cs="Arial"/>
                <w:color w:val="000000"/>
                <w:sz w:val="16"/>
                <w:szCs w:val="16"/>
              </w:rPr>
              <w:t>50%</w:t>
            </w:r>
          </w:p>
        </w:tc>
        <w:tc>
          <w:tcPr>
            <w:tcW w:w="533" w:type="pct"/>
            <w:tcBorders>
              <w:top w:val="nil"/>
              <w:left w:val="nil"/>
              <w:bottom w:val="nil"/>
              <w:right w:val="single" w:sz="12" w:space="0" w:color="auto"/>
            </w:tcBorders>
            <w:shd w:val="clear" w:color="auto" w:fill="auto"/>
            <w:noWrap/>
            <w:vAlign w:val="center"/>
            <w:hideMark/>
          </w:tcPr>
          <w:p w14:paraId="674E06C8" w14:textId="77777777" w:rsidR="00563DAF" w:rsidRPr="00B804F9" w:rsidRDefault="00563DAF" w:rsidP="00312E88">
            <w:pPr>
              <w:jc w:val="center"/>
              <w:rPr>
                <w:rFonts w:cs="Arial"/>
                <w:color w:val="000000"/>
                <w:sz w:val="16"/>
                <w:szCs w:val="16"/>
              </w:rPr>
            </w:pPr>
            <w:r w:rsidRPr="00B804F9">
              <w:rPr>
                <w:rFonts w:cs="Arial"/>
                <w:color w:val="000000"/>
                <w:sz w:val="16"/>
                <w:szCs w:val="16"/>
              </w:rPr>
              <w:t>50%</w:t>
            </w:r>
          </w:p>
        </w:tc>
      </w:tr>
      <w:tr w:rsidR="00563DAF" w:rsidRPr="00B804F9" w14:paraId="231A647C" w14:textId="77777777" w:rsidTr="00563DAF">
        <w:trPr>
          <w:trHeight w:hRule="exact" w:val="340"/>
        </w:trPr>
        <w:tc>
          <w:tcPr>
            <w:tcW w:w="1607" w:type="pct"/>
            <w:tcBorders>
              <w:top w:val="nil"/>
              <w:left w:val="single" w:sz="12" w:space="0" w:color="auto"/>
              <w:bottom w:val="single" w:sz="12" w:space="0" w:color="auto"/>
              <w:right w:val="single" w:sz="12" w:space="0" w:color="auto"/>
            </w:tcBorders>
            <w:shd w:val="clear" w:color="000000" w:fill="D3C5D7"/>
            <w:noWrap/>
            <w:vAlign w:val="center"/>
            <w:hideMark/>
          </w:tcPr>
          <w:p w14:paraId="05D2B694" w14:textId="77777777" w:rsidR="00563DAF" w:rsidRPr="00B804F9" w:rsidRDefault="00563DAF" w:rsidP="00312E88">
            <w:pPr>
              <w:rPr>
                <w:rFonts w:cs="Arial"/>
                <w:b/>
                <w:bCs/>
                <w:color w:val="000000"/>
                <w:sz w:val="16"/>
                <w:szCs w:val="16"/>
              </w:rPr>
            </w:pPr>
            <w:r w:rsidRPr="00B804F9">
              <w:rPr>
                <w:rFonts w:cs="Arial"/>
                <w:b/>
                <w:bCs/>
                <w:color w:val="000000"/>
                <w:sz w:val="16"/>
                <w:szCs w:val="16"/>
              </w:rPr>
              <w:t>Aged 15+ (average)</w:t>
            </w:r>
          </w:p>
        </w:tc>
        <w:tc>
          <w:tcPr>
            <w:tcW w:w="566" w:type="pct"/>
            <w:tcBorders>
              <w:top w:val="nil"/>
              <w:left w:val="nil"/>
              <w:bottom w:val="single" w:sz="12" w:space="0" w:color="auto"/>
              <w:right w:val="single" w:sz="12" w:space="0" w:color="auto"/>
            </w:tcBorders>
            <w:shd w:val="clear" w:color="000000" w:fill="D3C5D7"/>
            <w:noWrap/>
            <w:vAlign w:val="center"/>
            <w:hideMark/>
          </w:tcPr>
          <w:p w14:paraId="7FB30ADA" w14:textId="77777777" w:rsidR="00563DAF" w:rsidRPr="00B804F9" w:rsidRDefault="00563DAF" w:rsidP="00312E88">
            <w:pPr>
              <w:jc w:val="center"/>
              <w:rPr>
                <w:rFonts w:cs="Arial"/>
                <w:b/>
                <w:bCs/>
                <w:color w:val="000000"/>
                <w:sz w:val="16"/>
                <w:szCs w:val="16"/>
              </w:rPr>
            </w:pPr>
            <w:r w:rsidRPr="00B804F9">
              <w:rPr>
                <w:rFonts w:cs="Arial"/>
                <w:b/>
                <w:bCs/>
                <w:color w:val="000000"/>
                <w:sz w:val="16"/>
                <w:szCs w:val="16"/>
              </w:rPr>
              <w:t>35%</w:t>
            </w:r>
          </w:p>
        </w:tc>
        <w:tc>
          <w:tcPr>
            <w:tcW w:w="565" w:type="pct"/>
            <w:tcBorders>
              <w:top w:val="nil"/>
              <w:left w:val="nil"/>
              <w:bottom w:val="single" w:sz="12" w:space="0" w:color="auto"/>
              <w:right w:val="single" w:sz="12" w:space="0" w:color="auto"/>
            </w:tcBorders>
            <w:shd w:val="clear" w:color="000000" w:fill="D3C5D7"/>
            <w:noWrap/>
            <w:vAlign w:val="center"/>
            <w:hideMark/>
          </w:tcPr>
          <w:p w14:paraId="12B44B27" w14:textId="77777777" w:rsidR="00563DAF" w:rsidRPr="00B804F9" w:rsidRDefault="00563DAF" w:rsidP="00312E88">
            <w:pPr>
              <w:jc w:val="center"/>
              <w:rPr>
                <w:rFonts w:cs="Arial"/>
                <w:b/>
                <w:bCs/>
                <w:color w:val="000000"/>
                <w:sz w:val="16"/>
                <w:szCs w:val="16"/>
              </w:rPr>
            </w:pPr>
            <w:r w:rsidRPr="00B804F9">
              <w:rPr>
                <w:rFonts w:cs="Arial"/>
                <w:b/>
                <w:bCs/>
                <w:color w:val="000000"/>
                <w:sz w:val="16"/>
                <w:szCs w:val="16"/>
              </w:rPr>
              <w:t>40%</w:t>
            </w:r>
          </w:p>
        </w:tc>
        <w:tc>
          <w:tcPr>
            <w:tcW w:w="565" w:type="pct"/>
            <w:tcBorders>
              <w:top w:val="nil"/>
              <w:left w:val="nil"/>
              <w:bottom w:val="single" w:sz="12" w:space="0" w:color="auto"/>
              <w:right w:val="single" w:sz="12" w:space="0" w:color="auto"/>
            </w:tcBorders>
            <w:shd w:val="clear" w:color="000000" w:fill="D3C5D7"/>
            <w:noWrap/>
            <w:vAlign w:val="center"/>
            <w:hideMark/>
          </w:tcPr>
          <w:p w14:paraId="29B3D7AF" w14:textId="77777777" w:rsidR="00563DAF" w:rsidRPr="00B804F9" w:rsidRDefault="00563DAF" w:rsidP="00312E88">
            <w:pPr>
              <w:jc w:val="center"/>
              <w:rPr>
                <w:rFonts w:cs="Arial"/>
                <w:b/>
                <w:bCs/>
                <w:color w:val="000000"/>
                <w:sz w:val="16"/>
                <w:szCs w:val="16"/>
              </w:rPr>
            </w:pPr>
            <w:r w:rsidRPr="00B804F9">
              <w:rPr>
                <w:rFonts w:cs="Arial"/>
                <w:b/>
                <w:bCs/>
                <w:color w:val="000000"/>
                <w:sz w:val="16"/>
                <w:szCs w:val="16"/>
              </w:rPr>
              <w:t>46%</w:t>
            </w:r>
          </w:p>
        </w:tc>
        <w:tc>
          <w:tcPr>
            <w:tcW w:w="565" w:type="pct"/>
            <w:tcBorders>
              <w:top w:val="nil"/>
              <w:left w:val="nil"/>
              <w:bottom w:val="single" w:sz="12" w:space="0" w:color="auto"/>
              <w:right w:val="single" w:sz="12" w:space="0" w:color="auto"/>
            </w:tcBorders>
            <w:shd w:val="clear" w:color="000000" w:fill="D3C5D7"/>
            <w:noWrap/>
            <w:vAlign w:val="center"/>
            <w:hideMark/>
          </w:tcPr>
          <w:p w14:paraId="7366171C" w14:textId="77777777" w:rsidR="00563DAF" w:rsidRPr="00B804F9" w:rsidRDefault="00563DAF" w:rsidP="00312E88">
            <w:pPr>
              <w:jc w:val="center"/>
              <w:rPr>
                <w:rFonts w:cs="Arial"/>
                <w:b/>
                <w:bCs/>
                <w:color w:val="000000"/>
                <w:sz w:val="16"/>
                <w:szCs w:val="16"/>
              </w:rPr>
            </w:pPr>
            <w:r w:rsidRPr="00B804F9">
              <w:rPr>
                <w:rFonts w:cs="Arial"/>
                <w:b/>
                <w:bCs/>
                <w:color w:val="000000"/>
                <w:sz w:val="16"/>
                <w:szCs w:val="16"/>
              </w:rPr>
              <w:t>47%</w:t>
            </w:r>
          </w:p>
        </w:tc>
        <w:tc>
          <w:tcPr>
            <w:tcW w:w="598" w:type="pct"/>
            <w:tcBorders>
              <w:top w:val="nil"/>
              <w:left w:val="nil"/>
              <w:bottom w:val="single" w:sz="12" w:space="0" w:color="auto"/>
              <w:right w:val="nil"/>
            </w:tcBorders>
            <w:shd w:val="clear" w:color="000000" w:fill="D3C5D7"/>
            <w:noWrap/>
            <w:vAlign w:val="center"/>
            <w:hideMark/>
          </w:tcPr>
          <w:p w14:paraId="2E917267" w14:textId="77777777" w:rsidR="00563DAF" w:rsidRPr="00B804F9" w:rsidRDefault="00563DAF" w:rsidP="00312E88">
            <w:pPr>
              <w:jc w:val="center"/>
              <w:rPr>
                <w:rFonts w:cs="Arial"/>
                <w:b/>
                <w:bCs/>
                <w:color w:val="000000"/>
                <w:sz w:val="16"/>
                <w:szCs w:val="16"/>
              </w:rPr>
            </w:pPr>
            <w:r w:rsidRPr="00B804F9">
              <w:rPr>
                <w:rFonts w:cs="Arial"/>
                <w:b/>
                <w:bCs/>
                <w:color w:val="000000"/>
                <w:sz w:val="16"/>
                <w:szCs w:val="16"/>
              </w:rPr>
              <w:t>49%</w:t>
            </w:r>
          </w:p>
        </w:tc>
        <w:tc>
          <w:tcPr>
            <w:tcW w:w="533" w:type="pct"/>
            <w:tcBorders>
              <w:top w:val="nil"/>
              <w:left w:val="single" w:sz="12" w:space="0" w:color="auto"/>
              <w:bottom w:val="single" w:sz="12" w:space="0" w:color="auto"/>
              <w:right w:val="single" w:sz="12" w:space="0" w:color="auto"/>
            </w:tcBorders>
            <w:shd w:val="clear" w:color="auto" w:fill="auto"/>
            <w:noWrap/>
            <w:vAlign w:val="center"/>
            <w:hideMark/>
          </w:tcPr>
          <w:p w14:paraId="1CDE9C2E" w14:textId="77777777" w:rsidR="00563DAF" w:rsidRPr="00B804F9" w:rsidRDefault="00563DAF" w:rsidP="00312E88">
            <w:pPr>
              <w:jc w:val="center"/>
              <w:rPr>
                <w:rFonts w:cs="Arial"/>
                <w:color w:val="000000"/>
                <w:sz w:val="16"/>
                <w:szCs w:val="16"/>
              </w:rPr>
            </w:pPr>
            <w:r w:rsidRPr="00B804F9">
              <w:rPr>
                <w:rFonts w:cs="Arial"/>
                <w:color w:val="000000"/>
                <w:sz w:val="16"/>
                <w:szCs w:val="16"/>
              </w:rPr>
              <w:t> </w:t>
            </w:r>
          </w:p>
        </w:tc>
      </w:tr>
    </w:tbl>
    <w:p w14:paraId="7891F7A9" w14:textId="061286BF" w:rsidR="0047113A" w:rsidRPr="000F1FE5" w:rsidRDefault="0047113A" w:rsidP="0047113A"/>
    <w:p w14:paraId="240CF039" w14:textId="664931E7" w:rsidR="00A62861" w:rsidRDefault="0047113A" w:rsidP="00A62861">
      <w:pPr>
        <w:rPr>
          <w:highlight w:val="red"/>
        </w:rPr>
      </w:pPr>
      <w:r w:rsidRPr="00445023">
        <w:t>A proportion of this growth in community participation is likely a result of participants becoming involved in groups for people with disability. This improvement in participant social outcomes provides evidence of the effectiveness of Scheme supports, as assistance with social and community participation is a core funded support in participants’ plans.</w:t>
      </w:r>
    </w:p>
    <w:p w14:paraId="1F688C28" w14:textId="77777777" w:rsidR="00A62861" w:rsidRPr="00445023" w:rsidRDefault="00A62861" w:rsidP="00A62861">
      <w:pPr>
        <w:pStyle w:val="Heading4"/>
        <w:ind w:left="907" w:hanging="907"/>
      </w:pPr>
      <w:bookmarkStart w:id="265" w:name="_Ref47448035"/>
      <w:r w:rsidRPr="00445023">
        <w:t>“Has the NDIS helped?”</w:t>
      </w:r>
      <w:bookmarkEnd w:id="265"/>
    </w:p>
    <w:p w14:paraId="08D59F05" w14:textId="3039E4E1" w:rsidR="00A62861" w:rsidRPr="00445023" w:rsidRDefault="00A62861" w:rsidP="00A62861">
      <w:r w:rsidRPr="00445023">
        <w:t xml:space="preserve">Participants who </w:t>
      </w:r>
      <w:r>
        <w:t xml:space="preserve">have </w:t>
      </w:r>
      <w:r w:rsidRPr="00445023">
        <w:t xml:space="preserve">entered the Scheme since 1 July 2016 </w:t>
      </w:r>
      <w:r>
        <w:t xml:space="preserve">have been </w:t>
      </w:r>
      <w:r w:rsidRPr="00445023">
        <w:t>asked “Has the NDIS helped?” at each participant plan review, allowing the Agency to gain valuable longitudinal insights.</w:t>
      </w:r>
      <w:r>
        <w:t xml:space="preserve"> </w:t>
      </w:r>
      <w:r w:rsidR="00C847DB">
        <w:t>T</w:t>
      </w:r>
      <w:r>
        <w:t xml:space="preserve">he results shown in this section of the report are based on responses provided at the first participant plan review, compared with those from the most recent review, for participants who have been in the Scheme for at least two years. The results are </w:t>
      </w:r>
      <w:r>
        <w:lastRenderedPageBreak/>
        <w:t>based on outcomes recorded from 1 July 2016 to 30 June 2021, and trial participants have been excluded.</w:t>
      </w:r>
    </w:p>
    <w:p w14:paraId="0642370C" w14:textId="26782934" w:rsidR="00A62861" w:rsidRPr="00445023" w:rsidRDefault="00A62861" w:rsidP="00A62861">
      <w:r w:rsidRPr="00445023">
        <w:t xml:space="preserve">On the whole, perceptions of the Scheme have been positive, with participants and their families/carers more likely to report that the Scheme had helped them in various areas of their lives the longer the participant was in the Scheme. These results, based on data as at 30 June 2021, suggest a growing level of support for the Scheme by its participants and the family members and carers of participants. This helps demonstrate the effectiveness of the Scheme and </w:t>
      </w:r>
      <w:r w:rsidR="00C847DB">
        <w:t xml:space="preserve">in the long term </w:t>
      </w:r>
      <w:r w:rsidRPr="00445023">
        <w:t>strengthens the ongoing financial sustainability of the Scheme.</w:t>
      </w:r>
    </w:p>
    <w:p w14:paraId="35466BA0" w14:textId="1D63D039" w:rsidR="00A62861" w:rsidRPr="00445023" w:rsidRDefault="00546C89" w:rsidP="00A62861">
      <w:r w:rsidRPr="00D618A6">
        <w:rPr>
          <w:u w:val="single"/>
        </w:rPr>
        <w:fldChar w:fldCharType="begin"/>
      </w:r>
      <w:r w:rsidRPr="00D618A6">
        <w:rPr>
          <w:u w:val="single"/>
        </w:rPr>
        <w:instrText xml:space="preserve"> REF _Ref80642333 \h </w:instrText>
      </w:r>
      <w:r w:rsidR="00D618A6">
        <w:rPr>
          <w:u w:val="single"/>
        </w:rPr>
        <w:instrText xml:space="preserve"> \* MERGEFORMAT </w:instrText>
      </w:r>
      <w:r w:rsidRPr="00D618A6">
        <w:rPr>
          <w:u w:val="single"/>
        </w:rPr>
      </w:r>
      <w:r w:rsidRPr="00D618A6">
        <w:rPr>
          <w:u w:val="single"/>
        </w:rPr>
        <w:fldChar w:fldCharType="separate"/>
      </w:r>
      <w:r w:rsidR="00E50032" w:rsidRPr="00E50032">
        <w:rPr>
          <w:u w:val="single"/>
        </w:rPr>
        <w:t xml:space="preserve">Table </w:t>
      </w:r>
      <w:r w:rsidR="00E50032" w:rsidRPr="00E50032">
        <w:rPr>
          <w:noProof/>
          <w:u w:val="single"/>
        </w:rPr>
        <w:t>52</w:t>
      </w:r>
      <w:r w:rsidRPr="00D618A6">
        <w:rPr>
          <w:u w:val="single"/>
        </w:rPr>
        <w:fldChar w:fldCharType="end"/>
      </w:r>
      <w:r w:rsidR="00A62861">
        <w:t xml:space="preserve"> below </w:t>
      </w:r>
      <w:r w:rsidR="00A62861" w:rsidRPr="00BB7623">
        <w:t>summarises opinions on whether the Scheme has helped, by domain, for children from birth to before starting school.</w:t>
      </w:r>
      <w:r w:rsidR="00A62861">
        <w:t xml:space="preserve"> </w:t>
      </w:r>
      <w:r w:rsidR="00A62861" w:rsidRPr="00BB7623">
        <w:t>Across all domains, opinions improved between the first and their most recent plan review.</w:t>
      </w:r>
      <w:r w:rsidR="00A62861">
        <w:t xml:space="preserve"> </w:t>
      </w:r>
    </w:p>
    <w:p w14:paraId="699BAFAA" w14:textId="5A7A7C95" w:rsidR="00A62861" w:rsidRPr="00445023" w:rsidRDefault="00A62861" w:rsidP="00A62861">
      <w:pPr>
        <w:pStyle w:val="Caption"/>
        <w:keepNext/>
      </w:pPr>
      <w:bookmarkStart w:id="266" w:name="_Ref80642333"/>
      <w:r w:rsidRPr="00445023">
        <w:t xml:space="preserve">Table </w:t>
      </w:r>
      <w:fldSimple w:instr=" SEQ Table \* ARABIC ">
        <w:r w:rsidR="00E50032">
          <w:rPr>
            <w:noProof/>
          </w:rPr>
          <w:t>52</w:t>
        </w:r>
      </w:fldSimple>
      <w:bookmarkEnd w:id="266"/>
      <w:r w:rsidRPr="00445023">
        <w:t xml:space="preserve"> “Has the NDIS helped?” – </w:t>
      </w:r>
      <w:proofErr w:type="gramStart"/>
      <w:r w:rsidRPr="00445023">
        <w:t>for</w:t>
      </w:r>
      <w:proofErr w:type="gramEnd"/>
      <w:r w:rsidRPr="00445023">
        <w:t xml:space="preserve"> children from birth to before starting school</w:t>
      </w:r>
    </w:p>
    <w:tbl>
      <w:tblPr>
        <w:tblW w:w="0" w:type="auto"/>
        <w:tblLook w:val="04A0" w:firstRow="1" w:lastRow="0" w:firstColumn="1" w:lastColumn="0" w:noHBand="0" w:noVBand="1"/>
      </w:tblPr>
      <w:tblGrid>
        <w:gridCol w:w="2724"/>
        <w:gridCol w:w="900"/>
        <w:gridCol w:w="2017"/>
        <w:gridCol w:w="3375"/>
      </w:tblGrid>
      <w:tr w:rsidR="008C6796" w:rsidRPr="00B804F9" w14:paraId="36EFD613" w14:textId="77777777" w:rsidTr="00312E88">
        <w:trPr>
          <w:trHeight w:val="610"/>
          <w:tblHeader/>
        </w:trPr>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42000AA3" w14:textId="77777777" w:rsidR="008C6796" w:rsidRPr="00B804F9" w:rsidRDefault="008C6796" w:rsidP="00312E88">
            <w:pPr>
              <w:rPr>
                <w:rFonts w:cs="Arial"/>
                <w:b/>
                <w:bCs/>
                <w:color w:val="FFFFFF"/>
                <w:sz w:val="16"/>
                <w:szCs w:val="16"/>
              </w:rPr>
            </w:pPr>
            <w:r w:rsidRPr="00B804F9">
              <w:rPr>
                <w:rFonts w:cs="Arial"/>
                <w:b/>
                <w:bCs/>
                <w:color w:val="FFFFFF"/>
                <w:sz w:val="16"/>
                <w:szCs w:val="16"/>
              </w:rPr>
              <w:t>Proportion of positive responses</w:t>
            </w:r>
          </w:p>
        </w:tc>
        <w:tc>
          <w:tcPr>
            <w:tcW w:w="0" w:type="auto"/>
            <w:tcBorders>
              <w:top w:val="single" w:sz="4" w:space="0" w:color="auto"/>
              <w:left w:val="nil"/>
              <w:bottom w:val="single" w:sz="4" w:space="0" w:color="auto"/>
              <w:right w:val="nil"/>
            </w:tcBorders>
            <w:shd w:val="clear" w:color="000000" w:fill="6B2976"/>
            <w:vAlign w:val="center"/>
            <w:hideMark/>
          </w:tcPr>
          <w:p w14:paraId="16A4F3D9" w14:textId="77777777" w:rsidR="008C6796" w:rsidRPr="00B804F9" w:rsidRDefault="008C6796" w:rsidP="00312E88">
            <w:pPr>
              <w:jc w:val="center"/>
              <w:rPr>
                <w:rFonts w:cs="Arial"/>
                <w:b/>
                <w:bCs/>
                <w:color w:val="FFFFFF"/>
                <w:sz w:val="16"/>
                <w:szCs w:val="16"/>
              </w:rPr>
            </w:pPr>
            <w:r w:rsidRPr="00B804F9">
              <w:rPr>
                <w:rFonts w:cs="Arial"/>
                <w:b/>
                <w:bCs/>
                <w:color w:val="FFFFFF"/>
                <w:sz w:val="16"/>
                <w:szCs w:val="16"/>
              </w:rPr>
              <w:t>Review 1</w:t>
            </w:r>
          </w:p>
        </w:tc>
        <w:tc>
          <w:tcPr>
            <w:tcW w:w="0" w:type="auto"/>
            <w:tcBorders>
              <w:top w:val="single" w:sz="4" w:space="0" w:color="auto"/>
              <w:left w:val="nil"/>
              <w:bottom w:val="single" w:sz="4" w:space="0" w:color="auto"/>
              <w:right w:val="nil"/>
            </w:tcBorders>
            <w:shd w:val="clear" w:color="000000" w:fill="6B2976"/>
            <w:vAlign w:val="center"/>
            <w:hideMark/>
          </w:tcPr>
          <w:p w14:paraId="512B7D22" w14:textId="77777777" w:rsidR="008C6796" w:rsidRPr="00B804F9" w:rsidRDefault="008C6796" w:rsidP="00312E88">
            <w:pPr>
              <w:jc w:val="center"/>
              <w:rPr>
                <w:rFonts w:cs="Arial"/>
                <w:b/>
                <w:bCs/>
                <w:color w:val="FFFFFF"/>
                <w:sz w:val="16"/>
                <w:szCs w:val="16"/>
              </w:rPr>
            </w:pPr>
            <w:r w:rsidRPr="00B804F9">
              <w:rPr>
                <w:rFonts w:cs="Arial"/>
                <w:b/>
                <w:bCs/>
                <w:color w:val="FFFFFF"/>
                <w:sz w:val="16"/>
                <w:szCs w:val="16"/>
              </w:rPr>
              <w:t>Most recent plan review</w:t>
            </w:r>
          </w:p>
        </w:tc>
        <w:tc>
          <w:tcPr>
            <w:tcW w:w="0" w:type="auto"/>
            <w:tcBorders>
              <w:top w:val="single" w:sz="4" w:space="0" w:color="auto"/>
              <w:left w:val="single" w:sz="4" w:space="0" w:color="auto"/>
              <w:bottom w:val="single" w:sz="4" w:space="0" w:color="auto"/>
              <w:right w:val="single" w:sz="4" w:space="0" w:color="auto"/>
            </w:tcBorders>
            <w:shd w:val="clear" w:color="000000" w:fill="6B2976"/>
            <w:vAlign w:val="center"/>
            <w:hideMark/>
          </w:tcPr>
          <w:p w14:paraId="0C6C6F20" w14:textId="77777777" w:rsidR="008C6796" w:rsidRPr="00B804F9" w:rsidRDefault="008C6796" w:rsidP="00312E88">
            <w:pPr>
              <w:jc w:val="center"/>
              <w:rPr>
                <w:rFonts w:cs="Arial"/>
                <w:b/>
                <w:bCs/>
                <w:color w:val="FFFFFF"/>
                <w:sz w:val="16"/>
                <w:szCs w:val="16"/>
              </w:rPr>
            </w:pPr>
            <w:r w:rsidRPr="00B804F9">
              <w:rPr>
                <w:rFonts w:cs="Arial"/>
                <w:b/>
                <w:bCs/>
                <w:color w:val="FFFFFF"/>
                <w:sz w:val="16"/>
                <w:szCs w:val="16"/>
              </w:rPr>
              <w:t>From Review 1 to Most recent plan review</w:t>
            </w:r>
          </w:p>
        </w:tc>
      </w:tr>
      <w:tr w:rsidR="008C6796" w:rsidRPr="00B804F9" w14:paraId="3C84691E" w14:textId="77777777" w:rsidTr="008C6796">
        <w:trPr>
          <w:trHeight w:hRule="exact" w:val="284"/>
        </w:trPr>
        <w:tc>
          <w:tcPr>
            <w:tcW w:w="0" w:type="auto"/>
            <w:tcBorders>
              <w:top w:val="nil"/>
              <w:left w:val="single" w:sz="4" w:space="0" w:color="auto"/>
              <w:bottom w:val="nil"/>
              <w:right w:val="single" w:sz="4" w:space="0" w:color="auto"/>
            </w:tcBorders>
            <w:shd w:val="clear" w:color="auto" w:fill="auto"/>
            <w:hideMark/>
          </w:tcPr>
          <w:p w14:paraId="29F45A44" w14:textId="77777777" w:rsidR="008C6796" w:rsidRPr="00B804F9" w:rsidRDefault="008C6796" w:rsidP="00312E88">
            <w:pPr>
              <w:rPr>
                <w:rFonts w:ascii="Calibri" w:hAnsi="Calibri" w:cs="Calibri"/>
                <w:color w:val="000000"/>
                <w:sz w:val="16"/>
                <w:szCs w:val="16"/>
              </w:rPr>
            </w:pPr>
            <w:r w:rsidRPr="00B804F9">
              <w:rPr>
                <w:rFonts w:ascii="Calibri" w:hAnsi="Calibri" w:cs="Calibri"/>
                <w:color w:val="000000"/>
                <w:sz w:val="16"/>
                <w:szCs w:val="16"/>
              </w:rPr>
              <w:t>Child's development</w:t>
            </w:r>
          </w:p>
        </w:tc>
        <w:tc>
          <w:tcPr>
            <w:tcW w:w="0" w:type="auto"/>
            <w:tcBorders>
              <w:top w:val="nil"/>
              <w:left w:val="nil"/>
              <w:bottom w:val="nil"/>
              <w:right w:val="nil"/>
            </w:tcBorders>
            <w:shd w:val="clear" w:color="auto" w:fill="auto"/>
            <w:noWrap/>
            <w:hideMark/>
          </w:tcPr>
          <w:p w14:paraId="1E37A17F" w14:textId="77777777" w:rsidR="008C6796" w:rsidRPr="00B804F9" w:rsidRDefault="008C6796" w:rsidP="00312E88">
            <w:pPr>
              <w:jc w:val="center"/>
              <w:rPr>
                <w:rFonts w:ascii="Calibri" w:hAnsi="Calibri" w:cs="Calibri"/>
                <w:color w:val="000000"/>
                <w:sz w:val="16"/>
                <w:szCs w:val="16"/>
              </w:rPr>
            </w:pPr>
            <w:r w:rsidRPr="00B804F9">
              <w:rPr>
                <w:rFonts w:ascii="Calibri" w:hAnsi="Calibri" w:cs="Calibri"/>
                <w:color w:val="000000"/>
                <w:sz w:val="16"/>
                <w:szCs w:val="16"/>
              </w:rPr>
              <w:t>92%</w:t>
            </w:r>
          </w:p>
        </w:tc>
        <w:tc>
          <w:tcPr>
            <w:tcW w:w="0" w:type="auto"/>
            <w:tcBorders>
              <w:top w:val="nil"/>
              <w:left w:val="nil"/>
              <w:bottom w:val="nil"/>
              <w:right w:val="nil"/>
            </w:tcBorders>
            <w:shd w:val="clear" w:color="auto" w:fill="auto"/>
            <w:noWrap/>
            <w:hideMark/>
          </w:tcPr>
          <w:p w14:paraId="573B40DA" w14:textId="77777777" w:rsidR="008C6796" w:rsidRPr="00B804F9" w:rsidRDefault="008C6796" w:rsidP="00312E88">
            <w:pPr>
              <w:jc w:val="center"/>
              <w:rPr>
                <w:rFonts w:ascii="Calibri" w:hAnsi="Calibri" w:cs="Calibri"/>
                <w:color w:val="000000"/>
                <w:sz w:val="16"/>
                <w:szCs w:val="16"/>
              </w:rPr>
            </w:pPr>
            <w:r w:rsidRPr="00B804F9">
              <w:rPr>
                <w:rFonts w:ascii="Calibri" w:hAnsi="Calibri" w:cs="Calibri"/>
                <w:color w:val="000000"/>
                <w:sz w:val="16"/>
                <w:szCs w:val="16"/>
              </w:rPr>
              <w:t>95%</w:t>
            </w:r>
          </w:p>
        </w:tc>
        <w:tc>
          <w:tcPr>
            <w:tcW w:w="0" w:type="auto"/>
            <w:tcBorders>
              <w:top w:val="nil"/>
              <w:left w:val="single" w:sz="4" w:space="0" w:color="auto"/>
              <w:bottom w:val="nil"/>
              <w:right w:val="single" w:sz="4" w:space="0" w:color="auto"/>
            </w:tcBorders>
            <w:shd w:val="clear" w:color="auto" w:fill="auto"/>
            <w:noWrap/>
            <w:hideMark/>
          </w:tcPr>
          <w:p w14:paraId="1733E27C" w14:textId="77777777" w:rsidR="008C6796" w:rsidRPr="00B804F9" w:rsidRDefault="008C6796" w:rsidP="00312E88">
            <w:pPr>
              <w:jc w:val="center"/>
              <w:rPr>
                <w:rFonts w:ascii="Wingdings 3" w:hAnsi="Wingdings 3" w:cs="Calibri"/>
                <w:b/>
                <w:bCs/>
                <w:color w:val="00B050"/>
                <w:sz w:val="16"/>
                <w:szCs w:val="16"/>
              </w:rPr>
            </w:pPr>
            <w:r>
              <w:rPr>
                <w:rFonts w:ascii="Wingdings 3" w:hAnsi="Wingdings 3" w:cs="Calibri"/>
                <w:b/>
                <w:bCs/>
                <w:color w:val="00B050"/>
                <w:sz w:val="28"/>
                <w:szCs w:val="28"/>
              </w:rPr>
              <w:t></w:t>
            </w:r>
          </w:p>
        </w:tc>
      </w:tr>
      <w:tr w:rsidR="008C6796" w:rsidRPr="00B804F9" w14:paraId="7C8092D3" w14:textId="77777777" w:rsidTr="008C6796">
        <w:trPr>
          <w:trHeight w:hRule="exact" w:val="284"/>
        </w:trPr>
        <w:tc>
          <w:tcPr>
            <w:tcW w:w="0" w:type="auto"/>
            <w:tcBorders>
              <w:top w:val="nil"/>
              <w:left w:val="single" w:sz="4" w:space="0" w:color="auto"/>
              <w:bottom w:val="single" w:sz="4" w:space="0" w:color="auto"/>
              <w:right w:val="single" w:sz="4" w:space="0" w:color="auto"/>
            </w:tcBorders>
            <w:shd w:val="clear" w:color="000000" w:fill="F7EEF7"/>
            <w:hideMark/>
          </w:tcPr>
          <w:p w14:paraId="3EC174F9" w14:textId="77777777" w:rsidR="008C6796" w:rsidRPr="00B804F9" w:rsidRDefault="008C6796" w:rsidP="00312E88">
            <w:pPr>
              <w:rPr>
                <w:rFonts w:ascii="Calibri" w:hAnsi="Calibri" w:cs="Calibri"/>
                <w:color w:val="000000"/>
                <w:sz w:val="16"/>
                <w:szCs w:val="16"/>
              </w:rPr>
            </w:pPr>
            <w:r w:rsidRPr="00B804F9">
              <w:rPr>
                <w:rFonts w:ascii="Calibri" w:hAnsi="Calibri" w:cs="Calibri"/>
                <w:color w:val="000000"/>
                <w:sz w:val="16"/>
                <w:szCs w:val="16"/>
              </w:rPr>
              <w:t>Child's access to specialist services</w:t>
            </w:r>
          </w:p>
        </w:tc>
        <w:tc>
          <w:tcPr>
            <w:tcW w:w="0" w:type="auto"/>
            <w:tcBorders>
              <w:top w:val="nil"/>
              <w:left w:val="nil"/>
              <w:bottom w:val="single" w:sz="4" w:space="0" w:color="auto"/>
              <w:right w:val="nil"/>
            </w:tcBorders>
            <w:shd w:val="clear" w:color="000000" w:fill="F7EEF7"/>
            <w:noWrap/>
            <w:hideMark/>
          </w:tcPr>
          <w:p w14:paraId="1EB13C77" w14:textId="77777777" w:rsidR="008C6796" w:rsidRPr="00B804F9" w:rsidRDefault="008C6796" w:rsidP="00312E88">
            <w:pPr>
              <w:jc w:val="center"/>
              <w:rPr>
                <w:rFonts w:ascii="Calibri" w:hAnsi="Calibri" w:cs="Calibri"/>
                <w:color w:val="000000"/>
                <w:sz w:val="16"/>
                <w:szCs w:val="16"/>
              </w:rPr>
            </w:pPr>
            <w:r w:rsidRPr="00B804F9">
              <w:rPr>
                <w:rFonts w:ascii="Calibri" w:hAnsi="Calibri" w:cs="Calibri"/>
                <w:color w:val="000000"/>
                <w:sz w:val="16"/>
                <w:szCs w:val="16"/>
              </w:rPr>
              <w:t>91%</w:t>
            </w:r>
          </w:p>
        </w:tc>
        <w:tc>
          <w:tcPr>
            <w:tcW w:w="0" w:type="auto"/>
            <w:tcBorders>
              <w:top w:val="nil"/>
              <w:left w:val="nil"/>
              <w:bottom w:val="single" w:sz="4" w:space="0" w:color="auto"/>
              <w:right w:val="nil"/>
            </w:tcBorders>
            <w:shd w:val="clear" w:color="000000" w:fill="F7EEF7"/>
            <w:noWrap/>
            <w:hideMark/>
          </w:tcPr>
          <w:p w14:paraId="10696A10" w14:textId="77777777" w:rsidR="008C6796" w:rsidRPr="00B804F9" w:rsidRDefault="008C6796" w:rsidP="00312E88">
            <w:pPr>
              <w:jc w:val="center"/>
              <w:rPr>
                <w:rFonts w:ascii="Calibri" w:hAnsi="Calibri" w:cs="Calibri"/>
                <w:color w:val="000000"/>
                <w:sz w:val="16"/>
                <w:szCs w:val="16"/>
              </w:rPr>
            </w:pPr>
            <w:r w:rsidRPr="00B804F9">
              <w:rPr>
                <w:rFonts w:ascii="Calibri" w:hAnsi="Calibri" w:cs="Calibri"/>
                <w:color w:val="000000"/>
                <w:sz w:val="16"/>
                <w:szCs w:val="16"/>
              </w:rPr>
              <w:t>95%</w:t>
            </w:r>
          </w:p>
        </w:tc>
        <w:tc>
          <w:tcPr>
            <w:tcW w:w="0" w:type="auto"/>
            <w:tcBorders>
              <w:top w:val="nil"/>
              <w:left w:val="single" w:sz="4" w:space="0" w:color="auto"/>
              <w:bottom w:val="single" w:sz="4" w:space="0" w:color="auto"/>
              <w:right w:val="single" w:sz="4" w:space="0" w:color="auto"/>
            </w:tcBorders>
            <w:shd w:val="clear" w:color="auto" w:fill="auto"/>
            <w:noWrap/>
            <w:hideMark/>
          </w:tcPr>
          <w:p w14:paraId="3716B092" w14:textId="77777777" w:rsidR="008C6796" w:rsidRPr="00B804F9" w:rsidRDefault="008C6796" w:rsidP="00312E88">
            <w:pPr>
              <w:jc w:val="center"/>
              <w:rPr>
                <w:rFonts w:ascii="Wingdings 3" w:hAnsi="Wingdings 3" w:cs="Calibri"/>
                <w:b/>
                <w:bCs/>
                <w:color w:val="00B050"/>
                <w:sz w:val="16"/>
                <w:szCs w:val="16"/>
              </w:rPr>
            </w:pPr>
            <w:r>
              <w:rPr>
                <w:rFonts w:ascii="Wingdings 3" w:hAnsi="Wingdings 3" w:cs="Calibri"/>
                <w:b/>
                <w:bCs/>
                <w:color w:val="00B050"/>
                <w:sz w:val="28"/>
                <w:szCs w:val="28"/>
              </w:rPr>
              <w:t></w:t>
            </w:r>
          </w:p>
        </w:tc>
      </w:tr>
    </w:tbl>
    <w:p w14:paraId="14AF0518" w14:textId="7F9CEB69" w:rsidR="00A62861" w:rsidRPr="00445023" w:rsidRDefault="00A62861" w:rsidP="00A62861"/>
    <w:p w14:paraId="0E7FE982" w14:textId="74EA5227" w:rsidR="00A62861" w:rsidRPr="00445023" w:rsidRDefault="00A62861" w:rsidP="00A62861">
      <w:r w:rsidRPr="008C6796">
        <w:rPr>
          <w:u w:val="single"/>
        </w:rPr>
        <w:fldChar w:fldCharType="begin"/>
      </w:r>
      <w:r w:rsidRPr="008C6796">
        <w:rPr>
          <w:u w:val="single"/>
        </w:rPr>
        <w:instrText xml:space="preserve"> REF _Ref47444513 \h  \* MERGEFORMAT </w:instrText>
      </w:r>
      <w:r w:rsidRPr="008C6796">
        <w:rPr>
          <w:u w:val="single"/>
        </w:rPr>
      </w:r>
      <w:r w:rsidRPr="008C6796">
        <w:rPr>
          <w:u w:val="single"/>
        </w:rPr>
        <w:fldChar w:fldCharType="separate"/>
      </w:r>
      <w:r w:rsidR="00E50032" w:rsidRPr="00E50032">
        <w:rPr>
          <w:u w:val="single"/>
        </w:rPr>
        <w:t xml:space="preserve">Table </w:t>
      </w:r>
      <w:r w:rsidR="00E50032" w:rsidRPr="00E50032">
        <w:rPr>
          <w:noProof/>
          <w:u w:val="single"/>
        </w:rPr>
        <w:t>53</w:t>
      </w:r>
      <w:r w:rsidRPr="008C6796">
        <w:rPr>
          <w:u w:val="single"/>
        </w:rPr>
        <w:fldChar w:fldCharType="end"/>
      </w:r>
      <w:r w:rsidRPr="00445023">
        <w:t xml:space="preserve"> below shows the proportion of positive responses by domain for children from starting school to 14 years of age. The percentage responding positively was lowest for the proportion of parents and carers that felt the NDIS had improved their child’s relationship with family and friends. The percentage responding positively was highest for the parents and carers that felt that their child had become more independent as a result of the NDIS.</w:t>
      </w:r>
    </w:p>
    <w:p w14:paraId="5C2DC71D" w14:textId="78C8B00C" w:rsidR="00A62861" w:rsidRPr="00445023" w:rsidRDefault="00A62861" w:rsidP="00A62861">
      <w:pPr>
        <w:pStyle w:val="Caption"/>
        <w:keepNext/>
      </w:pPr>
      <w:bookmarkStart w:id="267" w:name="_Ref47444513"/>
      <w:r w:rsidRPr="00445023">
        <w:t xml:space="preserve">Table </w:t>
      </w:r>
      <w:fldSimple w:instr=" SEQ Table \* ARABIC ">
        <w:r w:rsidR="00E50032">
          <w:rPr>
            <w:noProof/>
          </w:rPr>
          <w:t>53</w:t>
        </w:r>
      </w:fldSimple>
      <w:bookmarkEnd w:id="267"/>
      <w:r w:rsidRPr="00445023">
        <w:t xml:space="preserve"> “Has the NDIS helped?” – </w:t>
      </w:r>
      <w:proofErr w:type="gramStart"/>
      <w:r w:rsidRPr="00445023">
        <w:t>for</w:t>
      </w:r>
      <w:proofErr w:type="gramEnd"/>
      <w:r w:rsidRPr="00445023">
        <w:t xml:space="preserve"> children from starting school to 14</w:t>
      </w:r>
    </w:p>
    <w:tbl>
      <w:tblPr>
        <w:tblW w:w="0" w:type="auto"/>
        <w:tblLook w:val="04A0" w:firstRow="1" w:lastRow="0" w:firstColumn="1" w:lastColumn="0" w:noHBand="0" w:noVBand="1"/>
      </w:tblPr>
      <w:tblGrid>
        <w:gridCol w:w="3132"/>
        <w:gridCol w:w="886"/>
        <w:gridCol w:w="1886"/>
        <w:gridCol w:w="3112"/>
      </w:tblGrid>
      <w:tr w:rsidR="00DA38AD" w:rsidRPr="00B804F9" w14:paraId="34B3BDD7" w14:textId="77777777" w:rsidTr="00312E88">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1C717487" w14:textId="77777777" w:rsidR="00DA38AD" w:rsidRPr="00B804F9" w:rsidRDefault="00DA38AD" w:rsidP="00312E88">
            <w:pPr>
              <w:rPr>
                <w:rFonts w:cs="Arial"/>
                <w:b/>
                <w:bCs/>
                <w:color w:val="FFFFFF"/>
                <w:sz w:val="16"/>
                <w:szCs w:val="16"/>
              </w:rPr>
            </w:pPr>
            <w:r w:rsidRPr="00B804F9">
              <w:rPr>
                <w:rFonts w:cs="Arial"/>
                <w:b/>
                <w:bCs/>
                <w:color w:val="FFFFFF"/>
                <w:sz w:val="16"/>
                <w:szCs w:val="16"/>
              </w:rPr>
              <w:t>Proportion of positive responses</w:t>
            </w:r>
          </w:p>
        </w:tc>
        <w:tc>
          <w:tcPr>
            <w:tcW w:w="0" w:type="auto"/>
            <w:tcBorders>
              <w:top w:val="single" w:sz="4" w:space="0" w:color="auto"/>
              <w:left w:val="nil"/>
              <w:bottom w:val="single" w:sz="4" w:space="0" w:color="auto"/>
              <w:right w:val="nil"/>
            </w:tcBorders>
            <w:shd w:val="clear" w:color="000000" w:fill="6B2976"/>
            <w:vAlign w:val="center"/>
            <w:hideMark/>
          </w:tcPr>
          <w:p w14:paraId="4790294C" w14:textId="77777777" w:rsidR="00DA38AD" w:rsidRPr="00B804F9" w:rsidRDefault="00DA38AD" w:rsidP="00312E88">
            <w:pPr>
              <w:jc w:val="center"/>
              <w:rPr>
                <w:rFonts w:cs="Arial"/>
                <w:b/>
                <w:bCs/>
                <w:color w:val="FFFFFF"/>
                <w:sz w:val="16"/>
                <w:szCs w:val="16"/>
              </w:rPr>
            </w:pPr>
            <w:r w:rsidRPr="00B804F9">
              <w:rPr>
                <w:rFonts w:cs="Arial"/>
                <w:b/>
                <w:bCs/>
                <w:color w:val="FFFFFF"/>
                <w:sz w:val="16"/>
                <w:szCs w:val="16"/>
              </w:rPr>
              <w:t>Review 1</w:t>
            </w:r>
          </w:p>
        </w:tc>
        <w:tc>
          <w:tcPr>
            <w:tcW w:w="0" w:type="auto"/>
            <w:tcBorders>
              <w:top w:val="single" w:sz="4" w:space="0" w:color="auto"/>
              <w:left w:val="nil"/>
              <w:bottom w:val="single" w:sz="4" w:space="0" w:color="auto"/>
              <w:right w:val="nil"/>
            </w:tcBorders>
            <w:shd w:val="clear" w:color="000000" w:fill="6B2976"/>
            <w:vAlign w:val="center"/>
            <w:hideMark/>
          </w:tcPr>
          <w:p w14:paraId="008D22AD" w14:textId="77777777" w:rsidR="00DA38AD" w:rsidRPr="00B804F9" w:rsidRDefault="00DA38AD" w:rsidP="00312E88">
            <w:pPr>
              <w:jc w:val="center"/>
              <w:rPr>
                <w:rFonts w:cs="Arial"/>
                <w:b/>
                <w:bCs/>
                <w:color w:val="FFFFFF"/>
                <w:sz w:val="16"/>
                <w:szCs w:val="16"/>
              </w:rPr>
            </w:pPr>
            <w:r w:rsidRPr="00B804F9">
              <w:rPr>
                <w:rFonts w:cs="Arial"/>
                <w:b/>
                <w:bCs/>
                <w:color w:val="FFFFFF"/>
                <w:sz w:val="16"/>
                <w:szCs w:val="16"/>
              </w:rPr>
              <w:t>Most recent plan review</w:t>
            </w:r>
          </w:p>
        </w:tc>
        <w:tc>
          <w:tcPr>
            <w:tcW w:w="0" w:type="auto"/>
            <w:tcBorders>
              <w:top w:val="single" w:sz="4" w:space="0" w:color="auto"/>
              <w:left w:val="single" w:sz="4" w:space="0" w:color="auto"/>
              <w:bottom w:val="single" w:sz="4" w:space="0" w:color="auto"/>
              <w:right w:val="single" w:sz="4" w:space="0" w:color="auto"/>
            </w:tcBorders>
            <w:shd w:val="clear" w:color="000000" w:fill="6B2976"/>
            <w:vAlign w:val="center"/>
            <w:hideMark/>
          </w:tcPr>
          <w:p w14:paraId="41780710" w14:textId="77777777" w:rsidR="00DA38AD" w:rsidRPr="00B804F9" w:rsidRDefault="00DA38AD" w:rsidP="00312E88">
            <w:pPr>
              <w:jc w:val="center"/>
              <w:rPr>
                <w:rFonts w:cs="Arial"/>
                <w:b/>
                <w:bCs/>
                <w:color w:val="FFFFFF"/>
                <w:sz w:val="16"/>
                <w:szCs w:val="16"/>
              </w:rPr>
            </w:pPr>
            <w:r w:rsidRPr="00B804F9">
              <w:rPr>
                <w:rFonts w:cs="Arial"/>
                <w:b/>
                <w:bCs/>
                <w:color w:val="FFFFFF"/>
                <w:sz w:val="16"/>
                <w:szCs w:val="16"/>
              </w:rPr>
              <w:t>From Review 1 to Most recent plan review</w:t>
            </w:r>
          </w:p>
        </w:tc>
      </w:tr>
      <w:tr w:rsidR="00DA38AD" w:rsidRPr="00B804F9" w14:paraId="5D3BA5F4" w14:textId="77777777" w:rsidTr="00DA38AD">
        <w:trPr>
          <w:trHeight w:hRule="exact" w:val="397"/>
        </w:trPr>
        <w:tc>
          <w:tcPr>
            <w:tcW w:w="0" w:type="auto"/>
            <w:tcBorders>
              <w:top w:val="nil"/>
              <w:left w:val="single" w:sz="4" w:space="0" w:color="auto"/>
              <w:bottom w:val="nil"/>
              <w:right w:val="single" w:sz="4" w:space="0" w:color="auto"/>
            </w:tcBorders>
            <w:shd w:val="clear" w:color="auto" w:fill="auto"/>
            <w:hideMark/>
          </w:tcPr>
          <w:p w14:paraId="6E86BBEB" w14:textId="77777777" w:rsidR="00DA38AD" w:rsidRPr="00B804F9" w:rsidRDefault="00DA38AD" w:rsidP="00312E88">
            <w:pPr>
              <w:rPr>
                <w:rFonts w:cs="Arial"/>
                <w:color w:val="000000"/>
                <w:sz w:val="16"/>
                <w:szCs w:val="16"/>
              </w:rPr>
            </w:pPr>
            <w:r w:rsidRPr="00B804F9">
              <w:rPr>
                <w:rFonts w:cs="Arial"/>
                <w:color w:val="000000"/>
                <w:sz w:val="16"/>
                <w:szCs w:val="16"/>
              </w:rPr>
              <w:t>Child's independence</w:t>
            </w:r>
          </w:p>
        </w:tc>
        <w:tc>
          <w:tcPr>
            <w:tcW w:w="0" w:type="auto"/>
            <w:tcBorders>
              <w:top w:val="nil"/>
              <w:left w:val="nil"/>
              <w:bottom w:val="nil"/>
              <w:right w:val="nil"/>
            </w:tcBorders>
            <w:shd w:val="clear" w:color="auto" w:fill="auto"/>
            <w:noWrap/>
            <w:hideMark/>
          </w:tcPr>
          <w:p w14:paraId="41E405E8" w14:textId="77777777" w:rsidR="00DA38AD" w:rsidRPr="00B804F9" w:rsidRDefault="00DA38AD" w:rsidP="00312E88">
            <w:pPr>
              <w:jc w:val="center"/>
              <w:rPr>
                <w:rFonts w:cs="Arial"/>
                <w:color w:val="000000"/>
                <w:sz w:val="16"/>
                <w:szCs w:val="16"/>
              </w:rPr>
            </w:pPr>
            <w:r w:rsidRPr="00B804F9">
              <w:rPr>
                <w:rFonts w:cs="Arial"/>
                <w:color w:val="000000"/>
                <w:sz w:val="16"/>
                <w:szCs w:val="16"/>
              </w:rPr>
              <w:t>60%</w:t>
            </w:r>
          </w:p>
        </w:tc>
        <w:tc>
          <w:tcPr>
            <w:tcW w:w="0" w:type="auto"/>
            <w:tcBorders>
              <w:top w:val="nil"/>
              <w:left w:val="nil"/>
              <w:bottom w:val="nil"/>
              <w:right w:val="nil"/>
            </w:tcBorders>
            <w:shd w:val="clear" w:color="auto" w:fill="auto"/>
            <w:noWrap/>
            <w:hideMark/>
          </w:tcPr>
          <w:p w14:paraId="63C35F89" w14:textId="77777777" w:rsidR="00DA38AD" w:rsidRPr="00B804F9" w:rsidRDefault="00DA38AD" w:rsidP="00312E88">
            <w:pPr>
              <w:jc w:val="center"/>
              <w:rPr>
                <w:rFonts w:cs="Arial"/>
                <w:color w:val="000000"/>
                <w:sz w:val="16"/>
                <w:szCs w:val="16"/>
              </w:rPr>
            </w:pPr>
            <w:r w:rsidRPr="00B804F9">
              <w:rPr>
                <w:rFonts w:cs="Arial"/>
                <w:color w:val="000000"/>
                <w:sz w:val="16"/>
                <w:szCs w:val="16"/>
              </w:rPr>
              <w:t>70%</w:t>
            </w:r>
          </w:p>
        </w:tc>
        <w:tc>
          <w:tcPr>
            <w:tcW w:w="0" w:type="auto"/>
            <w:tcBorders>
              <w:top w:val="nil"/>
              <w:left w:val="single" w:sz="4" w:space="0" w:color="auto"/>
              <w:bottom w:val="nil"/>
              <w:right w:val="single" w:sz="4" w:space="0" w:color="auto"/>
            </w:tcBorders>
            <w:shd w:val="clear" w:color="auto" w:fill="auto"/>
            <w:noWrap/>
            <w:hideMark/>
          </w:tcPr>
          <w:p w14:paraId="5934E4D5" w14:textId="77777777" w:rsidR="00DA38AD" w:rsidRPr="00B804F9" w:rsidRDefault="00DA38AD" w:rsidP="00312E88">
            <w:pPr>
              <w:jc w:val="center"/>
              <w:rPr>
                <w:rFonts w:cs="Arial"/>
                <w:b/>
                <w:bCs/>
                <w:color w:val="00B050"/>
                <w:sz w:val="16"/>
                <w:szCs w:val="16"/>
              </w:rPr>
            </w:pPr>
            <w:r>
              <w:rPr>
                <w:rFonts w:ascii="Wingdings 3" w:hAnsi="Wingdings 3" w:cs="Calibri"/>
                <w:b/>
                <w:bCs/>
                <w:color w:val="00B050"/>
                <w:sz w:val="28"/>
                <w:szCs w:val="28"/>
              </w:rPr>
              <w:t></w:t>
            </w:r>
          </w:p>
        </w:tc>
      </w:tr>
      <w:tr w:rsidR="00DA38AD" w:rsidRPr="00B804F9" w14:paraId="62065BF1" w14:textId="77777777" w:rsidTr="00DA38AD">
        <w:trPr>
          <w:trHeight w:hRule="exact" w:val="397"/>
        </w:trPr>
        <w:tc>
          <w:tcPr>
            <w:tcW w:w="0" w:type="auto"/>
            <w:tcBorders>
              <w:top w:val="nil"/>
              <w:left w:val="single" w:sz="4" w:space="0" w:color="auto"/>
              <w:bottom w:val="single" w:sz="4" w:space="0" w:color="auto"/>
              <w:right w:val="single" w:sz="4" w:space="0" w:color="auto"/>
            </w:tcBorders>
            <w:shd w:val="clear" w:color="000000" w:fill="F7EEF7"/>
            <w:hideMark/>
          </w:tcPr>
          <w:p w14:paraId="545A7507" w14:textId="77777777" w:rsidR="00DA38AD" w:rsidRPr="00B804F9" w:rsidRDefault="00DA38AD" w:rsidP="00312E88">
            <w:pPr>
              <w:rPr>
                <w:rFonts w:cs="Arial"/>
                <w:color w:val="000000"/>
                <w:sz w:val="16"/>
                <w:szCs w:val="16"/>
              </w:rPr>
            </w:pPr>
            <w:r w:rsidRPr="00B804F9">
              <w:rPr>
                <w:rFonts w:cs="Arial"/>
                <w:color w:val="000000"/>
                <w:sz w:val="16"/>
                <w:szCs w:val="16"/>
              </w:rPr>
              <w:t>Child's relationship with family and friends</w:t>
            </w:r>
          </w:p>
        </w:tc>
        <w:tc>
          <w:tcPr>
            <w:tcW w:w="0" w:type="auto"/>
            <w:tcBorders>
              <w:top w:val="nil"/>
              <w:left w:val="nil"/>
              <w:bottom w:val="single" w:sz="4" w:space="0" w:color="auto"/>
              <w:right w:val="nil"/>
            </w:tcBorders>
            <w:shd w:val="clear" w:color="000000" w:fill="F7EEF7"/>
            <w:noWrap/>
            <w:hideMark/>
          </w:tcPr>
          <w:p w14:paraId="2D488342" w14:textId="77777777" w:rsidR="00DA38AD" w:rsidRPr="00B804F9" w:rsidRDefault="00DA38AD" w:rsidP="00312E88">
            <w:pPr>
              <w:jc w:val="center"/>
              <w:rPr>
                <w:rFonts w:cs="Arial"/>
                <w:color w:val="000000"/>
                <w:sz w:val="16"/>
                <w:szCs w:val="16"/>
              </w:rPr>
            </w:pPr>
            <w:r w:rsidRPr="00B804F9">
              <w:rPr>
                <w:rFonts w:cs="Arial"/>
                <w:color w:val="000000"/>
                <w:sz w:val="16"/>
                <w:szCs w:val="16"/>
              </w:rPr>
              <w:t>48%</w:t>
            </w:r>
          </w:p>
        </w:tc>
        <w:tc>
          <w:tcPr>
            <w:tcW w:w="0" w:type="auto"/>
            <w:tcBorders>
              <w:top w:val="nil"/>
              <w:left w:val="nil"/>
              <w:bottom w:val="single" w:sz="4" w:space="0" w:color="auto"/>
              <w:right w:val="nil"/>
            </w:tcBorders>
            <w:shd w:val="clear" w:color="000000" w:fill="F7EEF7"/>
            <w:noWrap/>
            <w:hideMark/>
          </w:tcPr>
          <w:p w14:paraId="51E03C2A" w14:textId="77777777" w:rsidR="00DA38AD" w:rsidRPr="00B804F9" w:rsidRDefault="00DA38AD" w:rsidP="00312E88">
            <w:pPr>
              <w:jc w:val="center"/>
              <w:rPr>
                <w:rFonts w:cs="Arial"/>
                <w:color w:val="000000"/>
                <w:sz w:val="16"/>
                <w:szCs w:val="16"/>
              </w:rPr>
            </w:pPr>
            <w:r w:rsidRPr="00B804F9">
              <w:rPr>
                <w:rFonts w:cs="Arial"/>
                <w:color w:val="000000"/>
                <w:sz w:val="16"/>
                <w:szCs w:val="16"/>
              </w:rPr>
              <w:t>57%</w:t>
            </w:r>
          </w:p>
        </w:tc>
        <w:tc>
          <w:tcPr>
            <w:tcW w:w="0" w:type="auto"/>
            <w:tcBorders>
              <w:top w:val="nil"/>
              <w:left w:val="single" w:sz="4" w:space="0" w:color="auto"/>
              <w:bottom w:val="single" w:sz="4" w:space="0" w:color="auto"/>
              <w:right w:val="single" w:sz="4" w:space="0" w:color="auto"/>
            </w:tcBorders>
            <w:shd w:val="clear" w:color="auto" w:fill="auto"/>
            <w:noWrap/>
            <w:hideMark/>
          </w:tcPr>
          <w:p w14:paraId="2270F226" w14:textId="77777777" w:rsidR="00DA38AD" w:rsidRPr="00B804F9" w:rsidRDefault="00DA38AD" w:rsidP="00312E88">
            <w:pPr>
              <w:jc w:val="center"/>
              <w:rPr>
                <w:rFonts w:cs="Arial"/>
                <w:b/>
                <w:bCs/>
                <w:color w:val="00B050"/>
                <w:sz w:val="16"/>
                <w:szCs w:val="16"/>
              </w:rPr>
            </w:pPr>
            <w:r>
              <w:rPr>
                <w:rFonts w:ascii="Wingdings 3" w:hAnsi="Wingdings 3" w:cs="Calibri"/>
                <w:b/>
                <w:bCs/>
                <w:color w:val="00B050"/>
                <w:sz w:val="28"/>
                <w:szCs w:val="28"/>
              </w:rPr>
              <w:t></w:t>
            </w:r>
          </w:p>
        </w:tc>
      </w:tr>
    </w:tbl>
    <w:p w14:paraId="633C87CA" w14:textId="771FDD15" w:rsidR="00A62861" w:rsidRPr="00445023" w:rsidRDefault="00A62861" w:rsidP="00A62861"/>
    <w:p w14:paraId="24322B93" w14:textId="04376DEA" w:rsidR="00A62861" w:rsidRPr="00445023" w:rsidRDefault="00A62861" w:rsidP="00A62861">
      <w:r w:rsidRPr="00DA38AD">
        <w:rPr>
          <w:u w:val="single"/>
        </w:rPr>
        <w:fldChar w:fldCharType="begin"/>
      </w:r>
      <w:r w:rsidRPr="00DA38AD">
        <w:rPr>
          <w:u w:val="single"/>
        </w:rPr>
        <w:instrText xml:space="preserve"> REF _Ref47448240 \h  \* MERGEFORMAT </w:instrText>
      </w:r>
      <w:r w:rsidRPr="00DA38AD">
        <w:rPr>
          <w:u w:val="single"/>
        </w:rPr>
      </w:r>
      <w:r w:rsidRPr="00DA38AD">
        <w:rPr>
          <w:u w:val="single"/>
        </w:rPr>
        <w:fldChar w:fldCharType="separate"/>
      </w:r>
      <w:r w:rsidR="00E50032" w:rsidRPr="00E50032">
        <w:rPr>
          <w:u w:val="single"/>
        </w:rPr>
        <w:t xml:space="preserve">Table </w:t>
      </w:r>
      <w:r w:rsidR="00E50032" w:rsidRPr="00E50032">
        <w:rPr>
          <w:noProof/>
          <w:u w:val="single"/>
        </w:rPr>
        <w:t>54</w:t>
      </w:r>
      <w:r w:rsidRPr="00DA38AD">
        <w:rPr>
          <w:u w:val="single"/>
        </w:rPr>
        <w:fldChar w:fldCharType="end"/>
      </w:r>
      <w:r w:rsidRPr="00445023">
        <w:t xml:space="preserve"> below summarises the percentage of positive responses on whether the Scheme has helped, by domain, for young adults aged 15 to 24. Opinions on whether the Scheme has helped vary considerably by domain for this young adult group. The percentage of positive responses is highest for participants that said that the NDIS had helped them with daily living activities. A reduction in positive responses was recorded for participants that felt that their involvement with the NDIS improved their health and wellbeing at their most recent plan review, compared to their first review. </w:t>
      </w:r>
    </w:p>
    <w:p w14:paraId="33BE5C0D" w14:textId="1E1EF778" w:rsidR="00A62861" w:rsidRPr="00445023" w:rsidRDefault="00A62861" w:rsidP="00A62861">
      <w:pPr>
        <w:pStyle w:val="Caption"/>
        <w:keepNext/>
      </w:pPr>
      <w:bookmarkStart w:id="268" w:name="_Ref47448240"/>
      <w:r w:rsidRPr="00445023">
        <w:lastRenderedPageBreak/>
        <w:t xml:space="preserve">Table </w:t>
      </w:r>
      <w:fldSimple w:instr=" SEQ Table \* ARABIC ">
        <w:r w:rsidR="00E50032">
          <w:rPr>
            <w:noProof/>
          </w:rPr>
          <w:t>54</w:t>
        </w:r>
      </w:fldSimple>
      <w:bookmarkEnd w:id="268"/>
      <w:r w:rsidRPr="00445023">
        <w:t xml:space="preserve"> “Has the NDIS helped?” – </w:t>
      </w:r>
      <w:proofErr w:type="gramStart"/>
      <w:r w:rsidRPr="00445023">
        <w:t>for</w:t>
      </w:r>
      <w:proofErr w:type="gramEnd"/>
      <w:r w:rsidRPr="00445023">
        <w:t xml:space="preserve"> young adults aged 15 to 24</w:t>
      </w:r>
    </w:p>
    <w:tbl>
      <w:tblPr>
        <w:tblW w:w="0" w:type="auto"/>
        <w:tblLook w:val="04A0" w:firstRow="1" w:lastRow="0" w:firstColumn="1" w:lastColumn="0" w:noHBand="0" w:noVBand="1"/>
      </w:tblPr>
      <w:tblGrid>
        <w:gridCol w:w="2724"/>
        <w:gridCol w:w="900"/>
        <w:gridCol w:w="2017"/>
        <w:gridCol w:w="3375"/>
      </w:tblGrid>
      <w:tr w:rsidR="00B056AB" w:rsidRPr="00B804F9" w14:paraId="7C58DDBB" w14:textId="77777777" w:rsidTr="00312E88">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666190D6" w14:textId="77777777" w:rsidR="00B056AB" w:rsidRPr="00B804F9" w:rsidRDefault="00B056AB" w:rsidP="00312E88">
            <w:pPr>
              <w:rPr>
                <w:rFonts w:cs="Arial"/>
                <w:b/>
                <w:bCs/>
                <w:color w:val="FFFFFF"/>
                <w:sz w:val="16"/>
                <w:szCs w:val="16"/>
              </w:rPr>
            </w:pPr>
            <w:r w:rsidRPr="00B804F9">
              <w:rPr>
                <w:rFonts w:cs="Arial"/>
                <w:b/>
                <w:bCs/>
                <w:color w:val="FFFFFF"/>
                <w:sz w:val="16"/>
                <w:szCs w:val="16"/>
              </w:rPr>
              <w:t>Proportion of positive responses</w:t>
            </w:r>
          </w:p>
        </w:tc>
        <w:tc>
          <w:tcPr>
            <w:tcW w:w="0" w:type="auto"/>
            <w:tcBorders>
              <w:top w:val="single" w:sz="4" w:space="0" w:color="auto"/>
              <w:left w:val="nil"/>
              <w:bottom w:val="single" w:sz="4" w:space="0" w:color="auto"/>
              <w:right w:val="nil"/>
            </w:tcBorders>
            <w:shd w:val="clear" w:color="000000" w:fill="6B2976"/>
            <w:vAlign w:val="center"/>
            <w:hideMark/>
          </w:tcPr>
          <w:p w14:paraId="47FE4193" w14:textId="77777777" w:rsidR="00B056AB" w:rsidRPr="00B804F9" w:rsidRDefault="00B056AB" w:rsidP="00312E88">
            <w:pPr>
              <w:jc w:val="center"/>
              <w:rPr>
                <w:rFonts w:cs="Arial"/>
                <w:b/>
                <w:bCs/>
                <w:color w:val="FFFFFF"/>
                <w:sz w:val="16"/>
                <w:szCs w:val="16"/>
              </w:rPr>
            </w:pPr>
            <w:r w:rsidRPr="00B804F9">
              <w:rPr>
                <w:rFonts w:cs="Arial"/>
                <w:b/>
                <w:bCs/>
                <w:color w:val="FFFFFF"/>
                <w:sz w:val="16"/>
                <w:szCs w:val="16"/>
              </w:rPr>
              <w:t>Review 1</w:t>
            </w:r>
          </w:p>
        </w:tc>
        <w:tc>
          <w:tcPr>
            <w:tcW w:w="0" w:type="auto"/>
            <w:tcBorders>
              <w:top w:val="single" w:sz="4" w:space="0" w:color="auto"/>
              <w:left w:val="nil"/>
              <w:bottom w:val="single" w:sz="4" w:space="0" w:color="auto"/>
              <w:right w:val="nil"/>
            </w:tcBorders>
            <w:shd w:val="clear" w:color="000000" w:fill="6B2976"/>
            <w:vAlign w:val="center"/>
            <w:hideMark/>
          </w:tcPr>
          <w:p w14:paraId="00268A75" w14:textId="77777777" w:rsidR="00B056AB" w:rsidRPr="00B804F9" w:rsidRDefault="00B056AB" w:rsidP="00312E88">
            <w:pPr>
              <w:jc w:val="center"/>
              <w:rPr>
                <w:rFonts w:cs="Arial"/>
                <w:b/>
                <w:bCs/>
                <w:color w:val="FFFFFF"/>
                <w:sz w:val="16"/>
                <w:szCs w:val="16"/>
              </w:rPr>
            </w:pPr>
            <w:r w:rsidRPr="00B804F9">
              <w:rPr>
                <w:rFonts w:cs="Arial"/>
                <w:b/>
                <w:bCs/>
                <w:color w:val="FFFFFF"/>
                <w:sz w:val="16"/>
                <w:szCs w:val="16"/>
              </w:rPr>
              <w:t>Most recent plan review</w:t>
            </w:r>
          </w:p>
        </w:tc>
        <w:tc>
          <w:tcPr>
            <w:tcW w:w="0" w:type="auto"/>
            <w:tcBorders>
              <w:top w:val="single" w:sz="4" w:space="0" w:color="auto"/>
              <w:left w:val="single" w:sz="4" w:space="0" w:color="auto"/>
              <w:bottom w:val="single" w:sz="4" w:space="0" w:color="auto"/>
              <w:right w:val="single" w:sz="4" w:space="0" w:color="auto"/>
            </w:tcBorders>
            <w:shd w:val="clear" w:color="000000" w:fill="6B2976"/>
            <w:vAlign w:val="center"/>
            <w:hideMark/>
          </w:tcPr>
          <w:p w14:paraId="619A6D1D" w14:textId="77777777" w:rsidR="00B056AB" w:rsidRPr="00B804F9" w:rsidRDefault="00B056AB" w:rsidP="00312E88">
            <w:pPr>
              <w:jc w:val="center"/>
              <w:rPr>
                <w:rFonts w:cs="Arial"/>
                <w:b/>
                <w:bCs/>
                <w:color w:val="FFFFFF"/>
                <w:sz w:val="16"/>
                <w:szCs w:val="16"/>
              </w:rPr>
            </w:pPr>
            <w:r w:rsidRPr="00B804F9">
              <w:rPr>
                <w:rFonts w:cs="Arial"/>
                <w:b/>
                <w:bCs/>
                <w:color w:val="FFFFFF"/>
                <w:sz w:val="16"/>
                <w:szCs w:val="16"/>
              </w:rPr>
              <w:t>From Review 1 to Most recent plan review</w:t>
            </w:r>
          </w:p>
        </w:tc>
      </w:tr>
      <w:tr w:rsidR="00B056AB" w:rsidRPr="00B804F9" w14:paraId="40182012" w14:textId="77777777" w:rsidTr="00B056AB">
        <w:trPr>
          <w:trHeight w:hRule="exact" w:val="284"/>
        </w:trPr>
        <w:tc>
          <w:tcPr>
            <w:tcW w:w="0" w:type="auto"/>
            <w:tcBorders>
              <w:top w:val="nil"/>
              <w:left w:val="single" w:sz="4" w:space="0" w:color="auto"/>
              <w:bottom w:val="nil"/>
              <w:right w:val="single" w:sz="4" w:space="0" w:color="auto"/>
            </w:tcBorders>
            <w:shd w:val="clear" w:color="auto" w:fill="auto"/>
            <w:hideMark/>
          </w:tcPr>
          <w:p w14:paraId="783F423F" w14:textId="77777777" w:rsidR="00B056AB" w:rsidRPr="00B804F9" w:rsidRDefault="00B056AB" w:rsidP="00312E88">
            <w:pPr>
              <w:rPr>
                <w:rFonts w:cs="Arial"/>
                <w:color w:val="000000"/>
                <w:sz w:val="16"/>
                <w:szCs w:val="16"/>
              </w:rPr>
            </w:pPr>
            <w:r w:rsidRPr="00B804F9">
              <w:rPr>
                <w:rFonts w:cs="Arial"/>
                <w:color w:val="000000"/>
                <w:sz w:val="16"/>
                <w:szCs w:val="16"/>
              </w:rPr>
              <w:t>Health and wellbeing</w:t>
            </w:r>
          </w:p>
        </w:tc>
        <w:tc>
          <w:tcPr>
            <w:tcW w:w="0" w:type="auto"/>
            <w:tcBorders>
              <w:top w:val="nil"/>
              <w:left w:val="nil"/>
              <w:bottom w:val="nil"/>
              <w:right w:val="nil"/>
            </w:tcBorders>
            <w:shd w:val="clear" w:color="auto" w:fill="auto"/>
            <w:noWrap/>
            <w:hideMark/>
          </w:tcPr>
          <w:p w14:paraId="2DDD59B5" w14:textId="77777777" w:rsidR="00B056AB" w:rsidRPr="00B804F9" w:rsidRDefault="00B056AB" w:rsidP="00312E88">
            <w:pPr>
              <w:jc w:val="center"/>
              <w:rPr>
                <w:rFonts w:cs="Arial"/>
                <w:color w:val="000000"/>
                <w:sz w:val="16"/>
                <w:szCs w:val="16"/>
              </w:rPr>
            </w:pPr>
            <w:r w:rsidRPr="00B804F9">
              <w:rPr>
                <w:rFonts w:cs="Arial"/>
                <w:color w:val="000000"/>
                <w:sz w:val="16"/>
                <w:szCs w:val="16"/>
              </w:rPr>
              <w:t>64%</w:t>
            </w:r>
          </w:p>
        </w:tc>
        <w:tc>
          <w:tcPr>
            <w:tcW w:w="0" w:type="auto"/>
            <w:tcBorders>
              <w:top w:val="nil"/>
              <w:left w:val="nil"/>
              <w:bottom w:val="nil"/>
              <w:right w:val="nil"/>
            </w:tcBorders>
            <w:shd w:val="clear" w:color="auto" w:fill="auto"/>
            <w:noWrap/>
            <w:hideMark/>
          </w:tcPr>
          <w:p w14:paraId="1FC7411C" w14:textId="77777777" w:rsidR="00B056AB" w:rsidRPr="00B804F9" w:rsidRDefault="00B056AB" w:rsidP="00312E88">
            <w:pPr>
              <w:jc w:val="center"/>
              <w:rPr>
                <w:rFonts w:cs="Arial"/>
                <w:color w:val="000000"/>
                <w:sz w:val="16"/>
                <w:szCs w:val="16"/>
              </w:rPr>
            </w:pPr>
            <w:r w:rsidRPr="00B804F9">
              <w:rPr>
                <w:rFonts w:cs="Arial"/>
                <w:color w:val="000000"/>
                <w:sz w:val="16"/>
                <w:szCs w:val="16"/>
              </w:rPr>
              <w:t>48%</w:t>
            </w:r>
          </w:p>
        </w:tc>
        <w:tc>
          <w:tcPr>
            <w:tcW w:w="0" w:type="auto"/>
            <w:tcBorders>
              <w:top w:val="nil"/>
              <w:left w:val="single" w:sz="4" w:space="0" w:color="auto"/>
              <w:bottom w:val="nil"/>
              <w:right w:val="single" w:sz="4" w:space="0" w:color="auto"/>
            </w:tcBorders>
            <w:shd w:val="clear" w:color="auto" w:fill="auto"/>
            <w:noWrap/>
            <w:hideMark/>
          </w:tcPr>
          <w:p w14:paraId="3A19862C" w14:textId="77777777" w:rsidR="00B056AB" w:rsidRDefault="00B056AB" w:rsidP="00312E88">
            <w:pPr>
              <w:jc w:val="center"/>
              <w:rPr>
                <w:rFonts w:ascii="Wingdings 3" w:hAnsi="Wingdings 3" w:cs="Calibri"/>
                <w:b/>
                <w:bCs/>
                <w:color w:val="FF0000"/>
                <w:sz w:val="28"/>
                <w:szCs w:val="28"/>
              </w:rPr>
            </w:pPr>
            <w:r>
              <w:rPr>
                <w:rFonts w:ascii="Wingdings 3" w:hAnsi="Wingdings 3" w:cs="Calibri"/>
                <w:b/>
                <w:bCs/>
                <w:color w:val="FF0000"/>
                <w:sz w:val="28"/>
                <w:szCs w:val="28"/>
              </w:rPr>
              <w:t></w:t>
            </w:r>
          </w:p>
          <w:p w14:paraId="003D05E7" w14:textId="77777777" w:rsidR="00B056AB" w:rsidRPr="00B804F9" w:rsidRDefault="00B056AB" w:rsidP="00312E88">
            <w:pPr>
              <w:jc w:val="center"/>
              <w:rPr>
                <w:rFonts w:cs="Arial"/>
                <w:b/>
                <w:bCs/>
                <w:color w:val="FF0000"/>
                <w:sz w:val="16"/>
                <w:szCs w:val="16"/>
              </w:rPr>
            </w:pPr>
          </w:p>
        </w:tc>
      </w:tr>
      <w:tr w:rsidR="00B056AB" w:rsidRPr="00B804F9" w14:paraId="0402D920" w14:textId="77777777" w:rsidTr="00B056AB">
        <w:trPr>
          <w:trHeight w:hRule="exact" w:val="284"/>
        </w:trPr>
        <w:tc>
          <w:tcPr>
            <w:tcW w:w="0" w:type="auto"/>
            <w:tcBorders>
              <w:top w:val="nil"/>
              <w:left w:val="single" w:sz="4" w:space="0" w:color="auto"/>
              <w:bottom w:val="single" w:sz="4" w:space="0" w:color="auto"/>
              <w:right w:val="single" w:sz="4" w:space="0" w:color="auto"/>
            </w:tcBorders>
            <w:shd w:val="clear" w:color="000000" w:fill="F7EEF7"/>
            <w:hideMark/>
          </w:tcPr>
          <w:p w14:paraId="7893325F" w14:textId="77777777" w:rsidR="00B056AB" w:rsidRPr="00B804F9" w:rsidRDefault="00B056AB" w:rsidP="00312E88">
            <w:pPr>
              <w:rPr>
                <w:rFonts w:cs="Arial"/>
                <w:color w:val="000000"/>
                <w:sz w:val="16"/>
                <w:szCs w:val="16"/>
              </w:rPr>
            </w:pPr>
            <w:r w:rsidRPr="00B804F9">
              <w:rPr>
                <w:rFonts w:cs="Arial"/>
                <w:color w:val="000000"/>
                <w:sz w:val="16"/>
                <w:szCs w:val="16"/>
              </w:rPr>
              <w:t>Daily living activities</w:t>
            </w:r>
          </w:p>
        </w:tc>
        <w:tc>
          <w:tcPr>
            <w:tcW w:w="0" w:type="auto"/>
            <w:tcBorders>
              <w:top w:val="nil"/>
              <w:left w:val="nil"/>
              <w:bottom w:val="single" w:sz="4" w:space="0" w:color="auto"/>
              <w:right w:val="nil"/>
            </w:tcBorders>
            <w:shd w:val="clear" w:color="000000" w:fill="F7EEF7"/>
            <w:noWrap/>
            <w:hideMark/>
          </w:tcPr>
          <w:p w14:paraId="42005AF3" w14:textId="77777777" w:rsidR="00B056AB" w:rsidRPr="00B804F9" w:rsidRDefault="00B056AB" w:rsidP="00312E88">
            <w:pPr>
              <w:jc w:val="center"/>
              <w:rPr>
                <w:rFonts w:cs="Arial"/>
                <w:color w:val="000000"/>
                <w:sz w:val="16"/>
                <w:szCs w:val="16"/>
              </w:rPr>
            </w:pPr>
            <w:r w:rsidRPr="00B804F9">
              <w:rPr>
                <w:rFonts w:cs="Arial"/>
                <w:color w:val="000000"/>
                <w:sz w:val="16"/>
                <w:szCs w:val="16"/>
              </w:rPr>
              <w:t>61%</w:t>
            </w:r>
          </w:p>
        </w:tc>
        <w:tc>
          <w:tcPr>
            <w:tcW w:w="0" w:type="auto"/>
            <w:tcBorders>
              <w:top w:val="nil"/>
              <w:left w:val="nil"/>
              <w:bottom w:val="single" w:sz="4" w:space="0" w:color="auto"/>
              <w:right w:val="nil"/>
            </w:tcBorders>
            <w:shd w:val="clear" w:color="000000" w:fill="F7EEF7"/>
            <w:noWrap/>
            <w:hideMark/>
          </w:tcPr>
          <w:p w14:paraId="22AE009C" w14:textId="77777777" w:rsidR="00B056AB" w:rsidRPr="00B804F9" w:rsidRDefault="00B056AB" w:rsidP="00312E88">
            <w:pPr>
              <w:jc w:val="center"/>
              <w:rPr>
                <w:rFonts w:cs="Arial"/>
                <w:color w:val="000000"/>
                <w:sz w:val="16"/>
                <w:szCs w:val="16"/>
              </w:rPr>
            </w:pPr>
            <w:r w:rsidRPr="00B804F9">
              <w:rPr>
                <w:rFonts w:cs="Arial"/>
                <w:color w:val="000000"/>
                <w:sz w:val="16"/>
                <w:szCs w:val="16"/>
              </w:rPr>
              <w:t>69%</w:t>
            </w:r>
          </w:p>
        </w:tc>
        <w:tc>
          <w:tcPr>
            <w:tcW w:w="0" w:type="auto"/>
            <w:tcBorders>
              <w:top w:val="nil"/>
              <w:left w:val="single" w:sz="4" w:space="0" w:color="auto"/>
              <w:bottom w:val="single" w:sz="4" w:space="0" w:color="auto"/>
              <w:right w:val="single" w:sz="4" w:space="0" w:color="auto"/>
            </w:tcBorders>
            <w:shd w:val="clear" w:color="auto" w:fill="auto"/>
            <w:noWrap/>
            <w:hideMark/>
          </w:tcPr>
          <w:p w14:paraId="085A1C78" w14:textId="77777777" w:rsidR="00B056AB" w:rsidRPr="004D6C1C" w:rsidRDefault="00B056AB" w:rsidP="00312E88">
            <w:pPr>
              <w:jc w:val="center"/>
              <w:rPr>
                <w:rFonts w:ascii="Wingdings 3" w:hAnsi="Wingdings 3" w:cs="Calibri"/>
                <w:b/>
                <w:bCs/>
                <w:color w:val="00B050"/>
                <w:sz w:val="28"/>
                <w:szCs w:val="28"/>
              </w:rPr>
            </w:pPr>
            <w:r>
              <w:rPr>
                <w:rFonts w:ascii="Wingdings 3" w:hAnsi="Wingdings 3" w:cs="Calibri"/>
                <w:b/>
                <w:bCs/>
                <w:color w:val="00B050"/>
                <w:sz w:val="28"/>
                <w:szCs w:val="28"/>
              </w:rPr>
              <w:t></w:t>
            </w:r>
          </w:p>
        </w:tc>
      </w:tr>
    </w:tbl>
    <w:p w14:paraId="0DA3D945" w14:textId="77777777" w:rsidR="00B056AB" w:rsidRDefault="00B056AB" w:rsidP="00A62861"/>
    <w:p w14:paraId="707D3A5C" w14:textId="60846533" w:rsidR="00A62861" w:rsidRPr="00445023" w:rsidRDefault="00A62861" w:rsidP="00A62861">
      <w:r w:rsidRPr="00B056AB">
        <w:rPr>
          <w:u w:val="single"/>
        </w:rPr>
        <w:fldChar w:fldCharType="begin"/>
      </w:r>
      <w:r w:rsidRPr="00B056AB">
        <w:rPr>
          <w:u w:val="single"/>
        </w:rPr>
        <w:instrText xml:space="preserve"> REF _Ref47448292 \h  \* MERGEFORMAT </w:instrText>
      </w:r>
      <w:r w:rsidRPr="00B056AB">
        <w:rPr>
          <w:u w:val="single"/>
        </w:rPr>
      </w:r>
      <w:r w:rsidRPr="00B056AB">
        <w:rPr>
          <w:u w:val="single"/>
        </w:rPr>
        <w:fldChar w:fldCharType="separate"/>
      </w:r>
      <w:r w:rsidR="00E50032" w:rsidRPr="00E50032">
        <w:rPr>
          <w:u w:val="single"/>
        </w:rPr>
        <w:t xml:space="preserve">Table </w:t>
      </w:r>
      <w:r w:rsidR="00E50032" w:rsidRPr="00E50032">
        <w:rPr>
          <w:noProof/>
          <w:u w:val="single"/>
        </w:rPr>
        <w:t>55</w:t>
      </w:r>
      <w:r w:rsidRPr="00B056AB">
        <w:rPr>
          <w:u w:val="single"/>
        </w:rPr>
        <w:fldChar w:fldCharType="end"/>
      </w:r>
      <w:r w:rsidRPr="00445023">
        <w:t xml:space="preserve"> below shows the proportion of positive responses for adults aged 25 and older.</w:t>
      </w:r>
      <w:r>
        <w:t xml:space="preserve"> </w:t>
      </w:r>
      <w:r w:rsidRPr="00BB7623">
        <w:t xml:space="preserve">For adult participants aged 25 and older, opinions on whether the Scheme has helped them are highest for </w:t>
      </w:r>
      <w:r>
        <w:t xml:space="preserve">participants that said the NDIS had helped them with </w:t>
      </w:r>
      <w:r w:rsidRPr="00BB7623">
        <w:t>daily living</w:t>
      </w:r>
      <w:r>
        <w:t xml:space="preserve"> activities</w:t>
      </w:r>
      <w:r w:rsidRPr="00BB7623">
        <w:t xml:space="preserve">, followed by </w:t>
      </w:r>
      <w:r>
        <w:t>participants that felt that their involvement with the NDIS improved their health and wellbeing</w:t>
      </w:r>
      <w:r w:rsidRPr="00BB7623">
        <w:t>.</w:t>
      </w:r>
    </w:p>
    <w:p w14:paraId="0F34DAE1" w14:textId="7C37AA22" w:rsidR="00A62861" w:rsidRPr="00445023" w:rsidRDefault="00A62861" w:rsidP="00A62861">
      <w:pPr>
        <w:pStyle w:val="Caption"/>
        <w:keepNext/>
      </w:pPr>
      <w:bookmarkStart w:id="269" w:name="_Ref47448292"/>
      <w:r w:rsidRPr="00445023">
        <w:t xml:space="preserve">Table </w:t>
      </w:r>
      <w:fldSimple w:instr=" SEQ Table \* ARABIC ">
        <w:r w:rsidR="00E50032">
          <w:rPr>
            <w:noProof/>
          </w:rPr>
          <w:t>55</w:t>
        </w:r>
      </w:fldSimple>
      <w:bookmarkEnd w:id="269"/>
      <w:r w:rsidRPr="00445023">
        <w:t xml:space="preserve"> “Has the NDIS helped</w:t>
      </w:r>
      <w:r w:rsidR="0071159D">
        <w:t xml:space="preserve"> with health and wellbeing</w:t>
      </w:r>
      <w:r w:rsidRPr="00445023">
        <w:t xml:space="preserve">?” </w:t>
      </w:r>
      <w:r w:rsidR="0071159D">
        <w:t xml:space="preserve">and “Has the NDIS helped with daily living activities?” </w:t>
      </w:r>
      <w:r w:rsidRPr="00445023">
        <w:t xml:space="preserve">– </w:t>
      </w:r>
      <w:proofErr w:type="gramStart"/>
      <w:r w:rsidRPr="00445023">
        <w:t>adults</w:t>
      </w:r>
      <w:proofErr w:type="gramEnd"/>
      <w:r w:rsidRPr="00445023">
        <w:t xml:space="preserve"> aged 25 and older</w:t>
      </w:r>
    </w:p>
    <w:tbl>
      <w:tblPr>
        <w:tblW w:w="0" w:type="auto"/>
        <w:tblLook w:val="04A0" w:firstRow="1" w:lastRow="0" w:firstColumn="1" w:lastColumn="0" w:noHBand="0" w:noVBand="1"/>
      </w:tblPr>
      <w:tblGrid>
        <w:gridCol w:w="2724"/>
        <w:gridCol w:w="900"/>
        <w:gridCol w:w="2017"/>
        <w:gridCol w:w="3375"/>
      </w:tblGrid>
      <w:tr w:rsidR="00F62EF1" w:rsidRPr="00B804F9" w14:paraId="78CF1F94" w14:textId="77777777" w:rsidTr="00312E88">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44B7E461" w14:textId="77777777" w:rsidR="00F62EF1" w:rsidRPr="00B804F9" w:rsidRDefault="00F62EF1" w:rsidP="00312E88">
            <w:pPr>
              <w:rPr>
                <w:rFonts w:cs="Arial"/>
                <w:b/>
                <w:bCs/>
                <w:color w:val="FFFFFF"/>
                <w:sz w:val="16"/>
                <w:szCs w:val="16"/>
              </w:rPr>
            </w:pPr>
            <w:r w:rsidRPr="00B804F9">
              <w:rPr>
                <w:rFonts w:cs="Arial"/>
                <w:b/>
                <w:bCs/>
                <w:color w:val="FFFFFF"/>
                <w:sz w:val="16"/>
                <w:szCs w:val="16"/>
              </w:rPr>
              <w:t>Proportion of positive responses</w:t>
            </w:r>
          </w:p>
        </w:tc>
        <w:tc>
          <w:tcPr>
            <w:tcW w:w="0" w:type="auto"/>
            <w:tcBorders>
              <w:top w:val="single" w:sz="4" w:space="0" w:color="auto"/>
              <w:left w:val="nil"/>
              <w:bottom w:val="single" w:sz="4" w:space="0" w:color="auto"/>
              <w:right w:val="nil"/>
            </w:tcBorders>
            <w:shd w:val="clear" w:color="000000" w:fill="6B2976"/>
            <w:vAlign w:val="center"/>
            <w:hideMark/>
          </w:tcPr>
          <w:p w14:paraId="5DC13162" w14:textId="77777777" w:rsidR="00F62EF1" w:rsidRPr="00B804F9" w:rsidRDefault="00F62EF1" w:rsidP="00312E88">
            <w:pPr>
              <w:jc w:val="center"/>
              <w:rPr>
                <w:rFonts w:cs="Arial"/>
                <w:b/>
                <w:bCs/>
                <w:color w:val="FFFFFF"/>
                <w:sz w:val="16"/>
                <w:szCs w:val="16"/>
              </w:rPr>
            </w:pPr>
            <w:r w:rsidRPr="00B804F9">
              <w:rPr>
                <w:rFonts w:cs="Arial"/>
                <w:b/>
                <w:bCs/>
                <w:color w:val="FFFFFF"/>
                <w:sz w:val="16"/>
                <w:szCs w:val="16"/>
              </w:rPr>
              <w:t>Review 1</w:t>
            </w:r>
          </w:p>
        </w:tc>
        <w:tc>
          <w:tcPr>
            <w:tcW w:w="0" w:type="auto"/>
            <w:tcBorders>
              <w:top w:val="single" w:sz="4" w:space="0" w:color="auto"/>
              <w:left w:val="nil"/>
              <w:bottom w:val="single" w:sz="4" w:space="0" w:color="auto"/>
              <w:right w:val="nil"/>
            </w:tcBorders>
            <w:shd w:val="clear" w:color="000000" w:fill="6B2976"/>
            <w:vAlign w:val="center"/>
            <w:hideMark/>
          </w:tcPr>
          <w:p w14:paraId="579055C4" w14:textId="77777777" w:rsidR="00F62EF1" w:rsidRPr="00B804F9" w:rsidRDefault="00F62EF1" w:rsidP="00312E88">
            <w:pPr>
              <w:jc w:val="center"/>
              <w:rPr>
                <w:rFonts w:cs="Arial"/>
                <w:b/>
                <w:bCs/>
                <w:color w:val="FFFFFF"/>
                <w:sz w:val="16"/>
                <w:szCs w:val="16"/>
              </w:rPr>
            </w:pPr>
            <w:r w:rsidRPr="00B804F9">
              <w:rPr>
                <w:rFonts w:cs="Arial"/>
                <w:b/>
                <w:bCs/>
                <w:color w:val="FFFFFF"/>
                <w:sz w:val="16"/>
                <w:szCs w:val="16"/>
              </w:rPr>
              <w:t>Most recent plan review</w:t>
            </w:r>
          </w:p>
        </w:tc>
        <w:tc>
          <w:tcPr>
            <w:tcW w:w="0" w:type="auto"/>
            <w:tcBorders>
              <w:top w:val="single" w:sz="4" w:space="0" w:color="auto"/>
              <w:left w:val="single" w:sz="4" w:space="0" w:color="auto"/>
              <w:bottom w:val="single" w:sz="4" w:space="0" w:color="auto"/>
              <w:right w:val="single" w:sz="4" w:space="0" w:color="auto"/>
            </w:tcBorders>
            <w:shd w:val="clear" w:color="000000" w:fill="6B2976"/>
            <w:vAlign w:val="center"/>
            <w:hideMark/>
          </w:tcPr>
          <w:p w14:paraId="57371FE3" w14:textId="77777777" w:rsidR="00F62EF1" w:rsidRPr="00B804F9" w:rsidRDefault="00F62EF1" w:rsidP="00312E88">
            <w:pPr>
              <w:jc w:val="center"/>
              <w:rPr>
                <w:rFonts w:cs="Arial"/>
                <w:b/>
                <w:bCs/>
                <w:color w:val="FFFFFF"/>
                <w:sz w:val="16"/>
                <w:szCs w:val="16"/>
              </w:rPr>
            </w:pPr>
            <w:r w:rsidRPr="00B804F9">
              <w:rPr>
                <w:rFonts w:cs="Arial"/>
                <w:b/>
                <w:bCs/>
                <w:color w:val="FFFFFF"/>
                <w:sz w:val="16"/>
                <w:szCs w:val="16"/>
              </w:rPr>
              <w:t>From Review 1 to Most recent plan review</w:t>
            </w:r>
          </w:p>
        </w:tc>
      </w:tr>
      <w:tr w:rsidR="00F62EF1" w:rsidRPr="00B804F9" w14:paraId="44B35F92" w14:textId="77777777" w:rsidTr="00F62EF1">
        <w:trPr>
          <w:trHeight w:hRule="exact" w:val="284"/>
        </w:trPr>
        <w:tc>
          <w:tcPr>
            <w:tcW w:w="0" w:type="auto"/>
            <w:tcBorders>
              <w:top w:val="nil"/>
              <w:left w:val="single" w:sz="4" w:space="0" w:color="auto"/>
              <w:bottom w:val="nil"/>
              <w:right w:val="single" w:sz="4" w:space="0" w:color="auto"/>
            </w:tcBorders>
            <w:shd w:val="clear" w:color="auto" w:fill="auto"/>
            <w:hideMark/>
          </w:tcPr>
          <w:p w14:paraId="3CFB61FC" w14:textId="77777777" w:rsidR="00F62EF1" w:rsidRPr="00B804F9" w:rsidRDefault="00F62EF1" w:rsidP="00312E88">
            <w:pPr>
              <w:rPr>
                <w:rFonts w:cs="Arial"/>
                <w:color w:val="000000"/>
                <w:sz w:val="16"/>
                <w:szCs w:val="16"/>
              </w:rPr>
            </w:pPr>
            <w:r w:rsidRPr="00B804F9">
              <w:rPr>
                <w:rFonts w:cs="Arial"/>
                <w:color w:val="000000"/>
                <w:sz w:val="16"/>
                <w:szCs w:val="16"/>
              </w:rPr>
              <w:t>Health and wellbeing</w:t>
            </w:r>
          </w:p>
        </w:tc>
        <w:tc>
          <w:tcPr>
            <w:tcW w:w="0" w:type="auto"/>
            <w:tcBorders>
              <w:top w:val="nil"/>
              <w:left w:val="nil"/>
              <w:bottom w:val="nil"/>
              <w:right w:val="nil"/>
            </w:tcBorders>
            <w:shd w:val="clear" w:color="auto" w:fill="auto"/>
            <w:noWrap/>
            <w:hideMark/>
          </w:tcPr>
          <w:p w14:paraId="12EAC5B5" w14:textId="77777777" w:rsidR="00F62EF1" w:rsidRPr="00B804F9" w:rsidRDefault="00F62EF1" w:rsidP="00312E88">
            <w:pPr>
              <w:jc w:val="center"/>
              <w:rPr>
                <w:rFonts w:cs="Arial"/>
                <w:color w:val="000000"/>
                <w:sz w:val="16"/>
                <w:szCs w:val="16"/>
              </w:rPr>
            </w:pPr>
            <w:r w:rsidRPr="00B804F9">
              <w:rPr>
                <w:rFonts w:cs="Arial"/>
                <w:color w:val="000000"/>
                <w:sz w:val="16"/>
                <w:szCs w:val="16"/>
              </w:rPr>
              <w:t>51%</w:t>
            </w:r>
          </w:p>
        </w:tc>
        <w:tc>
          <w:tcPr>
            <w:tcW w:w="0" w:type="auto"/>
            <w:tcBorders>
              <w:top w:val="nil"/>
              <w:left w:val="nil"/>
              <w:bottom w:val="nil"/>
              <w:right w:val="nil"/>
            </w:tcBorders>
            <w:shd w:val="clear" w:color="auto" w:fill="auto"/>
            <w:noWrap/>
            <w:hideMark/>
          </w:tcPr>
          <w:p w14:paraId="53AF7D54" w14:textId="77777777" w:rsidR="00F62EF1" w:rsidRPr="00B804F9" w:rsidRDefault="00F62EF1" w:rsidP="00312E88">
            <w:pPr>
              <w:jc w:val="center"/>
              <w:rPr>
                <w:rFonts w:cs="Arial"/>
                <w:color w:val="000000"/>
                <w:sz w:val="16"/>
                <w:szCs w:val="16"/>
              </w:rPr>
            </w:pPr>
            <w:r w:rsidRPr="00B804F9">
              <w:rPr>
                <w:rFonts w:cs="Arial"/>
                <w:color w:val="000000"/>
                <w:sz w:val="16"/>
                <w:szCs w:val="16"/>
              </w:rPr>
              <w:t>58%</w:t>
            </w:r>
          </w:p>
        </w:tc>
        <w:tc>
          <w:tcPr>
            <w:tcW w:w="0" w:type="auto"/>
            <w:tcBorders>
              <w:top w:val="nil"/>
              <w:left w:val="single" w:sz="4" w:space="0" w:color="auto"/>
              <w:bottom w:val="nil"/>
              <w:right w:val="single" w:sz="4" w:space="0" w:color="auto"/>
            </w:tcBorders>
            <w:shd w:val="clear" w:color="auto" w:fill="auto"/>
            <w:noWrap/>
            <w:hideMark/>
          </w:tcPr>
          <w:p w14:paraId="0E67F1C9" w14:textId="77777777" w:rsidR="00F62EF1" w:rsidRPr="00B804F9" w:rsidRDefault="00F62EF1" w:rsidP="00312E88">
            <w:pPr>
              <w:jc w:val="center"/>
              <w:rPr>
                <w:rFonts w:cs="Arial"/>
                <w:b/>
                <w:bCs/>
                <w:color w:val="00B050"/>
                <w:sz w:val="16"/>
                <w:szCs w:val="16"/>
              </w:rPr>
            </w:pPr>
            <w:r>
              <w:rPr>
                <w:rFonts w:ascii="Wingdings 3" w:hAnsi="Wingdings 3" w:cs="Calibri"/>
                <w:b/>
                <w:bCs/>
                <w:color w:val="00B050"/>
                <w:sz w:val="28"/>
                <w:szCs w:val="28"/>
              </w:rPr>
              <w:t></w:t>
            </w:r>
          </w:p>
        </w:tc>
      </w:tr>
      <w:tr w:rsidR="00F62EF1" w:rsidRPr="00B804F9" w14:paraId="2144E47D" w14:textId="77777777" w:rsidTr="00F62EF1">
        <w:trPr>
          <w:trHeight w:hRule="exact" w:val="284"/>
        </w:trPr>
        <w:tc>
          <w:tcPr>
            <w:tcW w:w="0" w:type="auto"/>
            <w:tcBorders>
              <w:top w:val="nil"/>
              <w:left w:val="single" w:sz="4" w:space="0" w:color="auto"/>
              <w:bottom w:val="single" w:sz="4" w:space="0" w:color="auto"/>
              <w:right w:val="single" w:sz="4" w:space="0" w:color="auto"/>
            </w:tcBorders>
            <w:shd w:val="clear" w:color="000000" w:fill="F7EEF7"/>
            <w:hideMark/>
          </w:tcPr>
          <w:p w14:paraId="30663CAE" w14:textId="77777777" w:rsidR="00F62EF1" w:rsidRPr="00B804F9" w:rsidRDefault="00F62EF1" w:rsidP="00312E88">
            <w:pPr>
              <w:rPr>
                <w:rFonts w:cs="Arial"/>
                <w:color w:val="000000"/>
                <w:sz w:val="16"/>
                <w:szCs w:val="16"/>
              </w:rPr>
            </w:pPr>
            <w:r w:rsidRPr="00B804F9">
              <w:rPr>
                <w:rFonts w:cs="Arial"/>
                <w:color w:val="000000"/>
                <w:sz w:val="16"/>
                <w:szCs w:val="16"/>
              </w:rPr>
              <w:t>Daily living activities</w:t>
            </w:r>
          </w:p>
        </w:tc>
        <w:tc>
          <w:tcPr>
            <w:tcW w:w="0" w:type="auto"/>
            <w:tcBorders>
              <w:top w:val="nil"/>
              <w:left w:val="nil"/>
              <w:bottom w:val="single" w:sz="4" w:space="0" w:color="auto"/>
              <w:right w:val="nil"/>
            </w:tcBorders>
            <w:shd w:val="clear" w:color="000000" w:fill="F7EEF7"/>
            <w:noWrap/>
            <w:hideMark/>
          </w:tcPr>
          <w:p w14:paraId="5D32B47A" w14:textId="77777777" w:rsidR="00F62EF1" w:rsidRPr="00B804F9" w:rsidRDefault="00F62EF1" w:rsidP="00312E88">
            <w:pPr>
              <w:jc w:val="center"/>
              <w:rPr>
                <w:rFonts w:cs="Arial"/>
                <w:color w:val="000000"/>
                <w:sz w:val="16"/>
                <w:szCs w:val="16"/>
              </w:rPr>
            </w:pPr>
            <w:r w:rsidRPr="00B804F9">
              <w:rPr>
                <w:rFonts w:cs="Arial"/>
                <w:color w:val="000000"/>
                <w:sz w:val="16"/>
                <w:szCs w:val="16"/>
              </w:rPr>
              <w:t>71%</w:t>
            </w:r>
          </w:p>
        </w:tc>
        <w:tc>
          <w:tcPr>
            <w:tcW w:w="0" w:type="auto"/>
            <w:tcBorders>
              <w:top w:val="nil"/>
              <w:left w:val="nil"/>
              <w:bottom w:val="single" w:sz="4" w:space="0" w:color="auto"/>
              <w:right w:val="nil"/>
            </w:tcBorders>
            <w:shd w:val="clear" w:color="000000" w:fill="F7EEF7"/>
            <w:noWrap/>
            <w:hideMark/>
          </w:tcPr>
          <w:p w14:paraId="7D42A148" w14:textId="77777777" w:rsidR="00F62EF1" w:rsidRPr="00B804F9" w:rsidRDefault="00F62EF1" w:rsidP="00312E88">
            <w:pPr>
              <w:jc w:val="center"/>
              <w:rPr>
                <w:rFonts w:cs="Arial"/>
                <w:color w:val="000000"/>
                <w:sz w:val="16"/>
                <w:szCs w:val="16"/>
              </w:rPr>
            </w:pPr>
            <w:r w:rsidRPr="00B804F9">
              <w:rPr>
                <w:rFonts w:cs="Arial"/>
                <w:color w:val="000000"/>
                <w:sz w:val="16"/>
                <w:szCs w:val="16"/>
              </w:rPr>
              <w:t>82%</w:t>
            </w:r>
          </w:p>
        </w:tc>
        <w:tc>
          <w:tcPr>
            <w:tcW w:w="0" w:type="auto"/>
            <w:tcBorders>
              <w:top w:val="nil"/>
              <w:left w:val="single" w:sz="4" w:space="0" w:color="auto"/>
              <w:bottom w:val="single" w:sz="4" w:space="0" w:color="auto"/>
              <w:right w:val="single" w:sz="4" w:space="0" w:color="auto"/>
            </w:tcBorders>
            <w:shd w:val="clear" w:color="auto" w:fill="auto"/>
            <w:noWrap/>
            <w:hideMark/>
          </w:tcPr>
          <w:p w14:paraId="003235C1" w14:textId="77777777" w:rsidR="00F62EF1" w:rsidRPr="00B804F9" w:rsidRDefault="00F62EF1" w:rsidP="00312E88">
            <w:pPr>
              <w:jc w:val="center"/>
              <w:rPr>
                <w:rFonts w:cs="Arial"/>
                <w:b/>
                <w:bCs/>
                <w:color w:val="00B050"/>
                <w:sz w:val="16"/>
                <w:szCs w:val="16"/>
              </w:rPr>
            </w:pPr>
            <w:r>
              <w:rPr>
                <w:rFonts w:ascii="Wingdings 3" w:hAnsi="Wingdings 3" w:cs="Calibri"/>
                <w:b/>
                <w:bCs/>
                <w:color w:val="00B050"/>
                <w:sz w:val="28"/>
                <w:szCs w:val="28"/>
              </w:rPr>
              <w:t></w:t>
            </w:r>
          </w:p>
        </w:tc>
      </w:tr>
    </w:tbl>
    <w:p w14:paraId="79BD9C29" w14:textId="127C46E1" w:rsidR="00A62861" w:rsidRPr="00445023" w:rsidRDefault="00A62861" w:rsidP="00A62861">
      <w:pPr>
        <w:pStyle w:val="FSRnormal"/>
      </w:pPr>
    </w:p>
    <w:p w14:paraId="68D0E0A8" w14:textId="77777777" w:rsidR="00A62861" w:rsidRPr="000D6ECE" w:rsidRDefault="00A62861" w:rsidP="00A62861">
      <w:pPr>
        <w:pStyle w:val="FSRHeading2"/>
        <w:numPr>
          <w:ilvl w:val="1"/>
          <w:numId w:val="1"/>
        </w:numPr>
        <w:ind w:left="851" w:hanging="851"/>
      </w:pPr>
      <w:bookmarkStart w:id="270" w:name="_Toc47775176"/>
      <w:bookmarkStart w:id="271" w:name="_Toc47777484"/>
      <w:bookmarkStart w:id="272" w:name="_Toc47792646"/>
      <w:bookmarkStart w:id="273" w:name="_Toc47813452"/>
      <w:bookmarkStart w:id="274" w:name="_Toc47813542"/>
      <w:bookmarkStart w:id="275" w:name="_Toc47853172"/>
      <w:bookmarkStart w:id="276" w:name="_Toc47864638"/>
      <w:bookmarkStart w:id="277" w:name="_Toc47864827"/>
      <w:bookmarkStart w:id="278" w:name="_Toc47866472"/>
      <w:bookmarkStart w:id="279" w:name="_Toc47879417"/>
      <w:bookmarkStart w:id="280" w:name="_Toc47962847"/>
      <w:bookmarkStart w:id="281" w:name="_Toc47965220"/>
      <w:bookmarkStart w:id="282" w:name="_Toc47965810"/>
      <w:bookmarkStart w:id="283" w:name="_Toc47967193"/>
      <w:bookmarkStart w:id="284" w:name="_Toc48055140"/>
      <w:bookmarkStart w:id="285" w:name="_Toc48137341"/>
      <w:bookmarkStart w:id="286" w:name="_Toc48201009"/>
      <w:bookmarkStart w:id="287" w:name="_Toc48201103"/>
      <w:bookmarkStart w:id="288" w:name="_Toc48201869"/>
      <w:bookmarkStart w:id="289" w:name="_Toc48216238"/>
      <w:bookmarkStart w:id="290" w:name="_Toc48219061"/>
      <w:bookmarkStart w:id="291" w:name="_Toc48220179"/>
      <w:bookmarkStart w:id="292" w:name="_Toc48220289"/>
      <w:bookmarkStart w:id="293" w:name="_Toc79751005"/>
      <w:bookmarkStart w:id="294" w:name="_Toc83220860"/>
      <w:bookmarkStart w:id="295" w:name="_Toc85031271"/>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0D6ECE">
        <w:t>Family and carer outcomes</w:t>
      </w:r>
      <w:bookmarkEnd w:id="293"/>
      <w:bookmarkEnd w:id="294"/>
      <w:bookmarkEnd w:id="295"/>
    </w:p>
    <w:p w14:paraId="26542FBD" w14:textId="5032CCEA" w:rsidR="0047113A" w:rsidRPr="000D6ECE" w:rsidRDefault="0047113A" w:rsidP="0047113A">
      <w:pPr>
        <w:pStyle w:val="FSRnormal"/>
      </w:pPr>
      <w:r w:rsidRPr="000D6ECE">
        <w:t>The NDIS Outcomes Framework measures outcomes for the families and carers of participants as well</w:t>
      </w:r>
      <w:r w:rsidR="00C847DB">
        <w:t xml:space="preserve"> as participants</w:t>
      </w:r>
      <w:r w:rsidRPr="000D6ECE">
        <w:t xml:space="preserve">, recognising that the outcomes for people with a disability and the people who care for them are likely to be closely linked. Families and carers of participants who are well supported under the Scheme and who are achieving greater independence and social and economic participation, are likely to find the caring role easier and to experience increased wellbeing and greater opportunities for social and economic participation themselves. This improved situation </w:t>
      </w:r>
      <w:r>
        <w:t xml:space="preserve">for families and carers </w:t>
      </w:r>
      <w:r w:rsidRPr="000D6ECE">
        <w:t>should in turn translate into further improved outcomes for participants</w:t>
      </w:r>
      <w:r w:rsidRPr="000D6ECE">
        <w:rPr>
          <w:rStyle w:val="FootnoteReference"/>
        </w:rPr>
        <w:footnoteReference w:id="85"/>
      </w:r>
      <w:r w:rsidRPr="000D6ECE">
        <w:t>.</w:t>
      </w:r>
    </w:p>
    <w:p w14:paraId="06B83A8F" w14:textId="77777777" w:rsidR="0047113A" w:rsidRDefault="0047113A" w:rsidP="0047113A">
      <w:pPr>
        <w:pStyle w:val="FSRnormal"/>
      </w:pPr>
      <w:r w:rsidRPr="000D6ECE">
        <w:t>The ‘</w:t>
      </w:r>
      <w:r w:rsidRPr="000D6ECE">
        <w:rPr>
          <w:i/>
        </w:rPr>
        <w:t>Baseline outcomes for families and carers of NDIS participants 30 June 2020</w:t>
      </w:r>
      <w:r w:rsidRPr="000D6ECE">
        <w:t>’ report</w:t>
      </w:r>
      <w:r w:rsidRPr="00DB3EDD">
        <w:rPr>
          <w:rStyle w:val="FootnoteReference"/>
        </w:rPr>
        <w:footnoteReference w:id="86"/>
      </w:r>
      <w:r>
        <w:t xml:space="preserve"> (which </w:t>
      </w:r>
      <w:r w:rsidRPr="000D6ECE">
        <w:t>summarises the baseline results for families and carers of NDIS participants entering the Scheme during the four year period from 1 July 2016 to 30 June 2020</w:t>
      </w:r>
      <w:r>
        <w:t>), as well as t</w:t>
      </w:r>
      <w:r w:rsidRPr="00204555">
        <w:t>he ‘</w:t>
      </w:r>
      <w:r w:rsidRPr="000D6ECE">
        <w:rPr>
          <w:i/>
        </w:rPr>
        <w:t xml:space="preserve">Longitudinal </w:t>
      </w:r>
      <w:r w:rsidRPr="00204555">
        <w:rPr>
          <w:i/>
        </w:rPr>
        <w:t>outcomes for families and carers of NDIS participants 30 June 2020</w:t>
      </w:r>
      <w:r w:rsidRPr="00204555">
        <w:t>’ report</w:t>
      </w:r>
      <w:r w:rsidRPr="00DB3EDD">
        <w:rPr>
          <w:rStyle w:val="FootnoteReference"/>
        </w:rPr>
        <w:footnoteReference w:id="87"/>
      </w:r>
      <w:r>
        <w:t xml:space="preserve"> (which</w:t>
      </w:r>
      <w:r w:rsidRPr="00204555">
        <w:t xml:space="preserve"> summarises </w:t>
      </w:r>
      <w:r>
        <w:t xml:space="preserve">longitudinal outcomes for </w:t>
      </w:r>
      <w:r w:rsidRPr="00204555">
        <w:t xml:space="preserve">families and carers of NDIS participants </w:t>
      </w:r>
      <w:r>
        <w:t xml:space="preserve">who have been in the Scheme for one year or more at 30 June 2020), have both been publicly </w:t>
      </w:r>
      <w:r w:rsidRPr="004C16A1">
        <w:t>released</w:t>
      </w:r>
      <w:r w:rsidRPr="000D6ECE">
        <w:t>.</w:t>
      </w:r>
    </w:p>
    <w:p w14:paraId="64AB2BB5" w14:textId="08912BBC" w:rsidR="0047113A" w:rsidRDefault="0047113A" w:rsidP="0047113A">
      <w:r>
        <w:lastRenderedPageBreak/>
        <w:t>The table below shows the progress against the NDIA’s corporate plan metrics for parent and carer employment rate outcomes at entry, first, second, third and fourth plan review, for participants who entered the Scheme between 1 July 2016 and 30 June 2017. This is a key finding from the perspective of financial sustainability.</w:t>
      </w:r>
    </w:p>
    <w:p w14:paraId="15B89B98" w14:textId="1DD48025" w:rsidR="0047113A" w:rsidRPr="000F1FE5" w:rsidRDefault="0047113A" w:rsidP="0047113A">
      <w:pPr>
        <w:pStyle w:val="Caption"/>
        <w:keepNext/>
      </w:pPr>
      <w:r w:rsidRPr="00445023">
        <w:t xml:space="preserve">Table </w:t>
      </w:r>
      <w:fldSimple w:instr=" SEQ Table \* ARABIC ">
        <w:r w:rsidR="00E50032">
          <w:rPr>
            <w:noProof/>
          </w:rPr>
          <w:t>56</w:t>
        </w:r>
      </w:fldSimple>
      <w:r w:rsidRPr="00445023">
        <w:t xml:space="preserve"> </w:t>
      </w:r>
      <w:r>
        <w:t>Longitudinal changes in parent and carer employment rate outcomes between baseline and subsequent plan reviews</w:t>
      </w:r>
    </w:p>
    <w:tbl>
      <w:tblPr>
        <w:tblW w:w="0" w:type="auto"/>
        <w:tblLook w:val="04A0" w:firstRow="1" w:lastRow="0" w:firstColumn="1" w:lastColumn="0" w:noHBand="0" w:noVBand="1"/>
      </w:tblPr>
      <w:tblGrid>
        <w:gridCol w:w="2804"/>
        <w:gridCol w:w="875"/>
        <w:gridCol w:w="901"/>
        <w:gridCol w:w="901"/>
        <w:gridCol w:w="901"/>
        <w:gridCol w:w="901"/>
        <w:gridCol w:w="1337"/>
      </w:tblGrid>
      <w:tr w:rsidR="00994B26" w:rsidRPr="001F5DAB" w14:paraId="66C05A76" w14:textId="77777777" w:rsidTr="00312E88">
        <w:trPr>
          <w:trHeight w:val="640"/>
          <w:tblHeader/>
        </w:trPr>
        <w:tc>
          <w:tcPr>
            <w:tcW w:w="0" w:type="auto"/>
            <w:tcBorders>
              <w:top w:val="single" w:sz="12" w:space="0" w:color="auto"/>
              <w:left w:val="single" w:sz="12" w:space="0" w:color="auto"/>
              <w:bottom w:val="single" w:sz="12" w:space="0" w:color="auto"/>
              <w:right w:val="single" w:sz="12" w:space="0" w:color="auto"/>
            </w:tcBorders>
            <w:shd w:val="clear" w:color="000000" w:fill="6B2976"/>
            <w:vAlign w:val="center"/>
            <w:hideMark/>
          </w:tcPr>
          <w:p w14:paraId="3C722DD6" w14:textId="77777777" w:rsidR="00994B26" w:rsidRPr="001F5DAB" w:rsidRDefault="00994B26" w:rsidP="00312E88">
            <w:pPr>
              <w:rPr>
                <w:rFonts w:cs="Arial"/>
                <w:b/>
                <w:bCs/>
                <w:color w:val="FFFFFF"/>
                <w:sz w:val="16"/>
                <w:szCs w:val="16"/>
              </w:rPr>
            </w:pPr>
            <w:r w:rsidRPr="001F5DAB">
              <w:rPr>
                <w:rFonts w:cs="Arial"/>
                <w:b/>
                <w:bCs/>
                <w:color w:val="FFFFFF"/>
                <w:sz w:val="16"/>
                <w:szCs w:val="16"/>
              </w:rPr>
              <w:t>Parent and carer employment rate</w:t>
            </w:r>
          </w:p>
        </w:tc>
        <w:tc>
          <w:tcPr>
            <w:tcW w:w="0" w:type="auto"/>
            <w:tcBorders>
              <w:top w:val="single" w:sz="12" w:space="0" w:color="auto"/>
              <w:left w:val="nil"/>
              <w:bottom w:val="single" w:sz="12" w:space="0" w:color="auto"/>
              <w:right w:val="single" w:sz="12" w:space="0" w:color="auto"/>
            </w:tcBorders>
            <w:shd w:val="clear" w:color="000000" w:fill="6B2976"/>
            <w:noWrap/>
            <w:vAlign w:val="center"/>
            <w:hideMark/>
          </w:tcPr>
          <w:p w14:paraId="035535C0" w14:textId="77777777" w:rsidR="00994B26" w:rsidRPr="001F5DAB" w:rsidRDefault="00994B26" w:rsidP="00312E88">
            <w:pPr>
              <w:jc w:val="center"/>
              <w:rPr>
                <w:rFonts w:cs="Arial"/>
                <w:b/>
                <w:bCs/>
                <w:color w:val="FFFFFF"/>
                <w:sz w:val="16"/>
                <w:szCs w:val="16"/>
              </w:rPr>
            </w:pPr>
            <w:r w:rsidRPr="001F5DAB">
              <w:rPr>
                <w:rFonts w:cs="Arial"/>
                <w:b/>
                <w:bCs/>
                <w:color w:val="FFFFFF"/>
                <w:sz w:val="16"/>
                <w:szCs w:val="16"/>
              </w:rPr>
              <w:t>Baseline</w:t>
            </w:r>
          </w:p>
        </w:tc>
        <w:tc>
          <w:tcPr>
            <w:tcW w:w="0" w:type="auto"/>
            <w:tcBorders>
              <w:top w:val="single" w:sz="12" w:space="0" w:color="auto"/>
              <w:left w:val="nil"/>
              <w:bottom w:val="single" w:sz="12" w:space="0" w:color="auto"/>
              <w:right w:val="single" w:sz="12" w:space="0" w:color="auto"/>
            </w:tcBorders>
            <w:shd w:val="clear" w:color="000000" w:fill="6B2976"/>
            <w:noWrap/>
            <w:vAlign w:val="center"/>
            <w:hideMark/>
          </w:tcPr>
          <w:p w14:paraId="76FBB367" w14:textId="77777777" w:rsidR="00994B26" w:rsidRPr="001F5DAB" w:rsidRDefault="00994B26" w:rsidP="00312E88">
            <w:pPr>
              <w:jc w:val="center"/>
              <w:rPr>
                <w:rFonts w:cs="Arial"/>
                <w:b/>
                <w:bCs/>
                <w:color w:val="FFFFFF"/>
                <w:sz w:val="16"/>
                <w:szCs w:val="16"/>
              </w:rPr>
            </w:pPr>
            <w:r w:rsidRPr="001F5DAB">
              <w:rPr>
                <w:rFonts w:cs="Arial"/>
                <w:b/>
                <w:bCs/>
                <w:color w:val="FFFFFF"/>
                <w:sz w:val="16"/>
                <w:szCs w:val="16"/>
              </w:rPr>
              <w:t>Review 1</w:t>
            </w:r>
          </w:p>
        </w:tc>
        <w:tc>
          <w:tcPr>
            <w:tcW w:w="0" w:type="auto"/>
            <w:tcBorders>
              <w:top w:val="single" w:sz="12" w:space="0" w:color="auto"/>
              <w:left w:val="nil"/>
              <w:bottom w:val="single" w:sz="12" w:space="0" w:color="auto"/>
              <w:right w:val="single" w:sz="12" w:space="0" w:color="auto"/>
            </w:tcBorders>
            <w:shd w:val="clear" w:color="000000" w:fill="6B2976"/>
            <w:noWrap/>
            <w:vAlign w:val="center"/>
            <w:hideMark/>
          </w:tcPr>
          <w:p w14:paraId="311E8084" w14:textId="77777777" w:rsidR="00994B26" w:rsidRPr="001F5DAB" w:rsidRDefault="00994B26" w:rsidP="00312E88">
            <w:pPr>
              <w:jc w:val="center"/>
              <w:rPr>
                <w:rFonts w:cs="Arial"/>
                <w:b/>
                <w:bCs/>
                <w:color w:val="FFFFFF"/>
                <w:sz w:val="16"/>
                <w:szCs w:val="16"/>
              </w:rPr>
            </w:pPr>
            <w:r w:rsidRPr="001F5DAB">
              <w:rPr>
                <w:rFonts w:cs="Arial"/>
                <w:b/>
                <w:bCs/>
                <w:color w:val="FFFFFF"/>
                <w:sz w:val="16"/>
                <w:szCs w:val="16"/>
              </w:rPr>
              <w:t>Review 2</w:t>
            </w:r>
          </w:p>
        </w:tc>
        <w:tc>
          <w:tcPr>
            <w:tcW w:w="0" w:type="auto"/>
            <w:tcBorders>
              <w:top w:val="single" w:sz="12" w:space="0" w:color="auto"/>
              <w:left w:val="nil"/>
              <w:bottom w:val="single" w:sz="12" w:space="0" w:color="auto"/>
              <w:right w:val="single" w:sz="12" w:space="0" w:color="auto"/>
            </w:tcBorders>
            <w:shd w:val="clear" w:color="000000" w:fill="6B2976"/>
            <w:noWrap/>
            <w:vAlign w:val="center"/>
            <w:hideMark/>
          </w:tcPr>
          <w:p w14:paraId="7A35095D" w14:textId="77777777" w:rsidR="00994B26" w:rsidRPr="001F5DAB" w:rsidRDefault="00994B26" w:rsidP="00312E88">
            <w:pPr>
              <w:jc w:val="center"/>
              <w:rPr>
                <w:rFonts w:cs="Arial"/>
                <w:b/>
                <w:bCs/>
                <w:color w:val="FFFFFF"/>
                <w:sz w:val="16"/>
                <w:szCs w:val="16"/>
              </w:rPr>
            </w:pPr>
            <w:r w:rsidRPr="001F5DAB">
              <w:rPr>
                <w:rFonts w:cs="Arial"/>
                <w:b/>
                <w:bCs/>
                <w:color w:val="FFFFFF"/>
                <w:sz w:val="16"/>
                <w:szCs w:val="16"/>
              </w:rPr>
              <w:t>Review 3</w:t>
            </w:r>
          </w:p>
        </w:tc>
        <w:tc>
          <w:tcPr>
            <w:tcW w:w="0" w:type="auto"/>
            <w:tcBorders>
              <w:top w:val="single" w:sz="12" w:space="0" w:color="auto"/>
              <w:left w:val="nil"/>
              <w:bottom w:val="single" w:sz="12" w:space="0" w:color="auto"/>
              <w:right w:val="nil"/>
            </w:tcBorders>
            <w:shd w:val="clear" w:color="000000" w:fill="6B2976"/>
            <w:noWrap/>
            <w:vAlign w:val="center"/>
            <w:hideMark/>
          </w:tcPr>
          <w:p w14:paraId="5FB52494" w14:textId="77777777" w:rsidR="00994B26" w:rsidRPr="001F5DAB" w:rsidRDefault="00994B26" w:rsidP="00312E88">
            <w:pPr>
              <w:jc w:val="center"/>
              <w:rPr>
                <w:rFonts w:cs="Arial"/>
                <w:b/>
                <w:bCs/>
                <w:color w:val="FFFFFF"/>
                <w:sz w:val="16"/>
                <w:szCs w:val="16"/>
              </w:rPr>
            </w:pPr>
            <w:r w:rsidRPr="001F5DAB">
              <w:rPr>
                <w:rFonts w:cs="Arial"/>
                <w:b/>
                <w:bCs/>
                <w:color w:val="FFFFFF"/>
                <w:sz w:val="16"/>
                <w:szCs w:val="16"/>
              </w:rPr>
              <w:t>Review 4</w:t>
            </w:r>
          </w:p>
        </w:tc>
        <w:tc>
          <w:tcPr>
            <w:tcW w:w="0" w:type="auto"/>
            <w:tcBorders>
              <w:top w:val="single" w:sz="12" w:space="0" w:color="auto"/>
              <w:left w:val="single" w:sz="12" w:space="0" w:color="auto"/>
              <w:bottom w:val="single" w:sz="12" w:space="0" w:color="auto"/>
              <w:right w:val="single" w:sz="12" w:space="0" w:color="auto"/>
            </w:tcBorders>
            <w:shd w:val="clear" w:color="000000" w:fill="6B2976"/>
            <w:vAlign w:val="center"/>
            <w:hideMark/>
          </w:tcPr>
          <w:p w14:paraId="43491BE8" w14:textId="77777777" w:rsidR="00994B26" w:rsidRPr="001F5DAB" w:rsidRDefault="00994B26" w:rsidP="00312E88">
            <w:pPr>
              <w:jc w:val="center"/>
              <w:rPr>
                <w:rFonts w:cs="Arial"/>
                <w:b/>
                <w:bCs/>
                <w:color w:val="FFFFFF"/>
                <w:sz w:val="16"/>
                <w:szCs w:val="16"/>
              </w:rPr>
            </w:pPr>
            <w:r w:rsidRPr="001F5DAB">
              <w:rPr>
                <w:rFonts w:cs="Arial"/>
                <w:b/>
                <w:bCs/>
                <w:color w:val="FFFFFF"/>
                <w:sz w:val="16"/>
                <w:szCs w:val="16"/>
              </w:rPr>
              <w:t>2020-21 Target</w:t>
            </w:r>
          </w:p>
        </w:tc>
      </w:tr>
      <w:tr w:rsidR="00994B26" w:rsidRPr="001F5DAB" w14:paraId="678D0942" w14:textId="77777777" w:rsidTr="00994B26">
        <w:trPr>
          <w:trHeight w:hRule="exact" w:val="284"/>
        </w:trPr>
        <w:tc>
          <w:tcPr>
            <w:tcW w:w="0" w:type="auto"/>
            <w:tcBorders>
              <w:top w:val="nil"/>
              <w:left w:val="single" w:sz="12" w:space="0" w:color="auto"/>
              <w:bottom w:val="nil"/>
              <w:right w:val="single" w:sz="12" w:space="0" w:color="auto"/>
            </w:tcBorders>
            <w:shd w:val="clear" w:color="auto" w:fill="auto"/>
            <w:noWrap/>
            <w:vAlign w:val="center"/>
            <w:hideMark/>
          </w:tcPr>
          <w:p w14:paraId="7C5B5022" w14:textId="77777777" w:rsidR="00994B26" w:rsidRPr="001F5DAB" w:rsidRDefault="00994B26" w:rsidP="00312E88">
            <w:pPr>
              <w:rPr>
                <w:rFonts w:cs="Arial"/>
                <w:color w:val="000000"/>
                <w:sz w:val="16"/>
                <w:szCs w:val="16"/>
              </w:rPr>
            </w:pPr>
            <w:r w:rsidRPr="001F5DAB">
              <w:rPr>
                <w:rFonts w:cs="Arial"/>
                <w:color w:val="000000"/>
                <w:sz w:val="16"/>
                <w:szCs w:val="16"/>
              </w:rPr>
              <w:t>Aged 15 to 24 years</w:t>
            </w:r>
          </w:p>
        </w:tc>
        <w:tc>
          <w:tcPr>
            <w:tcW w:w="0" w:type="auto"/>
            <w:tcBorders>
              <w:top w:val="nil"/>
              <w:left w:val="nil"/>
              <w:bottom w:val="nil"/>
              <w:right w:val="single" w:sz="12" w:space="0" w:color="auto"/>
            </w:tcBorders>
            <w:shd w:val="clear" w:color="auto" w:fill="auto"/>
            <w:noWrap/>
            <w:vAlign w:val="center"/>
            <w:hideMark/>
          </w:tcPr>
          <w:p w14:paraId="561E1E70" w14:textId="77777777" w:rsidR="00994B26" w:rsidRPr="001F5DAB" w:rsidRDefault="00994B26" w:rsidP="00312E88">
            <w:pPr>
              <w:jc w:val="center"/>
              <w:rPr>
                <w:rFonts w:cs="Arial"/>
                <w:color w:val="000000"/>
                <w:sz w:val="16"/>
                <w:szCs w:val="16"/>
              </w:rPr>
            </w:pPr>
            <w:r w:rsidRPr="001F5DAB">
              <w:rPr>
                <w:rFonts w:cs="Arial"/>
                <w:color w:val="000000"/>
                <w:sz w:val="16"/>
                <w:szCs w:val="16"/>
              </w:rPr>
              <w:t>43%</w:t>
            </w:r>
          </w:p>
        </w:tc>
        <w:tc>
          <w:tcPr>
            <w:tcW w:w="0" w:type="auto"/>
            <w:tcBorders>
              <w:top w:val="nil"/>
              <w:left w:val="nil"/>
              <w:bottom w:val="nil"/>
              <w:right w:val="single" w:sz="12" w:space="0" w:color="auto"/>
            </w:tcBorders>
            <w:shd w:val="clear" w:color="auto" w:fill="auto"/>
            <w:noWrap/>
            <w:vAlign w:val="center"/>
            <w:hideMark/>
          </w:tcPr>
          <w:p w14:paraId="5C8292B7" w14:textId="77777777" w:rsidR="00994B26" w:rsidRPr="001F5DAB" w:rsidRDefault="00994B26" w:rsidP="00312E88">
            <w:pPr>
              <w:jc w:val="center"/>
              <w:rPr>
                <w:rFonts w:cs="Arial"/>
                <w:color w:val="000000"/>
                <w:sz w:val="16"/>
                <w:szCs w:val="16"/>
              </w:rPr>
            </w:pPr>
            <w:r w:rsidRPr="001F5DAB">
              <w:rPr>
                <w:rFonts w:cs="Arial"/>
                <w:color w:val="000000"/>
                <w:sz w:val="16"/>
                <w:szCs w:val="16"/>
              </w:rPr>
              <w:t>47%</w:t>
            </w:r>
          </w:p>
        </w:tc>
        <w:tc>
          <w:tcPr>
            <w:tcW w:w="0" w:type="auto"/>
            <w:tcBorders>
              <w:top w:val="nil"/>
              <w:left w:val="nil"/>
              <w:bottom w:val="nil"/>
              <w:right w:val="single" w:sz="12" w:space="0" w:color="auto"/>
            </w:tcBorders>
            <w:shd w:val="clear" w:color="auto" w:fill="auto"/>
            <w:noWrap/>
            <w:vAlign w:val="center"/>
            <w:hideMark/>
          </w:tcPr>
          <w:p w14:paraId="18436321" w14:textId="77777777" w:rsidR="00994B26" w:rsidRPr="001F5DAB" w:rsidRDefault="00994B26" w:rsidP="00312E88">
            <w:pPr>
              <w:jc w:val="center"/>
              <w:rPr>
                <w:rFonts w:cs="Arial"/>
                <w:color w:val="000000"/>
                <w:sz w:val="16"/>
                <w:szCs w:val="16"/>
              </w:rPr>
            </w:pPr>
            <w:r w:rsidRPr="001F5DAB">
              <w:rPr>
                <w:rFonts w:cs="Arial"/>
                <w:color w:val="000000"/>
                <w:sz w:val="16"/>
                <w:szCs w:val="16"/>
              </w:rPr>
              <w:t>49%</w:t>
            </w:r>
          </w:p>
        </w:tc>
        <w:tc>
          <w:tcPr>
            <w:tcW w:w="0" w:type="auto"/>
            <w:tcBorders>
              <w:top w:val="nil"/>
              <w:left w:val="nil"/>
              <w:bottom w:val="nil"/>
              <w:right w:val="single" w:sz="12" w:space="0" w:color="auto"/>
            </w:tcBorders>
            <w:shd w:val="clear" w:color="auto" w:fill="auto"/>
            <w:noWrap/>
            <w:vAlign w:val="center"/>
            <w:hideMark/>
          </w:tcPr>
          <w:p w14:paraId="6C3EAAFF" w14:textId="77777777" w:rsidR="00994B26" w:rsidRPr="001F5DAB" w:rsidRDefault="00994B26" w:rsidP="00312E88">
            <w:pPr>
              <w:jc w:val="center"/>
              <w:rPr>
                <w:rFonts w:cs="Arial"/>
                <w:color w:val="000000"/>
                <w:sz w:val="16"/>
                <w:szCs w:val="16"/>
              </w:rPr>
            </w:pPr>
            <w:r w:rsidRPr="001F5DAB">
              <w:rPr>
                <w:rFonts w:cs="Arial"/>
                <w:color w:val="000000"/>
                <w:sz w:val="16"/>
                <w:szCs w:val="16"/>
              </w:rPr>
              <w:t>52%</w:t>
            </w:r>
          </w:p>
        </w:tc>
        <w:tc>
          <w:tcPr>
            <w:tcW w:w="0" w:type="auto"/>
            <w:tcBorders>
              <w:top w:val="nil"/>
              <w:left w:val="nil"/>
              <w:bottom w:val="nil"/>
              <w:right w:val="nil"/>
            </w:tcBorders>
            <w:shd w:val="clear" w:color="auto" w:fill="auto"/>
            <w:noWrap/>
            <w:vAlign w:val="center"/>
            <w:hideMark/>
          </w:tcPr>
          <w:p w14:paraId="3B32F9D0" w14:textId="77777777" w:rsidR="00994B26" w:rsidRPr="001F5DAB" w:rsidRDefault="00994B26" w:rsidP="00312E88">
            <w:pPr>
              <w:jc w:val="center"/>
              <w:rPr>
                <w:rFonts w:cs="Arial"/>
                <w:color w:val="000000"/>
                <w:sz w:val="16"/>
                <w:szCs w:val="16"/>
              </w:rPr>
            </w:pPr>
            <w:r w:rsidRPr="001F5DAB">
              <w:rPr>
                <w:rFonts w:cs="Arial"/>
                <w:color w:val="000000"/>
                <w:sz w:val="16"/>
                <w:szCs w:val="16"/>
              </w:rPr>
              <w:t>53%</w:t>
            </w:r>
          </w:p>
        </w:tc>
        <w:tc>
          <w:tcPr>
            <w:tcW w:w="0" w:type="auto"/>
            <w:tcBorders>
              <w:top w:val="nil"/>
              <w:left w:val="single" w:sz="12" w:space="0" w:color="auto"/>
              <w:bottom w:val="nil"/>
              <w:right w:val="single" w:sz="12" w:space="0" w:color="auto"/>
            </w:tcBorders>
            <w:shd w:val="clear" w:color="auto" w:fill="auto"/>
            <w:noWrap/>
            <w:vAlign w:val="center"/>
            <w:hideMark/>
          </w:tcPr>
          <w:p w14:paraId="2DA68019" w14:textId="77777777" w:rsidR="00994B26" w:rsidRPr="001F5DAB" w:rsidRDefault="00994B26" w:rsidP="00312E88">
            <w:pPr>
              <w:jc w:val="center"/>
              <w:rPr>
                <w:rFonts w:cs="Arial"/>
                <w:color w:val="000000"/>
                <w:sz w:val="16"/>
                <w:szCs w:val="16"/>
              </w:rPr>
            </w:pPr>
            <w:r w:rsidRPr="001F5DAB">
              <w:rPr>
                <w:rFonts w:cs="Arial"/>
                <w:color w:val="000000"/>
                <w:sz w:val="16"/>
                <w:szCs w:val="16"/>
              </w:rPr>
              <w:t> </w:t>
            </w:r>
          </w:p>
        </w:tc>
      </w:tr>
      <w:tr w:rsidR="00994B26" w:rsidRPr="001F5DAB" w14:paraId="63B915BD" w14:textId="77777777" w:rsidTr="00994B26">
        <w:trPr>
          <w:trHeight w:hRule="exact" w:val="284"/>
        </w:trPr>
        <w:tc>
          <w:tcPr>
            <w:tcW w:w="0" w:type="auto"/>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8A92270" w14:textId="77777777" w:rsidR="00994B26" w:rsidRPr="001F5DAB" w:rsidRDefault="00994B26" w:rsidP="00312E88">
            <w:pPr>
              <w:rPr>
                <w:rFonts w:cs="Arial"/>
                <w:color w:val="000000"/>
                <w:sz w:val="16"/>
                <w:szCs w:val="16"/>
              </w:rPr>
            </w:pPr>
            <w:r w:rsidRPr="001F5DAB">
              <w:rPr>
                <w:rFonts w:cs="Arial"/>
                <w:color w:val="000000"/>
                <w:sz w:val="16"/>
                <w:szCs w:val="16"/>
              </w:rPr>
              <w:t>Aged 25+</w:t>
            </w:r>
          </w:p>
        </w:tc>
        <w:tc>
          <w:tcPr>
            <w:tcW w:w="0" w:type="auto"/>
            <w:tcBorders>
              <w:top w:val="single" w:sz="4" w:space="0" w:color="auto"/>
              <w:left w:val="nil"/>
              <w:bottom w:val="single" w:sz="4" w:space="0" w:color="auto"/>
              <w:right w:val="single" w:sz="12" w:space="0" w:color="auto"/>
            </w:tcBorders>
            <w:shd w:val="clear" w:color="auto" w:fill="auto"/>
            <w:noWrap/>
            <w:vAlign w:val="center"/>
            <w:hideMark/>
          </w:tcPr>
          <w:p w14:paraId="7B9AE705" w14:textId="77777777" w:rsidR="00994B26" w:rsidRPr="001F5DAB" w:rsidRDefault="00994B26" w:rsidP="00312E88">
            <w:pPr>
              <w:jc w:val="center"/>
              <w:rPr>
                <w:rFonts w:cs="Arial"/>
                <w:color w:val="000000"/>
                <w:sz w:val="16"/>
                <w:szCs w:val="16"/>
              </w:rPr>
            </w:pPr>
            <w:r w:rsidRPr="001F5DAB">
              <w:rPr>
                <w:rFonts w:cs="Arial"/>
                <w:color w:val="000000"/>
                <w:sz w:val="16"/>
                <w:szCs w:val="16"/>
              </w:rPr>
              <w:t>52%</w:t>
            </w:r>
          </w:p>
        </w:tc>
        <w:tc>
          <w:tcPr>
            <w:tcW w:w="0" w:type="auto"/>
            <w:tcBorders>
              <w:top w:val="single" w:sz="4" w:space="0" w:color="auto"/>
              <w:left w:val="nil"/>
              <w:bottom w:val="single" w:sz="4" w:space="0" w:color="auto"/>
              <w:right w:val="single" w:sz="12" w:space="0" w:color="auto"/>
            </w:tcBorders>
            <w:shd w:val="clear" w:color="auto" w:fill="auto"/>
            <w:noWrap/>
            <w:vAlign w:val="center"/>
            <w:hideMark/>
          </w:tcPr>
          <w:p w14:paraId="009D9DD6" w14:textId="77777777" w:rsidR="00994B26" w:rsidRPr="001F5DAB" w:rsidRDefault="00994B26" w:rsidP="00312E88">
            <w:pPr>
              <w:jc w:val="center"/>
              <w:rPr>
                <w:rFonts w:cs="Arial"/>
                <w:color w:val="000000"/>
                <w:sz w:val="16"/>
                <w:szCs w:val="16"/>
              </w:rPr>
            </w:pPr>
            <w:r w:rsidRPr="001F5DAB">
              <w:rPr>
                <w:rFonts w:cs="Arial"/>
                <w:color w:val="000000"/>
                <w:sz w:val="16"/>
                <w:szCs w:val="16"/>
              </w:rPr>
              <w:t>56%</w:t>
            </w:r>
          </w:p>
        </w:tc>
        <w:tc>
          <w:tcPr>
            <w:tcW w:w="0" w:type="auto"/>
            <w:tcBorders>
              <w:top w:val="single" w:sz="4" w:space="0" w:color="auto"/>
              <w:left w:val="nil"/>
              <w:bottom w:val="single" w:sz="4" w:space="0" w:color="auto"/>
              <w:right w:val="single" w:sz="12" w:space="0" w:color="auto"/>
            </w:tcBorders>
            <w:shd w:val="clear" w:color="auto" w:fill="auto"/>
            <w:noWrap/>
            <w:vAlign w:val="center"/>
            <w:hideMark/>
          </w:tcPr>
          <w:p w14:paraId="39BCC753" w14:textId="77777777" w:rsidR="00994B26" w:rsidRPr="001F5DAB" w:rsidRDefault="00994B26" w:rsidP="00312E88">
            <w:pPr>
              <w:jc w:val="center"/>
              <w:rPr>
                <w:rFonts w:cs="Arial"/>
                <w:color w:val="000000"/>
                <w:sz w:val="16"/>
                <w:szCs w:val="16"/>
              </w:rPr>
            </w:pPr>
            <w:r w:rsidRPr="001F5DAB">
              <w:rPr>
                <w:rFonts w:cs="Arial"/>
                <w:color w:val="000000"/>
                <w:sz w:val="16"/>
                <w:szCs w:val="16"/>
              </w:rPr>
              <w:t>52%</w:t>
            </w:r>
          </w:p>
        </w:tc>
        <w:tc>
          <w:tcPr>
            <w:tcW w:w="0" w:type="auto"/>
            <w:tcBorders>
              <w:top w:val="single" w:sz="4" w:space="0" w:color="auto"/>
              <w:left w:val="nil"/>
              <w:bottom w:val="single" w:sz="4" w:space="0" w:color="auto"/>
              <w:right w:val="single" w:sz="12" w:space="0" w:color="auto"/>
            </w:tcBorders>
            <w:shd w:val="clear" w:color="auto" w:fill="auto"/>
            <w:noWrap/>
            <w:vAlign w:val="center"/>
            <w:hideMark/>
          </w:tcPr>
          <w:p w14:paraId="1A3797EB" w14:textId="77777777" w:rsidR="00994B26" w:rsidRPr="001F5DAB" w:rsidRDefault="00994B26" w:rsidP="00312E88">
            <w:pPr>
              <w:jc w:val="center"/>
              <w:rPr>
                <w:rFonts w:cs="Arial"/>
                <w:color w:val="000000"/>
                <w:sz w:val="16"/>
                <w:szCs w:val="16"/>
              </w:rPr>
            </w:pPr>
            <w:r w:rsidRPr="001F5DAB">
              <w:rPr>
                <w:rFonts w:cs="Arial"/>
                <w:color w:val="000000"/>
                <w:sz w:val="16"/>
                <w:szCs w:val="16"/>
              </w:rPr>
              <w:t>51%</w:t>
            </w:r>
          </w:p>
        </w:tc>
        <w:tc>
          <w:tcPr>
            <w:tcW w:w="0" w:type="auto"/>
            <w:tcBorders>
              <w:top w:val="single" w:sz="4" w:space="0" w:color="auto"/>
              <w:left w:val="nil"/>
              <w:bottom w:val="single" w:sz="4" w:space="0" w:color="auto"/>
              <w:right w:val="single" w:sz="12" w:space="0" w:color="auto"/>
            </w:tcBorders>
            <w:shd w:val="clear" w:color="auto" w:fill="auto"/>
            <w:noWrap/>
            <w:vAlign w:val="center"/>
            <w:hideMark/>
          </w:tcPr>
          <w:p w14:paraId="61CBCC5D" w14:textId="77777777" w:rsidR="00994B26" w:rsidRPr="001F5DAB" w:rsidRDefault="00994B26" w:rsidP="00312E88">
            <w:pPr>
              <w:jc w:val="center"/>
              <w:rPr>
                <w:rFonts w:cs="Arial"/>
                <w:color w:val="000000"/>
                <w:sz w:val="16"/>
                <w:szCs w:val="16"/>
              </w:rPr>
            </w:pPr>
            <w:r w:rsidRPr="001F5DAB">
              <w:rPr>
                <w:rFonts w:cs="Arial"/>
                <w:color w:val="000000"/>
                <w:sz w:val="16"/>
                <w:szCs w:val="16"/>
              </w:rPr>
              <w:t>52%</w:t>
            </w:r>
          </w:p>
        </w:tc>
        <w:tc>
          <w:tcPr>
            <w:tcW w:w="0" w:type="auto"/>
            <w:tcBorders>
              <w:top w:val="nil"/>
              <w:left w:val="nil"/>
              <w:bottom w:val="nil"/>
              <w:right w:val="single" w:sz="12" w:space="0" w:color="auto"/>
            </w:tcBorders>
            <w:shd w:val="clear" w:color="auto" w:fill="auto"/>
            <w:noWrap/>
            <w:vAlign w:val="center"/>
            <w:hideMark/>
          </w:tcPr>
          <w:p w14:paraId="626BFC40" w14:textId="77777777" w:rsidR="00994B26" w:rsidRPr="001F5DAB" w:rsidRDefault="00994B26" w:rsidP="00312E88">
            <w:pPr>
              <w:jc w:val="center"/>
              <w:rPr>
                <w:rFonts w:cs="Arial"/>
                <w:color w:val="000000"/>
                <w:sz w:val="16"/>
                <w:szCs w:val="16"/>
              </w:rPr>
            </w:pPr>
            <w:r w:rsidRPr="001F5DAB">
              <w:rPr>
                <w:rFonts w:cs="Arial"/>
                <w:color w:val="000000"/>
                <w:sz w:val="16"/>
                <w:szCs w:val="16"/>
              </w:rPr>
              <w:t>50%</w:t>
            </w:r>
          </w:p>
        </w:tc>
      </w:tr>
      <w:tr w:rsidR="00994B26" w:rsidRPr="001F5DAB" w14:paraId="50556B1E" w14:textId="77777777" w:rsidTr="00994B26">
        <w:trPr>
          <w:trHeight w:hRule="exact" w:val="284"/>
        </w:trPr>
        <w:tc>
          <w:tcPr>
            <w:tcW w:w="0" w:type="auto"/>
            <w:tcBorders>
              <w:top w:val="nil"/>
              <w:left w:val="single" w:sz="12" w:space="0" w:color="auto"/>
              <w:bottom w:val="single" w:sz="12" w:space="0" w:color="auto"/>
              <w:right w:val="single" w:sz="12" w:space="0" w:color="auto"/>
            </w:tcBorders>
            <w:shd w:val="clear" w:color="000000" w:fill="D3C5D7"/>
            <w:noWrap/>
            <w:vAlign w:val="center"/>
            <w:hideMark/>
          </w:tcPr>
          <w:p w14:paraId="4E83E27B" w14:textId="77777777" w:rsidR="00994B26" w:rsidRPr="001F5DAB" w:rsidRDefault="00994B26" w:rsidP="00312E88">
            <w:pPr>
              <w:rPr>
                <w:rFonts w:cs="Arial"/>
                <w:b/>
                <w:bCs/>
                <w:color w:val="000000"/>
                <w:sz w:val="16"/>
                <w:szCs w:val="16"/>
              </w:rPr>
            </w:pPr>
            <w:r w:rsidRPr="001F5DAB">
              <w:rPr>
                <w:rFonts w:cs="Arial"/>
                <w:b/>
                <w:bCs/>
                <w:color w:val="000000"/>
                <w:sz w:val="16"/>
                <w:szCs w:val="16"/>
              </w:rPr>
              <w:t>Aged 15+ (average)</w:t>
            </w:r>
          </w:p>
        </w:tc>
        <w:tc>
          <w:tcPr>
            <w:tcW w:w="0" w:type="auto"/>
            <w:tcBorders>
              <w:top w:val="nil"/>
              <w:left w:val="nil"/>
              <w:bottom w:val="single" w:sz="12" w:space="0" w:color="auto"/>
              <w:right w:val="single" w:sz="12" w:space="0" w:color="auto"/>
            </w:tcBorders>
            <w:shd w:val="clear" w:color="000000" w:fill="D3C5D7"/>
            <w:noWrap/>
            <w:vAlign w:val="center"/>
            <w:hideMark/>
          </w:tcPr>
          <w:p w14:paraId="349454F6" w14:textId="77777777" w:rsidR="00994B26" w:rsidRPr="001F5DAB" w:rsidRDefault="00994B26" w:rsidP="00312E88">
            <w:pPr>
              <w:jc w:val="center"/>
              <w:rPr>
                <w:rFonts w:cs="Arial"/>
                <w:b/>
                <w:bCs/>
                <w:color w:val="000000"/>
                <w:sz w:val="16"/>
                <w:szCs w:val="16"/>
              </w:rPr>
            </w:pPr>
            <w:r w:rsidRPr="001F5DAB">
              <w:rPr>
                <w:rFonts w:cs="Arial"/>
                <w:b/>
                <w:bCs/>
                <w:color w:val="000000"/>
                <w:sz w:val="16"/>
                <w:szCs w:val="16"/>
              </w:rPr>
              <w:t>44%</w:t>
            </w:r>
          </w:p>
        </w:tc>
        <w:tc>
          <w:tcPr>
            <w:tcW w:w="0" w:type="auto"/>
            <w:tcBorders>
              <w:top w:val="nil"/>
              <w:left w:val="nil"/>
              <w:bottom w:val="single" w:sz="12" w:space="0" w:color="auto"/>
              <w:right w:val="single" w:sz="12" w:space="0" w:color="auto"/>
            </w:tcBorders>
            <w:shd w:val="clear" w:color="000000" w:fill="D3C5D7"/>
            <w:noWrap/>
            <w:vAlign w:val="center"/>
            <w:hideMark/>
          </w:tcPr>
          <w:p w14:paraId="398C37C3" w14:textId="77777777" w:rsidR="00994B26" w:rsidRPr="001F5DAB" w:rsidRDefault="00994B26" w:rsidP="00312E88">
            <w:pPr>
              <w:jc w:val="center"/>
              <w:rPr>
                <w:rFonts w:cs="Arial"/>
                <w:b/>
                <w:bCs/>
                <w:color w:val="000000"/>
                <w:sz w:val="16"/>
                <w:szCs w:val="16"/>
              </w:rPr>
            </w:pPr>
            <w:r w:rsidRPr="001F5DAB">
              <w:rPr>
                <w:rFonts w:cs="Arial"/>
                <w:b/>
                <w:bCs/>
                <w:color w:val="000000"/>
                <w:sz w:val="16"/>
                <w:szCs w:val="16"/>
              </w:rPr>
              <w:t>48%</w:t>
            </w:r>
          </w:p>
        </w:tc>
        <w:tc>
          <w:tcPr>
            <w:tcW w:w="0" w:type="auto"/>
            <w:tcBorders>
              <w:top w:val="nil"/>
              <w:left w:val="nil"/>
              <w:bottom w:val="single" w:sz="12" w:space="0" w:color="auto"/>
              <w:right w:val="single" w:sz="12" w:space="0" w:color="auto"/>
            </w:tcBorders>
            <w:shd w:val="clear" w:color="000000" w:fill="D3C5D7"/>
            <w:noWrap/>
            <w:vAlign w:val="center"/>
            <w:hideMark/>
          </w:tcPr>
          <w:p w14:paraId="5343F7E0" w14:textId="77777777" w:rsidR="00994B26" w:rsidRPr="001F5DAB" w:rsidRDefault="00994B26" w:rsidP="00312E88">
            <w:pPr>
              <w:jc w:val="center"/>
              <w:rPr>
                <w:rFonts w:cs="Arial"/>
                <w:b/>
                <w:bCs/>
                <w:color w:val="000000"/>
                <w:sz w:val="16"/>
                <w:szCs w:val="16"/>
              </w:rPr>
            </w:pPr>
            <w:r w:rsidRPr="001F5DAB">
              <w:rPr>
                <w:rFonts w:cs="Arial"/>
                <w:b/>
                <w:bCs/>
                <w:color w:val="000000"/>
                <w:sz w:val="16"/>
                <w:szCs w:val="16"/>
              </w:rPr>
              <w:t>50%</w:t>
            </w:r>
          </w:p>
        </w:tc>
        <w:tc>
          <w:tcPr>
            <w:tcW w:w="0" w:type="auto"/>
            <w:tcBorders>
              <w:top w:val="nil"/>
              <w:left w:val="nil"/>
              <w:bottom w:val="single" w:sz="12" w:space="0" w:color="auto"/>
              <w:right w:val="single" w:sz="12" w:space="0" w:color="auto"/>
            </w:tcBorders>
            <w:shd w:val="clear" w:color="000000" w:fill="D3C5D7"/>
            <w:noWrap/>
            <w:vAlign w:val="center"/>
            <w:hideMark/>
          </w:tcPr>
          <w:p w14:paraId="71892384" w14:textId="77777777" w:rsidR="00994B26" w:rsidRPr="001F5DAB" w:rsidRDefault="00994B26" w:rsidP="00312E88">
            <w:pPr>
              <w:jc w:val="center"/>
              <w:rPr>
                <w:rFonts w:cs="Arial"/>
                <w:b/>
                <w:bCs/>
                <w:color w:val="000000"/>
                <w:sz w:val="16"/>
                <w:szCs w:val="16"/>
              </w:rPr>
            </w:pPr>
            <w:r w:rsidRPr="001F5DAB">
              <w:rPr>
                <w:rFonts w:cs="Arial"/>
                <w:b/>
                <w:bCs/>
                <w:color w:val="000000"/>
                <w:sz w:val="16"/>
                <w:szCs w:val="16"/>
              </w:rPr>
              <w:t>52%</w:t>
            </w:r>
          </w:p>
        </w:tc>
        <w:tc>
          <w:tcPr>
            <w:tcW w:w="0" w:type="auto"/>
            <w:tcBorders>
              <w:top w:val="nil"/>
              <w:left w:val="nil"/>
              <w:bottom w:val="single" w:sz="12" w:space="0" w:color="auto"/>
              <w:right w:val="nil"/>
            </w:tcBorders>
            <w:shd w:val="clear" w:color="000000" w:fill="D3C5D7"/>
            <w:noWrap/>
            <w:vAlign w:val="center"/>
            <w:hideMark/>
          </w:tcPr>
          <w:p w14:paraId="3524624F" w14:textId="77777777" w:rsidR="00994B26" w:rsidRPr="001F5DAB" w:rsidRDefault="00994B26" w:rsidP="00312E88">
            <w:pPr>
              <w:jc w:val="center"/>
              <w:rPr>
                <w:rFonts w:cs="Arial"/>
                <w:b/>
                <w:bCs/>
                <w:color w:val="000000"/>
                <w:sz w:val="16"/>
                <w:szCs w:val="16"/>
              </w:rPr>
            </w:pPr>
            <w:r w:rsidRPr="001F5DAB">
              <w:rPr>
                <w:rFonts w:cs="Arial"/>
                <w:b/>
                <w:bCs/>
                <w:color w:val="000000"/>
                <w:sz w:val="16"/>
                <w:szCs w:val="16"/>
              </w:rPr>
              <w:t>53%</w:t>
            </w:r>
          </w:p>
        </w:tc>
        <w:tc>
          <w:tcPr>
            <w:tcW w:w="0" w:type="auto"/>
            <w:tcBorders>
              <w:top w:val="nil"/>
              <w:left w:val="single" w:sz="12" w:space="0" w:color="auto"/>
              <w:bottom w:val="single" w:sz="12" w:space="0" w:color="auto"/>
              <w:right w:val="single" w:sz="12" w:space="0" w:color="auto"/>
            </w:tcBorders>
            <w:shd w:val="clear" w:color="auto" w:fill="auto"/>
            <w:noWrap/>
            <w:vAlign w:val="center"/>
            <w:hideMark/>
          </w:tcPr>
          <w:p w14:paraId="4FDC4525" w14:textId="77777777" w:rsidR="00994B26" w:rsidRPr="001F5DAB" w:rsidRDefault="00994B26" w:rsidP="00312E88">
            <w:pPr>
              <w:jc w:val="center"/>
              <w:rPr>
                <w:rFonts w:cs="Arial"/>
                <w:color w:val="000000"/>
                <w:sz w:val="16"/>
                <w:szCs w:val="16"/>
              </w:rPr>
            </w:pPr>
            <w:r w:rsidRPr="001F5DAB">
              <w:rPr>
                <w:rFonts w:cs="Arial"/>
                <w:color w:val="000000"/>
                <w:sz w:val="16"/>
                <w:szCs w:val="16"/>
              </w:rPr>
              <w:t> </w:t>
            </w:r>
          </w:p>
        </w:tc>
      </w:tr>
    </w:tbl>
    <w:p w14:paraId="6635CBB7" w14:textId="3606C2F6" w:rsidR="0047113A" w:rsidRDefault="0047113A" w:rsidP="0047113A">
      <w:pPr>
        <w:pStyle w:val="FSRnormal"/>
      </w:pPr>
    </w:p>
    <w:p w14:paraId="5951BA85" w14:textId="2B4B98E0" w:rsidR="00447D4E" w:rsidRDefault="000A7E64" w:rsidP="00447D4E">
      <w:pPr>
        <w:pStyle w:val="Heading2"/>
      </w:pPr>
      <w:bookmarkStart w:id="296" w:name="_Toc83220861"/>
      <w:bookmarkStart w:id="297" w:name="_Toc85031272"/>
      <w:r>
        <w:lastRenderedPageBreak/>
        <w:t>Information systems</w:t>
      </w:r>
      <w:r w:rsidR="00447D4E">
        <w:t xml:space="preserve"> and risk management </w:t>
      </w:r>
      <w:r w:rsidR="00F9363A">
        <w:t>approach</w:t>
      </w:r>
      <w:bookmarkEnd w:id="296"/>
      <w:bookmarkEnd w:id="297"/>
    </w:p>
    <w:p w14:paraId="6ADB7963" w14:textId="5C2D5856" w:rsidR="00F9363A" w:rsidRDefault="00F9363A" w:rsidP="00BE7D6E">
      <w:pPr>
        <w:pStyle w:val="FSRnormal"/>
      </w:pPr>
      <w:bookmarkStart w:id="298" w:name="_Ref17453057"/>
      <w:bookmarkStart w:id="299" w:name="_Toc79766610"/>
      <w:r>
        <w:t xml:space="preserve">The agency’s Information systems (comprising case management, finance and data warehouse) and risk management approach are important </w:t>
      </w:r>
      <w:r w:rsidR="00DA3698">
        <w:t xml:space="preserve">infrastructure </w:t>
      </w:r>
      <w:r w:rsidR="0071159D">
        <w:t xml:space="preserve">in </w:t>
      </w:r>
      <w:r w:rsidR="00DA3698">
        <w:t xml:space="preserve">ongoing financial sustainability.  </w:t>
      </w:r>
    </w:p>
    <w:p w14:paraId="302C5252" w14:textId="21DE5E7C" w:rsidR="00986DCC" w:rsidRPr="005805C5" w:rsidRDefault="00986DCC" w:rsidP="00986DCC">
      <w:pPr>
        <w:pStyle w:val="FSRHeading2"/>
        <w:numPr>
          <w:ilvl w:val="1"/>
          <w:numId w:val="1"/>
        </w:numPr>
        <w:ind w:left="851" w:hanging="851"/>
      </w:pPr>
      <w:bookmarkStart w:id="300" w:name="_Toc83220862"/>
      <w:bookmarkStart w:id="301" w:name="_Toc85031273"/>
      <w:r w:rsidRPr="005805C5">
        <w:t>Information systems</w:t>
      </w:r>
      <w:bookmarkEnd w:id="298"/>
      <w:bookmarkEnd w:id="299"/>
      <w:bookmarkEnd w:id="300"/>
      <w:bookmarkEnd w:id="301"/>
    </w:p>
    <w:p w14:paraId="449B3536" w14:textId="77777777" w:rsidR="00986DCC" w:rsidRPr="00C62404" w:rsidRDefault="00986DCC" w:rsidP="00986DCC">
      <w:pPr>
        <w:pStyle w:val="Heading4"/>
        <w:ind w:left="907" w:hanging="907"/>
      </w:pPr>
      <w:bookmarkStart w:id="302" w:name="_Ref48882434"/>
      <w:r w:rsidRPr="00C62404">
        <w:t>Case management systems</w:t>
      </w:r>
      <w:bookmarkEnd w:id="302"/>
    </w:p>
    <w:p w14:paraId="4A24DFDE" w14:textId="1291DC60" w:rsidR="00986DCC" w:rsidRPr="00490DF7" w:rsidRDefault="00986DCC" w:rsidP="000D0CA3">
      <w:pPr>
        <w:pStyle w:val="FSRnormal"/>
      </w:pPr>
      <w:r w:rsidRPr="00490DF7">
        <w:t xml:space="preserve">The Agency currently uses SAP </w:t>
      </w:r>
      <w:r w:rsidRPr="00490DF7">
        <w:rPr>
          <w:lang w:val="en-GB"/>
        </w:rPr>
        <w:t>C</w:t>
      </w:r>
      <w:r w:rsidR="00DC36CD">
        <w:rPr>
          <w:lang w:val="en-GB"/>
        </w:rPr>
        <w:t>ustomer Relationship Management (C</w:t>
      </w:r>
      <w:r w:rsidRPr="00490DF7">
        <w:rPr>
          <w:lang w:val="en-GB"/>
        </w:rPr>
        <w:t>RM</w:t>
      </w:r>
      <w:r w:rsidR="00DC36CD">
        <w:rPr>
          <w:lang w:val="en-GB"/>
        </w:rPr>
        <w:t>)</w:t>
      </w:r>
      <w:r w:rsidRPr="00490DF7">
        <w:rPr>
          <w:lang w:val="en-GB"/>
        </w:rPr>
        <w:t xml:space="preserve"> </w:t>
      </w:r>
      <w:r w:rsidRPr="00490DF7">
        <w:t xml:space="preserve">as its case management system. </w:t>
      </w:r>
      <w:r w:rsidRPr="00490DF7">
        <w:rPr>
          <w:lang w:val="en-GB"/>
        </w:rPr>
        <w:t xml:space="preserve">The CRM system was deployed as a Minimum Viable Product on </w:t>
      </w:r>
      <w:r w:rsidR="00185D8F" w:rsidRPr="00490DF7">
        <w:rPr>
          <w:lang w:val="en-GB"/>
        </w:rPr>
        <w:t>1</w:t>
      </w:r>
      <w:r w:rsidR="00185D8F">
        <w:rPr>
          <w:lang w:val="en-GB"/>
        </w:rPr>
        <w:t> </w:t>
      </w:r>
      <w:r w:rsidR="00185D8F" w:rsidRPr="00490DF7">
        <w:rPr>
          <w:lang w:val="en-GB"/>
        </w:rPr>
        <w:t>July</w:t>
      </w:r>
      <w:r w:rsidR="00185D8F">
        <w:rPr>
          <w:lang w:val="en-GB"/>
        </w:rPr>
        <w:t> </w:t>
      </w:r>
      <w:r w:rsidRPr="00490DF7">
        <w:rPr>
          <w:lang w:val="en-GB"/>
        </w:rPr>
        <w:t>2016</w:t>
      </w:r>
      <w:r w:rsidR="00122FE0">
        <w:rPr>
          <w:lang w:val="en-GB"/>
        </w:rPr>
        <w:t xml:space="preserve"> and is hosted and maintained by Services Australia</w:t>
      </w:r>
      <w:r w:rsidRPr="00490DF7">
        <w:rPr>
          <w:lang w:val="en-GB"/>
        </w:rPr>
        <w:t xml:space="preserve">. The primary objective of this delivery was to enable critical operational activities, such as plan approvals and payments. This approach </w:t>
      </w:r>
      <w:r w:rsidR="00DC36CD">
        <w:rPr>
          <w:lang w:val="en-GB"/>
        </w:rPr>
        <w:t xml:space="preserve">did not meet the </w:t>
      </w:r>
      <w:r w:rsidRPr="00490DF7">
        <w:rPr>
          <w:lang w:val="en-GB"/>
        </w:rPr>
        <w:t xml:space="preserve">needs of the Agency, and as a consequence, has meant the implementation of necessary enhancements to the CRM has not been straightforward. </w:t>
      </w:r>
      <w:r w:rsidR="00805C85">
        <w:rPr>
          <w:lang w:val="en-GB"/>
        </w:rPr>
        <w:t xml:space="preserve">The existing </w:t>
      </w:r>
      <w:r w:rsidR="00C666A0">
        <w:rPr>
          <w:lang w:val="en-GB"/>
        </w:rPr>
        <w:t xml:space="preserve">system </w:t>
      </w:r>
      <w:r w:rsidR="00805C85">
        <w:rPr>
          <w:lang w:val="en-GB"/>
        </w:rPr>
        <w:t xml:space="preserve">has </w:t>
      </w:r>
      <w:r w:rsidRPr="00490DF7">
        <w:t>a number of limitations</w:t>
      </w:r>
      <w:r w:rsidRPr="008422B0">
        <w:t>, in</w:t>
      </w:r>
      <w:r w:rsidR="00445290">
        <w:t xml:space="preserve"> particular an over-</w:t>
      </w:r>
      <w:r w:rsidRPr="008422B0">
        <w:t>reliance on manual and off-system business processes</w:t>
      </w:r>
      <w:r w:rsidR="00C666A0">
        <w:t>,</w:t>
      </w:r>
      <w:r w:rsidR="00445290">
        <w:t xml:space="preserve"> and </w:t>
      </w:r>
      <w:r w:rsidRPr="00490DF7">
        <w:t xml:space="preserve">limited capability to prioritise and direct work to the appropriate staff member to complete a task. </w:t>
      </w:r>
      <w:r w:rsidR="00445290">
        <w:t xml:space="preserve">This is mitigated somewhat by </w:t>
      </w:r>
      <w:r w:rsidRPr="008422B0">
        <w:t>P</w:t>
      </w:r>
      <w:r>
        <w:t>ANDA</w:t>
      </w:r>
      <w:r w:rsidRPr="008422B0">
        <w:t xml:space="preserve"> reporting </w:t>
      </w:r>
      <w:r w:rsidR="00445290">
        <w:t xml:space="preserve">which </w:t>
      </w:r>
      <w:r w:rsidRPr="008422B0">
        <w:t>provides a single view of work for planning staff (work in progress) and leadership through individual and team dashboards. B</w:t>
      </w:r>
      <w:r w:rsidR="00DC36CD">
        <w:t>usiness Intelligence (BI)</w:t>
      </w:r>
      <w:r w:rsidRPr="008422B0">
        <w:t xml:space="preserve"> tools consolidate and prioritise CRM work according to Service Level Agreements. Business Data Owners approve definitions with the oversight of the Data Management Committee. </w:t>
      </w:r>
    </w:p>
    <w:p w14:paraId="03AD1D12" w14:textId="1D27FF95" w:rsidR="00986DCC" w:rsidRPr="008422B0" w:rsidRDefault="00986DCC" w:rsidP="000D0CA3">
      <w:pPr>
        <w:pStyle w:val="FSRnormal"/>
      </w:pPr>
      <w:r w:rsidRPr="008422B0">
        <w:t xml:space="preserve">The NDIA is rolling out an alternative Cloud Environment (ACE) business system. ACE is a true case management system, </w:t>
      </w:r>
      <w:r w:rsidR="00122FE0">
        <w:t xml:space="preserve">implemented by Salesforce, </w:t>
      </w:r>
      <w:r w:rsidRPr="008422B0">
        <w:t>where the end-to-end business process for service delivery activities will be managed on-system. This includes the creation of work items, the allocation and prioritisation of work, the interactions between the Agency, participants and other external parties, the supporting materials to ensure consistent decision making, and the tracking of activities to agreed service levels and timeframes.</w:t>
      </w:r>
      <w:r w:rsidR="00445290">
        <w:t xml:space="preserve"> </w:t>
      </w:r>
      <w:r w:rsidR="00445290" w:rsidRPr="008422B0">
        <w:t>The implementation of ACE is expected to provide and enable better oversight on queues of work and streaming and prioriti</w:t>
      </w:r>
      <w:r w:rsidR="00445290">
        <w:t>s</w:t>
      </w:r>
      <w:r w:rsidR="00445290" w:rsidRPr="008422B0">
        <w:t>ation of work based on risk, urgency and other factors.</w:t>
      </w:r>
    </w:p>
    <w:p w14:paraId="2340F1B7" w14:textId="47BC53EB" w:rsidR="00986DCC" w:rsidRPr="008422B0" w:rsidRDefault="00986DCC" w:rsidP="00986DCC">
      <w:pPr>
        <w:pStyle w:val="FSRlist"/>
        <w:numPr>
          <w:ilvl w:val="0"/>
          <w:numId w:val="0"/>
        </w:numPr>
      </w:pPr>
      <w:r w:rsidRPr="008422B0">
        <w:t xml:space="preserve">The first release of ACE went live in February 2021. This release implemented Supported Disability Accommodation (SDA) application and dwelling enrolment processes. As of </w:t>
      </w:r>
      <w:r w:rsidR="00C666A0" w:rsidRPr="008422B0">
        <w:t>July</w:t>
      </w:r>
      <w:r w:rsidR="00C666A0">
        <w:t> </w:t>
      </w:r>
      <w:r w:rsidRPr="008422B0">
        <w:t>2021, the ACE data is available in the Enterprise Data Warehouse for reporting and analysis purposes. Data management considerations are being incorporated into ACE build requirements which will ensure the quality of data recorded in the new business system.</w:t>
      </w:r>
      <w:r w:rsidR="00CE2F19">
        <w:t xml:space="preserve"> In 2022 an initial major release of ACE will occur which will improve the participant pathway (access and planning) from a system perspective. </w:t>
      </w:r>
    </w:p>
    <w:p w14:paraId="0D85B979" w14:textId="77777777" w:rsidR="00986DCC" w:rsidRPr="00595FA1" w:rsidRDefault="00986DCC" w:rsidP="00986DCC">
      <w:pPr>
        <w:pStyle w:val="Heading4"/>
        <w:ind w:left="907" w:hanging="907"/>
      </w:pPr>
      <w:r w:rsidRPr="00595FA1">
        <w:lastRenderedPageBreak/>
        <w:t>Finance systems</w:t>
      </w:r>
    </w:p>
    <w:p w14:paraId="5E290F14" w14:textId="00C0099F" w:rsidR="00986DCC" w:rsidRPr="00C24B31" w:rsidRDefault="00986DCC" w:rsidP="00986DCC">
      <w:pPr>
        <w:pStyle w:val="FSRnormal"/>
      </w:pPr>
      <w:r w:rsidRPr="00595FA1">
        <w:t>SAP Finance is the Agency’s finance system</w:t>
      </w:r>
      <w:r w:rsidR="00DA3698">
        <w:t xml:space="preserve"> and was introduced on 1 July 2016</w:t>
      </w:r>
      <w:r w:rsidRPr="00595FA1">
        <w:t xml:space="preserve">. All payments to and from the Agency are made using SAP Finance. In line with </w:t>
      </w:r>
      <w:r w:rsidRPr="008422B0">
        <w:t>Services Australia’s</w:t>
      </w:r>
      <w:r w:rsidRPr="00595FA1">
        <w:t xml:space="preserve"> practice, the Agency </w:t>
      </w:r>
      <w:r w:rsidRPr="008422B0">
        <w:t xml:space="preserve">uses the </w:t>
      </w:r>
      <w:r w:rsidRPr="00595FA1">
        <w:t xml:space="preserve">SAP Public Sector Collection and Disbursement </w:t>
      </w:r>
      <w:r w:rsidRPr="008422B0">
        <w:t xml:space="preserve">(SAP PSCD) system </w:t>
      </w:r>
      <w:r w:rsidRPr="00595FA1">
        <w:t xml:space="preserve">as an intermediary between the </w:t>
      </w:r>
      <w:r w:rsidR="00122FE0">
        <w:t xml:space="preserve">SAP CRM </w:t>
      </w:r>
      <w:r w:rsidRPr="00595FA1">
        <w:t>and SAP Finance</w:t>
      </w:r>
      <w:r w:rsidR="00787A30">
        <w:t xml:space="preserve"> (operated by Services Australia as a shared service)</w:t>
      </w:r>
      <w:r w:rsidRPr="00595FA1">
        <w:t xml:space="preserve">. </w:t>
      </w:r>
      <w:r w:rsidRPr="008422B0">
        <w:t>Work is being undertaken to design and implement additions to the Agency’s claims and payment functionalities to include e-invoicing and real-time payments capabilities</w:t>
      </w:r>
      <w:r w:rsidRPr="00595FA1">
        <w:t>.</w:t>
      </w:r>
    </w:p>
    <w:p w14:paraId="68344DFA" w14:textId="77777777" w:rsidR="00986DCC" w:rsidRPr="00C24B31" w:rsidRDefault="00986DCC" w:rsidP="00986DCC">
      <w:pPr>
        <w:pStyle w:val="Heading4"/>
        <w:ind w:left="907" w:hanging="907"/>
      </w:pPr>
      <w:bookmarkStart w:id="303" w:name="_Ref17453334"/>
      <w:r w:rsidRPr="00C24B31">
        <w:t>Data warehouse</w:t>
      </w:r>
      <w:bookmarkEnd w:id="303"/>
    </w:p>
    <w:p w14:paraId="39A0563F" w14:textId="77777777" w:rsidR="00986DCC" w:rsidRDefault="00986DCC" w:rsidP="00986DCC">
      <w:pPr>
        <w:pStyle w:val="FSRnormal"/>
      </w:pPr>
      <w:r w:rsidRPr="00C24B31">
        <w:t>Over the past 12 months, the strategic</w:t>
      </w:r>
      <w:r>
        <w:t xml:space="preserve"> Enterprise Data Warehouse Platform (Integrated Data Store 2.0 or IDS2) has been built. The data users and reporting functions are being transitioned to this new IDS2 platform, and the transition is scheduled to be completed in 2021.</w:t>
      </w:r>
    </w:p>
    <w:p w14:paraId="57199457" w14:textId="623DDBD2" w:rsidR="00986DCC" w:rsidRDefault="00986DCC" w:rsidP="00986DCC">
      <w:pPr>
        <w:pStyle w:val="FSRnormal"/>
      </w:pPr>
      <w:r>
        <w:t xml:space="preserve">The installation of the IDS2 platform was a pre-requisite for data ingestion, analysis and usage, from future sources like </w:t>
      </w:r>
      <w:r w:rsidR="00C666A0">
        <w:t xml:space="preserve">the </w:t>
      </w:r>
      <w:r w:rsidR="00122FE0">
        <w:t xml:space="preserve">ACE </w:t>
      </w:r>
      <w:r>
        <w:t>CRM.</w:t>
      </w:r>
    </w:p>
    <w:p w14:paraId="0B5CA533" w14:textId="77777777" w:rsidR="00986DCC" w:rsidRDefault="00986DCC" w:rsidP="00986DCC">
      <w:pPr>
        <w:pStyle w:val="FSRnormal"/>
      </w:pPr>
      <w:r>
        <w:t>The transition will realise significant benefits for the Agency, such as:</w:t>
      </w:r>
    </w:p>
    <w:p w14:paraId="7C3A55F6" w14:textId="7A26F6EE" w:rsidR="00986DCC" w:rsidRDefault="00986DCC" w:rsidP="000A0D48">
      <w:pPr>
        <w:pStyle w:val="FSRnormal"/>
        <w:numPr>
          <w:ilvl w:val="0"/>
          <w:numId w:val="14"/>
        </w:numPr>
      </w:pPr>
      <w:r>
        <w:t>Unification of disparate data sources to a common source of truth</w:t>
      </w:r>
      <w:r w:rsidR="00DC36CD">
        <w:t>. T</w:t>
      </w:r>
      <w:r>
        <w:t>his ensures integrity across the Agency’s reporting, BI and analysis functions</w:t>
      </w:r>
    </w:p>
    <w:p w14:paraId="6500C6A9" w14:textId="6EEDB01A" w:rsidR="00986DCC" w:rsidRDefault="00986DCC" w:rsidP="000A0D48">
      <w:pPr>
        <w:pStyle w:val="FSRnormal"/>
        <w:numPr>
          <w:ilvl w:val="0"/>
          <w:numId w:val="14"/>
        </w:numPr>
      </w:pPr>
      <w:r>
        <w:t>Enables decommissioning of the legacy data platform and processes, thus reducing maintenance and resourcing demands</w:t>
      </w:r>
    </w:p>
    <w:p w14:paraId="69D22AD1" w14:textId="2F89B761" w:rsidR="00986DCC" w:rsidRDefault="00986DCC" w:rsidP="000A0D48">
      <w:pPr>
        <w:pStyle w:val="FSRnormal"/>
        <w:numPr>
          <w:ilvl w:val="0"/>
          <w:numId w:val="14"/>
        </w:numPr>
      </w:pPr>
      <w:r>
        <w:t>Facilitate integration with strategic data sources (like Salesforce), with minimal disruption to end users</w:t>
      </w:r>
    </w:p>
    <w:p w14:paraId="3EC18392" w14:textId="20C4C9F7" w:rsidR="00986DCC" w:rsidRDefault="00986DCC" w:rsidP="000A0D48">
      <w:pPr>
        <w:pStyle w:val="FSRnormal"/>
        <w:numPr>
          <w:ilvl w:val="0"/>
          <w:numId w:val="14"/>
        </w:numPr>
      </w:pPr>
      <w:r>
        <w:t>Transition to IDS2 offers an opportunity to establish enterprise standards</w:t>
      </w:r>
      <w:r w:rsidR="00D507E9">
        <w:t xml:space="preserve">, </w:t>
      </w:r>
      <w:r>
        <w:t>best practices in nomenclature</w:t>
      </w:r>
      <w:r w:rsidR="000B4795">
        <w:t xml:space="preserve"> and </w:t>
      </w:r>
      <w:r>
        <w:t>development standards</w:t>
      </w:r>
    </w:p>
    <w:p w14:paraId="20E1443E" w14:textId="1D666C77" w:rsidR="00986DCC" w:rsidRDefault="00986DCC" w:rsidP="000A0D48">
      <w:pPr>
        <w:pStyle w:val="FSRnormal"/>
        <w:numPr>
          <w:ilvl w:val="0"/>
          <w:numId w:val="14"/>
        </w:numPr>
      </w:pPr>
      <w:r>
        <w:t>Data quality and data exceptions can be identified sooner in the data processing lifecycle</w:t>
      </w:r>
      <w:r w:rsidR="00D507E9">
        <w:t xml:space="preserve">, which minimises </w:t>
      </w:r>
      <w:r>
        <w:t>impacts to reporting and data analysis</w:t>
      </w:r>
    </w:p>
    <w:p w14:paraId="7D03CDF2" w14:textId="7D5BD3EA" w:rsidR="00986DCC" w:rsidRDefault="00986DCC" w:rsidP="000A0D48">
      <w:pPr>
        <w:pStyle w:val="FSRnormal"/>
        <w:numPr>
          <w:ilvl w:val="0"/>
          <w:numId w:val="14"/>
        </w:numPr>
      </w:pPr>
      <w:r>
        <w:t xml:space="preserve">Data cleansing is </w:t>
      </w:r>
      <w:r w:rsidR="00D507E9">
        <w:t>standardised</w:t>
      </w:r>
      <w:r>
        <w:t>, and ensures robust data loads and extractions.</w:t>
      </w:r>
    </w:p>
    <w:p w14:paraId="1600AB70" w14:textId="77777777" w:rsidR="00986DCC" w:rsidRDefault="00986DCC" w:rsidP="00986DCC">
      <w:pPr>
        <w:pStyle w:val="FSRnormal"/>
      </w:pPr>
      <w:r>
        <w:t>A stable data warehouse platform is expected to enhance integration with reporting and analytical tools and, continue improving the quality and width of data being recorded and reported.</w:t>
      </w:r>
    </w:p>
    <w:p w14:paraId="32BD982B" w14:textId="77777777" w:rsidR="00986DCC" w:rsidRDefault="00986DCC" w:rsidP="00986DCC">
      <w:pPr>
        <w:pStyle w:val="FSRnormal"/>
      </w:pPr>
      <w:r>
        <w:t>While good progress was made in improving data integrity, by adoption of a strategic data warehouse and better data quality standards, there are improvements still to be made.</w:t>
      </w:r>
    </w:p>
    <w:p w14:paraId="2E83711B" w14:textId="77777777" w:rsidR="00986DCC" w:rsidRDefault="00986DCC" w:rsidP="004B3B25">
      <w:pPr>
        <w:pStyle w:val="FSRnormal"/>
        <w:keepNext/>
        <w:keepLines/>
      </w:pPr>
      <w:r>
        <w:lastRenderedPageBreak/>
        <w:t>The areas of focus in 2021-22 will be:</w:t>
      </w:r>
    </w:p>
    <w:p w14:paraId="0396D73A" w14:textId="43DC067E" w:rsidR="00986DCC" w:rsidRDefault="00986DCC" w:rsidP="004B3B25">
      <w:pPr>
        <w:pStyle w:val="FSRnormal"/>
        <w:keepNext/>
        <w:keepLines/>
        <w:numPr>
          <w:ilvl w:val="0"/>
          <w:numId w:val="15"/>
        </w:numPr>
      </w:pPr>
      <w:r>
        <w:t xml:space="preserve">Integration of the </w:t>
      </w:r>
      <w:r w:rsidR="00122FE0">
        <w:t xml:space="preserve">ACE </w:t>
      </w:r>
      <w:r>
        <w:t>CRM to the strategic data warehouse platform</w:t>
      </w:r>
    </w:p>
    <w:p w14:paraId="4CCB8B4F" w14:textId="355AF42B" w:rsidR="00986DCC" w:rsidRDefault="00986DCC" w:rsidP="004B3B25">
      <w:pPr>
        <w:pStyle w:val="FSRnormal"/>
        <w:keepNext/>
        <w:keepLines/>
        <w:numPr>
          <w:ilvl w:val="0"/>
          <w:numId w:val="15"/>
        </w:numPr>
      </w:pPr>
      <w:r>
        <w:t>Extend</w:t>
      </w:r>
      <w:r w:rsidR="000B4795">
        <w:t>ing</w:t>
      </w:r>
      <w:r>
        <w:t xml:space="preserve"> capability to ingest unstructured data from wider sources (like </w:t>
      </w:r>
      <w:r w:rsidR="00D507E9">
        <w:t xml:space="preserve">through a </w:t>
      </w:r>
      <w:r>
        <w:t>data</w:t>
      </w:r>
      <w:r w:rsidR="00D507E9">
        <w:t xml:space="preserve"> </w:t>
      </w:r>
      <w:r>
        <w:t>lake)</w:t>
      </w:r>
    </w:p>
    <w:p w14:paraId="37AC3B3A" w14:textId="13A58A90" w:rsidR="00986DCC" w:rsidRDefault="00986DCC" w:rsidP="004B3B25">
      <w:pPr>
        <w:pStyle w:val="FSRnormal"/>
        <w:keepNext/>
        <w:keepLines/>
        <w:numPr>
          <w:ilvl w:val="0"/>
          <w:numId w:val="15"/>
        </w:numPr>
      </w:pPr>
      <w:r>
        <w:t>Enhance data design, transformation capability and processes.</w:t>
      </w:r>
    </w:p>
    <w:p w14:paraId="65AB5261" w14:textId="77777777" w:rsidR="00986DCC" w:rsidRPr="00907182" w:rsidRDefault="00986DCC" w:rsidP="00986DCC">
      <w:pPr>
        <w:pStyle w:val="FSRHeading2"/>
        <w:numPr>
          <w:ilvl w:val="1"/>
          <w:numId w:val="1"/>
        </w:numPr>
        <w:ind w:left="851" w:hanging="851"/>
      </w:pPr>
      <w:bookmarkStart w:id="304" w:name="_Toc80732674"/>
      <w:bookmarkStart w:id="305" w:name="_Toc80732836"/>
      <w:bookmarkStart w:id="306" w:name="_Toc80732889"/>
      <w:bookmarkStart w:id="307" w:name="_Toc80732942"/>
      <w:bookmarkStart w:id="308" w:name="_Toc80734620"/>
      <w:bookmarkStart w:id="309" w:name="_Toc80736543"/>
      <w:bookmarkStart w:id="310" w:name="_Toc80732675"/>
      <w:bookmarkStart w:id="311" w:name="_Toc80732837"/>
      <w:bookmarkStart w:id="312" w:name="_Toc80732890"/>
      <w:bookmarkStart w:id="313" w:name="_Toc80732943"/>
      <w:bookmarkStart w:id="314" w:name="_Toc80734621"/>
      <w:bookmarkStart w:id="315" w:name="_Toc80736544"/>
      <w:bookmarkStart w:id="316" w:name="_Toc80732676"/>
      <w:bookmarkStart w:id="317" w:name="_Toc80732838"/>
      <w:bookmarkStart w:id="318" w:name="_Toc80732891"/>
      <w:bookmarkStart w:id="319" w:name="_Toc80732944"/>
      <w:bookmarkStart w:id="320" w:name="_Toc80734622"/>
      <w:bookmarkStart w:id="321" w:name="_Toc80736545"/>
      <w:bookmarkStart w:id="322" w:name="_Toc80732678"/>
      <w:bookmarkStart w:id="323" w:name="_Toc80732840"/>
      <w:bookmarkStart w:id="324" w:name="_Toc80732893"/>
      <w:bookmarkStart w:id="325" w:name="_Toc80732946"/>
      <w:bookmarkStart w:id="326" w:name="_Toc80734624"/>
      <w:bookmarkStart w:id="327" w:name="_Toc80736547"/>
      <w:bookmarkStart w:id="328" w:name="_Toc80732679"/>
      <w:bookmarkStart w:id="329" w:name="_Toc80732841"/>
      <w:bookmarkStart w:id="330" w:name="_Toc80732894"/>
      <w:bookmarkStart w:id="331" w:name="_Toc80732947"/>
      <w:bookmarkStart w:id="332" w:name="_Toc80734625"/>
      <w:bookmarkStart w:id="333" w:name="_Toc80736548"/>
      <w:bookmarkStart w:id="334" w:name="_Toc80732680"/>
      <w:bookmarkStart w:id="335" w:name="_Toc80732842"/>
      <w:bookmarkStart w:id="336" w:name="_Toc80732895"/>
      <w:bookmarkStart w:id="337" w:name="_Toc80732948"/>
      <w:bookmarkStart w:id="338" w:name="_Toc80734626"/>
      <w:bookmarkStart w:id="339" w:name="_Toc80736549"/>
      <w:bookmarkStart w:id="340" w:name="_Toc80732681"/>
      <w:bookmarkStart w:id="341" w:name="_Toc80732843"/>
      <w:bookmarkStart w:id="342" w:name="_Toc80732896"/>
      <w:bookmarkStart w:id="343" w:name="_Toc80732949"/>
      <w:bookmarkStart w:id="344" w:name="_Toc80734627"/>
      <w:bookmarkStart w:id="345" w:name="_Toc80736550"/>
      <w:bookmarkStart w:id="346" w:name="_Toc80732682"/>
      <w:bookmarkStart w:id="347" w:name="_Toc80732844"/>
      <w:bookmarkStart w:id="348" w:name="_Toc80732897"/>
      <w:bookmarkStart w:id="349" w:name="_Toc80732950"/>
      <w:bookmarkStart w:id="350" w:name="_Toc80734628"/>
      <w:bookmarkStart w:id="351" w:name="_Toc80736551"/>
      <w:bookmarkStart w:id="352" w:name="_Toc80732683"/>
      <w:bookmarkStart w:id="353" w:name="_Toc80732845"/>
      <w:bookmarkStart w:id="354" w:name="_Toc80732898"/>
      <w:bookmarkStart w:id="355" w:name="_Toc80732951"/>
      <w:bookmarkStart w:id="356" w:name="_Toc80734629"/>
      <w:bookmarkStart w:id="357" w:name="_Toc80736552"/>
      <w:bookmarkStart w:id="358" w:name="_Toc80732684"/>
      <w:bookmarkStart w:id="359" w:name="_Toc80732846"/>
      <w:bookmarkStart w:id="360" w:name="_Toc80732899"/>
      <w:bookmarkStart w:id="361" w:name="_Toc80732952"/>
      <w:bookmarkStart w:id="362" w:name="_Toc80734630"/>
      <w:bookmarkStart w:id="363" w:name="_Toc80736553"/>
      <w:bookmarkStart w:id="364" w:name="_Toc79766617"/>
      <w:bookmarkStart w:id="365" w:name="_Toc83220863"/>
      <w:bookmarkStart w:id="366" w:name="_Toc85031274"/>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907182">
        <w:t>Risk management</w:t>
      </w:r>
      <w:bookmarkEnd w:id="364"/>
      <w:bookmarkEnd w:id="365"/>
      <w:bookmarkEnd w:id="366"/>
    </w:p>
    <w:p w14:paraId="78843BAF" w14:textId="77777777" w:rsidR="00986DCC" w:rsidRDefault="00986DCC" w:rsidP="00986DCC">
      <w:pPr>
        <w:pStyle w:val="FSRnormal"/>
      </w:pPr>
      <w:r w:rsidRPr="008422B0">
        <w:t xml:space="preserve">The Agency </w:t>
      </w:r>
      <w:r>
        <w:t>has a structured approach to identifying, managing, escalating and communicating key risks. This is critical to the effective and efficient delivery of the Scheme. The Agency is committed to ensuring that participant supports, provider services and other critical business functions are maintained or quickly restored in the event of a significant outage, incident or crisis. The proactive use of risk management within the Agency has enabled effective business planning and operations with an evidence-based approach within the appetite set by the Board.</w:t>
      </w:r>
    </w:p>
    <w:p w14:paraId="03F2B0B9" w14:textId="14E9B4B8" w:rsidR="00986DCC" w:rsidRDefault="00986DCC" w:rsidP="00986DCC">
      <w:pPr>
        <w:pStyle w:val="FSRnormal"/>
      </w:pPr>
      <w:r>
        <w:t>On an annual basis, the Board determines the strategic risks for the Agency, which are directly aligned to the Corporate Plan. The Board determined nine strategic risks for 2020-21 in the areas of</w:t>
      </w:r>
      <w:r w:rsidR="00673BE8">
        <w:t>:</w:t>
      </w:r>
    </w:p>
    <w:p w14:paraId="10725E56" w14:textId="0E34A1CB" w:rsidR="00986DCC" w:rsidRDefault="00986DCC" w:rsidP="000A0D48">
      <w:pPr>
        <w:pStyle w:val="FSRnormal"/>
        <w:numPr>
          <w:ilvl w:val="0"/>
          <w:numId w:val="16"/>
        </w:numPr>
      </w:pPr>
      <w:r>
        <w:t>Participant Experience</w:t>
      </w:r>
    </w:p>
    <w:p w14:paraId="0E99B467" w14:textId="142FA91D" w:rsidR="00986DCC" w:rsidRDefault="00986DCC" w:rsidP="000A0D48">
      <w:pPr>
        <w:pStyle w:val="FSRnormal"/>
        <w:numPr>
          <w:ilvl w:val="0"/>
          <w:numId w:val="16"/>
        </w:numPr>
      </w:pPr>
      <w:r>
        <w:t>Participant Outcomes</w:t>
      </w:r>
    </w:p>
    <w:p w14:paraId="39AA9EDF" w14:textId="03777224" w:rsidR="00986DCC" w:rsidRDefault="00986DCC" w:rsidP="000A0D48">
      <w:pPr>
        <w:pStyle w:val="FSRnormal"/>
        <w:numPr>
          <w:ilvl w:val="0"/>
          <w:numId w:val="16"/>
        </w:numPr>
      </w:pPr>
      <w:r>
        <w:t>Partner Performance</w:t>
      </w:r>
    </w:p>
    <w:p w14:paraId="619DA77A" w14:textId="18626FD3" w:rsidR="00986DCC" w:rsidRDefault="00986DCC" w:rsidP="000A0D48">
      <w:pPr>
        <w:pStyle w:val="FSRnormal"/>
        <w:numPr>
          <w:ilvl w:val="0"/>
          <w:numId w:val="16"/>
        </w:numPr>
      </w:pPr>
      <w:r>
        <w:t xml:space="preserve">Provider Market </w:t>
      </w:r>
      <w:r w:rsidR="00673BE8">
        <w:t>Quality</w:t>
      </w:r>
    </w:p>
    <w:p w14:paraId="782EE4AF" w14:textId="1368B398" w:rsidR="00986DCC" w:rsidRDefault="00673BE8" w:rsidP="000A0D48">
      <w:pPr>
        <w:pStyle w:val="FSRnormal"/>
        <w:numPr>
          <w:ilvl w:val="0"/>
          <w:numId w:val="16"/>
        </w:numPr>
      </w:pPr>
      <w:r>
        <w:t>F</w:t>
      </w:r>
      <w:r w:rsidR="00986DCC">
        <w:t xml:space="preserve">inancial </w:t>
      </w:r>
      <w:r>
        <w:t>S</w:t>
      </w:r>
      <w:r w:rsidR="00986DCC">
        <w:t>ustainability</w:t>
      </w:r>
    </w:p>
    <w:p w14:paraId="78A7D310" w14:textId="32BE7BB4" w:rsidR="00673BE8" w:rsidRDefault="00986DCC" w:rsidP="000A0D48">
      <w:pPr>
        <w:pStyle w:val="FSRnormal"/>
        <w:numPr>
          <w:ilvl w:val="0"/>
          <w:numId w:val="16"/>
        </w:numPr>
      </w:pPr>
      <w:r>
        <w:t xml:space="preserve">Scheme </w:t>
      </w:r>
      <w:r w:rsidR="00673BE8">
        <w:t>I</w:t>
      </w:r>
      <w:r>
        <w:t>ntegrity</w:t>
      </w:r>
    </w:p>
    <w:p w14:paraId="11A96042" w14:textId="509C65AE" w:rsidR="00673BE8" w:rsidRDefault="00673BE8" w:rsidP="000A0D48">
      <w:pPr>
        <w:pStyle w:val="FSRnormal"/>
        <w:numPr>
          <w:ilvl w:val="0"/>
          <w:numId w:val="16"/>
        </w:numPr>
      </w:pPr>
      <w:r>
        <w:t>People Capability and Capacity</w:t>
      </w:r>
    </w:p>
    <w:p w14:paraId="1374ED09" w14:textId="1AF5B462" w:rsidR="00673BE8" w:rsidRDefault="00673BE8" w:rsidP="000A0D48">
      <w:pPr>
        <w:pStyle w:val="FSRnormal"/>
        <w:numPr>
          <w:ilvl w:val="0"/>
          <w:numId w:val="16"/>
        </w:numPr>
      </w:pPr>
      <w:r>
        <w:t>ICT Delivery and Support</w:t>
      </w:r>
    </w:p>
    <w:p w14:paraId="60FFC8BB" w14:textId="6AF1D754" w:rsidR="00986DCC" w:rsidRDefault="00673BE8">
      <w:pPr>
        <w:pStyle w:val="FSRnormal"/>
        <w:numPr>
          <w:ilvl w:val="0"/>
          <w:numId w:val="16"/>
        </w:numPr>
      </w:pPr>
      <w:r>
        <w:t>System Interruption.</w:t>
      </w:r>
      <w:r w:rsidR="00986DCC">
        <w:t xml:space="preserve"> </w:t>
      </w:r>
    </w:p>
    <w:p w14:paraId="4FC4A512" w14:textId="77777777" w:rsidR="00986DCC" w:rsidRDefault="00986DCC" w:rsidP="00986DCC">
      <w:pPr>
        <w:pStyle w:val="FSRnormal"/>
      </w:pPr>
      <w:r>
        <w:t>The strategic risks are monitored against key indicators and performance is reported to the Board Risk Committee on a quarterly basis. The strategic risks are complemented by operational risks and controls which are owned and managed at group level.</w:t>
      </w:r>
    </w:p>
    <w:p w14:paraId="45FD7609" w14:textId="77777777" w:rsidR="00986DCC" w:rsidRDefault="00986DCC" w:rsidP="00986DCC">
      <w:pPr>
        <w:pStyle w:val="FSRnormal"/>
      </w:pPr>
      <w:r>
        <w:t xml:space="preserve">The Agency has established and practically tested its Business Continuity Management Framework (most recently during the COVID-19 pandemic and NSW floods) to ensure the </w:t>
      </w:r>
      <w:r>
        <w:lastRenderedPageBreak/>
        <w:t>rapid resumption of participant and provider services and critical business activities in emergency situations.</w:t>
      </w:r>
    </w:p>
    <w:p w14:paraId="27A61096" w14:textId="77777777" w:rsidR="00986DCC" w:rsidRPr="00907182" w:rsidRDefault="00986DCC" w:rsidP="00986DCC">
      <w:pPr>
        <w:pStyle w:val="FSRnormal"/>
      </w:pPr>
      <w:r>
        <w:t>The Agency’s integrated risk management system has been enhanced to provide a single platform for managing operational, strategic and regulatory risks, audit recommendations, incidents and business continuity plans. The system gives accountable executives extended visibility to the risks and controls within their business and the broader Agency, and provides for a connected risk environment through which inter-dependencies can be identified and managed.</w:t>
      </w:r>
    </w:p>
    <w:p w14:paraId="72E4A6F9" w14:textId="77777777" w:rsidR="00986DCC" w:rsidRPr="00490DF7" w:rsidRDefault="00986DCC" w:rsidP="00986DCC">
      <w:pPr>
        <w:pStyle w:val="FSRHeading4"/>
      </w:pPr>
      <w:r w:rsidRPr="00490DF7">
        <w:t>Risk management summary</w:t>
      </w:r>
    </w:p>
    <w:p w14:paraId="48E68795" w14:textId="4C3305AE" w:rsidR="00986DCC" w:rsidRDefault="00986DCC" w:rsidP="00986DCC">
      <w:pPr>
        <w:pStyle w:val="FSRnormal"/>
      </w:pPr>
      <w:r w:rsidRPr="00490DF7">
        <w:t xml:space="preserve">While the Agency’s tools, processes and procedures are adequate for an entity at this level of maturity, they </w:t>
      </w:r>
      <w:r w:rsidR="00185D8F">
        <w:t>should</w:t>
      </w:r>
      <w:r w:rsidR="00185D8F" w:rsidRPr="00490DF7">
        <w:t xml:space="preserve"> </w:t>
      </w:r>
      <w:r w:rsidRPr="00490DF7">
        <w:t>continue to evolve with the Scheme. Future development in risk maturity should focus on</w:t>
      </w:r>
      <w:r w:rsidR="00363D70" w:rsidRPr="00490DF7">
        <w:t xml:space="preserve"> </w:t>
      </w:r>
      <w:r w:rsidRPr="00490DF7">
        <w:t>better embedding positive risk behaviours and a risk culture within the Agency, continuing to improve the depth of its risk management processes, implementing systems to better support consistent decision-making (particularly around access and plan budgets), better governance and implementation of policy changes, and focusing on the need to proactively manage financial sustainability risks.</w:t>
      </w:r>
    </w:p>
    <w:p w14:paraId="586DE864" w14:textId="4EEC32F9" w:rsidR="00447D4E" w:rsidRDefault="00986DCC" w:rsidP="00986DCC">
      <w:pPr>
        <w:pStyle w:val="FSRnormal"/>
      </w:pPr>
      <w:r w:rsidRPr="00490DF7">
        <w:t>Managing the strategic and operational</w:t>
      </w:r>
      <w:r w:rsidRPr="00490DF7" w:rsidDel="001E4B3E">
        <w:t xml:space="preserve"> </w:t>
      </w:r>
      <w:r w:rsidRPr="00490DF7">
        <w:t>risks discussed in this section such that they are at an acceptable level is fundamental to the success of the Scheme. While strategies to mitigate these risks are articulated in current risk reporting, it will be important to monitor the effectiveness of these strategies in real time to ensure that they are having the desired impact, as well as continuing to actively manage these risks to an acceptable level in future.</w:t>
      </w:r>
    </w:p>
    <w:p w14:paraId="5160D8E4" w14:textId="4C9B4DB0" w:rsidR="00447D4E" w:rsidRDefault="00447D4E" w:rsidP="00447D4E">
      <w:pPr>
        <w:pStyle w:val="Heading2"/>
      </w:pPr>
      <w:bookmarkStart w:id="367" w:name="_Toc83220864"/>
      <w:bookmarkStart w:id="368" w:name="_Toc85031275"/>
      <w:r>
        <w:lastRenderedPageBreak/>
        <w:t>Recommendations</w:t>
      </w:r>
      <w:bookmarkEnd w:id="367"/>
      <w:bookmarkEnd w:id="368"/>
      <w:r>
        <w:t xml:space="preserve"> </w:t>
      </w:r>
    </w:p>
    <w:p w14:paraId="5DB45AEC" w14:textId="31B76296" w:rsidR="00B63160" w:rsidRPr="00EE7705" w:rsidRDefault="00B63160" w:rsidP="00B63160">
      <w:pPr>
        <w:pStyle w:val="FSRnormal"/>
      </w:pPr>
      <w:r>
        <w:t>The AFSR is required, to include “</w:t>
      </w:r>
      <w:r w:rsidRPr="008C3131">
        <w:rPr>
          <w:i/>
        </w:rPr>
        <w:t>a discussion of the key risks and issues identified and, where these have an adverse impact on financial sustainability, recommendations designed to manage the risks or address the issues</w:t>
      </w:r>
      <w:r>
        <w:t>”</w:t>
      </w:r>
      <w:r w:rsidRPr="008C3131">
        <w:rPr>
          <w:rStyle w:val="FootnoteReference"/>
        </w:rPr>
        <w:t xml:space="preserve"> </w:t>
      </w:r>
      <w:r>
        <w:rPr>
          <w:rStyle w:val="FootnoteReference"/>
        </w:rPr>
        <w:footnoteReference w:id="88"/>
      </w:r>
      <w:r>
        <w:t xml:space="preserve">. This section sets out the recommendations arising from the analysis undertaken in development of this report, that are intended to manage identified risks and achieve greater certainty in relation to the long term financial sustainability of the Scheme. </w:t>
      </w:r>
    </w:p>
    <w:p w14:paraId="6B110A9D" w14:textId="77777777" w:rsidR="00B63160" w:rsidRPr="003A5F85" w:rsidRDefault="00B63160" w:rsidP="00B63160">
      <w:pPr>
        <w:pStyle w:val="FSRHeading4"/>
      </w:pPr>
      <w:r>
        <w:t>Embed insurance principles in NDIS c</w:t>
      </w:r>
      <w:r w:rsidRPr="003A5F85">
        <w:t>ulture</w:t>
      </w:r>
      <w:r>
        <w:t xml:space="preserve"> and communications</w:t>
      </w:r>
    </w:p>
    <w:p w14:paraId="07D1250C" w14:textId="19533EBD" w:rsidR="00B63160" w:rsidRPr="00EE7705" w:rsidRDefault="00B63160" w:rsidP="00B63160">
      <w:pPr>
        <w:pStyle w:val="FSRnormal"/>
      </w:pPr>
      <w:r w:rsidRPr="00EE7705">
        <w:t>The financial sustainability of the NDIS is central in the NDIS Act and a key expectation outlined in the Ministerial Council’s Statement of Strategic Guidance for the NDIA’s Board</w:t>
      </w:r>
      <w:r w:rsidR="004219F9">
        <w:rPr>
          <w:rStyle w:val="FootnoteReference"/>
        </w:rPr>
        <w:footnoteReference w:id="89"/>
      </w:r>
      <w:r w:rsidRPr="00EE7705">
        <w:t xml:space="preserve">. The NDIA is committed to deliver the Scheme </w:t>
      </w:r>
      <w:r w:rsidR="00E32918">
        <w:t xml:space="preserve">in line with the requirements of the NDIS Act and </w:t>
      </w:r>
      <w:r w:rsidRPr="00EE7705">
        <w:t xml:space="preserve">within a sustainable level of funding. </w:t>
      </w:r>
    </w:p>
    <w:p w14:paraId="7D86E225" w14:textId="54BE7E38" w:rsidR="00B63160" w:rsidRDefault="00B63160" w:rsidP="00B63160">
      <w:pPr>
        <w:pStyle w:val="FSRnormal"/>
      </w:pPr>
      <w:r>
        <w:t xml:space="preserve">To meet this commitment, the NDIA’s financial responsibilities and associated insurance principles must be clearly understood by all NDIA stakeholders (participants, </w:t>
      </w:r>
      <w:r w:rsidR="00CD5914">
        <w:t xml:space="preserve">disability groups, </w:t>
      </w:r>
      <w:r>
        <w:t xml:space="preserve">NDIA staff, partners and other stakeholders) and embedded into the long-term future of the Scheme. NDIA initiatives, including those recommended below, must be </w:t>
      </w:r>
      <w:r w:rsidRPr="007E7DD9">
        <w:t xml:space="preserve">underpinned </w:t>
      </w:r>
      <w:r>
        <w:t>with</w:t>
      </w:r>
      <w:r w:rsidRPr="007E7DD9">
        <w:t xml:space="preserve"> communication</w:t>
      </w:r>
      <w:r>
        <w:t>s that emphasise the Scheme’s intent and its insurance principles</w:t>
      </w:r>
      <w:r w:rsidRPr="007E7DD9">
        <w:t>.</w:t>
      </w:r>
    </w:p>
    <w:p w14:paraId="3A9EACC3" w14:textId="0A18CBE4" w:rsidR="00B63160" w:rsidRDefault="00B63160" w:rsidP="00B63160">
      <w:pPr>
        <w:pStyle w:val="FSRnormal"/>
      </w:pPr>
      <w:r w:rsidRPr="00C30747">
        <w:rPr>
          <w:b/>
          <w:i/>
        </w:rPr>
        <w:t>Recommendation</w:t>
      </w:r>
      <w:r>
        <w:rPr>
          <w:b/>
          <w:i/>
        </w:rPr>
        <w:t xml:space="preserve"> 1</w:t>
      </w:r>
      <w:r w:rsidRPr="00C30747">
        <w:rPr>
          <w:i/>
        </w:rPr>
        <w:t xml:space="preserve">: </w:t>
      </w:r>
      <w:r w:rsidRPr="00EE7705">
        <w:rPr>
          <w:i/>
        </w:rPr>
        <w:t xml:space="preserve">The NDIA should ensure that NDIS insurance principles are embedded in its strategic communications with participants, </w:t>
      </w:r>
      <w:r w:rsidR="00CD5914" w:rsidRPr="00000C9A">
        <w:rPr>
          <w:i/>
        </w:rPr>
        <w:t xml:space="preserve">disability </w:t>
      </w:r>
      <w:r w:rsidR="00CD5914" w:rsidRPr="00486761">
        <w:rPr>
          <w:i/>
        </w:rPr>
        <w:t xml:space="preserve">groups, </w:t>
      </w:r>
      <w:r w:rsidRPr="00000C9A">
        <w:rPr>
          <w:i/>
        </w:rPr>
        <w:t>staff</w:t>
      </w:r>
      <w:r w:rsidRPr="00EE7705">
        <w:rPr>
          <w:i/>
        </w:rPr>
        <w:t>, partners and other stakeholders.</w:t>
      </w:r>
    </w:p>
    <w:p w14:paraId="74569079" w14:textId="6107817F" w:rsidR="00B63160" w:rsidRPr="002522AC" w:rsidRDefault="0065622E" w:rsidP="00B63160">
      <w:pPr>
        <w:pStyle w:val="FSRHeading4"/>
      </w:pPr>
      <w:r>
        <w:t>F</w:t>
      </w:r>
      <w:r w:rsidR="00B63160">
        <w:t>ocus</w:t>
      </w:r>
      <w:r>
        <w:t>sing</w:t>
      </w:r>
      <w:r w:rsidR="00B63160">
        <w:t xml:space="preserve"> on p</w:t>
      </w:r>
      <w:r w:rsidR="00B63160" w:rsidRPr="002522AC">
        <w:t>articipant outcomes</w:t>
      </w:r>
    </w:p>
    <w:p w14:paraId="37F177C8" w14:textId="77777777" w:rsidR="00B63160" w:rsidRDefault="00B63160" w:rsidP="00B63160">
      <w:r>
        <w:t xml:space="preserve">The </w:t>
      </w:r>
      <w:r w:rsidRPr="00554876">
        <w:t xml:space="preserve">NDIA </w:t>
      </w:r>
      <w:r>
        <w:t>needs to</w:t>
      </w:r>
      <w:r w:rsidRPr="00554876">
        <w:t xml:space="preserve"> be effective in </w:t>
      </w:r>
      <w:r>
        <w:t xml:space="preserve">supporting participants to achieve positive outcomes by ensuring support costs are expended, as much as possible on early intervention enabling participants to achieve improved economic and social participation outcomes. This is central to the purpose of the NDIS, and will have longer term benefits for financial sustainability via reducing future reliance on funded supports over participants’ lifetimes. </w:t>
      </w:r>
    </w:p>
    <w:p w14:paraId="458CF704" w14:textId="1D25956B" w:rsidR="00B63160" w:rsidRDefault="00DA3698" w:rsidP="00B63160">
      <w:r>
        <w:t xml:space="preserve">Whilst the agency </w:t>
      </w:r>
      <w:r w:rsidR="0065622E">
        <w:t xml:space="preserve">is </w:t>
      </w:r>
      <w:r>
        <w:t>assisting participants to set goals and achieve outcomes, further work is required to</w:t>
      </w:r>
      <w:r w:rsidR="00B63160">
        <w:t xml:space="preserve">: </w:t>
      </w:r>
    </w:p>
    <w:p w14:paraId="66C7D163" w14:textId="03CEB4EF" w:rsidR="00B63160" w:rsidRDefault="00B63160" w:rsidP="00B63160">
      <w:pPr>
        <w:pStyle w:val="ListParagraph"/>
        <w:numPr>
          <w:ilvl w:val="0"/>
          <w:numId w:val="27"/>
        </w:numPr>
        <w:spacing w:after="160" w:line="259" w:lineRule="auto"/>
        <w:ind w:left="851" w:hanging="425"/>
      </w:pPr>
      <w:r>
        <w:t>Understand the supports available that are evidence</w:t>
      </w:r>
      <w:r w:rsidR="00E93269">
        <w:t>-</w:t>
      </w:r>
      <w:r>
        <w:t>based and have proven to be effective for other participants</w:t>
      </w:r>
    </w:p>
    <w:p w14:paraId="1AB8BA41" w14:textId="634DF1A0" w:rsidR="00B63160" w:rsidRDefault="00B63160" w:rsidP="00B63160">
      <w:pPr>
        <w:pStyle w:val="ListParagraph"/>
        <w:numPr>
          <w:ilvl w:val="0"/>
          <w:numId w:val="27"/>
        </w:numPr>
        <w:spacing w:after="160" w:line="259" w:lineRule="auto"/>
        <w:ind w:left="851" w:hanging="425"/>
      </w:pPr>
      <w:r>
        <w:t>Monitor a participant’s progress towards significant outcomes</w:t>
      </w:r>
    </w:p>
    <w:p w14:paraId="3BCE09AF" w14:textId="77777777" w:rsidR="00B63160" w:rsidRDefault="00B63160" w:rsidP="00B63160">
      <w:pPr>
        <w:pStyle w:val="ListParagraph"/>
        <w:numPr>
          <w:ilvl w:val="0"/>
          <w:numId w:val="27"/>
        </w:numPr>
        <w:spacing w:after="160" w:line="259" w:lineRule="auto"/>
        <w:ind w:left="851" w:hanging="425"/>
      </w:pPr>
      <w:r>
        <w:t xml:space="preserve">Measure the impact of different types of support or “pathways to outcomes”. </w:t>
      </w:r>
    </w:p>
    <w:p w14:paraId="6A564FA5" w14:textId="6DDEBAED" w:rsidR="00B63160" w:rsidRPr="00372E46" w:rsidRDefault="00B63160" w:rsidP="00B63160">
      <w:pPr>
        <w:rPr>
          <w:i/>
        </w:rPr>
      </w:pPr>
      <w:r w:rsidRPr="00372E46">
        <w:rPr>
          <w:b/>
          <w:i/>
        </w:rPr>
        <w:t>Recommendation</w:t>
      </w:r>
      <w:r>
        <w:rPr>
          <w:b/>
          <w:i/>
        </w:rPr>
        <w:t xml:space="preserve"> 2</w:t>
      </w:r>
      <w:r w:rsidRPr="00372E46">
        <w:rPr>
          <w:i/>
        </w:rPr>
        <w:t>: The NDI</w:t>
      </w:r>
      <w:r>
        <w:rPr>
          <w:i/>
        </w:rPr>
        <w:t>A</w:t>
      </w:r>
      <w:r w:rsidRPr="00372E46">
        <w:rPr>
          <w:i/>
        </w:rPr>
        <w:t xml:space="preserve"> should </w:t>
      </w:r>
      <w:r w:rsidR="0065622E">
        <w:rPr>
          <w:i/>
        </w:rPr>
        <w:t xml:space="preserve">continue work on </w:t>
      </w:r>
      <w:r w:rsidRPr="00372E46">
        <w:rPr>
          <w:i/>
        </w:rPr>
        <w:t>prioritising, implementing and measuring the impact of initiatives that aim to improve participant outcomes.</w:t>
      </w:r>
    </w:p>
    <w:p w14:paraId="0C3A5B50" w14:textId="77777777" w:rsidR="00B63160" w:rsidRDefault="00B63160" w:rsidP="00B63160">
      <w:r>
        <w:lastRenderedPageBreak/>
        <w:t>A number of projects are in progress and should be a priority for completion in the coming year:</w:t>
      </w:r>
    </w:p>
    <w:p w14:paraId="35CDD4E5" w14:textId="77777777" w:rsidR="00B63160" w:rsidRDefault="00B63160" w:rsidP="00B63160">
      <w:pPr>
        <w:pStyle w:val="ListParagraph"/>
        <w:numPr>
          <w:ilvl w:val="0"/>
          <w:numId w:val="27"/>
        </w:numPr>
        <w:spacing w:after="160" w:line="259" w:lineRule="auto"/>
        <w:ind w:left="851" w:hanging="425"/>
      </w:pPr>
      <w:r>
        <w:t>Increasing the capacity and capability of NDIA staff and partners to find, generate and use evidence for decision-making through a range of activities led by the Research and Evaluation Branch</w:t>
      </w:r>
    </w:p>
    <w:p w14:paraId="346D1DF3" w14:textId="77777777" w:rsidR="00B63160" w:rsidRDefault="00B63160" w:rsidP="00B63160">
      <w:pPr>
        <w:pStyle w:val="ListParagraph"/>
        <w:numPr>
          <w:ilvl w:val="0"/>
          <w:numId w:val="27"/>
        </w:numPr>
        <w:spacing w:after="160" w:line="259" w:lineRule="auto"/>
        <w:ind w:left="851" w:hanging="425"/>
      </w:pPr>
      <w:r>
        <w:t>Developing “supported decision guides” to help participants make informed, evidence-based choices</w:t>
      </w:r>
    </w:p>
    <w:p w14:paraId="5922B510" w14:textId="77777777" w:rsidR="00B63160" w:rsidRDefault="00B63160" w:rsidP="00B63160">
      <w:pPr>
        <w:pStyle w:val="ListParagraph"/>
        <w:numPr>
          <w:ilvl w:val="0"/>
          <w:numId w:val="27"/>
        </w:numPr>
        <w:spacing w:after="160" w:line="259" w:lineRule="auto"/>
        <w:ind w:left="851" w:hanging="425"/>
      </w:pPr>
      <w:r>
        <w:t>Completing and releasing the “Participants Like Me” interactive web tool, for participants to access information on the supports and pathways that have helped other participants to reach their goals</w:t>
      </w:r>
    </w:p>
    <w:p w14:paraId="23891316" w14:textId="77777777" w:rsidR="00B63160" w:rsidRDefault="00B63160" w:rsidP="00B63160">
      <w:pPr>
        <w:pStyle w:val="ListParagraph"/>
        <w:numPr>
          <w:ilvl w:val="0"/>
          <w:numId w:val="27"/>
        </w:numPr>
        <w:spacing w:after="160" w:line="259" w:lineRule="auto"/>
        <w:ind w:left="851" w:hanging="425"/>
      </w:pPr>
      <w:r>
        <w:t>Providing participants with support to make more structured goals, through additional fields in the CRM, to enable them to clearly communicate their expectations to providers and other people supporting them.</w:t>
      </w:r>
    </w:p>
    <w:p w14:paraId="5CADF886" w14:textId="77777777" w:rsidR="00B63160" w:rsidRPr="00C30747" w:rsidRDefault="00B63160" w:rsidP="00B63160">
      <w:pPr>
        <w:rPr>
          <w:i/>
        </w:rPr>
      </w:pPr>
      <w:r w:rsidRPr="00C30747">
        <w:rPr>
          <w:b/>
          <w:i/>
        </w:rPr>
        <w:t>Recommendation</w:t>
      </w:r>
      <w:r>
        <w:rPr>
          <w:b/>
          <w:i/>
        </w:rPr>
        <w:t xml:space="preserve"> 3</w:t>
      </w:r>
      <w:r w:rsidRPr="00C30747">
        <w:rPr>
          <w:i/>
        </w:rPr>
        <w:t xml:space="preserve">: The NDIA should prioritise the completion of existing projects that support participants to make </w:t>
      </w:r>
      <w:r>
        <w:rPr>
          <w:i/>
        </w:rPr>
        <w:t xml:space="preserve">and communicate </w:t>
      </w:r>
      <w:r w:rsidRPr="00C30747">
        <w:rPr>
          <w:i/>
        </w:rPr>
        <w:t>informed, evidence-based decisions.</w:t>
      </w:r>
    </w:p>
    <w:p w14:paraId="19241C1A" w14:textId="77777777" w:rsidR="00B63160" w:rsidRDefault="00B63160" w:rsidP="00B63160">
      <w:r>
        <w:t>The NDIA should c</w:t>
      </w:r>
      <w:r w:rsidRPr="008A40BF">
        <w:t>ontinu</w:t>
      </w:r>
      <w:r>
        <w:t xml:space="preserve">e to focus its </w:t>
      </w:r>
      <w:r w:rsidRPr="008A40BF">
        <w:t>research on the evidence base for a range of clinical and non-clinical supports and publish these in accessible formats</w:t>
      </w:r>
      <w:r>
        <w:t xml:space="preserve">. In particular, the </w:t>
      </w:r>
      <w:r w:rsidRPr="005848B7">
        <w:t xml:space="preserve">provision of early intervention supports </w:t>
      </w:r>
      <w:r>
        <w:t>should</w:t>
      </w:r>
      <w:r w:rsidRPr="005848B7">
        <w:t xml:space="preserve"> benefit </w:t>
      </w:r>
      <w:r>
        <w:t>a participant</w:t>
      </w:r>
      <w:r w:rsidRPr="005848B7">
        <w:t xml:space="preserve"> by reducing the</w:t>
      </w:r>
      <w:r>
        <w:t>ir</w:t>
      </w:r>
      <w:r w:rsidRPr="005848B7">
        <w:t xml:space="preserve"> future need for</w:t>
      </w:r>
      <w:r>
        <w:t xml:space="preserve"> disability</w:t>
      </w:r>
      <w:r w:rsidRPr="005848B7">
        <w:t xml:space="preserve"> supp</w:t>
      </w:r>
      <w:r>
        <w:t xml:space="preserve">orts. </w:t>
      </w:r>
      <w:r w:rsidRPr="005848B7">
        <w:t xml:space="preserve">The NDIA </w:t>
      </w:r>
      <w:r>
        <w:t xml:space="preserve">can facilitate </w:t>
      </w:r>
      <w:r w:rsidRPr="005848B7">
        <w:t xml:space="preserve">better </w:t>
      </w:r>
      <w:r>
        <w:t xml:space="preserve">lifetime </w:t>
      </w:r>
      <w:r w:rsidRPr="005848B7">
        <w:t xml:space="preserve">outcomes </w:t>
      </w:r>
      <w:r>
        <w:t xml:space="preserve">whilst achieving long-term cost reductions by supporting participants with information on evidence-based early intervention </w:t>
      </w:r>
      <w:r w:rsidRPr="005848B7">
        <w:t>supports.</w:t>
      </w:r>
    </w:p>
    <w:p w14:paraId="1956C8BF" w14:textId="14B61986" w:rsidR="00B63160" w:rsidRDefault="00B63160" w:rsidP="00B63160">
      <w:pPr>
        <w:rPr>
          <w:i/>
        </w:rPr>
      </w:pPr>
      <w:r w:rsidRPr="002E75A5">
        <w:rPr>
          <w:b/>
          <w:i/>
        </w:rPr>
        <w:t>Recommendation</w:t>
      </w:r>
      <w:r>
        <w:rPr>
          <w:b/>
          <w:i/>
        </w:rPr>
        <w:t xml:space="preserve"> 4</w:t>
      </w:r>
      <w:r w:rsidRPr="002E75A5">
        <w:rPr>
          <w:i/>
        </w:rPr>
        <w:t xml:space="preserve">: The NDIA should </w:t>
      </w:r>
      <w:r w:rsidR="0065622E">
        <w:rPr>
          <w:i/>
        </w:rPr>
        <w:t xml:space="preserve">continue to </w:t>
      </w:r>
      <w:r w:rsidR="00E32918">
        <w:rPr>
          <w:i/>
        </w:rPr>
        <w:t xml:space="preserve">make </w:t>
      </w:r>
      <w:r w:rsidRPr="002E75A5">
        <w:rPr>
          <w:i/>
        </w:rPr>
        <w:t xml:space="preserve">progress in reviewing, developing and communicating the evidence base for different forms of early intervention </w:t>
      </w:r>
      <w:r>
        <w:rPr>
          <w:i/>
        </w:rPr>
        <w:t>supports.</w:t>
      </w:r>
    </w:p>
    <w:p w14:paraId="315FFCD0" w14:textId="040A0CD5" w:rsidR="00B63160" w:rsidRDefault="00B63160" w:rsidP="00B63160">
      <w:pPr>
        <w:pStyle w:val="FSRnormal"/>
      </w:pPr>
      <w:r>
        <w:t xml:space="preserve">Given its scale and market influence, the Agency could develop </w:t>
      </w:r>
      <w:r w:rsidR="00DC36CD">
        <w:t xml:space="preserve">further </w:t>
      </w:r>
      <w:r>
        <w:t xml:space="preserve">initiatives to foster innovation in the delivery of supports in the market, thereby increasing choice and control for participants. This may also involve increasing the awareness of different service delivery methods, such as therapy through online platforms, to assist participants who have difficulty finding the ‘right’ providers in their area or who are in remote locations. Another option is encouraging providers to invest in new technologies, support types and markets, e.g. providers who have the technologies (or would be able to invest in new technologies) to enter new markets and/or expand their support type offerings. </w:t>
      </w:r>
    </w:p>
    <w:p w14:paraId="4A727E98" w14:textId="77777777" w:rsidR="00B63160" w:rsidRDefault="00B63160" w:rsidP="00B63160">
      <w:pPr>
        <w:pStyle w:val="FSRnormal"/>
      </w:pPr>
      <w:r>
        <w:t xml:space="preserve">In general, the Agency could focus on empowering and enabling participants to select the support and delivery channels that best suit them, their lifestyle and time commitments, and then request these from providers. </w:t>
      </w:r>
    </w:p>
    <w:p w14:paraId="256F6E8D" w14:textId="403B7EDC" w:rsidR="00B63160" w:rsidRPr="00754E6E" w:rsidRDefault="00B63160" w:rsidP="00B63160">
      <w:pPr>
        <w:pStyle w:val="FSRnormal"/>
        <w:rPr>
          <w:color w:val="000000" w:themeColor="text1"/>
          <w:sz w:val="18"/>
          <w:szCs w:val="18"/>
        </w:rPr>
      </w:pPr>
      <w:r w:rsidRPr="00691831">
        <w:rPr>
          <w:b/>
          <w:i/>
        </w:rPr>
        <w:t xml:space="preserve">Recommendation </w:t>
      </w:r>
      <w:r>
        <w:rPr>
          <w:b/>
          <w:i/>
        </w:rPr>
        <w:t>5</w:t>
      </w:r>
      <w:r w:rsidRPr="00691831">
        <w:rPr>
          <w:i/>
        </w:rPr>
        <w:t xml:space="preserve">: </w:t>
      </w:r>
      <w:r>
        <w:rPr>
          <w:i/>
        </w:rPr>
        <w:t xml:space="preserve">The NDIA should </w:t>
      </w:r>
      <w:r w:rsidR="0065622E">
        <w:rPr>
          <w:i/>
        </w:rPr>
        <w:t xml:space="preserve">continue to </w:t>
      </w:r>
      <w:r>
        <w:rPr>
          <w:i/>
        </w:rPr>
        <w:t xml:space="preserve">develop initiatives </w:t>
      </w:r>
      <w:r w:rsidR="00E32918">
        <w:rPr>
          <w:i/>
        </w:rPr>
        <w:t>that provide participants with a greater range of service options to suit their own needs and circumstances.</w:t>
      </w:r>
      <w:r w:rsidRPr="00691831">
        <w:rPr>
          <w:i/>
        </w:rPr>
        <w:t xml:space="preserve"> </w:t>
      </w:r>
      <w:r w:rsidR="00E32918">
        <w:rPr>
          <w:i/>
        </w:rPr>
        <w:t>This includes</w:t>
      </w:r>
      <w:r w:rsidR="00E32918" w:rsidRPr="00691831">
        <w:rPr>
          <w:i/>
        </w:rPr>
        <w:t xml:space="preserve"> </w:t>
      </w:r>
      <w:r>
        <w:rPr>
          <w:i/>
        </w:rPr>
        <w:t xml:space="preserve">innovations in </w:t>
      </w:r>
      <w:r w:rsidRPr="00691831">
        <w:rPr>
          <w:i/>
        </w:rPr>
        <w:t xml:space="preserve">market development </w:t>
      </w:r>
      <w:r w:rsidR="00DC36CD">
        <w:rPr>
          <w:i/>
        </w:rPr>
        <w:t>and</w:t>
      </w:r>
      <w:r w:rsidRPr="00691831">
        <w:rPr>
          <w:i/>
        </w:rPr>
        <w:t xml:space="preserve"> provider </w:t>
      </w:r>
      <w:r>
        <w:rPr>
          <w:i/>
        </w:rPr>
        <w:t>service delivery.</w:t>
      </w:r>
    </w:p>
    <w:p w14:paraId="3EF0EF30" w14:textId="77777777" w:rsidR="00B63160" w:rsidRPr="002E75A5" w:rsidRDefault="00B63160" w:rsidP="00B63160">
      <w:pPr>
        <w:rPr>
          <w:i/>
        </w:rPr>
      </w:pPr>
    </w:p>
    <w:p w14:paraId="3C14E7B8" w14:textId="53039238" w:rsidR="00B63160" w:rsidRPr="00BB79D0" w:rsidRDefault="00B63160" w:rsidP="00B63160">
      <w:pPr>
        <w:pStyle w:val="FSRHeading4"/>
      </w:pPr>
      <w:r w:rsidRPr="00F655F5">
        <w:lastRenderedPageBreak/>
        <w:t xml:space="preserve">Consistent and </w:t>
      </w:r>
      <w:r w:rsidR="0065622E">
        <w:t>equitable</w:t>
      </w:r>
      <w:r w:rsidR="0065622E" w:rsidRPr="00F655F5">
        <w:t xml:space="preserve"> </w:t>
      </w:r>
      <w:r>
        <w:t xml:space="preserve">agency </w:t>
      </w:r>
      <w:r w:rsidRPr="00F655F5">
        <w:t>decision-making</w:t>
      </w:r>
    </w:p>
    <w:p w14:paraId="090A4B2C" w14:textId="77777777" w:rsidR="00B63160" w:rsidRDefault="00B63160" w:rsidP="00B63160">
      <w:r>
        <w:t xml:space="preserve">Given the baseline cost projections, and related uncertainty described in this report, it is imperative that NDIA aims to improve the certainty of the Scheme’s costs over the long-term, through improvements to the consistency and equity of decision-making and the quality of information provided from and to prospective participants and participants. </w:t>
      </w:r>
    </w:p>
    <w:p w14:paraId="6AF29BD7" w14:textId="77777777" w:rsidR="00B63160" w:rsidRDefault="00B63160" w:rsidP="00B63160">
      <w:r>
        <w:t xml:space="preserve">In July 2021 the Commonwealth and State/Territory disability ministers </w:t>
      </w:r>
      <w:r w:rsidRPr="00F655F5">
        <w:t xml:space="preserve">agreed to work in partnership with those with lived disability experience to co-design a person-centred </w:t>
      </w:r>
      <w:r>
        <w:t>assessment approach</w:t>
      </w:r>
      <w:r w:rsidRPr="00F655F5">
        <w:t xml:space="preserve"> that delivers consistency and equity in access and planning outcomes</w:t>
      </w:r>
      <w:r>
        <w:t>. This is consistent with the NDIS Act and its insurance principles</w:t>
      </w:r>
      <w:r w:rsidRPr="00F655F5">
        <w:t>.</w:t>
      </w:r>
      <w:r>
        <w:t xml:space="preserve"> </w:t>
      </w:r>
    </w:p>
    <w:p w14:paraId="78518488" w14:textId="4B0D50B9" w:rsidR="00B63160" w:rsidRDefault="00B63160" w:rsidP="00B63160">
      <w:r>
        <w:t>A foundational component of this equity and consistency is an approach to assessment of function which achieves robust and consistent assessment of participants’ functional capacity, as well as their environmental and personal circumstances (to the extent that these circumstances are relevant to determining reasonable and necessary supports for participants</w:t>
      </w:r>
      <w:r w:rsidR="0065622E">
        <w:t xml:space="preserve">). </w:t>
      </w:r>
    </w:p>
    <w:p w14:paraId="6A56584E" w14:textId="3950AE9B" w:rsidR="00B63160" w:rsidRDefault="00B63160" w:rsidP="00B63160">
      <w:pPr>
        <w:rPr>
          <w:i/>
        </w:rPr>
      </w:pPr>
      <w:r w:rsidRPr="005C2368">
        <w:rPr>
          <w:b/>
          <w:i/>
        </w:rPr>
        <w:t>Recommendation</w:t>
      </w:r>
      <w:r>
        <w:rPr>
          <w:b/>
          <w:i/>
        </w:rPr>
        <w:t xml:space="preserve"> 6</w:t>
      </w:r>
      <w:r w:rsidRPr="005C2368">
        <w:rPr>
          <w:i/>
        </w:rPr>
        <w:t xml:space="preserve">: </w:t>
      </w:r>
      <w:r w:rsidR="005F7A4F">
        <w:rPr>
          <w:i/>
        </w:rPr>
        <w:t>T</w:t>
      </w:r>
      <w:r w:rsidRPr="005C2368">
        <w:rPr>
          <w:i/>
        </w:rPr>
        <w:t xml:space="preserve">he </w:t>
      </w:r>
      <w:r>
        <w:rPr>
          <w:i/>
        </w:rPr>
        <w:t>NDIA should</w:t>
      </w:r>
      <w:r w:rsidR="005F7A4F">
        <w:rPr>
          <w:i/>
        </w:rPr>
        <w:t xml:space="preserve">, consistent with the NDIS Act, </w:t>
      </w:r>
      <w:r>
        <w:rPr>
          <w:i/>
        </w:rPr>
        <w:t xml:space="preserve">actively pursue via co-design an </w:t>
      </w:r>
      <w:r w:rsidRPr="005C2368">
        <w:rPr>
          <w:i/>
        </w:rPr>
        <w:t xml:space="preserve">assessment approach </w:t>
      </w:r>
      <w:r>
        <w:rPr>
          <w:i/>
        </w:rPr>
        <w:t xml:space="preserve">which </w:t>
      </w:r>
      <w:r w:rsidRPr="005C2368">
        <w:rPr>
          <w:i/>
        </w:rPr>
        <w:t>measure</w:t>
      </w:r>
      <w:r>
        <w:rPr>
          <w:i/>
        </w:rPr>
        <w:t>s</w:t>
      </w:r>
      <w:r w:rsidRPr="005C2368">
        <w:rPr>
          <w:i/>
        </w:rPr>
        <w:t xml:space="preserve"> functional capacity in line with relevant chapters of the International Classification of Functioning, Disability and Health</w:t>
      </w:r>
      <w:r>
        <w:rPr>
          <w:i/>
        </w:rPr>
        <w:t>, and which incorporates environmental and personal factors that are salient to the determination of reasonable and necessary supports</w:t>
      </w:r>
      <w:r w:rsidRPr="005C2368">
        <w:rPr>
          <w:i/>
        </w:rPr>
        <w:t xml:space="preserve">.  </w:t>
      </w:r>
    </w:p>
    <w:p w14:paraId="7E1FB44A" w14:textId="4BC6DF78" w:rsidR="00B63160" w:rsidRPr="003F35DD" w:rsidRDefault="00B63160" w:rsidP="00B63160">
      <w:pPr>
        <w:rPr>
          <w:i/>
        </w:rPr>
      </w:pPr>
      <w:r w:rsidRPr="003F35DD">
        <w:rPr>
          <w:b/>
          <w:i/>
        </w:rPr>
        <w:t>Recommendation</w:t>
      </w:r>
      <w:r>
        <w:rPr>
          <w:b/>
          <w:i/>
        </w:rPr>
        <w:t xml:space="preserve"> </w:t>
      </w:r>
      <w:r w:rsidR="005F7A4F">
        <w:rPr>
          <w:b/>
          <w:i/>
        </w:rPr>
        <w:t>7</w:t>
      </w:r>
      <w:r w:rsidRPr="003F35DD">
        <w:rPr>
          <w:i/>
        </w:rPr>
        <w:t xml:space="preserve">: The NDIA </w:t>
      </w:r>
      <w:r>
        <w:rPr>
          <w:i/>
        </w:rPr>
        <w:t xml:space="preserve">should </w:t>
      </w:r>
      <w:r w:rsidRPr="003F35DD">
        <w:rPr>
          <w:i/>
        </w:rPr>
        <w:t xml:space="preserve">co-design new </w:t>
      </w:r>
      <w:r>
        <w:rPr>
          <w:i/>
        </w:rPr>
        <w:t>guidance materials</w:t>
      </w:r>
      <w:r w:rsidRPr="003F35DD">
        <w:rPr>
          <w:i/>
        </w:rPr>
        <w:t xml:space="preserve"> with medical and allied health practitioners</w:t>
      </w:r>
      <w:r>
        <w:rPr>
          <w:i/>
        </w:rPr>
        <w:t>,</w:t>
      </w:r>
      <w:r w:rsidRPr="003F35DD">
        <w:rPr>
          <w:i/>
        </w:rPr>
        <w:t xml:space="preserve"> to </w:t>
      </w:r>
      <w:r>
        <w:rPr>
          <w:i/>
        </w:rPr>
        <w:t>ensure</w:t>
      </w:r>
      <w:r w:rsidRPr="003F35DD">
        <w:rPr>
          <w:i/>
        </w:rPr>
        <w:t xml:space="preserve"> more </w:t>
      </w:r>
      <w:r>
        <w:rPr>
          <w:i/>
        </w:rPr>
        <w:t xml:space="preserve">consistent </w:t>
      </w:r>
      <w:r w:rsidRPr="003F35DD">
        <w:rPr>
          <w:i/>
        </w:rPr>
        <w:t>evidence</w:t>
      </w:r>
      <w:r>
        <w:rPr>
          <w:i/>
        </w:rPr>
        <w:t xml:space="preserve"> is</w:t>
      </w:r>
      <w:r w:rsidRPr="003F35DD">
        <w:rPr>
          <w:i/>
        </w:rPr>
        <w:t xml:space="preserve"> </w:t>
      </w:r>
      <w:r>
        <w:rPr>
          <w:i/>
        </w:rPr>
        <w:t>received</w:t>
      </w:r>
      <w:r w:rsidRPr="003F35DD">
        <w:rPr>
          <w:i/>
        </w:rPr>
        <w:t xml:space="preserve"> </w:t>
      </w:r>
      <w:r>
        <w:rPr>
          <w:i/>
        </w:rPr>
        <w:t>and that the NDIA make</w:t>
      </w:r>
      <w:r w:rsidR="00CD5914">
        <w:rPr>
          <w:i/>
        </w:rPr>
        <w:t>s</w:t>
      </w:r>
      <w:r>
        <w:rPr>
          <w:i/>
        </w:rPr>
        <w:t xml:space="preserve"> more consistent decisions on </w:t>
      </w:r>
      <w:r w:rsidRPr="003F35DD">
        <w:rPr>
          <w:i/>
        </w:rPr>
        <w:t>access requests and the development of plan budgets.</w:t>
      </w:r>
    </w:p>
    <w:p w14:paraId="215478D7" w14:textId="1E9D1955" w:rsidR="00B63160" w:rsidRPr="001615C2" w:rsidRDefault="00B63160" w:rsidP="00B63160">
      <w:pPr>
        <w:rPr>
          <w:i/>
        </w:rPr>
      </w:pPr>
      <w:r w:rsidRPr="001615C2">
        <w:rPr>
          <w:b/>
          <w:i/>
        </w:rPr>
        <w:t>Recommendation</w:t>
      </w:r>
      <w:r>
        <w:rPr>
          <w:b/>
          <w:i/>
        </w:rPr>
        <w:t xml:space="preserve"> </w:t>
      </w:r>
      <w:r w:rsidR="005F7A4F">
        <w:rPr>
          <w:b/>
          <w:i/>
        </w:rPr>
        <w:t>8</w:t>
      </w:r>
      <w:r w:rsidRPr="001615C2">
        <w:rPr>
          <w:i/>
        </w:rPr>
        <w:t xml:space="preserve">: </w:t>
      </w:r>
      <w:r>
        <w:rPr>
          <w:i/>
        </w:rPr>
        <w:t>The NDIA should implement s</w:t>
      </w:r>
      <w:r w:rsidRPr="001615C2">
        <w:rPr>
          <w:i/>
        </w:rPr>
        <w:t xml:space="preserve">tronger controls on the </w:t>
      </w:r>
      <w:r>
        <w:rPr>
          <w:i/>
        </w:rPr>
        <w:t>type and quality</w:t>
      </w:r>
      <w:r w:rsidRPr="001615C2">
        <w:rPr>
          <w:i/>
        </w:rPr>
        <w:t xml:space="preserve"> of evidence</w:t>
      </w:r>
      <w:r w:rsidR="00F20735">
        <w:rPr>
          <w:i/>
        </w:rPr>
        <w:t xml:space="preserve"> accepted</w:t>
      </w:r>
      <w:r w:rsidRPr="001615C2">
        <w:rPr>
          <w:i/>
        </w:rPr>
        <w:t xml:space="preserve"> to ensure consistent minimum standards are adopted across </w:t>
      </w:r>
      <w:r>
        <w:rPr>
          <w:i/>
        </w:rPr>
        <w:t xml:space="preserve">the </w:t>
      </w:r>
      <w:r w:rsidRPr="001615C2">
        <w:rPr>
          <w:i/>
        </w:rPr>
        <w:t>NDIA</w:t>
      </w:r>
      <w:r>
        <w:rPr>
          <w:i/>
        </w:rPr>
        <w:t>’s access and planning</w:t>
      </w:r>
      <w:r w:rsidRPr="001615C2">
        <w:rPr>
          <w:i/>
        </w:rPr>
        <w:t xml:space="preserve"> functions.</w:t>
      </w:r>
    </w:p>
    <w:p w14:paraId="40AC909E" w14:textId="2089A620" w:rsidR="00B63160" w:rsidRDefault="00B63160" w:rsidP="00B63160">
      <w:r>
        <w:t xml:space="preserve">The number of exits from the Scheme continues to be </w:t>
      </w:r>
      <w:r w:rsidR="00C847DB">
        <w:t xml:space="preserve">below </w:t>
      </w:r>
      <w:r>
        <w:t xml:space="preserve">expected long-term levels, due </w:t>
      </w:r>
      <w:r w:rsidR="00F20735">
        <w:t xml:space="preserve">to </w:t>
      </w:r>
      <w:r w:rsidR="009B06C4">
        <w:t xml:space="preserve">challenges </w:t>
      </w:r>
      <w:r>
        <w:t xml:space="preserve">in measuring the benefit of early intervention and </w:t>
      </w:r>
      <w:r w:rsidR="00F20735">
        <w:t xml:space="preserve">the </w:t>
      </w:r>
      <w:r>
        <w:t xml:space="preserve">continuing need for Scheme supports.   </w:t>
      </w:r>
    </w:p>
    <w:p w14:paraId="3734E64D" w14:textId="3A9B09D9" w:rsidR="00B63160" w:rsidRPr="00382CB0" w:rsidRDefault="00B63160" w:rsidP="00B63160">
      <w:pPr>
        <w:rPr>
          <w:i/>
        </w:rPr>
      </w:pPr>
      <w:r w:rsidRPr="00382CB0">
        <w:rPr>
          <w:b/>
          <w:i/>
        </w:rPr>
        <w:t>Recommendation</w:t>
      </w:r>
      <w:r>
        <w:rPr>
          <w:b/>
          <w:i/>
        </w:rPr>
        <w:t xml:space="preserve"> </w:t>
      </w:r>
      <w:r w:rsidR="005F7A4F">
        <w:rPr>
          <w:b/>
          <w:i/>
        </w:rPr>
        <w:t>9</w:t>
      </w:r>
      <w:r w:rsidRPr="00382CB0">
        <w:rPr>
          <w:i/>
        </w:rPr>
        <w:t xml:space="preserve">: </w:t>
      </w:r>
      <w:r>
        <w:rPr>
          <w:i/>
        </w:rPr>
        <w:t xml:space="preserve">The NDIA should reassess eligibility for participants who entered through early intervention as part of the normal course of business, </w:t>
      </w:r>
      <w:r w:rsidR="00C847DB">
        <w:rPr>
          <w:i/>
        </w:rPr>
        <w:t>whilst providing</w:t>
      </w:r>
      <w:r>
        <w:rPr>
          <w:i/>
        </w:rPr>
        <w:t xml:space="preserve"> reassurance to those who exit the Scheme that it will be available to them in the future should their circumstances change. </w:t>
      </w:r>
    </w:p>
    <w:p w14:paraId="0373D6D7" w14:textId="38868796" w:rsidR="00B63160" w:rsidRPr="00C5221B" w:rsidRDefault="00B63160" w:rsidP="00B63160">
      <w:pPr>
        <w:rPr>
          <w:i/>
        </w:rPr>
      </w:pPr>
      <w:r w:rsidRPr="00C5221B">
        <w:rPr>
          <w:b/>
          <w:i/>
        </w:rPr>
        <w:t>Recommendation</w:t>
      </w:r>
      <w:r>
        <w:rPr>
          <w:b/>
          <w:i/>
        </w:rPr>
        <w:t xml:space="preserve"> </w:t>
      </w:r>
      <w:r w:rsidR="005F7A4F">
        <w:rPr>
          <w:b/>
          <w:i/>
        </w:rPr>
        <w:t>10</w:t>
      </w:r>
      <w:r w:rsidRPr="00C5221B">
        <w:rPr>
          <w:i/>
        </w:rPr>
        <w:t xml:space="preserve">: </w:t>
      </w:r>
      <w:r w:rsidR="005F7A4F">
        <w:rPr>
          <w:i/>
        </w:rPr>
        <w:t>The NDIA should ensure that t</w:t>
      </w:r>
      <w:r w:rsidRPr="00C5221B">
        <w:rPr>
          <w:i/>
        </w:rPr>
        <w:t xml:space="preserve">he co-designed assessment approach </w:t>
      </w:r>
      <w:r w:rsidR="005F7A4F">
        <w:rPr>
          <w:i/>
        </w:rPr>
        <w:t xml:space="preserve">is </w:t>
      </w:r>
      <w:r w:rsidRPr="00C5221B">
        <w:rPr>
          <w:i/>
        </w:rPr>
        <w:t xml:space="preserve">appropriate for eligibility reassessments in addition to access and planning decisions, </w:t>
      </w:r>
      <w:r>
        <w:rPr>
          <w:i/>
        </w:rPr>
        <w:t>for instances where</w:t>
      </w:r>
      <w:r w:rsidRPr="00C5221B">
        <w:rPr>
          <w:i/>
        </w:rPr>
        <w:t xml:space="preserve"> it is appropriate to undertake a reassessment in line with the purpose</w:t>
      </w:r>
      <w:r>
        <w:rPr>
          <w:i/>
        </w:rPr>
        <w:t>s</w:t>
      </w:r>
      <w:r w:rsidRPr="00C5221B">
        <w:rPr>
          <w:i/>
        </w:rPr>
        <w:t xml:space="preserve"> </w:t>
      </w:r>
      <w:r>
        <w:rPr>
          <w:i/>
        </w:rPr>
        <w:t>of the Scheme. This would provide consistency in Scheme entry and exit processes.</w:t>
      </w:r>
    </w:p>
    <w:p w14:paraId="0E05B8CC" w14:textId="1FC3D1D1" w:rsidR="00B63160" w:rsidRDefault="00E93269" w:rsidP="00B63160">
      <w:r>
        <w:t xml:space="preserve">Within the current CRM system, the </w:t>
      </w:r>
      <w:r w:rsidR="00B63160">
        <w:t>d</w:t>
      </w:r>
      <w:r w:rsidR="00B63160" w:rsidRPr="00C010FF">
        <w:t xml:space="preserve">ate </w:t>
      </w:r>
      <w:r>
        <w:t>wh</w:t>
      </w:r>
      <w:r w:rsidR="005D037C">
        <w:t>en</w:t>
      </w:r>
      <w:r>
        <w:t xml:space="preserve"> </w:t>
      </w:r>
      <w:r w:rsidR="00B63160" w:rsidRPr="00C010FF">
        <w:t xml:space="preserve">disability </w:t>
      </w:r>
      <w:r>
        <w:t xml:space="preserve">is </w:t>
      </w:r>
      <w:r w:rsidR="00B63160" w:rsidRPr="00C010FF">
        <w:t xml:space="preserve">acquired </w:t>
      </w:r>
      <w:r w:rsidR="00B63160">
        <w:t>is often incomplete or not</w:t>
      </w:r>
      <w:r w:rsidR="00B63160" w:rsidRPr="00C010FF">
        <w:t xml:space="preserve"> reliably captured</w:t>
      </w:r>
      <w:r w:rsidR="00B63160">
        <w:t xml:space="preserve">. </w:t>
      </w:r>
      <w:r w:rsidR="00B63160" w:rsidRPr="00C010FF">
        <w:t xml:space="preserve">This limits the ability to analyse new incidence of non-congenital </w:t>
      </w:r>
      <w:r w:rsidR="00B63160" w:rsidRPr="00C010FF">
        <w:lastRenderedPageBreak/>
        <w:t xml:space="preserve">disabilities, which means projections of new entrants cannot be </w:t>
      </w:r>
      <w:r w:rsidR="00B63160">
        <w:t xml:space="preserve">reliably </w:t>
      </w:r>
      <w:r w:rsidR="00B63160" w:rsidRPr="00C010FF">
        <w:t>modelled using date of disability acquired.</w:t>
      </w:r>
    </w:p>
    <w:p w14:paraId="0C8F108D" w14:textId="3A12ADFF" w:rsidR="00B63160" w:rsidRDefault="00B63160" w:rsidP="00B63160">
      <w:r>
        <w:t xml:space="preserve">As identified at the previous review, and discussed in Section 5.3 of this report, the number of new participants has been significantly higher than previously assumed, in particular in geographic areas which phased into the </w:t>
      </w:r>
      <w:r w:rsidR="00783DE5">
        <w:t>Scheme</w:t>
      </w:r>
      <w:r>
        <w:t xml:space="preserve"> at least </w:t>
      </w:r>
      <w:r w:rsidR="00DC36CD">
        <w:t xml:space="preserve">three </w:t>
      </w:r>
      <w:r>
        <w:t>years earlier. Uncertainty exists as to the degree to which this unfavourable observed experience r</w:t>
      </w:r>
      <w:r w:rsidR="008F7618">
        <w:t>epresents true new incidence”,</w:t>
      </w:r>
      <w:r>
        <w:t xml:space="preserve"> “previously unmet need”</w:t>
      </w:r>
      <w:r w:rsidR="008F7618">
        <w:t xml:space="preserve"> or expansion of eligibility</w:t>
      </w:r>
      <w:r>
        <w:t xml:space="preserve">. </w:t>
      </w:r>
    </w:p>
    <w:p w14:paraId="677AABAA" w14:textId="65F04E34" w:rsidR="00B63160" w:rsidRDefault="00B63160" w:rsidP="00B63160">
      <w:pPr>
        <w:rPr>
          <w:i/>
        </w:rPr>
      </w:pPr>
      <w:r w:rsidRPr="001615C2">
        <w:rPr>
          <w:b/>
          <w:i/>
        </w:rPr>
        <w:t>Recommendation</w:t>
      </w:r>
      <w:r>
        <w:rPr>
          <w:b/>
          <w:i/>
        </w:rPr>
        <w:t xml:space="preserve"> 1</w:t>
      </w:r>
      <w:r w:rsidR="005F7A4F">
        <w:rPr>
          <w:b/>
          <w:i/>
        </w:rPr>
        <w:t>1</w:t>
      </w:r>
      <w:r w:rsidRPr="001615C2">
        <w:rPr>
          <w:i/>
        </w:rPr>
        <w:t xml:space="preserve">: The NDIA </w:t>
      </w:r>
      <w:r w:rsidR="005D037C">
        <w:rPr>
          <w:i/>
        </w:rPr>
        <w:t xml:space="preserve">should </w:t>
      </w:r>
      <w:r w:rsidRPr="001615C2">
        <w:rPr>
          <w:i/>
        </w:rPr>
        <w:t xml:space="preserve">undertake </w:t>
      </w:r>
      <w:r>
        <w:rPr>
          <w:i/>
        </w:rPr>
        <w:t xml:space="preserve">further </w:t>
      </w:r>
      <w:r w:rsidRPr="001615C2">
        <w:rPr>
          <w:i/>
        </w:rPr>
        <w:t xml:space="preserve">detailed analysis to better understand the drivers of higher than expected new entrants, to increase confidence in long term </w:t>
      </w:r>
      <w:r w:rsidR="00C847DB">
        <w:rPr>
          <w:i/>
        </w:rPr>
        <w:t xml:space="preserve">assumed </w:t>
      </w:r>
      <w:r w:rsidRPr="001615C2">
        <w:rPr>
          <w:i/>
        </w:rPr>
        <w:t>new incidence rates.</w:t>
      </w:r>
    </w:p>
    <w:p w14:paraId="68188CAB" w14:textId="77777777" w:rsidR="00B63160" w:rsidRDefault="00B63160" w:rsidP="00B63160">
      <w:pPr>
        <w:pStyle w:val="FSRHeading4"/>
      </w:pPr>
      <w:r>
        <w:t xml:space="preserve">Scheme scope and </w:t>
      </w:r>
      <w:r w:rsidRPr="009853CD">
        <w:t>coverage</w:t>
      </w:r>
    </w:p>
    <w:p w14:paraId="10D97C40" w14:textId="768E2D6E" w:rsidR="00B63160" w:rsidRPr="008C3131" w:rsidRDefault="00EB1218" w:rsidP="00EB1218">
      <w:pPr>
        <w:rPr>
          <w:b/>
          <w:i/>
        </w:rPr>
      </w:pPr>
      <w:r>
        <w:t xml:space="preserve">There needs to be continued focus on the National Disability Strategy and the Applied Principles and Tables of Support (APTOS) to ensure </w:t>
      </w:r>
      <w:r w:rsidR="00F20735">
        <w:t xml:space="preserve">that </w:t>
      </w:r>
      <w:r w:rsidR="00B63160">
        <w:t xml:space="preserve">planners and participants systematically identify and access </w:t>
      </w:r>
      <w:r w:rsidR="00B63160" w:rsidRPr="000C69A4">
        <w:t>supports provided by other systems</w:t>
      </w:r>
      <w:r w:rsidR="00F20735">
        <w:t>. The NDIA must</w:t>
      </w:r>
      <w:r w:rsidR="00B63160" w:rsidRPr="000C69A4">
        <w:t xml:space="preserve"> develop proactive strategic responses to incentivise the continuation of these supports. This </w:t>
      </w:r>
      <w:r w:rsidR="00B63160">
        <w:t>w</w:t>
      </w:r>
      <w:r w:rsidR="00B63160" w:rsidRPr="000C69A4">
        <w:t>ould include support for plan implementation to allow participants to connect with alternative services when needed</w:t>
      </w:r>
      <w:r w:rsidR="00B63160">
        <w:t xml:space="preserve">. </w:t>
      </w:r>
    </w:p>
    <w:p w14:paraId="02806DF5" w14:textId="41D39F76" w:rsidR="00B63160" w:rsidRDefault="00B63160" w:rsidP="00B63160">
      <w:pPr>
        <w:rPr>
          <w:i/>
        </w:rPr>
      </w:pPr>
      <w:r w:rsidRPr="00C5221B">
        <w:rPr>
          <w:b/>
          <w:i/>
        </w:rPr>
        <w:t>Recommendation</w:t>
      </w:r>
      <w:r>
        <w:rPr>
          <w:b/>
          <w:i/>
        </w:rPr>
        <w:t xml:space="preserve"> 1</w:t>
      </w:r>
      <w:r w:rsidR="005F7A4F">
        <w:rPr>
          <w:b/>
          <w:i/>
        </w:rPr>
        <w:t>2</w:t>
      </w:r>
      <w:r w:rsidRPr="00C5221B">
        <w:rPr>
          <w:i/>
        </w:rPr>
        <w:t xml:space="preserve">: </w:t>
      </w:r>
      <w:r w:rsidR="005F7A4F">
        <w:rPr>
          <w:i/>
        </w:rPr>
        <w:t xml:space="preserve">The NDIA should </w:t>
      </w:r>
      <w:r w:rsidR="00EB1218">
        <w:rPr>
          <w:i/>
        </w:rPr>
        <w:t xml:space="preserve">focus on </w:t>
      </w:r>
      <w:r>
        <w:rPr>
          <w:i/>
        </w:rPr>
        <w:t>plan development and implementation processes to systematically ensure that participants identify and are supported to access appropriate supports from other service systems.</w:t>
      </w:r>
    </w:p>
    <w:p w14:paraId="58277318" w14:textId="2CE4B2A4" w:rsidR="00B63160" w:rsidRPr="0063241A" w:rsidRDefault="00B63160" w:rsidP="00B63160">
      <w:pPr>
        <w:pStyle w:val="FSRnormal"/>
      </w:pPr>
      <w:r>
        <w:t>The NDIA</w:t>
      </w:r>
      <w:r w:rsidRPr="0063241A">
        <w:t xml:space="preserve"> should be proactive in identifying trends in AAT matters that have the potential to </w:t>
      </w:r>
      <w:r>
        <w:t>significantly impact</w:t>
      </w:r>
      <w:r w:rsidRPr="0063241A">
        <w:t xml:space="preserve"> the ongoing financial sustainability of the Scheme. </w:t>
      </w:r>
      <w:r>
        <w:t>In response to such trends the NDIA should ensure that there is clarity on Agency policies and in operational guidelines.</w:t>
      </w:r>
      <w:r w:rsidR="005D037C">
        <w:t xml:space="preserve"> </w:t>
      </w:r>
      <w:r>
        <w:t>It is anticipated that t</w:t>
      </w:r>
      <w:r w:rsidRPr="0063241A">
        <w:t>he Agency</w:t>
      </w:r>
      <w:r>
        <w:t>’s</w:t>
      </w:r>
      <w:r w:rsidRPr="0063241A">
        <w:t xml:space="preserve"> focus on </w:t>
      </w:r>
      <w:r>
        <w:t xml:space="preserve">improving the consistency, equity and transparency of its decisions should result in </w:t>
      </w:r>
      <w:r w:rsidRPr="0063241A">
        <w:t>fewer AAT cases</w:t>
      </w:r>
      <w:r>
        <w:t xml:space="preserve"> over time.</w:t>
      </w:r>
    </w:p>
    <w:p w14:paraId="7C77374E" w14:textId="51831CAF" w:rsidR="00B63160" w:rsidRPr="00754E6E" w:rsidRDefault="00B63160" w:rsidP="00B63160">
      <w:pPr>
        <w:pStyle w:val="FSRnormal"/>
      </w:pPr>
      <w:r w:rsidRPr="00C5221B">
        <w:rPr>
          <w:b/>
          <w:i/>
        </w:rPr>
        <w:t>Recommendation</w:t>
      </w:r>
      <w:r>
        <w:rPr>
          <w:b/>
          <w:i/>
        </w:rPr>
        <w:t xml:space="preserve"> 1</w:t>
      </w:r>
      <w:r w:rsidR="005D037C">
        <w:rPr>
          <w:b/>
          <w:i/>
        </w:rPr>
        <w:t>3</w:t>
      </w:r>
      <w:r w:rsidRPr="00C5221B">
        <w:rPr>
          <w:i/>
        </w:rPr>
        <w:t xml:space="preserve">: </w:t>
      </w:r>
      <w:r>
        <w:rPr>
          <w:i/>
        </w:rPr>
        <w:t xml:space="preserve">The NDIA </w:t>
      </w:r>
      <w:r w:rsidR="005D037C">
        <w:rPr>
          <w:i/>
        </w:rPr>
        <w:t xml:space="preserve">should </w:t>
      </w:r>
      <w:r>
        <w:rPr>
          <w:i/>
        </w:rPr>
        <w:t>continue to focus on risks to financial sustainability associated with m</w:t>
      </w:r>
      <w:r w:rsidRPr="000C69A4">
        <w:rPr>
          <w:i/>
        </w:rPr>
        <w:t>ainstream interfaces</w:t>
      </w:r>
      <w:r>
        <w:rPr>
          <w:i/>
        </w:rPr>
        <w:t xml:space="preserve"> and</w:t>
      </w:r>
      <w:r w:rsidRPr="000C69A4">
        <w:rPr>
          <w:i/>
        </w:rPr>
        <w:t xml:space="preserve"> </w:t>
      </w:r>
      <w:r>
        <w:rPr>
          <w:i/>
        </w:rPr>
        <w:t xml:space="preserve">themes </w:t>
      </w:r>
      <w:r w:rsidRPr="000C69A4">
        <w:rPr>
          <w:i/>
        </w:rPr>
        <w:t>from AAT</w:t>
      </w:r>
      <w:r>
        <w:rPr>
          <w:i/>
        </w:rPr>
        <w:t xml:space="preserve"> cases.</w:t>
      </w:r>
    </w:p>
    <w:p w14:paraId="0491B881" w14:textId="38C118C0" w:rsidR="00B63160" w:rsidRDefault="00EB1218" w:rsidP="00B63160">
      <w:pPr>
        <w:pStyle w:val="FSRHeading4"/>
      </w:pPr>
      <w:r>
        <w:t>Improving operational processes</w:t>
      </w:r>
    </w:p>
    <w:p w14:paraId="50599860" w14:textId="6FAC029F" w:rsidR="00B63160" w:rsidRDefault="00D647DF" w:rsidP="000E120F">
      <w:pPr>
        <w:pStyle w:val="FSRnormal"/>
      </w:pPr>
      <w:r>
        <w:t xml:space="preserve">Quality assurance reviews demonstrate significant improvements over the past year, including more comprehensive documenting of plan decisions in participant records. </w:t>
      </w:r>
      <w:r w:rsidR="00B63160">
        <w:t>It is important for the Agency to continue undertaking risk based quality assurance reviews to</w:t>
      </w:r>
      <w:r>
        <w:t xml:space="preserve"> </w:t>
      </w:r>
      <w:r w:rsidR="00B63160">
        <w:t>better understand Scheme experience</w:t>
      </w:r>
      <w:r w:rsidR="00422393">
        <w:t xml:space="preserve"> and </w:t>
      </w:r>
      <w:r w:rsidR="003B5FC4">
        <w:t xml:space="preserve">continue to </w:t>
      </w:r>
      <w:r w:rsidR="00422393">
        <w:t>improve processes.</w:t>
      </w:r>
    </w:p>
    <w:p w14:paraId="18376B33" w14:textId="29211BF6" w:rsidR="00B63160" w:rsidRPr="00073EBB" w:rsidRDefault="00B63160" w:rsidP="00B63160">
      <w:pPr>
        <w:spacing w:after="160" w:line="259" w:lineRule="auto"/>
        <w:rPr>
          <w:i/>
        </w:rPr>
      </w:pPr>
      <w:r w:rsidRPr="00073EBB">
        <w:rPr>
          <w:b/>
          <w:i/>
        </w:rPr>
        <w:t>Recommendation 1</w:t>
      </w:r>
      <w:r w:rsidR="005D037C">
        <w:rPr>
          <w:b/>
          <w:i/>
        </w:rPr>
        <w:t>4</w:t>
      </w:r>
      <w:r w:rsidRPr="00073EBB">
        <w:rPr>
          <w:i/>
        </w:rPr>
        <w:t xml:space="preserve">: </w:t>
      </w:r>
      <w:r w:rsidR="005D037C">
        <w:rPr>
          <w:i/>
        </w:rPr>
        <w:t>The NDIA should e</w:t>
      </w:r>
      <w:r>
        <w:rPr>
          <w:i/>
        </w:rPr>
        <w:t xml:space="preserve">nsure that the results of ongoing quality assurance </w:t>
      </w:r>
      <w:r w:rsidR="005D037C">
        <w:rPr>
          <w:i/>
        </w:rPr>
        <w:t xml:space="preserve">reviews </w:t>
      </w:r>
      <w:r>
        <w:rPr>
          <w:i/>
        </w:rPr>
        <w:t>are embedded as operational improvements.</w:t>
      </w:r>
    </w:p>
    <w:p w14:paraId="21185294" w14:textId="550BBE58" w:rsidR="00B63160" w:rsidRDefault="005D037C" w:rsidP="00B63160">
      <w:pPr>
        <w:pStyle w:val="FSRnormal"/>
      </w:pPr>
      <w:r>
        <w:t>T</w:t>
      </w:r>
      <w:r w:rsidR="00B63160">
        <w:t xml:space="preserve">he quality assurance </w:t>
      </w:r>
      <w:r>
        <w:t xml:space="preserve">reviews </w:t>
      </w:r>
      <w:r w:rsidR="00B63160">
        <w:t xml:space="preserve">highlighted </w:t>
      </w:r>
      <w:r w:rsidR="0045118C">
        <w:t xml:space="preserve">possible improvements in </w:t>
      </w:r>
      <w:r w:rsidR="000E120F">
        <w:t xml:space="preserve">ICT </w:t>
      </w:r>
      <w:r w:rsidR="00B63160">
        <w:t xml:space="preserve">system controls to support accurate decision-making. In particular, the Agency’s CRM does not fully support </w:t>
      </w:r>
      <w:r w:rsidR="008F7618">
        <w:t xml:space="preserve">end-to-end </w:t>
      </w:r>
      <w:r w:rsidR="00B63160">
        <w:t xml:space="preserve">participant planning, or referrals to higher delegates. It also does not enforce </w:t>
      </w:r>
      <w:r w:rsidR="00B63160">
        <w:lastRenderedPageBreak/>
        <w:t xml:space="preserve">mandatory requirements in the Operational guidelines such as recording interactions, relying on Agency staff to comply with these policies and increasing the scope for manual errors or omissions. </w:t>
      </w:r>
    </w:p>
    <w:p w14:paraId="3D24C372" w14:textId="6B1C3871" w:rsidR="00B63160" w:rsidRDefault="00B63160" w:rsidP="00B63160">
      <w:pPr>
        <w:pStyle w:val="FSRnormal"/>
      </w:pPr>
      <w:r>
        <w:t xml:space="preserve">The implementation of ACE provides an opportunity to ensure that </w:t>
      </w:r>
      <w:r w:rsidR="0045118C">
        <w:t xml:space="preserve">consistent </w:t>
      </w:r>
      <w:r>
        <w:t>controls are built into the system to better support the decision making process. The incorporation of business intelligence around key business processes would also assist in ensuring more effective and consistent decision making.</w:t>
      </w:r>
    </w:p>
    <w:p w14:paraId="466AB16C" w14:textId="34AE2C6E" w:rsidR="00B63160" w:rsidRPr="00073EBB" w:rsidRDefault="00B63160" w:rsidP="00B63160">
      <w:pPr>
        <w:spacing w:after="160" w:line="259" w:lineRule="auto"/>
        <w:rPr>
          <w:i/>
        </w:rPr>
      </w:pPr>
      <w:r w:rsidRPr="00073EBB">
        <w:rPr>
          <w:b/>
          <w:i/>
        </w:rPr>
        <w:t>Recommendation 1</w:t>
      </w:r>
      <w:r w:rsidR="005D037C">
        <w:rPr>
          <w:b/>
          <w:i/>
        </w:rPr>
        <w:t>5</w:t>
      </w:r>
      <w:r w:rsidRPr="00073EBB">
        <w:rPr>
          <w:i/>
        </w:rPr>
        <w:t xml:space="preserve">: </w:t>
      </w:r>
      <w:r w:rsidR="005D037C">
        <w:rPr>
          <w:i/>
        </w:rPr>
        <w:t>The NDIA should e</w:t>
      </w:r>
      <w:r w:rsidRPr="00073EBB">
        <w:rPr>
          <w:i/>
        </w:rPr>
        <w:t xml:space="preserve">mbed </w:t>
      </w:r>
      <w:r w:rsidR="0045118C">
        <w:rPr>
          <w:i/>
        </w:rPr>
        <w:t xml:space="preserve">improved </w:t>
      </w:r>
      <w:r>
        <w:rPr>
          <w:i/>
        </w:rPr>
        <w:t>controls</w:t>
      </w:r>
      <w:r w:rsidRPr="00073EBB">
        <w:rPr>
          <w:i/>
        </w:rPr>
        <w:t xml:space="preserve"> into current and future CRM to ACE system</w:t>
      </w:r>
      <w:r>
        <w:rPr>
          <w:i/>
        </w:rPr>
        <w:t xml:space="preserve"> changes to improve the integrity of the participant planning process.</w:t>
      </w:r>
    </w:p>
    <w:p w14:paraId="6310354E" w14:textId="507DFD7C" w:rsidR="00B63160" w:rsidRDefault="003B5FC4" w:rsidP="00B63160">
      <w:pPr>
        <w:pStyle w:val="FSRnormal"/>
      </w:pPr>
      <w:r>
        <w:t>The</w:t>
      </w:r>
      <w:r w:rsidR="00B63160">
        <w:t xml:space="preserve"> </w:t>
      </w:r>
      <w:r>
        <w:t xml:space="preserve">NDIA’s documentary evidence requirements are lower for services rendered to participants by non-registered suppliers. This </w:t>
      </w:r>
      <w:r w:rsidR="00B63160">
        <w:t xml:space="preserve">reduces the NDIA’s ability to identify fraudulent </w:t>
      </w:r>
      <w:r w:rsidR="008F7618">
        <w:t xml:space="preserve">or “sharp” </w:t>
      </w:r>
      <w:r w:rsidR="00B63160">
        <w:t xml:space="preserve">practices, for example providers charging for supports that were not provided, charging multiple times for the same service, or charging unreasonable amounts. The Agency’s fraud detection efforts would be strengthened through </w:t>
      </w:r>
      <w:r>
        <w:t xml:space="preserve">consistent documentation </w:t>
      </w:r>
      <w:r w:rsidR="00B63160">
        <w:t>requirements</w:t>
      </w:r>
      <w:r>
        <w:t xml:space="preserve"> for services rendered, irrespective of a supplier’s registration status</w:t>
      </w:r>
      <w:r w:rsidR="00B63160">
        <w:t>.</w:t>
      </w:r>
    </w:p>
    <w:p w14:paraId="0C8F1701" w14:textId="4E0DAB04" w:rsidR="00691831" w:rsidRPr="00691831" w:rsidRDefault="00B63160" w:rsidP="000D0CA3">
      <w:r w:rsidRPr="000D0CA3">
        <w:rPr>
          <w:b/>
          <w:i/>
        </w:rPr>
        <w:t>Recommendation 1</w:t>
      </w:r>
      <w:r w:rsidR="005D037C">
        <w:rPr>
          <w:b/>
          <w:i/>
        </w:rPr>
        <w:t>6</w:t>
      </w:r>
      <w:r w:rsidRPr="000D0CA3">
        <w:rPr>
          <w:i/>
        </w:rPr>
        <w:t xml:space="preserve">: The NDIA should strengthen its ability to detect fraud through increasing the supporting data and documentation requirements for payments </w:t>
      </w:r>
      <w:r w:rsidR="009B7487">
        <w:rPr>
          <w:i/>
        </w:rPr>
        <w:t>to</w:t>
      </w:r>
      <w:r w:rsidR="003B5FC4">
        <w:rPr>
          <w:i/>
        </w:rPr>
        <w:t xml:space="preserve"> non-registered suppliers</w:t>
      </w:r>
      <w:r w:rsidRPr="000D0CA3">
        <w:rPr>
          <w:i/>
        </w:rPr>
        <w:t>.</w:t>
      </w:r>
    </w:p>
    <w:p w14:paraId="619CCC41" w14:textId="77777777" w:rsidR="00C52D5C" w:rsidRPr="00691831" w:rsidRDefault="00C52D5C" w:rsidP="008C3131">
      <w:pPr>
        <w:pStyle w:val="FSRnormal"/>
        <w:rPr>
          <w:i/>
        </w:rPr>
      </w:pPr>
    </w:p>
    <w:bookmarkEnd w:id="38"/>
    <w:p w14:paraId="4DC0236E" w14:textId="72AE1E2C" w:rsidR="004138F6" w:rsidRPr="00C578EB" w:rsidRDefault="004138F6" w:rsidP="007B2293">
      <w:pPr>
        <w:pStyle w:val="FSRnormal"/>
      </w:pPr>
      <w:r w:rsidRPr="00C578EB">
        <w:br w:type="page"/>
      </w:r>
    </w:p>
    <w:p w14:paraId="30394D8D" w14:textId="77777777" w:rsidR="00CA470D" w:rsidRPr="00C578EB" w:rsidRDefault="00CA470D" w:rsidP="00CA470D">
      <w:pPr>
        <w:pStyle w:val="Heading2"/>
        <w:numPr>
          <w:ilvl w:val="0"/>
          <w:numId w:val="0"/>
        </w:numPr>
        <w:spacing w:line="360" w:lineRule="auto"/>
      </w:pPr>
      <w:bookmarkStart w:id="369" w:name="_Toc83220865"/>
      <w:bookmarkStart w:id="370" w:name="_Toc85031276"/>
      <w:r w:rsidRPr="00C578EB">
        <w:lastRenderedPageBreak/>
        <w:t>Acronyms and definitions</w:t>
      </w:r>
      <w:bookmarkEnd w:id="369"/>
      <w:bookmarkEnd w:id="370"/>
    </w:p>
    <w:p w14:paraId="2160F44A" w14:textId="77777777" w:rsidR="00CA470D" w:rsidRDefault="00CA470D" w:rsidP="00CA470D">
      <w:pPr>
        <w:pStyle w:val="FSRHeading4"/>
        <w:tabs>
          <w:tab w:val="left" w:pos="5917"/>
        </w:tabs>
      </w:pPr>
      <w:r w:rsidRPr="00C578EB">
        <w:t>Acronyms</w:t>
      </w:r>
    </w:p>
    <w:tbl>
      <w:tblPr>
        <w:tblStyle w:val="TableGrid"/>
        <w:tblW w:w="0" w:type="auto"/>
        <w:tblLook w:val="04A0" w:firstRow="1" w:lastRow="0" w:firstColumn="1" w:lastColumn="0" w:noHBand="0" w:noVBand="1"/>
      </w:tblPr>
      <w:tblGrid>
        <w:gridCol w:w="1793"/>
        <w:gridCol w:w="7223"/>
      </w:tblGrid>
      <w:tr w:rsidR="00CA470D" w:rsidRPr="00DC1DC1" w14:paraId="2ED37086" w14:textId="77777777" w:rsidTr="00F633BC">
        <w:trPr>
          <w:trHeight w:val="340"/>
        </w:trPr>
        <w:tc>
          <w:tcPr>
            <w:tcW w:w="1793" w:type="dxa"/>
            <w:vAlign w:val="center"/>
          </w:tcPr>
          <w:p w14:paraId="1F887B19" w14:textId="77777777" w:rsidR="00CA470D" w:rsidRPr="009E66B2" w:rsidRDefault="00CA470D" w:rsidP="00F633BC">
            <w:pPr>
              <w:spacing w:after="0" w:line="40" w:lineRule="atLeast"/>
            </w:pPr>
            <w:r w:rsidRPr="00DC1DC1">
              <w:t>AAT</w:t>
            </w:r>
          </w:p>
        </w:tc>
        <w:tc>
          <w:tcPr>
            <w:tcW w:w="7223" w:type="dxa"/>
            <w:vAlign w:val="center"/>
          </w:tcPr>
          <w:p w14:paraId="51E73B1C" w14:textId="77777777" w:rsidR="00CA470D" w:rsidRPr="009E66B2" w:rsidRDefault="00CA470D" w:rsidP="00F633BC">
            <w:pPr>
              <w:spacing w:after="0" w:line="40" w:lineRule="atLeast"/>
            </w:pPr>
            <w:r w:rsidRPr="005F36A2">
              <w:t>Administrative Appeals Tribunal</w:t>
            </w:r>
          </w:p>
        </w:tc>
      </w:tr>
      <w:tr w:rsidR="00CA470D" w:rsidRPr="00DC1DC1" w14:paraId="32261E46" w14:textId="77777777" w:rsidTr="00F633BC">
        <w:trPr>
          <w:trHeight w:val="340"/>
        </w:trPr>
        <w:tc>
          <w:tcPr>
            <w:tcW w:w="1793" w:type="dxa"/>
            <w:vAlign w:val="center"/>
          </w:tcPr>
          <w:p w14:paraId="009085DF" w14:textId="77777777" w:rsidR="00CA470D" w:rsidRPr="009E66B2" w:rsidRDefault="00CA470D" w:rsidP="00F633BC">
            <w:pPr>
              <w:spacing w:after="0" w:line="40" w:lineRule="atLeast"/>
            </w:pPr>
            <w:r w:rsidRPr="00DC1DC1">
              <w:t>ABS</w:t>
            </w:r>
          </w:p>
        </w:tc>
        <w:tc>
          <w:tcPr>
            <w:tcW w:w="7223" w:type="dxa"/>
            <w:vAlign w:val="center"/>
          </w:tcPr>
          <w:p w14:paraId="436C7089" w14:textId="77777777" w:rsidR="00CA470D" w:rsidRPr="009E66B2" w:rsidRDefault="00CA470D" w:rsidP="00F633BC">
            <w:pPr>
              <w:spacing w:after="0" w:line="40" w:lineRule="atLeast"/>
            </w:pPr>
            <w:r w:rsidRPr="005F36A2">
              <w:t>Australian Bureau of Statistics</w:t>
            </w:r>
          </w:p>
        </w:tc>
      </w:tr>
      <w:tr w:rsidR="00CA470D" w:rsidRPr="00DC1DC1" w14:paraId="77B7AF42" w14:textId="77777777" w:rsidTr="00F633BC">
        <w:trPr>
          <w:trHeight w:val="340"/>
        </w:trPr>
        <w:tc>
          <w:tcPr>
            <w:tcW w:w="1793" w:type="dxa"/>
            <w:vAlign w:val="center"/>
          </w:tcPr>
          <w:p w14:paraId="7B6434F3" w14:textId="77777777" w:rsidR="00CA470D" w:rsidRPr="009E66B2" w:rsidRDefault="00CA470D" w:rsidP="00F633BC">
            <w:pPr>
              <w:spacing w:after="0" w:line="40" w:lineRule="atLeast"/>
            </w:pPr>
            <w:r w:rsidRPr="00DC1DC1">
              <w:t>AFSR</w:t>
            </w:r>
          </w:p>
        </w:tc>
        <w:tc>
          <w:tcPr>
            <w:tcW w:w="7223" w:type="dxa"/>
            <w:vAlign w:val="center"/>
          </w:tcPr>
          <w:p w14:paraId="4E504018" w14:textId="77777777" w:rsidR="00CA470D" w:rsidRPr="009E66B2" w:rsidRDefault="00CA470D" w:rsidP="00F633BC">
            <w:pPr>
              <w:spacing w:after="0" w:line="40" w:lineRule="atLeast"/>
            </w:pPr>
            <w:r w:rsidRPr="005F36A2">
              <w:t>Annual Financial Sustainability Report</w:t>
            </w:r>
          </w:p>
        </w:tc>
      </w:tr>
      <w:tr w:rsidR="00CA470D" w:rsidRPr="00DC1DC1" w14:paraId="7F086736" w14:textId="77777777" w:rsidTr="00F633BC">
        <w:trPr>
          <w:trHeight w:val="340"/>
        </w:trPr>
        <w:tc>
          <w:tcPr>
            <w:tcW w:w="1793" w:type="dxa"/>
            <w:vAlign w:val="center"/>
          </w:tcPr>
          <w:p w14:paraId="5CCB6F4F" w14:textId="77777777" w:rsidR="00CA470D" w:rsidRPr="009E66B2" w:rsidRDefault="00CA470D" w:rsidP="00F633BC">
            <w:pPr>
              <w:spacing w:after="0" w:line="40" w:lineRule="atLeast"/>
            </w:pPr>
            <w:r w:rsidRPr="00DC1DC1">
              <w:t>CB</w:t>
            </w:r>
          </w:p>
        </w:tc>
        <w:tc>
          <w:tcPr>
            <w:tcW w:w="7223" w:type="dxa"/>
            <w:vAlign w:val="center"/>
          </w:tcPr>
          <w:p w14:paraId="037A1F1E" w14:textId="77777777" w:rsidR="00CA470D" w:rsidRPr="009E66B2" w:rsidRDefault="00CA470D" w:rsidP="00F633BC">
            <w:pPr>
              <w:spacing w:after="0" w:line="40" w:lineRule="atLeast"/>
            </w:pPr>
            <w:r w:rsidRPr="005F36A2">
              <w:t>Capacity Building</w:t>
            </w:r>
          </w:p>
        </w:tc>
      </w:tr>
      <w:tr w:rsidR="00CA470D" w:rsidRPr="00DC1DC1" w14:paraId="3BD63006" w14:textId="77777777" w:rsidTr="00F633BC">
        <w:trPr>
          <w:trHeight w:val="340"/>
        </w:trPr>
        <w:tc>
          <w:tcPr>
            <w:tcW w:w="1793" w:type="dxa"/>
            <w:vAlign w:val="center"/>
          </w:tcPr>
          <w:p w14:paraId="006C6DFE" w14:textId="77777777" w:rsidR="00CA470D" w:rsidRPr="009E66B2" w:rsidRDefault="00CA470D" w:rsidP="00F633BC">
            <w:pPr>
              <w:spacing w:after="0" w:line="40" w:lineRule="atLeast"/>
            </w:pPr>
            <w:r w:rsidRPr="00DC1DC1">
              <w:t>CRM</w:t>
            </w:r>
          </w:p>
        </w:tc>
        <w:tc>
          <w:tcPr>
            <w:tcW w:w="7223" w:type="dxa"/>
            <w:vAlign w:val="center"/>
          </w:tcPr>
          <w:p w14:paraId="5AC467FD" w14:textId="77777777" w:rsidR="00CA470D" w:rsidRPr="009E66B2" w:rsidRDefault="00CA470D" w:rsidP="00F633BC">
            <w:pPr>
              <w:spacing w:after="0" w:line="40" w:lineRule="atLeast"/>
            </w:pPr>
            <w:r w:rsidRPr="005F36A2">
              <w:t>Client Relationship Management</w:t>
            </w:r>
          </w:p>
        </w:tc>
      </w:tr>
      <w:tr w:rsidR="00CA470D" w:rsidRPr="00DC1DC1" w14:paraId="7E48C211" w14:textId="77777777" w:rsidTr="00F633BC">
        <w:trPr>
          <w:trHeight w:val="340"/>
        </w:trPr>
        <w:tc>
          <w:tcPr>
            <w:tcW w:w="1793" w:type="dxa"/>
            <w:vAlign w:val="center"/>
          </w:tcPr>
          <w:p w14:paraId="22FD36B0" w14:textId="77777777" w:rsidR="00CA470D" w:rsidRPr="009E66B2" w:rsidRDefault="00CA470D" w:rsidP="00F633BC">
            <w:pPr>
              <w:spacing w:after="0" w:line="40" w:lineRule="atLeast"/>
            </w:pPr>
            <w:r w:rsidRPr="00DC1DC1">
              <w:t>CY</w:t>
            </w:r>
          </w:p>
        </w:tc>
        <w:tc>
          <w:tcPr>
            <w:tcW w:w="7223" w:type="dxa"/>
            <w:vAlign w:val="center"/>
          </w:tcPr>
          <w:p w14:paraId="6727D5FA" w14:textId="77777777" w:rsidR="00CA470D" w:rsidRPr="009E66B2" w:rsidRDefault="00CA470D" w:rsidP="00F633BC">
            <w:pPr>
              <w:spacing w:after="0" w:line="40" w:lineRule="atLeast"/>
            </w:pPr>
            <w:r w:rsidRPr="005F36A2">
              <w:t>Calendar Year</w:t>
            </w:r>
          </w:p>
        </w:tc>
      </w:tr>
      <w:tr w:rsidR="00CA470D" w:rsidRPr="00DC1DC1" w14:paraId="44FB382D" w14:textId="77777777" w:rsidTr="00F633BC">
        <w:trPr>
          <w:trHeight w:val="340"/>
        </w:trPr>
        <w:tc>
          <w:tcPr>
            <w:tcW w:w="1793" w:type="dxa"/>
            <w:vAlign w:val="center"/>
          </w:tcPr>
          <w:p w14:paraId="4849F5BE" w14:textId="77777777" w:rsidR="00CA470D" w:rsidRPr="009E66B2" w:rsidRDefault="00CA470D" w:rsidP="00F633BC">
            <w:pPr>
              <w:spacing w:after="0" w:line="40" w:lineRule="atLeast"/>
            </w:pPr>
            <w:r w:rsidRPr="00DC1DC1">
              <w:t>GDP</w:t>
            </w:r>
          </w:p>
        </w:tc>
        <w:tc>
          <w:tcPr>
            <w:tcW w:w="7223" w:type="dxa"/>
            <w:vAlign w:val="center"/>
          </w:tcPr>
          <w:p w14:paraId="586565B2" w14:textId="77777777" w:rsidR="00CA470D" w:rsidRPr="009E66B2" w:rsidRDefault="00CA470D" w:rsidP="00F633BC">
            <w:pPr>
              <w:spacing w:after="0" w:line="40" w:lineRule="atLeast"/>
            </w:pPr>
            <w:r w:rsidRPr="005F36A2">
              <w:t>Gross Domestic Product</w:t>
            </w:r>
          </w:p>
        </w:tc>
      </w:tr>
      <w:tr w:rsidR="00CA470D" w:rsidRPr="00DC1DC1" w14:paraId="5B73EB18" w14:textId="77777777" w:rsidTr="00F633BC">
        <w:trPr>
          <w:trHeight w:val="340"/>
        </w:trPr>
        <w:tc>
          <w:tcPr>
            <w:tcW w:w="1793" w:type="dxa"/>
            <w:vAlign w:val="center"/>
          </w:tcPr>
          <w:p w14:paraId="74A7005E" w14:textId="77777777" w:rsidR="00CA470D" w:rsidRPr="009E66B2" w:rsidRDefault="00CA470D" w:rsidP="00F633BC">
            <w:pPr>
              <w:spacing w:after="0" w:line="40" w:lineRule="atLeast"/>
            </w:pPr>
            <w:r w:rsidRPr="00DC1DC1">
              <w:t>ICT</w:t>
            </w:r>
          </w:p>
        </w:tc>
        <w:tc>
          <w:tcPr>
            <w:tcW w:w="7223" w:type="dxa"/>
            <w:vAlign w:val="center"/>
          </w:tcPr>
          <w:p w14:paraId="45C6172D" w14:textId="77777777" w:rsidR="00CA470D" w:rsidRPr="009E66B2" w:rsidRDefault="00CA470D" w:rsidP="00F633BC">
            <w:pPr>
              <w:spacing w:after="0" w:line="40" w:lineRule="atLeast"/>
            </w:pPr>
            <w:r w:rsidRPr="005F36A2">
              <w:t>Information and Communications Technology</w:t>
            </w:r>
          </w:p>
        </w:tc>
      </w:tr>
      <w:tr w:rsidR="00CA470D" w:rsidRPr="00DC1DC1" w14:paraId="01CCA5A5" w14:textId="77777777" w:rsidTr="00F633BC">
        <w:trPr>
          <w:trHeight w:val="340"/>
        </w:trPr>
        <w:tc>
          <w:tcPr>
            <w:tcW w:w="1793" w:type="dxa"/>
            <w:vAlign w:val="center"/>
          </w:tcPr>
          <w:p w14:paraId="090ED815" w14:textId="77777777" w:rsidR="00CA470D" w:rsidRPr="009E66B2" w:rsidRDefault="00CA470D" w:rsidP="00F633BC">
            <w:pPr>
              <w:spacing w:after="0" w:line="40" w:lineRule="atLeast"/>
            </w:pPr>
            <w:r w:rsidRPr="00DC1DC1">
              <w:t>ILO</w:t>
            </w:r>
          </w:p>
        </w:tc>
        <w:tc>
          <w:tcPr>
            <w:tcW w:w="7223" w:type="dxa"/>
            <w:vAlign w:val="center"/>
          </w:tcPr>
          <w:p w14:paraId="1984415F" w14:textId="77777777" w:rsidR="00CA470D" w:rsidRPr="009E66B2" w:rsidRDefault="00CA470D" w:rsidP="00F633BC">
            <w:pPr>
              <w:spacing w:after="0" w:line="40" w:lineRule="atLeast"/>
            </w:pPr>
            <w:r w:rsidRPr="005F36A2">
              <w:t>Independent Living Option</w:t>
            </w:r>
          </w:p>
        </w:tc>
      </w:tr>
      <w:tr w:rsidR="00CA470D" w:rsidRPr="00DC1DC1" w14:paraId="7AEBCE40" w14:textId="77777777" w:rsidTr="00F633BC">
        <w:trPr>
          <w:trHeight w:val="340"/>
        </w:trPr>
        <w:tc>
          <w:tcPr>
            <w:tcW w:w="1793" w:type="dxa"/>
            <w:vAlign w:val="center"/>
          </w:tcPr>
          <w:p w14:paraId="22FB4D09" w14:textId="77777777" w:rsidR="00CA470D" w:rsidRPr="009E66B2" w:rsidRDefault="00CA470D" w:rsidP="00F633BC">
            <w:pPr>
              <w:spacing w:after="0" w:line="40" w:lineRule="atLeast"/>
            </w:pPr>
            <w:r w:rsidRPr="00DC1DC1">
              <w:t>LCE</w:t>
            </w:r>
          </w:p>
        </w:tc>
        <w:tc>
          <w:tcPr>
            <w:tcW w:w="7223" w:type="dxa"/>
            <w:vAlign w:val="center"/>
          </w:tcPr>
          <w:p w14:paraId="1DC71E8D" w14:textId="77777777" w:rsidR="00CA470D" w:rsidRPr="009E66B2" w:rsidRDefault="00CA470D" w:rsidP="00F633BC">
            <w:pPr>
              <w:spacing w:after="0" w:line="40" w:lineRule="atLeast"/>
            </w:pPr>
            <w:r w:rsidRPr="005F36A2">
              <w:t>Lif</w:t>
            </w:r>
            <w:r w:rsidRPr="00DC1DC1">
              <w:t>etime Cost Estimates</w:t>
            </w:r>
          </w:p>
        </w:tc>
      </w:tr>
      <w:tr w:rsidR="00CA470D" w:rsidRPr="00DC1DC1" w14:paraId="08FD5DE5" w14:textId="77777777" w:rsidTr="00F633BC">
        <w:trPr>
          <w:trHeight w:val="340"/>
        </w:trPr>
        <w:tc>
          <w:tcPr>
            <w:tcW w:w="1793" w:type="dxa"/>
            <w:vAlign w:val="center"/>
          </w:tcPr>
          <w:p w14:paraId="435474F2" w14:textId="77777777" w:rsidR="00CA470D" w:rsidRPr="00DC1DC1" w:rsidRDefault="00CA470D" w:rsidP="00F633BC">
            <w:pPr>
              <w:spacing w:after="0" w:line="40" w:lineRule="atLeast"/>
            </w:pPr>
            <w:r w:rsidRPr="00DC1DC1">
              <w:t>NDIA</w:t>
            </w:r>
          </w:p>
        </w:tc>
        <w:tc>
          <w:tcPr>
            <w:tcW w:w="7223" w:type="dxa"/>
            <w:vAlign w:val="center"/>
          </w:tcPr>
          <w:p w14:paraId="1A173FF5" w14:textId="77777777" w:rsidR="00CA470D" w:rsidRPr="00DC1DC1" w:rsidRDefault="00CA470D" w:rsidP="00F633BC">
            <w:pPr>
              <w:spacing w:after="0" w:line="40" w:lineRule="atLeast"/>
            </w:pPr>
            <w:r w:rsidRPr="00DC1DC1">
              <w:t>National Disability Insurance Agency</w:t>
            </w:r>
          </w:p>
        </w:tc>
      </w:tr>
      <w:tr w:rsidR="00CA470D" w:rsidRPr="00DC1DC1" w14:paraId="5A517368" w14:textId="77777777" w:rsidTr="00F633BC">
        <w:trPr>
          <w:trHeight w:val="340"/>
        </w:trPr>
        <w:tc>
          <w:tcPr>
            <w:tcW w:w="1793" w:type="dxa"/>
            <w:vAlign w:val="center"/>
          </w:tcPr>
          <w:p w14:paraId="7B07BD08" w14:textId="77777777" w:rsidR="00CA470D" w:rsidRPr="009E66B2" w:rsidRDefault="00CA470D" w:rsidP="00F633BC">
            <w:pPr>
              <w:spacing w:after="0" w:line="40" w:lineRule="atLeast"/>
            </w:pPr>
            <w:r w:rsidRPr="00DC1DC1">
              <w:t>NDIS</w:t>
            </w:r>
          </w:p>
        </w:tc>
        <w:tc>
          <w:tcPr>
            <w:tcW w:w="7223" w:type="dxa"/>
            <w:vAlign w:val="center"/>
          </w:tcPr>
          <w:p w14:paraId="72EBC780" w14:textId="77777777" w:rsidR="00CA470D" w:rsidRPr="009E66B2" w:rsidRDefault="00CA470D" w:rsidP="00F633BC">
            <w:pPr>
              <w:spacing w:after="0" w:line="40" w:lineRule="atLeast"/>
            </w:pPr>
            <w:r w:rsidRPr="005F36A2">
              <w:t>National Disability Insurance Scheme</w:t>
            </w:r>
          </w:p>
        </w:tc>
      </w:tr>
      <w:tr w:rsidR="00CA470D" w:rsidRPr="00DC1DC1" w14:paraId="597154FA" w14:textId="77777777" w:rsidTr="00F633BC">
        <w:trPr>
          <w:trHeight w:val="340"/>
        </w:trPr>
        <w:tc>
          <w:tcPr>
            <w:tcW w:w="1793" w:type="dxa"/>
            <w:vAlign w:val="center"/>
          </w:tcPr>
          <w:p w14:paraId="01C54B01" w14:textId="77777777" w:rsidR="00CA470D" w:rsidRPr="009E66B2" w:rsidRDefault="00CA470D" w:rsidP="00F633BC">
            <w:pPr>
              <w:spacing w:after="0" w:line="40" w:lineRule="atLeast"/>
            </w:pPr>
            <w:r w:rsidRPr="00DC1DC1">
              <w:t>NIIS</w:t>
            </w:r>
          </w:p>
        </w:tc>
        <w:tc>
          <w:tcPr>
            <w:tcW w:w="7223" w:type="dxa"/>
            <w:vAlign w:val="center"/>
          </w:tcPr>
          <w:p w14:paraId="08DB2043" w14:textId="77777777" w:rsidR="00CA470D" w:rsidRPr="009E66B2" w:rsidRDefault="00CA470D" w:rsidP="00F633BC">
            <w:pPr>
              <w:spacing w:after="0" w:line="40" w:lineRule="atLeast"/>
            </w:pPr>
            <w:r w:rsidRPr="005F36A2">
              <w:t>National Injury Insurance Scheme</w:t>
            </w:r>
          </w:p>
        </w:tc>
      </w:tr>
      <w:tr w:rsidR="00CA470D" w:rsidRPr="00DC1DC1" w14:paraId="716C7C26" w14:textId="77777777" w:rsidTr="00F633BC">
        <w:trPr>
          <w:trHeight w:val="340"/>
        </w:trPr>
        <w:tc>
          <w:tcPr>
            <w:tcW w:w="1793" w:type="dxa"/>
            <w:vAlign w:val="center"/>
          </w:tcPr>
          <w:p w14:paraId="6BD5D2D9" w14:textId="77777777" w:rsidR="00CA470D" w:rsidRPr="009E66B2" w:rsidRDefault="00CA470D" w:rsidP="00F633BC">
            <w:pPr>
              <w:spacing w:after="0" w:line="40" w:lineRule="atLeast"/>
            </w:pPr>
            <w:r w:rsidRPr="00DC1DC1">
              <w:t>NSW</w:t>
            </w:r>
          </w:p>
        </w:tc>
        <w:tc>
          <w:tcPr>
            <w:tcW w:w="7223" w:type="dxa"/>
            <w:vAlign w:val="center"/>
          </w:tcPr>
          <w:p w14:paraId="0506D02A" w14:textId="77777777" w:rsidR="00CA470D" w:rsidRPr="009E66B2" w:rsidRDefault="00CA470D" w:rsidP="00F633BC">
            <w:pPr>
              <w:spacing w:after="0" w:line="40" w:lineRule="atLeast"/>
            </w:pPr>
            <w:r w:rsidRPr="005F36A2">
              <w:t>New South Wales</w:t>
            </w:r>
          </w:p>
        </w:tc>
      </w:tr>
      <w:tr w:rsidR="00CA470D" w:rsidRPr="00DC1DC1" w14:paraId="1FDAF2BB" w14:textId="77777777" w:rsidTr="00F633BC">
        <w:trPr>
          <w:trHeight w:val="340"/>
        </w:trPr>
        <w:tc>
          <w:tcPr>
            <w:tcW w:w="1793" w:type="dxa"/>
            <w:vAlign w:val="center"/>
          </w:tcPr>
          <w:p w14:paraId="69E3B40A" w14:textId="77777777" w:rsidR="00CA470D" w:rsidRPr="009E66B2" w:rsidRDefault="00CA470D" w:rsidP="00F633BC">
            <w:pPr>
              <w:spacing w:after="0" w:line="40" w:lineRule="atLeast"/>
            </w:pPr>
            <w:r w:rsidRPr="00DC1DC1">
              <w:t>PBS</w:t>
            </w:r>
          </w:p>
        </w:tc>
        <w:tc>
          <w:tcPr>
            <w:tcW w:w="7223" w:type="dxa"/>
            <w:vAlign w:val="center"/>
          </w:tcPr>
          <w:p w14:paraId="5F7ED5BF" w14:textId="77777777" w:rsidR="00CA470D" w:rsidRPr="009E66B2" w:rsidRDefault="00CA470D" w:rsidP="00F633BC">
            <w:pPr>
              <w:spacing w:after="0" w:line="40" w:lineRule="atLeast"/>
            </w:pPr>
            <w:r w:rsidRPr="005F36A2">
              <w:t>Portfolio Budget Statements</w:t>
            </w:r>
          </w:p>
        </w:tc>
      </w:tr>
      <w:tr w:rsidR="00CA470D" w:rsidRPr="00DC1DC1" w14:paraId="3C39410A" w14:textId="77777777" w:rsidTr="00F633BC">
        <w:trPr>
          <w:trHeight w:val="340"/>
        </w:trPr>
        <w:tc>
          <w:tcPr>
            <w:tcW w:w="1793" w:type="dxa"/>
            <w:vAlign w:val="center"/>
          </w:tcPr>
          <w:p w14:paraId="2D9EAA74" w14:textId="77777777" w:rsidR="00CA470D" w:rsidRPr="009E66B2" w:rsidRDefault="00CA470D" w:rsidP="00F633BC">
            <w:pPr>
              <w:spacing w:after="0" w:line="40" w:lineRule="atLeast"/>
            </w:pPr>
            <w:r w:rsidRPr="00DC1DC1">
              <w:t>PC</w:t>
            </w:r>
          </w:p>
        </w:tc>
        <w:tc>
          <w:tcPr>
            <w:tcW w:w="7223" w:type="dxa"/>
            <w:vAlign w:val="center"/>
          </w:tcPr>
          <w:p w14:paraId="3AFDF8A9" w14:textId="77777777" w:rsidR="00CA470D" w:rsidRPr="009E66B2" w:rsidRDefault="00CA470D" w:rsidP="00F633BC">
            <w:pPr>
              <w:spacing w:after="0" w:line="40" w:lineRule="atLeast"/>
            </w:pPr>
            <w:r w:rsidRPr="005F36A2">
              <w:t>Productivity Commission</w:t>
            </w:r>
          </w:p>
        </w:tc>
      </w:tr>
      <w:tr w:rsidR="00CA470D" w:rsidRPr="00DC1DC1" w14:paraId="6924EA7D" w14:textId="77777777" w:rsidTr="00F633BC">
        <w:trPr>
          <w:trHeight w:val="340"/>
        </w:trPr>
        <w:tc>
          <w:tcPr>
            <w:tcW w:w="1793" w:type="dxa"/>
            <w:vAlign w:val="center"/>
          </w:tcPr>
          <w:p w14:paraId="7B80E7B5" w14:textId="77777777" w:rsidR="00CA470D" w:rsidRPr="00DC1DC1" w:rsidRDefault="00CA470D" w:rsidP="00F633BC">
            <w:pPr>
              <w:spacing w:after="0" w:line="40" w:lineRule="atLeast"/>
            </w:pPr>
            <w:r w:rsidRPr="00DC1DC1">
              <w:t>RAC</w:t>
            </w:r>
          </w:p>
        </w:tc>
        <w:tc>
          <w:tcPr>
            <w:tcW w:w="7223" w:type="dxa"/>
            <w:vAlign w:val="center"/>
          </w:tcPr>
          <w:p w14:paraId="1B460B1C" w14:textId="77777777" w:rsidR="00CA470D" w:rsidRPr="00DC1DC1" w:rsidRDefault="00CA470D" w:rsidP="00F633BC">
            <w:pPr>
              <w:spacing w:after="0" w:line="40" w:lineRule="atLeast"/>
              <w:rPr>
                <w:rFonts w:eastAsiaTheme="minorHAnsi"/>
                <w:lang w:eastAsia="en-US"/>
              </w:rPr>
            </w:pPr>
            <w:r w:rsidRPr="00DC1DC1">
              <w:t>Residential Aged Care</w:t>
            </w:r>
          </w:p>
        </w:tc>
      </w:tr>
      <w:tr w:rsidR="00CA470D" w:rsidRPr="00DC1DC1" w14:paraId="7499D2A8" w14:textId="77777777" w:rsidTr="00F633BC">
        <w:trPr>
          <w:trHeight w:val="340"/>
        </w:trPr>
        <w:tc>
          <w:tcPr>
            <w:tcW w:w="1793" w:type="dxa"/>
            <w:vAlign w:val="center"/>
          </w:tcPr>
          <w:p w14:paraId="4844BBE4" w14:textId="77777777" w:rsidR="00CA470D" w:rsidRPr="00DC1DC1" w:rsidRDefault="00CA470D" w:rsidP="00F633BC">
            <w:pPr>
              <w:spacing w:after="0" w:line="40" w:lineRule="atLeast"/>
            </w:pPr>
            <w:r w:rsidRPr="00DC1DC1">
              <w:t>SAS</w:t>
            </w:r>
          </w:p>
        </w:tc>
        <w:tc>
          <w:tcPr>
            <w:tcW w:w="7223" w:type="dxa"/>
            <w:vAlign w:val="center"/>
          </w:tcPr>
          <w:p w14:paraId="0FE8E4AF" w14:textId="77777777" w:rsidR="00CA470D" w:rsidRPr="00DC1DC1" w:rsidRDefault="00CA470D" w:rsidP="00F633BC">
            <w:pPr>
              <w:spacing w:after="0" w:line="40" w:lineRule="atLeast"/>
              <w:rPr>
                <w:rFonts w:eastAsiaTheme="minorHAnsi"/>
                <w:lang w:eastAsia="en-US"/>
              </w:rPr>
            </w:pPr>
            <w:r w:rsidRPr="00DC1DC1">
              <w:t>Statistical Analysis System</w:t>
            </w:r>
          </w:p>
        </w:tc>
      </w:tr>
      <w:tr w:rsidR="00CA470D" w:rsidRPr="00DC1DC1" w14:paraId="7CC7A85F" w14:textId="77777777" w:rsidTr="00F633BC">
        <w:trPr>
          <w:trHeight w:val="340"/>
        </w:trPr>
        <w:tc>
          <w:tcPr>
            <w:tcW w:w="1793" w:type="dxa"/>
            <w:vAlign w:val="center"/>
          </w:tcPr>
          <w:p w14:paraId="4C336301" w14:textId="77777777" w:rsidR="00CA470D" w:rsidRPr="00DC1DC1" w:rsidRDefault="00CA470D" w:rsidP="00F633BC">
            <w:pPr>
              <w:spacing w:after="0" w:line="40" w:lineRule="atLeast"/>
            </w:pPr>
            <w:r w:rsidRPr="00DC1DC1">
              <w:t>SDA</w:t>
            </w:r>
          </w:p>
        </w:tc>
        <w:tc>
          <w:tcPr>
            <w:tcW w:w="7223" w:type="dxa"/>
            <w:vAlign w:val="center"/>
          </w:tcPr>
          <w:p w14:paraId="6A69ED76" w14:textId="77777777" w:rsidR="00CA470D" w:rsidRPr="00DC1DC1" w:rsidRDefault="00CA470D" w:rsidP="00F633BC">
            <w:pPr>
              <w:spacing w:after="0" w:line="40" w:lineRule="atLeast"/>
              <w:rPr>
                <w:rFonts w:eastAsiaTheme="minorHAnsi"/>
                <w:lang w:eastAsia="en-US"/>
              </w:rPr>
            </w:pPr>
            <w:r w:rsidRPr="00DC1DC1">
              <w:t>Specialist Disability Accommodation</w:t>
            </w:r>
          </w:p>
        </w:tc>
      </w:tr>
      <w:tr w:rsidR="00CA470D" w:rsidRPr="00DC1DC1" w14:paraId="26228E0E" w14:textId="77777777" w:rsidTr="00F633BC">
        <w:trPr>
          <w:trHeight w:val="340"/>
        </w:trPr>
        <w:tc>
          <w:tcPr>
            <w:tcW w:w="1793" w:type="dxa"/>
            <w:vAlign w:val="center"/>
          </w:tcPr>
          <w:p w14:paraId="129342EB" w14:textId="77777777" w:rsidR="00CA470D" w:rsidRPr="00DC1DC1" w:rsidRDefault="00CA470D" w:rsidP="00F633BC">
            <w:pPr>
              <w:spacing w:after="0" w:line="40" w:lineRule="atLeast"/>
            </w:pPr>
            <w:r w:rsidRPr="00DC1DC1">
              <w:t>SIL</w:t>
            </w:r>
          </w:p>
        </w:tc>
        <w:tc>
          <w:tcPr>
            <w:tcW w:w="7223" w:type="dxa"/>
            <w:vAlign w:val="center"/>
          </w:tcPr>
          <w:p w14:paraId="367AF555" w14:textId="77777777" w:rsidR="00CA470D" w:rsidRPr="00DC1DC1" w:rsidRDefault="00CA470D" w:rsidP="00F633BC">
            <w:pPr>
              <w:spacing w:after="0" w:line="40" w:lineRule="atLeast"/>
              <w:rPr>
                <w:rFonts w:eastAsiaTheme="minorHAnsi"/>
                <w:lang w:eastAsia="en-US"/>
              </w:rPr>
            </w:pPr>
            <w:r w:rsidRPr="00DC1DC1">
              <w:t>Supported Independent Living</w:t>
            </w:r>
          </w:p>
        </w:tc>
      </w:tr>
      <w:tr w:rsidR="00CA470D" w:rsidRPr="00DC1DC1" w14:paraId="1E95880A" w14:textId="77777777" w:rsidTr="00F633BC">
        <w:trPr>
          <w:trHeight w:val="340"/>
        </w:trPr>
        <w:tc>
          <w:tcPr>
            <w:tcW w:w="1793" w:type="dxa"/>
            <w:vAlign w:val="center"/>
          </w:tcPr>
          <w:p w14:paraId="16B07034" w14:textId="77777777" w:rsidR="00CA470D" w:rsidRPr="00DC1DC1" w:rsidRDefault="00CA470D" w:rsidP="00F633BC">
            <w:pPr>
              <w:spacing w:after="0" w:line="40" w:lineRule="atLeast"/>
            </w:pPr>
            <w:r w:rsidRPr="00DC1DC1">
              <w:t>YTD</w:t>
            </w:r>
          </w:p>
        </w:tc>
        <w:tc>
          <w:tcPr>
            <w:tcW w:w="7223" w:type="dxa"/>
            <w:vAlign w:val="center"/>
          </w:tcPr>
          <w:p w14:paraId="09CD2873" w14:textId="77777777" w:rsidR="00CA470D" w:rsidRPr="00DC1DC1" w:rsidRDefault="00CA470D" w:rsidP="00F633BC">
            <w:pPr>
              <w:spacing w:after="0" w:line="40" w:lineRule="atLeast"/>
              <w:rPr>
                <w:rFonts w:eastAsiaTheme="minorHAnsi"/>
                <w:lang w:eastAsia="en-US"/>
              </w:rPr>
            </w:pPr>
            <w:r w:rsidRPr="00DC1DC1">
              <w:t>Year To Date</w:t>
            </w:r>
          </w:p>
        </w:tc>
      </w:tr>
    </w:tbl>
    <w:p w14:paraId="6990AD50" w14:textId="77777777" w:rsidR="00CA470D" w:rsidRDefault="00CA470D" w:rsidP="00CA470D">
      <w:pPr>
        <w:pStyle w:val="FSRHeading4"/>
        <w:tabs>
          <w:tab w:val="left" w:pos="5917"/>
        </w:tabs>
      </w:pPr>
    </w:p>
    <w:p w14:paraId="6E55D36A" w14:textId="77777777" w:rsidR="00CA470D" w:rsidRPr="00C578EB" w:rsidRDefault="00CA470D" w:rsidP="00CA470D">
      <w:pPr>
        <w:pStyle w:val="FSRHeading4"/>
        <w:tabs>
          <w:tab w:val="left" w:pos="5917"/>
        </w:tabs>
      </w:pPr>
      <w:r w:rsidRPr="00C578EB">
        <w:br w:type="page"/>
      </w:r>
    </w:p>
    <w:p w14:paraId="6D9C8549" w14:textId="77777777" w:rsidR="00CA470D" w:rsidRDefault="00CA470D" w:rsidP="00CA470D">
      <w:pPr>
        <w:pStyle w:val="FSRHeading4"/>
      </w:pPr>
      <w:r w:rsidRPr="00C578EB">
        <w:lastRenderedPageBreak/>
        <w:t>Definitions used in this report</w:t>
      </w:r>
    </w:p>
    <w:tbl>
      <w:tblPr>
        <w:tblStyle w:val="TableGrid"/>
        <w:tblW w:w="0" w:type="auto"/>
        <w:tblLook w:val="04A0" w:firstRow="1" w:lastRow="0" w:firstColumn="1" w:lastColumn="0" w:noHBand="0" w:noVBand="1"/>
      </w:tblPr>
      <w:tblGrid>
        <w:gridCol w:w="2479"/>
        <w:gridCol w:w="6537"/>
      </w:tblGrid>
      <w:tr w:rsidR="00CA470D" w:rsidRPr="00DC1DC1" w14:paraId="23100BDB" w14:textId="77777777" w:rsidTr="00F633BC">
        <w:tc>
          <w:tcPr>
            <w:tcW w:w="2479" w:type="dxa"/>
          </w:tcPr>
          <w:p w14:paraId="28B2446C" w14:textId="77777777" w:rsidR="00CA470D" w:rsidRPr="00DC1DC1" w:rsidRDefault="00CA470D" w:rsidP="00F633BC">
            <w:pPr>
              <w:spacing w:after="0" w:line="240" w:lineRule="auto"/>
              <w:rPr>
                <w:highlight w:val="yellow"/>
              </w:rPr>
            </w:pPr>
            <w:r w:rsidRPr="005F36A2">
              <w:t>201</w:t>
            </w:r>
            <w:r w:rsidRPr="009E66B2">
              <w:t>9</w:t>
            </w:r>
            <w:r w:rsidRPr="00DC1DC1">
              <w:t>-</w:t>
            </w:r>
            <w:r w:rsidRPr="009E66B2">
              <w:t>20</w:t>
            </w:r>
            <w:r w:rsidRPr="00DC1DC1">
              <w:t xml:space="preserve"> AFSR</w:t>
            </w:r>
          </w:p>
        </w:tc>
        <w:tc>
          <w:tcPr>
            <w:tcW w:w="6537" w:type="dxa"/>
          </w:tcPr>
          <w:p w14:paraId="59F7A34C" w14:textId="77777777" w:rsidR="00CA470D" w:rsidRPr="00DC1DC1" w:rsidRDefault="00CA470D" w:rsidP="00F633BC">
            <w:pPr>
              <w:spacing w:after="0" w:line="240" w:lineRule="auto"/>
              <w:rPr>
                <w:i/>
              </w:rPr>
            </w:pPr>
            <w:r w:rsidRPr="00DC1DC1">
              <w:rPr>
                <w:i/>
              </w:rPr>
              <w:t>National Disability Insurance Scheme: Annual Financial Sustainability Report 201</w:t>
            </w:r>
            <w:r w:rsidRPr="009E66B2">
              <w:rPr>
                <w:i/>
              </w:rPr>
              <w:t>9</w:t>
            </w:r>
            <w:r w:rsidRPr="00DC1DC1">
              <w:rPr>
                <w:i/>
              </w:rPr>
              <w:t>-</w:t>
            </w:r>
            <w:r w:rsidRPr="009E66B2">
              <w:rPr>
                <w:i/>
              </w:rPr>
              <w:t>20</w:t>
            </w:r>
          </w:p>
          <w:p w14:paraId="0C408011" w14:textId="77777777" w:rsidR="00CA470D" w:rsidRPr="009E66B2" w:rsidRDefault="00CA470D" w:rsidP="00F633BC">
            <w:pPr>
              <w:spacing w:after="0" w:line="240" w:lineRule="auto"/>
              <w:rPr>
                <w:highlight w:val="yellow"/>
              </w:rPr>
            </w:pPr>
          </w:p>
          <w:p w14:paraId="217DBD68" w14:textId="77777777" w:rsidR="00CA470D" w:rsidRPr="00B37567" w:rsidRDefault="00CA470D" w:rsidP="00F633BC">
            <w:pPr>
              <w:spacing w:after="0" w:line="240" w:lineRule="auto"/>
            </w:pPr>
            <w:r w:rsidRPr="00B37567">
              <w:t>A summary was included in Chapter 3.</w:t>
            </w:r>
            <w:r>
              <w:t>2</w:t>
            </w:r>
            <w:r w:rsidRPr="00B37567">
              <w:t xml:space="preserve"> of the </w:t>
            </w:r>
            <w:r w:rsidRPr="00B37567">
              <w:rPr>
                <w:i/>
              </w:rPr>
              <w:t>National Disability Insurance Agency Annual Report 201</w:t>
            </w:r>
            <w:r>
              <w:rPr>
                <w:i/>
              </w:rPr>
              <w:t>9</w:t>
            </w:r>
            <w:r w:rsidRPr="00B37567">
              <w:rPr>
                <w:i/>
              </w:rPr>
              <w:t>-</w:t>
            </w:r>
            <w:r>
              <w:rPr>
                <w:i/>
              </w:rPr>
              <w:t>20</w:t>
            </w:r>
            <w:r w:rsidRPr="00B37567">
              <w:t xml:space="preserve">, from pages </w:t>
            </w:r>
            <w:r>
              <w:t>93</w:t>
            </w:r>
            <w:r w:rsidRPr="00B37567">
              <w:t xml:space="preserve"> to </w:t>
            </w:r>
            <w:r>
              <w:t>97</w:t>
            </w:r>
            <w:r w:rsidRPr="00B37567">
              <w:t>.</w:t>
            </w:r>
          </w:p>
          <w:p w14:paraId="6FD7FF38" w14:textId="77777777" w:rsidR="00CA470D" w:rsidRPr="00B37567" w:rsidRDefault="00CA470D" w:rsidP="00F633BC">
            <w:pPr>
              <w:spacing w:after="0" w:line="240" w:lineRule="auto"/>
            </w:pPr>
            <w:r w:rsidRPr="00B37567">
              <w:t>The annual report was tabled on 15 October 20</w:t>
            </w:r>
            <w:r>
              <w:t>20</w:t>
            </w:r>
            <w:r w:rsidRPr="00B37567">
              <w:t>:</w:t>
            </w:r>
          </w:p>
          <w:p w14:paraId="4C66E946" w14:textId="3BB13C5E" w:rsidR="00CA470D" w:rsidRPr="005F36A2" w:rsidRDefault="00312E88" w:rsidP="00F633BC">
            <w:pPr>
              <w:spacing w:after="0" w:line="240" w:lineRule="auto"/>
              <w:rPr>
                <w:highlight w:val="yellow"/>
              </w:rPr>
            </w:pPr>
            <w:hyperlink r:id="rId66" w:history="1">
              <w:r w:rsidR="006638A4">
                <w:rPr>
                  <w:rStyle w:val="Hyperlink"/>
                </w:rPr>
                <w:t>National Disability Insurance Agency Annual Report 2019-20</w:t>
              </w:r>
            </w:hyperlink>
          </w:p>
        </w:tc>
      </w:tr>
      <w:tr w:rsidR="00CA470D" w:rsidRPr="00DC1DC1" w14:paraId="59733B1F" w14:textId="77777777" w:rsidTr="00F633BC">
        <w:tc>
          <w:tcPr>
            <w:tcW w:w="2479" w:type="dxa"/>
          </w:tcPr>
          <w:p w14:paraId="39A399D7" w14:textId="77777777" w:rsidR="00CA470D" w:rsidRPr="000D0CA3" w:rsidRDefault="00CA470D" w:rsidP="00F633BC">
            <w:pPr>
              <w:spacing w:after="0" w:line="240" w:lineRule="auto"/>
            </w:pPr>
            <w:r w:rsidRPr="000D0CA3">
              <w:t>Accrual basis</w:t>
            </w:r>
          </w:p>
        </w:tc>
        <w:tc>
          <w:tcPr>
            <w:tcW w:w="6537" w:type="dxa"/>
          </w:tcPr>
          <w:p w14:paraId="5451994E" w14:textId="77777777" w:rsidR="00CA470D" w:rsidRPr="000D0CA3" w:rsidRDefault="00CA470D" w:rsidP="00F633BC">
            <w:pPr>
              <w:spacing w:after="0" w:line="240" w:lineRule="auto"/>
            </w:pPr>
            <w:r w:rsidRPr="000D0CA3">
              <w:t xml:space="preserve">Cost is based on when the service was actually provided to the participant, recognizing that some services are paid for after the end of </w:t>
            </w:r>
            <w:r>
              <w:t>a</w:t>
            </w:r>
            <w:r w:rsidRPr="000D0CA3">
              <w:t xml:space="preserve"> period.</w:t>
            </w:r>
          </w:p>
        </w:tc>
      </w:tr>
      <w:tr w:rsidR="00CA470D" w:rsidRPr="00DC1DC1" w14:paraId="220FDB1D" w14:textId="77777777" w:rsidTr="00F633BC">
        <w:tc>
          <w:tcPr>
            <w:tcW w:w="2479" w:type="dxa"/>
          </w:tcPr>
          <w:p w14:paraId="34B002C8" w14:textId="77777777" w:rsidR="00CA470D" w:rsidRPr="000D0CA3" w:rsidRDefault="00CA470D" w:rsidP="00F633BC">
            <w:pPr>
              <w:spacing w:after="0" w:line="240" w:lineRule="auto"/>
            </w:pPr>
            <w:r w:rsidRPr="000D0CA3">
              <w:t>ACE</w:t>
            </w:r>
          </w:p>
        </w:tc>
        <w:tc>
          <w:tcPr>
            <w:tcW w:w="6537" w:type="dxa"/>
          </w:tcPr>
          <w:p w14:paraId="5F67896C" w14:textId="77777777" w:rsidR="00CA470D" w:rsidRPr="000D0CA3" w:rsidRDefault="00CA470D" w:rsidP="00F633BC">
            <w:pPr>
              <w:spacing w:after="0" w:line="240" w:lineRule="auto"/>
            </w:pPr>
            <w:r w:rsidRPr="000D0CA3">
              <w:t>A cloud-based case management system from Salesforce</w:t>
            </w:r>
            <w:r>
              <w:t xml:space="preserve"> used by the Agency</w:t>
            </w:r>
          </w:p>
        </w:tc>
      </w:tr>
      <w:tr w:rsidR="00CA470D" w:rsidRPr="00DC1DC1" w14:paraId="55029D40" w14:textId="77777777" w:rsidTr="00F633BC">
        <w:tc>
          <w:tcPr>
            <w:tcW w:w="2479" w:type="dxa"/>
          </w:tcPr>
          <w:p w14:paraId="5555AA12" w14:textId="77777777" w:rsidR="00CA470D" w:rsidRPr="000D0CA3" w:rsidRDefault="00CA470D" w:rsidP="00F633BC">
            <w:pPr>
              <w:spacing w:after="0" w:line="240" w:lineRule="auto"/>
            </w:pPr>
            <w:r w:rsidRPr="000D0CA3">
              <w:t>the Agency</w:t>
            </w:r>
          </w:p>
        </w:tc>
        <w:tc>
          <w:tcPr>
            <w:tcW w:w="6537" w:type="dxa"/>
          </w:tcPr>
          <w:p w14:paraId="526A59C4" w14:textId="77777777" w:rsidR="00CA470D" w:rsidRPr="000D0CA3" w:rsidRDefault="00CA470D" w:rsidP="00F633BC">
            <w:pPr>
              <w:spacing w:after="0" w:line="240" w:lineRule="auto"/>
            </w:pPr>
            <w:r w:rsidRPr="000D0CA3">
              <w:t>National Disability Insurance Agency</w:t>
            </w:r>
          </w:p>
        </w:tc>
      </w:tr>
      <w:tr w:rsidR="00CA470D" w:rsidRPr="00DC1DC1" w14:paraId="32C732FA" w14:textId="77777777" w:rsidTr="00F633BC">
        <w:tc>
          <w:tcPr>
            <w:tcW w:w="2479" w:type="dxa"/>
          </w:tcPr>
          <w:p w14:paraId="6057936A" w14:textId="77777777" w:rsidR="00CA470D" w:rsidRPr="000D0CA3" w:rsidRDefault="00CA470D" w:rsidP="00F633BC">
            <w:pPr>
              <w:spacing w:after="0" w:line="240" w:lineRule="auto"/>
            </w:pPr>
            <w:r w:rsidRPr="000D0CA3">
              <w:t>Bilateral agreements</w:t>
            </w:r>
          </w:p>
        </w:tc>
        <w:tc>
          <w:tcPr>
            <w:tcW w:w="6537" w:type="dxa"/>
          </w:tcPr>
          <w:p w14:paraId="1ABF2A51" w14:textId="77777777" w:rsidR="00CA470D" w:rsidRPr="000D0CA3" w:rsidRDefault="00CA470D" w:rsidP="00F633BC">
            <w:pPr>
              <w:spacing w:after="0" w:line="240" w:lineRule="auto"/>
            </w:pPr>
            <w:r w:rsidRPr="000D0CA3">
              <w:t>Agreements signed between the Commonwealth government and the States/Territories</w:t>
            </w:r>
          </w:p>
        </w:tc>
      </w:tr>
      <w:tr w:rsidR="00CA470D" w:rsidRPr="00DC1DC1" w14:paraId="35A736AD" w14:textId="77777777" w:rsidTr="00F633BC">
        <w:tc>
          <w:tcPr>
            <w:tcW w:w="2479" w:type="dxa"/>
          </w:tcPr>
          <w:p w14:paraId="1EFB7A96" w14:textId="77777777" w:rsidR="00CA470D" w:rsidRPr="000D0CA3" w:rsidRDefault="00CA470D" w:rsidP="00F633BC">
            <w:pPr>
              <w:spacing w:after="0" w:line="240" w:lineRule="auto"/>
            </w:pPr>
            <w:r w:rsidRPr="000D0CA3">
              <w:t>Cash basis</w:t>
            </w:r>
          </w:p>
        </w:tc>
        <w:tc>
          <w:tcPr>
            <w:tcW w:w="6537" w:type="dxa"/>
          </w:tcPr>
          <w:p w14:paraId="309A9732" w14:textId="77777777" w:rsidR="00CA470D" w:rsidRPr="000D0CA3" w:rsidRDefault="00CA470D" w:rsidP="00F633BC">
            <w:pPr>
              <w:spacing w:after="0" w:line="240" w:lineRule="auto"/>
              <w:rPr>
                <w:i/>
              </w:rPr>
            </w:pPr>
            <w:r w:rsidRPr="000D0CA3">
              <w:t>Cost is based on when the cash is paid out by the Agency, regardless of when the support was provided</w:t>
            </w:r>
          </w:p>
        </w:tc>
      </w:tr>
      <w:tr w:rsidR="00CA470D" w:rsidRPr="00DC1DC1" w14:paraId="39B85CB5" w14:textId="77777777" w:rsidTr="00F633BC">
        <w:tc>
          <w:tcPr>
            <w:tcW w:w="2479" w:type="dxa"/>
          </w:tcPr>
          <w:p w14:paraId="6AE958B2" w14:textId="77777777" w:rsidR="00CA470D" w:rsidRPr="000D0CA3" w:rsidRDefault="00CA470D" w:rsidP="00F633BC">
            <w:pPr>
              <w:spacing w:after="0" w:line="240" w:lineRule="auto"/>
            </w:pPr>
            <w:r w:rsidRPr="000D0CA3">
              <w:t>COVID-19 pandemic</w:t>
            </w:r>
          </w:p>
        </w:tc>
        <w:tc>
          <w:tcPr>
            <w:tcW w:w="6537" w:type="dxa"/>
          </w:tcPr>
          <w:p w14:paraId="14FC9A4E" w14:textId="77777777" w:rsidR="00CA470D" w:rsidRPr="000D0CA3" w:rsidRDefault="00CA470D" w:rsidP="00F633BC">
            <w:pPr>
              <w:spacing w:after="0" w:line="240" w:lineRule="auto"/>
            </w:pPr>
            <w:r w:rsidRPr="000D0CA3">
              <w:t>Ongoing global pandemic of coronavirus disease (March 2020), with references to the ‘first wave’, ‘second wave’ and later waves</w:t>
            </w:r>
          </w:p>
        </w:tc>
      </w:tr>
      <w:tr w:rsidR="00CA470D" w:rsidRPr="00DC1DC1" w14:paraId="23AE3B65" w14:textId="77777777" w:rsidTr="00F633BC">
        <w:tc>
          <w:tcPr>
            <w:tcW w:w="2479" w:type="dxa"/>
          </w:tcPr>
          <w:p w14:paraId="70C95255" w14:textId="77777777" w:rsidR="00CA470D" w:rsidRPr="000D0CA3" w:rsidRDefault="00CA470D" w:rsidP="00F633BC">
            <w:pPr>
              <w:spacing w:after="0" w:line="240" w:lineRule="auto"/>
            </w:pPr>
            <w:r w:rsidRPr="000D0CA3">
              <w:t>In-kind supports</w:t>
            </w:r>
          </w:p>
        </w:tc>
        <w:tc>
          <w:tcPr>
            <w:tcW w:w="6537" w:type="dxa"/>
          </w:tcPr>
          <w:p w14:paraId="76688B20" w14:textId="77777777" w:rsidR="00CA470D" w:rsidRPr="000D0CA3" w:rsidRDefault="00CA470D" w:rsidP="00F633BC">
            <w:pPr>
              <w:spacing w:after="0" w:line="240" w:lineRule="auto"/>
            </w:pPr>
            <w:r w:rsidRPr="000D0CA3">
              <w:t>Before the NDIS was established, States/Territories and the Commonwealth governments paid providers to deliver services to people with disability. States/Territories and the Commonwealth continue to pay for some services. State/Territory and Commonwealth governments receive a revenue offset.</w:t>
            </w:r>
          </w:p>
        </w:tc>
      </w:tr>
      <w:tr w:rsidR="00CA470D" w:rsidRPr="00DC1DC1" w14:paraId="16A431DD" w14:textId="77777777" w:rsidTr="00F633BC">
        <w:tc>
          <w:tcPr>
            <w:tcW w:w="2479" w:type="dxa"/>
          </w:tcPr>
          <w:p w14:paraId="6E295367" w14:textId="77777777" w:rsidR="00CA470D" w:rsidRPr="000D0CA3" w:rsidRDefault="00CA470D" w:rsidP="00F633BC">
            <w:pPr>
              <w:spacing w:after="0" w:line="240" w:lineRule="auto"/>
            </w:pPr>
            <w:r w:rsidRPr="000D0CA3">
              <w:t>Level of function</w:t>
            </w:r>
          </w:p>
        </w:tc>
        <w:tc>
          <w:tcPr>
            <w:tcW w:w="6537" w:type="dxa"/>
          </w:tcPr>
          <w:p w14:paraId="42717BB9" w14:textId="77777777" w:rsidR="00CA470D" w:rsidRPr="000D0CA3" w:rsidRDefault="00CA470D" w:rsidP="00F633BC">
            <w:pPr>
              <w:spacing w:after="0" w:line="240" w:lineRule="auto"/>
            </w:pPr>
            <w:r w:rsidRPr="000D0CA3">
              <w:rPr>
                <w:szCs w:val="22"/>
              </w:rPr>
              <w:t>A participant’s functional ability, measured using a range of widely accepted and validated tools which were selected based on expert advice from professionals with specialist disability knowledge, such as disability organisations, clinicians and researchers.</w:t>
            </w:r>
          </w:p>
        </w:tc>
      </w:tr>
      <w:tr w:rsidR="00CA470D" w:rsidRPr="00DC1DC1" w14:paraId="527C3A09" w14:textId="77777777" w:rsidTr="00F633BC">
        <w:tc>
          <w:tcPr>
            <w:tcW w:w="2479" w:type="dxa"/>
          </w:tcPr>
          <w:p w14:paraId="3419B3F7" w14:textId="77777777" w:rsidR="00CA470D" w:rsidRPr="000D0CA3" w:rsidRDefault="00CA470D" w:rsidP="00F633BC">
            <w:pPr>
              <w:spacing w:after="0" w:line="240" w:lineRule="auto"/>
            </w:pPr>
            <w:r w:rsidRPr="000D0CA3">
              <w:t>Mature participants</w:t>
            </w:r>
          </w:p>
        </w:tc>
        <w:tc>
          <w:tcPr>
            <w:tcW w:w="6537" w:type="dxa"/>
          </w:tcPr>
          <w:p w14:paraId="5919EBE9" w14:textId="77777777" w:rsidR="00CA470D" w:rsidRPr="000D0CA3" w:rsidRDefault="00CA470D" w:rsidP="00F633BC">
            <w:pPr>
              <w:spacing w:after="0" w:line="240" w:lineRule="auto"/>
              <w:rPr>
                <w:i/>
              </w:rPr>
            </w:pPr>
            <w:r w:rsidRPr="00010FA0">
              <w:t xml:space="preserve">Participants </w:t>
            </w:r>
            <w:r w:rsidRPr="000D0CA3">
              <w:t>who were active at both 28 February 2021 and 31 May 2021, and had their first plan approved on or prior to 29 February 2020.</w:t>
            </w:r>
          </w:p>
        </w:tc>
      </w:tr>
      <w:tr w:rsidR="00CA470D" w:rsidRPr="00DC1DC1" w14:paraId="5E411A0E" w14:textId="77777777" w:rsidTr="00F633BC">
        <w:tc>
          <w:tcPr>
            <w:tcW w:w="2479" w:type="dxa"/>
          </w:tcPr>
          <w:p w14:paraId="02CB56CC" w14:textId="77777777" w:rsidR="00CA470D" w:rsidRPr="000D0CA3" w:rsidRDefault="00CA470D" w:rsidP="00F633BC">
            <w:pPr>
              <w:spacing w:after="0" w:line="240" w:lineRule="auto"/>
            </w:pPr>
            <w:r w:rsidRPr="000D0CA3">
              <w:t>NDIS Act</w:t>
            </w:r>
          </w:p>
        </w:tc>
        <w:tc>
          <w:tcPr>
            <w:tcW w:w="6537" w:type="dxa"/>
          </w:tcPr>
          <w:p w14:paraId="4DCD7653" w14:textId="77777777" w:rsidR="00CA470D" w:rsidRPr="000D0CA3" w:rsidRDefault="00CA470D" w:rsidP="00F633BC">
            <w:pPr>
              <w:spacing w:after="0" w:line="240" w:lineRule="auto"/>
            </w:pPr>
            <w:r w:rsidRPr="000D0CA3">
              <w:rPr>
                <w:i/>
              </w:rPr>
              <w:t>National Disability Insurance Scheme Act 2013</w:t>
            </w:r>
            <w:r w:rsidRPr="000D0CA3">
              <w:t>, as amended</w:t>
            </w:r>
          </w:p>
        </w:tc>
      </w:tr>
      <w:tr w:rsidR="00CA470D" w:rsidRPr="00DC1DC1" w14:paraId="4C0A2A48" w14:textId="77777777" w:rsidTr="00F633BC">
        <w:tc>
          <w:tcPr>
            <w:tcW w:w="2479" w:type="dxa"/>
          </w:tcPr>
          <w:p w14:paraId="02917C02" w14:textId="77777777" w:rsidR="00CA470D" w:rsidRPr="000D0CA3" w:rsidRDefault="00CA470D" w:rsidP="00F633BC">
            <w:pPr>
              <w:spacing w:after="0" w:line="240" w:lineRule="auto"/>
            </w:pPr>
            <w:r w:rsidRPr="000D0CA3">
              <w:t>New entrants</w:t>
            </w:r>
          </w:p>
        </w:tc>
        <w:tc>
          <w:tcPr>
            <w:tcW w:w="6537" w:type="dxa"/>
          </w:tcPr>
          <w:p w14:paraId="224F01F0" w14:textId="77777777" w:rsidR="00CA470D" w:rsidRPr="000D0CA3" w:rsidRDefault="00CA470D" w:rsidP="00F633BC">
            <w:pPr>
              <w:spacing w:after="0" w:line="240" w:lineRule="auto"/>
              <w:rPr>
                <w:i/>
              </w:rPr>
            </w:pPr>
            <w:r w:rsidRPr="000D0CA3">
              <w:t>All participants entering the Scheme</w:t>
            </w:r>
          </w:p>
        </w:tc>
      </w:tr>
      <w:tr w:rsidR="00CA470D" w:rsidRPr="00DC1DC1" w14:paraId="23A3EC09" w14:textId="77777777" w:rsidTr="00F633BC">
        <w:tc>
          <w:tcPr>
            <w:tcW w:w="2479" w:type="dxa"/>
          </w:tcPr>
          <w:p w14:paraId="3D04F1AF" w14:textId="77777777" w:rsidR="00CA470D" w:rsidRPr="000D0CA3" w:rsidRDefault="00CA470D" w:rsidP="00F633BC">
            <w:pPr>
              <w:spacing w:after="0" w:line="240" w:lineRule="auto"/>
            </w:pPr>
            <w:r w:rsidRPr="000D0CA3">
              <w:t>Participant intake</w:t>
            </w:r>
          </w:p>
        </w:tc>
        <w:tc>
          <w:tcPr>
            <w:tcW w:w="6537" w:type="dxa"/>
          </w:tcPr>
          <w:p w14:paraId="01B8A523" w14:textId="77777777" w:rsidR="00CA470D" w:rsidRPr="000D0CA3" w:rsidRDefault="00CA470D" w:rsidP="00F633BC">
            <w:pPr>
              <w:spacing w:after="0" w:line="240" w:lineRule="auto"/>
              <w:rPr>
                <w:i/>
              </w:rPr>
            </w:pPr>
            <w:r w:rsidRPr="000D0CA3">
              <w:t>All participants entering the Scheme</w:t>
            </w:r>
          </w:p>
        </w:tc>
      </w:tr>
      <w:tr w:rsidR="00CA470D" w:rsidRPr="00DC1DC1" w14:paraId="27E163C8" w14:textId="77777777" w:rsidTr="00F633BC">
        <w:tc>
          <w:tcPr>
            <w:tcW w:w="2479" w:type="dxa"/>
          </w:tcPr>
          <w:p w14:paraId="62A2D136" w14:textId="77777777" w:rsidR="00CA470D" w:rsidRPr="000D0CA3" w:rsidRDefault="00CA470D" w:rsidP="00F633BC">
            <w:pPr>
              <w:spacing w:after="0" w:line="240" w:lineRule="auto"/>
            </w:pPr>
            <w:r w:rsidRPr="000D0CA3">
              <w:t>Participants new to disability supports</w:t>
            </w:r>
          </w:p>
        </w:tc>
        <w:tc>
          <w:tcPr>
            <w:tcW w:w="6537" w:type="dxa"/>
          </w:tcPr>
          <w:p w14:paraId="1B410173" w14:textId="77777777" w:rsidR="00CA470D" w:rsidRPr="000D0CA3" w:rsidRDefault="00CA470D" w:rsidP="00F633BC">
            <w:pPr>
              <w:spacing w:after="0" w:line="240" w:lineRule="auto"/>
            </w:pPr>
            <w:r w:rsidRPr="000D0CA3">
              <w:t>Participants accessing disability supports for the first time, regardless of whether the disability was existing or newly acquired.</w:t>
            </w:r>
          </w:p>
        </w:tc>
      </w:tr>
      <w:tr w:rsidR="00CA470D" w:rsidRPr="00DC1DC1" w14:paraId="1253E08B" w14:textId="77777777" w:rsidTr="00F633BC">
        <w:tc>
          <w:tcPr>
            <w:tcW w:w="2479" w:type="dxa"/>
          </w:tcPr>
          <w:p w14:paraId="0CBDC2AE" w14:textId="77777777" w:rsidR="00CA470D" w:rsidRPr="000D0CA3" w:rsidRDefault="00CA470D" w:rsidP="00F633BC">
            <w:pPr>
              <w:spacing w:after="0" w:line="240" w:lineRule="auto"/>
            </w:pPr>
            <w:r w:rsidRPr="000D0CA3">
              <w:t>2017 PC study report</w:t>
            </w:r>
          </w:p>
        </w:tc>
        <w:tc>
          <w:tcPr>
            <w:tcW w:w="6537" w:type="dxa"/>
          </w:tcPr>
          <w:p w14:paraId="66E24A93" w14:textId="77777777" w:rsidR="00CA470D" w:rsidRPr="000D0CA3" w:rsidRDefault="00CA470D" w:rsidP="00F633BC">
            <w:pPr>
              <w:spacing w:after="0" w:line="240" w:lineRule="auto"/>
            </w:pPr>
            <w:r w:rsidRPr="000D0CA3">
              <w:t xml:space="preserve">Productivity Commission 2017, </w:t>
            </w:r>
            <w:r w:rsidRPr="000D0CA3">
              <w:rPr>
                <w:i/>
              </w:rPr>
              <w:t>National Disability Insurance Scheme (NDIS) Costs</w:t>
            </w:r>
            <w:r w:rsidRPr="000D0CA3">
              <w:t>, Study Report, Canberra</w:t>
            </w:r>
          </w:p>
        </w:tc>
      </w:tr>
      <w:tr w:rsidR="00CA470D" w:rsidRPr="00DC1DC1" w14:paraId="0000FB19" w14:textId="77777777" w:rsidTr="00F633BC">
        <w:tc>
          <w:tcPr>
            <w:tcW w:w="2479" w:type="dxa"/>
          </w:tcPr>
          <w:p w14:paraId="36D9E0A1" w14:textId="77777777" w:rsidR="00CA470D" w:rsidRPr="000D0CA3" w:rsidRDefault="00CA470D" w:rsidP="00F633BC">
            <w:pPr>
              <w:spacing w:after="0" w:line="240" w:lineRule="auto"/>
            </w:pPr>
            <w:r w:rsidRPr="000D0CA3">
              <w:t>Plan budgets</w:t>
            </w:r>
          </w:p>
        </w:tc>
        <w:tc>
          <w:tcPr>
            <w:tcW w:w="6537" w:type="dxa"/>
          </w:tcPr>
          <w:p w14:paraId="5F8B59CD" w14:textId="77777777" w:rsidR="00CA470D" w:rsidRPr="000D0CA3" w:rsidRDefault="00CA470D" w:rsidP="00F633BC">
            <w:pPr>
              <w:spacing w:after="0" w:line="240" w:lineRule="auto"/>
            </w:pPr>
            <w:r w:rsidRPr="000D0CA3">
              <w:t>The reasonable and necessary supports outlined in a participant’s plan that will be funded for a specific duration</w:t>
            </w:r>
            <w:r>
              <w:t>. Most typically this is one</w:t>
            </w:r>
            <w:r w:rsidRPr="000D0CA3">
              <w:t xml:space="preserve"> year</w:t>
            </w:r>
            <w:r>
              <w:t xml:space="preserve"> although durations vary across participants</w:t>
            </w:r>
            <w:r w:rsidRPr="000D0CA3">
              <w:t>. Plan budgets represent the dollar amount of support that has been made available to participants in their plan.</w:t>
            </w:r>
          </w:p>
        </w:tc>
      </w:tr>
      <w:tr w:rsidR="00CA470D" w:rsidRPr="00DC1DC1" w14:paraId="588B038E" w14:textId="77777777" w:rsidTr="00F633BC">
        <w:tc>
          <w:tcPr>
            <w:tcW w:w="2479" w:type="dxa"/>
          </w:tcPr>
          <w:p w14:paraId="40AD9798" w14:textId="77777777" w:rsidR="00CA470D" w:rsidRPr="000D0CA3" w:rsidRDefault="00CA470D" w:rsidP="00F633BC">
            <w:pPr>
              <w:spacing w:after="0" w:line="240" w:lineRule="auto"/>
            </w:pPr>
            <w:r w:rsidRPr="000D0CA3">
              <w:t>Portfolio Budget Statements</w:t>
            </w:r>
          </w:p>
        </w:tc>
        <w:tc>
          <w:tcPr>
            <w:tcW w:w="6537" w:type="dxa"/>
          </w:tcPr>
          <w:p w14:paraId="5E9D6DD2" w14:textId="77777777" w:rsidR="00CA470D" w:rsidRPr="000D0CA3" w:rsidRDefault="00CA470D" w:rsidP="00F633BC">
            <w:pPr>
              <w:spacing w:after="0" w:line="240" w:lineRule="auto"/>
            </w:pPr>
            <w:r w:rsidRPr="000D0CA3">
              <w:t>The purpose of the Portfolio Budget Statements is to inform Senators and Members of Parliament of the proposed allocation of resources to government outcomes by agencies within the relevant portfolio. Estimates of government expenditure in the Portfolio Budget statements are on an accrual basis.</w:t>
            </w:r>
          </w:p>
        </w:tc>
      </w:tr>
      <w:tr w:rsidR="00CA470D" w:rsidRPr="00DC1DC1" w14:paraId="23F6BD59" w14:textId="77777777" w:rsidTr="00F633BC">
        <w:tc>
          <w:tcPr>
            <w:tcW w:w="2479" w:type="dxa"/>
          </w:tcPr>
          <w:p w14:paraId="6814387F" w14:textId="77777777" w:rsidR="00CA470D" w:rsidRPr="00FF2591" w:rsidRDefault="00CA470D" w:rsidP="00F633BC">
            <w:pPr>
              <w:spacing w:after="0" w:line="240" w:lineRule="auto"/>
            </w:pPr>
            <w:r w:rsidRPr="00B37567">
              <w:lastRenderedPageBreak/>
              <w:t>Previous Review</w:t>
            </w:r>
          </w:p>
        </w:tc>
        <w:tc>
          <w:tcPr>
            <w:tcW w:w="6537" w:type="dxa"/>
          </w:tcPr>
          <w:p w14:paraId="6AC85F23" w14:textId="3784ACC4" w:rsidR="00440413" w:rsidRPr="00FF2591" w:rsidRDefault="00CA470D" w:rsidP="00440413">
            <w:pPr>
              <w:spacing w:after="0" w:line="240" w:lineRule="auto"/>
            </w:pPr>
            <w:r w:rsidRPr="00B37567">
              <w:t>National Disability Insurance Scheme: 31 December 2020 (Dec20) Financial Sustainability Report (FSR)</w:t>
            </w:r>
            <w:r w:rsidR="00440413">
              <w:t>, released on 3 July 2021. This was based on data to 31 December 2020, with commentary about experience to 31 May 2021</w:t>
            </w:r>
            <w:r w:rsidR="00185D8F">
              <w:t>.</w:t>
            </w:r>
          </w:p>
        </w:tc>
      </w:tr>
      <w:tr w:rsidR="00CA470D" w:rsidRPr="00DC1DC1" w14:paraId="3D8D549A" w14:textId="77777777" w:rsidTr="00F633BC">
        <w:tc>
          <w:tcPr>
            <w:tcW w:w="2479" w:type="dxa"/>
          </w:tcPr>
          <w:p w14:paraId="4BCACE15" w14:textId="77777777" w:rsidR="00CA470D" w:rsidRPr="008458F2" w:rsidRDefault="00CA470D" w:rsidP="00F633BC">
            <w:pPr>
              <w:spacing w:after="0" w:line="240" w:lineRule="auto"/>
            </w:pPr>
            <w:r w:rsidRPr="008458F2">
              <w:t>Previously unmet need</w:t>
            </w:r>
          </w:p>
        </w:tc>
        <w:tc>
          <w:tcPr>
            <w:tcW w:w="6537" w:type="dxa"/>
          </w:tcPr>
          <w:p w14:paraId="3E50D1CC" w14:textId="77777777" w:rsidR="00CA470D" w:rsidRPr="008458F2" w:rsidRDefault="00CA470D" w:rsidP="00F633BC">
            <w:pPr>
              <w:spacing w:after="0" w:line="240" w:lineRule="auto"/>
            </w:pPr>
            <w:r>
              <w:t>P</w:t>
            </w:r>
            <w:r w:rsidRPr="00EF2594">
              <w:t>articipants who acquired their disability some years prior who only accessed the Scheme recently (for various reasons)</w:t>
            </w:r>
          </w:p>
        </w:tc>
      </w:tr>
      <w:tr w:rsidR="00CA470D" w:rsidRPr="00DC1DC1" w14:paraId="6C6CA4A9" w14:textId="77777777" w:rsidTr="00F633BC">
        <w:tc>
          <w:tcPr>
            <w:tcW w:w="2479" w:type="dxa"/>
            <w:vAlign w:val="center"/>
          </w:tcPr>
          <w:p w14:paraId="71F37B73" w14:textId="77777777" w:rsidR="00CA470D" w:rsidRPr="005F36A2" w:rsidRDefault="00CA470D" w:rsidP="00F633BC">
            <w:pPr>
              <w:spacing w:after="0" w:line="240" w:lineRule="auto"/>
            </w:pPr>
            <w:r w:rsidRPr="005F36A2">
              <w:t>SAP</w:t>
            </w:r>
          </w:p>
        </w:tc>
        <w:tc>
          <w:tcPr>
            <w:tcW w:w="6537" w:type="dxa"/>
            <w:vAlign w:val="center"/>
          </w:tcPr>
          <w:p w14:paraId="24D3CD03" w14:textId="77777777" w:rsidR="00CA470D" w:rsidRPr="008458F2" w:rsidRDefault="00CA470D" w:rsidP="00F633BC">
            <w:pPr>
              <w:spacing w:after="0" w:line="240" w:lineRule="auto"/>
            </w:pPr>
            <w:r w:rsidRPr="008458F2">
              <w:t>SAP is a software company that makes enterprise software. Also known as Systems, Applications and Products in Data Processing.</w:t>
            </w:r>
          </w:p>
        </w:tc>
      </w:tr>
      <w:tr w:rsidR="00CA470D" w:rsidRPr="00DC1DC1" w14:paraId="01C3AEF7" w14:textId="77777777" w:rsidTr="00F633BC">
        <w:tc>
          <w:tcPr>
            <w:tcW w:w="2479" w:type="dxa"/>
          </w:tcPr>
          <w:p w14:paraId="1EF5C68E" w14:textId="77777777" w:rsidR="00CA470D" w:rsidRPr="005F36A2" w:rsidRDefault="00CA470D" w:rsidP="00F633BC">
            <w:pPr>
              <w:spacing w:after="0" w:line="240" w:lineRule="auto"/>
            </w:pPr>
            <w:r w:rsidRPr="005F36A2">
              <w:t>the Scheme</w:t>
            </w:r>
          </w:p>
        </w:tc>
        <w:tc>
          <w:tcPr>
            <w:tcW w:w="6537" w:type="dxa"/>
          </w:tcPr>
          <w:p w14:paraId="55CF036F" w14:textId="77777777" w:rsidR="00CA470D" w:rsidRPr="008458F2" w:rsidRDefault="00CA470D" w:rsidP="00F633BC">
            <w:pPr>
              <w:spacing w:after="0" w:line="240" w:lineRule="auto"/>
            </w:pPr>
            <w:r w:rsidRPr="008458F2">
              <w:t>National Disability Insurance Scheme</w:t>
            </w:r>
          </w:p>
        </w:tc>
      </w:tr>
      <w:tr w:rsidR="00CA470D" w:rsidRPr="00DC1DC1" w14:paraId="352E3DA7" w14:textId="77777777" w:rsidTr="00F633BC">
        <w:tc>
          <w:tcPr>
            <w:tcW w:w="2479" w:type="dxa"/>
          </w:tcPr>
          <w:p w14:paraId="4B1BF3F3" w14:textId="77777777" w:rsidR="00CA470D" w:rsidRPr="008458F2" w:rsidRDefault="00CA470D" w:rsidP="00F633BC">
            <w:pPr>
              <w:spacing w:after="0" w:line="240" w:lineRule="auto"/>
            </w:pPr>
            <w:r w:rsidRPr="005F36A2">
              <w:t>Steady Intake Date</w:t>
            </w:r>
          </w:p>
        </w:tc>
        <w:tc>
          <w:tcPr>
            <w:tcW w:w="6537" w:type="dxa"/>
          </w:tcPr>
          <w:p w14:paraId="0A6A904B" w14:textId="77777777" w:rsidR="00CA470D" w:rsidRPr="008458F2" w:rsidRDefault="00CA470D" w:rsidP="00F633BC">
            <w:pPr>
              <w:spacing w:after="0" w:line="240" w:lineRule="auto"/>
            </w:pPr>
            <w:r w:rsidRPr="008458F2">
              <w:t>The point in time where participant intake primarily represents participants with new incidence of disability. For this report 30 June 202</w:t>
            </w:r>
            <w:r w:rsidRPr="009E66B2">
              <w:t>4</w:t>
            </w:r>
            <w:r w:rsidRPr="008458F2">
              <w:t xml:space="preserve"> has been assumed.</w:t>
            </w:r>
          </w:p>
        </w:tc>
      </w:tr>
      <w:tr w:rsidR="00CA470D" w:rsidRPr="00DC1DC1" w14:paraId="7FE72EE5" w14:textId="77777777" w:rsidTr="00F633BC">
        <w:tc>
          <w:tcPr>
            <w:tcW w:w="2479" w:type="dxa"/>
          </w:tcPr>
          <w:p w14:paraId="49FFF02E" w14:textId="77777777" w:rsidR="00CA470D" w:rsidRPr="005F36A2" w:rsidRDefault="00CA470D" w:rsidP="00F633BC">
            <w:pPr>
              <w:spacing w:after="0" w:line="240" w:lineRule="auto"/>
            </w:pPr>
            <w:r>
              <w:t>Superimposed inflation</w:t>
            </w:r>
          </w:p>
        </w:tc>
        <w:tc>
          <w:tcPr>
            <w:tcW w:w="6537" w:type="dxa"/>
          </w:tcPr>
          <w:p w14:paraId="7AADFD9B" w14:textId="77777777" w:rsidR="00CA470D" w:rsidRPr="008458F2" w:rsidRDefault="00CA470D" w:rsidP="00F633BC">
            <w:pPr>
              <w:spacing w:after="0" w:line="240" w:lineRule="auto"/>
            </w:pPr>
            <w:r>
              <w:t xml:space="preserve">Inflation over and above normal inflation. Normal inflation includes the consumer price index and increases in the minimum wage. </w:t>
            </w:r>
          </w:p>
        </w:tc>
      </w:tr>
      <w:tr w:rsidR="00CA470D" w:rsidRPr="00DC1DC1" w14:paraId="36012DBE" w14:textId="77777777" w:rsidTr="00F633BC">
        <w:tc>
          <w:tcPr>
            <w:tcW w:w="2479" w:type="dxa"/>
          </w:tcPr>
          <w:p w14:paraId="62FF16AD" w14:textId="77777777" w:rsidR="00CA470D" w:rsidRPr="008458F2" w:rsidRDefault="00CA470D" w:rsidP="00F633BC">
            <w:pPr>
              <w:spacing w:after="0" w:line="240" w:lineRule="auto"/>
            </w:pPr>
            <w:r w:rsidRPr="005F36A2">
              <w:t>Supported</w:t>
            </w:r>
            <w:r w:rsidRPr="008458F2">
              <w:t xml:space="preserve"> Independent Living</w:t>
            </w:r>
          </w:p>
        </w:tc>
        <w:tc>
          <w:tcPr>
            <w:tcW w:w="6537" w:type="dxa"/>
          </w:tcPr>
          <w:p w14:paraId="6F15E50E" w14:textId="32A07F49" w:rsidR="00CA470D" w:rsidRPr="008458F2" w:rsidRDefault="00CA470D" w:rsidP="0044635E">
            <w:pPr>
              <w:spacing w:after="0" w:line="240" w:lineRule="auto"/>
            </w:pPr>
            <w:r w:rsidRPr="008458F2">
              <w:t xml:space="preserve">This includes </w:t>
            </w:r>
            <w:r w:rsidR="0044635E" w:rsidRPr="0044635E">
              <w:t>help and/or supervision of daily tasks to help participants live as independently as possible, while building their skills. It is most commonly used in shared living arrangements</w:t>
            </w:r>
          </w:p>
        </w:tc>
      </w:tr>
      <w:tr w:rsidR="00CA470D" w:rsidRPr="00DC1DC1" w14:paraId="0D34F594" w14:textId="77777777" w:rsidTr="00F633BC">
        <w:tc>
          <w:tcPr>
            <w:tcW w:w="2479" w:type="dxa"/>
          </w:tcPr>
          <w:p w14:paraId="66449BFA" w14:textId="77777777" w:rsidR="00CA470D" w:rsidRPr="005F36A2" w:rsidRDefault="00CA470D" w:rsidP="00F633BC">
            <w:pPr>
              <w:spacing w:after="0" w:line="240" w:lineRule="auto"/>
            </w:pPr>
            <w:r w:rsidRPr="005F36A2">
              <w:t>Trial period</w:t>
            </w:r>
          </w:p>
        </w:tc>
        <w:tc>
          <w:tcPr>
            <w:tcW w:w="6537" w:type="dxa"/>
          </w:tcPr>
          <w:p w14:paraId="7120AA5F" w14:textId="77777777" w:rsidR="00CA470D" w:rsidRPr="008458F2" w:rsidRDefault="00CA470D" w:rsidP="00F633BC">
            <w:pPr>
              <w:spacing w:after="0" w:line="240" w:lineRule="auto"/>
            </w:pPr>
            <w:r w:rsidRPr="008458F2">
              <w:t>From 1 July 2013 to 30 June 2016</w:t>
            </w:r>
          </w:p>
        </w:tc>
      </w:tr>
      <w:tr w:rsidR="00CA470D" w:rsidRPr="00DC1DC1" w14:paraId="5FF25E53" w14:textId="77777777" w:rsidTr="00F633BC">
        <w:tc>
          <w:tcPr>
            <w:tcW w:w="2479" w:type="dxa"/>
          </w:tcPr>
          <w:p w14:paraId="43BDD401" w14:textId="77777777" w:rsidR="00CA470D" w:rsidRPr="008458F2" w:rsidRDefault="00CA470D" w:rsidP="00F633BC">
            <w:pPr>
              <w:spacing w:after="0" w:line="240" w:lineRule="auto"/>
            </w:pPr>
            <w:r w:rsidRPr="005F36A2">
              <w:t>Transition period</w:t>
            </w:r>
          </w:p>
        </w:tc>
        <w:tc>
          <w:tcPr>
            <w:tcW w:w="6537" w:type="dxa"/>
          </w:tcPr>
          <w:p w14:paraId="647B0EC4" w14:textId="77777777" w:rsidR="00CA470D" w:rsidRPr="008458F2" w:rsidRDefault="00CA470D" w:rsidP="00F633BC">
            <w:pPr>
              <w:spacing w:after="0" w:line="240" w:lineRule="auto"/>
            </w:pPr>
            <w:r w:rsidRPr="008458F2">
              <w:t>From 1 July 2016 to 30 June 202</w:t>
            </w:r>
            <w:r w:rsidRPr="009E66B2">
              <w:t>1</w:t>
            </w:r>
          </w:p>
        </w:tc>
      </w:tr>
      <w:tr w:rsidR="00CA470D" w:rsidRPr="00DC1DC1" w14:paraId="4E8A4841" w14:textId="77777777" w:rsidTr="00F633BC">
        <w:tc>
          <w:tcPr>
            <w:tcW w:w="2479" w:type="dxa"/>
          </w:tcPr>
          <w:p w14:paraId="70199048" w14:textId="77777777" w:rsidR="00CA470D" w:rsidRPr="005F36A2" w:rsidRDefault="00CA470D" w:rsidP="00F633BC">
            <w:pPr>
              <w:spacing w:after="0" w:line="240" w:lineRule="auto"/>
            </w:pPr>
            <w:r>
              <w:t>True n</w:t>
            </w:r>
            <w:r w:rsidRPr="005F36A2">
              <w:t>ew incidence</w:t>
            </w:r>
          </w:p>
        </w:tc>
        <w:tc>
          <w:tcPr>
            <w:tcW w:w="6537" w:type="dxa"/>
          </w:tcPr>
          <w:p w14:paraId="1FC11D35" w14:textId="77777777" w:rsidR="00CA470D" w:rsidRPr="008458F2" w:rsidRDefault="00CA470D" w:rsidP="00F633BC">
            <w:pPr>
              <w:spacing w:after="0" w:line="240" w:lineRule="auto"/>
            </w:pPr>
            <w:r>
              <w:t>P</w:t>
            </w:r>
            <w:r w:rsidRPr="00EF2594">
              <w:t>articipants who acquired their disability relatively recently, or who have only recently met the necessary criteria for access to the Scheme.</w:t>
            </w:r>
          </w:p>
        </w:tc>
      </w:tr>
    </w:tbl>
    <w:p w14:paraId="2A02C2D3" w14:textId="77777777" w:rsidR="00CA470D" w:rsidRDefault="00CA470D" w:rsidP="00CA470D">
      <w:pPr>
        <w:pStyle w:val="FSRHeading4"/>
      </w:pPr>
    </w:p>
    <w:p w14:paraId="50A46AC5" w14:textId="1B62FE1C" w:rsidR="00BE30A4" w:rsidRDefault="00BE30A4" w:rsidP="007B2293">
      <w:pPr>
        <w:pStyle w:val="Heading2"/>
        <w:numPr>
          <w:ilvl w:val="0"/>
          <w:numId w:val="0"/>
        </w:numPr>
        <w:ind w:left="720" w:hanging="720"/>
      </w:pPr>
      <w:bookmarkStart w:id="371" w:name="_Toc83220866"/>
      <w:bookmarkStart w:id="372" w:name="_Toc85031277"/>
      <w:r>
        <w:lastRenderedPageBreak/>
        <w:t xml:space="preserve">Appendix </w:t>
      </w:r>
      <w:r w:rsidR="000A0D48">
        <w:t>A</w:t>
      </w:r>
      <w:r>
        <w:t xml:space="preserve">: Average </w:t>
      </w:r>
      <w:r w:rsidR="00FE6084">
        <w:t xml:space="preserve">Payment </w:t>
      </w:r>
      <w:r>
        <w:t>Assumption setting details</w:t>
      </w:r>
      <w:bookmarkEnd w:id="371"/>
      <w:bookmarkEnd w:id="372"/>
    </w:p>
    <w:p w14:paraId="7A3BD07E" w14:textId="5D166EF0" w:rsidR="0093106C" w:rsidRPr="0093106C" w:rsidRDefault="00FE6084" w:rsidP="0093106C">
      <w:pPr>
        <w:pStyle w:val="FSRnormal"/>
      </w:pPr>
      <w:r>
        <w:t>Average p</w:t>
      </w:r>
      <w:r w:rsidR="0093106C" w:rsidRPr="0093106C">
        <w:t>ayment assumptions have been calculated separately for each of the 15 different support categories, with different types of participant costs treated as follows:</w:t>
      </w:r>
    </w:p>
    <w:p w14:paraId="63BA79FE" w14:textId="77777777" w:rsidR="0093106C" w:rsidRPr="00422110" w:rsidRDefault="0093106C" w:rsidP="0093106C">
      <w:pPr>
        <w:pStyle w:val="FSRlist"/>
      </w:pPr>
      <w:r w:rsidRPr="00422110">
        <w:t xml:space="preserve">Payments to participants and providers are treated on a cash basis (when the cash is paid out by the Agency, regardless of when the support was provided). </w:t>
      </w:r>
    </w:p>
    <w:p w14:paraId="03E6E7CF" w14:textId="77777777" w:rsidR="0093106C" w:rsidRPr="00422110" w:rsidRDefault="0093106C" w:rsidP="0093106C">
      <w:pPr>
        <w:pStyle w:val="FSRlist"/>
      </w:pPr>
      <w:r w:rsidRPr="00422110">
        <w:t>Payments relating to in-kind supports are treated on an accrual basis (when the service was actually provided to the participant).</w:t>
      </w:r>
      <w:r w:rsidRPr="00422110">
        <w:rPr>
          <w:rStyle w:val="FootnoteReference"/>
        </w:rPr>
        <w:footnoteReference w:id="90"/>
      </w:r>
      <w:r w:rsidRPr="00422110">
        <w:t xml:space="preserve"> </w:t>
      </w:r>
    </w:p>
    <w:p w14:paraId="4C579E34" w14:textId="77777777" w:rsidR="0093106C" w:rsidRPr="00422110" w:rsidRDefault="0093106C" w:rsidP="0093106C">
      <w:pPr>
        <w:pStyle w:val="FSRlist"/>
      </w:pPr>
      <w:r w:rsidRPr="00422110">
        <w:t>Payments relating to Residential Aged Care (RAC) supports have been removed due to the infrequent occurrence of cross-billing payments which distort the payment experience in a given period. Costs relating to RAC are allowed for separately in the projection.</w:t>
      </w:r>
    </w:p>
    <w:p w14:paraId="585D1EF6" w14:textId="77777777" w:rsidR="0093106C" w:rsidRPr="0093106C" w:rsidRDefault="0093106C" w:rsidP="0093106C">
      <w:pPr>
        <w:pStyle w:val="FSRnormal"/>
      </w:pPr>
      <w:r w:rsidRPr="0093106C">
        <w:t>The key components considered in setting payment assumptions are discussed below.</w:t>
      </w:r>
    </w:p>
    <w:p w14:paraId="1E69B6D8" w14:textId="1027182E" w:rsidR="0093106C" w:rsidRDefault="002735DF" w:rsidP="002735DF">
      <w:pPr>
        <w:pStyle w:val="FSRHeading4"/>
      </w:pPr>
      <w:r>
        <w:t>The most appropriate averaging period for payment experience</w:t>
      </w:r>
    </w:p>
    <w:p w14:paraId="28930420" w14:textId="3DE707C4" w:rsidR="002735DF" w:rsidRPr="00226AF5" w:rsidRDefault="002735DF" w:rsidP="002735DF">
      <w:pPr>
        <w:pStyle w:val="FSRnormal"/>
        <w:rPr>
          <w:highlight w:val="yellow"/>
        </w:rPr>
      </w:pPr>
      <w:r w:rsidRPr="00422110">
        <w:t xml:space="preserve">The selection of an averaging period must balance the need to reflect recent experience with minimising volatility of cost patterns by </w:t>
      </w:r>
      <w:r w:rsidR="00CD3984">
        <w:t>cohort</w:t>
      </w:r>
      <w:r w:rsidRPr="00422110">
        <w:t xml:space="preserve"> and support category. The adopted averaging period is the three months to 31 May 2021.</w:t>
      </w:r>
      <w:r w:rsidRPr="00422110">
        <w:rPr>
          <w:rStyle w:val="FootnoteReference"/>
        </w:rPr>
        <w:footnoteReference w:id="91"/>
      </w:r>
      <w:r w:rsidRPr="00422110">
        <w:t xml:space="preserve"> </w:t>
      </w:r>
      <w:r>
        <w:t xml:space="preserve">By </w:t>
      </w:r>
      <w:r w:rsidRPr="00422110">
        <w:t xml:space="preserve">modelling the payments based on the three-month period, the </w:t>
      </w:r>
      <w:r>
        <w:t xml:space="preserve">projections </w:t>
      </w:r>
      <w:r w:rsidRPr="00422110">
        <w:t>align more closely to recent payment experience, which continues to increase over time, while still ensuring there is sufficient stability in cost patterns.</w:t>
      </w:r>
      <w:r w:rsidRPr="00034558">
        <w:rPr>
          <w:highlight w:val="yellow"/>
        </w:rPr>
        <w:t xml:space="preserve"> </w:t>
      </w:r>
    </w:p>
    <w:p w14:paraId="2B11F533" w14:textId="6321C2C4" w:rsidR="002735DF" w:rsidRDefault="002735DF" w:rsidP="002735DF">
      <w:pPr>
        <w:pStyle w:val="FSRnormal"/>
      </w:pPr>
      <w:r w:rsidRPr="00226AF5">
        <w:t xml:space="preserve">Annual </w:t>
      </w:r>
      <w:r w:rsidR="00FE6084">
        <w:t xml:space="preserve">average payment </w:t>
      </w:r>
      <w:r w:rsidRPr="00226AF5">
        <w:t>assumptions have been calculated for</w:t>
      </w:r>
      <w:r>
        <w:t xml:space="preserve"> mature participants</w:t>
      </w:r>
      <w:r w:rsidRPr="00E172BB">
        <w:rPr>
          <w:rStyle w:val="FootnoteReference"/>
        </w:rPr>
        <w:footnoteReference w:id="92"/>
      </w:r>
      <w:r>
        <w:t xml:space="preserve"> in</w:t>
      </w:r>
      <w:r w:rsidRPr="00034558">
        <w:t xml:space="preserve"> each </w:t>
      </w:r>
      <w:r w:rsidR="00CD3984">
        <w:t>cohort</w:t>
      </w:r>
      <w:r w:rsidRPr="00034558">
        <w:rPr>
          <w:rStyle w:val="FootnoteReference"/>
        </w:rPr>
        <w:footnoteReference w:id="93"/>
      </w:r>
      <w:r w:rsidRPr="00034558">
        <w:t xml:space="preserve"> b</w:t>
      </w:r>
      <w:r w:rsidRPr="00422110">
        <w:t>ased on the average annualised payments experience of this three-month period, inflated to 30 June 2021</w:t>
      </w:r>
      <w:r w:rsidRPr="00422110">
        <w:rPr>
          <w:rStyle w:val="FootnoteReference"/>
          <w:rFonts w:cs="Arial"/>
        </w:rPr>
        <w:footnoteReference w:id="94"/>
      </w:r>
      <w:r w:rsidRPr="00034558">
        <w:t>.</w:t>
      </w:r>
      <w:r w:rsidRPr="00422110">
        <w:t xml:space="preserve"> </w:t>
      </w:r>
    </w:p>
    <w:p w14:paraId="007FEC77" w14:textId="0006E0BE" w:rsidR="002735DF" w:rsidRDefault="002735DF" w:rsidP="002735DF">
      <w:pPr>
        <w:pStyle w:val="FSRHeading4"/>
      </w:pPr>
      <w:r>
        <w:lastRenderedPageBreak/>
        <w:t>Impact of seasonality on the payment experience</w:t>
      </w:r>
    </w:p>
    <w:p w14:paraId="3C535EC1" w14:textId="6BF58FA3" w:rsidR="002735DF" w:rsidRPr="00422110" w:rsidRDefault="002735DF" w:rsidP="002735DF">
      <w:pPr>
        <w:pStyle w:val="FSRnormal"/>
      </w:pPr>
      <w:r w:rsidRPr="00422110">
        <w:t xml:space="preserve">Seasonality refers to fluctuations in payment levels over a period of time due to factors such as the number of business days, </w:t>
      </w:r>
      <w:r>
        <w:t xml:space="preserve">public </w:t>
      </w:r>
      <w:r w:rsidRPr="00422110">
        <w:t>holiday</w:t>
      </w:r>
      <w:r>
        <w:t xml:space="preserve">s and </w:t>
      </w:r>
      <w:r w:rsidRPr="00422110">
        <w:t xml:space="preserve">provider claiming behaviour. By utilising a shorter period to inform </w:t>
      </w:r>
      <w:r w:rsidR="00FE6084">
        <w:t xml:space="preserve">average payment </w:t>
      </w:r>
      <w:r w:rsidRPr="00422110">
        <w:t xml:space="preserve">assumptions, the seasonality impact can result in understatement or overstatement of costs. Hence, the average annualised payments assumptions need to be modified to allow for the seasonality impacts resulting from the use of the three months to 31 May 2021 as the averaging period. The two key drivers of seasonality appear to be the number of business days </w:t>
      </w:r>
      <w:r>
        <w:t xml:space="preserve">in </w:t>
      </w:r>
      <w:r w:rsidRPr="00422110">
        <w:t>the period, and participant and provider behaviour.</w:t>
      </w:r>
      <w:r w:rsidRPr="00422110">
        <w:rPr>
          <w:rStyle w:val="FootnoteReference"/>
        </w:rPr>
        <w:footnoteReference w:id="95"/>
      </w:r>
      <w:r w:rsidRPr="00422110">
        <w:t xml:space="preserve"> The seasonality impact also tends to differ at a support category level.</w:t>
      </w:r>
    </w:p>
    <w:p w14:paraId="6566E32F" w14:textId="77777777" w:rsidR="002735DF" w:rsidRPr="00422110" w:rsidRDefault="002735DF" w:rsidP="002735DF">
      <w:pPr>
        <w:pStyle w:val="FSRnormal"/>
      </w:pPr>
      <w:r w:rsidRPr="00422110">
        <w:t>Analysis of previous payments experience between 2018 and 2021 indicated that the</w:t>
      </w:r>
      <w:r>
        <w:t xml:space="preserve"> overall payments average for the year after removing inflationary impacts was 3% lower than the</w:t>
      </w:r>
      <w:r w:rsidRPr="00422110">
        <w:t xml:space="preserve"> three-month payment period to 31 May 2021. </w:t>
      </w:r>
    </w:p>
    <w:p w14:paraId="37267072" w14:textId="5E2F21C9" w:rsidR="002735DF" w:rsidRDefault="002735DF" w:rsidP="002735DF">
      <w:pPr>
        <w:pStyle w:val="FSRnormal"/>
      </w:pPr>
      <w:r>
        <w:fldChar w:fldCharType="begin"/>
      </w:r>
      <w:r>
        <w:instrText xml:space="preserve"> REF _Ref80272660 \h </w:instrText>
      </w:r>
      <w:r>
        <w:fldChar w:fldCharType="separate"/>
      </w:r>
      <w:r w:rsidR="00E50032" w:rsidRPr="002735DF">
        <w:t xml:space="preserve">Table </w:t>
      </w:r>
      <w:r w:rsidR="00E50032">
        <w:rPr>
          <w:noProof/>
        </w:rPr>
        <w:t>57</w:t>
      </w:r>
      <w:r>
        <w:fldChar w:fldCharType="end"/>
      </w:r>
      <w:r>
        <w:t xml:space="preserve"> </w:t>
      </w:r>
      <w:r w:rsidRPr="00422110">
        <w:t>shows that seasonality factors have been adopted at the support category level, mostly driven by observed payment relativity</w:t>
      </w:r>
      <w:r w:rsidRPr="00422110">
        <w:rPr>
          <w:rStyle w:val="FootnoteReference"/>
        </w:rPr>
        <w:footnoteReference w:id="96"/>
      </w:r>
      <w:r w:rsidRPr="00422110">
        <w:t xml:space="preserve"> and to a lesser extent, the number of business days relative to the rest of the year. Overall, payment assumptions have been decreased by 3% to allow for the seasonality impact. </w:t>
      </w:r>
    </w:p>
    <w:p w14:paraId="6B2FCBCF" w14:textId="77777777" w:rsidR="002735DF" w:rsidRPr="002735DF" w:rsidRDefault="002735DF" w:rsidP="002735DF">
      <w:pPr>
        <w:pStyle w:val="FSRnormal"/>
        <w:rPr>
          <w:szCs w:val="21"/>
        </w:rPr>
      </w:pPr>
      <w:r w:rsidRPr="002735DF">
        <w:rPr>
          <w:szCs w:val="21"/>
        </w:rPr>
        <w:t>Average monthly payments for Transport are mainly driven by the number of fortnightly payments made in a given month. This is due to the fortnightly periodic cash payments made directly to the majority of participants, unique to Transport, which comprise 46% of payments within this support category.</w:t>
      </w:r>
    </w:p>
    <w:p w14:paraId="5F92D428" w14:textId="3EE1EAD9" w:rsidR="002735DF" w:rsidRPr="002735DF" w:rsidRDefault="002735DF" w:rsidP="002735DF">
      <w:pPr>
        <w:pStyle w:val="Tables"/>
      </w:pPr>
      <w:bookmarkStart w:id="373" w:name="_Ref80272660"/>
      <w:r w:rsidRPr="002735DF">
        <w:t xml:space="preserve">Table </w:t>
      </w:r>
      <w:fldSimple w:instr=" SEQ Table \* ARABIC ">
        <w:r w:rsidR="00E50032">
          <w:rPr>
            <w:noProof/>
          </w:rPr>
          <w:t>57</w:t>
        </w:r>
      </w:fldSimple>
      <w:bookmarkEnd w:id="373"/>
      <w:r w:rsidRPr="002735DF">
        <w:t xml:space="preserve"> Adopted seasonality factors by support category</w:t>
      </w:r>
    </w:p>
    <w:tbl>
      <w:tblPr>
        <w:tblW w:w="0" w:type="auto"/>
        <w:tblLook w:val="04A0" w:firstRow="1" w:lastRow="0" w:firstColumn="1" w:lastColumn="0" w:noHBand="0" w:noVBand="1"/>
      </w:tblPr>
      <w:tblGrid>
        <w:gridCol w:w="2287"/>
        <w:gridCol w:w="2597"/>
      </w:tblGrid>
      <w:tr w:rsidR="003C65E3" w:rsidRPr="001D5CBC" w14:paraId="5A7464B4" w14:textId="77777777" w:rsidTr="00312E88">
        <w:trPr>
          <w:trHeight w:hRule="exact" w:val="20"/>
          <w:tblHeader/>
        </w:trPr>
        <w:tc>
          <w:tcPr>
            <w:tcW w:w="0" w:type="auto"/>
            <w:vMerge w:val="restart"/>
            <w:tcBorders>
              <w:top w:val="single" w:sz="4" w:space="0" w:color="auto"/>
              <w:left w:val="single" w:sz="4" w:space="0" w:color="auto"/>
              <w:bottom w:val="nil"/>
              <w:right w:val="nil"/>
            </w:tcBorders>
            <w:shd w:val="clear" w:color="000000" w:fill="6B2976"/>
            <w:noWrap/>
            <w:vAlign w:val="center"/>
            <w:hideMark/>
          </w:tcPr>
          <w:p w14:paraId="4ED35761" w14:textId="77777777" w:rsidR="003C65E3" w:rsidRPr="001D5CBC" w:rsidRDefault="003C65E3" w:rsidP="00312E88">
            <w:pPr>
              <w:rPr>
                <w:rFonts w:cs="Arial"/>
                <w:b/>
                <w:bCs/>
                <w:color w:val="FFFFFF"/>
                <w:sz w:val="18"/>
                <w:szCs w:val="18"/>
              </w:rPr>
            </w:pPr>
            <w:r w:rsidRPr="001D5CBC">
              <w:rPr>
                <w:rFonts w:cs="Arial"/>
                <w:b/>
                <w:bCs/>
                <w:color w:val="FFFFFF"/>
                <w:sz w:val="18"/>
                <w:szCs w:val="18"/>
              </w:rPr>
              <w:t>Support Category</w:t>
            </w:r>
          </w:p>
        </w:tc>
        <w:tc>
          <w:tcPr>
            <w:tcW w:w="0" w:type="auto"/>
            <w:vMerge w:val="restart"/>
            <w:tcBorders>
              <w:top w:val="single" w:sz="4" w:space="0" w:color="auto"/>
              <w:left w:val="single" w:sz="4" w:space="0" w:color="auto"/>
              <w:bottom w:val="nil"/>
              <w:right w:val="single" w:sz="4" w:space="0" w:color="auto"/>
            </w:tcBorders>
            <w:shd w:val="clear" w:color="000000" w:fill="6B2976"/>
            <w:vAlign w:val="center"/>
            <w:hideMark/>
          </w:tcPr>
          <w:p w14:paraId="1CCC08A5" w14:textId="77777777" w:rsidR="003C65E3" w:rsidRPr="001D5CBC" w:rsidRDefault="003C65E3" w:rsidP="00312E88">
            <w:pPr>
              <w:rPr>
                <w:rFonts w:cs="Arial"/>
                <w:b/>
                <w:bCs/>
                <w:color w:val="FFFFFF"/>
                <w:sz w:val="18"/>
                <w:szCs w:val="18"/>
              </w:rPr>
            </w:pPr>
            <w:r w:rsidRPr="001D5CBC">
              <w:rPr>
                <w:rFonts w:cs="Arial"/>
                <w:b/>
                <w:bCs/>
                <w:color w:val="FFFFFF"/>
                <w:sz w:val="18"/>
                <w:szCs w:val="18"/>
              </w:rPr>
              <w:t>Adopted Seasonality Factor</w:t>
            </w:r>
          </w:p>
        </w:tc>
      </w:tr>
      <w:tr w:rsidR="003C65E3" w:rsidRPr="001D5CBC" w14:paraId="092F680F" w14:textId="77777777" w:rsidTr="00312E88">
        <w:trPr>
          <w:trHeight w:val="458"/>
        </w:trPr>
        <w:tc>
          <w:tcPr>
            <w:tcW w:w="0" w:type="auto"/>
            <w:vMerge/>
            <w:tcBorders>
              <w:top w:val="single" w:sz="4" w:space="0" w:color="auto"/>
              <w:left w:val="single" w:sz="4" w:space="0" w:color="auto"/>
              <w:bottom w:val="nil"/>
              <w:right w:val="nil"/>
            </w:tcBorders>
            <w:vAlign w:val="center"/>
            <w:hideMark/>
          </w:tcPr>
          <w:p w14:paraId="3E482129" w14:textId="77777777" w:rsidR="003C65E3" w:rsidRPr="001D5CBC" w:rsidRDefault="003C65E3" w:rsidP="00312E88">
            <w:pPr>
              <w:rPr>
                <w:rFonts w:cs="Arial"/>
                <w:b/>
                <w:bCs/>
                <w:color w:val="FFFFFF"/>
                <w:sz w:val="18"/>
                <w:szCs w:val="18"/>
              </w:rPr>
            </w:pPr>
          </w:p>
        </w:tc>
        <w:tc>
          <w:tcPr>
            <w:tcW w:w="0" w:type="auto"/>
            <w:vMerge/>
            <w:tcBorders>
              <w:top w:val="single" w:sz="4" w:space="0" w:color="auto"/>
              <w:left w:val="single" w:sz="4" w:space="0" w:color="auto"/>
              <w:bottom w:val="nil"/>
              <w:right w:val="single" w:sz="4" w:space="0" w:color="auto"/>
            </w:tcBorders>
            <w:vAlign w:val="center"/>
            <w:hideMark/>
          </w:tcPr>
          <w:p w14:paraId="702CFE94" w14:textId="77777777" w:rsidR="003C65E3" w:rsidRPr="001D5CBC" w:rsidRDefault="003C65E3" w:rsidP="00312E88">
            <w:pPr>
              <w:rPr>
                <w:rFonts w:cs="Arial"/>
                <w:b/>
                <w:bCs/>
                <w:color w:val="FFFFFF"/>
                <w:sz w:val="18"/>
                <w:szCs w:val="18"/>
              </w:rPr>
            </w:pPr>
          </w:p>
        </w:tc>
      </w:tr>
      <w:tr w:rsidR="003C65E3" w:rsidRPr="001D5CBC" w14:paraId="3FB66F5B" w14:textId="77777777" w:rsidTr="00312E88">
        <w:trPr>
          <w:trHeight w:val="458"/>
        </w:trPr>
        <w:tc>
          <w:tcPr>
            <w:tcW w:w="0" w:type="auto"/>
            <w:vMerge/>
            <w:tcBorders>
              <w:top w:val="single" w:sz="4" w:space="0" w:color="auto"/>
              <w:left w:val="single" w:sz="4" w:space="0" w:color="auto"/>
              <w:bottom w:val="nil"/>
              <w:right w:val="nil"/>
            </w:tcBorders>
            <w:vAlign w:val="center"/>
            <w:hideMark/>
          </w:tcPr>
          <w:p w14:paraId="7AB7B753" w14:textId="77777777" w:rsidR="003C65E3" w:rsidRPr="001D5CBC" w:rsidRDefault="003C65E3" w:rsidP="00312E88">
            <w:pPr>
              <w:rPr>
                <w:rFonts w:cs="Arial"/>
                <w:b/>
                <w:bCs/>
                <w:color w:val="FFFFFF"/>
                <w:sz w:val="18"/>
                <w:szCs w:val="18"/>
              </w:rPr>
            </w:pPr>
          </w:p>
        </w:tc>
        <w:tc>
          <w:tcPr>
            <w:tcW w:w="0" w:type="auto"/>
            <w:vMerge/>
            <w:tcBorders>
              <w:top w:val="single" w:sz="4" w:space="0" w:color="auto"/>
              <w:left w:val="single" w:sz="4" w:space="0" w:color="auto"/>
              <w:bottom w:val="nil"/>
              <w:right w:val="single" w:sz="4" w:space="0" w:color="auto"/>
            </w:tcBorders>
            <w:vAlign w:val="center"/>
            <w:hideMark/>
          </w:tcPr>
          <w:p w14:paraId="7500EDF9" w14:textId="77777777" w:rsidR="003C65E3" w:rsidRPr="001D5CBC" w:rsidRDefault="003C65E3" w:rsidP="00312E88">
            <w:pPr>
              <w:rPr>
                <w:rFonts w:cs="Arial"/>
                <w:b/>
                <w:bCs/>
                <w:color w:val="FFFFFF"/>
                <w:sz w:val="18"/>
                <w:szCs w:val="18"/>
              </w:rPr>
            </w:pPr>
          </w:p>
        </w:tc>
      </w:tr>
      <w:tr w:rsidR="003C65E3" w:rsidRPr="001D5CBC" w14:paraId="656FD0EA" w14:textId="77777777" w:rsidTr="003C65E3">
        <w:trPr>
          <w:trHeight w:hRule="exact" w:val="227"/>
        </w:trPr>
        <w:tc>
          <w:tcPr>
            <w:tcW w:w="0" w:type="auto"/>
            <w:tcBorders>
              <w:top w:val="nil"/>
              <w:left w:val="single" w:sz="4" w:space="0" w:color="auto"/>
              <w:bottom w:val="dotted" w:sz="4" w:space="0" w:color="auto"/>
              <w:right w:val="nil"/>
            </w:tcBorders>
            <w:shd w:val="clear" w:color="auto" w:fill="auto"/>
            <w:noWrap/>
            <w:vAlign w:val="bottom"/>
            <w:hideMark/>
          </w:tcPr>
          <w:p w14:paraId="54DAC050" w14:textId="77777777" w:rsidR="003C65E3" w:rsidRPr="001D5CBC" w:rsidRDefault="003C65E3" w:rsidP="00312E88">
            <w:pPr>
              <w:rPr>
                <w:rFonts w:cs="Arial"/>
                <w:b/>
                <w:bCs/>
                <w:color w:val="000000"/>
                <w:sz w:val="18"/>
                <w:szCs w:val="18"/>
              </w:rPr>
            </w:pPr>
            <w:r w:rsidRPr="001D5CBC">
              <w:rPr>
                <w:rFonts w:cs="Arial"/>
                <w:b/>
                <w:bCs/>
                <w:color w:val="000000"/>
                <w:sz w:val="18"/>
                <w:szCs w:val="18"/>
              </w:rPr>
              <w:t>Core</w:t>
            </w:r>
          </w:p>
          <w:p w14:paraId="67109720" w14:textId="77777777" w:rsidR="003C65E3" w:rsidRPr="001D5CBC" w:rsidRDefault="003C65E3" w:rsidP="00312E88">
            <w:pPr>
              <w:rPr>
                <w:rFonts w:cs="Arial"/>
                <w:b/>
                <w:bCs/>
                <w:color w:val="000000"/>
                <w:sz w:val="18"/>
                <w:szCs w:val="18"/>
              </w:rPr>
            </w:pPr>
            <w:r w:rsidRPr="001D5CBC">
              <w:rPr>
                <w:rFonts w:cs="Arial"/>
                <w:b/>
                <w:bCs/>
                <w:color w:val="000000"/>
                <w:sz w:val="18"/>
                <w:szCs w:val="18"/>
              </w:rPr>
              <w:t> </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14:paraId="02828D35" w14:textId="77777777" w:rsidR="003C65E3" w:rsidRPr="001D5CBC" w:rsidRDefault="003C65E3" w:rsidP="00312E88">
            <w:pPr>
              <w:rPr>
                <w:rFonts w:cs="Arial"/>
                <w:b/>
                <w:bCs/>
                <w:color w:val="000000"/>
                <w:sz w:val="18"/>
                <w:szCs w:val="18"/>
              </w:rPr>
            </w:pPr>
            <w:r w:rsidRPr="001D5CBC">
              <w:rPr>
                <w:rFonts w:cs="Arial"/>
                <w:b/>
                <w:bCs/>
                <w:color w:val="000000"/>
                <w:sz w:val="18"/>
                <w:szCs w:val="18"/>
              </w:rPr>
              <w:t> </w:t>
            </w:r>
          </w:p>
        </w:tc>
      </w:tr>
      <w:tr w:rsidR="003C65E3" w:rsidRPr="001D5CBC" w14:paraId="0B308DE1" w14:textId="77777777" w:rsidTr="003C65E3">
        <w:trPr>
          <w:trHeight w:hRule="exact" w:val="227"/>
        </w:trPr>
        <w:tc>
          <w:tcPr>
            <w:tcW w:w="0" w:type="auto"/>
            <w:tcBorders>
              <w:top w:val="nil"/>
              <w:left w:val="single" w:sz="4" w:space="0" w:color="auto"/>
              <w:bottom w:val="nil"/>
              <w:right w:val="nil"/>
            </w:tcBorders>
            <w:shd w:val="clear" w:color="auto" w:fill="auto"/>
            <w:noWrap/>
            <w:vAlign w:val="bottom"/>
            <w:hideMark/>
          </w:tcPr>
          <w:p w14:paraId="0DAE96BA" w14:textId="77777777" w:rsidR="003C65E3" w:rsidRPr="001D5CBC" w:rsidRDefault="003C65E3" w:rsidP="00312E88">
            <w:pPr>
              <w:ind w:firstLineChars="100" w:firstLine="180"/>
              <w:rPr>
                <w:rFonts w:cs="Arial"/>
                <w:color w:val="000000"/>
                <w:sz w:val="18"/>
                <w:szCs w:val="18"/>
              </w:rPr>
            </w:pPr>
            <w:r w:rsidRPr="001D5CBC">
              <w:rPr>
                <w:rFonts w:cs="Arial"/>
                <w:color w:val="000000"/>
                <w:sz w:val="18"/>
                <w:szCs w:val="18"/>
              </w:rPr>
              <w:t>Daily Activities</w:t>
            </w:r>
          </w:p>
        </w:tc>
        <w:tc>
          <w:tcPr>
            <w:tcW w:w="0" w:type="auto"/>
            <w:tcBorders>
              <w:top w:val="nil"/>
              <w:left w:val="single" w:sz="4" w:space="0" w:color="auto"/>
              <w:bottom w:val="nil"/>
              <w:right w:val="single" w:sz="4" w:space="0" w:color="auto"/>
            </w:tcBorders>
            <w:shd w:val="clear" w:color="auto" w:fill="auto"/>
            <w:noWrap/>
            <w:vAlign w:val="bottom"/>
            <w:hideMark/>
          </w:tcPr>
          <w:p w14:paraId="7DD90F65" w14:textId="77777777" w:rsidR="003C65E3" w:rsidRPr="001D5CBC" w:rsidRDefault="003C65E3" w:rsidP="00312E88">
            <w:pPr>
              <w:rPr>
                <w:rFonts w:cs="Arial"/>
                <w:color w:val="000000"/>
                <w:sz w:val="18"/>
                <w:szCs w:val="18"/>
              </w:rPr>
            </w:pPr>
            <w:r w:rsidRPr="001D5CBC">
              <w:rPr>
                <w:rFonts w:cs="Arial"/>
                <w:color w:val="000000"/>
                <w:sz w:val="18"/>
                <w:szCs w:val="18"/>
              </w:rPr>
              <w:t> </w:t>
            </w:r>
          </w:p>
        </w:tc>
      </w:tr>
      <w:tr w:rsidR="003C65E3" w:rsidRPr="001D5CBC" w14:paraId="6A148B60" w14:textId="77777777" w:rsidTr="003C65E3">
        <w:trPr>
          <w:trHeight w:hRule="exact" w:val="227"/>
        </w:trPr>
        <w:tc>
          <w:tcPr>
            <w:tcW w:w="0" w:type="auto"/>
            <w:tcBorders>
              <w:top w:val="nil"/>
              <w:left w:val="single" w:sz="4" w:space="0" w:color="auto"/>
              <w:bottom w:val="nil"/>
              <w:right w:val="nil"/>
            </w:tcBorders>
            <w:shd w:val="clear" w:color="auto" w:fill="auto"/>
            <w:noWrap/>
            <w:vAlign w:val="bottom"/>
            <w:hideMark/>
          </w:tcPr>
          <w:p w14:paraId="60BFB1B3" w14:textId="77777777" w:rsidR="003C65E3" w:rsidRPr="001D5CBC" w:rsidRDefault="003C65E3" w:rsidP="00312E88">
            <w:pPr>
              <w:ind w:firstLineChars="200" w:firstLine="360"/>
              <w:rPr>
                <w:rFonts w:cs="Arial"/>
                <w:i/>
                <w:iCs/>
                <w:color w:val="000000"/>
                <w:sz w:val="18"/>
                <w:szCs w:val="18"/>
              </w:rPr>
            </w:pPr>
            <w:r w:rsidRPr="001D5CBC">
              <w:rPr>
                <w:rFonts w:cs="Arial"/>
                <w:i/>
                <w:iCs/>
                <w:color w:val="000000"/>
                <w:sz w:val="18"/>
                <w:szCs w:val="18"/>
              </w:rPr>
              <w:t>SIL supports</w:t>
            </w:r>
          </w:p>
        </w:tc>
        <w:tc>
          <w:tcPr>
            <w:tcW w:w="0" w:type="auto"/>
            <w:tcBorders>
              <w:top w:val="nil"/>
              <w:left w:val="single" w:sz="4" w:space="0" w:color="auto"/>
              <w:bottom w:val="nil"/>
              <w:right w:val="single" w:sz="4" w:space="0" w:color="auto"/>
            </w:tcBorders>
            <w:shd w:val="clear" w:color="auto" w:fill="auto"/>
            <w:noWrap/>
            <w:vAlign w:val="bottom"/>
            <w:hideMark/>
          </w:tcPr>
          <w:p w14:paraId="35110C60" w14:textId="77777777" w:rsidR="003C65E3" w:rsidRPr="001D5CBC" w:rsidRDefault="003C65E3" w:rsidP="00312E88">
            <w:pPr>
              <w:jc w:val="center"/>
              <w:rPr>
                <w:rFonts w:cs="Arial"/>
                <w:color w:val="000000"/>
                <w:sz w:val="18"/>
                <w:szCs w:val="18"/>
              </w:rPr>
            </w:pPr>
            <w:r w:rsidRPr="001D5CBC">
              <w:rPr>
                <w:rFonts w:cs="Arial"/>
                <w:color w:val="000000"/>
                <w:sz w:val="18"/>
                <w:szCs w:val="18"/>
              </w:rPr>
              <w:t>-1%</w:t>
            </w:r>
          </w:p>
        </w:tc>
      </w:tr>
      <w:tr w:rsidR="003C65E3" w:rsidRPr="001D5CBC" w14:paraId="27A86B15" w14:textId="77777777" w:rsidTr="003C65E3">
        <w:trPr>
          <w:trHeight w:hRule="exact" w:val="227"/>
        </w:trPr>
        <w:tc>
          <w:tcPr>
            <w:tcW w:w="0" w:type="auto"/>
            <w:tcBorders>
              <w:top w:val="nil"/>
              <w:left w:val="single" w:sz="4" w:space="0" w:color="auto"/>
              <w:bottom w:val="nil"/>
              <w:right w:val="nil"/>
            </w:tcBorders>
            <w:shd w:val="clear" w:color="auto" w:fill="auto"/>
            <w:noWrap/>
            <w:vAlign w:val="bottom"/>
            <w:hideMark/>
          </w:tcPr>
          <w:p w14:paraId="3133CD2C" w14:textId="77777777" w:rsidR="003C65E3" w:rsidRPr="001D5CBC" w:rsidRDefault="003C65E3" w:rsidP="00312E88">
            <w:pPr>
              <w:ind w:firstLineChars="200" w:firstLine="360"/>
              <w:rPr>
                <w:rFonts w:cs="Arial"/>
                <w:i/>
                <w:iCs/>
                <w:color w:val="000000"/>
                <w:sz w:val="18"/>
                <w:szCs w:val="18"/>
              </w:rPr>
            </w:pPr>
            <w:r w:rsidRPr="001D5CBC">
              <w:rPr>
                <w:rFonts w:cs="Arial"/>
                <w:i/>
                <w:iCs/>
                <w:color w:val="000000"/>
                <w:sz w:val="18"/>
                <w:szCs w:val="18"/>
              </w:rPr>
              <w:t>Non-SIL supports</w:t>
            </w:r>
          </w:p>
        </w:tc>
        <w:tc>
          <w:tcPr>
            <w:tcW w:w="0" w:type="auto"/>
            <w:tcBorders>
              <w:top w:val="nil"/>
              <w:left w:val="single" w:sz="4" w:space="0" w:color="auto"/>
              <w:bottom w:val="nil"/>
              <w:right w:val="single" w:sz="4" w:space="0" w:color="auto"/>
            </w:tcBorders>
            <w:shd w:val="clear" w:color="auto" w:fill="auto"/>
            <w:noWrap/>
            <w:vAlign w:val="bottom"/>
            <w:hideMark/>
          </w:tcPr>
          <w:p w14:paraId="2B52EF05" w14:textId="77777777" w:rsidR="003C65E3" w:rsidRPr="001D5CBC" w:rsidRDefault="003C65E3" w:rsidP="00312E88">
            <w:pPr>
              <w:jc w:val="center"/>
              <w:rPr>
                <w:rFonts w:cs="Arial"/>
                <w:color w:val="000000"/>
                <w:sz w:val="18"/>
                <w:szCs w:val="18"/>
              </w:rPr>
            </w:pPr>
            <w:r w:rsidRPr="001D5CBC">
              <w:rPr>
                <w:rFonts w:cs="Arial"/>
                <w:color w:val="000000"/>
                <w:sz w:val="18"/>
                <w:szCs w:val="18"/>
              </w:rPr>
              <w:t>-3%</w:t>
            </w:r>
          </w:p>
        </w:tc>
      </w:tr>
      <w:tr w:rsidR="003C65E3" w:rsidRPr="001D5CBC" w14:paraId="5A9006A0" w14:textId="77777777" w:rsidTr="003C65E3">
        <w:trPr>
          <w:trHeight w:hRule="exact" w:val="227"/>
        </w:trPr>
        <w:tc>
          <w:tcPr>
            <w:tcW w:w="0" w:type="auto"/>
            <w:tcBorders>
              <w:top w:val="nil"/>
              <w:left w:val="single" w:sz="4" w:space="0" w:color="auto"/>
              <w:bottom w:val="nil"/>
              <w:right w:val="nil"/>
            </w:tcBorders>
            <w:shd w:val="clear" w:color="auto" w:fill="auto"/>
            <w:noWrap/>
            <w:vAlign w:val="bottom"/>
            <w:hideMark/>
          </w:tcPr>
          <w:p w14:paraId="0320DD6C" w14:textId="77777777" w:rsidR="003C65E3" w:rsidRPr="001D5CBC" w:rsidRDefault="003C65E3" w:rsidP="00312E88">
            <w:pPr>
              <w:ind w:firstLineChars="100" w:firstLine="180"/>
              <w:rPr>
                <w:rFonts w:cs="Arial"/>
                <w:color w:val="000000"/>
                <w:sz w:val="18"/>
                <w:szCs w:val="18"/>
              </w:rPr>
            </w:pPr>
            <w:r w:rsidRPr="001D5CBC">
              <w:rPr>
                <w:rFonts w:cs="Arial"/>
                <w:color w:val="000000"/>
                <w:sz w:val="18"/>
                <w:szCs w:val="18"/>
              </w:rPr>
              <w:t>Social Community Civic</w:t>
            </w:r>
          </w:p>
        </w:tc>
        <w:tc>
          <w:tcPr>
            <w:tcW w:w="0" w:type="auto"/>
            <w:tcBorders>
              <w:top w:val="nil"/>
              <w:left w:val="single" w:sz="4" w:space="0" w:color="auto"/>
              <w:bottom w:val="nil"/>
              <w:right w:val="single" w:sz="4" w:space="0" w:color="auto"/>
            </w:tcBorders>
            <w:shd w:val="clear" w:color="auto" w:fill="auto"/>
            <w:noWrap/>
            <w:vAlign w:val="bottom"/>
            <w:hideMark/>
          </w:tcPr>
          <w:p w14:paraId="1EDB3514" w14:textId="77777777" w:rsidR="003C65E3" w:rsidRPr="001D5CBC" w:rsidRDefault="003C65E3" w:rsidP="00312E88">
            <w:pPr>
              <w:jc w:val="center"/>
              <w:rPr>
                <w:rFonts w:cs="Arial"/>
                <w:color w:val="000000"/>
                <w:sz w:val="18"/>
                <w:szCs w:val="18"/>
              </w:rPr>
            </w:pPr>
            <w:r w:rsidRPr="001D5CBC">
              <w:rPr>
                <w:rFonts w:cs="Arial"/>
                <w:color w:val="000000"/>
                <w:sz w:val="18"/>
                <w:szCs w:val="18"/>
              </w:rPr>
              <w:t>-5%</w:t>
            </w:r>
          </w:p>
        </w:tc>
      </w:tr>
      <w:tr w:rsidR="003C65E3" w:rsidRPr="001D5CBC" w14:paraId="5C935DD7" w14:textId="77777777" w:rsidTr="003C65E3">
        <w:trPr>
          <w:trHeight w:hRule="exact" w:val="227"/>
        </w:trPr>
        <w:tc>
          <w:tcPr>
            <w:tcW w:w="0" w:type="auto"/>
            <w:tcBorders>
              <w:top w:val="nil"/>
              <w:left w:val="single" w:sz="4" w:space="0" w:color="auto"/>
              <w:bottom w:val="nil"/>
              <w:right w:val="nil"/>
            </w:tcBorders>
            <w:shd w:val="clear" w:color="auto" w:fill="auto"/>
            <w:noWrap/>
            <w:vAlign w:val="bottom"/>
            <w:hideMark/>
          </w:tcPr>
          <w:p w14:paraId="625B081B" w14:textId="77777777" w:rsidR="003C65E3" w:rsidRPr="001D5CBC" w:rsidRDefault="003C65E3" w:rsidP="00312E88">
            <w:pPr>
              <w:ind w:firstLineChars="100" w:firstLine="180"/>
              <w:rPr>
                <w:rFonts w:cs="Arial"/>
                <w:color w:val="000000"/>
                <w:sz w:val="18"/>
                <w:szCs w:val="18"/>
              </w:rPr>
            </w:pPr>
            <w:r w:rsidRPr="001D5CBC">
              <w:rPr>
                <w:rFonts w:cs="Arial"/>
                <w:color w:val="000000"/>
                <w:sz w:val="18"/>
                <w:szCs w:val="18"/>
              </w:rPr>
              <w:t>Consumables</w:t>
            </w:r>
          </w:p>
        </w:tc>
        <w:tc>
          <w:tcPr>
            <w:tcW w:w="0" w:type="auto"/>
            <w:tcBorders>
              <w:top w:val="nil"/>
              <w:left w:val="single" w:sz="4" w:space="0" w:color="auto"/>
              <w:bottom w:val="nil"/>
              <w:right w:val="single" w:sz="4" w:space="0" w:color="auto"/>
            </w:tcBorders>
            <w:shd w:val="clear" w:color="auto" w:fill="auto"/>
            <w:noWrap/>
            <w:vAlign w:val="bottom"/>
            <w:hideMark/>
          </w:tcPr>
          <w:p w14:paraId="5952E7CC" w14:textId="77777777" w:rsidR="003C65E3" w:rsidRPr="001D5CBC" w:rsidRDefault="003C65E3" w:rsidP="00312E88">
            <w:pPr>
              <w:jc w:val="center"/>
              <w:rPr>
                <w:rFonts w:cs="Arial"/>
                <w:color w:val="000000"/>
                <w:sz w:val="18"/>
                <w:szCs w:val="18"/>
              </w:rPr>
            </w:pPr>
            <w:r w:rsidRPr="001D5CBC">
              <w:rPr>
                <w:rFonts w:cs="Arial"/>
                <w:color w:val="000000"/>
                <w:sz w:val="18"/>
                <w:szCs w:val="18"/>
              </w:rPr>
              <w:t>-5%</w:t>
            </w:r>
          </w:p>
        </w:tc>
      </w:tr>
      <w:tr w:rsidR="003C65E3" w:rsidRPr="001D5CBC" w14:paraId="7EB198FF" w14:textId="77777777" w:rsidTr="003C65E3">
        <w:trPr>
          <w:trHeight w:hRule="exact" w:val="227"/>
        </w:trPr>
        <w:tc>
          <w:tcPr>
            <w:tcW w:w="0" w:type="auto"/>
            <w:tcBorders>
              <w:top w:val="nil"/>
              <w:left w:val="single" w:sz="4" w:space="0" w:color="auto"/>
              <w:bottom w:val="dotted" w:sz="4" w:space="0" w:color="auto"/>
              <w:right w:val="nil"/>
            </w:tcBorders>
            <w:shd w:val="clear" w:color="auto" w:fill="auto"/>
            <w:noWrap/>
            <w:vAlign w:val="bottom"/>
            <w:hideMark/>
          </w:tcPr>
          <w:p w14:paraId="1C83EE0E" w14:textId="77777777" w:rsidR="003C65E3" w:rsidRPr="001D5CBC" w:rsidRDefault="003C65E3" w:rsidP="00312E88">
            <w:pPr>
              <w:ind w:firstLineChars="100" w:firstLine="180"/>
              <w:rPr>
                <w:rFonts w:cs="Arial"/>
                <w:color w:val="000000"/>
                <w:sz w:val="18"/>
                <w:szCs w:val="18"/>
              </w:rPr>
            </w:pPr>
            <w:r w:rsidRPr="001D5CBC">
              <w:rPr>
                <w:rFonts w:cs="Arial"/>
                <w:color w:val="000000"/>
                <w:sz w:val="18"/>
                <w:szCs w:val="18"/>
              </w:rPr>
              <w:t>Transport</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14:paraId="0C50469C" w14:textId="77777777" w:rsidR="003C65E3" w:rsidRPr="001D5CBC" w:rsidRDefault="003C65E3" w:rsidP="00312E88">
            <w:pPr>
              <w:jc w:val="center"/>
              <w:rPr>
                <w:rFonts w:cs="Arial"/>
                <w:color w:val="000000"/>
                <w:sz w:val="18"/>
                <w:szCs w:val="18"/>
              </w:rPr>
            </w:pPr>
            <w:r w:rsidRPr="001D5CBC">
              <w:rPr>
                <w:rFonts w:cs="Arial"/>
                <w:color w:val="000000"/>
                <w:sz w:val="18"/>
                <w:szCs w:val="18"/>
              </w:rPr>
              <w:t>-3%</w:t>
            </w:r>
          </w:p>
        </w:tc>
      </w:tr>
      <w:tr w:rsidR="003C65E3" w:rsidRPr="001D5CBC" w14:paraId="3646BB07" w14:textId="77777777" w:rsidTr="003C65E3">
        <w:trPr>
          <w:trHeight w:hRule="exact" w:val="227"/>
        </w:trPr>
        <w:tc>
          <w:tcPr>
            <w:tcW w:w="0" w:type="auto"/>
            <w:tcBorders>
              <w:top w:val="nil"/>
              <w:left w:val="single" w:sz="4" w:space="0" w:color="auto"/>
              <w:bottom w:val="dotted" w:sz="4" w:space="0" w:color="auto"/>
              <w:right w:val="nil"/>
            </w:tcBorders>
            <w:shd w:val="clear" w:color="auto" w:fill="auto"/>
            <w:noWrap/>
            <w:vAlign w:val="bottom"/>
            <w:hideMark/>
          </w:tcPr>
          <w:p w14:paraId="7E477607" w14:textId="77777777" w:rsidR="003C65E3" w:rsidRPr="001D5CBC" w:rsidRDefault="003C65E3" w:rsidP="00312E88">
            <w:pPr>
              <w:rPr>
                <w:rFonts w:cs="Arial"/>
                <w:b/>
                <w:bCs/>
                <w:color w:val="000000"/>
                <w:sz w:val="18"/>
                <w:szCs w:val="18"/>
              </w:rPr>
            </w:pPr>
            <w:r w:rsidRPr="001D5CBC">
              <w:rPr>
                <w:rFonts w:cs="Arial"/>
                <w:b/>
                <w:bCs/>
                <w:color w:val="000000"/>
                <w:sz w:val="18"/>
                <w:szCs w:val="18"/>
              </w:rPr>
              <w:t>Capital</w:t>
            </w:r>
          </w:p>
          <w:p w14:paraId="1687F371" w14:textId="77777777" w:rsidR="003C65E3" w:rsidRPr="001D5CBC" w:rsidRDefault="003C65E3" w:rsidP="00312E88">
            <w:pPr>
              <w:rPr>
                <w:rFonts w:cs="Arial"/>
                <w:b/>
                <w:bCs/>
                <w:color w:val="000000"/>
                <w:sz w:val="18"/>
                <w:szCs w:val="18"/>
              </w:rPr>
            </w:pPr>
            <w:r w:rsidRPr="001D5CBC">
              <w:rPr>
                <w:rFonts w:cs="Arial"/>
                <w:b/>
                <w:bCs/>
                <w:color w:val="000000"/>
                <w:sz w:val="18"/>
                <w:szCs w:val="18"/>
              </w:rPr>
              <w:t> </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14:paraId="7892E421" w14:textId="77777777" w:rsidR="003C65E3" w:rsidRPr="001D5CBC" w:rsidRDefault="003C65E3" w:rsidP="00312E88">
            <w:pPr>
              <w:jc w:val="center"/>
              <w:rPr>
                <w:rFonts w:cs="Arial"/>
                <w:b/>
                <w:bCs/>
                <w:color w:val="000000"/>
                <w:sz w:val="18"/>
                <w:szCs w:val="18"/>
              </w:rPr>
            </w:pPr>
            <w:r w:rsidRPr="001D5CBC">
              <w:rPr>
                <w:rFonts w:cs="Arial"/>
                <w:b/>
                <w:bCs/>
                <w:color w:val="000000"/>
                <w:sz w:val="18"/>
                <w:szCs w:val="18"/>
              </w:rPr>
              <w:t> </w:t>
            </w:r>
          </w:p>
        </w:tc>
      </w:tr>
      <w:tr w:rsidR="003C65E3" w:rsidRPr="001D5CBC" w14:paraId="47EA8820" w14:textId="77777777" w:rsidTr="003C65E3">
        <w:trPr>
          <w:trHeight w:hRule="exact" w:val="227"/>
        </w:trPr>
        <w:tc>
          <w:tcPr>
            <w:tcW w:w="0" w:type="auto"/>
            <w:tcBorders>
              <w:top w:val="nil"/>
              <w:left w:val="single" w:sz="4" w:space="0" w:color="auto"/>
              <w:bottom w:val="nil"/>
              <w:right w:val="nil"/>
            </w:tcBorders>
            <w:shd w:val="clear" w:color="auto" w:fill="auto"/>
            <w:noWrap/>
            <w:vAlign w:val="bottom"/>
            <w:hideMark/>
          </w:tcPr>
          <w:p w14:paraId="5281CAE4" w14:textId="77777777" w:rsidR="003C65E3" w:rsidRPr="001D5CBC" w:rsidRDefault="003C65E3" w:rsidP="00312E88">
            <w:pPr>
              <w:ind w:firstLineChars="100" w:firstLine="180"/>
              <w:rPr>
                <w:rFonts w:cs="Arial"/>
                <w:color w:val="000000"/>
                <w:sz w:val="18"/>
                <w:szCs w:val="18"/>
              </w:rPr>
            </w:pPr>
            <w:r w:rsidRPr="001D5CBC">
              <w:rPr>
                <w:rFonts w:cs="Arial"/>
                <w:color w:val="000000"/>
                <w:sz w:val="18"/>
                <w:szCs w:val="18"/>
              </w:rPr>
              <w:t>Assistive Technology</w:t>
            </w:r>
          </w:p>
        </w:tc>
        <w:tc>
          <w:tcPr>
            <w:tcW w:w="0" w:type="auto"/>
            <w:tcBorders>
              <w:top w:val="nil"/>
              <w:left w:val="single" w:sz="4" w:space="0" w:color="auto"/>
              <w:bottom w:val="nil"/>
              <w:right w:val="single" w:sz="4" w:space="0" w:color="auto"/>
            </w:tcBorders>
            <w:shd w:val="clear" w:color="auto" w:fill="auto"/>
            <w:noWrap/>
            <w:vAlign w:val="bottom"/>
            <w:hideMark/>
          </w:tcPr>
          <w:p w14:paraId="58517461" w14:textId="77777777" w:rsidR="003C65E3" w:rsidRPr="001D5CBC" w:rsidRDefault="003C65E3" w:rsidP="00312E88">
            <w:pPr>
              <w:jc w:val="center"/>
              <w:rPr>
                <w:rFonts w:cs="Arial"/>
                <w:color w:val="000000"/>
                <w:sz w:val="18"/>
                <w:szCs w:val="18"/>
              </w:rPr>
            </w:pPr>
            <w:r w:rsidRPr="001D5CBC">
              <w:rPr>
                <w:rFonts w:cs="Arial"/>
                <w:color w:val="000000"/>
                <w:sz w:val="18"/>
                <w:szCs w:val="18"/>
              </w:rPr>
              <w:t>0%</w:t>
            </w:r>
          </w:p>
        </w:tc>
      </w:tr>
      <w:tr w:rsidR="003C65E3" w:rsidRPr="001D5CBC" w14:paraId="6AF1E1D4" w14:textId="77777777" w:rsidTr="003C65E3">
        <w:trPr>
          <w:trHeight w:hRule="exact" w:val="227"/>
        </w:trPr>
        <w:tc>
          <w:tcPr>
            <w:tcW w:w="0" w:type="auto"/>
            <w:tcBorders>
              <w:top w:val="nil"/>
              <w:left w:val="single" w:sz="4" w:space="0" w:color="auto"/>
              <w:bottom w:val="dotted" w:sz="4" w:space="0" w:color="auto"/>
              <w:right w:val="nil"/>
            </w:tcBorders>
            <w:shd w:val="clear" w:color="auto" w:fill="auto"/>
            <w:noWrap/>
            <w:vAlign w:val="bottom"/>
            <w:hideMark/>
          </w:tcPr>
          <w:p w14:paraId="0B751A21" w14:textId="77777777" w:rsidR="003C65E3" w:rsidRPr="001D5CBC" w:rsidRDefault="003C65E3" w:rsidP="00312E88">
            <w:pPr>
              <w:ind w:firstLineChars="100" w:firstLine="180"/>
              <w:rPr>
                <w:rFonts w:cs="Arial"/>
                <w:color w:val="000000"/>
                <w:sz w:val="18"/>
                <w:szCs w:val="18"/>
              </w:rPr>
            </w:pPr>
            <w:r w:rsidRPr="001D5CBC">
              <w:rPr>
                <w:rFonts w:cs="Arial"/>
                <w:color w:val="000000"/>
                <w:sz w:val="18"/>
                <w:szCs w:val="18"/>
              </w:rPr>
              <w:t>Home Modifications</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14:paraId="26782A0C" w14:textId="77777777" w:rsidR="003C65E3" w:rsidRPr="001D5CBC" w:rsidRDefault="003C65E3" w:rsidP="00312E88">
            <w:pPr>
              <w:jc w:val="center"/>
              <w:rPr>
                <w:rFonts w:cs="Arial"/>
                <w:color w:val="000000"/>
                <w:sz w:val="18"/>
                <w:szCs w:val="18"/>
              </w:rPr>
            </w:pPr>
            <w:r w:rsidRPr="001D5CBC">
              <w:rPr>
                <w:rFonts w:cs="Arial"/>
                <w:color w:val="000000"/>
                <w:sz w:val="18"/>
                <w:szCs w:val="18"/>
              </w:rPr>
              <w:t>0%</w:t>
            </w:r>
          </w:p>
        </w:tc>
      </w:tr>
      <w:tr w:rsidR="003C65E3" w:rsidRPr="001D5CBC" w14:paraId="1803DB3C" w14:textId="77777777" w:rsidTr="003C65E3">
        <w:trPr>
          <w:trHeight w:hRule="exact" w:val="227"/>
        </w:trPr>
        <w:tc>
          <w:tcPr>
            <w:tcW w:w="0" w:type="auto"/>
            <w:tcBorders>
              <w:top w:val="nil"/>
              <w:left w:val="single" w:sz="4" w:space="0" w:color="auto"/>
              <w:bottom w:val="dotted" w:sz="4" w:space="0" w:color="auto"/>
              <w:right w:val="nil"/>
            </w:tcBorders>
            <w:shd w:val="clear" w:color="auto" w:fill="auto"/>
            <w:noWrap/>
            <w:vAlign w:val="bottom"/>
            <w:hideMark/>
          </w:tcPr>
          <w:p w14:paraId="5C716931" w14:textId="77777777" w:rsidR="003C65E3" w:rsidRPr="001D5CBC" w:rsidRDefault="003C65E3" w:rsidP="00312E88">
            <w:pPr>
              <w:rPr>
                <w:rFonts w:cs="Arial"/>
                <w:b/>
                <w:bCs/>
                <w:color w:val="000000"/>
                <w:sz w:val="18"/>
                <w:szCs w:val="18"/>
              </w:rPr>
            </w:pPr>
            <w:r w:rsidRPr="001D5CBC">
              <w:rPr>
                <w:rFonts w:cs="Arial"/>
                <w:b/>
                <w:bCs/>
                <w:color w:val="000000"/>
                <w:sz w:val="18"/>
                <w:szCs w:val="18"/>
              </w:rPr>
              <w:t>Capacity Building</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14:paraId="05DD5B4A" w14:textId="77777777" w:rsidR="003C65E3" w:rsidRPr="001D5CBC" w:rsidRDefault="003C65E3" w:rsidP="00312E88">
            <w:pPr>
              <w:jc w:val="center"/>
              <w:rPr>
                <w:rFonts w:cs="Arial"/>
                <w:b/>
                <w:bCs/>
                <w:color w:val="000000"/>
                <w:sz w:val="18"/>
                <w:szCs w:val="18"/>
              </w:rPr>
            </w:pPr>
            <w:r w:rsidRPr="001D5CBC">
              <w:rPr>
                <w:rFonts w:cs="Arial"/>
                <w:b/>
                <w:bCs/>
                <w:color w:val="000000"/>
                <w:sz w:val="18"/>
                <w:szCs w:val="18"/>
              </w:rPr>
              <w:t> </w:t>
            </w:r>
          </w:p>
        </w:tc>
      </w:tr>
      <w:tr w:rsidR="003C65E3" w:rsidRPr="001D5CBC" w14:paraId="19582F78" w14:textId="77777777" w:rsidTr="003C65E3">
        <w:trPr>
          <w:trHeight w:hRule="exact" w:val="227"/>
        </w:trPr>
        <w:tc>
          <w:tcPr>
            <w:tcW w:w="0" w:type="auto"/>
            <w:tcBorders>
              <w:top w:val="nil"/>
              <w:left w:val="single" w:sz="4" w:space="0" w:color="auto"/>
              <w:bottom w:val="nil"/>
              <w:right w:val="nil"/>
            </w:tcBorders>
            <w:shd w:val="clear" w:color="auto" w:fill="auto"/>
            <w:noWrap/>
            <w:vAlign w:val="bottom"/>
            <w:hideMark/>
          </w:tcPr>
          <w:p w14:paraId="66FE4CDC" w14:textId="77777777" w:rsidR="003C65E3" w:rsidRPr="001D5CBC" w:rsidRDefault="003C65E3" w:rsidP="00312E88">
            <w:pPr>
              <w:ind w:firstLineChars="100" w:firstLine="180"/>
              <w:rPr>
                <w:rFonts w:cs="Arial"/>
                <w:color w:val="000000"/>
                <w:sz w:val="18"/>
                <w:szCs w:val="18"/>
              </w:rPr>
            </w:pPr>
            <w:r w:rsidRPr="001D5CBC">
              <w:rPr>
                <w:rFonts w:cs="Arial"/>
                <w:color w:val="000000"/>
                <w:sz w:val="18"/>
                <w:szCs w:val="18"/>
              </w:rPr>
              <w:t>CB Daily Activities</w:t>
            </w:r>
          </w:p>
        </w:tc>
        <w:tc>
          <w:tcPr>
            <w:tcW w:w="0" w:type="auto"/>
            <w:tcBorders>
              <w:top w:val="nil"/>
              <w:left w:val="single" w:sz="4" w:space="0" w:color="auto"/>
              <w:bottom w:val="nil"/>
              <w:right w:val="single" w:sz="4" w:space="0" w:color="auto"/>
            </w:tcBorders>
            <w:shd w:val="clear" w:color="auto" w:fill="auto"/>
            <w:noWrap/>
            <w:vAlign w:val="bottom"/>
            <w:hideMark/>
          </w:tcPr>
          <w:p w14:paraId="44D77960" w14:textId="77777777" w:rsidR="003C65E3" w:rsidRPr="001D5CBC" w:rsidRDefault="003C65E3" w:rsidP="00312E88">
            <w:pPr>
              <w:jc w:val="center"/>
              <w:rPr>
                <w:rFonts w:cs="Arial"/>
                <w:color w:val="000000"/>
                <w:sz w:val="18"/>
                <w:szCs w:val="18"/>
              </w:rPr>
            </w:pPr>
            <w:r w:rsidRPr="001D5CBC">
              <w:rPr>
                <w:rFonts w:cs="Arial"/>
                <w:color w:val="000000"/>
                <w:sz w:val="18"/>
                <w:szCs w:val="18"/>
              </w:rPr>
              <w:t>-8%</w:t>
            </w:r>
          </w:p>
        </w:tc>
      </w:tr>
      <w:tr w:rsidR="003C65E3" w:rsidRPr="001D5CBC" w14:paraId="66A0C617" w14:textId="77777777" w:rsidTr="003C65E3">
        <w:trPr>
          <w:trHeight w:hRule="exact" w:val="227"/>
        </w:trPr>
        <w:tc>
          <w:tcPr>
            <w:tcW w:w="0" w:type="auto"/>
            <w:tcBorders>
              <w:top w:val="nil"/>
              <w:left w:val="single" w:sz="4" w:space="0" w:color="auto"/>
              <w:bottom w:val="nil"/>
              <w:right w:val="nil"/>
            </w:tcBorders>
            <w:shd w:val="clear" w:color="auto" w:fill="auto"/>
            <w:noWrap/>
            <w:vAlign w:val="bottom"/>
            <w:hideMark/>
          </w:tcPr>
          <w:p w14:paraId="6721CF08" w14:textId="77777777" w:rsidR="003C65E3" w:rsidRPr="001D5CBC" w:rsidRDefault="003C65E3" w:rsidP="00312E88">
            <w:pPr>
              <w:ind w:firstLineChars="100" w:firstLine="180"/>
              <w:rPr>
                <w:rFonts w:cs="Arial"/>
                <w:color w:val="000000"/>
                <w:sz w:val="18"/>
                <w:szCs w:val="18"/>
              </w:rPr>
            </w:pPr>
            <w:r w:rsidRPr="001D5CBC">
              <w:rPr>
                <w:rFonts w:cs="Arial"/>
                <w:color w:val="000000"/>
                <w:sz w:val="18"/>
                <w:szCs w:val="18"/>
              </w:rPr>
              <w:t>Support Coordination</w:t>
            </w:r>
          </w:p>
        </w:tc>
        <w:tc>
          <w:tcPr>
            <w:tcW w:w="0" w:type="auto"/>
            <w:tcBorders>
              <w:top w:val="nil"/>
              <w:left w:val="single" w:sz="4" w:space="0" w:color="auto"/>
              <w:bottom w:val="nil"/>
              <w:right w:val="single" w:sz="4" w:space="0" w:color="auto"/>
            </w:tcBorders>
            <w:shd w:val="clear" w:color="auto" w:fill="auto"/>
            <w:noWrap/>
            <w:vAlign w:val="bottom"/>
            <w:hideMark/>
          </w:tcPr>
          <w:p w14:paraId="171047D7" w14:textId="77777777" w:rsidR="003C65E3" w:rsidRPr="001D5CBC" w:rsidRDefault="003C65E3" w:rsidP="00312E88">
            <w:pPr>
              <w:jc w:val="center"/>
              <w:rPr>
                <w:rFonts w:cs="Arial"/>
                <w:color w:val="000000"/>
                <w:sz w:val="18"/>
                <w:szCs w:val="18"/>
              </w:rPr>
            </w:pPr>
            <w:r w:rsidRPr="001D5CBC">
              <w:rPr>
                <w:rFonts w:cs="Arial"/>
                <w:color w:val="000000"/>
                <w:sz w:val="18"/>
                <w:szCs w:val="18"/>
              </w:rPr>
              <w:t>-4%</w:t>
            </w:r>
          </w:p>
        </w:tc>
      </w:tr>
      <w:tr w:rsidR="003C65E3" w:rsidRPr="001D5CBC" w14:paraId="09790E7D" w14:textId="77777777" w:rsidTr="003C65E3">
        <w:trPr>
          <w:trHeight w:hRule="exact" w:val="227"/>
        </w:trPr>
        <w:tc>
          <w:tcPr>
            <w:tcW w:w="0" w:type="auto"/>
            <w:tcBorders>
              <w:top w:val="nil"/>
              <w:left w:val="single" w:sz="4" w:space="0" w:color="auto"/>
              <w:bottom w:val="nil"/>
              <w:right w:val="nil"/>
            </w:tcBorders>
            <w:shd w:val="clear" w:color="auto" w:fill="auto"/>
            <w:noWrap/>
            <w:vAlign w:val="bottom"/>
            <w:hideMark/>
          </w:tcPr>
          <w:p w14:paraId="40DC4908" w14:textId="77777777" w:rsidR="003C65E3" w:rsidRPr="001D5CBC" w:rsidRDefault="003C65E3" w:rsidP="00312E88">
            <w:pPr>
              <w:ind w:firstLineChars="100" w:firstLine="180"/>
              <w:rPr>
                <w:rFonts w:cs="Arial"/>
                <w:color w:val="000000"/>
                <w:sz w:val="18"/>
                <w:szCs w:val="18"/>
              </w:rPr>
            </w:pPr>
            <w:r w:rsidRPr="001D5CBC">
              <w:rPr>
                <w:rFonts w:cs="Arial"/>
                <w:color w:val="000000"/>
                <w:sz w:val="18"/>
                <w:szCs w:val="18"/>
              </w:rPr>
              <w:t>CB Employment</w:t>
            </w:r>
          </w:p>
        </w:tc>
        <w:tc>
          <w:tcPr>
            <w:tcW w:w="0" w:type="auto"/>
            <w:tcBorders>
              <w:top w:val="nil"/>
              <w:left w:val="single" w:sz="4" w:space="0" w:color="auto"/>
              <w:bottom w:val="nil"/>
              <w:right w:val="single" w:sz="4" w:space="0" w:color="auto"/>
            </w:tcBorders>
            <w:shd w:val="clear" w:color="auto" w:fill="auto"/>
            <w:noWrap/>
            <w:vAlign w:val="bottom"/>
            <w:hideMark/>
          </w:tcPr>
          <w:p w14:paraId="5DEA883A" w14:textId="77777777" w:rsidR="003C65E3" w:rsidRPr="001D5CBC" w:rsidRDefault="003C65E3" w:rsidP="00312E88">
            <w:pPr>
              <w:jc w:val="center"/>
              <w:rPr>
                <w:rFonts w:cs="Arial"/>
                <w:color w:val="000000"/>
                <w:sz w:val="18"/>
                <w:szCs w:val="18"/>
              </w:rPr>
            </w:pPr>
            <w:r w:rsidRPr="001D5CBC">
              <w:rPr>
                <w:rFonts w:cs="Arial"/>
                <w:color w:val="000000"/>
                <w:sz w:val="18"/>
                <w:szCs w:val="18"/>
              </w:rPr>
              <w:t>0%</w:t>
            </w:r>
          </w:p>
        </w:tc>
      </w:tr>
      <w:tr w:rsidR="003C65E3" w:rsidRPr="001D5CBC" w14:paraId="630E4CC4" w14:textId="77777777" w:rsidTr="003C65E3">
        <w:trPr>
          <w:trHeight w:hRule="exact" w:val="227"/>
        </w:trPr>
        <w:tc>
          <w:tcPr>
            <w:tcW w:w="0" w:type="auto"/>
            <w:tcBorders>
              <w:top w:val="nil"/>
              <w:left w:val="single" w:sz="4" w:space="0" w:color="auto"/>
              <w:bottom w:val="single" w:sz="4" w:space="0" w:color="auto"/>
              <w:right w:val="nil"/>
            </w:tcBorders>
            <w:shd w:val="clear" w:color="auto" w:fill="auto"/>
            <w:noWrap/>
            <w:vAlign w:val="bottom"/>
            <w:hideMark/>
          </w:tcPr>
          <w:p w14:paraId="042D76BA" w14:textId="77777777" w:rsidR="003C65E3" w:rsidRPr="001D5CBC" w:rsidRDefault="003C65E3" w:rsidP="00312E88">
            <w:pPr>
              <w:ind w:firstLineChars="100" w:firstLine="180"/>
              <w:rPr>
                <w:rFonts w:cs="Arial"/>
                <w:color w:val="000000"/>
                <w:sz w:val="18"/>
                <w:szCs w:val="18"/>
              </w:rPr>
            </w:pPr>
            <w:r w:rsidRPr="001D5CBC">
              <w:rPr>
                <w:rFonts w:cs="Arial"/>
                <w:color w:val="000000"/>
                <w:sz w:val="18"/>
                <w:szCs w:val="18"/>
              </w:rPr>
              <w:t>Other CB supports</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308294" w14:textId="77777777" w:rsidR="003C65E3" w:rsidRPr="001D5CBC" w:rsidRDefault="003C65E3" w:rsidP="00312E88">
            <w:pPr>
              <w:jc w:val="center"/>
              <w:rPr>
                <w:rFonts w:cs="Arial"/>
                <w:color w:val="000000"/>
                <w:sz w:val="18"/>
                <w:szCs w:val="18"/>
              </w:rPr>
            </w:pPr>
            <w:r w:rsidRPr="001D5CBC">
              <w:rPr>
                <w:rFonts w:cs="Arial"/>
                <w:color w:val="000000"/>
                <w:sz w:val="18"/>
                <w:szCs w:val="18"/>
              </w:rPr>
              <w:t>-8%</w:t>
            </w:r>
          </w:p>
        </w:tc>
      </w:tr>
      <w:tr w:rsidR="003C65E3" w:rsidRPr="001D5CBC" w14:paraId="1FDA9539" w14:textId="77777777" w:rsidTr="003C65E3">
        <w:trPr>
          <w:trHeight w:hRule="exact" w:val="227"/>
        </w:trPr>
        <w:tc>
          <w:tcPr>
            <w:tcW w:w="0" w:type="auto"/>
            <w:tcBorders>
              <w:top w:val="nil"/>
              <w:left w:val="single" w:sz="4" w:space="0" w:color="auto"/>
              <w:bottom w:val="single" w:sz="4" w:space="0" w:color="auto"/>
              <w:right w:val="nil"/>
            </w:tcBorders>
            <w:shd w:val="clear" w:color="auto" w:fill="auto"/>
            <w:noWrap/>
            <w:vAlign w:val="bottom"/>
            <w:hideMark/>
          </w:tcPr>
          <w:p w14:paraId="36A3F5B6" w14:textId="77777777" w:rsidR="003C65E3" w:rsidRPr="001D5CBC" w:rsidRDefault="003C65E3" w:rsidP="00312E88">
            <w:pPr>
              <w:rPr>
                <w:rFonts w:cs="Arial"/>
                <w:b/>
                <w:bCs/>
                <w:color w:val="000000"/>
                <w:sz w:val="18"/>
                <w:szCs w:val="18"/>
              </w:rPr>
            </w:pPr>
            <w:r w:rsidRPr="001D5CBC">
              <w:rPr>
                <w:rFonts w:cs="Arial"/>
                <w:b/>
                <w:bCs/>
                <w:color w:val="000000"/>
                <w:sz w:val="18"/>
                <w:szCs w:val="18"/>
              </w:rPr>
              <w:t>Total</w:t>
            </w:r>
          </w:p>
          <w:p w14:paraId="4B162048" w14:textId="77777777" w:rsidR="003C65E3" w:rsidRPr="001D5CBC" w:rsidRDefault="003C65E3" w:rsidP="00312E88">
            <w:pPr>
              <w:rPr>
                <w:rFonts w:cs="Arial"/>
                <w:b/>
                <w:bCs/>
                <w:color w:val="000000"/>
                <w:sz w:val="18"/>
                <w:szCs w:val="18"/>
              </w:rPr>
            </w:pPr>
            <w:r w:rsidRPr="001D5CBC">
              <w:rPr>
                <w:rFonts w:cs="Arial"/>
                <w:b/>
                <w:bCs/>
                <w:color w:val="000000"/>
                <w:sz w:val="18"/>
                <w:szCs w:val="18"/>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E149D7" w14:textId="77777777" w:rsidR="003C65E3" w:rsidRPr="001D5CBC" w:rsidRDefault="003C65E3" w:rsidP="00312E88">
            <w:pPr>
              <w:jc w:val="center"/>
              <w:rPr>
                <w:rFonts w:cs="Arial"/>
                <w:b/>
                <w:bCs/>
                <w:color w:val="000000"/>
                <w:sz w:val="18"/>
                <w:szCs w:val="18"/>
              </w:rPr>
            </w:pPr>
            <w:r w:rsidRPr="001D5CBC">
              <w:rPr>
                <w:rFonts w:cs="Arial"/>
                <w:b/>
                <w:bCs/>
                <w:color w:val="000000"/>
                <w:sz w:val="18"/>
                <w:szCs w:val="18"/>
              </w:rPr>
              <w:t>-3%</w:t>
            </w:r>
          </w:p>
        </w:tc>
      </w:tr>
    </w:tbl>
    <w:p w14:paraId="46D75FD9" w14:textId="52959072" w:rsidR="002735DF" w:rsidRDefault="002735DF" w:rsidP="002735DF">
      <w:pPr>
        <w:pStyle w:val="FSRnormal"/>
      </w:pPr>
    </w:p>
    <w:p w14:paraId="4E500487" w14:textId="77777777" w:rsidR="002735DF" w:rsidRPr="00363C5C" w:rsidRDefault="002735DF" w:rsidP="00363C5C">
      <w:pPr>
        <w:pStyle w:val="FSRHeading4"/>
      </w:pPr>
      <w:r w:rsidRPr="00363C5C">
        <w:t>Allowance for time in Scheme</w:t>
      </w:r>
    </w:p>
    <w:p w14:paraId="6ECA81B0" w14:textId="42F77B68" w:rsidR="002735DF" w:rsidRPr="00363C5C" w:rsidRDefault="002735DF" w:rsidP="00363C5C">
      <w:pPr>
        <w:pStyle w:val="FSRnormal"/>
      </w:pPr>
      <w:r w:rsidRPr="00363C5C">
        <w:t xml:space="preserve">Participants in their first year in the Scheme are observed to have lower </w:t>
      </w:r>
      <w:r w:rsidR="00FE6084">
        <w:t xml:space="preserve">average </w:t>
      </w:r>
      <w:r w:rsidRPr="00363C5C">
        <w:t xml:space="preserve">payments, which is likely to arise from time taken to familiarise themselves with the Scheme and the process of accessing supports. </w:t>
      </w:r>
      <w:r w:rsidR="00FE6084">
        <w:t>Average p</w:t>
      </w:r>
      <w:r w:rsidRPr="00363C5C">
        <w:t xml:space="preserve">ayment assumptions are therefore set based on “mature participants”, defined as those who were active at both 28 February 2021 and </w:t>
      </w:r>
      <w:r w:rsidR="00C604DC" w:rsidRPr="00363C5C">
        <w:t>31</w:t>
      </w:r>
      <w:r w:rsidR="00C604DC">
        <w:t> </w:t>
      </w:r>
      <w:r w:rsidRPr="00363C5C">
        <w:t xml:space="preserve">May 2021, and had their first plan approved on or prior to 28 February 2020 (i.e. those who had been active for at least 12 months as at 28 February 2020). </w:t>
      </w:r>
    </w:p>
    <w:p w14:paraId="69DE2430" w14:textId="4385292C" w:rsidR="002735DF" w:rsidRPr="00363C5C" w:rsidRDefault="002735DF" w:rsidP="00363C5C">
      <w:pPr>
        <w:pStyle w:val="FSRnormal"/>
      </w:pPr>
      <w:r w:rsidRPr="00363C5C">
        <w:t xml:space="preserve">A reduction in </w:t>
      </w:r>
      <w:r w:rsidR="00FE6084">
        <w:t xml:space="preserve">average </w:t>
      </w:r>
      <w:r w:rsidRPr="00363C5C">
        <w:t>payment</w:t>
      </w:r>
      <w:r w:rsidR="00FE6084">
        <w:t>s</w:t>
      </w:r>
      <w:r w:rsidRPr="00363C5C">
        <w:t xml:space="preserve"> </w:t>
      </w:r>
      <w:r w:rsidR="009F2CB7">
        <w:t xml:space="preserve">is therefore </w:t>
      </w:r>
      <w:r w:rsidRPr="00363C5C">
        <w:t xml:space="preserve">adopted for participants in their first year to account for the lower rate of payment. The adopted assumption is 80% (of the </w:t>
      </w:r>
      <w:r w:rsidR="009F2CB7">
        <w:t xml:space="preserve">average </w:t>
      </w:r>
      <w:r w:rsidRPr="00363C5C">
        <w:t xml:space="preserve">payment for mature participants) for non-SIL participants and 90% for SIL participants. These assumptions have been relatively stable in the past twelve months and are unchanged from the previous FSR. </w:t>
      </w:r>
    </w:p>
    <w:p w14:paraId="5877F5ED" w14:textId="77777777" w:rsidR="002735DF" w:rsidRPr="00422110" w:rsidRDefault="002735DF" w:rsidP="002735DF">
      <w:pPr>
        <w:pStyle w:val="FSRHeading4"/>
      </w:pPr>
      <w:r w:rsidRPr="00422110">
        <w:t>Residential Aged Care</w:t>
      </w:r>
    </w:p>
    <w:p w14:paraId="0D225A5F" w14:textId="66700221" w:rsidR="002735DF" w:rsidRDefault="002735DF" w:rsidP="002735DF">
      <w:pPr>
        <w:pStyle w:val="FSRnormal"/>
      </w:pPr>
      <w:r w:rsidRPr="002735DF">
        <w:t>Supports for participants in Residential Aged Care (RAC) are currently being met through the aged care system. Th</w:t>
      </w:r>
      <w:r w:rsidR="00FE6084">
        <w:t>ese</w:t>
      </w:r>
      <w:r w:rsidRPr="002735DF">
        <w:t xml:space="preserve"> cost</w:t>
      </w:r>
      <w:r w:rsidR="00FE6084">
        <w:t>s</w:t>
      </w:r>
      <w:r w:rsidRPr="002735DF">
        <w:t xml:space="preserve"> </w:t>
      </w:r>
      <w:r w:rsidR="00FE6084">
        <w:t>are</w:t>
      </w:r>
      <w:r w:rsidRPr="002735DF">
        <w:t xml:space="preserve"> </w:t>
      </w:r>
      <w:r w:rsidR="001D07DC">
        <w:t>recorded in the CRM</w:t>
      </w:r>
      <w:r w:rsidRPr="002735DF">
        <w:t xml:space="preserve">, but </w:t>
      </w:r>
      <w:r w:rsidR="001D07DC">
        <w:t xml:space="preserve">are irregular, </w:t>
      </w:r>
      <w:r w:rsidRPr="002735DF">
        <w:t>distort</w:t>
      </w:r>
      <w:r w:rsidR="001D07DC">
        <w:t>ing</w:t>
      </w:r>
      <w:r w:rsidRPr="002735DF">
        <w:t xml:space="preserve"> the payment experience in a given period. As a result, these payments have been excluded from the payment experience and the resulting base </w:t>
      </w:r>
      <w:r w:rsidR="00FE6084">
        <w:t xml:space="preserve">average payment </w:t>
      </w:r>
      <w:r w:rsidRPr="002735DF">
        <w:t xml:space="preserve">assumptions, and instead allowed for separately in the model. The impact of this adjustment is an increase of 1.4% to the participant cost projections spread over the next five years. The allowance is expected to decrease over time as younger participants in RAC move into alternative SIL or ILO arrangements, and as a result payments to these participants are captured on-system and become more regular in nature.  </w:t>
      </w:r>
    </w:p>
    <w:p w14:paraId="42C52782" w14:textId="0A0C767F" w:rsidR="002735DF" w:rsidRPr="00422110" w:rsidRDefault="002735DF" w:rsidP="002735DF">
      <w:pPr>
        <w:pStyle w:val="FSRHeading4"/>
      </w:pPr>
      <w:r w:rsidRPr="00422110">
        <w:t xml:space="preserve">Adjustment for </w:t>
      </w:r>
      <w:r w:rsidR="00C604DC">
        <w:t>“</w:t>
      </w:r>
      <w:r w:rsidRPr="00422110">
        <w:t>SIL indicator</w:t>
      </w:r>
      <w:r w:rsidR="00C604DC">
        <w:t>”</w:t>
      </w:r>
      <w:r w:rsidRPr="00422110">
        <w:t xml:space="preserve"> issue</w:t>
      </w:r>
    </w:p>
    <w:p w14:paraId="208978A6" w14:textId="6D22A2BF" w:rsidR="002735DF" w:rsidRPr="00422110" w:rsidRDefault="002735DF" w:rsidP="002735DF">
      <w:pPr>
        <w:pStyle w:val="FSRnormal"/>
      </w:pPr>
      <w:r w:rsidRPr="007D2A2F">
        <w:t>Operational changes in the way SIL is entered into the plan in the CRM (support category level, rather than at the support line item level) from 1 July 2020 has limited the ability to accurately identify SIL participants</w:t>
      </w:r>
      <w:r>
        <w:t>,</w:t>
      </w:r>
      <w:r w:rsidRPr="007D2A2F">
        <w:t xml:space="preserve"> as the support category is not detailed enough to distinguish between SIL supports and other activities of daily living</w:t>
      </w:r>
      <w:r w:rsidRPr="00422110">
        <w:t>. Since SIL participants are higher cost than non-SIL participants</w:t>
      </w:r>
      <w:r>
        <w:t>,</w:t>
      </w:r>
      <w:r w:rsidRPr="00422110">
        <w:t xml:space="preserve"> </w:t>
      </w:r>
      <w:r>
        <w:t xml:space="preserve">not adjusting for </w:t>
      </w:r>
      <w:r w:rsidRPr="00422110">
        <w:t xml:space="preserve">this misclassification would overstate the average </w:t>
      </w:r>
      <w:r w:rsidR="00FE6084">
        <w:t>payment</w:t>
      </w:r>
      <w:r w:rsidRPr="00422110">
        <w:t xml:space="preserve"> assumptions for non-SIL participants. </w:t>
      </w:r>
    </w:p>
    <w:p w14:paraId="54E64AA6" w14:textId="5EE30718" w:rsidR="002735DF" w:rsidRDefault="002735DF" w:rsidP="002735DF">
      <w:pPr>
        <w:pStyle w:val="FSRnormal"/>
      </w:pPr>
      <w:r w:rsidRPr="00422110">
        <w:t xml:space="preserve">To mitigate this issue, a manual review was completed of participants who were in SIL prior to 1 July 2020 but not flagged as SIL </w:t>
      </w:r>
      <w:r>
        <w:t xml:space="preserve">as </w:t>
      </w:r>
      <w:r w:rsidRPr="00422110">
        <w:t xml:space="preserve">at 31 </w:t>
      </w:r>
      <w:r>
        <w:t>May</w:t>
      </w:r>
      <w:r w:rsidRPr="00422110">
        <w:t xml:space="preserve"> 202</w:t>
      </w:r>
      <w:r>
        <w:t>1</w:t>
      </w:r>
      <w:r w:rsidRPr="00422110">
        <w:t xml:space="preserve">. This </w:t>
      </w:r>
      <w:r>
        <w:t>involved identifying</w:t>
      </w:r>
      <w:r w:rsidRPr="00422110">
        <w:t xml:space="preserve"> participants who were receiving </w:t>
      </w:r>
      <w:r>
        <w:t>SIL i</w:t>
      </w:r>
      <w:r w:rsidRPr="00422110">
        <w:t>n-</w:t>
      </w:r>
      <w:r>
        <w:t>k</w:t>
      </w:r>
      <w:r w:rsidRPr="00422110">
        <w:t>ind supports in the 2020</w:t>
      </w:r>
      <w:r>
        <w:t>-</w:t>
      </w:r>
      <w:r w:rsidRPr="00422110">
        <w:t xml:space="preserve">21 FY as well as matching on participants with payments for SIL items in their current plan. However, there </w:t>
      </w:r>
      <w:r>
        <w:t>are</w:t>
      </w:r>
      <w:r w:rsidRPr="00422110">
        <w:t xml:space="preserve"> cases where a participant</w:t>
      </w:r>
      <w:r>
        <w:t>’</w:t>
      </w:r>
      <w:r w:rsidRPr="00422110">
        <w:t xml:space="preserve">s SIL status </w:t>
      </w:r>
      <w:r>
        <w:t>is</w:t>
      </w:r>
      <w:r w:rsidRPr="00422110">
        <w:t xml:space="preserve"> still uncertain. In these cases these participants were excluded from the payment analysis and did not contribute to </w:t>
      </w:r>
      <w:r>
        <w:t xml:space="preserve">the </w:t>
      </w:r>
      <w:r w:rsidRPr="00422110">
        <w:t xml:space="preserve">average </w:t>
      </w:r>
      <w:r w:rsidR="00FE6084">
        <w:t>payment</w:t>
      </w:r>
      <w:r w:rsidRPr="00422110">
        <w:t xml:space="preserve"> calculations.</w:t>
      </w:r>
    </w:p>
    <w:p w14:paraId="21CAB40C" w14:textId="720E9303" w:rsidR="002735DF" w:rsidRDefault="002735DF" w:rsidP="002735DF">
      <w:pPr>
        <w:pStyle w:val="FSRnormal"/>
      </w:pPr>
      <w:r w:rsidRPr="007D2A2F">
        <w:lastRenderedPageBreak/>
        <w:t xml:space="preserve">As at 31 </w:t>
      </w:r>
      <w:r>
        <w:t>May</w:t>
      </w:r>
      <w:r w:rsidRPr="007D2A2F">
        <w:t xml:space="preserve"> 202</w:t>
      </w:r>
      <w:r>
        <w:t>1</w:t>
      </w:r>
      <w:r w:rsidRPr="007D2A2F">
        <w:t xml:space="preserve">, </w:t>
      </w:r>
      <w:r>
        <w:t>713</w:t>
      </w:r>
      <w:r w:rsidRPr="007D2A2F">
        <w:t xml:space="preserve"> participants have been identified as likely SIL participants. The Agency has and is continuing to implement processes to reduce the impact arising from this operational change, with </w:t>
      </w:r>
      <w:r w:rsidR="00DE1B6F">
        <w:t>fewer</w:t>
      </w:r>
      <w:r w:rsidR="00DE1B6F" w:rsidRPr="007D2A2F">
        <w:t xml:space="preserve"> </w:t>
      </w:r>
      <w:r w:rsidRPr="007D2A2F">
        <w:t>participants now identified as likely SIL participants.</w:t>
      </w:r>
    </w:p>
    <w:p w14:paraId="2EB6526D" w14:textId="77777777" w:rsidR="002735DF" w:rsidRPr="00422110" w:rsidRDefault="002735DF" w:rsidP="002735DF">
      <w:pPr>
        <w:pStyle w:val="FSRHeading4"/>
      </w:pPr>
      <w:r w:rsidRPr="00422110">
        <w:t>Payments for participants aged 65 years and over</w:t>
      </w:r>
    </w:p>
    <w:p w14:paraId="2384DC84" w14:textId="7E5562D8" w:rsidR="002735DF" w:rsidRPr="002735DF" w:rsidRDefault="00FE6084" w:rsidP="002735DF">
      <w:pPr>
        <w:pStyle w:val="FSRnormal"/>
      </w:pPr>
      <w:r>
        <w:t>Payment</w:t>
      </w:r>
      <w:r w:rsidR="002735DF" w:rsidRPr="002735DF">
        <w:t xml:space="preserve">s for participants aged over 65 years are assumed to increase at the rate of 1.0% per annum above the normal wage inflation rate for participants whose primary disability is acquired brain injury, spinal cord injury, autism, intellectual disability or cerebral palsy, up to a maximum loading of 25.0%. These primary disabilities are expected to have </w:t>
      </w:r>
      <w:r>
        <w:t>average payment</w:t>
      </w:r>
      <w:r w:rsidR="002735DF" w:rsidRPr="002735DF">
        <w:t xml:space="preserve"> assumptions that increase with age, although there is limited experience to support this to date. The average age for the 65 years and over age group will increase gradually over time as the Scheme matures. Hence, average </w:t>
      </w:r>
      <w:r>
        <w:t>payment</w:t>
      </w:r>
      <w:r w:rsidR="002735DF" w:rsidRPr="002735DF">
        <w:t>s for this cohort should increase above normal inflation until a more mature state is reached. The estimated impact is an $11 million (or 0.03%) increase in projected costs over 2022-23, increasing to around $220 million (or 0.4% higher) by 2029-30.</w:t>
      </w:r>
    </w:p>
    <w:p w14:paraId="10039BD7" w14:textId="77777777" w:rsidR="002735DF" w:rsidRPr="00422110" w:rsidRDefault="002735DF" w:rsidP="002735DF">
      <w:pPr>
        <w:pStyle w:val="FSRnormal"/>
      </w:pPr>
    </w:p>
    <w:p w14:paraId="53001DB8" w14:textId="77777777" w:rsidR="002735DF" w:rsidRPr="002735DF" w:rsidRDefault="002735DF" w:rsidP="002735DF">
      <w:pPr>
        <w:pStyle w:val="FSRnormal"/>
      </w:pPr>
    </w:p>
    <w:p w14:paraId="278C3218" w14:textId="77777777" w:rsidR="002735DF" w:rsidRPr="002735DF" w:rsidRDefault="002735DF" w:rsidP="002735DF">
      <w:pPr>
        <w:pStyle w:val="FSRnormal"/>
      </w:pPr>
    </w:p>
    <w:p w14:paraId="585771E4" w14:textId="77777777" w:rsidR="002735DF" w:rsidRPr="0093106C" w:rsidRDefault="002735DF" w:rsidP="002735DF">
      <w:pPr>
        <w:pStyle w:val="FSRnormal"/>
      </w:pPr>
    </w:p>
    <w:p w14:paraId="6AE7263A" w14:textId="0BEE9C3C" w:rsidR="00833DDD" w:rsidRDefault="00833DDD" w:rsidP="007B2293">
      <w:pPr>
        <w:pStyle w:val="Heading2"/>
        <w:numPr>
          <w:ilvl w:val="0"/>
          <w:numId w:val="0"/>
        </w:numPr>
        <w:ind w:left="720" w:hanging="720"/>
      </w:pPr>
      <w:bookmarkStart w:id="374" w:name="_Toc83220867"/>
      <w:bookmarkStart w:id="375" w:name="_Toc85031278"/>
      <w:r>
        <w:lastRenderedPageBreak/>
        <w:t xml:space="preserve">Appendix </w:t>
      </w:r>
      <w:r w:rsidR="000A0D48">
        <w:t>B</w:t>
      </w:r>
      <w:r>
        <w:t xml:space="preserve">: Comparison to previous </w:t>
      </w:r>
      <w:r w:rsidR="00C604DC">
        <w:t xml:space="preserve">review </w:t>
      </w:r>
      <w:r w:rsidR="005D037C">
        <w:t xml:space="preserve">– </w:t>
      </w:r>
      <w:r>
        <w:t>detail</w:t>
      </w:r>
      <w:r w:rsidR="005D037C">
        <w:t>ed tables</w:t>
      </w:r>
      <w:bookmarkEnd w:id="374"/>
      <w:bookmarkEnd w:id="375"/>
    </w:p>
    <w:p w14:paraId="4007303C" w14:textId="77777777" w:rsidR="00826B75" w:rsidRDefault="00826B75" w:rsidP="00826B75">
      <w:pPr>
        <w:pStyle w:val="Heading5"/>
        <w:rPr>
          <w:rFonts w:ascii="Arial" w:eastAsiaTheme="minorEastAsia" w:hAnsi="Arial" w:cstheme="minorBidi"/>
          <w:b/>
          <w:i/>
          <w:color w:val="6B2976"/>
          <w:sz w:val="25"/>
        </w:rPr>
      </w:pPr>
      <w:r>
        <w:rPr>
          <w:rFonts w:ascii="Arial" w:eastAsiaTheme="minorEastAsia" w:hAnsi="Arial" w:cstheme="minorBidi"/>
          <w:b/>
          <w:i/>
          <w:color w:val="6B2976"/>
          <w:sz w:val="25"/>
        </w:rPr>
        <w:t>Participant Costs</w:t>
      </w:r>
    </w:p>
    <w:p w14:paraId="6ED23A85" w14:textId="77777777" w:rsidR="00826B75" w:rsidRPr="00174189" w:rsidRDefault="00826B75" w:rsidP="00826B75">
      <w:pPr>
        <w:pStyle w:val="Caption"/>
        <w:keepNext/>
        <w:rPr>
          <w:sz w:val="4"/>
        </w:rPr>
      </w:pPr>
    </w:p>
    <w:p w14:paraId="121C0086" w14:textId="1BA1B05D" w:rsidR="00826B75" w:rsidRDefault="00C967DA" w:rsidP="00826B75">
      <w:pPr>
        <w:pStyle w:val="Caption"/>
        <w:keepNext/>
        <w:rPr>
          <w:b w:val="0"/>
          <w:iCs w:val="0"/>
        </w:rPr>
      </w:pPr>
      <w:r w:rsidRPr="002735DF">
        <w:t xml:space="preserve">Table </w:t>
      </w:r>
      <w:fldSimple w:instr=" SEQ Table \* ARABIC ">
        <w:r w:rsidR="00E50032">
          <w:rPr>
            <w:noProof/>
          </w:rPr>
          <w:t>58</w:t>
        </w:r>
      </w:fldSimple>
      <w:r w:rsidRPr="002735DF">
        <w:t xml:space="preserve"> </w:t>
      </w:r>
      <w:r w:rsidR="00826B75" w:rsidRPr="00CA035D">
        <w:t xml:space="preserve">Baseline projection of </w:t>
      </w:r>
      <w:r w:rsidR="00826B75">
        <w:t>participant</w:t>
      </w:r>
      <w:r w:rsidR="00826B75" w:rsidRPr="00CA035D">
        <w:t xml:space="preserve"> costs </w:t>
      </w:r>
      <w:r w:rsidR="00826B75">
        <w:t xml:space="preserve">(cash basis) </w:t>
      </w:r>
      <w:r w:rsidR="00826B75" w:rsidRPr="00CA035D">
        <w:t xml:space="preserve">– compared to the </w:t>
      </w:r>
      <w:r w:rsidR="0087666A">
        <w:t>previous review</w:t>
      </w:r>
      <w:r w:rsidR="00826B75" w:rsidRPr="00CA035D">
        <w:rPr>
          <w:b w:val="0"/>
          <w:iCs w:val="0"/>
        </w:rPr>
        <w:t xml:space="preserve"> </w:t>
      </w:r>
    </w:p>
    <w:tbl>
      <w:tblPr>
        <w:tblW w:w="5000" w:type="pct"/>
        <w:tblLook w:val="04A0" w:firstRow="1" w:lastRow="0" w:firstColumn="1" w:lastColumn="0" w:noHBand="0" w:noVBand="1"/>
      </w:tblPr>
      <w:tblGrid>
        <w:gridCol w:w="3800"/>
        <w:gridCol w:w="1044"/>
        <w:gridCol w:w="1044"/>
        <w:gridCol w:w="1044"/>
        <w:gridCol w:w="1044"/>
        <w:gridCol w:w="1040"/>
      </w:tblGrid>
      <w:tr w:rsidR="00C675C6" w:rsidRPr="001F5DAB" w14:paraId="11F4D8F6" w14:textId="77777777" w:rsidTr="00C675C6">
        <w:trPr>
          <w:trHeight w:val="300"/>
          <w:tblHeader/>
        </w:trPr>
        <w:tc>
          <w:tcPr>
            <w:tcW w:w="2107" w:type="pct"/>
            <w:tcBorders>
              <w:top w:val="single" w:sz="4" w:space="0" w:color="auto"/>
              <w:left w:val="single" w:sz="4" w:space="0" w:color="auto"/>
              <w:bottom w:val="single" w:sz="4" w:space="0" w:color="000000"/>
              <w:right w:val="single" w:sz="4" w:space="0" w:color="000000"/>
            </w:tcBorders>
            <w:shd w:val="clear" w:color="000000" w:fill="6B2F76"/>
            <w:vAlign w:val="center"/>
            <w:hideMark/>
          </w:tcPr>
          <w:p w14:paraId="058E5502" w14:textId="77777777" w:rsidR="00C675C6" w:rsidRPr="001F5DAB" w:rsidRDefault="00C675C6" w:rsidP="00312E88">
            <w:pPr>
              <w:rPr>
                <w:rFonts w:cs="Arial"/>
                <w:b/>
                <w:bCs/>
                <w:color w:val="FFFFFF"/>
                <w:sz w:val="16"/>
                <w:szCs w:val="16"/>
              </w:rPr>
            </w:pPr>
            <w:r w:rsidRPr="001F5DAB">
              <w:rPr>
                <w:rFonts w:cs="Arial"/>
                <w:b/>
                <w:bCs/>
                <w:color w:val="FFFFFF"/>
                <w:sz w:val="16"/>
                <w:szCs w:val="16"/>
              </w:rPr>
              <w:t>Projected participant costs ($m)</w:t>
            </w:r>
          </w:p>
        </w:tc>
        <w:tc>
          <w:tcPr>
            <w:tcW w:w="579" w:type="pct"/>
            <w:tcBorders>
              <w:top w:val="nil"/>
              <w:left w:val="nil"/>
              <w:bottom w:val="single" w:sz="4" w:space="0" w:color="auto"/>
              <w:right w:val="nil"/>
            </w:tcBorders>
            <w:shd w:val="clear" w:color="000000" w:fill="6B2F76"/>
            <w:noWrap/>
            <w:vAlign w:val="bottom"/>
            <w:hideMark/>
          </w:tcPr>
          <w:p w14:paraId="405FEE2A" w14:textId="77777777" w:rsidR="00C675C6" w:rsidRPr="001F5DAB" w:rsidRDefault="00C675C6" w:rsidP="00312E88">
            <w:pPr>
              <w:jc w:val="right"/>
              <w:rPr>
                <w:rFonts w:cs="Arial"/>
                <w:b/>
                <w:bCs/>
                <w:color w:val="FFFFFF"/>
                <w:sz w:val="16"/>
                <w:szCs w:val="16"/>
              </w:rPr>
            </w:pPr>
            <w:r w:rsidRPr="001F5DAB">
              <w:rPr>
                <w:rFonts w:cs="Arial"/>
                <w:b/>
                <w:bCs/>
                <w:color w:val="FFFFFF"/>
                <w:sz w:val="16"/>
                <w:szCs w:val="16"/>
              </w:rPr>
              <w:t>2021-22</w:t>
            </w:r>
          </w:p>
        </w:tc>
        <w:tc>
          <w:tcPr>
            <w:tcW w:w="579" w:type="pct"/>
            <w:tcBorders>
              <w:top w:val="nil"/>
              <w:left w:val="nil"/>
              <w:bottom w:val="single" w:sz="4" w:space="0" w:color="auto"/>
              <w:right w:val="nil"/>
            </w:tcBorders>
            <w:shd w:val="clear" w:color="000000" w:fill="6B2F76"/>
            <w:noWrap/>
            <w:vAlign w:val="bottom"/>
            <w:hideMark/>
          </w:tcPr>
          <w:p w14:paraId="3B40A331" w14:textId="77777777" w:rsidR="00C675C6" w:rsidRPr="001F5DAB" w:rsidRDefault="00C675C6" w:rsidP="00312E88">
            <w:pPr>
              <w:jc w:val="right"/>
              <w:rPr>
                <w:rFonts w:cs="Arial"/>
                <w:b/>
                <w:bCs/>
                <w:color w:val="FFFFFF"/>
                <w:sz w:val="16"/>
                <w:szCs w:val="16"/>
              </w:rPr>
            </w:pPr>
            <w:r w:rsidRPr="001F5DAB">
              <w:rPr>
                <w:rFonts w:cs="Arial"/>
                <w:b/>
                <w:bCs/>
                <w:color w:val="FFFFFF"/>
                <w:sz w:val="16"/>
                <w:szCs w:val="16"/>
              </w:rPr>
              <w:t>2022-23</w:t>
            </w:r>
          </w:p>
        </w:tc>
        <w:tc>
          <w:tcPr>
            <w:tcW w:w="579" w:type="pct"/>
            <w:tcBorders>
              <w:top w:val="nil"/>
              <w:left w:val="nil"/>
              <w:bottom w:val="single" w:sz="4" w:space="0" w:color="auto"/>
              <w:right w:val="nil"/>
            </w:tcBorders>
            <w:shd w:val="clear" w:color="000000" w:fill="6B2F76"/>
            <w:noWrap/>
            <w:vAlign w:val="bottom"/>
            <w:hideMark/>
          </w:tcPr>
          <w:p w14:paraId="39C151CA" w14:textId="77777777" w:rsidR="00C675C6" w:rsidRPr="001F5DAB" w:rsidRDefault="00C675C6" w:rsidP="00312E88">
            <w:pPr>
              <w:jc w:val="right"/>
              <w:rPr>
                <w:rFonts w:cs="Arial"/>
                <w:b/>
                <w:bCs/>
                <w:color w:val="FFFFFF"/>
                <w:sz w:val="16"/>
                <w:szCs w:val="16"/>
              </w:rPr>
            </w:pPr>
            <w:r w:rsidRPr="001F5DAB">
              <w:rPr>
                <w:rFonts w:cs="Arial"/>
                <w:b/>
                <w:bCs/>
                <w:color w:val="FFFFFF"/>
                <w:sz w:val="16"/>
                <w:szCs w:val="16"/>
              </w:rPr>
              <w:t>2023-24</w:t>
            </w:r>
          </w:p>
        </w:tc>
        <w:tc>
          <w:tcPr>
            <w:tcW w:w="579" w:type="pct"/>
            <w:tcBorders>
              <w:top w:val="nil"/>
              <w:left w:val="nil"/>
              <w:bottom w:val="single" w:sz="4" w:space="0" w:color="auto"/>
              <w:right w:val="nil"/>
            </w:tcBorders>
            <w:shd w:val="clear" w:color="000000" w:fill="6B2F76"/>
            <w:noWrap/>
            <w:vAlign w:val="bottom"/>
            <w:hideMark/>
          </w:tcPr>
          <w:p w14:paraId="486B74B2" w14:textId="77777777" w:rsidR="00C675C6" w:rsidRPr="001F5DAB" w:rsidRDefault="00C675C6" w:rsidP="00312E88">
            <w:pPr>
              <w:jc w:val="right"/>
              <w:rPr>
                <w:rFonts w:cs="Arial"/>
                <w:b/>
                <w:bCs/>
                <w:color w:val="FFFFFF"/>
                <w:sz w:val="16"/>
                <w:szCs w:val="16"/>
              </w:rPr>
            </w:pPr>
            <w:r w:rsidRPr="001F5DAB">
              <w:rPr>
                <w:rFonts w:cs="Arial"/>
                <w:b/>
                <w:bCs/>
                <w:color w:val="FFFFFF"/>
                <w:sz w:val="16"/>
                <w:szCs w:val="16"/>
              </w:rPr>
              <w:t>2024-25</w:t>
            </w:r>
          </w:p>
        </w:tc>
        <w:tc>
          <w:tcPr>
            <w:tcW w:w="579" w:type="pct"/>
            <w:tcBorders>
              <w:top w:val="nil"/>
              <w:left w:val="nil"/>
              <w:bottom w:val="single" w:sz="4" w:space="0" w:color="auto"/>
              <w:right w:val="single" w:sz="4" w:space="0" w:color="auto"/>
            </w:tcBorders>
            <w:shd w:val="clear" w:color="000000" w:fill="6B2F76"/>
            <w:noWrap/>
            <w:vAlign w:val="bottom"/>
            <w:hideMark/>
          </w:tcPr>
          <w:p w14:paraId="5D68A0FC" w14:textId="77777777" w:rsidR="00C675C6" w:rsidRPr="001F5DAB" w:rsidRDefault="00C675C6" w:rsidP="00312E88">
            <w:pPr>
              <w:jc w:val="right"/>
              <w:rPr>
                <w:rFonts w:cs="Arial"/>
                <w:b/>
                <w:bCs/>
                <w:color w:val="FFFFFF"/>
                <w:sz w:val="16"/>
                <w:szCs w:val="16"/>
              </w:rPr>
            </w:pPr>
            <w:r w:rsidRPr="001F5DAB">
              <w:rPr>
                <w:rFonts w:cs="Arial"/>
                <w:b/>
                <w:bCs/>
                <w:color w:val="FFFFFF"/>
                <w:sz w:val="16"/>
                <w:szCs w:val="16"/>
              </w:rPr>
              <w:t>2029-30</w:t>
            </w:r>
          </w:p>
        </w:tc>
      </w:tr>
      <w:tr w:rsidR="00C675C6" w:rsidRPr="001F5DAB" w14:paraId="49636A16" w14:textId="77777777" w:rsidTr="00C675C6">
        <w:trPr>
          <w:trHeight w:hRule="exact" w:val="284"/>
        </w:trPr>
        <w:tc>
          <w:tcPr>
            <w:tcW w:w="2107" w:type="pct"/>
            <w:tcBorders>
              <w:top w:val="nil"/>
              <w:left w:val="single" w:sz="4" w:space="0" w:color="auto"/>
              <w:bottom w:val="single" w:sz="4" w:space="0" w:color="auto"/>
              <w:right w:val="nil"/>
            </w:tcBorders>
            <w:shd w:val="clear" w:color="000000" w:fill="F7EEF7"/>
            <w:noWrap/>
            <w:vAlign w:val="bottom"/>
            <w:hideMark/>
          </w:tcPr>
          <w:p w14:paraId="7934210B" w14:textId="77777777" w:rsidR="00C675C6" w:rsidRPr="001F5DAB" w:rsidRDefault="00C675C6" w:rsidP="00312E88">
            <w:pPr>
              <w:rPr>
                <w:rFonts w:cs="Arial"/>
                <w:b/>
                <w:bCs/>
                <w:color w:val="000000"/>
                <w:sz w:val="16"/>
                <w:szCs w:val="16"/>
              </w:rPr>
            </w:pPr>
            <w:r w:rsidRPr="001F5DAB">
              <w:rPr>
                <w:rFonts w:cs="Arial"/>
                <w:b/>
                <w:bCs/>
                <w:color w:val="000000"/>
                <w:sz w:val="16"/>
                <w:szCs w:val="16"/>
              </w:rPr>
              <w:t>2020-21 AFSR</w:t>
            </w:r>
          </w:p>
          <w:p w14:paraId="5FE48E5E"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5E36913A"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6E6E392E"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1594951F"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00298009"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single" w:sz="4" w:space="0" w:color="auto"/>
            </w:tcBorders>
            <w:shd w:val="clear" w:color="000000" w:fill="F7EEF7"/>
            <w:noWrap/>
            <w:vAlign w:val="bottom"/>
            <w:hideMark/>
          </w:tcPr>
          <w:p w14:paraId="53218E78"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r>
      <w:tr w:rsidR="00C675C6" w:rsidRPr="001F5DAB" w14:paraId="654934D8" w14:textId="77777777" w:rsidTr="00C675C6">
        <w:trPr>
          <w:trHeight w:hRule="exact" w:val="284"/>
        </w:trPr>
        <w:tc>
          <w:tcPr>
            <w:tcW w:w="2107" w:type="pct"/>
            <w:tcBorders>
              <w:top w:val="nil"/>
              <w:left w:val="single" w:sz="4" w:space="0" w:color="auto"/>
              <w:bottom w:val="single" w:sz="4" w:space="0" w:color="auto"/>
              <w:right w:val="nil"/>
            </w:tcBorders>
            <w:shd w:val="clear" w:color="000000" w:fill="EDEDED"/>
            <w:noWrap/>
            <w:vAlign w:val="bottom"/>
            <w:hideMark/>
          </w:tcPr>
          <w:p w14:paraId="05E9A3B7" w14:textId="77777777" w:rsidR="00C675C6" w:rsidRPr="001F5DAB" w:rsidRDefault="00C675C6" w:rsidP="00312E88">
            <w:pPr>
              <w:rPr>
                <w:rFonts w:cs="Arial"/>
                <w:color w:val="000000"/>
                <w:sz w:val="16"/>
                <w:szCs w:val="16"/>
              </w:rPr>
            </w:pPr>
            <w:r w:rsidRPr="001F5DAB">
              <w:rPr>
                <w:rFonts w:cs="Arial"/>
                <w:color w:val="000000"/>
                <w:sz w:val="16"/>
                <w:szCs w:val="16"/>
              </w:rPr>
              <w:t>Participant Costs (cash basis)</w:t>
            </w:r>
          </w:p>
          <w:p w14:paraId="6F3A4F29"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2AFBD421"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1A05AFC3"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67348109"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6447351F"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single" w:sz="4" w:space="0" w:color="auto"/>
            </w:tcBorders>
            <w:shd w:val="clear" w:color="000000" w:fill="EDEDED"/>
            <w:noWrap/>
            <w:vAlign w:val="bottom"/>
            <w:hideMark/>
          </w:tcPr>
          <w:p w14:paraId="1ACDD3F6"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r>
      <w:tr w:rsidR="00C675C6" w:rsidRPr="001F5DAB" w14:paraId="0ABA6534" w14:textId="77777777" w:rsidTr="00C675C6">
        <w:trPr>
          <w:trHeight w:hRule="exact" w:val="284"/>
        </w:trPr>
        <w:tc>
          <w:tcPr>
            <w:tcW w:w="2107" w:type="pct"/>
            <w:tcBorders>
              <w:top w:val="nil"/>
              <w:left w:val="single" w:sz="4" w:space="0" w:color="auto"/>
              <w:bottom w:val="nil"/>
              <w:right w:val="nil"/>
            </w:tcBorders>
            <w:shd w:val="clear" w:color="auto" w:fill="auto"/>
            <w:noWrap/>
            <w:vAlign w:val="bottom"/>
            <w:hideMark/>
          </w:tcPr>
          <w:p w14:paraId="447D3050" w14:textId="77777777" w:rsidR="00C675C6" w:rsidRPr="001F5DAB" w:rsidRDefault="00C675C6" w:rsidP="00312E88">
            <w:pPr>
              <w:rPr>
                <w:rFonts w:cs="Arial"/>
                <w:color w:val="000000"/>
                <w:sz w:val="16"/>
                <w:szCs w:val="16"/>
              </w:rPr>
            </w:pPr>
            <w:r w:rsidRPr="001F5DAB">
              <w:rPr>
                <w:rFonts w:cs="Arial"/>
                <w:color w:val="000000"/>
                <w:sz w:val="16"/>
                <w:szCs w:val="16"/>
              </w:rPr>
              <w:t>0-64 years</w:t>
            </w:r>
          </w:p>
        </w:tc>
        <w:tc>
          <w:tcPr>
            <w:tcW w:w="579" w:type="pct"/>
            <w:tcBorders>
              <w:top w:val="nil"/>
              <w:left w:val="single" w:sz="4" w:space="0" w:color="auto"/>
              <w:bottom w:val="nil"/>
              <w:right w:val="nil"/>
            </w:tcBorders>
            <w:shd w:val="clear" w:color="auto" w:fill="auto"/>
            <w:noWrap/>
            <w:vAlign w:val="bottom"/>
            <w:hideMark/>
          </w:tcPr>
          <w:p w14:paraId="11B351D8" w14:textId="77777777" w:rsidR="00C675C6" w:rsidRPr="001F5DAB" w:rsidRDefault="00C675C6" w:rsidP="00312E88">
            <w:pPr>
              <w:jc w:val="right"/>
              <w:rPr>
                <w:rFonts w:cs="Arial"/>
                <w:color w:val="000000"/>
                <w:sz w:val="16"/>
                <w:szCs w:val="16"/>
              </w:rPr>
            </w:pPr>
            <w:r w:rsidRPr="001F5DAB">
              <w:rPr>
                <w:rFonts w:cs="Arial"/>
                <w:color w:val="000000"/>
                <w:sz w:val="16"/>
                <w:szCs w:val="16"/>
              </w:rPr>
              <w:t>26,994</w:t>
            </w:r>
          </w:p>
        </w:tc>
        <w:tc>
          <w:tcPr>
            <w:tcW w:w="579" w:type="pct"/>
            <w:tcBorders>
              <w:top w:val="nil"/>
              <w:left w:val="nil"/>
              <w:bottom w:val="nil"/>
              <w:right w:val="nil"/>
            </w:tcBorders>
            <w:shd w:val="clear" w:color="auto" w:fill="auto"/>
            <w:noWrap/>
            <w:vAlign w:val="bottom"/>
            <w:hideMark/>
          </w:tcPr>
          <w:p w14:paraId="27578AB6" w14:textId="77777777" w:rsidR="00C675C6" w:rsidRPr="001F5DAB" w:rsidRDefault="00C675C6" w:rsidP="00312E88">
            <w:pPr>
              <w:jc w:val="right"/>
              <w:rPr>
                <w:rFonts w:cs="Arial"/>
                <w:color w:val="000000"/>
                <w:sz w:val="16"/>
                <w:szCs w:val="16"/>
              </w:rPr>
            </w:pPr>
            <w:r w:rsidRPr="001F5DAB">
              <w:rPr>
                <w:rFonts w:cs="Arial"/>
                <w:color w:val="000000"/>
                <w:sz w:val="16"/>
                <w:szCs w:val="16"/>
              </w:rPr>
              <w:t>30,965</w:t>
            </w:r>
          </w:p>
        </w:tc>
        <w:tc>
          <w:tcPr>
            <w:tcW w:w="579" w:type="pct"/>
            <w:tcBorders>
              <w:top w:val="nil"/>
              <w:left w:val="nil"/>
              <w:bottom w:val="nil"/>
              <w:right w:val="nil"/>
            </w:tcBorders>
            <w:shd w:val="clear" w:color="auto" w:fill="auto"/>
            <w:noWrap/>
            <w:vAlign w:val="bottom"/>
            <w:hideMark/>
          </w:tcPr>
          <w:p w14:paraId="64712748" w14:textId="77777777" w:rsidR="00C675C6" w:rsidRPr="001F5DAB" w:rsidRDefault="00C675C6" w:rsidP="00312E88">
            <w:pPr>
              <w:jc w:val="right"/>
              <w:rPr>
                <w:rFonts w:cs="Arial"/>
                <w:color w:val="000000"/>
                <w:sz w:val="16"/>
                <w:szCs w:val="16"/>
              </w:rPr>
            </w:pPr>
            <w:r w:rsidRPr="001F5DAB">
              <w:rPr>
                <w:rFonts w:cs="Arial"/>
                <w:color w:val="000000"/>
                <w:sz w:val="16"/>
                <w:szCs w:val="16"/>
              </w:rPr>
              <w:t>34,345</w:t>
            </w:r>
          </w:p>
        </w:tc>
        <w:tc>
          <w:tcPr>
            <w:tcW w:w="579" w:type="pct"/>
            <w:tcBorders>
              <w:top w:val="nil"/>
              <w:left w:val="nil"/>
              <w:bottom w:val="nil"/>
              <w:right w:val="nil"/>
            </w:tcBorders>
            <w:shd w:val="clear" w:color="auto" w:fill="auto"/>
            <w:noWrap/>
            <w:vAlign w:val="bottom"/>
            <w:hideMark/>
          </w:tcPr>
          <w:p w14:paraId="63FCD3B7" w14:textId="77777777" w:rsidR="00C675C6" w:rsidRPr="001F5DAB" w:rsidRDefault="00C675C6" w:rsidP="00312E88">
            <w:pPr>
              <w:jc w:val="right"/>
              <w:rPr>
                <w:rFonts w:cs="Arial"/>
                <w:color w:val="000000"/>
                <w:sz w:val="16"/>
                <w:szCs w:val="16"/>
              </w:rPr>
            </w:pPr>
            <w:r w:rsidRPr="001F5DAB">
              <w:rPr>
                <w:rFonts w:cs="Arial"/>
                <w:color w:val="000000"/>
                <w:sz w:val="16"/>
                <w:szCs w:val="16"/>
              </w:rPr>
              <w:t>37,067</w:t>
            </w:r>
          </w:p>
        </w:tc>
        <w:tc>
          <w:tcPr>
            <w:tcW w:w="579" w:type="pct"/>
            <w:tcBorders>
              <w:top w:val="nil"/>
              <w:left w:val="nil"/>
              <w:bottom w:val="nil"/>
              <w:right w:val="single" w:sz="4" w:space="0" w:color="auto"/>
            </w:tcBorders>
            <w:shd w:val="clear" w:color="auto" w:fill="auto"/>
            <w:noWrap/>
            <w:vAlign w:val="bottom"/>
            <w:hideMark/>
          </w:tcPr>
          <w:p w14:paraId="7552F628" w14:textId="77777777" w:rsidR="00C675C6" w:rsidRPr="001F5DAB" w:rsidRDefault="00C675C6" w:rsidP="00312E88">
            <w:pPr>
              <w:jc w:val="right"/>
              <w:rPr>
                <w:rFonts w:cs="Arial"/>
                <w:color w:val="000000"/>
                <w:sz w:val="16"/>
                <w:szCs w:val="16"/>
              </w:rPr>
            </w:pPr>
            <w:r w:rsidRPr="001F5DAB">
              <w:rPr>
                <w:rFonts w:cs="Arial"/>
                <w:color w:val="000000"/>
                <w:sz w:val="16"/>
                <w:szCs w:val="16"/>
              </w:rPr>
              <w:t>51,471</w:t>
            </w:r>
          </w:p>
        </w:tc>
      </w:tr>
      <w:tr w:rsidR="00C675C6" w:rsidRPr="001F5DAB" w14:paraId="59C32123" w14:textId="77777777" w:rsidTr="00C675C6">
        <w:trPr>
          <w:trHeight w:hRule="exact" w:val="284"/>
        </w:trPr>
        <w:tc>
          <w:tcPr>
            <w:tcW w:w="2107" w:type="pct"/>
            <w:tcBorders>
              <w:top w:val="nil"/>
              <w:left w:val="single" w:sz="4" w:space="0" w:color="auto"/>
              <w:bottom w:val="nil"/>
              <w:right w:val="nil"/>
            </w:tcBorders>
            <w:shd w:val="clear" w:color="auto" w:fill="auto"/>
            <w:noWrap/>
            <w:vAlign w:val="bottom"/>
            <w:hideMark/>
          </w:tcPr>
          <w:p w14:paraId="2BC93B5B" w14:textId="77777777" w:rsidR="00C675C6" w:rsidRPr="001F5DAB" w:rsidRDefault="00C675C6" w:rsidP="00312E88">
            <w:pPr>
              <w:rPr>
                <w:rFonts w:cs="Arial"/>
                <w:color w:val="000000"/>
                <w:sz w:val="16"/>
                <w:szCs w:val="16"/>
              </w:rPr>
            </w:pPr>
            <w:r w:rsidRPr="001F5DAB">
              <w:rPr>
                <w:rFonts w:cs="Arial"/>
                <w:color w:val="000000"/>
                <w:sz w:val="16"/>
                <w:szCs w:val="16"/>
              </w:rPr>
              <w:t>65+ years</w:t>
            </w:r>
          </w:p>
        </w:tc>
        <w:tc>
          <w:tcPr>
            <w:tcW w:w="579" w:type="pct"/>
            <w:tcBorders>
              <w:top w:val="nil"/>
              <w:left w:val="single" w:sz="4" w:space="0" w:color="auto"/>
              <w:bottom w:val="nil"/>
              <w:right w:val="nil"/>
            </w:tcBorders>
            <w:shd w:val="clear" w:color="auto" w:fill="auto"/>
            <w:noWrap/>
            <w:vAlign w:val="bottom"/>
            <w:hideMark/>
          </w:tcPr>
          <w:p w14:paraId="61F6E620" w14:textId="77777777" w:rsidR="00C675C6" w:rsidRPr="001F5DAB" w:rsidRDefault="00C675C6" w:rsidP="00312E88">
            <w:pPr>
              <w:jc w:val="right"/>
              <w:rPr>
                <w:rFonts w:cs="Arial"/>
                <w:color w:val="000000"/>
                <w:sz w:val="16"/>
                <w:szCs w:val="16"/>
              </w:rPr>
            </w:pPr>
            <w:r w:rsidRPr="001F5DAB">
              <w:rPr>
                <w:rFonts w:cs="Arial"/>
                <w:color w:val="000000"/>
                <w:sz w:val="16"/>
                <w:szCs w:val="16"/>
              </w:rPr>
              <w:t>1,837</w:t>
            </w:r>
          </w:p>
        </w:tc>
        <w:tc>
          <w:tcPr>
            <w:tcW w:w="579" w:type="pct"/>
            <w:tcBorders>
              <w:top w:val="nil"/>
              <w:left w:val="nil"/>
              <w:bottom w:val="nil"/>
              <w:right w:val="nil"/>
            </w:tcBorders>
            <w:shd w:val="clear" w:color="auto" w:fill="auto"/>
            <w:noWrap/>
            <w:vAlign w:val="bottom"/>
            <w:hideMark/>
          </w:tcPr>
          <w:p w14:paraId="57E7522F" w14:textId="77777777" w:rsidR="00C675C6" w:rsidRPr="001F5DAB" w:rsidRDefault="00C675C6" w:rsidP="00312E88">
            <w:pPr>
              <w:jc w:val="right"/>
              <w:rPr>
                <w:rFonts w:cs="Arial"/>
                <w:color w:val="000000"/>
                <w:sz w:val="16"/>
                <w:szCs w:val="16"/>
              </w:rPr>
            </w:pPr>
            <w:r w:rsidRPr="001F5DAB">
              <w:rPr>
                <w:rFonts w:cs="Arial"/>
                <w:color w:val="000000"/>
                <w:sz w:val="16"/>
                <w:szCs w:val="16"/>
              </w:rPr>
              <w:t>2,464</w:t>
            </w:r>
          </w:p>
        </w:tc>
        <w:tc>
          <w:tcPr>
            <w:tcW w:w="579" w:type="pct"/>
            <w:tcBorders>
              <w:top w:val="nil"/>
              <w:left w:val="nil"/>
              <w:bottom w:val="nil"/>
              <w:right w:val="nil"/>
            </w:tcBorders>
            <w:shd w:val="clear" w:color="auto" w:fill="auto"/>
            <w:noWrap/>
            <w:vAlign w:val="bottom"/>
            <w:hideMark/>
          </w:tcPr>
          <w:p w14:paraId="6048B8E1" w14:textId="77777777" w:rsidR="00C675C6" w:rsidRPr="001F5DAB" w:rsidRDefault="00C675C6" w:rsidP="00312E88">
            <w:pPr>
              <w:jc w:val="right"/>
              <w:rPr>
                <w:rFonts w:cs="Arial"/>
                <w:color w:val="000000"/>
                <w:sz w:val="16"/>
                <w:szCs w:val="16"/>
              </w:rPr>
            </w:pPr>
            <w:r w:rsidRPr="001F5DAB">
              <w:rPr>
                <w:rFonts w:cs="Arial"/>
                <w:color w:val="000000"/>
                <w:sz w:val="16"/>
                <w:szCs w:val="16"/>
              </w:rPr>
              <w:t>3,114</w:t>
            </w:r>
          </w:p>
        </w:tc>
        <w:tc>
          <w:tcPr>
            <w:tcW w:w="579" w:type="pct"/>
            <w:tcBorders>
              <w:top w:val="nil"/>
              <w:left w:val="nil"/>
              <w:bottom w:val="nil"/>
              <w:right w:val="nil"/>
            </w:tcBorders>
            <w:shd w:val="clear" w:color="auto" w:fill="auto"/>
            <w:noWrap/>
            <w:vAlign w:val="bottom"/>
            <w:hideMark/>
          </w:tcPr>
          <w:p w14:paraId="60E9677A" w14:textId="77777777" w:rsidR="00C675C6" w:rsidRPr="001F5DAB" w:rsidRDefault="00C675C6" w:rsidP="00312E88">
            <w:pPr>
              <w:jc w:val="right"/>
              <w:rPr>
                <w:rFonts w:cs="Arial"/>
                <w:color w:val="000000"/>
                <w:sz w:val="16"/>
                <w:szCs w:val="16"/>
              </w:rPr>
            </w:pPr>
            <w:r w:rsidRPr="001F5DAB">
              <w:rPr>
                <w:rFonts w:cs="Arial"/>
                <w:color w:val="000000"/>
                <w:sz w:val="16"/>
                <w:szCs w:val="16"/>
              </w:rPr>
              <w:t>3,748</w:t>
            </w:r>
          </w:p>
        </w:tc>
        <w:tc>
          <w:tcPr>
            <w:tcW w:w="579" w:type="pct"/>
            <w:tcBorders>
              <w:top w:val="nil"/>
              <w:left w:val="nil"/>
              <w:bottom w:val="nil"/>
              <w:right w:val="single" w:sz="4" w:space="0" w:color="auto"/>
            </w:tcBorders>
            <w:shd w:val="clear" w:color="auto" w:fill="auto"/>
            <w:noWrap/>
            <w:vAlign w:val="bottom"/>
            <w:hideMark/>
          </w:tcPr>
          <w:p w14:paraId="7533A80E" w14:textId="77777777" w:rsidR="00C675C6" w:rsidRPr="001F5DAB" w:rsidRDefault="00C675C6" w:rsidP="00312E88">
            <w:pPr>
              <w:jc w:val="right"/>
              <w:rPr>
                <w:rFonts w:cs="Arial"/>
                <w:color w:val="000000"/>
                <w:sz w:val="16"/>
                <w:szCs w:val="16"/>
              </w:rPr>
            </w:pPr>
            <w:r w:rsidRPr="001F5DAB">
              <w:rPr>
                <w:rFonts w:cs="Arial"/>
                <w:color w:val="000000"/>
                <w:sz w:val="16"/>
                <w:szCs w:val="16"/>
              </w:rPr>
              <w:t>7,012</w:t>
            </w:r>
          </w:p>
        </w:tc>
      </w:tr>
      <w:tr w:rsidR="00C675C6" w:rsidRPr="001F5DAB" w14:paraId="522D24C9" w14:textId="77777777" w:rsidTr="00C675C6">
        <w:trPr>
          <w:trHeight w:hRule="exact" w:val="284"/>
        </w:trPr>
        <w:tc>
          <w:tcPr>
            <w:tcW w:w="2107" w:type="pct"/>
            <w:tcBorders>
              <w:top w:val="single" w:sz="4" w:space="0" w:color="auto"/>
              <w:left w:val="single" w:sz="4" w:space="0" w:color="auto"/>
              <w:bottom w:val="single" w:sz="4" w:space="0" w:color="auto"/>
              <w:right w:val="nil"/>
            </w:tcBorders>
            <w:shd w:val="clear" w:color="auto" w:fill="auto"/>
            <w:noWrap/>
            <w:vAlign w:val="bottom"/>
            <w:hideMark/>
          </w:tcPr>
          <w:p w14:paraId="2DDB25E4" w14:textId="77777777" w:rsidR="00C675C6" w:rsidRPr="001F5DAB" w:rsidRDefault="00C675C6" w:rsidP="00312E88">
            <w:pPr>
              <w:rPr>
                <w:rFonts w:cs="Arial"/>
                <w:b/>
                <w:bCs/>
                <w:color w:val="000000"/>
                <w:sz w:val="16"/>
                <w:szCs w:val="16"/>
              </w:rPr>
            </w:pPr>
            <w:r w:rsidRPr="001F5DAB">
              <w:rPr>
                <w:rFonts w:cs="Arial"/>
                <w:b/>
                <w:bCs/>
                <w:color w:val="000000"/>
                <w:sz w:val="16"/>
                <w:szCs w:val="16"/>
              </w:rPr>
              <w:t>Total Participant Costs (cash basis)</w:t>
            </w:r>
          </w:p>
        </w:tc>
        <w:tc>
          <w:tcPr>
            <w:tcW w:w="579" w:type="pct"/>
            <w:tcBorders>
              <w:top w:val="single" w:sz="4" w:space="0" w:color="auto"/>
              <w:left w:val="single" w:sz="4" w:space="0" w:color="auto"/>
              <w:bottom w:val="single" w:sz="4" w:space="0" w:color="auto"/>
              <w:right w:val="nil"/>
            </w:tcBorders>
            <w:shd w:val="clear" w:color="auto" w:fill="auto"/>
            <w:noWrap/>
            <w:vAlign w:val="bottom"/>
            <w:hideMark/>
          </w:tcPr>
          <w:p w14:paraId="4B495E10"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28,831</w:t>
            </w:r>
          </w:p>
        </w:tc>
        <w:tc>
          <w:tcPr>
            <w:tcW w:w="579" w:type="pct"/>
            <w:tcBorders>
              <w:top w:val="single" w:sz="4" w:space="0" w:color="auto"/>
              <w:left w:val="nil"/>
              <w:bottom w:val="single" w:sz="4" w:space="0" w:color="auto"/>
              <w:right w:val="nil"/>
            </w:tcBorders>
            <w:shd w:val="clear" w:color="auto" w:fill="auto"/>
            <w:noWrap/>
            <w:vAlign w:val="bottom"/>
            <w:hideMark/>
          </w:tcPr>
          <w:p w14:paraId="58AA7B88"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33,429</w:t>
            </w:r>
          </w:p>
        </w:tc>
        <w:tc>
          <w:tcPr>
            <w:tcW w:w="579" w:type="pct"/>
            <w:tcBorders>
              <w:top w:val="single" w:sz="4" w:space="0" w:color="auto"/>
              <w:left w:val="nil"/>
              <w:bottom w:val="single" w:sz="4" w:space="0" w:color="auto"/>
              <w:right w:val="nil"/>
            </w:tcBorders>
            <w:shd w:val="clear" w:color="auto" w:fill="auto"/>
            <w:noWrap/>
            <w:vAlign w:val="bottom"/>
            <w:hideMark/>
          </w:tcPr>
          <w:p w14:paraId="1F51E394"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37,459</w:t>
            </w:r>
          </w:p>
        </w:tc>
        <w:tc>
          <w:tcPr>
            <w:tcW w:w="579" w:type="pct"/>
            <w:tcBorders>
              <w:top w:val="single" w:sz="4" w:space="0" w:color="auto"/>
              <w:left w:val="nil"/>
              <w:bottom w:val="single" w:sz="4" w:space="0" w:color="auto"/>
              <w:right w:val="nil"/>
            </w:tcBorders>
            <w:shd w:val="clear" w:color="auto" w:fill="auto"/>
            <w:noWrap/>
            <w:vAlign w:val="bottom"/>
            <w:hideMark/>
          </w:tcPr>
          <w:p w14:paraId="23947012"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40,814</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14:paraId="109C2B13"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58,483</w:t>
            </w:r>
          </w:p>
        </w:tc>
      </w:tr>
      <w:tr w:rsidR="00C675C6" w:rsidRPr="001F5DAB" w14:paraId="2CD6E639" w14:textId="77777777" w:rsidTr="00C675C6">
        <w:trPr>
          <w:trHeight w:hRule="exact" w:val="284"/>
        </w:trPr>
        <w:tc>
          <w:tcPr>
            <w:tcW w:w="2107" w:type="pct"/>
            <w:tcBorders>
              <w:top w:val="nil"/>
              <w:left w:val="single" w:sz="4" w:space="0" w:color="auto"/>
              <w:bottom w:val="single" w:sz="4" w:space="0" w:color="auto"/>
              <w:right w:val="nil"/>
            </w:tcBorders>
            <w:shd w:val="clear" w:color="000000" w:fill="F7EEF7"/>
            <w:noWrap/>
            <w:vAlign w:val="bottom"/>
            <w:hideMark/>
          </w:tcPr>
          <w:p w14:paraId="28E9054B" w14:textId="77777777" w:rsidR="00C675C6" w:rsidRPr="001F5DAB" w:rsidRDefault="00C675C6" w:rsidP="00312E88">
            <w:pPr>
              <w:rPr>
                <w:rFonts w:cs="Arial"/>
                <w:b/>
                <w:bCs/>
                <w:color w:val="000000"/>
                <w:sz w:val="16"/>
                <w:szCs w:val="16"/>
              </w:rPr>
            </w:pPr>
            <w:r w:rsidRPr="001F5DAB">
              <w:rPr>
                <w:rFonts w:cs="Arial"/>
                <w:b/>
                <w:bCs/>
                <w:color w:val="000000"/>
                <w:sz w:val="16"/>
                <w:szCs w:val="16"/>
              </w:rPr>
              <w:t>Dec20 AFSR</w:t>
            </w:r>
          </w:p>
          <w:p w14:paraId="0E7CD2A9"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65AA4AA6"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50FEB76B"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56CF5A0A"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6BBE0720"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single" w:sz="4" w:space="0" w:color="auto"/>
            </w:tcBorders>
            <w:shd w:val="clear" w:color="000000" w:fill="F7EEF7"/>
            <w:noWrap/>
            <w:vAlign w:val="bottom"/>
            <w:hideMark/>
          </w:tcPr>
          <w:p w14:paraId="74243A20"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r>
      <w:tr w:rsidR="00C675C6" w:rsidRPr="001F5DAB" w14:paraId="2AC51CDA" w14:textId="77777777" w:rsidTr="00C675C6">
        <w:trPr>
          <w:trHeight w:hRule="exact" w:val="284"/>
        </w:trPr>
        <w:tc>
          <w:tcPr>
            <w:tcW w:w="2107" w:type="pct"/>
            <w:tcBorders>
              <w:top w:val="nil"/>
              <w:left w:val="single" w:sz="4" w:space="0" w:color="auto"/>
              <w:bottom w:val="single" w:sz="4" w:space="0" w:color="auto"/>
              <w:right w:val="nil"/>
            </w:tcBorders>
            <w:shd w:val="clear" w:color="000000" w:fill="EDEDED"/>
            <w:noWrap/>
            <w:vAlign w:val="bottom"/>
            <w:hideMark/>
          </w:tcPr>
          <w:p w14:paraId="4B4AD147" w14:textId="77777777" w:rsidR="00C675C6" w:rsidRPr="001F5DAB" w:rsidRDefault="00C675C6" w:rsidP="00312E88">
            <w:pPr>
              <w:rPr>
                <w:rFonts w:cs="Arial"/>
                <w:color w:val="000000"/>
                <w:sz w:val="16"/>
                <w:szCs w:val="16"/>
              </w:rPr>
            </w:pPr>
            <w:r w:rsidRPr="001F5DAB">
              <w:rPr>
                <w:rFonts w:cs="Arial"/>
                <w:color w:val="000000"/>
                <w:sz w:val="16"/>
                <w:szCs w:val="16"/>
              </w:rPr>
              <w:t>Participant Costs (cash basis)</w:t>
            </w:r>
          </w:p>
          <w:p w14:paraId="104B6FF5"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3912B158"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1D2A3E4F"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78A51F28"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71A94627"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single" w:sz="4" w:space="0" w:color="auto"/>
            </w:tcBorders>
            <w:shd w:val="clear" w:color="000000" w:fill="EDEDED"/>
            <w:noWrap/>
            <w:vAlign w:val="bottom"/>
            <w:hideMark/>
          </w:tcPr>
          <w:p w14:paraId="05F5337E"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r>
      <w:tr w:rsidR="00C675C6" w:rsidRPr="001F5DAB" w14:paraId="6850A61D" w14:textId="77777777" w:rsidTr="00C675C6">
        <w:trPr>
          <w:trHeight w:hRule="exact" w:val="284"/>
        </w:trPr>
        <w:tc>
          <w:tcPr>
            <w:tcW w:w="2107" w:type="pct"/>
            <w:tcBorders>
              <w:top w:val="nil"/>
              <w:left w:val="single" w:sz="4" w:space="0" w:color="auto"/>
              <w:bottom w:val="nil"/>
              <w:right w:val="nil"/>
            </w:tcBorders>
            <w:shd w:val="clear" w:color="auto" w:fill="auto"/>
            <w:noWrap/>
            <w:vAlign w:val="bottom"/>
            <w:hideMark/>
          </w:tcPr>
          <w:p w14:paraId="66F093E3" w14:textId="77777777" w:rsidR="00C675C6" w:rsidRPr="001F5DAB" w:rsidRDefault="00C675C6" w:rsidP="00312E88">
            <w:pPr>
              <w:rPr>
                <w:rFonts w:cs="Arial"/>
                <w:color w:val="000000"/>
                <w:sz w:val="16"/>
                <w:szCs w:val="16"/>
              </w:rPr>
            </w:pPr>
            <w:r w:rsidRPr="001F5DAB">
              <w:rPr>
                <w:rFonts w:cs="Arial"/>
                <w:color w:val="000000"/>
                <w:sz w:val="16"/>
                <w:szCs w:val="16"/>
              </w:rPr>
              <w:t>0-64 years</w:t>
            </w:r>
          </w:p>
        </w:tc>
        <w:tc>
          <w:tcPr>
            <w:tcW w:w="579" w:type="pct"/>
            <w:tcBorders>
              <w:top w:val="nil"/>
              <w:left w:val="single" w:sz="4" w:space="0" w:color="auto"/>
              <w:bottom w:val="nil"/>
              <w:right w:val="nil"/>
            </w:tcBorders>
            <w:shd w:val="clear" w:color="auto" w:fill="auto"/>
            <w:noWrap/>
            <w:vAlign w:val="bottom"/>
            <w:hideMark/>
          </w:tcPr>
          <w:p w14:paraId="36664A40" w14:textId="77777777" w:rsidR="00C675C6" w:rsidRPr="001F5DAB" w:rsidRDefault="00C675C6" w:rsidP="00312E88">
            <w:pPr>
              <w:jc w:val="right"/>
              <w:rPr>
                <w:rFonts w:cs="Arial"/>
                <w:color w:val="000000"/>
                <w:sz w:val="16"/>
                <w:szCs w:val="16"/>
              </w:rPr>
            </w:pPr>
            <w:r w:rsidRPr="001F5DAB">
              <w:rPr>
                <w:rFonts w:cs="Arial"/>
                <w:color w:val="000000"/>
                <w:sz w:val="16"/>
                <w:szCs w:val="16"/>
              </w:rPr>
              <w:t>25,916</w:t>
            </w:r>
          </w:p>
        </w:tc>
        <w:tc>
          <w:tcPr>
            <w:tcW w:w="579" w:type="pct"/>
            <w:tcBorders>
              <w:top w:val="nil"/>
              <w:left w:val="nil"/>
              <w:bottom w:val="nil"/>
              <w:right w:val="nil"/>
            </w:tcBorders>
            <w:shd w:val="clear" w:color="auto" w:fill="auto"/>
            <w:noWrap/>
            <w:vAlign w:val="bottom"/>
            <w:hideMark/>
          </w:tcPr>
          <w:p w14:paraId="0D3B4A7A" w14:textId="77777777" w:rsidR="00C675C6" w:rsidRPr="001F5DAB" w:rsidRDefault="00C675C6" w:rsidP="00312E88">
            <w:pPr>
              <w:jc w:val="right"/>
              <w:rPr>
                <w:rFonts w:cs="Arial"/>
                <w:color w:val="000000"/>
                <w:sz w:val="16"/>
                <w:szCs w:val="16"/>
              </w:rPr>
            </w:pPr>
            <w:r w:rsidRPr="001F5DAB">
              <w:rPr>
                <w:rFonts w:cs="Arial"/>
                <w:color w:val="000000"/>
                <w:sz w:val="16"/>
                <w:szCs w:val="16"/>
              </w:rPr>
              <w:t>30,049</w:t>
            </w:r>
          </w:p>
        </w:tc>
        <w:tc>
          <w:tcPr>
            <w:tcW w:w="579" w:type="pct"/>
            <w:tcBorders>
              <w:top w:val="nil"/>
              <w:left w:val="nil"/>
              <w:bottom w:val="nil"/>
              <w:right w:val="nil"/>
            </w:tcBorders>
            <w:shd w:val="clear" w:color="auto" w:fill="auto"/>
            <w:noWrap/>
            <w:vAlign w:val="bottom"/>
            <w:hideMark/>
          </w:tcPr>
          <w:p w14:paraId="36A4D9E7" w14:textId="77777777" w:rsidR="00C675C6" w:rsidRPr="001F5DAB" w:rsidRDefault="00C675C6" w:rsidP="00312E88">
            <w:pPr>
              <w:jc w:val="right"/>
              <w:rPr>
                <w:rFonts w:cs="Arial"/>
                <w:color w:val="000000"/>
                <w:sz w:val="16"/>
                <w:szCs w:val="16"/>
              </w:rPr>
            </w:pPr>
            <w:r w:rsidRPr="001F5DAB">
              <w:rPr>
                <w:rFonts w:cs="Arial"/>
                <w:color w:val="000000"/>
                <w:sz w:val="16"/>
                <w:szCs w:val="16"/>
              </w:rPr>
              <w:t>33,597</w:t>
            </w:r>
          </w:p>
        </w:tc>
        <w:tc>
          <w:tcPr>
            <w:tcW w:w="579" w:type="pct"/>
            <w:tcBorders>
              <w:top w:val="nil"/>
              <w:left w:val="nil"/>
              <w:bottom w:val="nil"/>
              <w:right w:val="nil"/>
            </w:tcBorders>
            <w:shd w:val="clear" w:color="auto" w:fill="auto"/>
            <w:noWrap/>
            <w:vAlign w:val="bottom"/>
            <w:hideMark/>
          </w:tcPr>
          <w:p w14:paraId="6D483381" w14:textId="77777777" w:rsidR="00C675C6" w:rsidRPr="001F5DAB" w:rsidRDefault="00C675C6" w:rsidP="00312E88">
            <w:pPr>
              <w:jc w:val="right"/>
              <w:rPr>
                <w:rFonts w:cs="Arial"/>
                <w:color w:val="000000"/>
                <w:sz w:val="16"/>
                <w:szCs w:val="16"/>
              </w:rPr>
            </w:pPr>
            <w:r w:rsidRPr="001F5DAB">
              <w:rPr>
                <w:rFonts w:cs="Arial"/>
                <w:color w:val="000000"/>
                <w:sz w:val="16"/>
                <w:szCs w:val="16"/>
              </w:rPr>
              <w:t>36,705</w:t>
            </w:r>
          </w:p>
        </w:tc>
        <w:tc>
          <w:tcPr>
            <w:tcW w:w="579" w:type="pct"/>
            <w:tcBorders>
              <w:top w:val="nil"/>
              <w:left w:val="nil"/>
              <w:bottom w:val="nil"/>
              <w:right w:val="single" w:sz="4" w:space="0" w:color="auto"/>
            </w:tcBorders>
            <w:shd w:val="clear" w:color="auto" w:fill="auto"/>
            <w:noWrap/>
            <w:vAlign w:val="bottom"/>
            <w:hideMark/>
          </w:tcPr>
          <w:p w14:paraId="05ECCBBC" w14:textId="77777777" w:rsidR="00C675C6" w:rsidRPr="001F5DAB" w:rsidRDefault="00C675C6" w:rsidP="00312E88">
            <w:pPr>
              <w:jc w:val="right"/>
              <w:rPr>
                <w:rFonts w:cs="Arial"/>
                <w:color w:val="000000"/>
                <w:sz w:val="16"/>
                <w:szCs w:val="16"/>
              </w:rPr>
            </w:pPr>
            <w:r w:rsidRPr="001F5DAB">
              <w:rPr>
                <w:rFonts w:cs="Arial"/>
                <w:color w:val="000000"/>
                <w:sz w:val="16"/>
                <w:szCs w:val="16"/>
              </w:rPr>
              <w:t>52,778</w:t>
            </w:r>
          </w:p>
        </w:tc>
      </w:tr>
      <w:tr w:rsidR="00C675C6" w:rsidRPr="001F5DAB" w14:paraId="252D577C" w14:textId="77777777" w:rsidTr="00C675C6">
        <w:trPr>
          <w:trHeight w:hRule="exact" w:val="284"/>
        </w:trPr>
        <w:tc>
          <w:tcPr>
            <w:tcW w:w="2107" w:type="pct"/>
            <w:tcBorders>
              <w:top w:val="nil"/>
              <w:left w:val="single" w:sz="4" w:space="0" w:color="auto"/>
              <w:bottom w:val="nil"/>
              <w:right w:val="nil"/>
            </w:tcBorders>
            <w:shd w:val="clear" w:color="auto" w:fill="auto"/>
            <w:noWrap/>
            <w:vAlign w:val="bottom"/>
            <w:hideMark/>
          </w:tcPr>
          <w:p w14:paraId="790196ED" w14:textId="77777777" w:rsidR="00C675C6" w:rsidRPr="001F5DAB" w:rsidRDefault="00C675C6" w:rsidP="00312E88">
            <w:pPr>
              <w:rPr>
                <w:rFonts w:cs="Arial"/>
                <w:color w:val="000000"/>
                <w:sz w:val="16"/>
                <w:szCs w:val="16"/>
              </w:rPr>
            </w:pPr>
            <w:r w:rsidRPr="001F5DAB">
              <w:rPr>
                <w:rFonts w:cs="Arial"/>
                <w:color w:val="000000"/>
                <w:sz w:val="16"/>
                <w:szCs w:val="16"/>
              </w:rPr>
              <w:t>65+ years</w:t>
            </w:r>
          </w:p>
        </w:tc>
        <w:tc>
          <w:tcPr>
            <w:tcW w:w="579" w:type="pct"/>
            <w:tcBorders>
              <w:top w:val="nil"/>
              <w:left w:val="single" w:sz="4" w:space="0" w:color="auto"/>
              <w:bottom w:val="nil"/>
              <w:right w:val="nil"/>
            </w:tcBorders>
            <w:shd w:val="clear" w:color="auto" w:fill="auto"/>
            <w:noWrap/>
            <w:vAlign w:val="bottom"/>
            <w:hideMark/>
          </w:tcPr>
          <w:p w14:paraId="4D07ED9F" w14:textId="77777777" w:rsidR="00C675C6" w:rsidRPr="001F5DAB" w:rsidRDefault="00C675C6" w:rsidP="00312E88">
            <w:pPr>
              <w:jc w:val="right"/>
              <w:rPr>
                <w:rFonts w:cs="Arial"/>
                <w:color w:val="000000"/>
                <w:sz w:val="16"/>
                <w:szCs w:val="16"/>
              </w:rPr>
            </w:pPr>
            <w:r w:rsidRPr="001F5DAB">
              <w:rPr>
                <w:rFonts w:cs="Arial"/>
                <w:color w:val="000000"/>
                <w:sz w:val="16"/>
                <w:szCs w:val="16"/>
              </w:rPr>
              <w:t>1,783</w:t>
            </w:r>
          </w:p>
        </w:tc>
        <w:tc>
          <w:tcPr>
            <w:tcW w:w="579" w:type="pct"/>
            <w:tcBorders>
              <w:top w:val="nil"/>
              <w:left w:val="nil"/>
              <w:bottom w:val="nil"/>
              <w:right w:val="nil"/>
            </w:tcBorders>
            <w:shd w:val="clear" w:color="auto" w:fill="auto"/>
            <w:noWrap/>
            <w:vAlign w:val="bottom"/>
            <w:hideMark/>
          </w:tcPr>
          <w:p w14:paraId="4433B96A" w14:textId="77777777" w:rsidR="00C675C6" w:rsidRPr="001F5DAB" w:rsidRDefault="00C675C6" w:rsidP="00312E88">
            <w:pPr>
              <w:jc w:val="right"/>
              <w:rPr>
                <w:rFonts w:cs="Arial"/>
                <w:color w:val="000000"/>
                <w:sz w:val="16"/>
                <w:szCs w:val="16"/>
              </w:rPr>
            </w:pPr>
            <w:r w:rsidRPr="001F5DAB">
              <w:rPr>
                <w:rFonts w:cs="Arial"/>
                <w:color w:val="000000"/>
                <w:sz w:val="16"/>
                <w:szCs w:val="16"/>
              </w:rPr>
              <w:t>2,387</w:t>
            </w:r>
          </w:p>
        </w:tc>
        <w:tc>
          <w:tcPr>
            <w:tcW w:w="579" w:type="pct"/>
            <w:tcBorders>
              <w:top w:val="nil"/>
              <w:left w:val="nil"/>
              <w:bottom w:val="nil"/>
              <w:right w:val="nil"/>
            </w:tcBorders>
            <w:shd w:val="clear" w:color="auto" w:fill="auto"/>
            <w:noWrap/>
            <w:vAlign w:val="bottom"/>
            <w:hideMark/>
          </w:tcPr>
          <w:p w14:paraId="0F5CEA62" w14:textId="77777777" w:rsidR="00C675C6" w:rsidRPr="001F5DAB" w:rsidRDefault="00C675C6" w:rsidP="00312E88">
            <w:pPr>
              <w:jc w:val="right"/>
              <w:rPr>
                <w:rFonts w:cs="Arial"/>
                <w:color w:val="000000"/>
                <w:sz w:val="16"/>
                <w:szCs w:val="16"/>
              </w:rPr>
            </w:pPr>
            <w:r w:rsidRPr="001F5DAB">
              <w:rPr>
                <w:rFonts w:cs="Arial"/>
                <w:color w:val="000000"/>
                <w:sz w:val="16"/>
                <w:szCs w:val="16"/>
              </w:rPr>
              <w:t>3,025</w:t>
            </w:r>
          </w:p>
        </w:tc>
        <w:tc>
          <w:tcPr>
            <w:tcW w:w="579" w:type="pct"/>
            <w:tcBorders>
              <w:top w:val="nil"/>
              <w:left w:val="nil"/>
              <w:bottom w:val="nil"/>
              <w:right w:val="nil"/>
            </w:tcBorders>
            <w:shd w:val="clear" w:color="auto" w:fill="auto"/>
            <w:noWrap/>
            <w:vAlign w:val="bottom"/>
            <w:hideMark/>
          </w:tcPr>
          <w:p w14:paraId="7A986107" w14:textId="77777777" w:rsidR="00C675C6" w:rsidRPr="001F5DAB" w:rsidRDefault="00C675C6" w:rsidP="00312E88">
            <w:pPr>
              <w:jc w:val="right"/>
              <w:rPr>
                <w:rFonts w:cs="Arial"/>
                <w:color w:val="000000"/>
                <w:sz w:val="16"/>
                <w:szCs w:val="16"/>
              </w:rPr>
            </w:pPr>
            <w:r w:rsidRPr="001F5DAB">
              <w:rPr>
                <w:rFonts w:cs="Arial"/>
                <w:color w:val="000000"/>
                <w:sz w:val="16"/>
                <w:szCs w:val="16"/>
              </w:rPr>
              <w:t>3,680</w:t>
            </w:r>
          </w:p>
        </w:tc>
        <w:tc>
          <w:tcPr>
            <w:tcW w:w="579" w:type="pct"/>
            <w:tcBorders>
              <w:top w:val="nil"/>
              <w:left w:val="nil"/>
              <w:bottom w:val="nil"/>
              <w:right w:val="single" w:sz="4" w:space="0" w:color="auto"/>
            </w:tcBorders>
            <w:shd w:val="clear" w:color="auto" w:fill="auto"/>
            <w:noWrap/>
            <w:vAlign w:val="bottom"/>
            <w:hideMark/>
          </w:tcPr>
          <w:p w14:paraId="42CF48EC" w14:textId="77777777" w:rsidR="00C675C6" w:rsidRPr="001F5DAB" w:rsidRDefault="00C675C6" w:rsidP="00312E88">
            <w:pPr>
              <w:jc w:val="right"/>
              <w:rPr>
                <w:rFonts w:cs="Arial"/>
                <w:color w:val="000000"/>
                <w:sz w:val="16"/>
                <w:szCs w:val="16"/>
              </w:rPr>
            </w:pPr>
            <w:r w:rsidRPr="001F5DAB">
              <w:rPr>
                <w:rFonts w:cs="Arial"/>
                <w:color w:val="000000"/>
                <w:sz w:val="16"/>
                <w:szCs w:val="16"/>
              </w:rPr>
              <w:t>7,140</w:t>
            </w:r>
          </w:p>
        </w:tc>
      </w:tr>
      <w:tr w:rsidR="00C675C6" w:rsidRPr="001F5DAB" w14:paraId="11102D84" w14:textId="77777777" w:rsidTr="00C675C6">
        <w:trPr>
          <w:trHeight w:hRule="exact" w:val="284"/>
        </w:trPr>
        <w:tc>
          <w:tcPr>
            <w:tcW w:w="2107" w:type="pct"/>
            <w:tcBorders>
              <w:top w:val="single" w:sz="4" w:space="0" w:color="auto"/>
              <w:left w:val="single" w:sz="4" w:space="0" w:color="auto"/>
              <w:bottom w:val="single" w:sz="4" w:space="0" w:color="auto"/>
              <w:right w:val="nil"/>
            </w:tcBorders>
            <w:shd w:val="clear" w:color="auto" w:fill="auto"/>
            <w:noWrap/>
            <w:vAlign w:val="bottom"/>
            <w:hideMark/>
          </w:tcPr>
          <w:p w14:paraId="5781EA0A" w14:textId="77777777" w:rsidR="00C675C6" w:rsidRPr="001F5DAB" w:rsidRDefault="00C675C6" w:rsidP="00312E88">
            <w:pPr>
              <w:rPr>
                <w:rFonts w:cs="Arial"/>
                <w:b/>
                <w:bCs/>
                <w:color w:val="000000"/>
                <w:sz w:val="16"/>
                <w:szCs w:val="16"/>
              </w:rPr>
            </w:pPr>
            <w:r w:rsidRPr="001F5DAB">
              <w:rPr>
                <w:rFonts w:cs="Arial"/>
                <w:b/>
                <w:bCs/>
                <w:color w:val="000000"/>
                <w:sz w:val="16"/>
                <w:szCs w:val="16"/>
              </w:rPr>
              <w:t>Total Participant Costs (cash basis)</w:t>
            </w:r>
          </w:p>
        </w:tc>
        <w:tc>
          <w:tcPr>
            <w:tcW w:w="579" w:type="pct"/>
            <w:tcBorders>
              <w:top w:val="single" w:sz="4" w:space="0" w:color="auto"/>
              <w:left w:val="single" w:sz="4" w:space="0" w:color="auto"/>
              <w:bottom w:val="single" w:sz="4" w:space="0" w:color="auto"/>
              <w:right w:val="nil"/>
            </w:tcBorders>
            <w:shd w:val="clear" w:color="auto" w:fill="auto"/>
            <w:noWrap/>
            <w:vAlign w:val="bottom"/>
            <w:hideMark/>
          </w:tcPr>
          <w:p w14:paraId="2DFC721A"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27,699</w:t>
            </w:r>
          </w:p>
        </w:tc>
        <w:tc>
          <w:tcPr>
            <w:tcW w:w="579" w:type="pct"/>
            <w:tcBorders>
              <w:top w:val="single" w:sz="4" w:space="0" w:color="auto"/>
              <w:left w:val="nil"/>
              <w:bottom w:val="single" w:sz="4" w:space="0" w:color="auto"/>
              <w:right w:val="nil"/>
            </w:tcBorders>
            <w:shd w:val="clear" w:color="auto" w:fill="auto"/>
            <w:noWrap/>
            <w:vAlign w:val="bottom"/>
            <w:hideMark/>
          </w:tcPr>
          <w:p w14:paraId="48B21B92"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32,436</w:t>
            </w:r>
          </w:p>
        </w:tc>
        <w:tc>
          <w:tcPr>
            <w:tcW w:w="579" w:type="pct"/>
            <w:tcBorders>
              <w:top w:val="single" w:sz="4" w:space="0" w:color="auto"/>
              <w:left w:val="nil"/>
              <w:bottom w:val="single" w:sz="4" w:space="0" w:color="auto"/>
              <w:right w:val="nil"/>
            </w:tcBorders>
            <w:shd w:val="clear" w:color="auto" w:fill="auto"/>
            <w:noWrap/>
            <w:vAlign w:val="bottom"/>
            <w:hideMark/>
          </w:tcPr>
          <w:p w14:paraId="73D89EDB"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36,622</w:t>
            </w:r>
          </w:p>
        </w:tc>
        <w:tc>
          <w:tcPr>
            <w:tcW w:w="579" w:type="pct"/>
            <w:tcBorders>
              <w:top w:val="single" w:sz="4" w:space="0" w:color="auto"/>
              <w:left w:val="nil"/>
              <w:bottom w:val="single" w:sz="4" w:space="0" w:color="auto"/>
              <w:right w:val="nil"/>
            </w:tcBorders>
            <w:shd w:val="clear" w:color="auto" w:fill="auto"/>
            <w:noWrap/>
            <w:vAlign w:val="bottom"/>
            <w:hideMark/>
          </w:tcPr>
          <w:p w14:paraId="58532A33"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40,385</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14:paraId="0986BD13"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59,918</w:t>
            </w:r>
          </w:p>
        </w:tc>
      </w:tr>
      <w:tr w:rsidR="00C675C6" w:rsidRPr="001F5DAB" w14:paraId="25E4EDA8" w14:textId="77777777" w:rsidTr="00C675C6">
        <w:trPr>
          <w:trHeight w:hRule="exact" w:val="284"/>
        </w:trPr>
        <w:tc>
          <w:tcPr>
            <w:tcW w:w="2107" w:type="pct"/>
            <w:tcBorders>
              <w:top w:val="nil"/>
              <w:left w:val="single" w:sz="4" w:space="0" w:color="auto"/>
              <w:bottom w:val="single" w:sz="4" w:space="0" w:color="auto"/>
              <w:right w:val="nil"/>
            </w:tcBorders>
            <w:shd w:val="clear" w:color="000000" w:fill="F7EEF7"/>
            <w:noWrap/>
            <w:vAlign w:val="bottom"/>
            <w:hideMark/>
          </w:tcPr>
          <w:p w14:paraId="34AEC97E" w14:textId="77777777" w:rsidR="00C675C6" w:rsidRPr="001F5DAB" w:rsidRDefault="00C675C6" w:rsidP="00312E88">
            <w:pPr>
              <w:rPr>
                <w:rFonts w:cs="Arial"/>
                <w:b/>
                <w:bCs/>
                <w:color w:val="000000"/>
                <w:sz w:val="16"/>
                <w:szCs w:val="16"/>
              </w:rPr>
            </w:pPr>
            <w:r w:rsidRPr="001F5DAB">
              <w:rPr>
                <w:rFonts w:cs="Arial"/>
                <w:b/>
                <w:bCs/>
                <w:color w:val="000000"/>
                <w:sz w:val="16"/>
                <w:szCs w:val="16"/>
              </w:rPr>
              <w:t>Difference</w:t>
            </w:r>
          </w:p>
          <w:p w14:paraId="3074A484"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05D82935"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50B19425"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478D2AA1"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0DA93E81"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single" w:sz="4" w:space="0" w:color="auto"/>
            </w:tcBorders>
            <w:shd w:val="clear" w:color="000000" w:fill="F7EEF7"/>
            <w:noWrap/>
            <w:vAlign w:val="bottom"/>
            <w:hideMark/>
          </w:tcPr>
          <w:p w14:paraId="30CF9070"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r>
      <w:tr w:rsidR="00C675C6" w:rsidRPr="001F5DAB" w14:paraId="6A01DA77" w14:textId="77777777" w:rsidTr="00C675C6">
        <w:trPr>
          <w:trHeight w:hRule="exact" w:val="284"/>
        </w:trPr>
        <w:tc>
          <w:tcPr>
            <w:tcW w:w="2107" w:type="pct"/>
            <w:tcBorders>
              <w:top w:val="nil"/>
              <w:left w:val="single" w:sz="4" w:space="0" w:color="auto"/>
              <w:bottom w:val="single" w:sz="4" w:space="0" w:color="auto"/>
              <w:right w:val="nil"/>
            </w:tcBorders>
            <w:shd w:val="clear" w:color="000000" w:fill="EDEDED"/>
            <w:noWrap/>
            <w:vAlign w:val="bottom"/>
            <w:hideMark/>
          </w:tcPr>
          <w:p w14:paraId="5A7E1F1F" w14:textId="77777777" w:rsidR="00C675C6" w:rsidRPr="001F5DAB" w:rsidRDefault="00C675C6" w:rsidP="00312E88">
            <w:pPr>
              <w:rPr>
                <w:rFonts w:cs="Arial"/>
                <w:color w:val="000000"/>
                <w:sz w:val="16"/>
                <w:szCs w:val="16"/>
              </w:rPr>
            </w:pPr>
            <w:r w:rsidRPr="001F5DAB">
              <w:rPr>
                <w:rFonts w:cs="Arial"/>
                <w:color w:val="000000"/>
                <w:sz w:val="16"/>
                <w:szCs w:val="16"/>
              </w:rPr>
              <w:t>Participant Costs (cash basis)</w:t>
            </w:r>
          </w:p>
          <w:p w14:paraId="337CC0FA"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5404130E"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3B5BF0EE"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5136A311"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381A9D64"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single" w:sz="4" w:space="0" w:color="auto"/>
            </w:tcBorders>
            <w:shd w:val="clear" w:color="000000" w:fill="EDEDED"/>
            <w:noWrap/>
            <w:vAlign w:val="bottom"/>
            <w:hideMark/>
          </w:tcPr>
          <w:p w14:paraId="7014D37A"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r>
      <w:tr w:rsidR="00C675C6" w:rsidRPr="001F5DAB" w14:paraId="6FFABE2F" w14:textId="77777777" w:rsidTr="00C675C6">
        <w:trPr>
          <w:trHeight w:hRule="exact" w:val="284"/>
        </w:trPr>
        <w:tc>
          <w:tcPr>
            <w:tcW w:w="2107" w:type="pct"/>
            <w:tcBorders>
              <w:top w:val="nil"/>
              <w:left w:val="single" w:sz="4" w:space="0" w:color="auto"/>
              <w:bottom w:val="nil"/>
              <w:right w:val="nil"/>
            </w:tcBorders>
            <w:shd w:val="clear" w:color="auto" w:fill="auto"/>
            <w:noWrap/>
            <w:vAlign w:val="bottom"/>
            <w:hideMark/>
          </w:tcPr>
          <w:p w14:paraId="6426FDD7" w14:textId="77777777" w:rsidR="00C675C6" w:rsidRPr="001F5DAB" w:rsidRDefault="00C675C6" w:rsidP="00312E88">
            <w:pPr>
              <w:rPr>
                <w:rFonts w:cs="Arial"/>
                <w:color w:val="000000"/>
                <w:sz w:val="16"/>
                <w:szCs w:val="16"/>
              </w:rPr>
            </w:pPr>
            <w:r w:rsidRPr="001F5DAB">
              <w:rPr>
                <w:rFonts w:cs="Arial"/>
                <w:color w:val="000000"/>
                <w:sz w:val="16"/>
                <w:szCs w:val="16"/>
              </w:rPr>
              <w:t>0-64 years</w:t>
            </w:r>
          </w:p>
        </w:tc>
        <w:tc>
          <w:tcPr>
            <w:tcW w:w="579" w:type="pct"/>
            <w:tcBorders>
              <w:top w:val="nil"/>
              <w:left w:val="single" w:sz="4" w:space="0" w:color="auto"/>
              <w:bottom w:val="nil"/>
              <w:right w:val="nil"/>
            </w:tcBorders>
            <w:shd w:val="clear" w:color="auto" w:fill="auto"/>
            <w:noWrap/>
            <w:vAlign w:val="bottom"/>
            <w:hideMark/>
          </w:tcPr>
          <w:p w14:paraId="46E50F8D" w14:textId="77777777" w:rsidR="00C675C6" w:rsidRPr="001F5DAB" w:rsidRDefault="00C675C6" w:rsidP="00312E88">
            <w:pPr>
              <w:jc w:val="right"/>
              <w:rPr>
                <w:rFonts w:cs="Arial"/>
                <w:color w:val="000000"/>
                <w:sz w:val="16"/>
                <w:szCs w:val="16"/>
              </w:rPr>
            </w:pPr>
            <w:r w:rsidRPr="001F5DAB">
              <w:rPr>
                <w:rFonts w:cs="Arial"/>
                <w:color w:val="000000"/>
                <w:sz w:val="16"/>
                <w:szCs w:val="16"/>
              </w:rPr>
              <w:t>1,078</w:t>
            </w:r>
          </w:p>
        </w:tc>
        <w:tc>
          <w:tcPr>
            <w:tcW w:w="579" w:type="pct"/>
            <w:tcBorders>
              <w:top w:val="nil"/>
              <w:left w:val="nil"/>
              <w:bottom w:val="nil"/>
              <w:right w:val="nil"/>
            </w:tcBorders>
            <w:shd w:val="clear" w:color="auto" w:fill="auto"/>
            <w:noWrap/>
            <w:vAlign w:val="bottom"/>
            <w:hideMark/>
          </w:tcPr>
          <w:p w14:paraId="5C926405" w14:textId="77777777" w:rsidR="00C675C6" w:rsidRPr="001F5DAB" w:rsidRDefault="00C675C6" w:rsidP="00312E88">
            <w:pPr>
              <w:jc w:val="right"/>
              <w:rPr>
                <w:rFonts w:cs="Arial"/>
                <w:color w:val="000000"/>
                <w:sz w:val="16"/>
                <w:szCs w:val="16"/>
              </w:rPr>
            </w:pPr>
            <w:r w:rsidRPr="001F5DAB">
              <w:rPr>
                <w:rFonts w:cs="Arial"/>
                <w:color w:val="000000"/>
                <w:sz w:val="16"/>
                <w:szCs w:val="16"/>
              </w:rPr>
              <w:t>916</w:t>
            </w:r>
          </w:p>
        </w:tc>
        <w:tc>
          <w:tcPr>
            <w:tcW w:w="579" w:type="pct"/>
            <w:tcBorders>
              <w:top w:val="nil"/>
              <w:left w:val="nil"/>
              <w:bottom w:val="nil"/>
              <w:right w:val="nil"/>
            </w:tcBorders>
            <w:shd w:val="clear" w:color="auto" w:fill="auto"/>
            <w:noWrap/>
            <w:vAlign w:val="bottom"/>
            <w:hideMark/>
          </w:tcPr>
          <w:p w14:paraId="7713FED0" w14:textId="77777777" w:rsidR="00C675C6" w:rsidRPr="001F5DAB" w:rsidRDefault="00C675C6" w:rsidP="00312E88">
            <w:pPr>
              <w:jc w:val="right"/>
              <w:rPr>
                <w:rFonts w:cs="Arial"/>
                <w:color w:val="000000"/>
                <w:sz w:val="16"/>
                <w:szCs w:val="16"/>
              </w:rPr>
            </w:pPr>
            <w:r w:rsidRPr="001F5DAB">
              <w:rPr>
                <w:rFonts w:cs="Arial"/>
                <w:color w:val="000000"/>
                <w:sz w:val="16"/>
                <w:szCs w:val="16"/>
              </w:rPr>
              <w:t>748</w:t>
            </w:r>
          </w:p>
        </w:tc>
        <w:tc>
          <w:tcPr>
            <w:tcW w:w="579" w:type="pct"/>
            <w:tcBorders>
              <w:top w:val="nil"/>
              <w:left w:val="nil"/>
              <w:bottom w:val="nil"/>
              <w:right w:val="nil"/>
            </w:tcBorders>
            <w:shd w:val="clear" w:color="auto" w:fill="auto"/>
            <w:noWrap/>
            <w:vAlign w:val="bottom"/>
            <w:hideMark/>
          </w:tcPr>
          <w:p w14:paraId="55235A16" w14:textId="77777777" w:rsidR="00C675C6" w:rsidRPr="001F5DAB" w:rsidRDefault="00C675C6" w:rsidP="00312E88">
            <w:pPr>
              <w:jc w:val="right"/>
              <w:rPr>
                <w:rFonts w:cs="Arial"/>
                <w:color w:val="000000"/>
                <w:sz w:val="16"/>
                <w:szCs w:val="16"/>
              </w:rPr>
            </w:pPr>
            <w:r w:rsidRPr="001F5DAB">
              <w:rPr>
                <w:rFonts w:cs="Arial"/>
                <w:color w:val="000000"/>
                <w:sz w:val="16"/>
                <w:szCs w:val="16"/>
              </w:rPr>
              <w:t>362</w:t>
            </w:r>
          </w:p>
        </w:tc>
        <w:tc>
          <w:tcPr>
            <w:tcW w:w="579" w:type="pct"/>
            <w:tcBorders>
              <w:top w:val="nil"/>
              <w:left w:val="nil"/>
              <w:bottom w:val="nil"/>
              <w:right w:val="single" w:sz="4" w:space="0" w:color="auto"/>
            </w:tcBorders>
            <w:shd w:val="clear" w:color="auto" w:fill="auto"/>
            <w:noWrap/>
            <w:vAlign w:val="bottom"/>
            <w:hideMark/>
          </w:tcPr>
          <w:p w14:paraId="4843E6D1" w14:textId="77777777" w:rsidR="00C675C6" w:rsidRPr="001F5DAB" w:rsidRDefault="00C675C6" w:rsidP="00312E88">
            <w:pPr>
              <w:jc w:val="right"/>
              <w:rPr>
                <w:rFonts w:cs="Arial"/>
                <w:color w:val="000000"/>
                <w:sz w:val="16"/>
                <w:szCs w:val="16"/>
              </w:rPr>
            </w:pPr>
            <w:r w:rsidRPr="001F5DAB">
              <w:rPr>
                <w:rFonts w:cs="Arial"/>
                <w:color w:val="000000"/>
                <w:sz w:val="16"/>
                <w:szCs w:val="16"/>
              </w:rPr>
              <w:t>-1,306</w:t>
            </w:r>
          </w:p>
        </w:tc>
      </w:tr>
      <w:tr w:rsidR="00C675C6" w:rsidRPr="001F5DAB" w14:paraId="2383B9D1" w14:textId="77777777" w:rsidTr="00C675C6">
        <w:trPr>
          <w:trHeight w:hRule="exact" w:val="284"/>
        </w:trPr>
        <w:tc>
          <w:tcPr>
            <w:tcW w:w="2107" w:type="pct"/>
            <w:tcBorders>
              <w:top w:val="nil"/>
              <w:left w:val="single" w:sz="4" w:space="0" w:color="auto"/>
              <w:bottom w:val="nil"/>
              <w:right w:val="nil"/>
            </w:tcBorders>
            <w:shd w:val="clear" w:color="auto" w:fill="auto"/>
            <w:noWrap/>
            <w:vAlign w:val="bottom"/>
            <w:hideMark/>
          </w:tcPr>
          <w:p w14:paraId="015EFE40" w14:textId="77777777" w:rsidR="00C675C6" w:rsidRPr="001F5DAB" w:rsidRDefault="00C675C6" w:rsidP="00312E88">
            <w:pPr>
              <w:rPr>
                <w:rFonts w:cs="Arial"/>
                <w:color w:val="000000"/>
                <w:sz w:val="16"/>
                <w:szCs w:val="16"/>
              </w:rPr>
            </w:pPr>
            <w:r w:rsidRPr="001F5DAB">
              <w:rPr>
                <w:rFonts w:cs="Arial"/>
                <w:color w:val="000000"/>
                <w:sz w:val="16"/>
                <w:szCs w:val="16"/>
              </w:rPr>
              <w:t>65+ years</w:t>
            </w:r>
          </w:p>
        </w:tc>
        <w:tc>
          <w:tcPr>
            <w:tcW w:w="579" w:type="pct"/>
            <w:tcBorders>
              <w:top w:val="nil"/>
              <w:left w:val="single" w:sz="4" w:space="0" w:color="auto"/>
              <w:bottom w:val="nil"/>
              <w:right w:val="nil"/>
            </w:tcBorders>
            <w:shd w:val="clear" w:color="auto" w:fill="auto"/>
            <w:noWrap/>
            <w:vAlign w:val="bottom"/>
            <w:hideMark/>
          </w:tcPr>
          <w:p w14:paraId="344C8364" w14:textId="77777777" w:rsidR="00C675C6" w:rsidRPr="001F5DAB" w:rsidRDefault="00C675C6" w:rsidP="00312E88">
            <w:pPr>
              <w:jc w:val="right"/>
              <w:rPr>
                <w:rFonts w:cs="Arial"/>
                <w:color w:val="000000"/>
                <w:sz w:val="16"/>
                <w:szCs w:val="16"/>
              </w:rPr>
            </w:pPr>
            <w:r w:rsidRPr="001F5DAB">
              <w:rPr>
                <w:rFonts w:cs="Arial"/>
                <w:color w:val="000000"/>
                <w:sz w:val="16"/>
                <w:szCs w:val="16"/>
              </w:rPr>
              <w:t>55</w:t>
            </w:r>
          </w:p>
        </w:tc>
        <w:tc>
          <w:tcPr>
            <w:tcW w:w="579" w:type="pct"/>
            <w:tcBorders>
              <w:top w:val="nil"/>
              <w:left w:val="nil"/>
              <w:bottom w:val="nil"/>
              <w:right w:val="nil"/>
            </w:tcBorders>
            <w:shd w:val="clear" w:color="auto" w:fill="auto"/>
            <w:noWrap/>
            <w:vAlign w:val="bottom"/>
            <w:hideMark/>
          </w:tcPr>
          <w:p w14:paraId="76595843" w14:textId="77777777" w:rsidR="00C675C6" w:rsidRPr="001F5DAB" w:rsidRDefault="00C675C6" w:rsidP="00312E88">
            <w:pPr>
              <w:jc w:val="right"/>
              <w:rPr>
                <w:rFonts w:cs="Arial"/>
                <w:color w:val="000000"/>
                <w:sz w:val="16"/>
                <w:szCs w:val="16"/>
              </w:rPr>
            </w:pPr>
            <w:r w:rsidRPr="001F5DAB">
              <w:rPr>
                <w:rFonts w:cs="Arial"/>
                <w:color w:val="000000"/>
                <w:sz w:val="16"/>
                <w:szCs w:val="16"/>
              </w:rPr>
              <w:t>78</w:t>
            </w:r>
          </w:p>
        </w:tc>
        <w:tc>
          <w:tcPr>
            <w:tcW w:w="579" w:type="pct"/>
            <w:tcBorders>
              <w:top w:val="nil"/>
              <w:left w:val="nil"/>
              <w:bottom w:val="nil"/>
              <w:right w:val="nil"/>
            </w:tcBorders>
            <w:shd w:val="clear" w:color="auto" w:fill="auto"/>
            <w:noWrap/>
            <w:vAlign w:val="bottom"/>
            <w:hideMark/>
          </w:tcPr>
          <w:p w14:paraId="5C9BEBE0" w14:textId="77777777" w:rsidR="00C675C6" w:rsidRPr="001F5DAB" w:rsidRDefault="00C675C6" w:rsidP="00312E88">
            <w:pPr>
              <w:jc w:val="right"/>
              <w:rPr>
                <w:rFonts w:cs="Arial"/>
                <w:color w:val="000000"/>
                <w:sz w:val="16"/>
                <w:szCs w:val="16"/>
              </w:rPr>
            </w:pPr>
            <w:r w:rsidRPr="001F5DAB">
              <w:rPr>
                <w:rFonts w:cs="Arial"/>
                <w:color w:val="000000"/>
                <w:sz w:val="16"/>
                <w:szCs w:val="16"/>
              </w:rPr>
              <w:t>89</w:t>
            </w:r>
          </w:p>
        </w:tc>
        <w:tc>
          <w:tcPr>
            <w:tcW w:w="579" w:type="pct"/>
            <w:tcBorders>
              <w:top w:val="nil"/>
              <w:left w:val="nil"/>
              <w:bottom w:val="nil"/>
              <w:right w:val="nil"/>
            </w:tcBorders>
            <w:shd w:val="clear" w:color="auto" w:fill="auto"/>
            <w:noWrap/>
            <w:vAlign w:val="bottom"/>
            <w:hideMark/>
          </w:tcPr>
          <w:p w14:paraId="64B4D766" w14:textId="77777777" w:rsidR="00C675C6" w:rsidRPr="001F5DAB" w:rsidRDefault="00C675C6" w:rsidP="00312E88">
            <w:pPr>
              <w:jc w:val="right"/>
              <w:rPr>
                <w:rFonts w:cs="Arial"/>
                <w:color w:val="000000"/>
                <w:sz w:val="16"/>
                <w:szCs w:val="16"/>
              </w:rPr>
            </w:pPr>
            <w:r w:rsidRPr="001F5DAB">
              <w:rPr>
                <w:rFonts w:cs="Arial"/>
                <w:color w:val="000000"/>
                <w:sz w:val="16"/>
                <w:szCs w:val="16"/>
              </w:rPr>
              <w:t>68</w:t>
            </w:r>
          </w:p>
        </w:tc>
        <w:tc>
          <w:tcPr>
            <w:tcW w:w="579" w:type="pct"/>
            <w:tcBorders>
              <w:top w:val="nil"/>
              <w:left w:val="nil"/>
              <w:bottom w:val="nil"/>
              <w:right w:val="single" w:sz="4" w:space="0" w:color="auto"/>
            </w:tcBorders>
            <w:shd w:val="clear" w:color="auto" w:fill="auto"/>
            <w:noWrap/>
            <w:vAlign w:val="bottom"/>
            <w:hideMark/>
          </w:tcPr>
          <w:p w14:paraId="08B85AE5" w14:textId="77777777" w:rsidR="00C675C6" w:rsidRPr="001F5DAB" w:rsidRDefault="00C675C6" w:rsidP="00312E88">
            <w:pPr>
              <w:jc w:val="right"/>
              <w:rPr>
                <w:rFonts w:cs="Arial"/>
                <w:color w:val="000000"/>
                <w:sz w:val="16"/>
                <w:szCs w:val="16"/>
              </w:rPr>
            </w:pPr>
            <w:r w:rsidRPr="001F5DAB">
              <w:rPr>
                <w:rFonts w:cs="Arial"/>
                <w:color w:val="000000"/>
                <w:sz w:val="16"/>
                <w:szCs w:val="16"/>
              </w:rPr>
              <w:t>-128</w:t>
            </w:r>
          </w:p>
        </w:tc>
      </w:tr>
      <w:tr w:rsidR="00C675C6" w:rsidRPr="001F5DAB" w14:paraId="722F4D47" w14:textId="77777777" w:rsidTr="00C675C6">
        <w:trPr>
          <w:trHeight w:hRule="exact" w:val="284"/>
        </w:trPr>
        <w:tc>
          <w:tcPr>
            <w:tcW w:w="2107" w:type="pct"/>
            <w:tcBorders>
              <w:top w:val="single" w:sz="4" w:space="0" w:color="auto"/>
              <w:left w:val="single" w:sz="4" w:space="0" w:color="auto"/>
              <w:bottom w:val="single" w:sz="4" w:space="0" w:color="auto"/>
              <w:right w:val="nil"/>
            </w:tcBorders>
            <w:shd w:val="clear" w:color="auto" w:fill="auto"/>
            <w:noWrap/>
            <w:vAlign w:val="bottom"/>
            <w:hideMark/>
          </w:tcPr>
          <w:p w14:paraId="0F7C4A5D" w14:textId="77777777" w:rsidR="00C675C6" w:rsidRPr="001F5DAB" w:rsidRDefault="00C675C6" w:rsidP="00312E88">
            <w:pPr>
              <w:rPr>
                <w:rFonts w:cs="Arial"/>
                <w:b/>
                <w:bCs/>
                <w:color w:val="000000"/>
                <w:sz w:val="16"/>
                <w:szCs w:val="16"/>
              </w:rPr>
            </w:pPr>
            <w:r w:rsidRPr="001F5DAB">
              <w:rPr>
                <w:rFonts w:cs="Arial"/>
                <w:b/>
                <w:bCs/>
                <w:color w:val="000000"/>
                <w:sz w:val="16"/>
                <w:szCs w:val="16"/>
              </w:rPr>
              <w:t>Total Participant Costs (cash basis)</w:t>
            </w:r>
          </w:p>
        </w:tc>
        <w:tc>
          <w:tcPr>
            <w:tcW w:w="579" w:type="pct"/>
            <w:tcBorders>
              <w:top w:val="single" w:sz="4" w:space="0" w:color="auto"/>
              <w:left w:val="single" w:sz="4" w:space="0" w:color="auto"/>
              <w:bottom w:val="single" w:sz="4" w:space="0" w:color="auto"/>
              <w:right w:val="nil"/>
            </w:tcBorders>
            <w:shd w:val="clear" w:color="auto" w:fill="auto"/>
            <w:noWrap/>
            <w:vAlign w:val="bottom"/>
            <w:hideMark/>
          </w:tcPr>
          <w:p w14:paraId="2E3D978B"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1,132</w:t>
            </w:r>
          </w:p>
        </w:tc>
        <w:tc>
          <w:tcPr>
            <w:tcW w:w="579" w:type="pct"/>
            <w:tcBorders>
              <w:top w:val="single" w:sz="4" w:space="0" w:color="auto"/>
              <w:left w:val="nil"/>
              <w:bottom w:val="single" w:sz="4" w:space="0" w:color="auto"/>
              <w:right w:val="nil"/>
            </w:tcBorders>
            <w:shd w:val="clear" w:color="auto" w:fill="auto"/>
            <w:noWrap/>
            <w:vAlign w:val="bottom"/>
            <w:hideMark/>
          </w:tcPr>
          <w:p w14:paraId="0BEB8D76"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994</w:t>
            </w:r>
          </w:p>
        </w:tc>
        <w:tc>
          <w:tcPr>
            <w:tcW w:w="579" w:type="pct"/>
            <w:tcBorders>
              <w:top w:val="single" w:sz="4" w:space="0" w:color="auto"/>
              <w:left w:val="nil"/>
              <w:bottom w:val="single" w:sz="4" w:space="0" w:color="auto"/>
              <w:right w:val="nil"/>
            </w:tcBorders>
            <w:shd w:val="clear" w:color="auto" w:fill="auto"/>
            <w:noWrap/>
            <w:vAlign w:val="bottom"/>
            <w:hideMark/>
          </w:tcPr>
          <w:p w14:paraId="669E92CD"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837</w:t>
            </w:r>
          </w:p>
        </w:tc>
        <w:tc>
          <w:tcPr>
            <w:tcW w:w="579" w:type="pct"/>
            <w:tcBorders>
              <w:top w:val="single" w:sz="4" w:space="0" w:color="auto"/>
              <w:left w:val="nil"/>
              <w:bottom w:val="single" w:sz="4" w:space="0" w:color="auto"/>
              <w:right w:val="nil"/>
            </w:tcBorders>
            <w:shd w:val="clear" w:color="auto" w:fill="auto"/>
            <w:noWrap/>
            <w:vAlign w:val="bottom"/>
            <w:hideMark/>
          </w:tcPr>
          <w:p w14:paraId="6C729F62"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430</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14:paraId="04595570"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-1,435</w:t>
            </w:r>
          </w:p>
        </w:tc>
      </w:tr>
      <w:tr w:rsidR="00C675C6" w:rsidRPr="001F5DAB" w14:paraId="61138186" w14:textId="77777777" w:rsidTr="00C675C6">
        <w:trPr>
          <w:trHeight w:hRule="exact" w:val="284"/>
        </w:trPr>
        <w:tc>
          <w:tcPr>
            <w:tcW w:w="2107" w:type="pct"/>
            <w:tcBorders>
              <w:top w:val="nil"/>
              <w:left w:val="single" w:sz="4" w:space="0" w:color="auto"/>
              <w:bottom w:val="single" w:sz="4" w:space="0" w:color="auto"/>
              <w:right w:val="nil"/>
            </w:tcBorders>
            <w:shd w:val="clear" w:color="000000" w:fill="F7EEF7"/>
            <w:noWrap/>
            <w:vAlign w:val="bottom"/>
            <w:hideMark/>
          </w:tcPr>
          <w:p w14:paraId="1BB48159" w14:textId="77777777" w:rsidR="00C675C6" w:rsidRPr="001F5DAB" w:rsidRDefault="00C675C6" w:rsidP="00312E88">
            <w:pPr>
              <w:rPr>
                <w:rFonts w:cs="Arial"/>
                <w:b/>
                <w:bCs/>
                <w:color w:val="000000"/>
                <w:sz w:val="16"/>
                <w:szCs w:val="16"/>
              </w:rPr>
            </w:pPr>
            <w:r w:rsidRPr="001F5DAB">
              <w:rPr>
                <w:rFonts w:cs="Arial"/>
                <w:b/>
                <w:bCs/>
                <w:color w:val="000000"/>
                <w:sz w:val="16"/>
                <w:szCs w:val="16"/>
              </w:rPr>
              <w:t>% Difference</w:t>
            </w:r>
          </w:p>
          <w:p w14:paraId="76D3042D"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1854322E"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7115BDB0"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6A1B04DE"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nil"/>
            </w:tcBorders>
            <w:shd w:val="clear" w:color="000000" w:fill="F7EEF7"/>
            <w:noWrap/>
            <w:vAlign w:val="bottom"/>
            <w:hideMark/>
          </w:tcPr>
          <w:p w14:paraId="2996A346"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c>
          <w:tcPr>
            <w:tcW w:w="579" w:type="pct"/>
            <w:tcBorders>
              <w:top w:val="nil"/>
              <w:left w:val="nil"/>
              <w:bottom w:val="single" w:sz="4" w:space="0" w:color="auto"/>
              <w:right w:val="single" w:sz="4" w:space="0" w:color="auto"/>
            </w:tcBorders>
            <w:shd w:val="clear" w:color="000000" w:fill="F7EEF7"/>
            <w:noWrap/>
            <w:vAlign w:val="bottom"/>
            <w:hideMark/>
          </w:tcPr>
          <w:p w14:paraId="13027A1E" w14:textId="77777777" w:rsidR="00C675C6" w:rsidRPr="001F5DAB" w:rsidRDefault="00C675C6" w:rsidP="00312E88">
            <w:pPr>
              <w:jc w:val="right"/>
              <w:rPr>
                <w:rFonts w:cs="Arial"/>
                <w:b/>
                <w:bCs/>
                <w:i/>
                <w:iCs/>
                <w:color w:val="000000"/>
                <w:sz w:val="16"/>
                <w:szCs w:val="16"/>
              </w:rPr>
            </w:pPr>
            <w:r w:rsidRPr="001F5DAB">
              <w:rPr>
                <w:rFonts w:cs="Arial"/>
                <w:b/>
                <w:bCs/>
                <w:i/>
                <w:iCs/>
                <w:color w:val="000000"/>
                <w:sz w:val="16"/>
                <w:szCs w:val="16"/>
              </w:rPr>
              <w:t> </w:t>
            </w:r>
          </w:p>
        </w:tc>
      </w:tr>
      <w:tr w:rsidR="00C675C6" w:rsidRPr="001F5DAB" w14:paraId="7A97E87B" w14:textId="77777777" w:rsidTr="00C675C6">
        <w:trPr>
          <w:trHeight w:hRule="exact" w:val="284"/>
        </w:trPr>
        <w:tc>
          <w:tcPr>
            <w:tcW w:w="2107" w:type="pct"/>
            <w:tcBorders>
              <w:top w:val="nil"/>
              <w:left w:val="single" w:sz="4" w:space="0" w:color="auto"/>
              <w:bottom w:val="single" w:sz="4" w:space="0" w:color="auto"/>
              <w:right w:val="nil"/>
            </w:tcBorders>
            <w:shd w:val="clear" w:color="000000" w:fill="EDEDED"/>
            <w:noWrap/>
            <w:vAlign w:val="bottom"/>
            <w:hideMark/>
          </w:tcPr>
          <w:p w14:paraId="445CED76" w14:textId="77777777" w:rsidR="00C675C6" w:rsidRPr="001F5DAB" w:rsidRDefault="00C675C6" w:rsidP="00312E88">
            <w:pPr>
              <w:rPr>
                <w:rFonts w:cs="Arial"/>
                <w:color w:val="000000"/>
                <w:sz w:val="16"/>
                <w:szCs w:val="16"/>
              </w:rPr>
            </w:pPr>
            <w:r w:rsidRPr="001F5DAB">
              <w:rPr>
                <w:rFonts w:cs="Arial"/>
                <w:color w:val="000000"/>
                <w:sz w:val="16"/>
                <w:szCs w:val="16"/>
              </w:rPr>
              <w:t>Participant Costs (cash basis)</w:t>
            </w:r>
          </w:p>
          <w:p w14:paraId="3C0EA467"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18C5E9C6"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7BA6090C"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2BB61370"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nil"/>
            </w:tcBorders>
            <w:shd w:val="clear" w:color="000000" w:fill="EDEDED"/>
            <w:noWrap/>
            <w:vAlign w:val="bottom"/>
            <w:hideMark/>
          </w:tcPr>
          <w:p w14:paraId="03146FC1"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c>
          <w:tcPr>
            <w:tcW w:w="579" w:type="pct"/>
            <w:tcBorders>
              <w:top w:val="nil"/>
              <w:left w:val="nil"/>
              <w:bottom w:val="single" w:sz="4" w:space="0" w:color="auto"/>
              <w:right w:val="single" w:sz="4" w:space="0" w:color="auto"/>
            </w:tcBorders>
            <w:shd w:val="clear" w:color="000000" w:fill="EDEDED"/>
            <w:noWrap/>
            <w:vAlign w:val="bottom"/>
            <w:hideMark/>
          </w:tcPr>
          <w:p w14:paraId="420FFE34" w14:textId="77777777" w:rsidR="00C675C6" w:rsidRPr="001F5DAB" w:rsidRDefault="00C675C6" w:rsidP="00312E88">
            <w:pPr>
              <w:jc w:val="right"/>
              <w:rPr>
                <w:rFonts w:cs="Arial"/>
                <w:i/>
                <w:iCs/>
                <w:color w:val="000000"/>
                <w:sz w:val="16"/>
                <w:szCs w:val="16"/>
              </w:rPr>
            </w:pPr>
            <w:r w:rsidRPr="001F5DAB">
              <w:rPr>
                <w:rFonts w:cs="Arial"/>
                <w:i/>
                <w:iCs/>
                <w:color w:val="000000"/>
                <w:sz w:val="16"/>
                <w:szCs w:val="16"/>
              </w:rPr>
              <w:t> </w:t>
            </w:r>
          </w:p>
        </w:tc>
      </w:tr>
      <w:tr w:rsidR="00C675C6" w:rsidRPr="001F5DAB" w14:paraId="343B0AD3" w14:textId="77777777" w:rsidTr="00C675C6">
        <w:trPr>
          <w:trHeight w:hRule="exact" w:val="284"/>
        </w:trPr>
        <w:tc>
          <w:tcPr>
            <w:tcW w:w="2107" w:type="pct"/>
            <w:tcBorders>
              <w:top w:val="nil"/>
              <w:left w:val="single" w:sz="4" w:space="0" w:color="auto"/>
              <w:bottom w:val="nil"/>
              <w:right w:val="nil"/>
            </w:tcBorders>
            <w:shd w:val="clear" w:color="auto" w:fill="auto"/>
            <w:noWrap/>
            <w:vAlign w:val="bottom"/>
            <w:hideMark/>
          </w:tcPr>
          <w:p w14:paraId="30BEB47D" w14:textId="77777777" w:rsidR="00C675C6" w:rsidRPr="001F5DAB" w:rsidRDefault="00C675C6" w:rsidP="00312E88">
            <w:pPr>
              <w:rPr>
                <w:rFonts w:cs="Arial"/>
                <w:color w:val="000000"/>
                <w:sz w:val="16"/>
                <w:szCs w:val="16"/>
              </w:rPr>
            </w:pPr>
            <w:r w:rsidRPr="001F5DAB">
              <w:rPr>
                <w:rFonts w:cs="Arial"/>
                <w:color w:val="000000"/>
                <w:sz w:val="16"/>
                <w:szCs w:val="16"/>
              </w:rPr>
              <w:t>0-64 years</w:t>
            </w:r>
          </w:p>
        </w:tc>
        <w:tc>
          <w:tcPr>
            <w:tcW w:w="579" w:type="pct"/>
            <w:tcBorders>
              <w:top w:val="nil"/>
              <w:left w:val="single" w:sz="4" w:space="0" w:color="auto"/>
              <w:bottom w:val="nil"/>
              <w:right w:val="nil"/>
            </w:tcBorders>
            <w:shd w:val="clear" w:color="auto" w:fill="auto"/>
            <w:noWrap/>
            <w:vAlign w:val="bottom"/>
            <w:hideMark/>
          </w:tcPr>
          <w:p w14:paraId="1F1EF85A" w14:textId="77777777" w:rsidR="00C675C6" w:rsidRPr="001F5DAB" w:rsidRDefault="00C675C6" w:rsidP="00312E88">
            <w:pPr>
              <w:jc w:val="right"/>
              <w:rPr>
                <w:rFonts w:cs="Arial"/>
                <w:color w:val="000000"/>
                <w:sz w:val="16"/>
                <w:szCs w:val="16"/>
              </w:rPr>
            </w:pPr>
            <w:r w:rsidRPr="001F5DAB">
              <w:rPr>
                <w:rFonts w:cs="Arial"/>
                <w:color w:val="000000"/>
                <w:sz w:val="16"/>
                <w:szCs w:val="16"/>
              </w:rPr>
              <w:t>4%</w:t>
            </w:r>
          </w:p>
        </w:tc>
        <w:tc>
          <w:tcPr>
            <w:tcW w:w="579" w:type="pct"/>
            <w:tcBorders>
              <w:top w:val="nil"/>
              <w:left w:val="nil"/>
              <w:bottom w:val="nil"/>
              <w:right w:val="nil"/>
            </w:tcBorders>
            <w:shd w:val="clear" w:color="auto" w:fill="auto"/>
            <w:noWrap/>
            <w:vAlign w:val="bottom"/>
            <w:hideMark/>
          </w:tcPr>
          <w:p w14:paraId="022A5F7A" w14:textId="77777777" w:rsidR="00C675C6" w:rsidRPr="001F5DAB" w:rsidRDefault="00C675C6" w:rsidP="00312E88">
            <w:pPr>
              <w:jc w:val="right"/>
              <w:rPr>
                <w:rFonts w:cs="Arial"/>
                <w:color w:val="000000"/>
                <w:sz w:val="16"/>
                <w:szCs w:val="16"/>
              </w:rPr>
            </w:pPr>
            <w:r w:rsidRPr="001F5DAB">
              <w:rPr>
                <w:rFonts w:cs="Arial"/>
                <w:color w:val="000000"/>
                <w:sz w:val="16"/>
                <w:szCs w:val="16"/>
              </w:rPr>
              <w:t>3%</w:t>
            </w:r>
          </w:p>
        </w:tc>
        <w:tc>
          <w:tcPr>
            <w:tcW w:w="579" w:type="pct"/>
            <w:tcBorders>
              <w:top w:val="nil"/>
              <w:left w:val="nil"/>
              <w:bottom w:val="nil"/>
              <w:right w:val="nil"/>
            </w:tcBorders>
            <w:shd w:val="clear" w:color="auto" w:fill="auto"/>
            <w:noWrap/>
            <w:vAlign w:val="bottom"/>
            <w:hideMark/>
          </w:tcPr>
          <w:p w14:paraId="2E9D8970" w14:textId="77777777" w:rsidR="00C675C6" w:rsidRPr="001F5DAB" w:rsidRDefault="00C675C6" w:rsidP="00312E88">
            <w:pPr>
              <w:jc w:val="right"/>
              <w:rPr>
                <w:rFonts w:cs="Arial"/>
                <w:color w:val="000000"/>
                <w:sz w:val="16"/>
                <w:szCs w:val="16"/>
              </w:rPr>
            </w:pPr>
            <w:r w:rsidRPr="001F5DAB">
              <w:rPr>
                <w:rFonts w:cs="Arial"/>
                <w:color w:val="000000"/>
                <w:sz w:val="16"/>
                <w:szCs w:val="16"/>
              </w:rPr>
              <w:t>2%</w:t>
            </w:r>
          </w:p>
        </w:tc>
        <w:tc>
          <w:tcPr>
            <w:tcW w:w="579" w:type="pct"/>
            <w:tcBorders>
              <w:top w:val="nil"/>
              <w:left w:val="nil"/>
              <w:bottom w:val="nil"/>
              <w:right w:val="nil"/>
            </w:tcBorders>
            <w:shd w:val="clear" w:color="auto" w:fill="auto"/>
            <w:noWrap/>
            <w:vAlign w:val="bottom"/>
            <w:hideMark/>
          </w:tcPr>
          <w:p w14:paraId="6CAE576B" w14:textId="77777777" w:rsidR="00C675C6" w:rsidRPr="001F5DAB" w:rsidRDefault="00C675C6" w:rsidP="00312E88">
            <w:pPr>
              <w:jc w:val="right"/>
              <w:rPr>
                <w:rFonts w:cs="Arial"/>
                <w:color w:val="000000"/>
                <w:sz w:val="16"/>
                <w:szCs w:val="16"/>
              </w:rPr>
            </w:pPr>
            <w:r w:rsidRPr="001F5DAB">
              <w:rPr>
                <w:rFonts w:cs="Arial"/>
                <w:color w:val="000000"/>
                <w:sz w:val="16"/>
                <w:szCs w:val="16"/>
              </w:rPr>
              <w:t>1%</w:t>
            </w:r>
          </w:p>
        </w:tc>
        <w:tc>
          <w:tcPr>
            <w:tcW w:w="579" w:type="pct"/>
            <w:tcBorders>
              <w:top w:val="nil"/>
              <w:left w:val="nil"/>
              <w:bottom w:val="nil"/>
              <w:right w:val="single" w:sz="4" w:space="0" w:color="auto"/>
            </w:tcBorders>
            <w:shd w:val="clear" w:color="auto" w:fill="auto"/>
            <w:noWrap/>
            <w:vAlign w:val="bottom"/>
            <w:hideMark/>
          </w:tcPr>
          <w:p w14:paraId="775C8A85" w14:textId="77777777" w:rsidR="00C675C6" w:rsidRPr="001F5DAB" w:rsidRDefault="00C675C6" w:rsidP="00312E88">
            <w:pPr>
              <w:jc w:val="right"/>
              <w:rPr>
                <w:rFonts w:cs="Arial"/>
                <w:color w:val="000000"/>
                <w:sz w:val="16"/>
                <w:szCs w:val="16"/>
              </w:rPr>
            </w:pPr>
            <w:r w:rsidRPr="001F5DAB">
              <w:rPr>
                <w:rFonts w:cs="Arial"/>
                <w:color w:val="000000"/>
                <w:sz w:val="16"/>
                <w:szCs w:val="16"/>
              </w:rPr>
              <w:t>-2%</w:t>
            </w:r>
          </w:p>
        </w:tc>
      </w:tr>
      <w:tr w:rsidR="00C675C6" w:rsidRPr="001F5DAB" w14:paraId="1ECEFD51" w14:textId="77777777" w:rsidTr="00C675C6">
        <w:trPr>
          <w:trHeight w:hRule="exact" w:val="284"/>
        </w:trPr>
        <w:tc>
          <w:tcPr>
            <w:tcW w:w="2107" w:type="pct"/>
            <w:tcBorders>
              <w:top w:val="nil"/>
              <w:left w:val="single" w:sz="4" w:space="0" w:color="auto"/>
              <w:bottom w:val="nil"/>
              <w:right w:val="nil"/>
            </w:tcBorders>
            <w:shd w:val="clear" w:color="auto" w:fill="auto"/>
            <w:noWrap/>
            <w:vAlign w:val="bottom"/>
            <w:hideMark/>
          </w:tcPr>
          <w:p w14:paraId="581B19E4" w14:textId="77777777" w:rsidR="00C675C6" w:rsidRPr="001F5DAB" w:rsidRDefault="00C675C6" w:rsidP="00312E88">
            <w:pPr>
              <w:rPr>
                <w:rFonts w:cs="Arial"/>
                <w:color w:val="000000"/>
                <w:sz w:val="16"/>
                <w:szCs w:val="16"/>
              </w:rPr>
            </w:pPr>
            <w:r w:rsidRPr="001F5DAB">
              <w:rPr>
                <w:rFonts w:cs="Arial"/>
                <w:color w:val="000000"/>
                <w:sz w:val="16"/>
                <w:szCs w:val="16"/>
              </w:rPr>
              <w:t>65+ years</w:t>
            </w:r>
          </w:p>
        </w:tc>
        <w:tc>
          <w:tcPr>
            <w:tcW w:w="579" w:type="pct"/>
            <w:tcBorders>
              <w:top w:val="nil"/>
              <w:left w:val="single" w:sz="4" w:space="0" w:color="auto"/>
              <w:bottom w:val="nil"/>
              <w:right w:val="nil"/>
            </w:tcBorders>
            <w:shd w:val="clear" w:color="auto" w:fill="auto"/>
            <w:noWrap/>
            <w:vAlign w:val="bottom"/>
            <w:hideMark/>
          </w:tcPr>
          <w:p w14:paraId="22BD267B" w14:textId="77777777" w:rsidR="00C675C6" w:rsidRPr="001F5DAB" w:rsidRDefault="00C675C6" w:rsidP="00312E88">
            <w:pPr>
              <w:jc w:val="right"/>
              <w:rPr>
                <w:rFonts w:cs="Arial"/>
                <w:color w:val="000000"/>
                <w:sz w:val="16"/>
                <w:szCs w:val="16"/>
              </w:rPr>
            </w:pPr>
            <w:r w:rsidRPr="001F5DAB">
              <w:rPr>
                <w:rFonts w:cs="Arial"/>
                <w:color w:val="000000"/>
                <w:sz w:val="16"/>
                <w:szCs w:val="16"/>
              </w:rPr>
              <w:t>3%</w:t>
            </w:r>
          </w:p>
        </w:tc>
        <w:tc>
          <w:tcPr>
            <w:tcW w:w="579" w:type="pct"/>
            <w:tcBorders>
              <w:top w:val="nil"/>
              <w:left w:val="nil"/>
              <w:bottom w:val="nil"/>
              <w:right w:val="nil"/>
            </w:tcBorders>
            <w:shd w:val="clear" w:color="auto" w:fill="auto"/>
            <w:noWrap/>
            <w:vAlign w:val="bottom"/>
            <w:hideMark/>
          </w:tcPr>
          <w:p w14:paraId="4D7A10AD" w14:textId="77777777" w:rsidR="00C675C6" w:rsidRPr="001F5DAB" w:rsidRDefault="00C675C6" w:rsidP="00312E88">
            <w:pPr>
              <w:jc w:val="right"/>
              <w:rPr>
                <w:rFonts w:cs="Arial"/>
                <w:color w:val="000000"/>
                <w:sz w:val="16"/>
                <w:szCs w:val="16"/>
              </w:rPr>
            </w:pPr>
            <w:r w:rsidRPr="001F5DAB">
              <w:rPr>
                <w:rFonts w:cs="Arial"/>
                <w:color w:val="000000"/>
                <w:sz w:val="16"/>
                <w:szCs w:val="16"/>
              </w:rPr>
              <w:t>3%</w:t>
            </w:r>
          </w:p>
        </w:tc>
        <w:tc>
          <w:tcPr>
            <w:tcW w:w="579" w:type="pct"/>
            <w:tcBorders>
              <w:top w:val="nil"/>
              <w:left w:val="nil"/>
              <w:bottom w:val="nil"/>
              <w:right w:val="nil"/>
            </w:tcBorders>
            <w:shd w:val="clear" w:color="auto" w:fill="auto"/>
            <w:noWrap/>
            <w:vAlign w:val="bottom"/>
            <w:hideMark/>
          </w:tcPr>
          <w:p w14:paraId="5EDEAE70" w14:textId="77777777" w:rsidR="00C675C6" w:rsidRPr="001F5DAB" w:rsidRDefault="00C675C6" w:rsidP="00312E88">
            <w:pPr>
              <w:jc w:val="right"/>
              <w:rPr>
                <w:rFonts w:cs="Arial"/>
                <w:color w:val="000000"/>
                <w:sz w:val="16"/>
                <w:szCs w:val="16"/>
              </w:rPr>
            </w:pPr>
            <w:r w:rsidRPr="001F5DAB">
              <w:rPr>
                <w:rFonts w:cs="Arial"/>
                <w:color w:val="000000"/>
                <w:sz w:val="16"/>
                <w:szCs w:val="16"/>
              </w:rPr>
              <w:t>3%</w:t>
            </w:r>
          </w:p>
        </w:tc>
        <w:tc>
          <w:tcPr>
            <w:tcW w:w="579" w:type="pct"/>
            <w:tcBorders>
              <w:top w:val="nil"/>
              <w:left w:val="nil"/>
              <w:bottom w:val="nil"/>
              <w:right w:val="nil"/>
            </w:tcBorders>
            <w:shd w:val="clear" w:color="auto" w:fill="auto"/>
            <w:noWrap/>
            <w:vAlign w:val="bottom"/>
            <w:hideMark/>
          </w:tcPr>
          <w:p w14:paraId="1FD6E69E" w14:textId="77777777" w:rsidR="00C675C6" w:rsidRPr="001F5DAB" w:rsidRDefault="00C675C6" w:rsidP="00312E88">
            <w:pPr>
              <w:jc w:val="right"/>
              <w:rPr>
                <w:rFonts w:cs="Arial"/>
                <w:color w:val="000000"/>
                <w:sz w:val="16"/>
                <w:szCs w:val="16"/>
              </w:rPr>
            </w:pPr>
            <w:r w:rsidRPr="001F5DAB">
              <w:rPr>
                <w:rFonts w:cs="Arial"/>
                <w:color w:val="000000"/>
                <w:sz w:val="16"/>
                <w:szCs w:val="16"/>
              </w:rPr>
              <w:t>2%</w:t>
            </w:r>
          </w:p>
        </w:tc>
        <w:tc>
          <w:tcPr>
            <w:tcW w:w="579" w:type="pct"/>
            <w:tcBorders>
              <w:top w:val="nil"/>
              <w:left w:val="nil"/>
              <w:bottom w:val="nil"/>
              <w:right w:val="single" w:sz="4" w:space="0" w:color="auto"/>
            </w:tcBorders>
            <w:shd w:val="clear" w:color="auto" w:fill="auto"/>
            <w:noWrap/>
            <w:vAlign w:val="bottom"/>
            <w:hideMark/>
          </w:tcPr>
          <w:p w14:paraId="1259EC68" w14:textId="77777777" w:rsidR="00C675C6" w:rsidRPr="001F5DAB" w:rsidRDefault="00C675C6" w:rsidP="00312E88">
            <w:pPr>
              <w:jc w:val="right"/>
              <w:rPr>
                <w:rFonts w:cs="Arial"/>
                <w:color w:val="000000"/>
                <w:sz w:val="16"/>
                <w:szCs w:val="16"/>
              </w:rPr>
            </w:pPr>
            <w:r w:rsidRPr="001F5DAB">
              <w:rPr>
                <w:rFonts w:cs="Arial"/>
                <w:color w:val="000000"/>
                <w:sz w:val="16"/>
                <w:szCs w:val="16"/>
              </w:rPr>
              <w:t>-2%</w:t>
            </w:r>
          </w:p>
        </w:tc>
      </w:tr>
      <w:tr w:rsidR="00C675C6" w:rsidRPr="001F5DAB" w14:paraId="620D5FF8" w14:textId="77777777" w:rsidTr="00C675C6">
        <w:trPr>
          <w:trHeight w:hRule="exact" w:val="284"/>
        </w:trPr>
        <w:tc>
          <w:tcPr>
            <w:tcW w:w="2107" w:type="pct"/>
            <w:tcBorders>
              <w:top w:val="single" w:sz="4" w:space="0" w:color="auto"/>
              <w:left w:val="single" w:sz="4" w:space="0" w:color="auto"/>
              <w:bottom w:val="single" w:sz="4" w:space="0" w:color="auto"/>
              <w:right w:val="nil"/>
            </w:tcBorders>
            <w:shd w:val="clear" w:color="auto" w:fill="auto"/>
            <w:noWrap/>
            <w:vAlign w:val="bottom"/>
            <w:hideMark/>
          </w:tcPr>
          <w:p w14:paraId="05D8D45C" w14:textId="77777777" w:rsidR="00C675C6" w:rsidRPr="001F5DAB" w:rsidRDefault="00C675C6" w:rsidP="00312E88">
            <w:pPr>
              <w:rPr>
                <w:rFonts w:cs="Arial"/>
                <w:b/>
                <w:bCs/>
                <w:color w:val="000000"/>
                <w:sz w:val="16"/>
                <w:szCs w:val="16"/>
              </w:rPr>
            </w:pPr>
            <w:r w:rsidRPr="001F5DAB">
              <w:rPr>
                <w:rFonts w:cs="Arial"/>
                <w:b/>
                <w:bCs/>
                <w:color w:val="000000"/>
                <w:sz w:val="16"/>
                <w:szCs w:val="16"/>
              </w:rPr>
              <w:t>Total Participant Costs (cash basis)</w:t>
            </w:r>
          </w:p>
        </w:tc>
        <w:tc>
          <w:tcPr>
            <w:tcW w:w="579" w:type="pct"/>
            <w:tcBorders>
              <w:top w:val="single" w:sz="4" w:space="0" w:color="auto"/>
              <w:left w:val="single" w:sz="4" w:space="0" w:color="auto"/>
              <w:bottom w:val="single" w:sz="4" w:space="0" w:color="auto"/>
              <w:right w:val="nil"/>
            </w:tcBorders>
            <w:shd w:val="clear" w:color="auto" w:fill="auto"/>
            <w:noWrap/>
            <w:vAlign w:val="bottom"/>
            <w:hideMark/>
          </w:tcPr>
          <w:p w14:paraId="6A578F48"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4%</w:t>
            </w:r>
          </w:p>
        </w:tc>
        <w:tc>
          <w:tcPr>
            <w:tcW w:w="579" w:type="pct"/>
            <w:tcBorders>
              <w:top w:val="single" w:sz="4" w:space="0" w:color="auto"/>
              <w:left w:val="nil"/>
              <w:bottom w:val="single" w:sz="4" w:space="0" w:color="auto"/>
              <w:right w:val="nil"/>
            </w:tcBorders>
            <w:shd w:val="clear" w:color="auto" w:fill="auto"/>
            <w:noWrap/>
            <w:vAlign w:val="bottom"/>
            <w:hideMark/>
          </w:tcPr>
          <w:p w14:paraId="3C20B066"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3%</w:t>
            </w:r>
          </w:p>
        </w:tc>
        <w:tc>
          <w:tcPr>
            <w:tcW w:w="579" w:type="pct"/>
            <w:tcBorders>
              <w:top w:val="single" w:sz="4" w:space="0" w:color="auto"/>
              <w:left w:val="nil"/>
              <w:bottom w:val="single" w:sz="4" w:space="0" w:color="auto"/>
              <w:right w:val="nil"/>
            </w:tcBorders>
            <w:shd w:val="clear" w:color="auto" w:fill="auto"/>
            <w:noWrap/>
            <w:vAlign w:val="bottom"/>
            <w:hideMark/>
          </w:tcPr>
          <w:p w14:paraId="4D1BFA77"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2%</w:t>
            </w:r>
          </w:p>
        </w:tc>
        <w:tc>
          <w:tcPr>
            <w:tcW w:w="579" w:type="pct"/>
            <w:tcBorders>
              <w:top w:val="single" w:sz="4" w:space="0" w:color="auto"/>
              <w:left w:val="nil"/>
              <w:bottom w:val="single" w:sz="4" w:space="0" w:color="auto"/>
              <w:right w:val="nil"/>
            </w:tcBorders>
            <w:shd w:val="clear" w:color="auto" w:fill="auto"/>
            <w:noWrap/>
            <w:vAlign w:val="bottom"/>
            <w:hideMark/>
          </w:tcPr>
          <w:p w14:paraId="45649706"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1%</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14:paraId="3F029B52" w14:textId="77777777" w:rsidR="00C675C6" w:rsidRPr="001F5DAB" w:rsidRDefault="00C675C6" w:rsidP="00312E88">
            <w:pPr>
              <w:jc w:val="right"/>
              <w:rPr>
                <w:rFonts w:cs="Arial"/>
                <w:b/>
                <w:bCs/>
                <w:color w:val="000000"/>
                <w:sz w:val="16"/>
                <w:szCs w:val="16"/>
              </w:rPr>
            </w:pPr>
            <w:r w:rsidRPr="001F5DAB">
              <w:rPr>
                <w:rFonts w:cs="Arial"/>
                <w:b/>
                <w:bCs/>
                <w:color w:val="000000"/>
                <w:sz w:val="16"/>
                <w:szCs w:val="16"/>
              </w:rPr>
              <w:t>-2%</w:t>
            </w:r>
          </w:p>
        </w:tc>
      </w:tr>
    </w:tbl>
    <w:p w14:paraId="574CC010" w14:textId="4F5B8872" w:rsidR="00826B75" w:rsidRDefault="00826B75" w:rsidP="00826B75"/>
    <w:p w14:paraId="3671062C" w14:textId="5DED89CA" w:rsidR="00826B75" w:rsidRDefault="00C967DA" w:rsidP="00826B75">
      <w:pPr>
        <w:pStyle w:val="Caption"/>
        <w:keepNext/>
        <w:rPr>
          <w:b w:val="0"/>
          <w:iCs w:val="0"/>
        </w:rPr>
      </w:pPr>
      <w:r w:rsidRPr="002735DF">
        <w:t xml:space="preserve">Table </w:t>
      </w:r>
      <w:fldSimple w:instr=" SEQ Table \* ARABIC ">
        <w:r w:rsidR="00E50032">
          <w:rPr>
            <w:noProof/>
          </w:rPr>
          <w:t>59</w:t>
        </w:r>
      </w:fldSimple>
      <w:r w:rsidRPr="002735DF">
        <w:t xml:space="preserve"> </w:t>
      </w:r>
      <w:r w:rsidR="00826B75" w:rsidRPr="000945F9">
        <w:t xml:space="preserve">Baseline projection of </w:t>
      </w:r>
      <w:r w:rsidR="00826B75">
        <w:t>participant</w:t>
      </w:r>
      <w:r w:rsidR="00826B75" w:rsidRPr="000945F9">
        <w:t xml:space="preserve"> costs </w:t>
      </w:r>
      <w:r w:rsidR="00826B75">
        <w:t xml:space="preserve">(accrual basis) </w:t>
      </w:r>
      <w:r w:rsidR="00826B75" w:rsidRPr="000945F9">
        <w:t xml:space="preserve">– compared to the </w:t>
      </w:r>
      <w:r w:rsidR="0087666A">
        <w:t>previous review</w:t>
      </w:r>
      <w:r w:rsidR="00826B75" w:rsidRPr="000945F9">
        <w:rPr>
          <w:b w:val="0"/>
          <w:iCs w:val="0"/>
        </w:rPr>
        <w:t xml:space="preserve"> </w:t>
      </w:r>
    </w:p>
    <w:tbl>
      <w:tblPr>
        <w:tblW w:w="5000" w:type="pct"/>
        <w:tblLook w:val="04A0" w:firstRow="1" w:lastRow="0" w:firstColumn="1" w:lastColumn="0" w:noHBand="0" w:noVBand="1"/>
      </w:tblPr>
      <w:tblGrid>
        <w:gridCol w:w="3943"/>
        <w:gridCol w:w="1015"/>
        <w:gridCol w:w="1015"/>
        <w:gridCol w:w="1015"/>
        <w:gridCol w:w="1015"/>
        <w:gridCol w:w="1013"/>
      </w:tblGrid>
      <w:tr w:rsidR="008E1A94" w:rsidRPr="001F5DAB" w14:paraId="20A4C03D" w14:textId="77777777" w:rsidTr="008E1A94">
        <w:trPr>
          <w:trHeight w:val="300"/>
          <w:tblHeader/>
        </w:trPr>
        <w:tc>
          <w:tcPr>
            <w:tcW w:w="2186" w:type="pct"/>
            <w:tcBorders>
              <w:top w:val="single" w:sz="4" w:space="0" w:color="auto"/>
              <w:left w:val="single" w:sz="4" w:space="0" w:color="auto"/>
              <w:bottom w:val="single" w:sz="4" w:space="0" w:color="000000"/>
              <w:right w:val="single" w:sz="4" w:space="0" w:color="000000"/>
            </w:tcBorders>
            <w:shd w:val="clear" w:color="000000" w:fill="6B2F76"/>
            <w:vAlign w:val="bottom"/>
            <w:hideMark/>
          </w:tcPr>
          <w:p w14:paraId="3AC9AC76" w14:textId="77777777" w:rsidR="008E1A94" w:rsidRPr="001F5DAB" w:rsidRDefault="008E1A94" w:rsidP="00312E88">
            <w:pPr>
              <w:rPr>
                <w:rFonts w:cs="Arial"/>
                <w:b/>
                <w:bCs/>
                <w:color w:val="FFFFFF"/>
                <w:sz w:val="16"/>
                <w:szCs w:val="16"/>
              </w:rPr>
            </w:pPr>
            <w:r w:rsidRPr="001F5DAB">
              <w:rPr>
                <w:rFonts w:cs="Arial"/>
                <w:b/>
                <w:bCs/>
                <w:color w:val="FFFFFF"/>
                <w:sz w:val="16"/>
                <w:szCs w:val="16"/>
              </w:rPr>
              <w:t>Projected participant costs ($m)</w:t>
            </w:r>
          </w:p>
        </w:tc>
        <w:tc>
          <w:tcPr>
            <w:tcW w:w="563" w:type="pct"/>
            <w:tcBorders>
              <w:top w:val="nil"/>
              <w:left w:val="nil"/>
              <w:bottom w:val="single" w:sz="4" w:space="0" w:color="auto"/>
              <w:right w:val="nil"/>
            </w:tcBorders>
            <w:shd w:val="clear" w:color="000000" w:fill="6B2F76"/>
            <w:noWrap/>
            <w:vAlign w:val="bottom"/>
            <w:hideMark/>
          </w:tcPr>
          <w:p w14:paraId="65E9EF5A" w14:textId="77777777" w:rsidR="008E1A94" w:rsidRPr="001F5DAB" w:rsidRDefault="008E1A94" w:rsidP="00312E88">
            <w:pPr>
              <w:jc w:val="right"/>
              <w:rPr>
                <w:rFonts w:cs="Arial"/>
                <w:b/>
                <w:bCs/>
                <w:color w:val="FFFFFF"/>
                <w:sz w:val="16"/>
                <w:szCs w:val="16"/>
              </w:rPr>
            </w:pPr>
            <w:r w:rsidRPr="001F5DAB">
              <w:rPr>
                <w:rFonts w:cs="Arial"/>
                <w:b/>
                <w:bCs/>
                <w:color w:val="FFFFFF"/>
                <w:sz w:val="16"/>
                <w:szCs w:val="16"/>
              </w:rPr>
              <w:t>2021-22</w:t>
            </w:r>
          </w:p>
        </w:tc>
        <w:tc>
          <w:tcPr>
            <w:tcW w:w="563" w:type="pct"/>
            <w:tcBorders>
              <w:top w:val="nil"/>
              <w:left w:val="nil"/>
              <w:bottom w:val="single" w:sz="4" w:space="0" w:color="auto"/>
              <w:right w:val="nil"/>
            </w:tcBorders>
            <w:shd w:val="clear" w:color="000000" w:fill="6B2F76"/>
            <w:noWrap/>
            <w:vAlign w:val="bottom"/>
            <w:hideMark/>
          </w:tcPr>
          <w:p w14:paraId="5A902A48" w14:textId="77777777" w:rsidR="008E1A94" w:rsidRPr="001F5DAB" w:rsidRDefault="008E1A94" w:rsidP="00312E88">
            <w:pPr>
              <w:jc w:val="right"/>
              <w:rPr>
                <w:rFonts w:cs="Arial"/>
                <w:b/>
                <w:bCs/>
                <w:color w:val="FFFFFF"/>
                <w:sz w:val="16"/>
                <w:szCs w:val="16"/>
              </w:rPr>
            </w:pPr>
            <w:r w:rsidRPr="001F5DAB">
              <w:rPr>
                <w:rFonts w:cs="Arial"/>
                <w:b/>
                <w:bCs/>
                <w:color w:val="FFFFFF"/>
                <w:sz w:val="16"/>
                <w:szCs w:val="16"/>
              </w:rPr>
              <w:t>2022-23</w:t>
            </w:r>
          </w:p>
        </w:tc>
        <w:tc>
          <w:tcPr>
            <w:tcW w:w="563" w:type="pct"/>
            <w:tcBorders>
              <w:top w:val="nil"/>
              <w:left w:val="nil"/>
              <w:bottom w:val="single" w:sz="4" w:space="0" w:color="auto"/>
              <w:right w:val="nil"/>
            </w:tcBorders>
            <w:shd w:val="clear" w:color="000000" w:fill="6B2F76"/>
            <w:noWrap/>
            <w:vAlign w:val="bottom"/>
            <w:hideMark/>
          </w:tcPr>
          <w:p w14:paraId="67B2FD25" w14:textId="77777777" w:rsidR="008E1A94" w:rsidRPr="001F5DAB" w:rsidRDefault="008E1A94" w:rsidP="00312E88">
            <w:pPr>
              <w:jc w:val="right"/>
              <w:rPr>
                <w:rFonts w:cs="Arial"/>
                <w:b/>
                <w:bCs/>
                <w:color w:val="FFFFFF"/>
                <w:sz w:val="16"/>
                <w:szCs w:val="16"/>
              </w:rPr>
            </w:pPr>
            <w:r w:rsidRPr="001F5DAB">
              <w:rPr>
                <w:rFonts w:cs="Arial"/>
                <w:b/>
                <w:bCs/>
                <w:color w:val="FFFFFF"/>
                <w:sz w:val="16"/>
                <w:szCs w:val="16"/>
              </w:rPr>
              <w:t>2023-24</w:t>
            </w:r>
          </w:p>
        </w:tc>
        <w:tc>
          <w:tcPr>
            <w:tcW w:w="563" w:type="pct"/>
            <w:tcBorders>
              <w:top w:val="nil"/>
              <w:left w:val="nil"/>
              <w:bottom w:val="single" w:sz="4" w:space="0" w:color="auto"/>
              <w:right w:val="nil"/>
            </w:tcBorders>
            <w:shd w:val="clear" w:color="000000" w:fill="6B2F76"/>
            <w:noWrap/>
            <w:vAlign w:val="bottom"/>
            <w:hideMark/>
          </w:tcPr>
          <w:p w14:paraId="58A67158" w14:textId="77777777" w:rsidR="008E1A94" w:rsidRPr="001F5DAB" w:rsidRDefault="008E1A94" w:rsidP="00312E88">
            <w:pPr>
              <w:jc w:val="right"/>
              <w:rPr>
                <w:rFonts w:cs="Arial"/>
                <w:b/>
                <w:bCs/>
                <w:color w:val="FFFFFF"/>
                <w:sz w:val="16"/>
                <w:szCs w:val="16"/>
              </w:rPr>
            </w:pPr>
            <w:r w:rsidRPr="001F5DAB">
              <w:rPr>
                <w:rFonts w:cs="Arial"/>
                <w:b/>
                <w:bCs/>
                <w:color w:val="FFFFFF"/>
                <w:sz w:val="16"/>
                <w:szCs w:val="16"/>
              </w:rPr>
              <w:t>2024-25</w:t>
            </w:r>
          </w:p>
        </w:tc>
        <w:tc>
          <w:tcPr>
            <w:tcW w:w="563" w:type="pct"/>
            <w:tcBorders>
              <w:top w:val="nil"/>
              <w:left w:val="nil"/>
              <w:bottom w:val="single" w:sz="4" w:space="0" w:color="auto"/>
              <w:right w:val="single" w:sz="4" w:space="0" w:color="auto"/>
            </w:tcBorders>
            <w:shd w:val="clear" w:color="000000" w:fill="6B2F76"/>
            <w:noWrap/>
            <w:vAlign w:val="bottom"/>
            <w:hideMark/>
          </w:tcPr>
          <w:p w14:paraId="0457354F" w14:textId="77777777" w:rsidR="008E1A94" w:rsidRPr="001F5DAB" w:rsidRDefault="008E1A94" w:rsidP="00312E88">
            <w:pPr>
              <w:jc w:val="right"/>
              <w:rPr>
                <w:rFonts w:cs="Arial"/>
                <w:b/>
                <w:bCs/>
                <w:color w:val="FFFFFF"/>
                <w:sz w:val="16"/>
                <w:szCs w:val="16"/>
              </w:rPr>
            </w:pPr>
            <w:r w:rsidRPr="001F5DAB">
              <w:rPr>
                <w:rFonts w:cs="Arial"/>
                <w:b/>
                <w:bCs/>
                <w:color w:val="FFFFFF"/>
                <w:sz w:val="16"/>
                <w:szCs w:val="16"/>
              </w:rPr>
              <w:t>2029-30</w:t>
            </w:r>
          </w:p>
        </w:tc>
      </w:tr>
      <w:tr w:rsidR="008E1A94" w:rsidRPr="001F5DAB" w14:paraId="7BE4845C" w14:textId="77777777" w:rsidTr="008E1A94">
        <w:trPr>
          <w:trHeight w:hRule="exact" w:val="284"/>
        </w:trPr>
        <w:tc>
          <w:tcPr>
            <w:tcW w:w="2186" w:type="pct"/>
            <w:tcBorders>
              <w:top w:val="nil"/>
              <w:left w:val="single" w:sz="4" w:space="0" w:color="auto"/>
              <w:bottom w:val="single" w:sz="4" w:space="0" w:color="auto"/>
              <w:right w:val="nil"/>
            </w:tcBorders>
            <w:shd w:val="clear" w:color="000000" w:fill="F7EEF7"/>
            <w:noWrap/>
            <w:vAlign w:val="bottom"/>
            <w:hideMark/>
          </w:tcPr>
          <w:p w14:paraId="6B6FA1E6" w14:textId="77777777" w:rsidR="008E1A94" w:rsidRPr="001F5DAB" w:rsidRDefault="008E1A94" w:rsidP="00312E88">
            <w:pPr>
              <w:rPr>
                <w:rFonts w:cs="Arial"/>
                <w:b/>
                <w:bCs/>
                <w:color w:val="000000"/>
                <w:sz w:val="16"/>
                <w:szCs w:val="16"/>
              </w:rPr>
            </w:pPr>
            <w:r w:rsidRPr="001F5DAB">
              <w:rPr>
                <w:rFonts w:cs="Arial"/>
                <w:b/>
                <w:bCs/>
                <w:color w:val="000000"/>
                <w:sz w:val="16"/>
                <w:szCs w:val="16"/>
              </w:rPr>
              <w:t>2020-21 AFSR</w:t>
            </w:r>
          </w:p>
          <w:p w14:paraId="34A2E82C"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68B19DF3"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01055570"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44AB5B37"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7CD7294A"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single" w:sz="4" w:space="0" w:color="auto"/>
            </w:tcBorders>
            <w:shd w:val="clear" w:color="000000" w:fill="F7EEF7"/>
            <w:noWrap/>
            <w:vAlign w:val="bottom"/>
            <w:hideMark/>
          </w:tcPr>
          <w:p w14:paraId="6557FF28"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r>
      <w:tr w:rsidR="008E1A94" w:rsidRPr="001F5DAB" w14:paraId="6ADD0B7F" w14:textId="77777777" w:rsidTr="008E1A94">
        <w:trPr>
          <w:trHeight w:hRule="exact" w:val="284"/>
        </w:trPr>
        <w:tc>
          <w:tcPr>
            <w:tcW w:w="2186" w:type="pct"/>
            <w:tcBorders>
              <w:top w:val="nil"/>
              <w:left w:val="single" w:sz="4" w:space="0" w:color="auto"/>
              <w:bottom w:val="single" w:sz="4" w:space="0" w:color="auto"/>
              <w:right w:val="nil"/>
            </w:tcBorders>
            <w:shd w:val="clear" w:color="000000" w:fill="EDEDED"/>
            <w:noWrap/>
            <w:vAlign w:val="bottom"/>
            <w:hideMark/>
          </w:tcPr>
          <w:p w14:paraId="08B6ADAB" w14:textId="77777777" w:rsidR="008E1A94" w:rsidRPr="001F5DAB" w:rsidRDefault="008E1A94" w:rsidP="00312E88">
            <w:pPr>
              <w:rPr>
                <w:rFonts w:cs="Arial"/>
                <w:color w:val="000000"/>
                <w:sz w:val="16"/>
                <w:szCs w:val="16"/>
              </w:rPr>
            </w:pPr>
            <w:r w:rsidRPr="001F5DAB">
              <w:rPr>
                <w:rFonts w:cs="Arial"/>
                <w:color w:val="000000"/>
                <w:sz w:val="16"/>
                <w:szCs w:val="16"/>
              </w:rPr>
              <w:t>Participant Costs (accrual basis)</w:t>
            </w:r>
          </w:p>
          <w:p w14:paraId="6331307E"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711E3487"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2ED20852"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4A95ED35"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74B9E5AA"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single" w:sz="4" w:space="0" w:color="auto"/>
            </w:tcBorders>
            <w:shd w:val="clear" w:color="000000" w:fill="EDEDED"/>
            <w:noWrap/>
            <w:vAlign w:val="bottom"/>
            <w:hideMark/>
          </w:tcPr>
          <w:p w14:paraId="1AAC9BAD"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r>
      <w:tr w:rsidR="008E1A94" w:rsidRPr="001F5DAB" w14:paraId="16D58D86" w14:textId="77777777" w:rsidTr="008E1A94">
        <w:trPr>
          <w:trHeight w:hRule="exact" w:val="284"/>
        </w:trPr>
        <w:tc>
          <w:tcPr>
            <w:tcW w:w="2186" w:type="pct"/>
            <w:tcBorders>
              <w:top w:val="nil"/>
              <w:left w:val="single" w:sz="4" w:space="0" w:color="auto"/>
              <w:bottom w:val="nil"/>
              <w:right w:val="nil"/>
            </w:tcBorders>
            <w:shd w:val="clear" w:color="auto" w:fill="auto"/>
            <w:noWrap/>
            <w:vAlign w:val="bottom"/>
            <w:hideMark/>
          </w:tcPr>
          <w:p w14:paraId="3D0EE433" w14:textId="77777777" w:rsidR="008E1A94" w:rsidRPr="001F5DAB" w:rsidRDefault="008E1A94" w:rsidP="00312E88">
            <w:pPr>
              <w:rPr>
                <w:rFonts w:cs="Arial"/>
                <w:color w:val="000000"/>
                <w:sz w:val="16"/>
                <w:szCs w:val="16"/>
              </w:rPr>
            </w:pPr>
            <w:r w:rsidRPr="001F5DAB">
              <w:rPr>
                <w:rFonts w:cs="Arial"/>
                <w:color w:val="000000"/>
                <w:sz w:val="16"/>
                <w:szCs w:val="16"/>
              </w:rPr>
              <w:t>0-64 years</w:t>
            </w:r>
          </w:p>
        </w:tc>
        <w:tc>
          <w:tcPr>
            <w:tcW w:w="563" w:type="pct"/>
            <w:tcBorders>
              <w:top w:val="nil"/>
              <w:left w:val="single" w:sz="4" w:space="0" w:color="auto"/>
              <w:bottom w:val="nil"/>
              <w:right w:val="nil"/>
            </w:tcBorders>
            <w:shd w:val="clear" w:color="auto" w:fill="auto"/>
            <w:noWrap/>
            <w:vAlign w:val="bottom"/>
            <w:hideMark/>
          </w:tcPr>
          <w:p w14:paraId="7F554314" w14:textId="77777777" w:rsidR="008E1A94" w:rsidRPr="001F5DAB" w:rsidRDefault="008E1A94" w:rsidP="00312E88">
            <w:pPr>
              <w:jc w:val="right"/>
              <w:rPr>
                <w:rFonts w:cs="Arial"/>
                <w:color w:val="000000"/>
                <w:sz w:val="16"/>
                <w:szCs w:val="16"/>
              </w:rPr>
            </w:pPr>
            <w:r w:rsidRPr="001F5DAB">
              <w:rPr>
                <w:rFonts w:cs="Arial"/>
                <w:color w:val="000000"/>
                <w:sz w:val="16"/>
                <w:szCs w:val="16"/>
              </w:rPr>
              <w:t>27,359</w:t>
            </w:r>
          </w:p>
        </w:tc>
        <w:tc>
          <w:tcPr>
            <w:tcW w:w="563" w:type="pct"/>
            <w:tcBorders>
              <w:top w:val="nil"/>
              <w:left w:val="nil"/>
              <w:bottom w:val="nil"/>
              <w:right w:val="nil"/>
            </w:tcBorders>
            <w:shd w:val="clear" w:color="auto" w:fill="auto"/>
            <w:noWrap/>
            <w:vAlign w:val="bottom"/>
            <w:hideMark/>
          </w:tcPr>
          <w:p w14:paraId="04FB4C35" w14:textId="77777777" w:rsidR="008E1A94" w:rsidRPr="001F5DAB" w:rsidRDefault="008E1A94" w:rsidP="00312E88">
            <w:pPr>
              <w:jc w:val="right"/>
              <w:rPr>
                <w:rFonts w:cs="Arial"/>
                <w:color w:val="000000"/>
                <w:sz w:val="16"/>
                <w:szCs w:val="16"/>
              </w:rPr>
            </w:pPr>
            <w:r w:rsidRPr="001F5DAB">
              <w:rPr>
                <w:rFonts w:cs="Arial"/>
                <w:color w:val="000000"/>
                <w:sz w:val="16"/>
                <w:szCs w:val="16"/>
              </w:rPr>
              <w:t>31,386</w:t>
            </w:r>
          </w:p>
        </w:tc>
        <w:tc>
          <w:tcPr>
            <w:tcW w:w="563" w:type="pct"/>
            <w:tcBorders>
              <w:top w:val="nil"/>
              <w:left w:val="nil"/>
              <w:bottom w:val="nil"/>
              <w:right w:val="nil"/>
            </w:tcBorders>
            <w:shd w:val="clear" w:color="auto" w:fill="auto"/>
            <w:noWrap/>
            <w:vAlign w:val="bottom"/>
            <w:hideMark/>
          </w:tcPr>
          <w:p w14:paraId="37A73D22" w14:textId="77777777" w:rsidR="008E1A94" w:rsidRPr="001F5DAB" w:rsidRDefault="008E1A94" w:rsidP="00312E88">
            <w:pPr>
              <w:jc w:val="right"/>
              <w:rPr>
                <w:rFonts w:cs="Arial"/>
                <w:color w:val="000000"/>
                <w:sz w:val="16"/>
                <w:szCs w:val="16"/>
              </w:rPr>
            </w:pPr>
            <w:r w:rsidRPr="001F5DAB">
              <w:rPr>
                <w:rFonts w:cs="Arial"/>
                <w:color w:val="000000"/>
                <w:sz w:val="16"/>
                <w:szCs w:val="16"/>
              </w:rPr>
              <w:t>34,812</w:t>
            </w:r>
          </w:p>
        </w:tc>
        <w:tc>
          <w:tcPr>
            <w:tcW w:w="563" w:type="pct"/>
            <w:tcBorders>
              <w:top w:val="nil"/>
              <w:left w:val="nil"/>
              <w:bottom w:val="nil"/>
              <w:right w:val="nil"/>
            </w:tcBorders>
            <w:shd w:val="clear" w:color="auto" w:fill="auto"/>
            <w:noWrap/>
            <w:vAlign w:val="bottom"/>
            <w:hideMark/>
          </w:tcPr>
          <w:p w14:paraId="25E11DD1" w14:textId="77777777" w:rsidR="008E1A94" w:rsidRPr="001F5DAB" w:rsidRDefault="008E1A94" w:rsidP="00312E88">
            <w:pPr>
              <w:jc w:val="right"/>
              <w:rPr>
                <w:rFonts w:cs="Arial"/>
                <w:color w:val="000000"/>
                <w:sz w:val="16"/>
                <w:szCs w:val="16"/>
              </w:rPr>
            </w:pPr>
            <w:r w:rsidRPr="001F5DAB">
              <w:rPr>
                <w:rFonts w:cs="Arial"/>
                <w:color w:val="000000"/>
                <w:sz w:val="16"/>
                <w:szCs w:val="16"/>
              </w:rPr>
              <w:t>37,569</w:t>
            </w:r>
          </w:p>
        </w:tc>
        <w:tc>
          <w:tcPr>
            <w:tcW w:w="563" w:type="pct"/>
            <w:tcBorders>
              <w:top w:val="nil"/>
              <w:left w:val="nil"/>
              <w:bottom w:val="nil"/>
              <w:right w:val="single" w:sz="4" w:space="0" w:color="auto"/>
            </w:tcBorders>
            <w:shd w:val="clear" w:color="auto" w:fill="auto"/>
            <w:noWrap/>
            <w:vAlign w:val="bottom"/>
            <w:hideMark/>
          </w:tcPr>
          <w:p w14:paraId="484193F2" w14:textId="77777777" w:rsidR="008E1A94" w:rsidRPr="001F5DAB" w:rsidRDefault="008E1A94" w:rsidP="00312E88">
            <w:pPr>
              <w:jc w:val="right"/>
              <w:rPr>
                <w:rFonts w:cs="Arial"/>
                <w:color w:val="000000"/>
                <w:sz w:val="16"/>
                <w:szCs w:val="16"/>
              </w:rPr>
            </w:pPr>
            <w:r w:rsidRPr="001F5DAB">
              <w:rPr>
                <w:rFonts w:cs="Arial"/>
                <w:color w:val="000000"/>
                <w:sz w:val="16"/>
                <w:szCs w:val="16"/>
              </w:rPr>
              <w:t>52,169</w:t>
            </w:r>
          </w:p>
        </w:tc>
      </w:tr>
      <w:tr w:rsidR="008E1A94" w:rsidRPr="001F5DAB" w14:paraId="3515A83E" w14:textId="77777777" w:rsidTr="008E1A94">
        <w:trPr>
          <w:trHeight w:hRule="exact" w:val="284"/>
        </w:trPr>
        <w:tc>
          <w:tcPr>
            <w:tcW w:w="2186" w:type="pct"/>
            <w:tcBorders>
              <w:top w:val="nil"/>
              <w:left w:val="single" w:sz="4" w:space="0" w:color="auto"/>
              <w:bottom w:val="nil"/>
              <w:right w:val="nil"/>
            </w:tcBorders>
            <w:shd w:val="clear" w:color="auto" w:fill="auto"/>
            <w:noWrap/>
            <w:vAlign w:val="bottom"/>
            <w:hideMark/>
          </w:tcPr>
          <w:p w14:paraId="19A302A8" w14:textId="77777777" w:rsidR="008E1A94" w:rsidRPr="001F5DAB" w:rsidRDefault="008E1A94" w:rsidP="00312E88">
            <w:pPr>
              <w:rPr>
                <w:rFonts w:cs="Arial"/>
                <w:color w:val="000000"/>
                <w:sz w:val="16"/>
                <w:szCs w:val="16"/>
              </w:rPr>
            </w:pPr>
            <w:r w:rsidRPr="001F5DAB">
              <w:rPr>
                <w:rFonts w:cs="Arial"/>
                <w:color w:val="000000"/>
                <w:sz w:val="16"/>
                <w:szCs w:val="16"/>
              </w:rPr>
              <w:t>65+ years</w:t>
            </w:r>
          </w:p>
        </w:tc>
        <w:tc>
          <w:tcPr>
            <w:tcW w:w="563" w:type="pct"/>
            <w:tcBorders>
              <w:top w:val="nil"/>
              <w:left w:val="single" w:sz="4" w:space="0" w:color="auto"/>
              <w:bottom w:val="nil"/>
              <w:right w:val="nil"/>
            </w:tcBorders>
            <w:shd w:val="clear" w:color="auto" w:fill="auto"/>
            <w:noWrap/>
            <w:vAlign w:val="bottom"/>
            <w:hideMark/>
          </w:tcPr>
          <w:p w14:paraId="1DA9AA9E" w14:textId="77777777" w:rsidR="008E1A94" w:rsidRPr="001F5DAB" w:rsidRDefault="008E1A94" w:rsidP="00312E88">
            <w:pPr>
              <w:jc w:val="right"/>
              <w:rPr>
                <w:rFonts w:cs="Arial"/>
                <w:color w:val="000000"/>
                <w:sz w:val="16"/>
                <w:szCs w:val="16"/>
              </w:rPr>
            </w:pPr>
            <w:r w:rsidRPr="001F5DAB">
              <w:rPr>
                <w:rFonts w:cs="Arial"/>
                <w:color w:val="000000"/>
                <w:sz w:val="16"/>
                <w:szCs w:val="16"/>
              </w:rPr>
              <w:t>1,864</w:t>
            </w:r>
          </w:p>
        </w:tc>
        <w:tc>
          <w:tcPr>
            <w:tcW w:w="563" w:type="pct"/>
            <w:tcBorders>
              <w:top w:val="nil"/>
              <w:left w:val="nil"/>
              <w:bottom w:val="nil"/>
              <w:right w:val="nil"/>
            </w:tcBorders>
            <w:shd w:val="clear" w:color="auto" w:fill="auto"/>
            <w:noWrap/>
            <w:vAlign w:val="bottom"/>
            <w:hideMark/>
          </w:tcPr>
          <w:p w14:paraId="11034319" w14:textId="77777777" w:rsidR="008E1A94" w:rsidRPr="001F5DAB" w:rsidRDefault="008E1A94" w:rsidP="00312E88">
            <w:pPr>
              <w:jc w:val="right"/>
              <w:rPr>
                <w:rFonts w:cs="Arial"/>
                <w:color w:val="000000"/>
                <w:sz w:val="16"/>
                <w:szCs w:val="16"/>
              </w:rPr>
            </w:pPr>
            <w:r w:rsidRPr="001F5DAB">
              <w:rPr>
                <w:rFonts w:cs="Arial"/>
                <w:color w:val="000000"/>
                <w:sz w:val="16"/>
                <w:szCs w:val="16"/>
              </w:rPr>
              <w:t>2,501</w:t>
            </w:r>
          </w:p>
        </w:tc>
        <w:tc>
          <w:tcPr>
            <w:tcW w:w="563" w:type="pct"/>
            <w:tcBorders>
              <w:top w:val="nil"/>
              <w:left w:val="nil"/>
              <w:bottom w:val="nil"/>
              <w:right w:val="nil"/>
            </w:tcBorders>
            <w:shd w:val="clear" w:color="auto" w:fill="auto"/>
            <w:noWrap/>
            <w:vAlign w:val="bottom"/>
            <w:hideMark/>
          </w:tcPr>
          <w:p w14:paraId="4531C570" w14:textId="77777777" w:rsidR="008E1A94" w:rsidRPr="001F5DAB" w:rsidRDefault="008E1A94" w:rsidP="00312E88">
            <w:pPr>
              <w:jc w:val="right"/>
              <w:rPr>
                <w:rFonts w:cs="Arial"/>
                <w:color w:val="000000"/>
                <w:sz w:val="16"/>
                <w:szCs w:val="16"/>
              </w:rPr>
            </w:pPr>
            <w:r w:rsidRPr="001F5DAB">
              <w:rPr>
                <w:rFonts w:cs="Arial"/>
                <w:color w:val="000000"/>
                <w:sz w:val="16"/>
                <w:szCs w:val="16"/>
              </w:rPr>
              <w:t>3,161</w:t>
            </w:r>
          </w:p>
        </w:tc>
        <w:tc>
          <w:tcPr>
            <w:tcW w:w="563" w:type="pct"/>
            <w:tcBorders>
              <w:top w:val="nil"/>
              <w:left w:val="nil"/>
              <w:bottom w:val="nil"/>
              <w:right w:val="nil"/>
            </w:tcBorders>
            <w:shd w:val="clear" w:color="auto" w:fill="auto"/>
            <w:noWrap/>
            <w:vAlign w:val="bottom"/>
            <w:hideMark/>
          </w:tcPr>
          <w:p w14:paraId="21702BBC" w14:textId="77777777" w:rsidR="008E1A94" w:rsidRPr="001F5DAB" w:rsidRDefault="008E1A94" w:rsidP="00312E88">
            <w:pPr>
              <w:jc w:val="right"/>
              <w:rPr>
                <w:rFonts w:cs="Arial"/>
                <w:color w:val="000000"/>
                <w:sz w:val="16"/>
                <w:szCs w:val="16"/>
              </w:rPr>
            </w:pPr>
            <w:r w:rsidRPr="001F5DAB">
              <w:rPr>
                <w:rFonts w:cs="Arial"/>
                <w:color w:val="000000"/>
                <w:sz w:val="16"/>
                <w:szCs w:val="16"/>
              </w:rPr>
              <w:t>3,803</w:t>
            </w:r>
          </w:p>
        </w:tc>
        <w:tc>
          <w:tcPr>
            <w:tcW w:w="563" w:type="pct"/>
            <w:tcBorders>
              <w:top w:val="nil"/>
              <w:left w:val="nil"/>
              <w:bottom w:val="nil"/>
              <w:right w:val="single" w:sz="4" w:space="0" w:color="auto"/>
            </w:tcBorders>
            <w:shd w:val="clear" w:color="auto" w:fill="auto"/>
            <w:noWrap/>
            <w:vAlign w:val="bottom"/>
            <w:hideMark/>
          </w:tcPr>
          <w:p w14:paraId="674AA12A" w14:textId="77777777" w:rsidR="008E1A94" w:rsidRPr="001F5DAB" w:rsidRDefault="008E1A94" w:rsidP="00312E88">
            <w:pPr>
              <w:jc w:val="right"/>
              <w:rPr>
                <w:rFonts w:cs="Arial"/>
                <w:color w:val="000000"/>
                <w:sz w:val="16"/>
                <w:szCs w:val="16"/>
              </w:rPr>
            </w:pPr>
            <w:r w:rsidRPr="001F5DAB">
              <w:rPr>
                <w:rFonts w:cs="Arial"/>
                <w:color w:val="000000"/>
                <w:sz w:val="16"/>
                <w:szCs w:val="16"/>
              </w:rPr>
              <w:t>7,115</w:t>
            </w:r>
          </w:p>
        </w:tc>
      </w:tr>
      <w:tr w:rsidR="008E1A94" w:rsidRPr="001F5DAB" w14:paraId="7A419426" w14:textId="77777777" w:rsidTr="008E1A94">
        <w:trPr>
          <w:trHeight w:hRule="exact" w:val="284"/>
        </w:trPr>
        <w:tc>
          <w:tcPr>
            <w:tcW w:w="2186" w:type="pct"/>
            <w:tcBorders>
              <w:top w:val="single" w:sz="4" w:space="0" w:color="auto"/>
              <w:left w:val="single" w:sz="4" w:space="0" w:color="auto"/>
              <w:bottom w:val="single" w:sz="4" w:space="0" w:color="auto"/>
              <w:right w:val="nil"/>
            </w:tcBorders>
            <w:shd w:val="clear" w:color="auto" w:fill="auto"/>
            <w:noWrap/>
            <w:vAlign w:val="bottom"/>
            <w:hideMark/>
          </w:tcPr>
          <w:p w14:paraId="1AE42027" w14:textId="77777777" w:rsidR="008E1A94" w:rsidRPr="001F5DAB" w:rsidRDefault="008E1A94" w:rsidP="00312E88">
            <w:pPr>
              <w:rPr>
                <w:rFonts w:cs="Arial"/>
                <w:b/>
                <w:bCs/>
                <w:color w:val="000000"/>
                <w:sz w:val="16"/>
                <w:szCs w:val="16"/>
              </w:rPr>
            </w:pPr>
            <w:r w:rsidRPr="001F5DAB">
              <w:rPr>
                <w:rFonts w:cs="Arial"/>
                <w:b/>
                <w:bCs/>
                <w:color w:val="000000"/>
                <w:sz w:val="16"/>
                <w:szCs w:val="16"/>
              </w:rPr>
              <w:t>Total Participant Costs (accrual basis)</w:t>
            </w:r>
          </w:p>
        </w:tc>
        <w:tc>
          <w:tcPr>
            <w:tcW w:w="563" w:type="pct"/>
            <w:tcBorders>
              <w:top w:val="single" w:sz="4" w:space="0" w:color="auto"/>
              <w:left w:val="single" w:sz="4" w:space="0" w:color="auto"/>
              <w:bottom w:val="single" w:sz="4" w:space="0" w:color="auto"/>
              <w:right w:val="nil"/>
            </w:tcBorders>
            <w:shd w:val="clear" w:color="auto" w:fill="auto"/>
            <w:noWrap/>
            <w:vAlign w:val="bottom"/>
            <w:hideMark/>
          </w:tcPr>
          <w:p w14:paraId="3CB2328A"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29,223</w:t>
            </w:r>
          </w:p>
        </w:tc>
        <w:tc>
          <w:tcPr>
            <w:tcW w:w="563" w:type="pct"/>
            <w:tcBorders>
              <w:top w:val="single" w:sz="4" w:space="0" w:color="auto"/>
              <w:left w:val="nil"/>
              <w:bottom w:val="single" w:sz="4" w:space="0" w:color="auto"/>
              <w:right w:val="nil"/>
            </w:tcBorders>
            <w:shd w:val="clear" w:color="auto" w:fill="auto"/>
            <w:noWrap/>
            <w:vAlign w:val="bottom"/>
            <w:hideMark/>
          </w:tcPr>
          <w:p w14:paraId="1B499EB8"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33,886</w:t>
            </w:r>
          </w:p>
        </w:tc>
        <w:tc>
          <w:tcPr>
            <w:tcW w:w="563" w:type="pct"/>
            <w:tcBorders>
              <w:top w:val="single" w:sz="4" w:space="0" w:color="auto"/>
              <w:left w:val="nil"/>
              <w:bottom w:val="single" w:sz="4" w:space="0" w:color="auto"/>
              <w:right w:val="nil"/>
            </w:tcBorders>
            <w:shd w:val="clear" w:color="auto" w:fill="auto"/>
            <w:noWrap/>
            <w:vAlign w:val="bottom"/>
            <w:hideMark/>
          </w:tcPr>
          <w:p w14:paraId="725AB05D"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37,973</w:t>
            </w:r>
          </w:p>
        </w:tc>
        <w:tc>
          <w:tcPr>
            <w:tcW w:w="563" w:type="pct"/>
            <w:tcBorders>
              <w:top w:val="single" w:sz="4" w:space="0" w:color="auto"/>
              <w:left w:val="nil"/>
              <w:bottom w:val="single" w:sz="4" w:space="0" w:color="auto"/>
              <w:right w:val="nil"/>
            </w:tcBorders>
            <w:shd w:val="clear" w:color="auto" w:fill="auto"/>
            <w:noWrap/>
            <w:vAlign w:val="bottom"/>
            <w:hideMark/>
          </w:tcPr>
          <w:p w14:paraId="1C2CD07B"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41,373</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14:paraId="7E46B959"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59,284</w:t>
            </w:r>
          </w:p>
        </w:tc>
      </w:tr>
      <w:tr w:rsidR="008E1A94" w:rsidRPr="001F5DAB" w14:paraId="477A5804" w14:textId="77777777" w:rsidTr="008E1A94">
        <w:trPr>
          <w:trHeight w:hRule="exact" w:val="284"/>
        </w:trPr>
        <w:tc>
          <w:tcPr>
            <w:tcW w:w="2186" w:type="pct"/>
            <w:tcBorders>
              <w:top w:val="nil"/>
              <w:left w:val="single" w:sz="4" w:space="0" w:color="auto"/>
              <w:bottom w:val="single" w:sz="4" w:space="0" w:color="auto"/>
              <w:right w:val="nil"/>
            </w:tcBorders>
            <w:shd w:val="clear" w:color="000000" w:fill="F7EEF7"/>
            <w:noWrap/>
            <w:vAlign w:val="bottom"/>
            <w:hideMark/>
          </w:tcPr>
          <w:p w14:paraId="40DD69B8" w14:textId="77777777" w:rsidR="008E1A94" w:rsidRPr="001F5DAB" w:rsidRDefault="008E1A94" w:rsidP="00312E88">
            <w:pPr>
              <w:rPr>
                <w:rFonts w:cs="Arial"/>
                <w:b/>
                <w:bCs/>
                <w:i/>
                <w:iCs/>
                <w:color w:val="000000"/>
                <w:sz w:val="16"/>
                <w:szCs w:val="16"/>
              </w:rPr>
            </w:pPr>
            <w:r w:rsidRPr="001F5DAB">
              <w:rPr>
                <w:rFonts w:cs="Arial"/>
                <w:b/>
                <w:bCs/>
                <w:color w:val="000000"/>
                <w:sz w:val="16"/>
                <w:szCs w:val="16"/>
              </w:rPr>
              <w:t>Dec20 AFSR</w:t>
            </w: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092D91B0"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343AB83F"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4BBB2247"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651ECC04"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single" w:sz="4" w:space="0" w:color="auto"/>
            </w:tcBorders>
            <w:shd w:val="clear" w:color="000000" w:fill="F7EEF7"/>
            <w:noWrap/>
            <w:vAlign w:val="bottom"/>
            <w:hideMark/>
          </w:tcPr>
          <w:p w14:paraId="6985A791"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r>
      <w:tr w:rsidR="008E1A94" w:rsidRPr="001F5DAB" w14:paraId="3DAFFE7A" w14:textId="77777777" w:rsidTr="008E1A94">
        <w:trPr>
          <w:trHeight w:hRule="exact" w:val="284"/>
        </w:trPr>
        <w:tc>
          <w:tcPr>
            <w:tcW w:w="2186" w:type="pct"/>
            <w:tcBorders>
              <w:top w:val="nil"/>
              <w:left w:val="single" w:sz="4" w:space="0" w:color="auto"/>
              <w:bottom w:val="single" w:sz="4" w:space="0" w:color="auto"/>
              <w:right w:val="nil"/>
            </w:tcBorders>
            <w:shd w:val="clear" w:color="000000" w:fill="EDEDED"/>
            <w:noWrap/>
            <w:vAlign w:val="bottom"/>
            <w:hideMark/>
          </w:tcPr>
          <w:p w14:paraId="3B8F7256" w14:textId="77777777" w:rsidR="008E1A94" w:rsidRPr="001F5DAB" w:rsidRDefault="008E1A94" w:rsidP="00312E88">
            <w:pPr>
              <w:rPr>
                <w:rFonts w:cs="Arial"/>
                <w:color w:val="000000"/>
                <w:sz w:val="16"/>
                <w:szCs w:val="16"/>
              </w:rPr>
            </w:pPr>
            <w:r w:rsidRPr="001F5DAB">
              <w:rPr>
                <w:rFonts w:cs="Arial"/>
                <w:color w:val="000000"/>
                <w:sz w:val="16"/>
                <w:szCs w:val="16"/>
              </w:rPr>
              <w:t>Participant Costs (accrual basis)</w:t>
            </w:r>
          </w:p>
          <w:p w14:paraId="092221C4"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7D760B7B"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34A35F20"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7A8528C3"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6179AE62"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single" w:sz="4" w:space="0" w:color="auto"/>
            </w:tcBorders>
            <w:shd w:val="clear" w:color="000000" w:fill="EDEDED"/>
            <w:noWrap/>
            <w:vAlign w:val="bottom"/>
            <w:hideMark/>
          </w:tcPr>
          <w:p w14:paraId="1423D506"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r>
      <w:tr w:rsidR="008E1A94" w:rsidRPr="001F5DAB" w14:paraId="6B255877" w14:textId="77777777" w:rsidTr="008E1A94">
        <w:trPr>
          <w:trHeight w:hRule="exact" w:val="284"/>
        </w:trPr>
        <w:tc>
          <w:tcPr>
            <w:tcW w:w="2186" w:type="pct"/>
            <w:tcBorders>
              <w:top w:val="nil"/>
              <w:left w:val="single" w:sz="4" w:space="0" w:color="auto"/>
              <w:bottom w:val="nil"/>
              <w:right w:val="nil"/>
            </w:tcBorders>
            <w:shd w:val="clear" w:color="auto" w:fill="auto"/>
            <w:noWrap/>
            <w:vAlign w:val="bottom"/>
            <w:hideMark/>
          </w:tcPr>
          <w:p w14:paraId="23C26A1C" w14:textId="77777777" w:rsidR="008E1A94" w:rsidRPr="001F5DAB" w:rsidRDefault="008E1A94" w:rsidP="00312E88">
            <w:pPr>
              <w:rPr>
                <w:rFonts w:cs="Arial"/>
                <w:color w:val="000000"/>
                <w:sz w:val="16"/>
                <w:szCs w:val="16"/>
              </w:rPr>
            </w:pPr>
            <w:r w:rsidRPr="001F5DAB">
              <w:rPr>
                <w:rFonts w:cs="Arial"/>
                <w:color w:val="000000"/>
                <w:sz w:val="16"/>
                <w:szCs w:val="16"/>
              </w:rPr>
              <w:t>0-64 years</w:t>
            </w:r>
          </w:p>
        </w:tc>
        <w:tc>
          <w:tcPr>
            <w:tcW w:w="563" w:type="pct"/>
            <w:tcBorders>
              <w:top w:val="nil"/>
              <w:left w:val="single" w:sz="4" w:space="0" w:color="auto"/>
              <w:bottom w:val="nil"/>
              <w:right w:val="nil"/>
            </w:tcBorders>
            <w:shd w:val="clear" w:color="auto" w:fill="auto"/>
            <w:noWrap/>
            <w:vAlign w:val="bottom"/>
            <w:hideMark/>
          </w:tcPr>
          <w:p w14:paraId="746D7B33" w14:textId="77777777" w:rsidR="008E1A94" w:rsidRPr="001F5DAB" w:rsidRDefault="008E1A94" w:rsidP="00312E88">
            <w:pPr>
              <w:jc w:val="right"/>
              <w:rPr>
                <w:rFonts w:cs="Arial"/>
                <w:color w:val="000000"/>
                <w:sz w:val="16"/>
                <w:szCs w:val="16"/>
              </w:rPr>
            </w:pPr>
            <w:r w:rsidRPr="001F5DAB">
              <w:rPr>
                <w:rFonts w:cs="Arial"/>
                <w:color w:val="000000"/>
                <w:sz w:val="16"/>
                <w:szCs w:val="16"/>
              </w:rPr>
              <w:t>26,328</w:t>
            </w:r>
          </w:p>
        </w:tc>
        <w:tc>
          <w:tcPr>
            <w:tcW w:w="563" w:type="pct"/>
            <w:tcBorders>
              <w:top w:val="nil"/>
              <w:left w:val="nil"/>
              <w:bottom w:val="nil"/>
              <w:right w:val="nil"/>
            </w:tcBorders>
            <w:shd w:val="clear" w:color="auto" w:fill="auto"/>
            <w:noWrap/>
            <w:vAlign w:val="bottom"/>
            <w:hideMark/>
          </w:tcPr>
          <w:p w14:paraId="271C5B39" w14:textId="77777777" w:rsidR="008E1A94" w:rsidRPr="001F5DAB" w:rsidRDefault="008E1A94" w:rsidP="00312E88">
            <w:pPr>
              <w:jc w:val="right"/>
              <w:rPr>
                <w:rFonts w:cs="Arial"/>
                <w:color w:val="000000"/>
                <w:sz w:val="16"/>
                <w:szCs w:val="16"/>
              </w:rPr>
            </w:pPr>
            <w:r w:rsidRPr="001F5DAB">
              <w:rPr>
                <w:rFonts w:cs="Arial"/>
                <w:color w:val="000000"/>
                <w:sz w:val="16"/>
                <w:szCs w:val="16"/>
              </w:rPr>
              <w:t>30,479</w:t>
            </w:r>
          </w:p>
        </w:tc>
        <w:tc>
          <w:tcPr>
            <w:tcW w:w="563" w:type="pct"/>
            <w:tcBorders>
              <w:top w:val="nil"/>
              <w:left w:val="nil"/>
              <w:bottom w:val="nil"/>
              <w:right w:val="nil"/>
            </w:tcBorders>
            <w:shd w:val="clear" w:color="auto" w:fill="auto"/>
            <w:noWrap/>
            <w:vAlign w:val="bottom"/>
            <w:hideMark/>
          </w:tcPr>
          <w:p w14:paraId="05E471C0" w14:textId="77777777" w:rsidR="008E1A94" w:rsidRPr="001F5DAB" w:rsidRDefault="008E1A94" w:rsidP="00312E88">
            <w:pPr>
              <w:jc w:val="right"/>
              <w:rPr>
                <w:rFonts w:cs="Arial"/>
                <w:color w:val="000000"/>
                <w:sz w:val="16"/>
                <w:szCs w:val="16"/>
              </w:rPr>
            </w:pPr>
            <w:r w:rsidRPr="001F5DAB">
              <w:rPr>
                <w:rFonts w:cs="Arial"/>
                <w:color w:val="000000"/>
                <w:sz w:val="16"/>
                <w:szCs w:val="16"/>
              </w:rPr>
              <w:t>33,858</w:t>
            </w:r>
          </w:p>
        </w:tc>
        <w:tc>
          <w:tcPr>
            <w:tcW w:w="563" w:type="pct"/>
            <w:tcBorders>
              <w:top w:val="nil"/>
              <w:left w:val="nil"/>
              <w:bottom w:val="nil"/>
              <w:right w:val="nil"/>
            </w:tcBorders>
            <w:shd w:val="clear" w:color="auto" w:fill="auto"/>
            <w:noWrap/>
            <w:vAlign w:val="bottom"/>
            <w:hideMark/>
          </w:tcPr>
          <w:p w14:paraId="27EC96A3" w14:textId="77777777" w:rsidR="008E1A94" w:rsidRPr="001F5DAB" w:rsidRDefault="008E1A94" w:rsidP="00312E88">
            <w:pPr>
              <w:jc w:val="right"/>
              <w:rPr>
                <w:rFonts w:cs="Arial"/>
                <w:color w:val="000000"/>
                <w:sz w:val="16"/>
                <w:szCs w:val="16"/>
              </w:rPr>
            </w:pPr>
            <w:r w:rsidRPr="001F5DAB">
              <w:rPr>
                <w:rFonts w:cs="Arial"/>
                <w:color w:val="000000"/>
                <w:sz w:val="16"/>
                <w:szCs w:val="16"/>
              </w:rPr>
              <w:t>36,954</w:t>
            </w:r>
          </w:p>
        </w:tc>
        <w:tc>
          <w:tcPr>
            <w:tcW w:w="563" w:type="pct"/>
            <w:tcBorders>
              <w:top w:val="nil"/>
              <w:left w:val="nil"/>
              <w:bottom w:val="nil"/>
              <w:right w:val="single" w:sz="4" w:space="0" w:color="auto"/>
            </w:tcBorders>
            <w:shd w:val="clear" w:color="auto" w:fill="auto"/>
            <w:noWrap/>
            <w:vAlign w:val="bottom"/>
            <w:hideMark/>
          </w:tcPr>
          <w:p w14:paraId="3A5BB46C" w14:textId="77777777" w:rsidR="008E1A94" w:rsidRPr="001F5DAB" w:rsidRDefault="008E1A94" w:rsidP="00312E88">
            <w:pPr>
              <w:jc w:val="right"/>
              <w:rPr>
                <w:rFonts w:cs="Arial"/>
                <w:color w:val="000000"/>
                <w:sz w:val="16"/>
                <w:szCs w:val="16"/>
              </w:rPr>
            </w:pPr>
            <w:r w:rsidRPr="001F5DAB">
              <w:rPr>
                <w:rFonts w:cs="Arial"/>
                <w:color w:val="000000"/>
                <w:sz w:val="16"/>
                <w:szCs w:val="16"/>
              </w:rPr>
              <w:t>53,135</w:t>
            </w:r>
          </w:p>
        </w:tc>
      </w:tr>
      <w:tr w:rsidR="008E1A94" w:rsidRPr="001F5DAB" w14:paraId="5A03C7C7" w14:textId="77777777" w:rsidTr="008E1A94">
        <w:trPr>
          <w:trHeight w:hRule="exact" w:val="284"/>
        </w:trPr>
        <w:tc>
          <w:tcPr>
            <w:tcW w:w="2186" w:type="pct"/>
            <w:tcBorders>
              <w:top w:val="nil"/>
              <w:left w:val="single" w:sz="4" w:space="0" w:color="auto"/>
              <w:bottom w:val="nil"/>
              <w:right w:val="nil"/>
            </w:tcBorders>
            <w:shd w:val="clear" w:color="auto" w:fill="auto"/>
            <w:noWrap/>
            <w:vAlign w:val="bottom"/>
            <w:hideMark/>
          </w:tcPr>
          <w:p w14:paraId="12BFC724" w14:textId="77777777" w:rsidR="008E1A94" w:rsidRPr="001F5DAB" w:rsidRDefault="008E1A94" w:rsidP="00312E88">
            <w:pPr>
              <w:rPr>
                <w:rFonts w:cs="Arial"/>
                <w:color w:val="000000"/>
                <w:sz w:val="16"/>
                <w:szCs w:val="16"/>
              </w:rPr>
            </w:pPr>
            <w:r w:rsidRPr="001F5DAB">
              <w:rPr>
                <w:rFonts w:cs="Arial"/>
                <w:color w:val="000000"/>
                <w:sz w:val="16"/>
                <w:szCs w:val="16"/>
              </w:rPr>
              <w:t>65+ years</w:t>
            </w:r>
          </w:p>
        </w:tc>
        <w:tc>
          <w:tcPr>
            <w:tcW w:w="563" w:type="pct"/>
            <w:tcBorders>
              <w:top w:val="nil"/>
              <w:left w:val="single" w:sz="4" w:space="0" w:color="auto"/>
              <w:bottom w:val="nil"/>
              <w:right w:val="nil"/>
            </w:tcBorders>
            <w:shd w:val="clear" w:color="auto" w:fill="auto"/>
            <w:noWrap/>
            <w:vAlign w:val="bottom"/>
            <w:hideMark/>
          </w:tcPr>
          <w:p w14:paraId="624777EF" w14:textId="77777777" w:rsidR="008E1A94" w:rsidRPr="001F5DAB" w:rsidRDefault="008E1A94" w:rsidP="00312E88">
            <w:pPr>
              <w:jc w:val="right"/>
              <w:rPr>
                <w:rFonts w:cs="Arial"/>
                <w:color w:val="000000"/>
                <w:sz w:val="16"/>
                <w:szCs w:val="16"/>
              </w:rPr>
            </w:pPr>
            <w:r w:rsidRPr="001F5DAB">
              <w:rPr>
                <w:rFonts w:cs="Arial"/>
                <w:color w:val="000000"/>
                <w:sz w:val="16"/>
                <w:szCs w:val="16"/>
              </w:rPr>
              <w:t>1,811</w:t>
            </w:r>
          </w:p>
        </w:tc>
        <w:tc>
          <w:tcPr>
            <w:tcW w:w="563" w:type="pct"/>
            <w:tcBorders>
              <w:top w:val="nil"/>
              <w:left w:val="nil"/>
              <w:bottom w:val="nil"/>
              <w:right w:val="nil"/>
            </w:tcBorders>
            <w:shd w:val="clear" w:color="auto" w:fill="auto"/>
            <w:noWrap/>
            <w:vAlign w:val="bottom"/>
            <w:hideMark/>
          </w:tcPr>
          <w:p w14:paraId="6AD0ED14" w14:textId="77777777" w:rsidR="008E1A94" w:rsidRPr="001F5DAB" w:rsidRDefault="008E1A94" w:rsidP="00312E88">
            <w:pPr>
              <w:jc w:val="right"/>
              <w:rPr>
                <w:rFonts w:cs="Arial"/>
                <w:color w:val="000000"/>
                <w:sz w:val="16"/>
                <w:szCs w:val="16"/>
              </w:rPr>
            </w:pPr>
            <w:r w:rsidRPr="001F5DAB">
              <w:rPr>
                <w:rFonts w:cs="Arial"/>
                <w:color w:val="000000"/>
                <w:sz w:val="16"/>
                <w:szCs w:val="16"/>
              </w:rPr>
              <w:t>2,421</w:t>
            </w:r>
          </w:p>
        </w:tc>
        <w:tc>
          <w:tcPr>
            <w:tcW w:w="563" w:type="pct"/>
            <w:tcBorders>
              <w:top w:val="nil"/>
              <w:left w:val="nil"/>
              <w:bottom w:val="nil"/>
              <w:right w:val="nil"/>
            </w:tcBorders>
            <w:shd w:val="clear" w:color="auto" w:fill="auto"/>
            <w:noWrap/>
            <w:vAlign w:val="bottom"/>
            <w:hideMark/>
          </w:tcPr>
          <w:p w14:paraId="6C240FA0" w14:textId="77777777" w:rsidR="008E1A94" w:rsidRPr="001F5DAB" w:rsidRDefault="008E1A94" w:rsidP="00312E88">
            <w:pPr>
              <w:jc w:val="right"/>
              <w:rPr>
                <w:rFonts w:cs="Arial"/>
                <w:color w:val="000000"/>
                <w:sz w:val="16"/>
                <w:szCs w:val="16"/>
              </w:rPr>
            </w:pPr>
            <w:r w:rsidRPr="001F5DAB">
              <w:rPr>
                <w:rFonts w:cs="Arial"/>
                <w:color w:val="000000"/>
                <w:sz w:val="16"/>
                <w:szCs w:val="16"/>
              </w:rPr>
              <w:t>3,049</w:t>
            </w:r>
          </w:p>
        </w:tc>
        <w:tc>
          <w:tcPr>
            <w:tcW w:w="563" w:type="pct"/>
            <w:tcBorders>
              <w:top w:val="nil"/>
              <w:left w:val="nil"/>
              <w:bottom w:val="nil"/>
              <w:right w:val="nil"/>
            </w:tcBorders>
            <w:shd w:val="clear" w:color="auto" w:fill="auto"/>
            <w:noWrap/>
            <w:vAlign w:val="bottom"/>
            <w:hideMark/>
          </w:tcPr>
          <w:p w14:paraId="3E78549A" w14:textId="77777777" w:rsidR="008E1A94" w:rsidRPr="001F5DAB" w:rsidRDefault="008E1A94" w:rsidP="00312E88">
            <w:pPr>
              <w:jc w:val="right"/>
              <w:rPr>
                <w:rFonts w:cs="Arial"/>
                <w:color w:val="000000"/>
                <w:sz w:val="16"/>
                <w:szCs w:val="16"/>
              </w:rPr>
            </w:pPr>
            <w:r w:rsidRPr="001F5DAB">
              <w:rPr>
                <w:rFonts w:cs="Arial"/>
                <w:color w:val="000000"/>
                <w:sz w:val="16"/>
                <w:szCs w:val="16"/>
              </w:rPr>
              <w:t>3,705</w:t>
            </w:r>
          </w:p>
        </w:tc>
        <w:tc>
          <w:tcPr>
            <w:tcW w:w="563" w:type="pct"/>
            <w:tcBorders>
              <w:top w:val="nil"/>
              <w:left w:val="nil"/>
              <w:bottom w:val="nil"/>
              <w:right w:val="single" w:sz="4" w:space="0" w:color="auto"/>
            </w:tcBorders>
            <w:shd w:val="clear" w:color="auto" w:fill="auto"/>
            <w:noWrap/>
            <w:vAlign w:val="bottom"/>
            <w:hideMark/>
          </w:tcPr>
          <w:p w14:paraId="29526BF1" w14:textId="77777777" w:rsidR="008E1A94" w:rsidRPr="001F5DAB" w:rsidRDefault="008E1A94" w:rsidP="00312E88">
            <w:pPr>
              <w:jc w:val="right"/>
              <w:rPr>
                <w:rFonts w:cs="Arial"/>
                <w:color w:val="000000"/>
                <w:sz w:val="16"/>
                <w:szCs w:val="16"/>
              </w:rPr>
            </w:pPr>
            <w:r w:rsidRPr="001F5DAB">
              <w:rPr>
                <w:rFonts w:cs="Arial"/>
                <w:color w:val="000000"/>
                <w:sz w:val="16"/>
                <w:szCs w:val="16"/>
              </w:rPr>
              <w:t>7,189</w:t>
            </w:r>
          </w:p>
        </w:tc>
      </w:tr>
      <w:tr w:rsidR="008E1A94" w:rsidRPr="001F5DAB" w14:paraId="747BC78C" w14:textId="77777777" w:rsidTr="008E1A94">
        <w:trPr>
          <w:trHeight w:hRule="exact" w:val="284"/>
        </w:trPr>
        <w:tc>
          <w:tcPr>
            <w:tcW w:w="2186" w:type="pct"/>
            <w:tcBorders>
              <w:top w:val="single" w:sz="4" w:space="0" w:color="auto"/>
              <w:left w:val="single" w:sz="4" w:space="0" w:color="auto"/>
              <w:bottom w:val="single" w:sz="4" w:space="0" w:color="auto"/>
              <w:right w:val="nil"/>
            </w:tcBorders>
            <w:shd w:val="clear" w:color="auto" w:fill="auto"/>
            <w:noWrap/>
            <w:vAlign w:val="bottom"/>
            <w:hideMark/>
          </w:tcPr>
          <w:p w14:paraId="5E140538" w14:textId="77777777" w:rsidR="008E1A94" w:rsidRPr="001F5DAB" w:rsidRDefault="008E1A94" w:rsidP="00312E88">
            <w:pPr>
              <w:rPr>
                <w:rFonts w:cs="Arial"/>
                <w:b/>
                <w:bCs/>
                <w:color w:val="000000"/>
                <w:sz w:val="16"/>
                <w:szCs w:val="16"/>
              </w:rPr>
            </w:pPr>
            <w:r w:rsidRPr="001F5DAB">
              <w:rPr>
                <w:rFonts w:cs="Arial"/>
                <w:b/>
                <w:bCs/>
                <w:color w:val="000000"/>
                <w:sz w:val="16"/>
                <w:szCs w:val="16"/>
              </w:rPr>
              <w:t>Total Participant Costs (accrual basis)</w:t>
            </w:r>
          </w:p>
        </w:tc>
        <w:tc>
          <w:tcPr>
            <w:tcW w:w="563" w:type="pct"/>
            <w:tcBorders>
              <w:top w:val="single" w:sz="4" w:space="0" w:color="auto"/>
              <w:left w:val="single" w:sz="4" w:space="0" w:color="auto"/>
              <w:bottom w:val="single" w:sz="4" w:space="0" w:color="auto"/>
              <w:right w:val="nil"/>
            </w:tcBorders>
            <w:shd w:val="clear" w:color="auto" w:fill="auto"/>
            <w:noWrap/>
            <w:vAlign w:val="bottom"/>
            <w:hideMark/>
          </w:tcPr>
          <w:p w14:paraId="41190CB6"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28,139</w:t>
            </w:r>
          </w:p>
        </w:tc>
        <w:tc>
          <w:tcPr>
            <w:tcW w:w="563" w:type="pct"/>
            <w:tcBorders>
              <w:top w:val="single" w:sz="4" w:space="0" w:color="auto"/>
              <w:left w:val="nil"/>
              <w:bottom w:val="single" w:sz="4" w:space="0" w:color="auto"/>
              <w:right w:val="nil"/>
            </w:tcBorders>
            <w:shd w:val="clear" w:color="auto" w:fill="auto"/>
            <w:noWrap/>
            <w:vAlign w:val="bottom"/>
            <w:hideMark/>
          </w:tcPr>
          <w:p w14:paraId="79097403"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32,900</w:t>
            </w:r>
          </w:p>
        </w:tc>
        <w:tc>
          <w:tcPr>
            <w:tcW w:w="563" w:type="pct"/>
            <w:tcBorders>
              <w:top w:val="single" w:sz="4" w:space="0" w:color="auto"/>
              <w:left w:val="nil"/>
              <w:bottom w:val="single" w:sz="4" w:space="0" w:color="auto"/>
              <w:right w:val="nil"/>
            </w:tcBorders>
            <w:shd w:val="clear" w:color="auto" w:fill="auto"/>
            <w:noWrap/>
            <w:vAlign w:val="bottom"/>
            <w:hideMark/>
          </w:tcPr>
          <w:p w14:paraId="7AB48562"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36,906</w:t>
            </w:r>
          </w:p>
        </w:tc>
        <w:tc>
          <w:tcPr>
            <w:tcW w:w="563" w:type="pct"/>
            <w:tcBorders>
              <w:top w:val="single" w:sz="4" w:space="0" w:color="auto"/>
              <w:left w:val="nil"/>
              <w:bottom w:val="single" w:sz="4" w:space="0" w:color="auto"/>
              <w:right w:val="nil"/>
            </w:tcBorders>
            <w:shd w:val="clear" w:color="auto" w:fill="auto"/>
            <w:noWrap/>
            <w:vAlign w:val="bottom"/>
            <w:hideMark/>
          </w:tcPr>
          <w:p w14:paraId="7A6DE8D3"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40,659</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14:paraId="6589D9F7"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60,324</w:t>
            </w:r>
          </w:p>
        </w:tc>
      </w:tr>
      <w:tr w:rsidR="008E1A94" w:rsidRPr="001F5DAB" w14:paraId="6D0819F1" w14:textId="77777777" w:rsidTr="008E1A94">
        <w:trPr>
          <w:trHeight w:hRule="exact" w:val="284"/>
        </w:trPr>
        <w:tc>
          <w:tcPr>
            <w:tcW w:w="2186" w:type="pct"/>
            <w:tcBorders>
              <w:top w:val="nil"/>
              <w:left w:val="single" w:sz="4" w:space="0" w:color="auto"/>
              <w:bottom w:val="single" w:sz="4" w:space="0" w:color="auto"/>
              <w:right w:val="nil"/>
            </w:tcBorders>
            <w:shd w:val="clear" w:color="000000" w:fill="F7EEF7"/>
            <w:noWrap/>
            <w:vAlign w:val="bottom"/>
            <w:hideMark/>
          </w:tcPr>
          <w:p w14:paraId="4BA33880" w14:textId="77777777" w:rsidR="008E1A94" w:rsidRPr="001F5DAB" w:rsidRDefault="008E1A94" w:rsidP="00312E88">
            <w:pPr>
              <w:rPr>
                <w:rFonts w:cs="Arial"/>
                <w:b/>
                <w:bCs/>
                <w:color w:val="000000"/>
                <w:sz w:val="16"/>
                <w:szCs w:val="16"/>
              </w:rPr>
            </w:pPr>
            <w:r w:rsidRPr="001F5DAB">
              <w:rPr>
                <w:rFonts w:cs="Arial"/>
                <w:b/>
                <w:bCs/>
                <w:color w:val="000000"/>
                <w:sz w:val="16"/>
                <w:szCs w:val="16"/>
              </w:rPr>
              <w:t>Difference</w:t>
            </w:r>
          </w:p>
          <w:p w14:paraId="4FBB5D0B"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61ED40F7"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65E238FE"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32B14C61"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56CBF27D"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single" w:sz="4" w:space="0" w:color="auto"/>
            </w:tcBorders>
            <w:shd w:val="clear" w:color="000000" w:fill="F7EEF7"/>
            <w:noWrap/>
            <w:vAlign w:val="bottom"/>
            <w:hideMark/>
          </w:tcPr>
          <w:p w14:paraId="692289A9"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r>
      <w:tr w:rsidR="008E1A94" w:rsidRPr="001F5DAB" w14:paraId="6E9B6051" w14:textId="77777777" w:rsidTr="008E1A94">
        <w:trPr>
          <w:trHeight w:hRule="exact" w:val="284"/>
        </w:trPr>
        <w:tc>
          <w:tcPr>
            <w:tcW w:w="2186" w:type="pct"/>
            <w:tcBorders>
              <w:top w:val="nil"/>
              <w:left w:val="single" w:sz="4" w:space="0" w:color="auto"/>
              <w:bottom w:val="single" w:sz="4" w:space="0" w:color="auto"/>
              <w:right w:val="nil"/>
            </w:tcBorders>
            <w:shd w:val="clear" w:color="000000" w:fill="EDEDED"/>
            <w:noWrap/>
            <w:vAlign w:val="bottom"/>
            <w:hideMark/>
          </w:tcPr>
          <w:p w14:paraId="6AD834EC" w14:textId="77777777" w:rsidR="008E1A94" w:rsidRPr="001F5DAB" w:rsidRDefault="008E1A94" w:rsidP="00312E88">
            <w:pPr>
              <w:rPr>
                <w:rFonts w:cs="Arial"/>
                <w:color w:val="000000"/>
                <w:sz w:val="16"/>
                <w:szCs w:val="16"/>
              </w:rPr>
            </w:pPr>
            <w:r w:rsidRPr="001F5DAB">
              <w:rPr>
                <w:rFonts w:cs="Arial"/>
                <w:color w:val="000000"/>
                <w:sz w:val="16"/>
                <w:szCs w:val="16"/>
              </w:rPr>
              <w:lastRenderedPageBreak/>
              <w:t>Participant Costs (accrual basis)</w:t>
            </w:r>
          </w:p>
          <w:p w14:paraId="0373440A"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7805E24F"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14C7F720"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56603501"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43DE51E9"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single" w:sz="4" w:space="0" w:color="auto"/>
            </w:tcBorders>
            <w:shd w:val="clear" w:color="000000" w:fill="EDEDED"/>
            <w:noWrap/>
            <w:vAlign w:val="bottom"/>
            <w:hideMark/>
          </w:tcPr>
          <w:p w14:paraId="42F93CB9"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r>
      <w:tr w:rsidR="008E1A94" w:rsidRPr="001F5DAB" w14:paraId="172C3835" w14:textId="77777777" w:rsidTr="008E1A94">
        <w:trPr>
          <w:trHeight w:hRule="exact" w:val="284"/>
        </w:trPr>
        <w:tc>
          <w:tcPr>
            <w:tcW w:w="2186" w:type="pct"/>
            <w:tcBorders>
              <w:top w:val="nil"/>
              <w:left w:val="single" w:sz="4" w:space="0" w:color="auto"/>
              <w:bottom w:val="nil"/>
              <w:right w:val="nil"/>
            </w:tcBorders>
            <w:shd w:val="clear" w:color="auto" w:fill="auto"/>
            <w:noWrap/>
            <w:vAlign w:val="bottom"/>
            <w:hideMark/>
          </w:tcPr>
          <w:p w14:paraId="59CAFED5" w14:textId="77777777" w:rsidR="008E1A94" w:rsidRPr="001F5DAB" w:rsidRDefault="008E1A94" w:rsidP="00312E88">
            <w:pPr>
              <w:rPr>
                <w:rFonts w:cs="Arial"/>
                <w:color w:val="000000"/>
                <w:sz w:val="16"/>
                <w:szCs w:val="16"/>
              </w:rPr>
            </w:pPr>
            <w:r w:rsidRPr="001F5DAB">
              <w:rPr>
                <w:rFonts w:cs="Arial"/>
                <w:color w:val="000000"/>
                <w:sz w:val="16"/>
                <w:szCs w:val="16"/>
              </w:rPr>
              <w:t>0-64 years</w:t>
            </w:r>
          </w:p>
        </w:tc>
        <w:tc>
          <w:tcPr>
            <w:tcW w:w="563" w:type="pct"/>
            <w:tcBorders>
              <w:top w:val="nil"/>
              <w:left w:val="single" w:sz="4" w:space="0" w:color="auto"/>
              <w:bottom w:val="nil"/>
              <w:right w:val="nil"/>
            </w:tcBorders>
            <w:shd w:val="clear" w:color="auto" w:fill="auto"/>
            <w:noWrap/>
            <w:vAlign w:val="bottom"/>
            <w:hideMark/>
          </w:tcPr>
          <w:p w14:paraId="5B9F1183" w14:textId="77777777" w:rsidR="008E1A94" w:rsidRPr="001F5DAB" w:rsidRDefault="008E1A94" w:rsidP="00312E88">
            <w:pPr>
              <w:jc w:val="right"/>
              <w:rPr>
                <w:rFonts w:cs="Arial"/>
                <w:color w:val="000000"/>
                <w:sz w:val="16"/>
                <w:szCs w:val="16"/>
              </w:rPr>
            </w:pPr>
            <w:r w:rsidRPr="001F5DAB">
              <w:rPr>
                <w:rFonts w:cs="Arial"/>
                <w:color w:val="000000"/>
                <w:sz w:val="16"/>
                <w:szCs w:val="16"/>
              </w:rPr>
              <w:t>1,031</w:t>
            </w:r>
          </w:p>
        </w:tc>
        <w:tc>
          <w:tcPr>
            <w:tcW w:w="563" w:type="pct"/>
            <w:tcBorders>
              <w:top w:val="nil"/>
              <w:left w:val="nil"/>
              <w:bottom w:val="nil"/>
              <w:right w:val="nil"/>
            </w:tcBorders>
            <w:shd w:val="clear" w:color="auto" w:fill="auto"/>
            <w:noWrap/>
            <w:vAlign w:val="bottom"/>
            <w:hideMark/>
          </w:tcPr>
          <w:p w14:paraId="006FAA28" w14:textId="77777777" w:rsidR="008E1A94" w:rsidRPr="001F5DAB" w:rsidRDefault="008E1A94" w:rsidP="00312E88">
            <w:pPr>
              <w:jc w:val="right"/>
              <w:rPr>
                <w:rFonts w:cs="Arial"/>
                <w:color w:val="000000"/>
                <w:sz w:val="16"/>
                <w:szCs w:val="16"/>
              </w:rPr>
            </w:pPr>
            <w:r w:rsidRPr="001F5DAB">
              <w:rPr>
                <w:rFonts w:cs="Arial"/>
                <w:color w:val="000000"/>
                <w:sz w:val="16"/>
                <w:szCs w:val="16"/>
              </w:rPr>
              <w:t>907</w:t>
            </w:r>
          </w:p>
        </w:tc>
        <w:tc>
          <w:tcPr>
            <w:tcW w:w="563" w:type="pct"/>
            <w:tcBorders>
              <w:top w:val="nil"/>
              <w:left w:val="nil"/>
              <w:bottom w:val="nil"/>
              <w:right w:val="nil"/>
            </w:tcBorders>
            <w:shd w:val="clear" w:color="auto" w:fill="auto"/>
            <w:noWrap/>
            <w:vAlign w:val="bottom"/>
            <w:hideMark/>
          </w:tcPr>
          <w:p w14:paraId="56DF72A8" w14:textId="77777777" w:rsidR="008E1A94" w:rsidRPr="001F5DAB" w:rsidRDefault="008E1A94" w:rsidP="00312E88">
            <w:pPr>
              <w:jc w:val="right"/>
              <w:rPr>
                <w:rFonts w:cs="Arial"/>
                <w:color w:val="000000"/>
                <w:sz w:val="16"/>
                <w:szCs w:val="16"/>
              </w:rPr>
            </w:pPr>
            <w:r w:rsidRPr="001F5DAB">
              <w:rPr>
                <w:rFonts w:cs="Arial"/>
                <w:color w:val="000000"/>
                <w:sz w:val="16"/>
                <w:szCs w:val="16"/>
              </w:rPr>
              <w:t>954</w:t>
            </w:r>
          </w:p>
        </w:tc>
        <w:tc>
          <w:tcPr>
            <w:tcW w:w="563" w:type="pct"/>
            <w:tcBorders>
              <w:top w:val="nil"/>
              <w:left w:val="nil"/>
              <w:bottom w:val="nil"/>
              <w:right w:val="nil"/>
            </w:tcBorders>
            <w:shd w:val="clear" w:color="auto" w:fill="auto"/>
            <w:noWrap/>
            <w:vAlign w:val="bottom"/>
            <w:hideMark/>
          </w:tcPr>
          <w:p w14:paraId="553E84BA" w14:textId="77777777" w:rsidR="008E1A94" w:rsidRPr="001F5DAB" w:rsidRDefault="008E1A94" w:rsidP="00312E88">
            <w:pPr>
              <w:jc w:val="right"/>
              <w:rPr>
                <w:rFonts w:cs="Arial"/>
                <w:color w:val="000000"/>
                <w:sz w:val="16"/>
                <w:szCs w:val="16"/>
              </w:rPr>
            </w:pPr>
            <w:r w:rsidRPr="001F5DAB">
              <w:rPr>
                <w:rFonts w:cs="Arial"/>
                <w:color w:val="000000"/>
                <w:sz w:val="16"/>
                <w:szCs w:val="16"/>
              </w:rPr>
              <w:t>616</w:t>
            </w:r>
          </w:p>
        </w:tc>
        <w:tc>
          <w:tcPr>
            <w:tcW w:w="563" w:type="pct"/>
            <w:tcBorders>
              <w:top w:val="nil"/>
              <w:left w:val="nil"/>
              <w:bottom w:val="nil"/>
              <w:right w:val="single" w:sz="4" w:space="0" w:color="auto"/>
            </w:tcBorders>
            <w:shd w:val="clear" w:color="auto" w:fill="auto"/>
            <w:noWrap/>
            <w:vAlign w:val="bottom"/>
            <w:hideMark/>
          </w:tcPr>
          <w:p w14:paraId="5A76B5E0" w14:textId="77777777" w:rsidR="008E1A94" w:rsidRPr="001F5DAB" w:rsidRDefault="008E1A94" w:rsidP="00312E88">
            <w:pPr>
              <w:jc w:val="right"/>
              <w:rPr>
                <w:rFonts w:cs="Arial"/>
                <w:color w:val="000000"/>
                <w:sz w:val="16"/>
                <w:szCs w:val="16"/>
              </w:rPr>
            </w:pPr>
            <w:r w:rsidRPr="001F5DAB">
              <w:rPr>
                <w:rFonts w:cs="Arial"/>
                <w:color w:val="000000"/>
                <w:sz w:val="16"/>
                <w:szCs w:val="16"/>
              </w:rPr>
              <w:t>-967</w:t>
            </w:r>
          </w:p>
        </w:tc>
      </w:tr>
      <w:tr w:rsidR="008E1A94" w:rsidRPr="001F5DAB" w14:paraId="3680DA9D" w14:textId="77777777" w:rsidTr="008E1A94">
        <w:trPr>
          <w:trHeight w:hRule="exact" w:val="284"/>
        </w:trPr>
        <w:tc>
          <w:tcPr>
            <w:tcW w:w="2186" w:type="pct"/>
            <w:tcBorders>
              <w:top w:val="nil"/>
              <w:left w:val="single" w:sz="4" w:space="0" w:color="auto"/>
              <w:bottom w:val="nil"/>
              <w:right w:val="nil"/>
            </w:tcBorders>
            <w:shd w:val="clear" w:color="auto" w:fill="auto"/>
            <w:noWrap/>
            <w:vAlign w:val="bottom"/>
            <w:hideMark/>
          </w:tcPr>
          <w:p w14:paraId="1674F6F7" w14:textId="77777777" w:rsidR="008E1A94" w:rsidRPr="001F5DAB" w:rsidRDefault="008E1A94" w:rsidP="00312E88">
            <w:pPr>
              <w:rPr>
                <w:rFonts w:cs="Arial"/>
                <w:color w:val="000000"/>
                <w:sz w:val="16"/>
                <w:szCs w:val="16"/>
              </w:rPr>
            </w:pPr>
            <w:r w:rsidRPr="001F5DAB">
              <w:rPr>
                <w:rFonts w:cs="Arial"/>
                <w:color w:val="000000"/>
                <w:sz w:val="16"/>
                <w:szCs w:val="16"/>
              </w:rPr>
              <w:t>65+ years</w:t>
            </w:r>
          </w:p>
        </w:tc>
        <w:tc>
          <w:tcPr>
            <w:tcW w:w="563" w:type="pct"/>
            <w:tcBorders>
              <w:top w:val="nil"/>
              <w:left w:val="single" w:sz="4" w:space="0" w:color="auto"/>
              <w:bottom w:val="nil"/>
              <w:right w:val="nil"/>
            </w:tcBorders>
            <w:shd w:val="clear" w:color="auto" w:fill="auto"/>
            <w:noWrap/>
            <w:vAlign w:val="bottom"/>
            <w:hideMark/>
          </w:tcPr>
          <w:p w14:paraId="20330D91" w14:textId="77777777" w:rsidR="008E1A94" w:rsidRPr="001F5DAB" w:rsidRDefault="008E1A94" w:rsidP="00312E88">
            <w:pPr>
              <w:jc w:val="right"/>
              <w:rPr>
                <w:rFonts w:cs="Arial"/>
                <w:color w:val="000000"/>
                <w:sz w:val="16"/>
                <w:szCs w:val="16"/>
              </w:rPr>
            </w:pPr>
            <w:r w:rsidRPr="001F5DAB">
              <w:rPr>
                <w:rFonts w:cs="Arial"/>
                <w:color w:val="000000"/>
                <w:sz w:val="16"/>
                <w:szCs w:val="16"/>
              </w:rPr>
              <w:t>53</w:t>
            </w:r>
          </w:p>
        </w:tc>
        <w:tc>
          <w:tcPr>
            <w:tcW w:w="563" w:type="pct"/>
            <w:tcBorders>
              <w:top w:val="nil"/>
              <w:left w:val="nil"/>
              <w:bottom w:val="nil"/>
              <w:right w:val="nil"/>
            </w:tcBorders>
            <w:shd w:val="clear" w:color="auto" w:fill="auto"/>
            <w:noWrap/>
            <w:vAlign w:val="bottom"/>
            <w:hideMark/>
          </w:tcPr>
          <w:p w14:paraId="619C311E" w14:textId="77777777" w:rsidR="008E1A94" w:rsidRPr="001F5DAB" w:rsidRDefault="008E1A94" w:rsidP="00312E88">
            <w:pPr>
              <w:jc w:val="right"/>
              <w:rPr>
                <w:rFonts w:cs="Arial"/>
                <w:color w:val="000000"/>
                <w:sz w:val="16"/>
                <w:szCs w:val="16"/>
              </w:rPr>
            </w:pPr>
            <w:r w:rsidRPr="001F5DAB">
              <w:rPr>
                <w:rFonts w:cs="Arial"/>
                <w:color w:val="000000"/>
                <w:sz w:val="16"/>
                <w:szCs w:val="16"/>
              </w:rPr>
              <w:t>80</w:t>
            </w:r>
          </w:p>
        </w:tc>
        <w:tc>
          <w:tcPr>
            <w:tcW w:w="563" w:type="pct"/>
            <w:tcBorders>
              <w:top w:val="nil"/>
              <w:left w:val="nil"/>
              <w:bottom w:val="nil"/>
              <w:right w:val="nil"/>
            </w:tcBorders>
            <w:shd w:val="clear" w:color="auto" w:fill="auto"/>
            <w:noWrap/>
            <w:vAlign w:val="bottom"/>
            <w:hideMark/>
          </w:tcPr>
          <w:p w14:paraId="401523A4" w14:textId="77777777" w:rsidR="008E1A94" w:rsidRPr="001F5DAB" w:rsidRDefault="008E1A94" w:rsidP="00312E88">
            <w:pPr>
              <w:jc w:val="right"/>
              <w:rPr>
                <w:rFonts w:cs="Arial"/>
                <w:color w:val="000000"/>
                <w:sz w:val="16"/>
                <w:szCs w:val="16"/>
              </w:rPr>
            </w:pPr>
            <w:r w:rsidRPr="001F5DAB">
              <w:rPr>
                <w:rFonts w:cs="Arial"/>
                <w:color w:val="000000"/>
                <w:sz w:val="16"/>
                <w:szCs w:val="16"/>
              </w:rPr>
              <w:t>112</w:t>
            </w:r>
          </w:p>
        </w:tc>
        <w:tc>
          <w:tcPr>
            <w:tcW w:w="563" w:type="pct"/>
            <w:tcBorders>
              <w:top w:val="nil"/>
              <w:left w:val="nil"/>
              <w:bottom w:val="nil"/>
              <w:right w:val="nil"/>
            </w:tcBorders>
            <w:shd w:val="clear" w:color="auto" w:fill="auto"/>
            <w:noWrap/>
            <w:vAlign w:val="bottom"/>
            <w:hideMark/>
          </w:tcPr>
          <w:p w14:paraId="060518F5" w14:textId="77777777" w:rsidR="008E1A94" w:rsidRPr="001F5DAB" w:rsidRDefault="008E1A94" w:rsidP="00312E88">
            <w:pPr>
              <w:jc w:val="right"/>
              <w:rPr>
                <w:rFonts w:cs="Arial"/>
                <w:color w:val="000000"/>
                <w:sz w:val="16"/>
                <w:szCs w:val="16"/>
              </w:rPr>
            </w:pPr>
            <w:r w:rsidRPr="001F5DAB">
              <w:rPr>
                <w:rFonts w:cs="Arial"/>
                <w:color w:val="000000"/>
                <w:sz w:val="16"/>
                <w:szCs w:val="16"/>
              </w:rPr>
              <w:t>98</w:t>
            </w:r>
          </w:p>
        </w:tc>
        <w:tc>
          <w:tcPr>
            <w:tcW w:w="563" w:type="pct"/>
            <w:tcBorders>
              <w:top w:val="nil"/>
              <w:left w:val="nil"/>
              <w:bottom w:val="nil"/>
              <w:right w:val="single" w:sz="4" w:space="0" w:color="auto"/>
            </w:tcBorders>
            <w:shd w:val="clear" w:color="auto" w:fill="auto"/>
            <w:noWrap/>
            <w:vAlign w:val="bottom"/>
            <w:hideMark/>
          </w:tcPr>
          <w:p w14:paraId="0C9B2255" w14:textId="77777777" w:rsidR="008E1A94" w:rsidRPr="001F5DAB" w:rsidRDefault="008E1A94" w:rsidP="00312E88">
            <w:pPr>
              <w:jc w:val="right"/>
              <w:rPr>
                <w:rFonts w:cs="Arial"/>
                <w:color w:val="000000"/>
                <w:sz w:val="16"/>
                <w:szCs w:val="16"/>
              </w:rPr>
            </w:pPr>
            <w:r w:rsidRPr="001F5DAB">
              <w:rPr>
                <w:rFonts w:cs="Arial"/>
                <w:color w:val="000000"/>
                <w:sz w:val="16"/>
                <w:szCs w:val="16"/>
              </w:rPr>
              <w:t>-73</w:t>
            </w:r>
          </w:p>
        </w:tc>
      </w:tr>
      <w:tr w:rsidR="008E1A94" w:rsidRPr="001F5DAB" w14:paraId="7508C062" w14:textId="77777777" w:rsidTr="008E1A94">
        <w:trPr>
          <w:trHeight w:hRule="exact" w:val="284"/>
        </w:trPr>
        <w:tc>
          <w:tcPr>
            <w:tcW w:w="2186" w:type="pct"/>
            <w:tcBorders>
              <w:top w:val="single" w:sz="4" w:space="0" w:color="auto"/>
              <w:left w:val="single" w:sz="4" w:space="0" w:color="auto"/>
              <w:bottom w:val="single" w:sz="4" w:space="0" w:color="auto"/>
              <w:right w:val="nil"/>
            </w:tcBorders>
            <w:shd w:val="clear" w:color="auto" w:fill="auto"/>
            <w:noWrap/>
            <w:vAlign w:val="bottom"/>
            <w:hideMark/>
          </w:tcPr>
          <w:p w14:paraId="084F9AAC" w14:textId="77777777" w:rsidR="008E1A94" w:rsidRPr="001F5DAB" w:rsidRDefault="008E1A94" w:rsidP="00312E88">
            <w:pPr>
              <w:rPr>
                <w:rFonts w:cs="Arial"/>
                <w:b/>
                <w:bCs/>
                <w:color w:val="000000"/>
                <w:sz w:val="16"/>
                <w:szCs w:val="16"/>
              </w:rPr>
            </w:pPr>
            <w:r w:rsidRPr="001F5DAB">
              <w:rPr>
                <w:rFonts w:cs="Arial"/>
                <w:b/>
                <w:bCs/>
                <w:color w:val="000000"/>
                <w:sz w:val="16"/>
                <w:szCs w:val="16"/>
              </w:rPr>
              <w:t>Total Participant Costs (accrual basis)</w:t>
            </w:r>
          </w:p>
        </w:tc>
        <w:tc>
          <w:tcPr>
            <w:tcW w:w="563" w:type="pct"/>
            <w:tcBorders>
              <w:top w:val="single" w:sz="4" w:space="0" w:color="auto"/>
              <w:left w:val="single" w:sz="4" w:space="0" w:color="auto"/>
              <w:bottom w:val="single" w:sz="4" w:space="0" w:color="auto"/>
              <w:right w:val="nil"/>
            </w:tcBorders>
            <w:shd w:val="clear" w:color="auto" w:fill="auto"/>
            <w:noWrap/>
            <w:vAlign w:val="bottom"/>
            <w:hideMark/>
          </w:tcPr>
          <w:p w14:paraId="70ED5F98"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1,085</w:t>
            </w:r>
          </w:p>
        </w:tc>
        <w:tc>
          <w:tcPr>
            <w:tcW w:w="563" w:type="pct"/>
            <w:tcBorders>
              <w:top w:val="single" w:sz="4" w:space="0" w:color="auto"/>
              <w:left w:val="nil"/>
              <w:bottom w:val="single" w:sz="4" w:space="0" w:color="auto"/>
              <w:right w:val="nil"/>
            </w:tcBorders>
            <w:shd w:val="clear" w:color="auto" w:fill="auto"/>
            <w:noWrap/>
            <w:vAlign w:val="bottom"/>
            <w:hideMark/>
          </w:tcPr>
          <w:p w14:paraId="5D794360"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987</w:t>
            </w:r>
          </w:p>
        </w:tc>
        <w:tc>
          <w:tcPr>
            <w:tcW w:w="563" w:type="pct"/>
            <w:tcBorders>
              <w:top w:val="single" w:sz="4" w:space="0" w:color="auto"/>
              <w:left w:val="nil"/>
              <w:bottom w:val="single" w:sz="4" w:space="0" w:color="auto"/>
              <w:right w:val="nil"/>
            </w:tcBorders>
            <w:shd w:val="clear" w:color="auto" w:fill="auto"/>
            <w:noWrap/>
            <w:vAlign w:val="bottom"/>
            <w:hideMark/>
          </w:tcPr>
          <w:p w14:paraId="101AAF24"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1,066</w:t>
            </w:r>
          </w:p>
        </w:tc>
        <w:tc>
          <w:tcPr>
            <w:tcW w:w="563" w:type="pct"/>
            <w:tcBorders>
              <w:top w:val="single" w:sz="4" w:space="0" w:color="auto"/>
              <w:left w:val="nil"/>
              <w:bottom w:val="single" w:sz="4" w:space="0" w:color="auto"/>
              <w:right w:val="nil"/>
            </w:tcBorders>
            <w:shd w:val="clear" w:color="auto" w:fill="auto"/>
            <w:noWrap/>
            <w:vAlign w:val="bottom"/>
            <w:hideMark/>
          </w:tcPr>
          <w:p w14:paraId="6ABDB5D1"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714</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14:paraId="0AF5068B"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-1,040</w:t>
            </w:r>
          </w:p>
        </w:tc>
      </w:tr>
      <w:tr w:rsidR="008E1A94" w:rsidRPr="001F5DAB" w14:paraId="4A8C16FC" w14:textId="77777777" w:rsidTr="008E1A94">
        <w:trPr>
          <w:trHeight w:hRule="exact" w:val="284"/>
        </w:trPr>
        <w:tc>
          <w:tcPr>
            <w:tcW w:w="2186" w:type="pct"/>
            <w:tcBorders>
              <w:top w:val="nil"/>
              <w:left w:val="single" w:sz="4" w:space="0" w:color="auto"/>
              <w:bottom w:val="single" w:sz="4" w:space="0" w:color="auto"/>
              <w:right w:val="nil"/>
            </w:tcBorders>
            <w:shd w:val="clear" w:color="000000" w:fill="F7EEF7"/>
            <w:noWrap/>
            <w:vAlign w:val="bottom"/>
            <w:hideMark/>
          </w:tcPr>
          <w:p w14:paraId="6BC97126" w14:textId="77777777" w:rsidR="008E1A94" w:rsidRPr="001F5DAB" w:rsidRDefault="008E1A94" w:rsidP="00312E88">
            <w:pPr>
              <w:rPr>
                <w:rFonts w:cs="Arial"/>
                <w:b/>
                <w:bCs/>
                <w:color w:val="000000"/>
                <w:sz w:val="16"/>
                <w:szCs w:val="16"/>
              </w:rPr>
            </w:pPr>
            <w:r w:rsidRPr="001F5DAB">
              <w:rPr>
                <w:rFonts w:cs="Arial"/>
                <w:b/>
                <w:bCs/>
                <w:color w:val="000000"/>
                <w:sz w:val="16"/>
                <w:szCs w:val="16"/>
              </w:rPr>
              <w:t>% Difference</w:t>
            </w:r>
          </w:p>
          <w:p w14:paraId="2A06C142"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6030BD98"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48E64809"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4566569D"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nil"/>
            </w:tcBorders>
            <w:shd w:val="clear" w:color="000000" w:fill="F7EEF7"/>
            <w:noWrap/>
            <w:vAlign w:val="bottom"/>
            <w:hideMark/>
          </w:tcPr>
          <w:p w14:paraId="02159A9B"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c>
          <w:tcPr>
            <w:tcW w:w="563" w:type="pct"/>
            <w:tcBorders>
              <w:top w:val="nil"/>
              <w:left w:val="nil"/>
              <w:bottom w:val="single" w:sz="4" w:space="0" w:color="auto"/>
              <w:right w:val="single" w:sz="4" w:space="0" w:color="auto"/>
            </w:tcBorders>
            <w:shd w:val="clear" w:color="000000" w:fill="F7EEF7"/>
            <w:noWrap/>
            <w:vAlign w:val="bottom"/>
            <w:hideMark/>
          </w:tcPr>
          <w:p w14:paraId="11D8F06C" w14:textId="77777777" w:rsidR="008E1A94" w:rsidRPr="001F5DAB" w:rsidRDefault="008E1A94" w:rsidP="00312E88">
            <w:pPr>
              <w:jc w:val="right"/>
              <w:rPr>
                <w:rFonts w:cs="Arial"/>
                <w:b/>
                <w:bCs/>
                <w:i/>
                <w:iCs/>
                <w:color w:val="000000"/>
                <w:sz w:val="16"/>
                <w:szCs w:val="16"/>
              </w:rPr>
            </w:pPr>
            <w:r w:rsidRPr="001F5DAB">
              <w:rPr>
                <w:rFonts w:cs="Arial"/>
                <w:b/>
                <w:bCs/>
                <w:i/>
                <w:iCs/>
                <w:color w:val="000000"/>
                <w:sz w:val="16"/>
                <w:szCs w:val="16"/>
              </w:rPr>
              <w:t> </w:t>
            </w:r>
          </w:p>
        </w:tc>
      </w:tr>
      <w:tr w:rsidR="008E1A94" w:rsidRPr="001F5DAB" w14:paraId="4413E5A9" w14:textId="77777777" w:rsidTr="008E1A94">
        <w:trPr>
          <w:trHeight w:hRule="exact" w:val="284"/>
        </w:trPr>
        <w:tc>
          <w:tcPr>
            <w:tcW w:w="2186" w:type="pct"/>
            <w:tcBorders>
              <w:top w:val="nil"/>
              <w:left w:val="single" w:sz="4" w:space="0" w:color="auto"/>
              <w:bottom w:val="single" w:sz="4" w:space="0" w:color="auto"/>
              <w:right w:val="nil"/>
            </w:tcBorders>
            <w:shd w:val="clear" w:color="000000" w:fill="EDEDED"/>
            <w:noWrap/>
            <w:vAlign w:val="bottom"/>
            <w:hideMark/>
          </w:tcPr>
          <w:p w14:paraId="7B5A916B" w14:textId="77777777" w:rsidR="008E1A94" w:rsidRPr="001F5DAB" w:rsidRDefault="008E1A94" w:rsidP="00312E88">
            <w:pPr>
              <w:rPr>
                <w:rFonts w:cs="Arial"/>
                <w:color w:val="000000"/>
                <w:sz w:val="16"/>
                <w:szCs w:val="16"/>
              </w:rPr>
            </w:pPr>
            <w:r w:rsidRPr="001F5DAB">
              <w:rPr>
                <w:rFonts w:cs="Arial"/>
                <w:color w:val="000000"/>
                <w:sz w:val="16"/>
                <w:szCs w:val="16"/>
              </w:rPr>
              <w:t>Participant Costs (accrual basis)</w:t>
            </w:r>
          </w:p>
          <w:p w14:paraId="5C89A7D6"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27F8A139"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084DD171"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2C688556"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nil"/>
            </w:tcBorders>
            <w:shd w:val="clear" w:color="000000" w:fill="EDEDED"/>
            <w:noWrap/>
            <w:vAlign w:val="bottom"/>
            <w:hideMark/>
          </w:tcPr>
          <w:p w14:paraId="40D0114E"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c>
          <w:tcPr>
            <w:tcW w:w="563" w:type="pct"/>
            <w:tcBorders>
              <w:top w:val="nil"/>
              <w:left w:val="nil"/>
              <w:bottom w:val="single" w:sz="4" w:space="0" w:color="auto"/>
              <w:right w:val="single" w:sz="4" w:space="0" w:color="auto"/>
            </w:tcBorders>
            <w:shd w:val="clear" w:color="000000" w:fill="EDEDED"/>
            <w:noWrap/>
            <w:vAlign w:val="bottom"/>
            <w:hideMark/>
          </w:tcPr>
          <w:p w14:paraId="0934A7BE" w14:textId="77777777" w:rsidR="008E1A94" w:rsidRPr="001F5DAB" w:rsidRDefault="008E1A94" w:rsidP="00312E88">
            <w:pPr>
              <w:jc w:val="right"/>
              <w:rPr>
                <w:rFonts w:cs="Arial"/>
                <w:i/>
                <w:iCs/>
                <w:color w:val="000000"/>
                <w:sz w:val="16"/>
                <w:szCs w:val="16"/>
              </w:rPr>
            </w:pPr>
            <w:r w:rsidRPr="001F5DAB">
              <w:rPr>
                <w:rFonts w:cs="Arial"/>
                <w:i/>
                <w:iCs/>
                <w:color w:val="000000"/>
                <w:sz w:val="16"/>
                <w:szCs w:val="16"/>
              </w:rPr>
              <w:t> </w:t>
            </w:r>
          </w:p>
        </w:tc>
      </w:tr>
      <w:tr w:rsidR="008E1A94" w:rsidRPr="001F5DAB" w14:paraId="39A40560" w14:textId="77777777" w:rsidTr="008E1A94">
        <w:trPr>
          <w:trHeight w:hRule="exact" w:val="284"/>
        </w:trPr>
        <w:tc>
          <w:tcPr>
            <w:tcW w:w="2186" w:type="pct"/>
            <w:tcBorders>
              <w:top w:val="nil"/>
              <w:left w:val="single" w:sz="4" w:space="0" w:color="auto"/>
              <w:bottom w:val="nil"/>
              <w:right w:val="nil"/>
            </w:tcBorders>
            <w:shd w:val="clear" w:color="auto" w:fill="auto"/>
            <w:noWrap/>
            <w:vAlign w:val="bottom"/>
            <w:hideMark/>
          </w:tcPr>
          <w:p w14:paraId="4A5E62BB" w14:textId="77777777" w:rsidR="008E1A94" w:rsidRPr="001F5DAB" w:rsidRDefault="008E1A94" w:rsidP="00312E88">
            <w:pPr>
              <w:rPr>
                <w:rFonts w:cs="Arial"/>
                <w:color w:val="000000"/>
                <w:sz w:val="16"/>
                <w:szCs w:val="16"/>
              </w:rPr>
            </w:pPr>
            <w:r w:rsidRPr="001F5DAB">
              <w:rPr>
                <w:rFonts w:cs="Arial"/>
                <w:color w:val="000000"/>
                <w:sz w:val="16"/>
                <w:szCs w:val="16"/>
              </w:rPr>
              <w:t>0-64 years</w:t>
            </w:r>
          </w:p>
        </w:tc>
        <w:tc>
          <w:tcPr>
            <w:tcW w:w="563" w:type="pct"/>
            <w:tcBorders>
              <w:top w:val="nil"/>
              <w:left w:val="single" w:sz="4" w:space="0" w:color="auto"/>
              <w:bottom w:val="nil"/>
              <w:right w:val="nil"/>
            </w:tcBorders>
            <w:shd w:val="clear" w:color="auto" w:fill="auto"/>
            <w:noWrap/>
            <w:vAlign w:val="bottom"/>
            <w:hideMark/>
          </w:tcPr>
          <w:p w14:paraId="21FE6DB6" w14:textId="77777777" w:rsidR="008E1A94" w:rsidRPr="001F5DAB" w:rsidRDefault="008E1A94" w:rsidP="00312E88">
            <w:pPr>
              <w:jc w:val="right"/>
              <w:rPr>
                <w:rFonts w:cs="Arial"/>
                <w:color w:val="000000"/>
                <w:sz w:val="16"/>
                <w:szCs w:val="16"/>
              </w:rPr>
            </w:pPr>
            <w:r w:rsidRPr="001F5DAB">
              <w:rPr>
                <w:rFonts w:cs="Arial"/>
                <w:color w:val="000000"/>
                <w:sz w:val="16"/>
                <w:szCs w:val="16"/>
              </w:rPr>
              <w:t>4%</w:t>
            </w:r>
          </w:p>
        </w:tc>
        <w:tc>
          <w:tcPr>
            <w:tcW w:w="563" w:type="pct"/>
            <w:tcBorders>
              <w:top w:val="nil"/>
              <w:left w:val="nil"/>
              <w:bottom w:val="nil"/>
              <w:right w:val="nil"/>
            </w:tcBorders>
            <w:shd w:val="clear" w:color="auto" w:fill="auto"/>
            <w:noWrap/>
            <w:vAlign w:val="bottom"/>
            <w:hideMark/>
          </w:tcPr>
          <w:p w14:paraId="38C3A76C" w14:textId="77777777" w:rsidR="008E1A94" w:rsidRPr="001F5DAB" w:rsidRDefault="008E1A94" w:rsidP="00312E88">
            <w:pPr>
              <w:jc w:val="right"/>
              <w:rPr>
                <w:rFonts w:cs="Arial"/>
                <w:color w:val="000000"/>
                <w:sz w:val="16"/>
                <w:szCs w:val="16"/>
              </w:rPr>
            </w:pPr>
            <w:r w:rsidRPr="001F5DAB">
              <w:rPr>
                <w:rFonts w:cs="Arial"/>
                <w:color w:val="000000"/>
                <w:sz w:val="16"/>
                <w:szCs w:val="16"/>
              </w:rPr>
              <w:t>3%</w:t>
            </w:r>
          </w:p>
        </w:tc>
        <w:tc>
          <w:tcPr>
            <w:tcW w:w="563" w:type="pct"/>
            <w:tcBorders>
              <w:top w:val="nil"/>
              <w:left w:val="nil"/>
              <w:bottom w:val="nil"/>
              <w:right w:val="nil"/>
            </w:tcBorders>
            <w:shd w:val="clear" w:color="auto" w:fill="auto"/>
            <w:noWrap/>
            <w:vAlign w:val="bottom"/>
            <w:hideMark/>
          </w:tcPr>
          <w:p w14:paraId="44FABEF0" w14:textId="77777777" w:rsidR="008E1A94" w:rsidRPr="001F5DAB" w:rsidRDefault="008E1A94" w:rsidP="00312E88">
            <w:pPr>
              <w:jc w:val="right"/>
              <w:rPr>
                <w:rFonts w:cs="Arial"/>
                <w:color w:val="000000"/>
                <w:sz w:val="16"/>
                <w:szCs w:val="16"/>
              </w:rPr>
            </w:pPr>
            <w:r w:rsidRPr="001F5DAB">
              <w:rPr>
                <w:rFonts w:cs="Arial"/>
                <w:color w:val="000000"/>
                <w:sz w:val="16"/>
                <w:szCs w:val="16"/>
              </w:rPr>
              <w:t>3%</w:t>
            </w:r>
          </w:p>
        </w:tc>
        <w:tc>
          <w:tcPr>
            <w:tcW w:w="563" w:type="pct"/>
            <w:tcBorders>
              <w:top w:val="nil"/>
              <w:left w:val="nil"/>
              <w:bottom w:val="nil"/>
              <w:right w:val="nil"/>
            </w:tcBorders>
            <w:shd w:val="clear" w:color="auto" w:fill="auto"/>
            <w:noWrap/>
            <w:vAlign w:val="bottom"/>
            <w:hideMark/>
          </w:tcPr>
          <w:p w14:paraId="627BDBD2" w14:textId="77777777" w:rsidR="008E1A94" w:rsidRPr="001F5DAB" w:rsidRDefault="008E1A94" w:rsidP="00312E88">
            <w:pPr>
              <w:jc w:val="right"/>
              <w:rPr>
                <w:rFonts w:cs="Arial"/>
                <w:color w:val="000000"/>
                <w:sz w:val="16"/>
                <w:szCs w:val="16"/>
              </w:rPr>
            </w:pPr>
            <w:r w:rsidRPr="001F5DAB">
              <w:rPr>
                <w:rFonts w:cs="Arial"/>
                <w:color w:val="000000"/>
                <w:sz w:val="16"/>
                <w:szCs w:val="16"/>
              </w:rPr>
              <w:t>2%</w:t>
            </w:r>
          </w:p>
        </w:tc>
        <w:tc>
          <w:tcPr>
            <w:tcW w:w="563" w:type="pct"/>
            <w:tcBorders>
              <w:top w:val="nil"/>
              <w:left w:val="nil"/>
              <w:bottom w:val="nil"/>
              <w:right w:val="single" w:sz="4" w:space="0" w:color="auto"/>
            </w:tcBorders>
            <w:shd w:val="clear" w:color="auto" w:fill="auto"/>
            <w:noWrap/>
            <w:vAlign w:val="bottom"/>
            <w:hideMark/>
          </w:tcPr>
          <w:p w14:paraId="44ACF0F0" w14:textId="77777777" w:rsidR="008E1A94" w:rsidRPr="001F5DAB" w:rsidRDefault="008E1A94" w:rsidP="00312E88">
            <w:pPr>
              <w:jc w:val="right"/>
              <w:rPr>
                <w:rFonts w:cs="Arial"/>
                <w:color w:val="000000"/>
                <w:sz w:val="16"/>
                <w:szCs w:val="16"/>
              </w:rPr>
            </w:pPr>
            <w:r w:rsidRPr="001F5DAB">
              <w:rPr>
                <w:rFonts w:cs="Arial"/>
                <w:color w:val="000000"/>
                <w:sz w:val="16"/>
                <w:szCs w:val="16"/>
              </w:rPr>
              <w:t>-2%</w:t>
            </w:r>
          </w:p>
        </w:tc>
      </w:tr>
      <w:tr w:rsidR="008E1A94" w:rsidRPr="001F5DAB" w14:paraId="5837F1B0" w14:textId="77777777" w:rsidTr="008E1A94">
        <w:trPr>
          <w:trHeight w:hRule="exact" w:val="284"/>
        </w:trPr>
        <w:tc>
          <w:tcPr>
            <w:tcW w:w="2186" w:type="pct"/>
            <w:tcBorders>
              <w:top w:val="nil"/>
              <w:left w:val="single" w:sz="4" w:space="0" w:color="auto"/>
              <w:bottom w:val="nil"/>
              <w:right w:val="nil"/>
            </w:tcBorders>
            <w:shd w:val="clear" w:color="auto" w:fill="auto"/>
            <w:noWrap/>
            <w:vAlign w:val="bottom"/>
            <w:hideMark/>
          </w:tcPr>
          <w:p w14:paraId="646EF3B6" w14:textId="77777777" w:rsidR="008E1A94" w:rsidRPr="001F5DAB" w:rsidRDefault="008E1A94" w:rsidP="00312E88">
            <w:pPr>
              <w:rPr>
                <w:rFonts w:cs="Arial"/>
                <w:color w:val="000000"/>
                <w:sz w:val="16"/>
                <w:szCs w:val="16"/>
              </w:rPr>
            </w:pPr>
            <w:r w:rsidRPr="001F5DAB">
              <w:rPr>
                <w:rFonts w:cs="Arial"/>
                <w:color w:val="000000"/>
                <w:sz w:val="16"/>
                <w:szCs w:val="16"/>
              </w:rPr>
              <w:t>65+ years</w:t>
            </w:r>
          </w:p>
        </w:tc>
        <w:tc>
          <w:tcPr>
            <w:tcW w:w="563" w:type="pct"/>
            <w:tcBorders>
              <w:top w:val="nil"/>
              <w:left w:val="single" w:sz="4" w:space="0" w:color="auto"/>
              <w:bottom w:val="nil"/>
              <w:right w:val="nil"/>
            </w:tcBorders>
            <w:shd w:val="clear" w:color="auto" w:fill="auto"/>
            <w:noWrap/>
            <w:vAlign w:val="bottom"/>
            <w:hideMark/>
          </w:tcPr>
          <w:p w14:paraId="0F888408" w14:textId="77777777" w:rsidR="008E1A94" w:rsidRPr="001F5DAB" w:rsidRDefault="008E1A94" w:rsidP="00312E88">
            <w:pPr>
              <w:jc w:val="right"/>
              <w:rPr>
                <w:rFonts w:cs="Arial"/>
                <w:color w:val="000000"/>
                <w:sz w:val="16"/>
                <w:szCs w:val="16"/>
              </w:rPr>
            </w:pPr>
            <w:r w:rsidRPr="001F5DAB">
              <w:rPr>
                <w:rFonts w:cs="Arial"/>
                <w:color w:val="000000"/>
                <w:sz w:val="16"/>
                <w:szCs w:val="16"/>
              </w:rPr>
              <w:t>3%</w:t>
            </w:r>
          </w:p>
        </w:tc>
        <w:tc>
          <w:tcPr>
            <w:tcW w:w="563" w:type="pct"/>
            <w:tcBorders>
              <w:top w:val="nil"/>
              <w:left w:val="nil"/>
              <w:bottom w:val="nil"/>
              <w:right w:val="nil"/>
            </w:tcBorders>
            <w:shd w:val="clear" w:color="auto" w:fill="auto"/>
            <w:noWrap/>
            <w:vAlign w:val="bottom"/>
            <w:hideMark/>
          </w:tcPr>
          <w:p w14:paraId="033DE480" w14:textId="77777777" w:rsidR="008E1A94" w:rsidRPr="001F5DAB" w:rsidRDefault="008E1A94" w:rsidP="00312E88">
            <w:pPr>
              <w:jc w:val="right"/>
              <w:rPr>
                <w:rFonts w:cs="Arial"/>
                <w:color w:val="000000"/>
                <w:sz w:val="16"/>
                <w:szCs w:val="16"/>
              </w:rPr>
            </w:pPr>
            <w:r w:rsidRPr="001F5DAB">
              <w:rPr>
                <w:rFonts w:cs="Arial"/>
                <w:color w:val="000000"/>
                <w:sz w:val="16"/>
                <w:szCs w:val="16"/>
              </w:rPr>
              <w:t>3%</w:t>
            </w:r>
          </w:p>
        </w:tc>
        <w:tc>
          <w:tcPr>
            <w:tcW w:w="563" w:type="pct"/>
            <w:tcBorders>
              <w:top w:val="nil"/>
              <w:left w:val="nil"/>
              <w:bottom w:val="nil"/>
              <w:right w:val="nil"/>
            </w:tcBorders>
            <w:shd w:val="clear" w:color="auto" w:fill="auto"/>
            <w:noWrap/>
            <w:vAlign w:val="bottom"/>
            <w:hideMark/>
          </w:tcPr>
          <w:p w14:paraId="7873C1D0" w14:textId="77777777" w:rsidR="008E1A94" w:rsidRPr="001F5DAB" w:rsidRDefault="008E1A94" w:rsidP="00312E88">
            <w:pPr>
              <w:jc w:val="right"/>
              <w:rPr>
                <w:rFonts w:cs="Arial"/>
                <w:color w:val="000000"/>
                <w:sz w:val="16"/>
                <w:szCs w:val="16"/>
              </w:rPr>
            </w:pPr>
            <w:r w:rsidRPr="001F5DAB">
              <w:rPr>
                <w:rFonts w:cs="Arial"/>
                <w:color w:val="000000"/>
                <w:sz w:val="16"/>
                <w:szCs w:val="16"/>
              </w:rPr>
              <w:t>4%</w:t>
            </w:r>
          </w:p>
        </w:tc>
        <w:tc>
          <w:tcPr>
            <w:tcW w:w="563" w:type="pct"/>
            <w:tcBorders>
              <w:top w:val="nil"/>
              <w:left w:val="nil"/>
              <w:bottom w:val="nil"/>
              <w:right w:val="nil"/>
            </w:tcBorders>
            <w:shd w:val="clear" w:color="auto" w:fill="auto"/>
            <w:noWrap/>
            <w:vAlign w:val="bottom"/>
            <w:hideMark/>
          </w:tcPr>
          <w:p w14:paraId="0BDF3511" w14:textId="77777777" w:rsidR="008E1A94" w:rsidRPr="001F5DAB" w:rsidRDefault="008E1A94" w:rsidP="00312E88">
            <w:pPr>
              <w:jc w:val="right"/>
              <w:rPr>
                <w:rFonts w:cs="Arial"/>
                <w:color w:val="000000"/>
                <w:sz w:val="16"/>
                <w:szCs w:val="16"/>
              </w:rPr>
            </w:pPr>
            <w:r w:rsidRPr="001F5DAB">
              <w:rPr>
                <w:rFonts w:cs="Arial"/>
                <w:color w:val="000000"/>
                <w:sz w:val="16"/>
                <w:szCs w:val="16"/>
              </w:rPr>
              <w:t>3%</w:t>
            </w:r>
          </w:p>
        </w:tc>
        <w:tc>
          <w:tcPr>
            <w:tcW w:w="563" w:type="pct"/>
            <w:tcBorders>
              <w:top w:val="nil"/>
              <w:left w:val="nil"/>
              <w:bottom w:val="nil"/>
              <w:right w:val="single" w:sz="4" w:space="0" w:color="auto"/>
            </w:tcBorders>
            <w:shd w:val="clear" w:color="auto" w:fill="auto"/>
            <w:noWrap/>
            <w:vAlign w:val="bottom"/>
            <w:hideMark/>
          </w:tcPr>
          <w:p w14:paraId="0D0371F8" w14:textId="77777777" w:rsidR="008E1A94" w:rsidRPr="001F5DAB" w:rsidRDefault="008E1A94" w:rsidP="00312E88">
            <w:pPr>
              <w:jc w:val="right"/>
              <w:rPr>
                <w:rFonts w:cs="Arial"/>
                <w:color w:val="000000"/>
                <w:sz w:val="16"/>
                <w:szCs w:val="16"/>
              </w:rPr>
            </w:pPr>
            <w:r w:rsidRPr="001F5DAB">
              <w:rPr>
                <w:rFonts w:cs="Arial"/>
                <w:color w:val="000000"/>
                <w:sz w:val="16"/>
                <w:szCs w:val="16"/>
              </w:rPr>
              <w:t>-1%</w:t>
            </w:r>
          </w:p>
        </w:tc>
      </w:tr>
      <w:tr w:rsidR="008E1A94" w:rsidRPr="001F5DAB" w14:paraId="5DBAA513" w14:textId="77777777" w:rsidTr="008E1A94">
        <w:trPr>
          <w:trHeight w:hRule="exact" w:val="284"/>
        </w:trPr>
        <w:tc>
          <w:tcPr>
            <w:tcW w:w="2186" w:type="pct"/>
            <w:tcBorders>
              <w:top w:val="single" w:sz="4" w:space="0" w:color="auto"/>
              <w:left w:val="single" w:sz="4" w:space="0" w:color="auto"/>
              <w:bottom w:val="single" w:sz="4" w:space="0" w:color="auto"/>
              <w:right w:val="nil"/>
            </w:tcBorders>
            <w:shd w:val="clear" w:color="auto" w:fill="auto"/>
            <w:noWrap/>
            <w:vAlign w:val="bottom"/>
            <w:hideMark/>
          </w:tcPr>
          <w:p w14:paraId="753FC86C" w14:textId="77777777" w:rsidR="008E1A94" w:rsidRPr="001F5DAB" w:rsidRDefault="008E1A94" w:rsidP="00312E88">
            <w:pPr>
              <w:rPr>
                <w:rFonts w:cs="Arial"/>
                <w:b/>
                <w:bCs/>
                <w:color w:val="000000"/>
                <w:sz w:val="16"/>
                <w:szCs w:val="16"/>
              </w:rPr>
            </w:pPr>
            <w:r w:rsidRPr="001F5DAB">
              <w:rPr>
                <w:rFonts w:cs="Arial"/>
                <w:b/>
                <w:bCs/>
                <w:color w:val="000000"/>
                <w:sz w:val="16"/>
                <w:szCs w:val="16"/>
              </w:rPr>
              <w:t>Total Participant Costs (accrual basis)</w:t>
            </w:r>
          </w:p>
        </w:tc>
        <w:tc>
          <w:tcPr>
            <w:tcW w:w="563" w:type="pct"/>
            <w:tcBorders>
              <w:top w:val="single" w:sz="4" w:space="0" w:color="auto"/>
              <w:left w:val="single" w:sz="4" w:space="0" w:color="auto"/>
              <w:bottom w:val="single" w:sz="4" w:space="0" w:color="auto"/>
              <w:right w:val="nil"/>
            </w:tcBorders>
            <w:shd w:val="clear" w:color="auto" w:fill="auto"/>
            <w:noWrap/>
            <w:vAlign w:val="bottom"/>
            <w:hideMark/>
          </w:tcPr>
          <w:p w14:paraId="2AF8CF1F"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4%</w:t>
            </w:r>
          </w:p>
        </w:tc>
        <w:tc>
          <w:tcPr>
            <w:tcW w:w="563" w:type="pct"/>
            <w:tcBorders>
              <w:top w:val="single" w:sz="4" w:space="0" w:color="auto"/>
              <w:left w:val="nil"/>
              <w:bottom w:val="single" w:sz="4" w:space="0" w:color="auto"/>
              <w:right w:val="nil"/>
            </w:tcBorders>
            <w:shd w:val="clear" w:color="auto" w:fill="auto"/>
            <w:noWrap/>
            <w:vAlign w:val="bottom"/>
            <w:hideMark/>
          </w:tcPr>
          <w:p w14:paraId="262EA3B7"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3%</w:t>
            </w:r>
          </w:p>
        </w:tc>
        <w:tc>
          <w:tcPr>
            <w:tcW w:w="563" w:type="pct"/>
            <w:tcBorders>
              <w:top w:val="single" w:sz="4" w:space="0" w:color="auto"/>
              <w:left w:val="nil"/>
              <w:bottom w:val="single" w:sz="4" w:space="0" w:color="auto"/>
              <w:right w:val="nil"/>
            </w:tcBorders>
            <w:shd w:val="clear" w:color="auto" w:fill="auto"/>
            <w:noWrap/>
            <w:vAlign w:val="bottom"/>
            <w:hideMark/>
          </w:tcPr>
          <w:p w14:paraId="664B79F2"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3%</w:t>
            </w:r>
          </w:p>
        </w:tc>
        <w:tc>
          <w:tcPr>
            <w:tcW w:w="563" w:type="pct"/>
            <w:tcBorders>
              <w:top w:val="single" w:sz="4" w:space="0" w:color="auto"/>
              <w:left w:val="nil"/>
              <w:bottom w:val="single" w:sz="4" w:space="0" w:color="auto"/>
              <w:right w:val="nil"/>
            </w:tcBorders>
            <w:shd w:val="clear" w:color="auto" w:fill="auto"/>
            <w:noWrap/>
            <w:vAlign w:val="bottom"/>
            <w:hideMark/>
          </w:tcPr>
          <w:p w14:paraId="78922A47"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2%</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14:paraId="1A6CDF2E" w14:textId="77777777" w:rsidR="008E1A94" w:rsidRPr="001F5DAB" w:rsidRDefault="008E1A94" w:rsidP="00312E88">
            <w:pPr>
              <w:jc w:val="right"/>
              <w:rPr>
                <w:rFonts w:cs="Arial"/>
                <w:b/>
                <w:bCs/>
                <w:color w:val="000000"/>
                <w:sz w:val="16"/>
                <w:szCs w:val="16"/>
              </w:rPr>
            </w:pPr>
            <w:r w:rsidRPr="001F5DAB">
              <w:rPr>
                <w:rFonts w:cs="Arial"/>
                <w:b/>
                <w:bCs/>
                <w:color w:val="000000"/>
                <w:sz w:val="16"/>
                <w:szCs w:val="16"/>
              </w:rPr>
              <w:t>-2%</w:t>
            </w:r>
          </w:p>
        </w:tc>
      </w:tr>
    </w:tbl>
    <w:p w14:paraId="29069017" w14:textId="5F7230DE" w:rsidR="00826B75" w:rsidRDefault="00826B75" w:rsidP="00826B75"/>
    <w:p w14:paraId="7BD28E7B" w14:textId="77777777" w:rsidR="00826B75" w:rsidRPr="00174189" w:rsidRDefault="00826B75" w:rsidP="00826B75">
      <w:pPr>
        <w:pStyle w:val="FSRHeading4"/>
      </w:pPr>
      <w:r>
        <w:t xml:space="preserve">Participant </w:t>
      </w:r>
      <w:r w:rsidRPr="00174189">
        <w:t>Costs by SIL and Non-SIL</w:t>
      </w:r>
    </w:p>
    <w:p w14:paraId="57B0F380" w14:textId="3F4C8D54" w:rsidR="00826B75" w:rsidRPr="00174189" w:rsidRDefault="00C967DA" w:rsidP="00826B75">
      <w:pPr>
        <w:pStyle w:val="FSRnormal"/>
      </w:pPr>
      <w:r>
        <w:fldChar w:fldCharType="begin"/>
      </w:r>
      <w:r>
        <w:instrText xml:space="preserve"> REF _Ref80434732 \h </w:instrText>
      </w:r>
      <w:r>
        <w:fldChar w:fldCharType="separate"/>
      </w:r>
      <w:r w:rsidR="00E50032" w:rsidRPr="002735DF">
        <w:t xml:space="preserve">Table </w:t>
      </w:r>
      <w:r w:rsidR="00E50032">
        <w:rPr>
          <w:noProof/>
        </w:rPr>
        <w:t>60</w:t>
      </w:r>
      <w:r>
        <w:fldChar w:fldCharType="end"/>
      </w:r>
      <w:r>
        <w:t xml:space="preserve"> </w:t>
      </w:r>
      <w:r w:rsidR="00826B75" w:rsidRPr="00174189">
        <w:t xml:space="preserve">shows the impact of the changes in emerging experience and assumptions compared with the </w:t>
      </w:r>
      <w:r w:rsidR="0087666A">
        <w:t>previous review</w:t>
      </w:r>
      <w:r w:rsidR="00826B75" w:rsidRPr="00174189">
        <w:t xml:space="preserve"> on projected participant costs, split between participants in SIL and those not in SIL. Projected costs for </w:t>
      </w:r>
      <w:r w:rsidR="005D037C" w:rsidRPr="00174189">
        <w:t xml:space="preserve">non-SIL </w:t>
      </w:r>
      <w:r w:rsidR="00826B75" w:rsidRPr="00174189">
        <w:t xml:space="preserve">participants have significantly increased (6% in 2021-22 and </w:t>
      </w:r>
      <w:r w:rsidR="005D037C">
        <w:t>8</w:t>
      </w:r>
      <w:r w:rsidR="00826B75" w:rsidRPr="00174189">
        <w:t>% in 202</w:t>
      </w:r>
      <w:r w:rsidR="005D037C">
        <w:t>4</w:t>
      </w:r>
      <w:r w:rsidR="00826B75" w:rsidRPr="00174189">
        <w:t>-</w:t>
      </w:r>
      <w:r w:rsidR="005D037C">
        <w:t>25</w:t>
      </w:r>
      <w:r w:rsidR="00826B75" w:rsidRPr="00174189">
        <w:t>). For participants in SIL, costs have decreased by 1% in 2021-22, and further decreases to 15% in 2026-27 and 18% by 2029-30. Cost projections are impacted by a decrease in projected participants, particularly those in SIL, offset by increasing average payments per participant.</w:t>
      </w:r>
    </w:p>
    <w:p w14:paraId="3A7A6837" w14:textId="25FA658B" w:rsidR="00826B75" w:rsidRPr="00CA035D" w:rsidRDefault="00C967DA" w:rsidP="00826B75">
      <w:pPr>
        <w:pStyle w:val="Caption"/>
        <w:keepNext/>
      </w:pPr>
      <w:bookmarkStart w:id="376" w:name="_Ref80434732"/>
      <w:r w:rsidRPr="002735DF">
        <w:t xml:space="preserve">Table </w:t>
      </w:r>
      <w:fldSimple w:instr=" SEQ Table \* ARABIC ">
        <w:r w:rsidR="00E50032">
          <w:rPr>
            <w:noProof/>
          </w:rPr>
          <w:t>60</w:t>
        </w:r>
      </w:fldSimple>
      <w:bookmarkEnd w:id="376"/>
      <w:r w:rsidRPr="002735DF">
        <w:t xml:space="preserve"> </w:t>
      </w:r>
      <w:r w:rsidR="00826B75" w:rsidRPr="00CA035D">
        <w:t xml:space="preserve">Change in projected participant costs by </w:t>
      </w:r>
      <w:r w:rsidR="001A5ECE">
        <w:t>SIL type</w:t>
      </w:r>
      <w:r w:rsidR="00826B75" w:rsidRPr="00CA035D">
        <w:t xml:space="preserve"> (cash basis)</w:t>
      </w:r>
    </w:p>
    <w:tbl>
      <w:tblPr>
        <w:tblW w:w="5000" w:type="pct"/>
        <w:tblLook w:val="04A0" w:firstRow="1" w:lastRow="0" w:firstColumn="1" w:lastColumn="0" w:noHBand="0" w:noVBand="1"/>
      </w:tblPr>
      <w:tblGrid>
        <w:gridCol w:w="2911"/>
        <w:gridCol w:w="1221"/>
        <w:gridCol w:w="1221"/>
        <w:gridCol w:w="1221"/>
        <w:gridCol w:w="1221"/>
        <w:gridCol w:w="1221"/>
      </w:tblGrid>
      <w:tr w:rsidR="004551CB" w:rsidRPr="00F743B6" w14:paraId="5A952F2D" w14:textId="77777777" w:rsidTr="00312E88">
        <w:trPr>
          <w:trHeight w:val="340"/>
          <w:tblHeader/>
        </w:trPr>
        <w:tc>
          <w:tcPr>
            <w:tcW w:w="1613" w:type="pct"/>
            <w:tcBorders>
              <w:top w:val="single" w:sz="4" w:space="0" w:color="auto"/>
              <w:left w:val="single" w:sz="4" w:space="0" w:color="auto"/>
              <w:bottom w:val="nil"/>
              <w:right w:val="nil"/>
            </w:tcBorders>
            <w:shd w:val="clear" w:color="000000" w:fill="6B2976"/>
            <w:vAlign w:val="center"/>
            <w:hideMark/>
          </w:tcPr>
          <w:p w14:paraId="4D1340AF" w14:textId="77777777" w:rsidR="004551CB" w:rsidRPr="00F743B6" w:rsidRDefault="004551CB" w:rsidP="00312E88">
            <w:pPr>
              <w:jc w:val="center"/>
              <w:rPr>
                <w:rFonts w:cs="Arial"/>
                <w:b/>
                <w:bCs/>
                <w:color w:val="FFFFFF"/>
                <w:sz w:val="16"/>
                <w:szCs w:val="16"/>
              </w:rPr>
            </w:pPr>
            <w:r w:rsidRPr="00F743B6">
              <w:rPr>
                <w:rFonts w:cs="Arial"/>
                <w:b/>
                <w:bCs/>
                <w:color w:val="FFFFFF"/>
                <w:sz w:val="16"/>
                <w:szCs w:val="16"/>
              </w:rPr>
              <w:t>Participant Costs ($m)</w:t>
            </w:r>
          </w:p>
        </w:tc>
        <w:tc>
          <w:tcPr>
            <w:tcW w:w="677" w:type="pct"/>
            <w:tcBorders>
              <w:top w:val="nil"/>
              <w:left w:val="single" w:sz="4" w:space="0" w:color="auto"/>
              <w:bottom w:val="single" w:sz="4" w:space="0" w:color="auto"/>
              <w:right w:val="nil"/>
            </w:tcBorders>
            <w:shd w:val="clear" w:color="000000" w:fill="6B2F76"/>
            <w:noWrap/>
            <w:vAlign w:val="center"/>
            <w:hideMark/>
          </w:tcPr>
          <w:p w14:paraId="76A54A92" w14:textId="77777777" w:rsidR="004551CB" w:rsidRPr="00F743B6" w:rsidRDefault="004551CB" w:rsidP="00312E88">
            <w:pPr>
              <w:jc w:val="center"/>
              <w:rPr>
                <w:rFonts w:cs="Arial"/>
                <w:b/>
                <w:bCs/>
                <w:color w:val="FFFFFF"/>
                <w:sz w:val="16"/>
                <w:szCs w:val="16"/>
              </w:rPr>
            </w:pPr>
            <w:r w:rsidRPr="00F743B6">
              <w:rPr>
                <w:rFonts w:cs="Arial"/>
                <w:b/>
                <w:bCs/>
                <w:color w:val="FFFFFF"/>
                <w:sz w:val="16"/>
                <w:szCs w:val="16"/>
              </w:rPr>
              <w:t>2021-22</w:t>
            </w:r>
          </w:p>
        </w:tc>
        <w:tc>
          <w:tcPr>
            <w:tcW w:w="677" w:type="pct"/>
            <w:tcBorders>
              <w:top w:val="nil"/>
              <w:left w:val="nil"/>
              <w:bottom w:val="single" w:sz="4" w:space="0" w:color="auto"/>
              <w:right w:val="nil"/>
            </w:tcBorders>
            <w:shd w:val="clear" w:color="000000" w:fill="6B2F76"/>
            <w:noWrap/>
            <w:vAlign w:val="center"/>
            <w:hideMark/>
          </w:tcPr>
          <w:p w14:paraId="3E2AAA71" w14:textId="77777777" w:rsidR="004551CB" w:rsidRPr="00F743B6" w:rsidRDefault="004551CB" w:rsidP="00312E88">
            <w:pPr>
              <w:jc w:val="center"/>
              <w:rPr>
                <w:rFonts w:cs="Arial"/>
                <w:b/>
                <w:bCs/>
                <w:color w:val="FFFFFF"/>
                <w:sz w:val="16"/>
                <w:szCs w:val="16"/>
              </w:rPr>
            </w:pPr>
            <w:r w:rsidRPr="00F743B6">
              <w:rPr>
                <w:rFonts w:cs="Arial"/>
                <w:b/>
                <w:bCs/>
                <w:color w:val="FFFFFF"/>
                <w:sz w:val="16"/>
                <w:szCs w:val="16"/>
              </w:rPr>
              <w:t>2022-23</w:t>
            </w:r>
          </w:p>
        </w:tc>
        <w:tc>
          <w:tcPr>
            <w:tcW w:w="677" w:type="pct"/>
            <w:tcBorders>
              <w:top w:val="nil"/>
              <w:left w:val="nil"/>
              <w:bottom w:val="single" w:sz="4" w:space="0" w:color="auto"/>
              <w:right w:val="nil"/>
            </w:tcBorders>
            <w:shd w:val="clear" w:color="000000" w:fill="6B2F76"/>
            <w:noWrap/>
            <w:vAlign w:val="center"/>
            <w:hideMark/>
          </w:tcPr>
          <w:p w14:paraId="05D97E02" w14:textId="77777777" w:rsidR="004551CB" w:rsidRPr="00F743B6" w:rsidRDefault="004551CB" w:rsidP="00312E88">
            <w:pPr>
              <w:jc w:val="center"/>
              <w:rPr>
                <w:rFonts w:cs="Arial"/>
                <w:b/>
                <w:bCs/>
                <w:color w:val="FFFFFF"/>
                <w:sz w:val="16"/>
                <w:szCs w:val="16"/>
              </w:rPr>
            </w:pPr>
            <w:r w:rsidRPr="00F743B6">
              <w:rPr>
                <w:rFonts w:cs="Arial"/>
                <w:b/>
                <w:bCs/>
                <w:color w:val="FFFFFF"/>
                <w:sz w:val="16"/>
                <w:szCs w:val="16"/>
              </w:rPr>
              <w:t>2023-24</w:t>
            </w:r>
          </w:p>
        </w:tc>
        <w:tc>
          <w:tcPr>
            <w:tcW w:w="677" w:type="pct"/>
            <w:tcBorders>
              <w:top w:val="nil"/>
              <w:left w:val="nil"/>
              <w:bottom w:val="single" w:sz="4" w:space="0" w:color="auto"/>
              <w:right w:val="nil"/>
            </w:tcBorders>
            <w:shd w:val="clear" w:color="000000" w:fill="6B2F76"/>
            <w:noWrap/>
            <w:vAlign w:val="center"/>
            <w:hideMark/>
          </w:tcPr>
          <w:p w14:paraId="03C3B4BF" w14:textId="77777777" w:rsidR="004551CB" w:rsidRPr="00F743B6" w:rsidRDefault="004551CB" w:rsidP="00312E88">
            <w:pPr>
              <w:jc w:val="center"/>
              <w:rPr>
                <w:rFonts w:cs="Arial"/>
                <w:b/>
                <w:bCs/>
                <w:color w:val="FFFFFF"/>
                <w:sz w:val="16"/>
                <w:szCs w:val="16"/>
              </w:rPr>
            </w:pPr>
            <w:r w:rsidRPr="00F743B6">
              <w:rPr>
                <w:rFonts w:cs="Arial"/>
                <w:b/>
                <w:bCs/>
                <w:color w:val="FFFFFF"/>
                <w:sz w:val="16"/>
                <w:szCs w:val="16"/>
              </w:rPr>
              <w:t>2024-25</w:t>
            </w:r>
          </w:p>
        </w:tc>
        <w:tc>
          <w:tcPr>
            <w:tcW w:w="677" w:type="pct"/>
            <w:tcBorders>
              <w:top w:val="nil"/>
              <w:left w:val="single" w:sz="4" w:space="0" w:color="auto"/>
              <w:bottom w:val="single" w:sz="4" w:space="0" w:color="auto"/>
              <w:right w:val="single" w:sz="4" w:space="0" w:color="auto"/>
            </w:tcBorders>
            <w:shd w:val="clear" w:color="000000" w:fill="6B2F76"/>
            <w:noWrap/>
            <w:vAlign w:val="center"/>
            <w:hideMark/>
          </w:tcPr>
          <w:p w14:paraId="05F9C8B3" w14:textId="77777777" w:rsidR="004551CB" w:rsidRPr="00F743B6" w:rsidRDefault="004551CB" w:rsidP="00312E88">
            <w:pPr>
              <w:jc w:val="center"/>
              <w:rPr>
                <w:rFonts w:cs="Arial"/>
                <w:b/>
                <w:bCs/>
                <w:color w:val="FFFFFF"/>
                <w:sz w:val="16"/>
                <w:szCs w:val="16"/>
              </w:rPr>
            </w:pPr>
            <w:r w:rsidRPr="00F743B6">
              <w:rPr>
                <w:rFonts w:cs="Arial"/>
                <w:b/>
                <w:bCs/>
                <w:color w:val="FFFFFF"/>
                <w:sz w:val="16"/>
                <w:szCs w:val="16"/>
              </w:rPr>
              <w:t>2029-30</w:t>
            </w:r>
          </w:p>
        </w:tc>
      </w:tr>
      <w:tr w:rsidR="004551CB" w:rsidRPr="00F743B6" w14:paraId="5E96C12A" w14:textId="77777777" w:rsidTr="00312E88">
        <w:trPr>
          <w:trHeight w:val="300"/>
        </w:trPr>
        <w:tc>
          <w:tcPr>
            <w:tcW w:w="1613" w:type="pct"/>
            <w:tcBorders>
              <w:top w:val="single" w:sz="4" w:space="0" w:color="auto"/>
              <w:left w:val="single" w:sz="4" w:space="0" w:color="auto"/>
              <w:bottom w:val="single" w:sz="4" w:space="0" w:color="auto"/>
              <w:right w:val="nil"/>
            </w:tcBorders>
            <w:shd w:val="clear" w:color="000000" w:fill="F7EEF7"/>
            <w:noWrap/>
            <w:hideMark/>
          </w:tcPr>
          <w:p w14:paraId="283FBB5F" w14:textId="77777777" w:rsidR="004551CB" w:rsidRPr="00F743B6" w:rsidRDefault="004551CB" w:rsidP="00312E88">
            <w:pPr>
              <w:rPr>
                <w:rFonts w:cs="Arial"/>
                <w:b/>
                <w:bCs/>
                <w:color w:val="000000"/>
                <w:sz w:val="16"/>
                <w:szCs w:val="16"/>
              </w:rPr>
            </w:pPr>
            <w:r w:rsidRPr="00F743B6">
              <w:rPr>
                <w:rFonts w:cs="Arial"/>
                <w:b/>
                <w:bCs/>
                <w:color w:val="000000"/>
                <w:sz w:val="16"/>
                <w:szCs w:val="16"/>
              </w:rPr>
              <w:t>2020-21 AFSR</w:t>
            </w:r>
          </w:p>
        </w:tc>
        <w:tc>
          <w:tcPr>
            <w:tcW w:w="677" w:type="pct"/>
            <w:tcBorders>
              <w:top w:val="nil"/>
              <w:left w:val="nil"/>
              <w:bottom w:val="single" w:sz="4" w:space="0" w:color="auto"/>
              <w:right w:val="nil"/>
            </w:tcBorders>
            <w:shd w:val="clear" w:color="000000" w:fill="F7EEF7"/>
            <w:noWrap/>
            <w:hideMark/>
          </w:tcPr>
          <w:p w14:paraId="3004062D"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hideMark/>
          </w:tcPr>
          <w:p w14:paraId="256DBDF2"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hideMark/>
          </w:tcPr>
          <w:p w14:paraId="7E1CBF55"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hideMark/>
          </w:tcPr>
          <w:p w14:paraId="2FE51897"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single" w:sz="4" w:space="0" w:color="auto"/>
            </w:tcBorders>
            <w:shd w:val="clear" w:color="000000" w:fill="F7EEF7"/>
            <w:noWrap/>
            <w:hideMark/>
          </w:tcPr>
          <w:p w14:paraId="02ED2450"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r>
      <w:tr w:rsidR="004551CB" w:rsidRPr="00F743B6" w14:paraId="22D5B978" w14:textId="77777777" w:rsidTr="004551CB">
        <w:trPr>
          <w:trHeight w:hRule="exact" w:val="284"/>
        </w:trPr>
        <w:tc>
          <w:tcPr>
            <w:tcW w:w="1613" w:type="pct"/>
            <w:tcBorders>
              <w:top w:val="nil"/>
              <w:left w:val="single" w:sz="4" w:space="0" w:color="auto"/>
              <w:bottom w:val="nil"/>
              <w:right w:val="nil"/>
            </w:tcBorders>
            <w:shd w:val="clear" w:color="auto" w:fill="auto"/>
            <w:noWrap/>
            <w:hideMark/>
          </w:tcPr>
          <w:p w14:paraId="587D59A0" w14:textId="77777777" w:rsidR="004551CB" w:rsidRPr="00F743B6" w:rsidRDefault="004551CB" w:rsidP="00312E88">
            <w:pPr>
              <w:rPr>
                <w:rFonts w:cs="Arial"/>
                <w:color w:val="000000"/>
                <w:sz w:val="16"/>
                <w:szCs w:val="16"/>
              </w:rPr>
            </w:pPr>
            <w:r w:rsidRPr="00F743B6">
              <w:rPr>
                <w:rFonts w:cs="Arial"/>
                <w:color w:val="000000"/>
                <w:sz w:val="16"/>
                <w:szCs w:val="16"/>
              </w:rPr>
              <w:t>SIL</w:t>
            </w:r>
          </w:p>
        </w:tc>
        <w:tc>
          <w:tcPr>
            <w:tcW w:w="677" w:type="pct"/>
            <w:tcBorders>
              <w:top w:val="nil"/>
              <w:left w:val="single" w:sz="4" w:space="0" w:color="auto"/>
              <w:bottom w:val="nil"/>
              <w:right w:val="nil"/>
            </w:tcBorders>
            <w:shd w:val="clear" w:color="auto" w:fill="auto"/>
            <w:noWrap/>
            <w:hideMark/>
          </w:tcPr>
          <w:p w14:paraId="5BE43926" w14:textId="77777777" w:rsidR="004551CB" w:rsidRPr="00F743B6" w:rsidRDefault="004551CB" w:rsidP="00312E88">
            <w:pPr>
              <w:jc w:val="right"/>
              <w:rPr>
                <w:rFonts w:cs="Arial"/>
                <w:sz w:val="16"/>
                <w:szCs w:val="16"/>
              </w:rPr>
            </w:pPr>
            <w:r w:rsidRPr="00F743B6">
              <w:rPr>
                <w:rFonts w:cs="Arial"/>
                <w:sz w:val="16"/>
                <w:szCs w:val="16"/>
              </w:rPr>
              <w:t>8,876</w:t>
            </w:r>
          </w:p>
        </w:tc>
        <w:tc>
          <w:tcPr>
            <w:tcW w:w="677" w:type="pct"/>
            <w:tcBorders>
              <w:top w:val="nil"/>
              <w:left w:val="nil"/>
              <w:bottom w:val="nil"/>
              <w:right w:val="nil"/>
            </w:tcBorders>
            <w:shd w:val="clear" w:color="auto" w:fill="auto"/>
            <w:noWrap/>
            <w:hideMark/>
          </w:tcPr>
          <w:p w14:paraId="5D714177" w14:textId="77777777" w:rsidR="004551CB" w:rsidRPr="00F743B6" w:rsidRDefault="004551CB" w:rsidP="00312E88">
            <w:pPr>
              <w:jc w:val="right"/>
              <w:rPr>
                <w:rFonts w:cs="Arial"/>
                <w:color w:val="000000"/>
                <w:sz w:val="16"/>
                <w:szCs w:val="16"/>
              </w:rPr>
            </w:pPr>
            <w:r w:rsidRPr="00F743B6">
              <w:rPr>
                <w:rFonts w:cs="Arial"/>
                <w:color w:val="000000"/>
                <w:sz w:val="16"/>
                <w:szCs w:val="16"/>
              </w:rPr>
              <w:t>9,570</w:t>
            </w:r>
          </w:p>
        </w:tc>
        <w:tc>
          <w:tcPr>
            <w:tcW w:w="677" w:type="pct"/>
            <w:tcBorders>
              <w:top w:val="nil"/>
              <w:left w:val="nil"/>
              <w:bottom w:val="nil"/>
              <w:right w:val="nil"/>
            </w:tcBorders>
            <w:shd w:val="clear" w:color="auto" w:fill="auto"/>
            <w:noWrap/>
            <w:hideMark/>
          </w:tcPr>
          <w:p w14:paraId="5CE96A30" w14:textId="77777777" w:rsidR="004551CB" w:rsidRPr="00F743B6" w:rsidRDefault="004551CB" w:rsidP="00312E88">
            <w:pPr>
              <w:jc w:val="right"/>
              <w:rPr>
                <w:rFonts w:cs="Arial"/>
                <w:color w:val="000000"/>
                <w:sz w:val="16"/>
                <w:szCs w:val="16"/>
              </w:rPr>
            </w:pPr>
            <w:r w:rsidRPr="00F743B6">
              <w:rPr>
                <w:rFonts w:cs="Arial"/>
                <w:color w:val="000000"/>
                <w:sz w:val="16"/>
                <w:szCs w:val="16"/>
              </w:rPr>
              <w:t>10,268</w:t>
            </w:r>
          </w:p>
        </w:tc>
        <w:tc>
          <w:tcPr>
            <w:tcW w:w="677" w:type="pct"/>
            <w:tcBorders>
              <w:top w:val="nil"/>
              <w:left w:val="nil"/>
              <w:bottom w:val="nil"/>
              <w:right w:val="nil"/>
            </w:tcBorders>
            <w:shd w:val="clear" w:color="auto" w:fill="auto"/>
            <w:noWrap/>
            <w:hideMark/>
          </w:tcPr>
          <w:p w14:paraId="019BAC3A" w14:textId="77777777" w:rsidR="004551CB" w:rsidRPr="00F743B6" w:rsidRDefault="004551CB" w:rsidP="00312E88">
            <w:pPr>
              <w:jc w:val="right"/>
              <w:rPr>
                <w:rFonts w:cs="Arial"/>
                <w:color w:val="000000"/>
                <w:sz w:val="16"/>
                <w:szCs w:val="16"/>
              </w:rPr>
            </w:pPr>
            <w:r w:rsidRPr="00F743B6">
              <w:rPr>
                <w:rFonts w:cs="Arial"/>
                <w:color w:val="000000"/>
                <w:sz w:val="16"/>
                <w:szCs w:val="16"/>
              </w:rPr>
              <w:t>11,007</w:t>
            </w:r>
          </w:p>
        </w:tc>
        <w:tc>
          <w:tcPr>
            <w:tcW w:w="677" w:type="pct"/>
            <w:tcBorders>
              <w:top w:val="nil"/>
              <w:left w:val="single" w:sz="4" w:space="0" w:color="auto"/>
              <w:bottom w:val="nil"/>
              <w:right w:val="single" w:sz="4" w:space="0" w:color="auto"/>
            </w:tcBorders>
            <w:shd w:val="clear" w:color="auto" w:fill="auto"/>
            <w:noWrap/>
            <w:hideMark/>
          </w:tcPr>
          <w:p w14:paraId="4C2AD90E" w14:textId="77777777" w:rsidR="004551CB" w:rsidRPr="00F743B6" w:rsidRDefault="004551CB" w:rsidP="00312E88">
            <w:pPr>
              <w:jc w:val="right"/>
              <w:rPr>
                <w:rFonts w:cs="Arial"/>
                <w:color w:val="000000"/>
                <w:sz w:val="16"/>
                <w:szCs w:val="16"/>
              </w:rPr>
            </w:pPr>
            <w:r w:rsidRPr="00F743B6">
              <w:rPr>
                <w:rFonts w:cs="Arial"/>
                <w:color w:val="000000"/>
                <w:sz w:val="16"/>
                <w:szCs w:val="16"/>
              </w:rPr>
              <w:t>15,647</w:t>
            </w:r>
          </w:p>
        </w:tc>
      </w:tr>
      <w:tr w:rsidR="004551CB" w:rsidRPr="00F743B6" w14:paraId="18E207D8" w14:textId="77777777" w:rsidTr="004551CB">
        <w:trPr>
          <w:trHeight w:hRule="exact" w:val="284"/>
        </w:trPr>
        <w:tc>
          <w:tcPr>
            <w:tcW w:w="1613" w:type="pct"/>
            <w:tcBorders>
              <w:top w:val="nil"/>
              <w:left w:val="single" w:sz="4" w:space="0" w:color="auto"/>
              <w:bottom w:val="nil"/>
              <w:right w:val="nil"/>
            </w:tcBorders>
            <w:shd w:val="clear" w:color="auto" w:fill="auto"/>
            <w:noWrap/>
            <w:hideMark/>
          </w:tcPr>
          <w:p w14:paraId="7C38E531" w14:textId="77777777" w:rsidR="004551CB" w:rsidRPr="00F743B6" w:rsidRDefault="004551CB" w:rsidP="00312E88">
            <w:pPr>
              <w:rPr>
                <w:rFonts w:cs="Arial"/>
                <w:color w:val="000000"/>
                <w:sz w:val="16"/>
                <w:szCs w:val="16"/>
              </w:rPr>
            </w:pPr>
            <w:r w:rsidRPr="00F743B6">
              <w:rPr>
                <w:rFonts w:cs="Arial"/>
                <w:color w:val="000000"/>
                <w:sz w:val="16"/>
                <w:szCs w:val="16"/>
              </w:rPr>
              <w:t>Non-SIL</w:t>
            </w:r>
          </w:p>
        </w:tc>
        <w:tc>
          <w:tcPr>
            <w:tcW w:w="677" w:type="pct"/>
            <w:tcBorders>
              <w:top w:val="nil"/>
              <w:left w:val="single" w:sz="4" w:space="0" w:color="auto"/>
              <w:bottom w:val="nil"/>
              <w:right w:val="nil"/>
            </w:tcBorders>
            <w:shd w:val="clear" w:color="auto" w:fill="auto"/>
            <w:noWrap/>
            <w:hideMark/>
          </w:tcPr>
          <w:p w14:paraId="2DBD7646" w14:textId="77777777" w:rsidR="004551CB" w:rsidRPr="00F743B6" w:rsidRDefault="004551CB" w:rsidP="00312E88">
            <w:pPr>
              <w:jc w:val="right"/>
              <w:rPr>
                <w:rFonts w:cs="Arial"/>
                <w:color w:val="000000"/>
                <w:sz w:val="16"/>
                <w:szCs w:val="16"/>
              </w:rPr>
            </w:pPr>
            <w:r w:rsidRPr="00F743B6">
              <w:rPr>
                <w:rFonts w:cs="Arial"/>
                <w:color w:val="000000"/>
                <w:sz w:val="16"/>
                <w:szCs w:val="16"/>
              </w:rPr>
              <w:t>19,955</w:t>
            </w:r>
          </w:p>
        </w:tc>
        <w:tc>
          <w:tcPr>
            <w:tcW w:w="677" w:type="pct"/>
            <w:tcBorders>
              <w:top w:val="nil"/>
              <w:left w:val="nil"/>
              <w:bottom w:val="nil"/>
              <w:right w:val="nil"/>
            </w:tcBorders>
            <w:shd w:val="clear" w:color="auto" w:fill="auto"/>
            <w:noWrap/>
            <w:hideMark/>
          </w:tcPr>
          <w:p w14:paraId="586F1D71" w14:textId="77777777" w:rsidR="004551CB" w:rsidRPr="00F743B6" w:rsidRDefault="004551CB" w:rsidP="00312E88">
            <w:pPr>
              <w:jc w:val="right"/>
              <w:rPr>
                <w:rFonts w:cs="Arial"/>
                <w:color w:val="000000"/>
                <w:sz w:val="16"/>
                <w:szCs w:val="16"/>
              </w:rPr>
            </w:pPr>
            <w:r w:rsidRPr="00F743B6">
              <w:rPr>
                <w:rFonts w:cs="Arial"/>
                <w:color w:val="000000"/>
                <w:sz w:val="16"/>
                <w:szCs w:val="16"/>
              </w:rPr>
              <w:t>23,860</w:t>
            </w:r>
          </w:p>
        </w:tc>
        <w:tc>
          <w:tcPr>
            <w:tcW w:w="677" w:type="pct"/>
            <w:tcBorders>
              <w:top w:val="nil"/>
              <w:left w:val="nil"/>
              <w:bottom w:val="nil"/>
              <w:right w:val="nil"/>
            </w:tcBorders>
            <w:shd w:val="clear" w:color="auto" w:fill="auto"/>
            <w:noWrap/>
            <w:hideMark/>
          </w:tcPr>
          <w:p w14:paraId="39C952DD" w14:textId="77777777" w:rsidR="004551CB" w:rsidRPr="00F743B6" w:rsidRDefault="004551CB" w:rsidP="00312E88">
            <w:pPr>
              <w:jc w:val="right"/>
              <w:rPr>
                <w:rFonts w:cs="Arial"/>
                <w:color w:val="000000"/>
                <w:sz w:val="16"/>
                <w:szCs w:val="16"/>
              </w:rPr>
            </w:pPr>
            <w:r w:rsidRPr="00F743B6">
              <w:rPr>
                <w:rFonts w:cs="Arial"/>
                <w:color w:val="000000"/>
                <w:sz w:val="16"/>
                <w:szCs w:val="16"/>
              </w:rPr>
              <w:t>27,192</w:t>
            </w:r>
          </w:p>
        </w:tc>
        <w:tc>
          <w:tcPr>
            <w:tcW w:w="677" w:type="pct"/>
            <w:tcBorders>
              <w:top w:val="nil"/>
              <w:left w:val="nil"/>
              <w:bottom w:val="nil"/>
              <w:right w:val="nil"/>
            </w:tcBorders>
            <w:shd w:val="clear" w:color="auto" w:fill="auto"/>
            <w:noWrap/>
            <w:hideMark/>
          </w:tcPr>
          <w:p w14:paraId="7B7CC7D1" w14:textId="77777777" w:rsidR="004551CB" w:rsidRPr="00F743B6" w:rsidRDefault="004551CB" w:rsidP="00312E88">
            <w:pPr>
              <w:jc w:val="right"/>
              <w:rPr>
                <w:rFonts w:cs="Arial"/>
                <w:color w:val="000000"/>
                <w:sz w:val="16"/>
                <w:szCs w:val="16"/>
              </w:rPr>
            </w:pPr>
            <w:r w:rsidRPr="00F743B6">
              <w:rPr>
                <w:rFonts w:cs="Arial"/>
                <w:color w:val="000000"/>
                <w:sz w:val="16"/>
                <w:szCs w:val="16"/>
              </w:rPr>
              <w:t>29,807</w:t>
            </w:r>
          </w:p>
        </w:tc>
        <w:tc>
          <w:tcPr>
            <w:tcW w:w="677" w:type="pct"/>
            <w:tcBorders>
              <w:top w:val="nil"/>
              <w:left w:val="single" w:sz="4" w:space="0" w:color="auto"/>
              <w:bottom w:val="nil"/>
              <w:right w:val="single" w:sz="4" w:space="0" w:color="auto"/>
            </w:tcBorders>
            <w:shd w:val="clear" w:color="auto" w:fill="auto"/>
            <w:noWrap/>
            <w:hideMark/>
          </w:tcPr>
          <w:p w14:paraId="7D0A8D77" w14:textId="77777777" w:rsidR="004551CB" w:rsidRPr="00F743B6" w:rsidRDefault="004551CB" w:rsidP="00312E88">
            <w:pPr>
              <w:jc w:val="right"/>
              <w:rPr>
                <w:rFonts w:cs="Arial"/>
                <w:color w:val="000000"/>
                <w:sz w:val="16"/>
                <w:szCs w:val="16"/>
              </w:rPr>
            </w:pPr>
            <w:r w:rsidRPr="00F743B6">
              <w:rPr>
                <w:rFonts w:cs="Arial"/>
                <w:color w:val="000000"/>
                <w:sz w:val="16"/>
                <w:szCs w:val="16"/>
              </w:rPr>
              <w:t>42,836</w:t>
            </w:r>
          </w:p>
        </w:tc>
      </w:tr>
      <w:tr w:rsidR="004551CB" w:rsidRPr="00F743B6" w14:paraId="5320EC6F" w14:textId="77777777" w:rsidTr="004551CB">
        <w:trPr>
          <w:trHeight w:hRule="exact" w:val="284"/>
        </w:trPr>
        <w:tc>
          <w:tcPr>
            <w:tcW w:w="1613" w:type="pct"/>
            <w:tcBorders>
              <w:top w:val="single" w:sz="4" w:space="0" w:color="auto"/>
              <w:left w:val="single" w:sz="4" w:space="0" w:color="auto"/>
              <w:bottom w:val="single" w:sz="4" w:space="0" w:color="auto"/>
              <w:right w:val="nil"/>
            </w:tcBorders>
            <w:shd w:val="clear" w:color="auto" w:fill="auto"/>
            <w:noWrap/>
            <w:hideMark/>
          </w:tcPr>
          <w:p w14:paraId="32539574" w14:textId="77777777" w:rsidR="004551CB" w:rsidRPr="00F743B6" w:rsidRDefault="004551CB" w:rsidP="00312E88">
            <w:pPr>
              <w:rPr>
                <w:rFonts w:cs="Arial"/>
                <w:b/>
                <w:bCs/>
                <w:color w:val="000000"/>
                <w:sz w:val="16"/>
                <w:szCs w:val="16"/>
              </w:rPr>
            </w:pPr>
            <w:r w:rsidRPr="00F743B6">
              <w:rPr>
                <w:rFonts w:cs="Arial"/>
                <w:b/>
                <w:bCs/>
                <w:color w:val="000000"/>
                <w:sz w:val="16"/>
                <w:szCs w:val="16"/>
              </w:rPr>
              <w:t>Total</w:t>
            </w:r>
          </w:p>
        </w:tc>
        <w:tc>
          <w:tcPr>
            <w:tcW w:w="677" w:type="pct"/>
            <w:tcBorders>
              <w:top w:val="single" w:sz="4" w:space="0" w:color="auto"/>
              <w:left w:val="single" w:sz="4" w:space="0" w:color="auto"/>
              <w:bottom w:val="single" w:sz="4" w:space="0" w:color="auto"/>
              <w:right w:val="nil"/>
            </w:tcBorders>
            <w:shd w:val="clear" w:color="auto" w:fill="auto"/>
            <w:noWrap/>
            <w:hideMark/>
          </w:tcPr>
          <w:p w14:paraId="4B994E85"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28,831</w:t>
            </w:r>
          </w:p>
        </w:tc>
        <w:tc>
          <w:tcPr>
            <w:tcW w:w="677" w:type="pct"/>
            <w:tcBorders>
              <w:top w:val="single" w:sz="4" w:space="0" w:color="auto"/>
              <w:left w:val="nil"/>
              <w:bottom w:val="single" w:sz="4" w:space="0" w:color="auto"/>
              <w:right w:val="nil"/>
            </w:tcBorders>
            <w:shd w:val="clear" w:color="auto" w:fill="auto"/>
            <w:noWrap/>
            <w:hideMark/>
          </w:tcPr>
          <w:p w14:paraId="536613D1"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33,429</w:t>
            </w:r>
          </w:p>
        </w:tc>
        <w:tc>
          <w:tcPr>
            <w:tcW w:w="677" w:type="pct"/>
            <w:tcBorders>
              <w:top w:val="single" w:sz="4" w:space="0" w:color="auto"/>
              <w:left w:val="nil"/>
              <w:bottom w:val="single" w:sz="4" w:space="0" w:color="auto"/>
              <w:right w:val="nil"/>
            </w:tcBorders>
            <w:shd w:val="clear" w:color="auto" w:fill="auto"/>
            <w:noWrap/>
            <w:hideMark/>
          </w:tcPr>
          <w:p w14:paraId="0E13080E"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37,459</w:t>
            </w:r>
          </w:p>
        </w:tc>
        <w:tc>
          <w:tcPr>
            <w:tcW w:w="677" w:type="pct"/>
            <w:tcBorders>
              <w:top w:val="single" w:sz="4" w:space="0" w:color="auto"/>
              <w:left w:val="nil"/>
              <w:bottom w:val="single" w:sz="4" w:space="0" w:color="auto"/>
              <w:right w:val="nil"/>
            </w:tcBorders>
            <w:shd w:val="clear" w:color="auto" w:fill="auto"/>
            <w:noWrap/>
            <w:hideMark/>
          </w:tcPr>
          <w:p w14:paraId="0B28AD5F"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40,814</w:t>
            </w:r>
          </w:p>
        </w:tc>
        <w:tc>
          <w:tcPr>
            <w:tcW w:w="677" w:type="pct"/>
            <w:tcBorders>
              <w:top w:val="single" w:sz="4" w:space="0" w:color="auto"/>
              <w:left w:val="single" w:sz="4" w:space="0" w:color="auto"/>
              <w:bottom w:val="single" w:sz="4" w:space="0" w:color="auto"/>
              <w:right w:val="single" w:sz="4" w:space="0" w:color="auto"/>
            </w:tcBorders>
            <w:shd w:val="clear" w:color="auto" w:fill="auto"/>
            <w:noWrap/>
            <w:hideMark/>
          </w:tcPr>
          <w:p w14:paraId="328FD667"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58,483</w:t>
            </w:r>
          </w:p>
        </w:tc>
      </w:tr>
      <w:tr w:rsidR="004551CB" w:rsidRPr="00F743B6" w14:paraId="1E8FF1C2" w14:textId="77777777" w:rsidTr="004551CB">
        <w:trPr>
          <w:trHeight w:hRule="exact" w:val="284"/>
        </w:trPr>
        <w:tc>
          <w:tcPr>
            <w:tcW w:w="1613" w:type="pct"/>
            <w:tcBorders>
              <w:top w:val="nil"/>
              <w:left w:val="single" w:sz="4" w:space="0" w:color="auto"/>
              <w:bottom w:val="single" w:sz="4" w:space="0" w:color="auto"/>
              <w:right w:val="nil"/>
            </w:tcBorders>
            <w:shd w:val="clear" w:color="000000" w:fill="F7EEF7"/>
            <w:noWrap/>
            <w:hideMark/>
          </w:tcPr>
          <w:p w14:paraId="311B2EF3" w14:textId="77777777" w:rsidR="004551CB" w:rsidRPr="00F743B6" w:rsidRDefault="004551CB" w:rsidP="00312E88">
            <w:pPr>
              <w:rPr>
                <w:rFonts w:cs="Arial"/>
                <w:b/>
                <w:bCs/>
                <w:color w:val="000000"/>
                <w:sz w:val="16"/>
                <w:szCs w:val="16"/>
              </w:rPr>
            </w:pPr>
            <w:r w:rsidRPr="00F743B6">
              <w:rPr>
                <w:rFonts w:cs="Arial"/>
                <w:b/>
                <w:bCs/>
                <w:color w:val="000000"/>
                <w:sz w:val="16"/>
                <w:szCs w:val="16"/>
              </w:rPr>
              <w:t>Dec20 AFSR</w:t>
            </w:r>
          </w:p>
        </w:tc>
        <w:tc>
          <w:tcPr>
            <w:tcW w:w="677" w:type="pct"/>
            <w:tcBorders>
              <w:top w:val="nil"/>
              <w:left w:val="nil"/>
              <w:bottom w:val="single" w:sz="4" w:space="0" w:color="auto"/>
              <w:right w:val="nil"/>
            </w:tcBorders>
            <w:shd w:val="clear" w:color="000000" w:fill="F7EEF7"/>
            <w:noWrap/>
            <w:hideMark/>
          </w:tcPr>
          <w:p w14:paraId="7AE4E4D5"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hideMark/>
          </w:tcPr>
          <w:p w14:paraId="3A2BC74D"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hideMark/>
          </w:tcPr>
          <w:p w14:paraId="3C899BA1"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hideMark/>
          </w:tcPr>
          <w:p w14:paraId="06245458"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single" w:sz="4" w:space="0" w:color="auto"/>
            </w:tcBorders>
            <w:shd w:val="clear" w:color="000000" w:fill="F7EEF7"/>
            <w:noWrap/>
            <w:hideMark/>
          </w:tcPr>
          <w:p w14:paraId="3AC47A2D"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r>
      <w:tr w:rsidR="004551CB" w:rsidRPr="00F743B6" w14:paraId="2A354C73" w14:textId="77777777" w:rsidTr="004551CB">
        <w:trPr>
          <w:trHeight w:hRule="exact" w:val="284"/>
        </w:trPr>
        <w:tc>
          <w:tcPr>
            <w:tcW w:w="1613" w:type="pct"/>
            <w:tcBorders>
              <w:top w:val="nil"/>
              <w:left w:val="single" w:sz="4" w:space="0" w:color="auto"/>
              <w:bottom w:val="nil"/>
              <w:right w:val="nil"/>
            </w:tcBorders>
            <w:shd w:val="clear" w:color="auto" w:fill="auto"/>
            <w:noWrap/>
            <w:hideMark/>
          </w:tcPr>
          <w:p w14:paraId="133A580D" w14:textId="77777777" w:rsidR="004551CB" w:rsidRPr="00F743B6" w:rsidRDefault="004551CB" w:rsidP="00312E88">
            <w:pPr>
              <w:rPr>
                <w:rFonts w:cs="Arial"/>
                <w:color w:val="000000"/>
                <w:sz w:val="16"/>
                <w:szCs w:val="16"/>
              </w:rPr>
            </w:pPr>
            <w:r w:rsidRPr="00F743B6">
              <w:rPr>
                <w:rFonts w:cs="Arial"/>
                <w:color w:val="000000"/>
                <w:sz w:val="16"/>
                <w:szCs w:val="16"/>
              </w:rPr>
              <w:t>SIL</w:t>
            </w:r>
          </w:p>
        </w:tc>
        <w:tc>
          <w:tcPr>
            <w:tcW w:w="677" w:type="pct"/>
            <w:tcBorders>
              <w:top w:val="nil"/>
              <w:left w:val="single" w:sz="4" w:space="0" w:color="auto"/>
              <w:bottom w:val="nil"/>
              <w:right w:val="nil"/>
            </w:tcBorders>
            <w:shd w:val="clear" w:color="auto" w:fill="auto"/>
            <w:noWrap/>
            <w:hideMark/>
          </w:tcPr>
          <w:p w14:paraId="4050A385" w14:textId="77777777" w:rsidR="004551CB" w:rsidRPr="00F743B6" w:rsidRDefault="004551CB" w:rsidP="00312E88">
            <w:pPr>
              <w:jc w:val="right"/>
              <w:rPr>
                <w:rFonts w:cs="Arial"/>
                <w:sz w:val="16"/>
                <w:szCs w:val="16"/>
              </w:rPr>
            </w:pPr>
            <w:r w:rsidRPr="00F743B6">
              <w:rPr>
                <w:rFonts w:cs="Arial"/>
                <w:sz w:val="16"/>
                <w:szCs w:val="16"/>
              </w:rPr>
              <w:t>8,939</w:t>
            </w:r>
          </w:p>
        </w:tc>
        <w:tc>
          <w:tcPr>
            <w:tcW w:w="677" w:type="pct"/>
            <w:tcBorders>
              <w:top w:val="nil"/>
              <w:left w:val="nil"/>
              <w:bottom w:val="nil"/>
              <w:right w:val="nil"/>
            </w:tcBorders>
            <w:shd w:val="clear" w:color="auto" w:fill="auto"/>
            <w:noWrap/>
            <w:hideMark/>
          </w:tcPr>
          <w:p w14:paraId="709DF304" w14:textId="77777777" w:rsidR="004551CB" w:rsidRPr="00F743B6" w:rsidRDefault="004551CB" w:rsidP="00312E88">
            <w:pPr>
              <w:jc w:val="right"/>
              <w:rPr>
                <w:rFonts w:cs="Arial"/>
                <w:color w:val="000000"/>
                <w:sz w:val="16"/>
                <w:szCs w:val="16"/>
              </w:rPr>
            </w:pPr>
            <w:r w:rsidRPr="00F743B6">
              <w:rPr>
                <w:rFonts w:cs="Arial"/>
                <w:color w:val="000000"/>
                <w:sz w:val="16"/>
                <w:szCs w:val="16"/>
              </w:rPr>
              <w:t>10,306</w:t>
            </w:r>
          </w:p>
        </w:tc>
        <w:tc>
          <w:tcPr>
            <w:tcW w:w="677" w:type="pct"/>
            <w:tcBorders>
              <w:top w:val="nil"/>
              <w:left w:val="nil"/>
              <w:bottom w:val="nil"/>
              <w:right w:val="nil"/>
            </w:tcBorders>
            <w:shd w:val="clear" w:color="auto" w:fill="auto"/>
            <w:noWrap/>
            <w:hideMark/>
          </w:tcPr>
          <w:p w14:paraId="7680C827" w14:textId="77777777" w:rsidR="004551CB" w:rsidRPr="00F743B6" w:rsidRDefault="004551CB" w:rsidP="00312E88">
            <w:pPr>
              <w:jc w:val="right"/>
              <w:rPr>
                <w:rFonts w:cs="Arial"/>
                <w:color w:val="000000"/>
                <w:sz w:val="16"/>
                <w:szCs w:val="16"/>
              </w:rPr>
            </w:pPr>
            <w:r w:rsidRPr="00F743B6">
              <w:rPr>
                <w:rFonts w:cs="Arial"/>
                <w:color w:val="000000"/>
                <w:sz w:val="16"/>
                <w:szCs w:val="16"/>
              </w:rPr>
              <w:t>11,632</w:t>
            </w:r>
          </w:p>
        </w:tc>
        <w:tc>
          <w:tcPr>
            <w:tcW w:w="677" w:type="pct"/>
            <w:tcBorders>
              <w:top w:val="nil"/>
              <w:left w:val="nil"/>
              <w:bottom w:val="nil"/>
              <w:right w:val="nil"/>
            </w:tcBorders>
            <w:shd w:val="clear" w:color="auto" w:fill="auto"/>
            <w:noWrap/>
            <w:hideMark/>
          </w:tcPr>
          <w:p w14:paraId="458B68FE" w14:textId="77777777" w:rsidR="004551CB" w:rsidRPr="00F743B6" w:rsidRDefault="004551CB" w:rsidP="00312E88">
            <w:pPr>
              <w:jc w:val="right"/>
              <w:rPr>
                <w:rFonts w:cs="Arial"/>
                <w:color w:val="000000"/>
                <w:sz w:val="16"/>
                <w:szCs w:val="16"/>
              </w:rPr>
            </w:pPr>
            <w:r w:rsidRPr="00F743B6">
              <w:rPr>
                <w:rFonts w:cs="Arial"/>
                <w:color w:val="000000"/>
                <w:sz w:val="16"/>
                <w:szCs w:val="16"/>
              </w:rPr>
              <w:t>12,863</w:t>
            </w:r>
          </w:p>
        </w:tc>
        <w:tc>
          <w:tcPr>
            <w:tcW w:w="677" w:type="pct"/>
            <w:tcBorders>
              <w:top w:val="nil"/>
              <w:left w:val="single" w:sz="4" w:space="0" w:color="auto"/>
              <w:bottom w:val="nil"/>
              <w:right w:val="single" w:sz="4" w:space="0" w:color="auto"/>
            </w:tcBorders>
            <w:shd w:val="clear" w:color="auto" w:fill="auto"/>
            <w:noWrap/>
            <w:hideMark/>
          </w:tcPr>
          <w:p w14:paraId="1047B69D" w14:textId="77777777" w:rsidR="004551CB" w:rsidRPr="00F743B6" w:rsidRDefault="004551CB" w:rsidP="00312E88">
            <w:pPr>
              <w:jc w:val="right"/>
              <w:rPr>
                <w:rFonts w:cs="Arial"/>
                <w:color w:val="000000"/>
                <w:sz w:val="16"/>
                <w:szCs w:val="16"/>
              </w:rPr>
            </w:pPr>
            <w:r w:rsidRPr="00F743B6">
              <w:rPr>
                <w:rFonts w:cs="Arial"/>
                <w:color w:val="000000"/>
                <w:sz w:val="16"/>
                <w:szCs w:val="16"/>
              </w:rPr>
              <w:t>19,132</w:t>
            </w:r>
          </w:p>
        </w:tc>
      </w:tr>
      <w:tr w:rsidR="004551CB" w:rsidRPr="00F743B6" w14:paraId="4E47FC67" w14:textId="77777777" w:rsidTr="004551CB">
        <w:trPr>
          <w:trHeight w:hRule="exact" w:val="284"/>
        </w:trPr>
        <w:tc>
          <w:tcPr>
            <w:tcW w:w="1613" w:type="pct"/>
            <w:tcBorders>
              <w:top w:val="nil"/>
              <w:left w:val="single" w:sz="4" w:space="0" w:color="auto"/>
              <w:bottom w:val="nil"/>
              <w:right w:val="nil"/>
            </w:tcBorders>
            <w:shd w:val="clear" w:color="auto" w:fill="auto"/>
            <w:noWrap/>
            <w:hideMark/>
          </w:tcPr>
          <w:p w14:paraId="59C2A015" w14:textId="77777777" w:rsidR="004551CB" w:rsidRPr="00F743B6" w:rsidRDefault="004551CB" w:rsidP="00312E88">
            <w:pPr>
              <w:rPr>
                <w:rFonts w:cs="Arial"/>
                <w:color w:val="000000"/>
                <w:sz w:val="16"/>
                <w:szCs w:val="16"/>
              </w:rPr>
            </w:pPr>
            <w:r w:rsidRPr="00F743B6">
              <w:rPr>
                <w:rFonts w:cs="Arial"/>
                <w:color w:val="000000"/>
                <w:sz w:val="16"/>
                <w:szCs w:val="16"/>
              </w:rPr>
              <w:t>Non-SIL</w:t>
            </w:r>
          </w:p>
        </w:tc>
        <w:tc>
          <w:tcPr>
            <w:tcW w:w="677" w:type="pct"/>
            <w:tcBorders>
              <w:top w:val="nil"/>
              <w:left w:val="single" w:sz="4" w:space="0" w:color="auto"/>
              <w:bottom w:val="nil"/>
              <w:right w:val="nil"/>
            </w:tcBorders>
            <w:shd w:val="clear" w:color="auto" w:fill="auto"/>
            <w:noWrap/>
            <w:hideMark/>
          </w:tcPr>
          <w:p w14:paraId="1A842A56" w14:textId="77777777" w:rsidR="004551CB" w:rsidRPr="00F743B6" w:rsidRDefault="004551CB" w:rsidP="00312E88">
            <w:pPr>
              <w:jc w:val="right"/>
              <w:rPr>
                <w:rFonts w:cs="Arial"/>
                <w:color w:val="000000"/>
                <w:sz w:val="16"/>
                <w:szCs w:val="16"/>
              </w:rPr>
            </w:pPr>
            <w:r w:rsidRPr="00F743B6">
              <w:rPr>
                <w:rFonts w:cs="Arial"/>
                <w:color w:val="000000"/>
                <w:sz w:val="16"/>
                <w:szCs w:val="16"/>
              </w:rPr>
              <w:t>18,760</w:t>
            </w:r>
          </w:p>
        </w:tc>
        <w:tc>
          <w:tcPr>
            <w:tcW w:w="677" w:type="pct"/>
            <w:tcBorders>
              <w:top w:val="nil"/>
              <w:left w:val="nil"/>
              <w:bottom w:val="nil"/>
              <w:right w:val="nil"/>
            </w:tcBorders>
            <w:shd w:val="clear" w:color="auto" w:fill="auto"/>
            <w:noWrap/>
            <w:hideMark/>
          </w:tcPr>
          <w:p w14:paraId="5B58DD83" w14:textId="77777777" w:rsidR="004551CB" w:rsidRPr="00F743B6" w:rsidRDefault="004551CB" w:rsidP="00312E88">
            <w:pPr>
              <w:jc w:val="right"/>
              <w:rPr>
                <w:rFonts w:cs="Arial"/>
                <w:color w:val="000000"/>
                <w:sz w:val="16"/>
                <w:szCs w:val="16"/>
              </w:rPr>
            </w:pPr>
            <w:r w:rsidRPr="00F743B6">
              <w:rPr>
                <w:rFonts w:cs="Arial"/>
                <w:color w:val="000000"/>
                <w:sz w:val="16"/>
                <w:szCs w:val="16"/>
              </w:rPr>
              <w:t>22,129</w:t>
            </w:r>
          </w:p>
        </w:tc>
        <w:tc>
          <w:tcPr>
            <w:tcW w:w="677" w:type="pct"/>
            <w:tcBorders>
              <w:top w:val="nil"/>
              <w:left w:val="nil"/>
              <w:bottom w:val="nil"/>
              <w:right w:val="nil"/>
            </w:tcBorders>
            <w:shd w:val="clear" w:color="auto" w:fill="auto"/>
            <w:noWrap/>
            <w:hideMark/>
          </w:tcPr>
          <w:p w14:paraId="7B36D43C" w14:textId="77777777" w:rsidR="004551CB" w:rsidRPr="00F743B6" w:rsidRDefault="004551CB" w:rsidP="00312E88">
            <w:pPr>
              <w:jc w:val="right"/>
              <w:rPr>
                <w:rFonts w:cs="Arial"/>
                <w:color w:val="000000"/>
                <w:sz w:val="16"/>
                <w:szCs w:val="16"/>
              </w:rPr>
            </w:pPr>
            <w:r w:rsidRPr="00F743B6">
              <w:rPr>
                <w:rFonts w:cs="Arial"/>
                <w:color w:val="000000"/>
                <w:sz w:val="16"/>
                <w:szCs w:val="16"/>
              </w:rPr>
              <w:t>24,990</w:t>
            </w:r>
          </w:p>
        </w:tc>
        <w:tc>
          <w:tcPr>
            <w:tcW w:w="677" w:type="pct"/>
            <w:tcBorders>
              <w:top w:val="nil"/>
              <w:left w:val="nil"/>
              <w:bottom w:val="nil"/>
              <w:right w:val="nil"/>
            </w:tcBorders>
            <w:shd w:val="clear" w:color="auto" w:fill="auto"/>
            <w:noWrap/>
            <w:hideMark/>
          </w:tcPr>
          <w:p w14:paraId="01790659" w14:textId="77777777" w:rsidR="004551CB" w:rsidRPr="00F743B6" w:rsidRDefault="004551CB" w:rsidP="00312E88">
            <w:pPr>
              <w:jc w:val="right"/>
              <w:rPr>
                <w:rFonts w:cs="Arial"/>
                <w:color w:val="000000"/>
                <w:sz w:val="16"/>
                <w:szCs w:val="16"/>
              </w:rPr>
            </w:pPr>
            <w:r w:rsidRPr="00F743B6">
              <w:rPr>
                <w:rFonts w:cs="Arial"/>
                <w:color w:val="000000"/>
                <w:sz w:val="16"/>
                <w:szCs w:val="16"/>
              </w:rPr>
              <w:t>27,522</w:t>
            </w:r>
          </w:p>
        </w:tc>
        <w:tc>
          <w:tcPr>
            <w:tcW w:w="677" w:type="pct"/>
            <w:tcBorders>
              <w:top w:val="nil"/>
              <w:left w:val="single" w:sz="4" w:space="0" w:color="auto"/>
              <w:bottom w:val="nil"/>
              <w:right w:val="single" w:sz="4" w:space="0" w:color="auto"/>
            </w:tcBorders>
            <w:shd w:val="clear" w:color="auto" w:fill="auto"/>
            <w:noWrap/>
            <w:hideMark/>
          </w:tcPr>
          <w:p w14:paraId="1AF54440" w14:textId="77777777" w:rsidR="004551CB" w:rsidRPr="00F743B6" w:rsidRDefault="004551CB" w:rsidP="00312E88">
            <w:pPr>
              <w:jc w:val="right"/>
              <w:rPr>
                <w:rFonts w:cs="Arial"/>
                <w:color w:val="000000"/>
                <w:sz w:val="16"/>
                <w:szCs w:val="16"/>
              </w:rPr>
            </w:pPr>
            <w:r w:rsidRPr="00F743B6">
              <w:rPr>
                <w:rFonts w:cs="Arial"/>
                <w:color w:val="000000"/>
                <w:sz w:val="16"/>
                <w:szCs w:val="16"/>
              </w:rPr>
              <w:t>40,787</w:t>
            </w:r>
          </w:p>
        </w:tc>
      </w:tr>
      <w:tr w:rsidR="004551CB" w:rsidRPr="00F743B6" w14:paraId="0069AD6D" w14:textId="77777777" w:rsidTr="004551CB">
        <w:trPr>
          <w:trHeight w:hRule="exact" w:val="284"/>
        </w:trPr>
        <w:tc>
          <w:tcPr>
            <w:tcW w:w="1613" w:type="pct"/>
            <w:tcBorders>
              <w:top w:val="single" w:sz="4" w:space="0" w:color="auto"/>
              <w:left w:val="single" w:sz="4" w:space="0" w:color="auto"/>
              <w:bottom w:val="single" w:sz="4" w:space="0" w:color="auto"/>
              <w:right w:val="nil"/>
            </w:tcBorders>
            <w:shd w:val="clear" w:color="auto" w:fill="auto"/>
            <w:noWrap/>
            <w:hideMark/>
          </w:tcPr>
          <w:p w14:paraId="3AAAE6C1" w14:textId="77777777" w:rsidR="004551CB" w:rsidRPr="00F743B6" w:rsidRDefault="004551CB" w:rsidP="00312E88">
            <w:pPr>
              <w:rPr>
                <w:rFonts w:cs="Arial"/>
                <w:b/>
                <w:bCs/>
                <w:color w:val="000000"/>
                <w:sz w:val="16"/>
                <w:szCs w:val="16"/>
              </w:rPr>
            </w:pPr>
            <w:r w:rsidRPr="00F743B6">
              <w:rPr>
                <w:rFonts w:cs="Arial"/>
                <w:b/>
                <w:bCs/>
                <w:color w:val="000000"/>
                <w:sz w:val="16"/>
                <w:szCs w:val="16"/>
              </w:rPr>
              <w:t>Total</w:t>
            </w:r>
          </w:p>
        </w:tc>
        <w:tc>
          <w:tcPr>
            <w:tcW w:w="677" w:type="pct"/>
            <w:tcBorders>
              <w:top w:val="single" w:sz="4" w:space="0" w:color="auto"/>
              <w:left w:val="single" w:sz="4" w:space="0" w:color="auto"/>
              <w:bottom w:val="single" w:sz="4" w:space="0" w:color="auto"/>
              <w:right w:val="nil"/>
            </w:tcBorders>
            <w:shd w:val="clear" w:color="auto" w:fill="auto"/>
            <w:noWrap/>
            <w:hideMark/>
          </w:tcPr>
          <w:p w14:paraId="4963487D"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27,699</w:t>
            </w:r>
          </w:p>
        </w:tc>
        <w:tc>
          <w:tcPr>
            <w:tcW w:w="677" w:type="pct"/>
            <w:tcBorders>
              <w:top w:val="single" w:sz="4" w:space="0" w:color="auto"/>
              <w:left w:val="nil"/>
              <w:bottom w:val="single" w:sz="4" w:space="0" w:color="auto"/>
              <w:right w:val="nil"/>
            </w:tcBorders>
            <w:shd w:val="clear" w:color="auto" w:fill="auto"/>
            <w:noWrap/>
            <w:hideMark/>
          </w:tcPr>
          <w:p w14:paraId="00E0BD1A"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32,436</w:t>
            </w:r>
          </w:p>
        </w:tc>
        <w:tc>
          <w:tcPr>
            <w:tcW w:w="677" w:type="pct"/>
            <w:tcBorders>
              <w:top w:val="single" w:sz="4" w:space="0" w:color="auto"/>
              <w:left w:val="nil"/>
              <w:bottom w:val="single" w:sz="4" w:space="0" w:color="auto"/>
              <w:right w:val="nil"/>
            </w:tcBorders>
            <w:shd w:val="clear" w:color="auto" w:fill="auto"/>
            <w:noWrap/>
            <w:hideMark/>
          </w:tcPr>
          <w:p w14:paraId="48C3522E"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36,622</w:t>
            </w:r>
          </w:p>
        </w:tc>
        <w:tc>
          <w:tcPr>
            <w:tcW w:w="677" w:type="pct"/>
            <w:tcBorders>
              <w:top w:val="single" w:sz="4" w:space="0" w:color="auto"/>
              <w:left w:val="nil"/>
              <w:bottom w:val="single" w:sz="4" w:space="0" w:color="auto"/>
              <w:right w:val="nil"/>
            </w:tcBorders>
            <w:shd w:val="clear" w:color="auto" w:fill="auto"/>
            <w:noWrap/>
            <w:hideMark/>
          </w:tcPr>
          <w:p w14:paraId="08349059"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40,385</w:t>
            </w:r>
          </w:p>
        </w:tc>
        <w:tc>
          <w:tcPr>
            <w:tcW w:w="677" w:type="pct"/>
            <w:tcBorders>
              <w:top w:val="single" w:sz="4" w:space="0" w:color="auto"/>
              <w:left w:val="single" w:sz="4" w:space="0" w:color="auto"/>
              <w:bottom w:val="single" w:sz="4" w:space="0" w:color="auto"/>
              <w:right w:val="single" w:sz="4" w:space="0" w:color="auto"/>
            </w:tcBorders>
            <w:shd w:val="clear" w:color="auto" w:fill="auto"/>
            <w:noWrap/>
            <w:hideMark/>
          </w:tcPr>
          <w:p w14:paraId="639258E8"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59,918</w:t>
            </w:r>
          </w:p>
        </w:tc>
      </w:tr>
      <w:tr w:rsidR="004551CB" w:rsidRPr="00F743B6" w14:paraId="2719A8E2" w14:textId="77777777" w:rsidTr="004551CB">
        <w:trPr>
          <w:trHeight w:hRule="exact" w:val="284"/>
        </w:trPr>
        <w:tc>
          <w:tcPr>
            <w:tcW w:w="1613" w:type="pct"/>
            <w:tcBorders>
              <w:top w:val="nil"/>
              <w:left w:val="single" w:sz="4" w:space="0" w:color="auto"/>
              <w:bottom w:val="single" w:sz="4" w:space="0" w:color="auto"/>
              <w:right w:val="nil"/>
            </w:tcBorders>
            <w:shd w:val="clear" w:color="000000" w:fill="F7EEF7"/>
            <w:noWrap/>
            <w:hideMark/>
          </w:tcPr>
          <w:p w14:paraId="712EECB6" w14:textId="77777777" w:rsidR="004551CB" w:rsidRPr="00F743B6" w:rsidRDefault="004551CB" w:rsidP="00312E88">
            <w:pPr>
              <w:rPr>
                <w:rFonts w:cs="Arial"/>
                <w:b/>
                <w:bCs/>
                <w:color w:val="000000"/>
                <w:sz w:val="16"/>
                <w:szCs w:val="16"/>
              </w:rPr>
            </w:pPr>
            <w:r w:rsidRPr="00F743B6">
              <w:rPr>
                <w:rFonts w:cs="Arial"/>
                <w:b/>
                <w:bCs/>
                <w:color w:val="000000"/>
                <w:sz w:val="16"/>
                <w:szCs w:val="16"/>
              </w:rPr>
              <w:t>Difference</w:t>
            </w:r>
          </w:p>
        </w:tc>
        <w:tc>
          <w:tcPr>
            <w:tcW w:w="677" w:type="pct"/>
            <w:tcBorders>
              <w:top w:val="nil"/>
              <w:left w:val="nil"/>
              <w:bottom w:val="single" w:sz="4" w:space="0" w:color="auto"/>
              <w:right w:val="nil"/>
            </w:tcBorders>
            <w:shd w:val="clear" w:color="000000" w:fill="F7EEF7"/>
            <w:noWrap/>
            <w:hideMark/>
          </w:tcPr>
          <w:p w14:paraId="303BF236"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hideMark/>
          </w:tcPr>
          <w:p w14:paraId="06C7DFA8"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hideMark/>
          </w:tcPr>
          <w:p w14:paraId="3CDBE1EF"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hideMark/>
          </w:tcPr>
          <w:p w14:paraId="5A77669D"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nil"/>
              <w:left w:val="nil"/>
              <w:bottom w:val="single" w:sz="4" w:space="0" w:color="auto"/>
              <w:right w:val="single" w:sz="4" w:space="0" w:color="auto"/>
            </w:tcBorders>
            <w:shd w:val="clear" w:color="000000" w:fill="F7EEF7"/>
            <w:noWrap/>
            <w:hideMark/>
          </w:tcPr>
          <w:p w14:paraId="31A8783E"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r>
      <w:tr w:rsidR="004551CB" w:rsidRPr="00F743B6" w14:paraId="46081DEB" w14:textId="77777777" w:rsidTr="004551CB">
        <w:trPr>
          <w:trHeight w:hRule="exact" w:val="284"/>
        </w:trPr>
        <w:tc>
          <w:tcPr>
            <w:tcW w:w="1613" w:type="pct"/>
            <w:tcBorders>
              <w:top w:val="nil"/>
              <w:left w:val="single" w:sz="4" w:space="0" w:color="auto"/>
              <w:bottom w:val="nil"/>
              <w:right w:val="nil"/>
            </w:tcBorders>
            <w:shd w:val="clear" w:color="auto" w:fill="auto"/>
            <w:noWrap/>
            <w:hideMark/>
          </w:tcPr>
          <w:p w14:paraId="1E70AF16" w14:textId="77777777" w:rsidR="004551CB" w:rsidRPr="00F743B6" w:rsidRDefault="004551CB" w:rsidP="00312E88">
            <w:pPr>
              <w:rPr>
                <w:rFonts w:cs="Arial"/>
                <w:color w:val="000000"/>
                <w:sz w:val="16"/>
                <w:szCs w:val="16"/>
              </w:rPr>
            </w:pPr>
            <w:r w:rsidRPr="00F743B6">
              <w:rPr>
                <w:rFonts w:cs="Arial"/>
                <w:color w:val="000000"/>
                <w:sz w:val="16"/>
                <w:szCs w:val="16"/>
              </w:rPr>
              <w:t>SIL</w:t>
            </w:r>
          </w:p>
        </w:tc>
        <w:tc>
          <w:tcPr>
            <w:tcW w:w="677" w:type="pct"/>
            <w:tcBorders>
              <w:top w:val="nil"/>
              <w:left w:val="single" w:sz="4" w:space="0" w:color="auto"/>
              <w:bottom w:val="nil"/>
              <w:right w:val="nil"/>
            </w:tcBorders>
            <w:shd w:val="clear" w:color="auto" w:fill="auto"/>
            <w:noWrap/>
            <w:hideMark/>
          </w:tcPr>
          <w:p w14:paraId="63F98F52" w14:textId="77777777" w:rsidR="004551CB" w:rsidRPr="00F743B6" w:rsidRDefault="004551CB" w:rsidP="00312E88">
            <w:pPr>
              <w:jc w:val="right"/>
              <w:rPr>
                <w:rFonts w:cs="Arial"/>
                <w:sz w:val="16"/>
                <w:szCs w:val="16"/>
              </w:rPr>
            </w:pPr>
            <w:r w:rsidRPr="00F743B6">
              <w:rPr>
                <w:rFonts w:cs="Arial"/>
                <w:sz w:val="16"/>
                <w:szCs w:val="16"/>
              </w:rPr>
              <w:t>-63</w:t>
            </w:r>
          </w:p>
        </w:tc>
        <w:tc>
          <w:tcPr>
            <w:tcW w:w="677" w:type="pct"/>
            <w:tcBorders>
              <w:top w:val="nil"/>
              <w:left w:val="nil"/>
              <w:bottom w:val="nil"/>
              <w:right w:val="nil"/>
            </w:tcBorders>
            <w:shd w:val="clear" w:color="auto" w:fill="auto"/>
            <w:noWrap/>
            <w:hideMark/>
          </w:tcPr>
          <w:p w14:paraId="77FC1CB2" w14:textId="77777777" w:rsidR="004551CB" w:rsidRPr="00F743B6" w:rsidRDefault="004551CB" w:rsidP="00312E88">
            <w:pPr>
              <w:jc w:val="right"/>
              <w:rPr>
                <w:rFonts w:cs="Arial"/>
                <w:color w:val="000000"/>
                <w:sz w:val="16"/>
                <w:szCs w:val="16"/>
              </w:rPr>
            </w:pPr>
            <w:r w:rsidRPr="00F743B6">
              <w:rPr>
                <w:rFonts w:cs="Arial"/>
                <w:color w:val="000000"/>
                <w:sz w:val="16"/>
                <w:szCs w:val="16"/>
              </w:rPr>
              <w:t>-737</w:t>
            </w:r>
          </w:p>
        </w:tc>
        <w:tc>
          <w:tcPr>
            <w:tcW w:w="677" w:type="pct"/>
            <w:tcBorders>
              <w:top w:val="nil"/>
              <w:left w:val="nil"/>
              <w:bottom w:val="nil"/>
              <w:right w:val="nil"/>
            </w:tcBorders>
            <w:shd w:val="clear" w:color="auto" w:fill="auto"/>
            <w:noWrap/>
            <w:hideMark/>
          </w:tcPr>
          <w:p w14:paraId="1DE5C5B0" w14:textId="77777777" w:rsidR="004551CB" w:rsidRPr="00F743B6" w:rsidRDefault="004551CB" w:rsidP="00312E88">
            <w:pPr>
              <w:jc w:val="right"/>
              <w:rPr>
                <w:rFonts w:cs="Arial"/>
                <w:color w:val="000000"/>
                <w:sz w:val="16"/>
                <w:szCs w:val="16"/>
              </w:rPr>
            </w:pPr>
            <w:r w:rsidRPr="00F743B6">
              <w:rPr>
                <w:rFonts w:cs="Arial"/>
                <w:color w:val="000000"/>
                <w:sz w:val="16"/>
                <w:szCs w:val="16"/>
              </w:rPr>
              <w:t>-1,365</w:t>
            </w:r>
          </w:p>
        </w:tc>
        <w:tc>
          <w:tcPr>
            <w:tcW w:w="677" w:type="pct"/>
            <w:tcBorders>
              <w:top w:val="nil"/>
              <w:left w:val="nil"/>
              <w:bottom w:val="nil"/>
              <w:right w:val="nil"/>
            </w:tcBorders>
            <w:shd w:val="clear" w:color="auto" w:fill="auto"/>
            <w:noWrap/>
            <w:hideMark/>
          </w:tcPr>
          <w:p w14:paraId="12DDAF81" w14:textId="77777777" w:rsidR="004551CB" w:rsidRPr="00F743B6" w:rsidRDefault="004551CB" w:rsidP="00312E88">
            <w:pPr>
              <w:jc w:val="right"/>
              <w:rPr>
                <w:rFonts w:cs="Arial"/>
                <w:color w:val="000000"/>
                <w:sz w:val="16"/>
                <w:szCs w:val="16"/>
              </w:rPr>
            </w:pPr>
            <w:r w:rsidRPr="00F743B6">
              <w:rPr>
                <w:rFonts w:cs="Arial"/>
                <w:color w:val="000000"/>
                <w:sz w:val="16"/>
                <w:szCs w:val="16"/>
              </w:rPr>
              <w:t>-1,856</w:t>
            </w:r>
          </w:p>
        </w:tc>
        <w:tc>
          <w:tcPr>
            <w:tcW w:w="677" w:type="pct"/>
            <w:tcBorders>
              <w:top w:val="nil"/>
              <w:left w:val="single" w:sz="4" w:space="0" w:color="auto"/>
              <w:bottom w:val="nil"/>
              <w:right w:val="single" w:sz="4" w:space="0" w:color="auto"/>
            </w:tcBorders>
            <w:shd w:val="clear" w:color="auto" w:fill="auto"/>
            <w:noWrap/>
            <w:hideMark/>
          </w:tcPr>
          <w:p w14:paraId="5DA2B50A" w14:textId="77777777" w:rsidR="004551CB" w:rsidRPr="00F743B6" w:rsidRDefault="004551CB" w:rsidP="00312E88">
            <w:pPr>
              <w:jc w:val="right"/>
              <w:rPr>
                <w:rFonts w:cs="Arial"/>
                <w:color w:val="000000"/>
                <w:sz w:val="16"/>
                <w:szCs w:val="16"/>
              </w:rPr>
            </w:pPr>
            <w:r w:rsidRPr="00F743B6">
              <w:rPr>
                <w:rFonts w:cs="Arial"/>
                <w:color w:val="000000"/>
                <w:sz w:val="16"/>
                <w:szCs w:val="16"/>
              </w:rPr>
              <w:t>-3,484</w:t>
            </w:r>
          </w:p>
        </w:tc>
      </w:tr>
      <w:tr w:rsidR="004551CB" w:rsidRPr="00F743B6" w14:paraId="3316C2CC" w14:textId="77777777" w:rsidTr="004551CB">
        <w:trPr>
          <w:trHeight w:hRule="exact" w:val="284"/>
        </w:trPr>
        <w:tc>
          <w:tcPr>
            <w:tcW w:w="1613" w:type="pct"/>
            <w:tcBorders>
              <w:top w:val="nil"/>
              <w:left w:val="single" w:sz="4" w:space="0" w:color="auto"/>
              <w:bottom w:val="nil"/>
              <w:right w:val="nil"/>
            </w:tcBorders>
            <w:shd w:val="clear" w:color="auto" w:fill="auto"/>
            <w:noWrap/>
            <w:hideMark/>
          </w:tcPr>
          <w:p w14:paraId="40709FAE" w14:textId="77777777" w:rsidR="004551CB" w:rsidRPr="00F743B6" w:rsidRDefault="004551CB" w:rsidP="00312E88">
            <w:pPr>
              <w:rPr>
                <w:rFonts w:cs="Arial"/>
                <w:color w:val="000000"/>
                <w:sz w:val="16"/>
                <w:szCs w:val="16"/>
              </w:rPr>
            </w:pPr>
            <w:r w:rsidRPr="00F743B6">
              <w:rPr>
                <w:rFonts w:cs="Arial"/>
                <w:color w:val="000000"/>
                <w:sz w:val="16"/>
                <w:szCs w:val="16"/>
              </w:rPr>
              <w:t>Non-SIL</w:t>
            </w:r>
          </w:p>
        </w:tc>
        <w:tc>
          <w:tcPr>
            <w:tcW w:w="677" w:type="pct"/>
            <w:tcBorders>
              <w:top w:val="nil"/>
              <w:left w:val="single" w:sz="4" w:space="0" w:color="auto"/>
              <w:bottom w:val="nil"/>
              <w:right w:val="nil"/>
            </w:tcBorders>
            <w:shd w:val="clear" w:color="auto" w:fill="auto"/>
            <w:noWrap/>
            <w:hideMark/>
          </w:tcPr>
          <w:p w14:paraId="3BAAB1D9" w14:textId="77777777" w:rsidR="004551CB" w:rsidRPr="00F743B6" w:rsidRDefault="004551CB" w:rsidP="00312E88">
            <w:pPr>
              <w:jc w:val="right"/>
              <w:rPr>
                <w:rFonts w:cs="Arial"/>
                <w:color w:val="000000"/>
                <w:sz w:val="16"/>
                <w:szCs w:val="16"/>
              </w:rPr>
            </w:pPr>
            <w:r w:rsidRPr="00F743B6">
              <w:rPr>
                <w:rFonts w:cs="Arial"/>
                <w:color w:val="000000"/>
                <w:sz w:val="16"/>
                <w:szCs w:val="16"/>
              </w:rPr>
              <w:t>1,195</w:t>
            </w:r>
          </w:p>
        </w:tc>
        <w:tc>
          <w:tcPr>
            <w:tcW w:w="677" w:type="pct"/>
            <w:tcBorders>
              <w:top w:val="nil"/>
              <w:left w:val="nil"/>
              <w:bottom w:val="nil"/>
              <w:right w:val="nil"/>
            </w:tcBorders>
            <w:shd w:val="clear" w:color="auto" w:fill="auto"/>
            <w:noWrap/>
            <w:hideMark/>
          </w:tcPr>
          <w:p w14:paraId="1E75B14B" w14:textId="77777777" w:rsidR="004551CB" w:rsidRPr="00F743B6" w:rsidRDefault="004551CB" w:rsidP="00312E88">
            <w:pPr>
              <w:jc w:val="right"/>
              <w:rPr>
                <w:rFonts w:cs="Arial"/>
                <w:color w:val="000000"/>
                <w:sz w:val="16"/>
                <w:szCs w:val="16"/>
              </w:rPr>
            </w:pPr>
            <w:r w:rsidRPr="00F743B6">
              <w:rPr>
                <w:rFonts w:cs="Arial"/>
                <w:color w:val="000000"/>
                <w:sz w:val="16"/>
                <w:szCs w:val="16"/>
              </w:rPr>
              <w:t>1,730</w:t>
            </w:r>
          </w:p>
        </w:tc>
        <w:tc>
          <w:tcPr>
            <w:tcW w:w="677" w:type="pct"/>
            <w:tcBorders>
              <w:top w:val="nil"/>
              <w:left w:val="nil"/>
              <w:bottom w:val="nil"/>
              <w:right w:val="nil"/>
            </w:tcBorders>
            <w:shd w:val="clear" w:color="auto" w:fill="auto"/>
            <w:noWrap/>
            <w:hideMark/>
          </w:tcPr>
          <w:p w14:paraId="241F4D75" w14:textId="77777777" w:rsidR="004551CB" w:rsidRPr="00F743B6" w:rsidRDefault="004551CB" w:rsidP="00312E88">
            <w:pPr>
              <w:jc w:val="right"/>
              <w:rPr>
                <w:rFonts w:cs="Arial"/>
                <w:color w:val="000000"/>
                <w:sz w:val="16"/>
                <w:szCs w:val="16"/>
              </w:rPr>
            </w:pPr>
            <w:r w:rsidRPr="00F743B6">
              <w:rPr>
                <w:rFonts w:cs="Arial"/>
                <w:color w:val="000000"/>
                <w:sz w:val="16"/>
                <w:szCs w:val="16"/>
              </w:rPr>
              <w:t>2,202</w:t>
            </w:r>
          </w:p>
        </w:tc>
        <w:tc>
          <w:tcPr>
            <w:tcW w:w="677" w:type="pct"/>
            <w:tcBorders>
              <w:top w:val="nil"/>
              <w:left w:val="nil"/>
              <w:bottom w:val="nil"/>
              <w:right w:val="nil"/>
            </w:tcBorders>
            <w:shd w:val="clear" w:color="auto" w:fill="auto"/>
            <w:noWrap/>
            <w:hideMark/>
          </w:tcPr>
          <w:p w14:paraId="5FEB58B8" w14:textId="77777777" w:rsidR="004551CB" w:rsidRPr="00F743B6" w:rsidRDefault="004551CB" w:rsidP="00312E88">
            <w:pPr>
              <w:jc w:val="right"/>
              <w:rPr>
                <w:rFonts w:cs="Arial"/>
                <w:color w:val="000000"/>
                <w:sz w:val="16"/>
                <w:szCs w:val="16"/>
              </w:rPr>
            </w:pPr>
            <w:r w:rsidRPr="00F743B6">
              <w:rPr>
                <w:rFonts w:cs="Arial"/>
                <w:color w:val="000000"/>
                <w:sz w:val="16"/>
                <w:szCs w:val="16"/>
              </w:rPr>
              <w:t>2,285</w:t>
            </w:r>
          </w:p>
        </w:tc>
        <w:tc>
          <w:tcPr>
            <w:tcW w:w="677" w:type="pct"/>
            <w:tcBorders>
              <w:top w:val="nil"/>
              <w:left w:val="single" w:sz="4" w:space="0" w:color="auto"/>
              <w:bottom w:val="nil"/>
              <w:right w:val="single" w:sz="4" w:space="0" w:color="auto"/>
            </w:tcBorders>
            <w:shd w:val="clear" w:color="auto" w:fill="auto"/>
            <w:noWrap/>
            <w:hideMark/>
          </w:tcPr>
          <w:p w14:paraId="62B7752A" w14:textId="77777777" w:rsidR="004551CB" w:rsidRPr="00F743B6" w:rsidRDefault="004551CB" w:rsidP="00312E88">
            <w:pPr>
              <w:jc w:val="right"/>
              <w:rPr>
                <w:rFonts w:cs="Arial"/>
                <w:color w:val="000000"/>
                <w:sz w:val="16"/>
                <w:szCs w:val="16"/>
              </w:rPr>
            </w:pPr>
            <w:r w:rsidRPr="00F743B6">
              <w:rPr>
                <w:rFonts w:cs="Arial"/>
                <w:color w:val="000000"/>
                <w:sz w:val="16"/>
                <w:szCs w:val="16"/>
              </w:rPr>
              <w:t>2,049</w:t>
            </w:r>
          </w:p>
        </w:tc>
      </w:tr>
      <w:tr w:rsidR="004551CB" w:rsidRPr="00F743B6" w14:paraId="62013A01" w14:textId="77777777" w:rsidTr="004551CB">
        <w:trPr>
          <w:trHeight w:hRule="exact" w:val="284"/>
        </w:trPr>
        <w:tc>
          <w:tcPr>
            <w:tcW w:w="1613" w:type="pct"/>
            <w:tcBorders>
              <w:top w:val="single" w:sz="4" w:space="0" w:color="auto"/>
              <w:left w:val="single" w:sz="4" w:space="0" w:color="auto"/>
              <w:bottom w:val="nil"/>
              <w:right w:val="nil"/>
            </w:tcBorders>
            <w:shd w:val="clear" w:color="auto" w:fill="auto"/>
            <w:noWrap/>
            <w:hideMark/>
          </w:tcPr>
          <w:p w14:paraId="0B3BCD3A" w14:textId="77777777" w:rsidR="004551CB" w:rsidRPr="00F743B6" w:rsidRDefault="004551CB" w:rsidP="00312E88">
            <w:pPr>
              <w:rPr>
                <w:rFonts w:cs="Arial"/>
                <w:b/>
                <w:bCs/>
                <w:color w:val="000000"/>
                <w:sz w:val="16"/>
                <w:szCs w:val="16"/>
              </w:rPr>
            </w:pPr>
            <w:r w:rsidRPr="00F743B6">
              <w:rPr>
                <w:rFonts w:cs="Arial"/>
                <w:b/>
                <w:bCs/>
                <w:color w:val="000000"/>
                <w:sz w:val="16"/>
                <w:szCs w:val="16"/>
              </w:rPr>
              <w:t>Total</w:t>
            </w:r>
          </w:p>
        </w:tc>
        <w:tc>
          <w:tcPr>
            <w:tcW w:w="677" w:type="pct"/>
            <w:tcBorders>
              <w:top w:val="single" w:sz="4" w:space="0" w:color="auto"/>
              <w:left w:val="nil"/>
              <w:bottom w:val="nil"/>
              <w:right w:val="nil"/>
            </w:tcBorders>
            <w:shd w:val="clear" w:color="auto" w:fill="auto"/>
            <w:noWrap/>
            <w:hideMark/>
          </w:tcPr>
          <w:p w14:paraId="103CD7A1"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1,132</w:t>
            </w:r>
          </w:p>
        </w:tc>
        <w:tc>
          <w:tcPr>
            <w:tcW w:w="677" w:type="pct"/>
            <w:tcBorders>
              <w:top w:val="single" w:sz="4" w:space="0" w:color="auto"/>
              <w:left w:val="nil"/>
              <w:bottom w:val="nil"/>
              <w:right w:val="nil"/>
            </w:tcBorders>
            <w:shd w:val="clear" w:color="auto" w:fill="auto"/>
            <w:noWrap/>
            <w:hideMark/>
          </w:tcPr>
          <w:p w14:paraId="0928FFC0"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994</w:t>
            </w:r>
          </w:p>
        </w:tc>
        <w:tc>
          <w:tcPr>
            <w:tcW w:w="677" w:type="pct"/>
            <w:tcBorders>
              <w:top w:val="single" w:sz="4" w:space="0" w:color="auto"/>
              <w:left w:val="nil"/>
              <w:bottom w:val="nil"/>
              <w:right w:val="nil"/>
            </w:tcBorders>
            <w:shd w:val="clear" w:color="auto" w:fill="auto"/>
            <w:noWrap/>
            <w:hideMark/>
          </w:tcPr>
          <w:p w14:paraId="04E82E70"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837</w:t>
            </w:r>
          </w:p>
        </w:tc>
        <w:tc>
          <w:tcPr>
            <w:tcW w:w="677" w:type="pct"/>
            <w:tcBorders>
              <w:top w:val="single" w:sz="4" w:space="0" w:color="auto"/>
              <w:left w:val="nil"/>
              <w:bottom w:val="nil"/>
              <w:right w:val="nil"/>
            </w:tcBorders>
            <w:shd w:val="clear" w:color="auto" w:fill="auto"/>
            <w:noWrap/>
            <w:hideMark/>
          </w:tcPr>
          <w:p w14:paraId="5A4A2F51"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430</w:t>
            </w:r>
          </w:p>
        </w:tc>
        <w:tc>
          <w:tcPr>
            <w:tcW w:w="677" w:type="pct"/>
            <w:tcBorders>
              <w:top w:val="single" w:sz="4" w:space="0" w:color="auto"/>
              <w:left w:val="nil"/>
              <w:bottom w:val="nil"/>
              <w:right w:val="single" w:sz="4" w:space="0" w:color="auto"/>
            </w:tcBorders>
            <w:shd w:val="clear" w:color="auto" w:fill="auto"/>
            <w:noWrap/>
            <w:hideMark/>
          </w:tcPr>
          <w:p w14:paraId="6B060BD7"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-1,435</w:t>
            </w:r>
          </w:p>
        </w:tc>
      </w:tr>
      <w:tr w:rsidR="004551CB" w:rsidRPr="00F743B6" w14:paraId="1F30797A" w14:textId="77777777" w:rsidTr="004551CB">
        <w:trPr>
          <w:trHeight w:hRule="exact" w:val="284"/>
        </w:trPr>
        <w:tc>
          <w:tcPr>
            <w:tcW w:w="1613" w:type="pct"/>
            <w:tcBorders>
              <w:top w:val="single" w:sz="4" w:space="0" w:color="auto"/>
              <w:left w:val="single" w:sz="4" w:space="0" w:color="auto"/>
              <w:bottom w:val="single" w:sz="4" w:space="0" w:color="auto"/>
              <w:right w:val="nil"/>
            </w:tcBorders>
            <w:shd w:val="clear" w:color="000000" w:fill="F7EEF7"/>
            <w:noWrap/>
            <w:hideMark/>
          </w:tcPr>
          <w:p w14:paraId="641B1ECA" w14:textId="77777777" w:rsidR="004551CB" w:rsidRPr="00F743B6" w:rsidRDefault="004551CB" w:rsidP="00312E88">
            <w:pPr>
              <w:rPr>
                <w:rFonts w:cs="Arial"/>
                <w:b/>
                <w:bCs/>
                <w:color w:val="000000"/>
                <w:sz w:val="16"/>
                <w:szCs w:val="16"/>
              </w:rPr>
            </w:pPr>
            <w:r w:rsidRPr="00F743B6">
              <w:rPr>
                <w:rFonts w:cs="Arial"/>
                <w:b/>
                <w:bCs/>
                <w:color w:val="000000"/>
                <w:sz w:val="16"/>
                <w:szCs w:val="16"/>
              </w:rPr>
              <w:t>% Difference</w:t>
            </w:r>
          </w:p>
        </w:tc>
        <w:tc>
          <w:tcPr>
            <w:tcW w:w="677" w:type="pct"/>
            <w:tcBorders>
              <w:top w:val="single" w:sz="4" w:space="0" w:color="auto"/>
              <w:left w:val="nil"/>
              <w:bottom w:val="single" w:sz="4" w:space="0" w:color="auto"/>
              <w:right w:val="nil"/>
            </w:tcBorders>
            <w:shd w:val="clear" w:color="000000" w:fill="F7EEF7"/>
            <w:noWrap/>
            <w:hideMark/>
          </w:tcPr>
          <w:p w14:paraId="7F7910D5"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single" w:sz="4" w:space="0" w:color="auto"/>
              <w:left w:val="nil"/>
              <w:bottom w:val="single" w:sz="4" w:space="0" w:color="auto"/>
              <w:right w:val="nil"/>
            </w:tcBorders>
            <w:shd w:val="clear" w:color="000000" w:fill="F7EEF7"/>
            <w:noWrap/>
            <w:hideMark/>
          </w:tcPr>
          <w:p w14:paraId="6287B955"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single" w:sz="4" w:space="0" w:color="auto"/>
              <w:left w:val="nil"/>
              <w:bottom w:val="single" w:sz="4" w:space="0" w:color="auto"/>
              <w:right w:val="nil"/>
            </w:tcBorders>
            <w:shd w:val="clear" w:color="000000" w:fill="F7EEF7"/>
            <w:noWrap/>
            <w:hideMark/>
          </w:tcPr>
          <w:p w14:paraId="0BDDD8C2"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single" w:sz="4" w:space="0" w:color="auto"/>
              <w:left w:val="nil"/>
              <w:bottom w:val="single" w:sz="4" w:space="0" w:color="auto"/>
              <w:right w:val="nil"/>
            </w:tcBorders>
            <w:shd w:val="clear" w:color="000000" w:fill="F7EEF7"/>
            <w:noWrap/>
            <w:hideMark/>
          </w:tcPr>
          <w:p w14:paraId="58D14D03"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c>
          <w:tcPr>
            <w:tcW w:w="677" w:type="pct"/>
            <w:tcBorders>
              <w:top w:val="single" w:sz="4" w:space="0" w:color="auto"/>
              <w:left w:val="nil"/>
              <w:bottom w:val="single" w:sz="4" w:space="0" w:color="auto"/>
              <w:right w:val="single" w:sz="4" w:space="0" w:color="auto"/>
            </w:tcBorders>
            <w:shd w:val="clear" w:color="000000" w:fill="F7EEF7"/>
            <w:noWrap/>
            <w:hideMark/>
          </w:tcPr>
          <w:p w14:paraId="70845151" w14:textId="77777777" w:rsidR="004551CB" w:rsidRPr="00F743B6" w:rsidRDefault="004551CB" w:rsidP="00312E88">
            <w:pPr>
              <w:jc w:val="right"/>
              <w:rPr>
                <w:rFonts w:cs="Arial"/>
                <w:b/>
                <w:bCs/>
                <w:i/>
                <w:iCs/>
                <w:color w:val="000000"/>
                <w:sz w:val="16"/>
                <w:szCs w:val="16"/>
              </w:rPr>
            </w:pPr>
            <w:r w:rsidRPr="00F743B6">
              <w:rPr>
                <w:rFonts w:cs="Arial"/>
                <w:b/>
                <w:bCs/>
                <w:i/>
                <w:iCs/>
                <w:color w:val="000000"/>
                <w:sz w:val="16"/>
                <w:szCs w:val="16"/>
              </w:rPr>
              <w:t> </w:t>
            </w:r>
          </w:p>
        </w:tc>
      </w:tr>
      <w:tr w:rsidR="004551CB" w:rsidRPr="00F743B6" w14:paraId="5B4B80AE" w14:textId="77777777" w:rsidTr="004551CB">
        <w:trPr>
          <w:trHeight w:hRule="exact" w:val="284"/>
        </w:trPr>
        <w:tc>
          <w:tcPr>
            <w:tcW w:w="1613" w:type="pct"/>
            <w:tcBorders>
              <w:top w:val="nil"/>
              <w:left w:val="single" w:sz="4" w:space="0" w:color="auto"/>
              <w:bottom w:val="nil"/>
              <w:right w:val="nil"/>
            </w:tcBorders>
            <w:shd w:val="clear" w:color="auto" w:fill="auto"/>
            <w:noWrap/>
            <w:hideMark/>
          </w:tcPr>
          <w:p w14:paraId="21B10A46" w14:textId="77777777" w:rsidR="004551CB" w:rsidRPr="00F743B6" w:rsidRDefault="004551CB" w:rsidP="00312E88">
            <w:pPr>
              <w:rPr>
                <w:rFonts w:cs="Arial"/>
                <w:color w:val="000000"/>
                <w:sz w:val="16"/>
                <w:szCs w:val="16"/>
              </w:rPr>
            </w:pPr>
            <w:r w:rsidRPr="00F743B6">
              <w:rPr>
                <w:rFonts w:cs="Arial"/>
                <w:color w:val="000000"/>
                <w:sz w:val="16"/>
                <w:szCs w:val="16"/>
              </w:rPr>
              <w:t>SIL</w:t>
            </w:r>
          </w:p>
        </w:tc>
        <w:tc>
          <w:tcPr>
            <w:tcW w:w="677" w:type="pct"/>
            <w:tcBorders>
              <w:top w:val="nil"/>
              <w:left w:val="single" w:sz="4" w:space="0" w:color="auto"/>
              <w:bottom w:val="nil"/>
              <w:right w:val="nil"/>
            </w:tcBorders>
            <w:shd w:val="clear" w:color="auto" w:fill="auto"/>
            <w:noWrap/>
            <w:hideMark/>
          </w:tcPr>
          <w:p w14:paraId="1FE3E7D0" w14:textId="77777777" w:rsidR="004551CB" w:rsidRPr="00F743B6" w:rsidRDefault="004551CB" w:rsidP="00312E88">
            <w:pPr>
              <w:jc w:val="right"/>
              <w:rPr>
                <w:rFonts w:cs="Arial"/>
                <w:sz w:val="16"/>
                <w:szCs w:val="16"/>
              </w:rPr>
            </w:pPr>
            <w:r w:rsidRPr="00F743B6">
              <w:rPr>
                <w:rFonts w:cs="Arial"/>
                <w:sz w:val="16"/>
                <w:szCs w:val="16"/>
              </w:rPr>
              <w:t>-1%</w:t>
            </w:r>
          </w:p>
        </w:tc>
        <w:tc>
          <w:tcPr>
            <w:tcW w:w="677" w:type="pct"/>
            <w:tcBorders>
              <w:top w:val="nil"/>
              <w:left w:val="nil"/>
              <w:bottom w:val="nil"/>
              <w:right w:val="nil"/>
            </w:tcBorders>
            <w:shd w:val="clear" w:color="auto" w:fill="auto"/>
            <w:noWrap/>
            <w:hideMark/>
          </w:tcPr>
          <w:p w14:paraId="0540DBE0" w14:textId="77777777" w:rsidR="004551CB" w:rsidRPr="00F743B6" w:rsidRDefault="004551CB" w:rsidP="00312E88">
            <w:pPr>
              <w:jc w:val="right"/>
              <w:rPr>
                <w:rFonts w:cs="Arial"/>
                <w:color w:val="000000"/>
                <w:sz w:val="16"/>
                <w:szCs w:val="16"/>
              </w:rPr>
            </w:pPr>
            <w:r w:rsidRPr="00F743B6">
              <w:rPr>
                <w:rFonts w:cs="Arial"/>
                <w:color w:val="000000"/>
                <w:sz w:val="16"/>
                <w:szCs w:val="16"/>
              </w:rPr>
              <w:t>-7%</w:t>
            </w:r>
          </w:p>
        </w:tc>
        <w:tc>
          <w:tcPr>
            <w:tcW w:w="677" w:type="pct"/>
            <w:tcBorders>
              <w:top w:val="nil"/>
              <w:left w:val="nil"/>
              <w:bottom w:val="nil"/>
              <w:right w:val="nil"/>
            </w:tcBorders>
            <w:shd w:val="clear" w:color="auto" w:fill="auto"/>
            <w:noWrap/>
            <w:hideMark/>
          </w:tcPr>
          <w:p w14:paraId="243FD487" w14:textId="77777777" w:rsidR="004551CB" w:rsidRPr="00F743B6" w:rsidRDefault="004551CB" w:rsidP="00312E88">
            <w:pPr>
              <w:jc w:val="right"/>
              <w:rPr>
                <w:rFonts w:cs="Arial"/>
                <w:color w:val="000000"/>
                <w:sz w:val="16"/>
                <w:szCs w:val="16"/>
              </w:rPr>
            </w:pPr>
            <w:r w:rsidRPr="00F743B6">
              <w:rPr>
                <w:rFonts w:cs="Arial"/>
                <w:color w:val="000000"/>
                <w:sz w:val="16"/>
                <w:szCs w:val="16"/>
              </w:rPr>
              <w:t>-12%</w:t>
            </w:r>
          </w:p>
        </w:tc>
        <w:tc>
          <w:tcPr>
            <w:tcW w:w="677" w:type="pct"/>
            <w:tcBorders>
              <w:top w:val="nil"/>
              <w:left w:val="nil"/>
              <w:bottom w:val="nil"/>
              <w:right w:val="nil"/>
            </w:tcBorders>
            <w:shd w:val="clear" w:color="auto" w:fill="auto"/>
            <w:noWrap/>
            <w:hideMark/>
          </w:tcPr>
          <w:p w14:paraId="3FC902B4" w14:textId="77777777" w:rsidR="004551CB" w:rsidRPr="00F743B6" w:rsidRDefault="004551CB" w:rsidP="00312E88">
            <w:pPr>
              <w:jc w:val="right"/>
              <w:rPr>
                <w:rFonts w:cs="Arial"/>
                <w:color w:val="000000"/>
                <w:sz w:val="16"/>
                <w:szCs w:val="16"/>
              </w:rPr>
            </w:pPr>
            <w:r w:rsidRPr="00F743B6">
              <w:rPr>
                <w:rFonts w:cs="Arial"/>
                <w:color w:val="000000"/>
                <w:sz w:val="16"/>
                <w:szCs w:val="16"/>
              </w:rPr>
              <w:t>-14%</w:t>
            </w:r>
          </w:p>
        </w:tc>
        <w:tc>
          <w:tcPr>
            <w:tcW w:w="677" w:type="pct"/>
            <w:tcBorders>
              <w:top w:val="nil"/>
              <w:left w:val="single" w:sz="4" w:space="0" w:color="auto"/>
              <w:bottom w:val="nil"/>
              <w:right w:val="single" w:sz="4" w:space="0" w:color="auto"/>
            </w:tcBorders>
            <w:shd w:val="clear" w:color="auto" w:fill="auto"/>
            <w:noWrap/>
            <w:hideMark/>
          </w:tcPr>
          <w:p w14:paraId="1D798E0E" w14:textId="77777777" w:rsidR="004551CB" w:rsidRPr="00F743B6" w:rsidRDefault="004551CB" w:rsidP="00312E88">
            <w:pPr>
              <w:jc w:val="right"/>
              <w:rPr>
                <w:rFonts w:cs="Arial"/>
                <w:color w:val="000000"/>
                <w:sz w:val="16"/>
                <w:szCs w:val="16"/>
              </w:rPr>
            </w:pPr>
            <w:r w:rsidRPr="00F743B6">
              <w:rPr>
                <w:rFonts w:cs="Arial"/>
                <w:color w:val="000000"/>
                <w:sz w:val="16"/>
                <w:szCs w:val="16"/>
              </w:rPr>
              <w:t>-18%</w:t>
            </w:r>
          </w:p>
        </w:tc>
      </w:tr>
      <w:tr w:rsidR="004551CB" w:rsidRPr="00F743B6" w14:paraId="57C8240F" w14:textId="77777777" w:rsidTr="004551CB">
        <w:trPr>
          <w:trHeight w:hRule="exact" w:val="284"/>
        </w:trPr>
        <w:tc>
          <w:tcPr>
            <w:tcW w:w="1613" w:type="pct"/>
            <w:tcBorders>
              <w:top w:val="nil"/>
              <w:left w:val="single" w:sz="4" w:space="0" w:color="auto"/>
              <w:bottom w:val="nil"/>
              <w:right w:val="nil"/>
            </w:tcBorders>
            <w:shd w:val="clear" w:color="auto" w:fill="auto"/>
            <w:noWrap/>
            <w:hideMark/>
          </w:tcPr>
          <w:p w14:paraId="7A948BFE" w14:textId="77777777" w:rsidR="004551CB" w:rsidRPr="00F743B6" w:rsidRDefault="004551CB" w:rsidP="00312E88">
            <w:pPr>
              <w:rPr>
                <w:rFonts w:cs="Arial"/>
                <w:color w:val="000000"/>
                <w:sz w:val="16"/>
                <w:szCs w:val="16"/>
              </w:rPr>
            </w:pPr>
            <w:r w:rsidRPr="00F743B6">
              <w:rPr>
                <w:rFonts w:cs="Arial"/>
                <w:color w:val="000000"/>
                <w:sz w:val="16"/>
                <w:szCs w:val="16"/>
              </w:rPr>
              <w:t>Non-SIL</w:t>
            </w:r>
          </w:p>
        </w:tc>
        <w:tc>
          <w:tcPr>
            <w:tcW w:w="677" w:type="pct"/>
            <w:tcBorders>
              <w:top w:val="nil"/>
              <w:left w:val="single" w:sz="4" w:space="0" w:color="auto"/>
              <w:bottom w:val="nil"/>
              <w:right w:val="nil"/>
            </w:tcBorders>
            <w:shd w:val="clear" w:color="auto" w:fill="auto"/>
            <w:noWrap/>
            <w:hideMark/>
          </w:tcPr>
          <w:p w14:paraId="2FCB87FC" w14:textId="77777777" w:rsidR="004551CB" w:rsidRPr="00F743B6" w:rsidRDefault="004551CB" w:rsidP="00312E88">
            <w:pPr>
              <w:jc w:val="right"/>
              <w:rPr>
                <w:rFonts w:cs="Arial"/>
                <w:color w:val="000000"/>
                <w:sz w:val="16"/>
                <w:szCs w:val="16"/>
              </w:rPr>
            </w:pPr>
            <w:r w:rsidRPr="00F743B6">
              <w:rPr>
                <w:rFonts w:cs="Arial"/>
                <w:color w:val="000000"/>
                <w:sz w:val="16"/>
                <w:szCs w:val="16"/>
              </w:rPr>
              <w:t>6%</w:t>
            </w:r>
          </w:p>
        </w:tc>
        <w:tc>
          <w:tcPr>
            <w:tcW w:w="677" w:type="pct"/>
            <w:tcBorders>
              <w:top w:val="nil"/>
              <w:left w:val="nil"/>
              <w:bottom w:val="nil"/>
              <w:right w:val="nil"/>
            </w:tcBorders>
            <w:shd w:val="clear" w:color="auto" w:fill="auto"/>
            <w:noWrap/>
            <w:hideMark/>
          </w:tcPr>
          <w:p w14:paraId="2E2C9A00" w14:textId="77777777" w:rsidR="004551CB" w:rsidRPr="00F743B6" w:rsidRDefault="004551CB" w:rsidP="00312E88">
            <w:pPr>
              <w:jc w:val="right"/>
              <w:rPr>
                <w:rFonts w:cs="Arial"/>
                <w:color w:val="000000"/>
                <w:sz w:val="16"/>
                <w:szCs w:val="16"/>
              </w:rPr>
            </w:pPr>
            <w:r w:rsidRPr="00F743B6">
              <w:rPr>
                <w:rFonts w:cs="Arial"/>
                <w:color w:val="000000"/>
                <w:sz w:val="16"/>
                <w:szCs w:val="16"/>
              </w:rPr>
              <w:t>8%</w:t>
            </w:r>
          </w:p>
        </w:tc>
        <w:tc>
          <w:tcPr>
            <w:tcW w:w="677" w:type="pct"/>
            <w:tcBorders>
              <w:top w:val="nil"/>
              <w:left w:val="nil"/>
              <w:bottom w:val="nil"/>
              <w:right w:val="nil"/>
            </w:tcBorders>
            <w:shd w:val="clear" w:color="auto" w:fill="auto"/>
            <w:noWrap/>
            <w:hideMark/>
          </w:tcPr>
          <w:p w14:paraId="001CC879" w14:textId="77777777" w:rsidR="004551CB" w:rsidRPr="00F743B6" w:rsidRDefault="004551CB" w:rsidP="00312E88">
            <w:pPr>
              <w:jc w:val="right"/>
              <w:rPr>
                <w:rFonts w:cs="Arial"/>
                <w:color w:val="000000"/>
                <w:sz w:val="16"/>
                <w:szCs w:val="16"/>
              </w:rPr>
            </w:pPr>
            <w:r w:rsidRPr="00F743B6">
              <w:rPr>
                <w:rFonts w:cs="Arial"/>
                <w:color w:val="000000"/>
                <w:sz w:val="16"/>
                <w:szCs w:val="16"/>
              </w:rPr>
              <w:t>9%</w:t>
            </w:r>
          </w:p>
        </w:tc>
        <w:tc>
          <w:tcPr>
            <w:tcW w:w="677" w:type="pct"/>
            <w:tcBorders>
              <w:top w:val="nil"/>
              <w:left w:val="nil"/>
              <w:bottom w:val="nil"/>
              <w:right w:val="nil"/>
            </w:tcBorders>
            <w:shd w:val="clear" w:color="auto" w:fill="auto"/>
            <w:noWrap/>
            <w:hideMark/>
          </w:tcPr>
          <w:p w14:paraId="6B436E98" w14:textId="77777777" w:rsidR="004551CB" w:rsidRPr="00F743B6" w:rsidRDefault="004551CB" w:rsidP="00312E88">
            <w:pPr>
              <w:jc w:val="right"/>
              <w:rPr>
                <w:rFonts w:cs="Arial"/>
                <w:color w:val="000000"/>
                <w:sz w:val="16"/>
                <w:szCs w:val="16"/>
              </w:rPr>
            </w:pPr>
            <w:r w:rsidRPr="00F743B6">
              <w:rPr>
                <w:rFonts w:cs="Arial"/>
                <w:color w:val="000000"/>
                <w:sz w:val="16"/>
                <w:szCs w:val="16"/>
              </w:rPr>
              <w:t>8%</w:t>
            </w:r>
          </w:p>
        </w:tc>
        <w:tc>
          <w:tcPr>
            <w:tcW w:w="677" w:type="pct"/>
            <w:tcBorders>
              <w:top w:val="nil"/>
              <w:left w:val="single" w:sz="4" w:space="0" w:color="auto"/>
              <w:bottom w:val="nil"/>
              <w:right w:val="single" w:sz="4" w:space="0" w:color="auto"/>
            </w:tcBorders>
            <w:shd w:val="clear" w:color="auto" w:fill="auto"/>
            <w:noWrap/>
            <w:hideMark/>
          </w:tcPr>
          <w:p w14:paraId="14F6B69B" w14:textId="77777777" w:rsidR="004551CB" w:rsidRPr="00F743B6" w:rsidRDefault="004551CB" w:rsidP="00312E88">
            <w:pPr>
              <w:jc w:val="right"/>
              <w:rPr>
                <w:rFonts w:cs="Arial"/>
                <w:color w:val="000000"/>
                <w:sz w:val="16"/>
                <w:szCs w:val="16"/>
              </w:rPr>
            </w:pPr>
            <w:r w:rsidRPr="00F743B6">
              <w:rPr>
                <w:rFonts w:cs="Arial"/>
                <w:color w:val="000000"/>
                <w:sz w:val="16"/>
                <w:szCs w:val="16"/>
              </w:rPr>
              <w:t>5%</w:t>
            </w:r>
          </w:p>
        </w:tc>
      </w:tr>
      <w:tr w:rsidR="004551CB" w:rsidRPr="00F743B6" w14:paraId="5E5306FA" w14:textId="77777777" w:rsidTr="004551CB">
        <w:trPr>
          <w:trHeight w:hRule="exact" w:val="284"/>
        </w:trPr>
        <w:tc>
          <w:tcPr>
            <w:tcW w:w="1613" w:type="pct"/>
            <w:tcBorders>
              <w:top w:val="single" w:sz="4" w:space="0" w:color="auto"/>
              <w:left w:val="single" w:sz="4" w:space="0" w:color="auto"/>
              <w:bottom w:val="single" w:sz="4" w:space="0" w:color="auto"/>
              <w:right w:val="nil"/>
            </w:tcBorders>
            <w:shd w:val="clear" w:color="auto" w:fill="auto"/>
            <w:noWrap/>
            <w:hideMark/>
          </w:tcPr>
          <w:p w14:paraId="341C45CA" w14:textId="77777777" w:rsidR="004551CB" w:rsidRPr="00F743B6" w:rsidRDefault="004551CB" w:rsidP="00312E88">
            <w:pPr>
              <w:rPr>
                <w:rFonts w:cs="Arial"/>
                <w:b/>
                <w:bCs/>
                <w:color w:val="000000"/>
                <w:sz w:val="16"/>
                <w:szCs w:val="16"/>
              </w:rPr>
            </w:pPr>
            <w:r w:rsidRPr="00F743B6">
              <w:rPr>
                <w:rFonts w:cs="Arial"/>
                <w:b/>
                <w:bCs/>
                <w:color w:val="000000"/>
                <w:sz w:val="16"/>
                <w:szCs w:val="16"/>
              </w:rPr>
              <w:t>Total</w:t>
            </w:r>
          </w:p>
        </w:tc>
        <w:tc>
          <w:tcPr>
            <w:tcW w:w="677" w:type="pct"/>
            <w:tcBorders>
              <w:top w:val="single" w:sz="4" w:space="0" w:color="auto"/>
              <w:left w:val="single" w:sz="4" w:space="0" w:color="auto"/>
              <w:bottom w:val="single" w:sz="4" w:space="0" w:color="auto"/>
              <w:right w:val="nil"/>
            </w:tcBorders>
            <w:shd w:val="clear" w:color="auto" w:fill="auto"/>
            <w:noWrap/>
            <w:hideMark/>
          </w:tcPr>
          <w:p w14:paraId="3BAE3744"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4%</w:t>
            </w:r>
          </w:p>
        </w:tc>
        <w:tc>
          <w:tcPr>
            <w:tcW w:w="677" w:type="pct"/>
            <w:tcBorders>
              <w:top w:val="single" w:sz="4" w:space="0" w:color="auto"/>
              <w:left w:val="nil"/>
              <w:bottom w:val="single" w:sz="4" w:space="0" w:color="auto"/>
              <w:right w:val="nil"/>
            </w:tcBorders>
            <w:shd w:val="clear" w:color="auto" w:fill="auto"/>
            <w:noWrap/>
            <w:hideMark/>
          </w:tcPr>
          <w:p w14:paraId="258B0039"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3%</w:t>
            </w:r>
          </w:p>
        </w:tc>
        <w:tc>
          <w:tcPr>
            <w:tcW w:w="677" w:type="pct"/>
            <w:tcBorders>
              <w:top w:val="single" w:sz="4" w:space="0" w:color="auto"/>
              <w:left w:val="nil"/>
              <w:bottom w:val="single" w:sz="4" w:space="0" w:color="auto"/>
              <w:right w:val="nil"/>
            </w:tcBorders>
            <w:shd w:val="clear" w:color="auto" w:fill="auto"/>
            <w:noWrap/>
            <w:hideMark/>
          </w:tcPr>
          <w:p w14:paraId="60946059"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2%</w:t>
            </w:r>
          </w:p>
        </w:tc>
        <w:tc>
          <w:tcPr>
            <w:tcW w:w="677" w:type="pct"/>
            <w:tcBorders>
              <w:top w:val="single" w:sz="4" w:space="0" w:color="auto"/>
              <w:left w:val="nil"/>
              <w:bottom w:val="single" w:sz="4" w:space="0" w:color="auto"/>
              <w:right w:val="nil"/>
            </w:tcBorders>
            <w:shd w:val="clear" w:color="auto" w:fill="auto"/>
            <w:noWrap/>
            <w:hideMark/>
          </w:tcPr>
          <w:p w14:paraId="374127C6"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hideMark/>
          </w:tcPr>
          <w:p w14:paraId="599FB0EB" w14:textId="77777777" w:rsidR="004551CB" w:rsidRPr="00F743B6" w:rsidRDefault="004551CB" w:rsidP="00312E88">
            <w:pPr>
              <w:jc w:val="right"/>
              <w:rPr>
                <w:rFonts w:cs="Arial"/>
                <w:b/>
                <w:bCs/>
                <w:color w:val="000000"/>
                <w:sz w:val="16"/>
                <w:szCs w:val="16"/>
              </w:rPr>
            </w:pPr>
            <w:r w:rsidRPr="00F743B6">
              <w:rPr>
                <w:rFonts w:cs="Arial"/>
                <w:b/>
                <w:bCs/>
                <w:color w:val="000000"/>
                <w:sz w:val="16"/>
                <w:szCs w:val="16"/>
              </w:rPr>
              <w:t>-2%</w:t>
            </w:r>
          </w:p>
        </w:tc>
      </w:tr>
    </w:tbl>
    <w:p w14:paraId="04FCE358" w14:textId="16476C52" w:rsidR="00826B75" w:rsidRDefault="00826B75" w:rsidP="00826B75">
      <w:pPr>
        <w:pStyle w:val="FSRnormal"/>
      </w:pPr>
      <w:r w:rsidRPr="00CA035D" w:rsidDel="00823A40">
        <w:t xml:space="preserve"> </w:t>
      </w:r>
    </w:p>
    <w:p w14:paraId="74AA66E1" w14:textId="20BC7E3B" w:rsidR="00826B75" w:rsidRDefault="000E6147" w:rsidP="00826B75">
      <w:pPr>
        <w:pStyle w:val="FSRnormal"/>
      </w:pPr>
      <w:r>
        <w:t>P</w:t>
      </w:r>
      <w:r w:rsidR="00826B75">
        <w:t xml:space="preserve">articipant cost projections have increased for non-SIL and decreased for SIL relative to the </w:t>
      </w:r>
      <w:r w:rsidR="0087666A">
        <w:t>previous review</w:t>
      </w:r>
      <w:r>
        <w:t xml:space="preserve"> (</w:t>
      </w:r>
      <w:r>
        <w:fldChar w:fldCharType="begin"/>
      </w:r>
      <w:r>
        <w:instrText xml:space="preserve"> REF _Ref80434732 \h </w:instrText>
      </w:r>
      <w:r>
        <w:fldChar w:fldCharType="separate"/>
      </w:r>
      <w:r w:rsidR="00E50032" w:rsidRPr="002735DF">
        <w:t xml:space="preserve">Table </w:t>
      </w:r>
      <w:r w:rsidR="00E50032">
        <w:rPr>
          <w:noProof/>
        </w:rPr>
        <w:t>60</w:t>
      </w:r>
      <w:r>
        <w:fldChar w:fldCharType="end"/>
      </w:r>
      <w:r>
        <w:t>)</w:t>
      </w:r>
      <w:r w:rsidR="00826B75">
        <w:t xml:space="preserve">. This results in a neutral impact on the projection by 2026-27, and a decrease in total participant costs </w:t>
      </w:r>
      <w:r w:rsidR="00586806">
        <w:t>in</w:t>
      </w:r>
      <w:r w:rsidR="00826B75">
        <w:t xml:space="preserve"> 2029-30.</w:t>
      </w:r>
    </w:p>
    <w:p w14:paraId="6D7B3801" w14:textId="70F796F3" w:rsidR="005047B2" w:rsidRPr="00174189" w:rsidRDefault="005047B2" w:rsidP="005047B2">
      <w:pPr>
        <w:pStyle w:val="FSRHeading4"/>
      </w:pPr>
      <w:r>
        <w:lastRenderedPageBreak/>
        <w:t xml:space="preserve">Participant </w:t>
      </w:r>
      <w:r w:rsidRPr="00174189">
        <w:t xml:space="preserve">Costs by </w:t>
      </w:r>
      <w:r>
        <w:t>Age Band</w:t>
      </w:r>
    </w:p>
    <w:p w14:paraId="18CC909D" w14:textId="251FB1EC" w:rsidR="005047B2" w:rsidRPr="00CA035D" w:rsidRDefault="005047B2" w:rsidP="005047B2">
      <w:pPr>
        <w:pStyle w:val="Caption"/>
        <w:keepNext/>
      </w:pPr>
      <w:r w:rsidRPr="002735DF">
        <w:t xml:space="preserve">Table </w:t>
      </w:r>
      <w:fldSimple w:instr=" SEQ Table \* ARABIC ">
        <w:r w:rsidR="00E50032">
          <w:rPr>
            <w:noProof/>
          </w:rPr>
          <w:t>61</w:t>
        </w:r>
      </w:fldSimple>
      <w:r w:rsidRPr="002735DF">
        <w:t xml:space="preserve"> </w:t>
      </w:r>
      <w:r w:rsidRPr="00CA035D">
        <w:t xml:space="preserve">Change in projected participant costs by </w:t>
      </w:r>
      <w:r>
        <w:t>age band</w:t>
      </w:r>
      <w:r w:rsidRPr="00CA035D">
        <w:t xml:space="preserve"> (cash basis)</w:t>
      </w:r>
    </w:p>
    <w:tbl>
      <w:tblPr>
        <w:tblW w:w="5000" w:type="pct"/>
        <w:tblLook w:val="04A0" w:firstRow="1" w:lastRow="0" w:firstColumn="1" w:lastColumn="0" w:noHBand="0" w:noVBand="1"/>
      </w:tblPr>
      <w:tblGrid>
        <w:gridCol w:w="2911"/>
        <w:gridCol w:w="1221"/>
        <w:gridCol w:w="1221"/>
        <w:gridCol w:w="1221"/>
        <w:gridCol w:w="1221"/>
        <w:gridCol w:w="1221"/>
      </w:tblGrid>
      <w:tr w:rsidR="00C5044A" w:rsidRPr="00F40671" w14:paraId="47C167D7" w14:textId="77777777" w:rsidTr="00312E88">
        <w:trPr>
          <w:trHeight w:val="300"/>
          <w:tblHeader/>
        </w:trPr>
        <w:tc>
          <w:tcPr>
            <w:tcW w:w="1613" w:type="pct"/>
            <w:tcBorders>
              <w:top w:val="single" w:sz="4" w:space="0" w:color="auto"/>
              <w:left w:val="single" w:sz="4" w:space="0" w:color="auto"/>
              <w:bottom w:val="nil"/>
              <w:right w:val="single" w:sz="4" w:space="0" w:color="auto"/>
            </w:tcBorders>
            <w:shd w:val="clear" w:color="000000" w:fill="6B2976"/>
            <w:vAlign w:val="center"/>
            <w:hideMark/>
          </w:tcPr>
          <w:p w14:paraId="4B860B3A" w14:textId="77777777" w:rsidR="00C5044A" w:rsidRPr="00F40671" w:rsidRDefault="00C5044A" w:rsidP="00312E88">
            <w:pPr>
              <w:rPr>
                <w:rFonts w:cs="Arial"/>
                <w:b/>
                <w:bCs/>
                <w:color w:val="FFFFFF"/>
                <w:sz w:val="16"/>
                <w:szCs w:val="16"/>
              </w:rPr>
            </w:pPr>
            <w:r w:rsidRPr="00F40671">
              <w:rPr>
                <w:rFonts w:cs="Arial"/>
                <w:b/>
                <w:bCs/>
                <w:color w:val="FFFFFF"/>
                <w:sz w:val="16"/>
                <w:szCs w:val="16"/>
              </w:rPr>
              <w:t>Participant Costs ($m)</w:t>
            </w:r>
          </w:p>
        </w:tc>
        <w:tc>
          <w:tcPr>
            <w:tcW w:w="677" w:type="pct"/>
            <w:tcBorders>
              <w:top w:val="nil"/>
              <w:left w:val="nil"/>
              <w:bottom w:val="single" w:sz="4" w:space="0" w:color="auto"/>
              <w:right w:val="nil"/>
            </w:tcBorders>
            <w:shd w:val="clear" w:color="000000" w:fill="6B2F76"/>
            <w:noWrap/>
            <w:vAlign w:val="bottom"/>
            <w:hideMark/>
          </w:tcPr>
          <w:p w14:paraId="7069912D" w14:textId="77777777" w:rsidR="00C5044A" w:rsidRPr="00F40671" w:rsidRDefault="00C5044A" w:rsidP="00312E88">
            <w:pPr>
              <w:jc w:val="right"/>
              <w:rPr>
                <w:rFonts w:cs="Arial"/>
                <w:b/>
                <w:bCs/>
                <w:color w:val="FFFFFF"/>
                <w:sz w:val="16"/>
                <w:szCs w:val="16"/>
              </w:rPr>
            </w:pPr>
            <w:r w:rsidRPr="00F40671">
              <w:rPr>
                <w:rFonts w:cs="Arial"/>
                <w:b/>
                <w:bCs/>
                <w:color w:val="FFFFFF"/>
                <w:sz w:val="16"/>
                <w:szCs w:val="16"/>
              </w:rPr>
              <w:t>2021-22</w:t>
            </w:r>
          </w:p>
        </w:tc>
        <w:tc>
          <w:tcPr>
            <w:tcW w:w="677" w:type="pct"/>
            <w:tcBorders>
              <w:top w:val="nil"/>
              <w:left w:val="nil"/>
              <w:bottom w:val="single" w:sz="4" w:space="0" w:color="auto"/>
              <w:right w:val="nil"/>
            </w:tcBorders>
            <w:shd w:val="clear" w:color="000000" w:fill="6B2F76"/>
            <w:noWrap/>
            <w:vAlign w:val="bottom"/>
            <w:hideMark/>
          </w:tcPr>
          <w:p w14:paraId="1CF354C6" w14:textId="77777777" w:rsidR="00C5044A" w:rsidRPr="00F40671" w:rsidRDefault="00C5044A" w:rsidP="00312E88">
            <w:pPr>
              <w:jc w:val="right"/>
              <w:rPr>
                <w:rFonts w:cs="Arial"/>
                <w:b/>
                <w:bCs/>
                <w:color w:val="FFFFFF"/>
                <w:sz w:val="16"/>
                <w:szCs w:val="16"/>
              </w:rPr>
            </w:pPr>
            <w:r w:rsidRPr="00F40671">
              <w:rPr>
                <w:rFonts w:cs="Arial"/>
                <w:b/>
                <w:bCs/>
                <w:color w:val="FFFFFF"/>
                <w:sz w:val="16"/>
                <w:szCs w:val="16"/>
              </w:rPr>
              <w:t>2022-23</w:t>
            </w:r>
          </w:p>
        </w:tc>
        <w:tc>
          <w:tcPr>
            <w:tcW w:w="677" w:type="pct"/>
            <w:tcBorders>
              <w:top w:val="nil"/>
              <w:left w:val="nil"/>
              <w:bottom w:val="single" w:sz="4" w:space="0" w:color="auto"/>
              <w:right w:val="nil"/>
            </w:tcBorders>
            <w:shd w:val="clear" w:color="000000" w:fill="6B2F76"/>
            <w:noWrap/>
            <w:vAlign w:val="bottom"/>
            <w:hideMark/>
          </w:tcPr>
          <w:p w14:paraId="3E07F949" w14:textId="77777777" w:rsidR="00C5044A" w:rsidRPr="00F40671" w:rsidRDefault="00C5044A" w:rsidP="00312E88">
            <w:pPr>
              <w:jc w:val="right"/>
              <w:rPr>
                <w:rFonts w:cs="Arial"/>
                <w:b/>
                <w:bCs/>
                <w:color w:val="FFFFFF"/>
                <w:sz w:val="16"/>
                <w:szCs w:val="16"/>
              </w:rPr>
            </w:pPr>
            <w:r w:rsidRPr="00F40671">
              <w:rPr>
                <w:rFonts w:cs="Arial"/>
                <w:b/>
                <w:bCs/>
                <w:color w:val="FFFFFF"/>
                <w:sz w:val="16"/>
                <w:szCs w:val="16"/>
              </w:rPr>
              <w:t>2023-24</w:t>
            </w:r>
          </w:p>
        </w:tc>
        <w:tc>
          <w:tcPr>
            <w:tcW w:w="677" w:type="pct"/>
            <w:tcBorders>
              <w:top w:val="nil"/>
              <w:left w:val="nil"/>
              <w:bottom w:val="single" w:sz="4" w:space="0" w:color="auto"/>
              <w:right w:val="nil"/>
            </w:tcBorders>
            <w:shd w:val="clear" w:color="000000" w:fill="6B2F76"/>
            <w:noWrap/>
            <w:vAlign w:val="bottom"/>
            <w:hideMark/>
          </w:tcPr>
          <w:p w14:paraId="52F338B0" w14:textId="77777777" w:rsidR="00C5044A" w:rsidRPr="00F40671" w:rsidRDefault="00C5044A" w:rsidP="00312E88">
            <w:pPr>
              <w:jc w:val="right"/>
              <w:rPr>
                <w:rFonts w:cs="Arial"/>
                <w:b/>
                <w:bCs/>
                <w:color w:val="FFFFFF"/>
                <w:sz w:val="16"/>
                <w:szCs w:val="16"/>
              </w:rPr>
            </w:pPr>
            <w:r w:rsidRPr="00F40671">
              <w:rPr>
                <w:rFonts w:cs="Arial"/>
                <w:b/>
                <w:bCs/>
                <w:color w:val="FFFFFF"/>
                <w:sz w:val="16"/>
                <w:szCs w:val="16"/>
              </w:rPr>
              <w:t>2024-25</w:t>
            </w:r>
          </w:p>
        </w:tc>
        <w:tc>
          <w:tcPr>
            <w:tcW w:w="677" w:type="pct"/>
            <w:tcBorders>
              <w:top w:val="nil"/>
              <w:left w:val="single" w:sz="4" w:space="0" w:color="auto"/>
              <w:bottom w:val="single" w:sz="4" w:space="0" w:color="auto"/>
              <w:right w:val="single" w:sz="4" w:space="0" w:color="auto"/>
            </w:tcBorders>
            <w:shd w:val="clear" w:color="000000" w:fill="6B2F76"/>
            <w:noWrap/>
            <w:vAlign w:val="bottom"/>
            <w:hideMark/>
          </w:tcPr>
          <w:p w14:paraId="57D2A99A" w14:textId="77777777" w:rsidR="00C5044A" w:rsidRPr="00F40671" w:rsidRDefault="00C5044A" w:rsidP="00312E88">
            <w:pPr>
              <w:jc w:val="right"/>
              <w:rPr>
                <w:rFonts w:cs="Arial"/>
                <w:b/>
                <w:bCs/>
                <w:color w:val="FFFFFF"/>
                <w:sz w:val="16"/>
                <w:szCs w:val="16"/>
              </w:rPr>
            </w:pPr>
            <w:r w:rsidRPr="00F40671">
              <w:rPr>
                <w:rFonts w:cs="Arial"/>
                <w:b/>
                <w:bCs/>
                <w:color w:val="FFFFFF"/>
                <w:sz w:val="16"/>
                <w:szCs w:val="16"/>
              </w:rPr>
              <w:t>2029-30</w:t>
            </w:r>
          </w:p>
        </w:tc>
      </w:tr>
      <w:tr w:rsidR="00C5044A" w:rsidRPr="00F40671" w14:paraId="5F0CCE49" w14:textId="77777777" w:rsidTr="00C5044A">
        <w:trPr>
          <w:trHeight w:hRule="exact" w:val="284"/>
        </w:trPr>
        <w:tc>
          <w:tcPr>
            <w:tcW w:w="1613" w:type="pct"/>
            <w:tcBorders>
              <w:top w:val="single" w:sz="4" w:space="0" w:color="auto"/>
              <w:left w:val="single" w:sz="4" w:space="0" w:color="auto"/>
              <w:bottom w:val="single" w:sz="4" w:space="0" w:color="auto"/>
              <w:right w:val="nil"/>
            </w:tcBorders>
            <w:shd w:val="clear" w:color="000000" w:fill="F7EEF7"/>
            <w:noWrap/>
            <w:vAlign w:val="bottom"/>
            <w:hideMark/>
          </w:tcPr>
          <w:p w14:paraId="61B97659" w14:textId="77777777" w:rsidR="00C5044A" w:rsidRPr="00F40671" w:rsidRDefault="00C5044A" w:rsidP="00312E88">
            <w:pPr>
              <w:rPr>
                <w:rFonts w:cs="Arial"/>
                <w:b/>
                <w:bCs/>
                <w:color w:val="000000"/>
                <w:sz w:val="16"/>
                <w:szCs w:val="16"/>
              </w:rPr>
            </w:pPr>
            <w:r w:rsidRPr="00F40671">
              <w:rPr>
                <w:rFonts w:cs="Arial"/>
                <w:b/>
                <w:bCs/>
                <w:color w:val="000000"/>
                <w:sz w:val="16"/>
                <w:szCs w:val="16"/>
              </w:rPr>
              <w:t>2020-21 AFSR</w:t>
            </w:r>
          </w:p>
        </w:tc>
        <w:tc>
          <w:tcPr>
            <w:tcW w:w="677" w:type="pct"/>
            <w:tcBorders>
              <w:top w:val="nil"/>
              <w:left w:val="nil"/>
              <w:bottom w:val="single" w:sz="4" w:space="0" w:color="auto"/>
              <w:right w:val="nil"/>
            </w:tcBorders>
            <w:shd w:val="clear" w:color="000000" w:fill="F7EEF7"/>
            <w:noWrap/>
            <w:vAlign w:val="bottom"/>
            <w:hideMark/>
          </w:tcPr>
          <w:p w14:paraId="22FE2CF8"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0C0FEA82"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59A42A7B"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09FEA5CD"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single" w:sz="4" w:space="0" w:color="auto"/>
            </w:tcBorders>
            <w:shd w:val="clear" w:color="000000" w:fill="F7EEF7"/>
            <w:noWrap/>
            <w:vAlign w:val="bottom"/>
            <w:hideMark/>
          </w:tcPr>
          <w:p w14:paraId="092B5948"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r>
      <w:tr w:rsidR="00C5044A" w:rsidRPr="00F40671" w14:paraId="5C704527"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0952AA07" w14:textId="77777777" w:rsidR="00C5044A" w:rsidRPr="00F40671" w:rsidRDefault="00C5044A" w:rsidP="00312E88">
            <w:pPr>
              <w:rPr>
                <w:rFonts w:cs="Arial"/>
                <w:color w:val="000000"/>
                <w:sz w:val="16"/>
                <w:szCs w:val="16"/>
              </w:rPr>
            </w:pPr>
            <w:r w:rsidRPr="00F40671">
              <w:rPr>
                <w:rFonts w:cs="Arial"/>
                <w:color w:val="000000"/>
                <w:sz w:val="16"/>
                <w:szCs w:val="16"/>
              </w:rPr>
              <w:t>Children (0 to 14)</w:t>
            </w:r>
          </w:p>
        </w:tc>
        <w:tc>
          <w:tcPr>
            <w:tcW w:w="677" w:type="pct"/>
            <w:tcBorders>
              <w:top w:val="nil"/>
              <w:left w:val="single" w:sz="4" w:space="0" w:color="auto"/>
              <w:bottom w:val="nil"/>
              <w:right w:val="nil"/>
            </w:tcBorders>
            <w:shd w:val="clear" w:color="auto" w:fill="auto"/>
            <w:noWrap/>
            <w:vAlign w:val="bottom"/>
            <w:hideMark/>
          </w:tcPr>
          <w:p w14:paraId="43518A69" w14:textId="77777777" w:rsidR="00C5044A" w:rsidRPr="00F40671" w:rsidRDefault="00C5044A" w:rsidP="00312E88">
            <w:pPr>
              <w:jc w:val="right"/>
              <w:rPr>
                <w:rFonts w:cs="Arial"/>
                <w:color w:val="000000"/>
                <w:sz w:val="16"/>
                <w:szCs w:val="16"/>
              </w:rPr>
            </w:pPr>
            <w:r w:rsidRPr="00F40671">
              <w:rPr>
                <w:rFonts w:cs="Arial"/>
                <w:color w:val="000000"/>
                <w:sz w:val="16"/>
                <w:szCs w:val="16"/>
              </w:rPr>
              <w:t>4,318</w:t>
            </w:r>
          </w:p>
        </w:tc>
        <w:tc>
          <w:tcPr>
            <w:tcW w:w="677" w:type="pct"/>
            <w:tcBorders>
              <w:top w:val="nil"/>
              <w:left w:val="nil"/>
              <w:bottom w:val="nil"/>
              <w:right w:val="nil"/>
            </w:tcBorders>
            <w:shd w:val="clear" w:color="auto" w:fill="auto"/>
            <w:noWrap/>
            <w:vAlign w:val="bottom"/>
            <w:hideMark/>
          </w:tcPr>
          <w:p w14:paraId="2A37BD01" w14:textId="77777777" w:rsidR="00C5044A" w:rsidRPr="00F40671" w:rsidRDefault="00C5044A" w:rsidP="00312E88">
            <w:pPr>
              <w:jc w:val="right"/>
              <w:rPr>
                <w:rFonts w:cs="Arial"/>
                <w:color w:val="000000"/>
                <w:sz w:val="16"/>
                <w:szCs w:val="16"/>
              </w:rPr>
            </w:pPr>
            <w:r w:rsidRPr="00F40671">
              <w:rPr>
                <w:rFonts w:cs="Arial"/>
                <w:color w:val="000000"/>
                <w:sz w:val="16"/>
                <w:szCs w:val="16"/>
              </w:rPr>
              <w:t>5,143</w:t>
            </w:r>
          </w:p>
        </w:tc>
        <w:tc>
          <w:tcPr>
            <w:tcW w:w="677" w:type="pct"/>
            <w:tcBorders>
              <w:top w:val="nil"/>
              <w:left w:val="nil"/>
              <w:bottom w:val="nil"/>
              <w:right w:val="nil"/>
            </w:tcBorders>
            <w:shd w:val="clear" w:color="auto" w:fill="auto"/>
            <w:noWrap/>
            <w:vAlign w:val="bottom"/>
            <w:hideMark/>
          </w:tcPr>
          <w:p w14:paraId="375AA78E" w14:textId="77777777" w:rsidR="00C5044A" w:rsidRPr="00F40671" w:rsidRDefault="00C5044A" w:rsidP="00312E88">
            <w:pPr>
              <w:jc w:val="right"/>
              <w:rPr>
                <w:rFonts w:cs="Arial"/>
                <w:color w:val="000000"/>
                <w:sz w:val="16"/>
                <w:szCs w:val="16"/>
              </w:rPr>
            </w:pPr>
            <w:r w:rsidRPr="00F40671">
              <w:rPr>
                <w:rFonts w:cs="Arial"/>
                <w:color w:val="000000"/>
                <w:sz w:val="16"/>
                <w:szCs w:val="16"/>
              </w:rPr>
              <w:t>5,850</w:t>
            </w:r>
          </w:p>
        </w:tc>
        <w:tc>
          <w:tcPr>
            <w:tcW w:w="677" w:type="pct"/>
            <w:tcBorders>
              <w:top w:val="dotted" w:sz="4" w:space="0" w:color="auto"/>
              <w:left w:val="nil"/>
              <w:bottom w:val="nil"/>
              <w:right w:val="nil"/>
            </w:tcBorders>
            <w:shd w:val="clear" w:color="auto" w:fill="auto"/>
            <w:noWrap/>
            <w:vAlign w:val="bottom"/>
            <w:hideMark/>
          </w:tcPr>
          <w:p w14:paraId="2BDAC469" w14:textId="77777777" w:rsidR="00C5044A" w:rsidRPr="00F40671" w:rsidRDefault="00C5044A" w:rsidP="00312E88">
            <w:pPr>
              <w:jc w:val="right"/>
              <w:rPr>
                <w:rFonts w:cs="Arial"/>
                <w:color w:val="000000"/>
                <w:sz w:val="16"/>
                <w:szCs w:val="16"/>
              </w:rPr>
            </w:pPr>
            <w:r w:rsidRPr="00F40671">
              <w:rPr>
                <w:rFonts w:cs="Arial"/>
                <w:color w:val="000000"/>
                <w:sz w:val="16"/>
                <w:szCs w:val="16"/>
              </w:rPr>
              <w:t>6,373</w:t>
            </w:r>
          </w:p>
        </w:tc>
        <w:tc>
          <w:tcPr>
            <w:tcW w:w="677" w:type="pct"/>
            <w:tcBorders>
              <w:top w:val="nil"/>
              <w:left w:val="dotted" w:sz="4" w:space="0" w:color="auto"/>
              <w:bottom w:val="nil"/>
              <w:right w:val="single" w:sz="4" w:space="0" w:color="auto"/>
            </w:tcBorders>
            <w:shd w:val="clear" w:color="auto" w:fill="auto"/>
            <w:noWrap/>
            <w:vAlign w:val="bottom"/>
            <w:hideMark/>
          </w:tcPr>
          <w:p w14:paraId="02ADB11D" w14:textId="77777777" w:rsidR="00C5044A" w:rsidRPr="00F40671" w:rsidRDefault="00C5044A" w:rsidP="00312E88">
            <w:pPr>
              <w:jc w:val="right"/>
              <w:rPr>
                <w:rFonts w:cs="Arial"/>
                <w:color w:val="000000"/>
                <w:sz w:val="16"/>
                <w:szCs w:val="16"/>
              </w:rPr>
            </w:pPr>
            <w:r w:rsidRPr="00F40671">
              <w:rPr>
                <w:rFonts w:cs="Arial"/>
                <w:color w:val="000000"/>
                <w:sz w:val="16"/>
                <w:szCs w:val="16"/>
              </w:rPr>
              <w:t>8,183</w:t>
            </w:r>
          </w:p>
        </w:tc>
      </w:tr>
      <w:tr w:rsidR="00C5044A" w:rsidRPr="00F40671" w14:paraId="3687A34F"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5A19DC09" w14:textId="77777777" w:rsidR="00C5044A" w:rsidRPr="00F40671" w:rsidRDefault="00C5044A" w:rsidP="00312E88">
            <w:pPr>
              <w:rPr>
                <w:rFonts w:cs="Arial"/>
                <w:color w:val="000000"/>
                <w:sz w:val="16"/>
                <w:szCs w:val="16"/>
              </w:rPr>
            </w:pPr>
            <w:r w:rsidRPr="00F40671">
              <w:rPr>
                <w:rFonts w:cs="Arial"/>
                <w:color w:val="000000"/>
                <w:sz w:val="16"/>
                <w:szCs w:val="16"/>
              </w:rPr>
              <w:t>Young adults (15 to 24)</w:t>
            </w:r>
          </w:p>
        </w:tc>
        <w:tc>
          <w:tcPr>
            <w:tcW w:w="677" w:type="pct"/>
            <w:tcBorders>
              <w:top w:val="nil"/>
              <w:left w:val="single" w:sz="4" w:space="0" w:color="auto"/>
              <w:bottom w:val="nil"/>
              <w:right w:val="nil"/>
            </w:tcBorders>
            <w:shd w:val="clear" w:color="auto" w:fill="auto"/>
            <w:noWrap/>
            <w:vAlign w:val="bottom"/>
            <w:hideMark/>
          </w:tcPr>
          <w:p w14:paraId="2D1B2135" w14:textId="77777777" w:rsidR="00C5044A" w:rsidRPr="00F40671" w:rsidRDefault="00C5044A" w:rsidP="00312E88">
            <w:pPr>
              <w:jc w:val="right"/>
              <w:rPr>
                <w:rFonts w:cs="Arial"/>
                <w:color w:val="000000"/>
                <w:sz w:val="16"/>
                <w:szCs w:val="16"/>
              </w:rPr>
            </w:pPr>
            <w:r w:rsidRPr="00F40671">
              <w:rPr>
                <w:rFonts w:cs="Arial"/>
                <w:color w:val="000000"/>
                <w:sz w:val="16"/>
                <w:szCs w:val="16"/>
              </w:rPr>
              <w:t>4,715</w:t>
            </w:r>
          </w:p>
        </w:tc>
        <w:tc>
          <w:tcPr>
            <w:tcW w:w="677" w:type="pct"/>
            <w:tcBorders>
              <w:top w:val="nil"/>
              <w:left w:val="nil"/>
              <w:bottom w:val="nil"/>
              <w:right w:val="nil"/>
            </w:tcBorders>
            <w:shd w:val="clear" w:color="auto" w:fill="auto"/>
            <w:noWrap/>
            <w:vAlign w:val="bottom"/>
            <w:hideMark/>
          </w:tcPr>
          <w:p w14:paraId="04D5C33A" w14:textId="77777777" w:rsidR="00C5044A" w:rsidRPr="00F40671" w:rsidRDefault="00C5044A" w:rsidP="00312E88">
            <w:pPr>
              <w:jc w:val="right"/>
              <w:rPr>
                <w:rFonts w:cs="Arial"/>
                <w:color w:val="000000"/>
                <w:sz w:val="16"/>
                <w:szCs w:val="16"/>
              </w:rPr>
            </w:pPr>
            <w:r w:rsidRPr="00F40671">
              <w:rPr>
                <w:rFonts w:cs="Arial"/>
                <w:color w:val="000000"/>
                <w:sz w:val="16"/>
                <w:szCs w:val="16"/>
              </w:rPr>
              <w:t>5,610</w:t>
            </w:r>
          </w:p>
        </w:tc>
        <w:tc>
          <w:tcPr>
            <w:tcW w:w="677" w:type="pct"/>
            <w:tcBorders>
              <w:top w:val="nil"/>
              <w:left w:val="nil"/>
              <w:bottom w:val="nil"/>
              <w:right w:val="nil"/>
            </w:tcBorders>
            <w:shd w:val="clear" w:color="auto" w:fill="auto"/>
            <w:noWrap/>
            <w:vAlign w:val="bottom"/>
            <w:hideMark/>
          </w:tcPr>
          <w:p w14:paraId="17AF3ACD" w14:textId="77777777" w:rsidR="00C5044A" w:rsidRPr="00F40671" w:rsidRDefault="00C5044A" w:rsidP="00312E88">
            <w:pPr>
              <w:jc w:val="right"/>
              <w:rPr>
                <w:rFonts w:cs="Arial"/>
                <w:color w:val="000000"/>
                <w:sz w:val="16"/>
                <w:szCs w:val="16"/>
              </w:rPr>
            </w:pPr>
            <w:r w:rsidRPr="00F40671">
              <w:rPr>
                <w:rFonts w:cs="Arial"/>
                <w:color w:val="000000"/>
                <w:sz w:val="16"/>
                <w:szCs w:val="16"/>
              </w:rPr>
              <w:t>6,427</w:t>
            </w:r>
          </w:p>
        </w:tc>
        <w:tc>
          <w:tcPr>
            <w:tcW w:w="677" w:type="pct"/>
            <w:tcBorders>
              <w:top w:val="nil"/>
              <w:left w:val="nil"/>
              <w:bottom w:val="nil"/>
              <w:right w:val="nil"/>
            </w:tcBorders>
            <w:shd w:val="clear" w:color="auto" w:fill="auto"/>
            <w:noWrap/>
            <w:vAlign w:val="bottom"/>
            <w:hideMark/>
          </w:tcPr>
          <w:p w14:paraId="386F7CD3" w14:textId="77777777" w:rsidR="00C5044A" w:rsidRPr="00F40671" w:rsidRDefault="00C5044A" w:rsidP="00312E88">
            <w:pPr>
              <w:jc w:val="right"/>
              <w:rPr>
                <w:rFonts w:cs="Arial"/>
                <w:color w:val="000000"/>
                <w:sz w:val="16"/>
                <w:szCs w:val="16"/>
              </w:rPr>
            </w:pPr>
            <w:r w:rsidRPr="00F40671">
              <w:rPr>
                <w:rFonts w:cs="Arial"/>
                <w:color w:val="000000"/>
                <w:sz w:val="16"/>
                <w:szCs w:val="16"/>
              </w:rPr>
              <w:t>7,165</w:t>
            </w:r>
          </w:p>
        </w:tc>
        <w:tc>
          <w:tcPr>
            <w:tcW w:w="677" w:type="pct"/>
            <w:tcBorders>
              <w:top w:val="nil"/>
              <w:left w:val="dotted" w:sz="4" w:space="0" w:color="auto"/>
              <w:bottom w:val="nil"/>
              <w:right w:val="single" w:sz="4" w:space="0" w:color="auto"/>
            </w:tcBorders>
            <w:shd w:val="clear" w:color="auto" w:fill="auto"/>
            <w:noWrap/>
            <w:vAlign w:val="bottom"/>
            <w:hideMark/>
          </w:tcPr>
          <w:p w14:paraId="281486E4" w14:textId="77777777" w:rsidR="00C5044A" w:rsidRPr="00F40671" w:rsidRDefault="00C5044A" w:rsidP="00312E88">
            <w:pPr>
              <w:jc w:val="right"/>
              <w:rPr>
                <w:rFonts w:cs="Arial"/>
                <w:color w:val="000000"/>
                <w:sz w:val="16"/>
                <w:szCs w:val="16"/>
              </w:rPr>
            </w:pPr>
            <w:r w:rsidRPr="00F40671">
              <w:rPr>
                <w:rFonts w:cs="Arial"/>
                <w:color w:val="000000"/>
                <w:sz w:val="16"/>
                <w:szCs w:val="16"/>
              </w:rPr>
              <w:t>11,760</w:t>
            </w:r>
          </w:p>
        </w:tc>
      </w:tr>
      <w:tr w:rsidR="00C5044A" w:rsidRPr="00F40671" w14:paraId="50272132"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0C90D64F" w14:textId="77777777" w:rsidR="00C5044A" w:rsidRPr="00F40671" w:rsidRDefault="00C5044A" w:rsidP="00312E88">
            <w:pPr>
              <w:rPr>
                <w:rFonts w:cs="Arial"/>
                <w:color w:val="000000"/>
                <w:sz w:val="16"/>
                <w:szCs w:val="16"/>
              </w:rPr>
            </w:pPr>
            <w:r w:rsidRPr="00F40671">
              <w:rPr>
                <w:rFonts w:cs="Arial"/>
                <w:color w:val="000000"/>
                <w:sz w:val="16"/>
                <w:szCs w:val="16"/>
              </w:rPr>
              <w:t>Adults (25 to 64)</w:t>
            </w:r>
          </w:p>
        </w:tc>
        <w:tc>
          <w:tcPr>
            <w:tcW w:w="677" w:type="pct"/>
            <w:tcBorders>
              <w:top w:val="nil"/>
              <w:left w:val="single" w:sz="4" w:space="0" w:color="auto"/>
              <w:bottom w:val="nil"/>
              <w:right w:val="nil"/>
            </w:tcBorders>
            <w:shd w:val="clear" w:color="auto" w:fill="auto"/>
            <w:noWrap/>
            <w:vAlign w:val="bottom"/>
            <w:hideMark/>
          </w:tcPr>
          <w:p w14:paraId="2B7A488D" w14:textId="77777777" w:rsidR="00C5044A" w:rsidRPr="00F40671" w:rsidRDefault="00C5044A" w:rsidP="00312E88">
            <w:pPr>
              <w:jc w:val="right"/>
              <w:rPr>
                <w:rFonts w:cs="Arial"/>
                <w:color w:val="000000"/>
                <w:sz w:val="16"/>
                <w:szCs w:val="16"/>
              </w:rPr>
            </w:pPr>
            <w:r w:rsidRPr="00F40671">
              <w:rPr>
                <w:rFonts w:cs="Arial"/>
                <w:color w:val="000000"/>
                <w:sz w:val="16"/>
                <w:szCs w:val="16"/>
              </w:rPr>
              <w:t>17,962</w:t>
            </w:r>
          </w:p>
        </w:tc>
        <w:tc>
          <w:tcPr>
            <w:tcW w:w="677" w:type="pct"/>
            <w:tcBorders>
              <w:top w:val="nil"/>
              <w:left w:val="nil"/>
              <w:bottom w:val="nil"/>
              <w:right w:val="nil"/>
            </w:tcBorders>
            <w:shd w:val="clear" w:color="auto" w:fill="auto"/>
            <w:noWrap/>
            <w:vAlign w:val="bottom"/>
            <w:hideMark/>
          </w:tcPr>
          <w:p w14:paraId="0D3E1760" w14:textId="77777777" w:rsidR="00C5044A" w:rsidRPr="00F40671" w:rsidRDefault="00C5044A" w:rsidP="00312E88">
            <w:pPr>
              <w:jc w:val="right"/>
              <w:rPr>
                <w:rFonts w:cs="Arial"/>
                <w:color w:val="000000"/>
                <w:sz w:val="16"/>
                <w:szCs w:val="16"/>
              </w:rPr>
            </w:pPr>
            <w:r w:rsidRPr="00F40671">
              <w:rPr>
                <w:rFonts w:cs="Arial"/>
                <w:color w:val="000000"/>
                <w:sz w:val="16"/>
                <w:szCs w:val="16"/>
              </w:rPr>
              <w:t>20,213</w:t>
            </w:r>
          </w:p>
        </w:tc>
        <w:tc>
          <w:tcPr>
            <w:tcW w:w="677" w:type="pct"/>
            <w:tcBorders>
              <w:top w:val="nil"/>
              <w:left w:val="nil"/>
              <w:bottom w:val="nil"/>
              <w:right w:val="nil"/>
            </w:tcBorders>
            <w:shd w:val="clear" w:color="auto" w:fill="auto"/>
            <w:noWrap/>
            <w:vAlign w:val="bottom"/>
            <w:hideMark/>
          </w:tcPr>
          <w:p w14:paraId="221382A9" w14:textId="77777777" w:rsidR="00C5044A" w:rsidRPr="00F40671" w:rsidRDefault="00C5044A" w:rsidP="00312E88">
            <w:pPr>
              <w:jc w:val="right"/>
              <w:rPr>
                <w:rFonts w:cs="Arial"/>
                <w:color w:val="000000"/>
                <w:sz w:val="16"/>
                <w:szCs w:val="16"/>
              </w:rPr>
            </w:pPr>
            <w:r w:rsidRPr="00F40671">
              <w:rPr>
                <w:rFonts w:cs="Arial"/>
                <w:color w:val="000000"/>
                <w:sz w:val="16"/>
                <w:szCs w:val="16"/>
              </w:rPr>
              <w:t>22,068</w:t>
            </w:r>
          </w:p>
        </w:tc>
        <w:tc>
          <w:tcPr>
            <w:tcW w:w="677" w:type="pct"/>
            <w:tcBorders>
              <w:top w:val="nil"/>
              <w:left w:val="nil"/>
              <w:bottom w:val="nil"/>
              <w:right w:val="nil"/>
            </w:tcBorders>
            <w:shd w:val="clear" w:color="auto" w:fill="auto"/>
            <w:noWrap/>
            <w:vAlign w:val="bottom"/>
            <w:hideMark/>
          </w:tcPr>
          <w:p w14:paraId="61885D7E" w14:textId="77777777" w:rsidR="00C5044A" w:rsidRPr="00F40671" w:rsidRDefault="00C5044A" w:rsidP="00312E88">
            <w:pPr>
              <w:jc w:val="right"/>
              <w:rPr>
                <w:rFonts w:cs="Arial"/>
                <w:color w:val="000000"/>
                <w:sz w:val="16"/>
                <w:szCs w:val="16"/>
              </w:rPr>
            </w:pPr>
            <w:r w:rsidRPr="00F40671">
              <w:rPr>
                <w:rFonts w:cs="Arial"/>
                <w:color w:val="000000"/>
                <w:sz w:val="16"/>
                <w:szCs w:val="16"/>
              </w:rPr>
              <w:t>23,529</w:t>
            </w:r>
          </w:p>
        </w:tc>
        <w:tc>
          <w:tcPr>
            <w:tcW w:w="677" w:type="pct"/>
            <w:tcBorders>
              <w:top w:val="nil"/>
              <w:left w:val="dotted" w:sz="4" w:space="0" w:color="auto"/>
              <w:bottom w:val="nil"/>
              <w:right w:val="single" w:sz="4" w:space="0" w:color="auto"/>
            </w:tcBorders>
            <w:shd w:val="clear" w:color="auto" w:fill="auto"/>
            <w:noWrap/>
            <w:vAlign w:val="bottom"/>
            <w:hideMark/>
          </w:tcPr>
          <w:p w14:paraId="47778B48" w14:textId="77777777" w:rsidR="00C5044A" w:rsidRPr="00F40671" w:rsidRDefault="00C5044A" w:rsidP="00312E88">
            <w:pPr>
              <w:jc w:val="right"/>
              <w:rPr>
                <w:rFonts w:cs="Arial"/>
                <w:color w:val="000000"/>
                <w:sz w:val="16"/>
                <w:szCs w:val="16"/>
              </w:rPr>
            </w:pPr>
            <w:r w:rsidRPr="00F40671">
              <w:rPr>
                <w:rFonts w:cs="Arial"/>
                <w:color w:val="000000"/>
                <w:sz w:val="16"/>
                <w:szCs w:val="16"/>
              </w:rPr>
              <w:t>31,528</w:t>
            </w:r>
          </w:p>
        </w:tc>
      </w:tr>
      <w:tr w:rsidR="00C5044A" w:rsidRPr="00F40671" w14:paraId="3C43D0EE"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0831656B" w14:textId="77777777" w:rsidR="00C5044A" w:rsidRPr="00F40671" w:rsidRDefault="00C5044A" w:rsidP="00312E88">
            <w:pPr>
              <w:rPr>
                <w:rFonts w:cs="Arial"/>
                <w:color w:val="000000"/>
                <w:sz w:val="16"/>
                <w:szCs w:val="16"/>
              </w:rPr>
            </w:pPr>
            <w:r w:rsidRPr="00F40671">
              <w:rPr>
                <w:rFonts w:cs="Arial"/>
                <w:color w:val="000000"/>
                <w:sz w:val="16"/>
                <w:szCs w:val="16"/>
              </w:rPr>
              <w:t>Older adults (65+)</w:t>
            </w:r>
          </w:p>
        </w:tc>
        <w:tc>
          <w:tcPr>
            <w:tcW w:w="677" w:type="pct"/>
            <w:tcBorders>
              <w:top w:val="nil"/>
              <w:left w:val="single" w:sz="4" w:space="0" w:color="auto"/>
              <w:bottom w:val="nil"/>
              <w:right w:val="nil"/>
            </w:tcBorders>
            <w:shd w:val="clear" w:color="auto" w:fill="auto"/>
            <w:noWrap/>
            <w:vAlign w:val="bottom"/>
            <w:hideMark/>
          </w:tcPr>
          <w:p w14:paraId="6A0C5CB6" w14:textId="77777777" w:rsidR="00C5044A" w:rsidRPr="00F40671" w:rsidRDefault="00C5044A" w:rsidP="00312E88">
            <w:pPr>
              <w:jc w:val="right"/>
              <w:rPr>
                <w:rFonts w:cs="Arial"/>
                <w:color w:val="000000"/>
                <w:sz w:val="16"/>
                <w:szCs w:val="16"/>
              </w:rPr>
            </w:pPr>
            <w:r w:rsidRPr="00F40671">
              <w:rPr>
                <w:rFonts w:cs="Arial"/>
                <w:color w:val="000000"/>
                <w:sz w:val="16"/>
                <w:szCs w:val="16"/>
              </w:rPr>
              <w:t>1,837</w:t>
            </w:r>
          </w:p>
        </w:tc>
        <w:tc>
          <w:tcPr>
            <w:tcW w:w="677" w:type="pct"/>
            <w:tcBorders>
              <w:top w:val="nil"/>
              <w:left w:val="nil"/>
              <w:bottom w:val="nil"/>
              <w:right w:val="nil"/>
            </w:tcBorders>
            <w:shd w:val="clear" w:color="auto" w:fill="auto"/>
            <w:noWrap/>
            <w:vAlign w:val="bottom"/>
            <w:hideMark/>
          </w:tcPr>
          <w:p w14:paraId="774D9DB6" w14:textId="77777777" w:rsidR="00C5044A" w:rsidRPr="00F40671" w:rsidRDefault="00C5044A" w:rsidP="00312E88">
            <w:pPr>
              <w:jc w:val="right"/>
              <w:rPr>
                <w:rFonts w:cs="Arial"/>
                <w:color w:val="000000"/>
                <w:sz w:val="16"/>
                <w:szCs w:val="16"/>
              </w:rPr>
            </w:pPr>
            <w:r w:rsidRPr="00F40671">
              <w:rPr>
                <w:rFonts w:cs="Arial"/>
                <w:color w:val="000000"/>
                <w:sz w:val="16"/>
                <w:szCs w:val="16"/>
              </w:rPr>
              <w:t>2,464</w:t>
            </w:r>
          </w:p>
        </w:tc>
        <w:tc>
          <w:tcPr>
            <w:tcW w:w="677" w:type="pct"/>
            <w:tcBorders>
              <w:top w:val="nil"/>
              <w:left w:val="nil"/>
              <w:bottom w:val="nil"/>
              <w:right w:val="nil"/>
            </w:tcBorders>
            <w:shd w:val="clear" w:color="auto" w:fill="auto"/>
            <w:noWrap/>
            <w:vAlign w:val="bottom"/>
            <w:hideMark/>
          </w:tcPr>
          <w:p w14:paraId="77A84906" w14:textId="77777777" w:rsidR="00C5044A" w:rsidRPr="00F40671" w:rsidRDefault="00C5044A" w:rsidP="00312E88">
            <w:pPr>
              <w:jc w:val="right"/>
              <w:rPr>
                <w:rFonts w:cs="Arial"/>
                <w:color w:val="000000"/>
                <w:sz w:val="16"/>
                <w:szCs w:val="16"/>
              </w:rPr>
            </w:pPr>
            <w:r w:rsidRPr="00F40671">
              <w:rPr>
                <w:rFonts w:cs="Arial"/>
                <w:color w:val="000000"/>
                <w:sz w:val="16"/>
                <w:szCs w:val="16"/>
              </w:rPr>
              <w:t>3,114</w:t>
            </w:r>
          </w:p>
        </w:tc>
        <w:tc>
          <w:tcPr>
            <w:tcW w:w="677" w:type="pct"/>
            <w:tcBorders>
              <w:top w:val="nil"/>
              <w:left w:val="nil"/>
              <w:bottom w:val="single" w:sz="4" w:space="0" w:color="auto"/>
              <w:right w:val="nil"/>
            </w:tcBorders>
            <w:shd w:val="clear" w:color="auto" w:fill="auto"/>
            <w:noWrap/>
            <w:vAlign w:val="bottom"/>
            <w:hideMark/>
          </w:tcPr>
          <w:p w14:paraId="0E065967" w14:textId="77777777" w:rsidR="00C5044A" w:rsidRPr="00F40671" w:rsidRDefault="00C5044A" w:rsidP="00312E88">
            <w:pPr>
              <w:jc w:val="right"/>
              <w:rPr>
                <w:rFonts w:cs="Arial"/>
                <w:color w:val="000000"/>
                <w:sz w:val="16"/>
                <w:szCs w:val="16"/>
              </w:rPr>
            </w:pPr>
            <w:r w:rsidRPr="00F40671">
              <w:rPr>
                <w:rFonts w:cs="Arial"/>
                <w:color w:val="000000"/>
                <w:sz w:val="16"/>
                <w:szCs w:val="16"/>
              </w:rPr>
              <w:t>3,748</w:t>
            </w:r>
          </w:p>
        </w:tc>
        <w:tc>
          <w:tcPr>
            <w:tcW w:w="677" w:type="pct"/>
            <w:tcBorders>
              <w:top w:val="nil"/>
              <w:left w:val="dotted" w:sz="4" w:space="0" w:color="auto"/>
              <w:bottom w:val="nil"/>
              <w:right w:val="single" w:sz="4" w:space="0" w:color="auto"/>
            </w:tcBorders>
            <w:shd w:val="clear" w:color="auto" w:fill="auto"/>
            <w:noWrap/>
            <w:vAlign w:val="bottom"/>
            <w:hideMark/>
          </w:tcPr>
          <w:p w14:paraId="24A07F63" w14:textId="77777777" w:rsidR="00C5044A" w:rsidRPr="00F40671" w:rsidRDefault="00C5044A" w:rsidP="00312E88">
            <w:pPr>
              <w:jc w:val="right"/>
              <w:rPr>
                <w:rFonts w:cs="Arial"/>
                <w:color w:val="000000"/>
                <w:sz w:val="16"/>
                <w:szCs w:val="16"/>
              </w:rPr>
            </w:pPr>
            <w:r w:rsidRPr="00F40671">
              <w:rPr>
                <w:rFonts w:cs="Arial"/>
                <w:color w:val="000000"/>
                <w:sz w:val="16"/>
                <w:szCs w:val="16"/>
              </w:rPr>
              <w:t>7,012</w:t>
            </w:r>
          </w:p>
        </w:tc>
      </w:tr>
      <w:tr w:rsidR="00C5044A" w:rsidRPr="00F40671" w14:paraId="4A06273A" w14:textId="77777777" w:rsidTr="00C5044A">
        <w:trPr>
          <w:trHeight w:hRule="exact" w:val="284"/>
        </w:trPr>
        <w:tc>
          <w:tcPr>
            <w:tcW w:w="1613" w:type="pct"/>
            <w:tcBorders>
              <w:top w:val="single" w:sz="4" w:space="0" w:color="auto"/>
              <w:left w:val="single" w:sz="4" w:space="0" w:color="auto"/>
              <w:bottom w:val="single" w:sz="4" w:space="0" w:color="auto"/>
              <w:right w:val="nil"/>
            </w:tcBorders>
            <w:shd w:val="clear" w:color="auto" w:fill="auto"/>
            <w:noWrap/>
            <w:vAlign w:val="bottom"/>
            <w:hideMark/>
          </w:tcPr>
          <w:p w14:paraId="10B31DBE" w14:textId="77777777" w:rsidR="00C5044A" w:rsidRPr="00F40671" w:rsidRDefault="00C5044A" w:rsidP="00312E88">
            <w:pPr>
              <w:rPr>
                <w:rFonts w:cs="Arial"/>
                <w:b/>
                <w:bCs/>
                <w:color w:val="000000"/>
                <w:sz w:val="16"/>
                <w:szCs w:val="16"/>
              </w:rPr>
            </w:pPr>
            <w:r w:rsidRPr="00F40671">
              <w:rPr>
                <w:rFonts w:cs="Arial"/>
                <w:b/>
                <w:bCs/>
                <w:color w:val="000000"/>
                <w:sz w:val="16"/>
                <w:szCs w:val="16"/>
              </w:rPr>
              <w:t>Total</w:t>
            </w:r>
          </w:p>
        </w:tc>
        <w:tc>
          <w:tcPr>
            <w:tcW w:w="677" w:type="pct"/>
            <w:tcBorders>
              <w:top w:val="single" w:sz="4" w:space="0" w:color="auto"/>
              <w:left w:val="single" w:sz="4" w:space="0" w:color="auto"/>
              <w:bottom w:val="single" w:sz="4" w:space="0" w:color="auto"/>
              <w:right w:val="nil"/>
            </w:tcBorders>
            <w:shd w:val="clear" w:color="auto" w:fill="auto"/>
            <w:noWrap/>
            <w:vAlign w:val="bottom"/>
            <w:hideMark/>
          </w:tcPr>
          <w:p w14:paraId="4288CF59"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28,831</w:t>
            </w:r>
          </w:p>
        </w:tc>
        <w:tc>
          <w:tcPr>
            <w:tcW w:w="677" w:type="pct"/>
            <w:tcBorders>
              <w:top w:val="single" w:sz="4" w:space="0" w:color="auto"/>
              <w:left w:val="nil"/>
              <w:bottom w:val="single" w:sz="4" w:space="0" w:color="auto"/>
              <w:right w:val="nil"/>
            </w:tcBorders>
            <w:shd w:val="clear" w:color="auto" w:fill="auto"/>
            <w:noWrap/>
            <w:vAlign w:val="bottom"/>
            <w:hideMark/>
          </w:tcPr>
          <w:p w14:paraId="1587748F"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33,429</w:t>
            </w:r>
          </w:p>
        </w:tc>
        <w:tc>
          <w:tcPr>
            <w:tcW w:w="677" w:type="pct"/>
            <w:tcBorders>
              <w:top w:val="single" w:sz="4" w:space="0" w:color="auto"/>
              <w:left w:val="nil"/>
              <w:bottom w:val="single" w:sz="4" w:space="0" w:color="auto"/>
              <w:right w:val="nil"/>
            </w:tcBorders>
            <w:shd w:val="clear" w:color="auto" w:fill="auto"/>
            <w:noWrap/>
            <w:vAlign w:val="bottom"/>
            <w:hideMark/>
          </w:tcPr>
          <w:p w14:paraId="088F42A8"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37,459</w:t>
            </w:r>
          </w:p>
        </w:tc>
        <w:tc>
          <w:tcPr>
            <w:tcW w:w="677" w:type="pct"/>
            <w:tcBorders>
              <w:top w:val="nil"/>
              <w:left w:val="nil"/>
              <w:bottom w:val="single" w:sz="4" w:space="0" w:color="auto"/>
              <w:right w:val="nil"/>
            </w:tcBorders>
            <w:shd w:val="clear" w:color="auto" w:fill="auto"/>
            <w:noWrap/>
            <w:vAlign w:val="bottom"/>
            <w:hideMark/>
          </w:tcPr>
          <w:p w14:paraId="7AFCDD0D"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40,814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93A80"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58,483</w:t>
            </w:r>
          </w:p>
        </w:tc>
      </w:tr>
      <w:tr w:rsidR="00C5044A" w:rsidRPr="00F40671" w14:paraId="57995E51" w14:textId="77777777" w:rsidTr="00C5044A">
        <w:trPr>
          <w:trHeight w:hRule="exact" w:val="284"/>
        </w:trPr>
        <w:tc>
          <w:tcPr>
            <w:tcW w:w="1613" w:type="pct"/>
            <w:tcBorders>
              <w:top w:val="nil"/>
              <w:left w:val="single" w:sz="4" w:space="0" w:color="auto"/>
              <w:bottom w:val="single" w:sz="4" w:space="0" w:color="auto"/>
              <w:right w:val="nil"/>
            </w:tcBorders>
            <w:shd w:val="clear" w:color="000000" w:fill="F7EEF7"/>
            <w:noWrap/>
            <w:vAlign w:val="bottom"/>
            <w:hideMark/>
          </w:tcPr>
          <w:p w14:paraId="691BB708" w14:textId="77777777" w:rsidR="00C5044A" w:rsidRPr="00F40671" w:rsidRDefault="00C5044A" w:rsidP="00312E88">
            <w:pPr>
              <w:rPr>
                <w:rFonts w:cs="Arial"/>
                <w:b/>
                <w:bCs/>
                <w:color w:val="000000"/>
                <w:sz w:val="16"/>
                <w:szCs w:val="16"/>
              </w:rPr>
            </w:pPr>
            <w:r w:rsidRPr="00F40671">
              <w:rPr>
                <w:rFonts w:cs="Arial"/>
                <w:b/>
                <w:bCs/>
                <w:color w:val="000000"/>
                <w:sz w:val="16"/>
                <w:szCs w:val="16"/>
              </w:rPr>
              <w:t>Dec20 AFSR</w:t>
            </w:r>
          </w:p>
        </w:tc>
        <w:tc>
          <w:tcPr>
            <w:tcW w:w="677" w:type="pct"/>
            <w:tcBorders>
              <w:top w:val="nil"/>
              <w:left w:val="nil"/>
              <w:bottom w:val="single" w:sz="4" w:space="0" w:color="auto"/>
              <w:right w:val="nil"/>
            </w:tcBorders>
            <w:shd w:val="clear" w:color="000000" w:fill="F7EEF7"/>
            <w:noWrap/>
            <w:vAlign w:val="bottom"/>
            <w:hideMark/>
          </w:tcPr>
          <w:p w14:paraId="67499B60"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0DDA9A2E"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16598432"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03312F76"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single" w:sz="4" w:space="0" w:color="auto"/>
            </w:tcBorders>
            <w:shd w:val="clear" w:color="000000" w:fill="F7EEF7"/>
            <w:noWrap/>
            <w:vAlign w:val="bottom"/>
            <w:hideMark/>
          </w:tcPr>
          <w:p w14:paraId="10F66550"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r>
      <w:tr w:rsidR="00C5044A" w:rsidRPr="00F40671" w14:paraId="2A259158"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31C4395F" w14:textId="77777777" w:rsidR="00C5044A" w:rsidRPr="00F40671" w:rsidRDefault="00C5044A" w:rsidP="00312E88">
            <w:pPr>
              <w:rPr>
                <w:rFonts w:cs="Arial"/>
                <w:color w:val="000000"/>
                <w:sz w:val="16"/>
                <w:szCs w:val="16"/>
              </w:rPr>
            </w:pPr>
            <w:r w:rsidRPr="00F40671">
              <w:rPr>
                <w:rFonts w:cs="Arial"/>
                <w:color w:val="000000"/>
                <w:sz w:val="16"/>
                <w:szCs w:val="16"/>
              </w:rPr>
              <w:t>Children (0 to 14)</w:t>
            </w:r>
          </w:p>
        </w:tc>
        <w:tc>
          <w:tcPr>
            <w:tcW w:w="677" w:type="pct"/>
            <w:tcBorders>
              <w:top w:val="nil"/>
              <w:left w:val="single" w:sz="4" w:space="0" w:color="auto"/>
              <w:bottom w:val="nil"/>
              <w:right w:val="nil"/>
            </w:tcBorders>
            <w:shd w:val="clear" w:color="auto" w:fill="auto"/>
            <w:noWrap/>
            <w:vAlign w:val="bottom"/>
            <w:hideMark/>
          </w:tcPr>
          <w:p w14:paraId="4FD9B339" w14:textId="77777777" w:rsidR="00C5044A" w:rsidRPr="00F40671" w:rsidRDefault="00C5044A" w:rsidP="00312E88">
            <w:pPr>
              <w:jc w:val="right"/>
              <w:rPr>
                <w:rFonts w:cs="Arial"/>
                <w:color w:val="000000"/>
                <w:sz w:val="16"/>
                <w:szCs w:val="16"/>
              </w:rPr>
            </w:pPr>
            <w:r w:rsidRPr="00F40671">
              <w:rPr>
                <w:rFonts w:cs="Arial"/>
                <w:color w:val="000000"/>
                <w:sz w:val="16"/>
                <w:szCs w:val="16"/>
              </w:rPr>
              <w:t>3,961</w:t>
            </w:r>
          </w:p>
        </w:tc>
        <w:tc>
          <w:tcPr>
            <w:tcW w:w="677" w:type="pct"/>
            <w:tcBorders>
              <w:top w:val="nil"/>
              <w:left w:val="nil"/>
              <w:bottom w:val="nil"/>
              <w:right w:val="nil"/>
            </w:tcBorders>
            <w:shd w:val="clear" w:color="auto" w:fill="auto"/>
            <w:noWrap/>
            <w:vAlign w:val="bottom"/>
            <w:hideMark/>
          </w:tcPr>
          <w:p w14:paraId="6DBD7702" w14:textId="77777777" w:rsidR="00C5044A" w:rsidRPr="00F40671" w:rsidRDefault="00C5044A" w:rsidP="00312E88">
            <w:pPr>
              <w:jc w:val="right"/>
              <w:rPr>
                <w:rFonts w:cs="Arial"/>
                <w:color w:val="000000"/>
                <w:sz w:val="16"/>
                <w:szCs w:val="16"/>
              </w:rPr>
            </w:pPr>
            <w:r w:rsidRPr="00F40671">
              <w:rPr>
                <w:rFonts w:cs="Arial"/>
                <w:color w:val="000000"/>
                <w:sz w:val="16"/>
                <w:szCs w:val="16"/>
              </w:rPr>
              <w:t>4,714</w:t>
            </w:r>
          </w:p>
        </w:tc>
        <w:tc>
          <w:tcPr>
            <w:tcW w:w="677" w:type="pct"/>
            <w:tcBorders>
              <w:top w:val="nil"/>
              <w:left w:val="nil"/>
              <w:bottom w:val="nil"/>
              <w:right w:val="nil"/>
            </w:tcBorders>
            <w:shd w:val="clear" w:color="auto" w:fill="auto"/>
            <w:noWrap/>
            <w:vAlign w:val="bottom"/>
            <w:hideMark/>
          </w:tcPr>
          <w:p w14:paraId="188B77BF" w14:textId="77777777" w:rsidR="00C5044A" w:rsidRPr="00F40671" w:rsidRDefault="00C5044A" w:rsidP="00312E88">
            <w:pPr>
              <w:jc w:val="right"/>
              <w:rPr>
                <w:rFonts w:cs="Arial"/>
                <w:color w:val="000000"/>
                <w:sz w:val="16"/>
                <w:szCs w:val="16"/>
              </w:rPr>
            </w:pPr>
            <w:r w:rsidRPr="00F40671">
              <w:rPr>
                <w:rFonts w:cs="Arial"/>
                <w:color w:val="000000"/>
                <w:sz w:val="16"/>
                <w:szCs w:val="16"/>
              </w:rPr>
              <w:t>5,359</w:t>
            </w:r>
          </w:p>
        </w:tc>
        <w:tc>
          <w:tcPr>
            <w:tcW w:w="677" w:type="pct"/>
            <w:tcBorders>
              <w:top w:val="dotted" w:sz="4" w:space="0" w:color="auto"/>
              <w:left w:val="nil"/>
              <w:bottom w:val="nil"/>
              <w:right w:val="nil"/>
            </w:tcBorders>
            <w:shd w:val="clear" w:color="auto" w:fill="auto"/>
            <w:noWrap/>
            <w:vAlign w:val="bottom"/>
            <w:hideMark/>
          </w:tcPr>
          <w:p w14:paraId="397DA325" w14:textId="77777777" w:rsidR="00C5044A" w:rsidRPr="00F40671" w:rsidRDefault="00C5044A" w:rsidP="00312E88">
            <w:pPr>
              <w:jc w:val="right"/>
              <w:rPr>
                <w:rFonts w:cs="Arial"/>
                <w:color w:val="000000"/>
                <w:sz w:val="16"/>
                <w:szCs w:val="16"/>
              </w:rPr>
            </w:pPr>
            <w:r w:rsidRPr="00F40671">
              <w:rPr>
                <w:rFonts w:cs="Arial"/>
                <w:color w:val="000000"/>
                <w:sz w:val="16"/>
                <w:szCs w:val="16"/>
              </w:rPr>
              <w:t>5,908</w:t>
            </w:r>
          </w:p>
        </w:tc>
        <w:tc>
          <w:tcPr>
            <w:tcW w:w="677" w:type="pct"/>
            <w:tcBorders>
              <w:top w:val="nil"/>
              <w:left w:val="dotted" w:sz="4" w:space="0" w:color="auto"/>
              <w:bottom w:val="nil"/>
              <w:right w:val="single" w:sz="4" w:space="0" w:color="auto"/>
            </w:tcBorders>
            <w:shd w:val="clear" w:color="auto" w:fill="auto"/>
            <w:noWrap/>
            <w:vAlign w:val="bottom"/>
            <w:hideMark/>
          </w:tcPr>
          <w:p w14:paraId="23E8843B" w14:textId="77777777" w:rsidR="00C5044A" w:rsidRPr="00F40671" w:rsidRDefault="00C5044A" w:rsidP="00312E88">
            <w:pPr>
              <w:jc w:val="right"/>
              <w:rPr>
                <w:rFonts w:cs="Arial"/>
                <w:color w:val="000000"/>
                <w:sz w:val="16"/>
                <w:szCs w:val="16"/>
              </w:rPr>
            </w:pPr>
            <w:r w:rsidRPr="00F40671">
              <w:rPr>
                <w:rFonts w:cs="Arial"/>
                <w:color w:val="000000"/>
                <w:sz w:val="16"/>
                <w:szCs w:val="16"/>
              </w:rPr>
              <w:t>8,090</w:t>
            </w:r>
          </w:p>
        </w:tc>
      </w:tr>
      <w:tr w:rsidR="00C5044A" w:rsidRPr="00F40671" w14:paraId="4E5E7FF9"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7E45A280" w14:textId="77777777" w:rsidR="00C5044A" w:rsidRPr="00F40671" w:rsidRDefault="00C5044A" w:rsidP="00312E88">
            <w:pPr>
              <w:rPr>
                <w:rFonts w:cs="Arial"/>
                <w:color w:val="000000"/>
                <w:sz w:val="16"/>
                <w:szCs w:val="16"/>
              </w:rPr>
            </w:pPr>
            <w:r w:rsidRPr="00F40671">
              <w:rPr>
                <w:rFonts w:cs="Arial"/>
                <w:color w:val="000000"/>
                <w:sz w:val="16"/>
                <w:szCs w:val="16"/>
              </w:rPr>
              <w:t>Young adults (15 to 24)</w:t>
            </w:r>
          </w:p>
        </w:tc>
        <w:tc>
          <w:tcPr>
            <w:tcW w:w="677" w:type="pct"/>
            <w:tcBorders>
              <w:top w:val="nil"/>
              <w:left w:val="single" w:sz="4" w:space="0" w:color="auto"/>
              <w:bottom w:val="nil"/>
              <w:right w:val="nil"/>
            </w:tcBorders>
            <w:shd w:val="clear" w:color="auto" w:fill="auto"/>
            <w:noWrap/>
            <w:vAlign w:val="bottom"/>
            <w:hideMark/>
          </w:tcPr>
          <w:p w14:paraId="5077F7EB" w14:textId="77777777" w:rsidR="00C5044A" w:rsidRPr="00F40671" w:rsidRDefault="00C5044A" w:rsidP="00312E88">
            <w:pPr>
              <w:jc w:val="right"/>
              <w:rPr>
                <w:rFonts w:cs="Arial"/>
                <w:color w:val="000000"/>
                <w:sz w:val="16"/>
                <w:szCs w:val="16"/>
              </w:rPr>
            </w:pPr>
            <w:r w:rsidRPr="00F40671">
              <w:rPr>
                <w:rFonts w:cs="Arial"/>
                <w:color w:val="000000"/>
                <w:sz w:val="16"/>
                <w:szCs w:val="16"/>
              </w:rPr>
              <w:t>4,281</w:t>
            </w:r>
          </w:p>
        </w:tc>
        <w:tc>
          <w:tcPr>
            <w:tcW w:w="677" w:type="pct"/>
            <w:tcBorders>
              <w:top w:val="nil"/>
              <w:left w:val="nil"/>
              <w:bottom w:val="nil"/>
              <w:right w:val="nil"/>
            </w:tcBorders>
            <w:shd w:val="clear" w:color="auto" w:fill="auto"/>
            <w:noWrap/>
            <w:vAlign w:val="bottom"/>
            <w:hideMark/>
          </w:tcPr>
          <w:p w14:paraId="256ED01C" w14:textId="77777777" w:rsidR="00C5044A" w:rsidRPr="00F40671" w:rsidRDefault="00C5044A" w:rsidP="00312E88">
            <w:pPr>
              <w:jc w:val="right"/>
              <w:rPr>
                <w:rFonts w:cs="Arial"/>
                <w:color w:val="000000"/>
                <w:sz w:val="16"/>
                <w:szCs w:val="16"/>
              </w:rPr>
            </w:pPr>
            <w:r w:rsidRPr="00F40671">
              <w:rPr>
                <w:rFonts w:cs="Arial"/>
                <w:color w:val="000000"/>
                <w:sz w:val="16"/>
                <w:szCs w:val="16"/>
              </w:rPr>
              <w:t>5,081</w:t>
            </w:r>
          </w:p>
        </w:tc>
        <w:tc>
          <w:tcPr>
            <w:tcW w:w="677" w:type="pct"/>
            <w:tcBorders>
              <w:top w:val="nil"/>
              <w:left w:val="nil"/>
              <w:bottom w:val="nil"/>
              <w:right w:val="nil"/>
            </w:tcBorders>
            <w:shd w:val="clear" w:color="auto" w:fill="auto"/>
            <w:noWrap/>
            <w:vAlign w:val="bottom"/>
            <w:hideMark/>
          </w:tcPr>
          <w:p w14:paraId="27327E91" w14:textId="77777777" w:rsidR="00C5044A" w:rsidRPr="00F40671" w:rsidRDefault="00C5044A" w:rsidP="00312E88">
            <w:pPr>
              <w:jc w:val="right"/>
              <w:rPr>
                <w:rFonts w:cs="Arial"/>
                <w:color w:val="000000"/>
                <w:sz w:val="16"/>
                <w:szCs w:val="16"/>
              </w:rPr>
            </w:pPr>
            <w:r w:rsidRPr="00F40671">
              <w:rPr>
                <w:rFonts w:cs="Arial"/>
                <w:color w:val="000000"/>
                <w:sz w:val="16"/>
                <w:szCs w:val="16"/>
              </w:rPr>
              <w:t>5,821</w:t>
            </w:r>
          </w:p>
        </w:tc>
        <w:tc>
          <w:tcPr>
            <w:tcW w:w="677" w:type="pct"/>
            <w:tcBorders>
              <w:top w:val="nil"/>
              <w:left w:val="nil"/>
              <w:bottom w:val="nil"/>
              <w:right w:val="nil"/>
            </w:tcBorders>
            <w:shd w:val="clear" w:color="auto" w:fill="auto"/>
            <w:noWrap/>
            <w:vAlign w:val="bottom"/>
            <w:hideMark/>
          </w:tcPr>
          <w:p w14:paraId="572E4396" w14:textId="77777777" w:rsidR="00C5044A" w:rsidRPr="00F40671" w:rsidRDefault="00C5044A" w:rsidP="00312E88">
            <w:pPr>
              <w:jc w:val="right"/>
              <w:rPr>
                <w:rFonts w:cs="Arial"/>
                <w:color w:val="000000"/>
                <w:sz w:val="16"/>
                <w:szCs w:val="16"/>
              </w:rPr>
            </w:pPr>
            <w:r w:rsidRPr="00F40671">
              <w:rPr>
                <w:rFonts w:cs="Arial"/>
                <w:color w:val="000000"/>
                <w:sz w:val="16"/>
                <w:szCs w:val="16"/>
              </w:rPr>
              <w:t>6,541</w:t>
            </w:r>
          </w:p>
        </w:tc>
        <w:tc>
          <w:tcPr>
            <w:tcW w:w="677" w:type="pct"/>
            <w:tcBorders>
              <w:top w:val="nil"/>
              <w:left w:val="dotted" w:sz="4" w:space="0" w:color="auto"/>
              <w:bottom w:val="nil"/>
              <w:right w:val="single" w:sz="4" w:space="0" w:color="auto"/>
            </w:tcBorders>
            <w:shd w:val="clear" w:color="auto" w:fill="auto"/>
            <w:noWrap/>
            <w:vAlign w:val="bottom"/>
            <w:hideMark/>
          </w:tcPr>
          <w:p w14:paraId="24E3B333" w14:textId="77777777" w:rsidR="00C5044A" w:rsidRPr="00F40671" w:rsidRDefault="00C5044A" w:rsidP="00312E88">
            <w:pPr>
              <w:jc w:val="right"/>
              <w:rPr>
                <w:rFonts w:cs="Arial"/>
                <w:color w:val="000000"/>
                <w:sz w:val="16"/>
                <w:szCs w:val="16"/>
              </w:rPr>
            </w:pPr>
            <w:r w:rsidRPr="00F40671">
              <w:rPr>
                <w:rFonts w:cs="Arial"/>
                <w:color w:val="000000"/>
                <w:sz w:val="16"/>
                <w:szCs w:val="16"/>
              </w:rPr>
              <w:t>10,980</w:t>
            </w:r>
          </w:p>
        </w:tc>
      </w:tr>
      <w:tr w:rsidR="00C5044A" w:rsidRPr="00F40671" w14:paraId="13763D79"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1A604222" w14:textId="77777777" w:rsidR="00C5044A" w:rsidRPr="00F40671" w:rsidRDefault="00C5044A" w:rsidP="00312E88">
            <w:pPr>
              <w:rPr>
                <w:rFonts w:cs="Arial"/>
                <w:color w:val="000000"/>
                <w:sz w:val="16"/>
                <w:szCs w:val="16"/>
              </w:rPr>
            </w:pPr>
            <w:r w:rsidRPr="00F40671">
              <w:rPr>
                <w:rFonts w:cs="Arial"/>
                <w:color w:val="000000"/>
                <w:sz w:val="16"/>
                <w:szCs w:val="16"/>
              </w:rPr>
              <w:t>Adults (25 to 64)</w:t>
            </w:r>
          </w:p>
        </w:tc>
        <w:tc>
          <w:tcPr>
            <w:tcW w:w="677" w:type="pct"/>
            <w:tcBorders>
              <w:top w:val="nil"/>
              <w:left w:val="single" w:sz="4" w:space="0" w:color="auto"/>
              <w:bottom w:val="nil"/>
              <w:right w:val="nil"/>
            </w:tcBorders>
            <w:shd w:val="clear" w:color="auto" w:fill="auto"/>
            <w:noWrap/>
            <w:vAlign w:val="bottom"/>
            <w:hideMark/>
          </w:tcPr>
          <w:p w14:paraId="79D5E18C" w14:textId="77777777" w:rsidR="00C5044A" w:rsidRPr="00F40671" w:rsidRDefault="00C5044A" w:rsidP="00312E88">
            <w:pPr>
              <w:jc w:val="right"/>
              <w:rPr>
                <w:rFonts w:cs="Arial"/>
                <w:color w:val="000000"/>
                <w:sz w:val="16"/>
                <w:szCs w:val="16"/>
              </w:rPr>
            </w:pPr>
            <w:r w:rsidRPr="00F40671">
              <w:rPr>
                <w:rFonts w:cs="Arial"/>
                <w:color w:val="000000"/>
                <w:sz w:val="16"/>
                <w:szCs w:val="16"/>
              </w:rPr>
              <w:t>17,674</w:t>
            </w:r>
          </w:p>
        </w:tc>
        <w:tc>
          <w:tcPr>
            <w:tcW w:w="677" w:type="pct"/>
            <w:tcBorders>
              <w:top w:val="nil"/>
              <w:left w:val="nil"/>
              <w:bottom w:val="nil"/>
              <w:right w:val="nil"/>
            </w:tcBorders>
            <w:shd w:val="clear" w:color="auto" w:fill="auto"/>
            <w:noWrap/>
            <w:vAlign w:val="bottom"/>
            <w:hideMark/>
          </w:tcPr>
          <w:p w14:paraId="1D3AB7D7" w14:textId="77777777" w:rsidR="00C5044A" w:rsidRPr="00F40671" w:rsidRDefault="00C5044A" w:rsidP="00312E88">
            <w:pPr>
              <w:jc w:val="right"/>
              <w:rPr>
                <w:rFonts w:cs="Arial"/>
                <w:color w:val="000000"/>
                <w:sz w:val="16"/>
                <w:szCs w:val="16"/>
              </w:rPr>
            </w:pPr>
            <w:r w:rsidRPr="00F40671">
              <w:rPr>
                <w:rFonts w:cs="Arial"/>
                <w:color w:val="000000"/>
                <w:sz w:val="16"/>
                <w:szCs w:val="16"/>
              </w:rPr>
              <w:t>20,254</w:t>
            </w:r>
          </w:p>
        </w:tc>
        <w:tc>
          <w:tcPr>
            <w:tcW w:w="677" w:type="pct"/>
            <w:tcBorders>
              <w:top w:val="nil"/>
              <w:left w:val="nil"/>
              <w:bottom w:val="nil"/>
              <w:right w:val="nil"/>
            </w:tcBorders>
            <w:shd w:val="clear" w:color="auto" w:fill="auto"/>
            <w:noWrap/>
            <w:vAlign w:val="bottom"/>
            <w:hideMark/>
          </w:tcPr>
          <w:p w14:paraId="70AB6FDF" w14:textId="77777777" w:rsidR="00C5044A" w:rsidRPr="00F40671" w:rsidRDefault="00C5044A" w:rsidP="00312E88">
            <w:pPr>
              <w:jc w:val="right"/>
              <w:rPr>
                <w:rFonts w:cs="Arial"/>
                <w:color w:val="000000"/>
                <w:sz w:val="16"/>
                <w:szCs w:val="16"/>
              </w:rPr>
            </w:pPr>
            <w:r w:rsidRPr="00F40671">
              <w:rPr>
                <w:rFonts w:cs="Arial"/>
                <w:color w:val="000000"/>
                <w:sz w:val="16"/>
                <w:szCs w:val="16"/>
              </w:rPr>
              <w:t>22,416</w:t>
            </w:r>
          </w:p>
        </w:tc>
        <w:tc>
          <w:tcPr>
            <w:tcW w:w="677" w:type="pct"/>
            <w:tcBorders>
              <w:top w:val="nil"/>
              <w:left w:val="nil"/>
              <w:bottom w:val="nil"/>
              <w:right w:val="nil"/>
            </w:tcBorders>
            <w:shd w:val="clear" w:color="auto" w:fill="auto"/>
            <w:noWrap/>
            <w:vAlign w:val="bottom"/>
            <w:hideMark/>
          </w:tcPr>
          <w:p w14:paraId="7BEFA3C3" w14:textId="77777777" w:rsidR="00C5044A" w:rsidRPr="00F40671" w:rsidRDefault="00C5044A" w:rsidP="00312E88">
            <w:pPr>
              <w:jc w:val="right"/>
              <w:rPr>
                <w:rFonts w:cs="Arial"/>
                <w:color w:val="000000"/>
                <w:sz w:val="16"/>
                <w:szCs w:val="16"/>
              </w:rPr>
            </w:pPr>
            <w:r w:rsidRPr="00F40671">
              <w:rPr>
                <w:rFonts w:cs="Arial"/>
                <w:color w:val="000000"/>
                <w:sz w:val="16"/>
                <w:szCs w:val="16"/>
              </w:rPr>
              <w:t>24,256</w:t>
            </w:r>
          </w:p>
        </w:tc>
        <w:tc>
          <w:tcPr>
            <w:tcW w:w="677" w:type="pct"/>
            <w:tcBorders>
              <w:top w:val="nil"/>
              <w:left w:val="dotted" w:sz="4" w:space="0" w:color="auto"/>
              <w:bottom w:val="nil"/>
              <w:right w:val="single" w:sz="4" w:space="0" w:color="auto"/>
            </w:tcBorders>
            <w:shd w:val="clear" w:color="auto" w:fill="auto"/>
            <w:noWrap/>
            <w:vAlign w:val="bottom"/>
            <w:hideMark/>
          </w:tcPr>
          <w:p w14:paraId="336A6375" w14:textId="77777777" w:rsidR="00C5044A" w:rsidRPr="00F40671" w:rsidRDefault="00C5044A" w:rsidP="00312E88">
            <w:pPr>
              <w:jc w:val="right"/>
              <w:rPr>
                <w:rFonts w:cs="Arial"/>
                <w:color w:val="000000"/>
                <w:sz w:val="16"/>
                <w:szCs w:val="16"/>
              </w:rPr>
            </w:pPr>
            <w:r w:rsidRPr="00F40671">
              <w:rPr>
                <w:rFonts w:cs="Arial"/>
                <w:color w:val="000000"/>
                <w:sz w:val="16"/>
                <w:szCs w:val="16"/>
              </w:rPr>
              <w:t>33,708</w:t>
            </w:r>
          </w:p>
        </w:tc>
      </w:tr>
      <w:tr w:rsidR="00C5044A" w:rsidRPr="00F40671" w14:paraId="2970623B"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3A2106C0" w14:textId="77777777" w:rsidR="00C5044A" w:rsidRPr="00F40671" w:rsidRDefault="00C5044A" w:rsidP="00312E88">
            <w:pPr>
              <w:rPr>
                <w:rFonts w:cs="Arial"/>
                <w:color w:val="000000"/>
                <w:sz w:val="16"/>
                <w:szCs w:val="16"/>
              </w:rPr>
            </w:pPr>
            <w:r w:rsidRPr="00F40671">
              <w:rPr>
                <w:rFonts w:cs="Arial"/>
                <w:color w:val="000000"/>
                <w:sz w:val="16"/>
                <w:szCs w:val="16"/>
              </w:rPr>
              <w:t>Older adults (65+)</w:t>
            </w:r>
          </w:p>
        </w:tc>
        <w:tc>
          <w:tcPr>
            <w:tcW w:w="677" w:type="pct"/>
            <w:tcBorders>
              <w:top w:val="nil"/>
              <w:left w:val="single" w:sz="4" w:space="0" w:color="auto"/>
              <w:bottom w:val="nil"/>
              <w:right w:val="nil"/>
            </w:tcBorders>
            <w:shd w:val="clear" w:color="auto" w:fill="auto"/>
            <w:noWrap/>
            <w:vAlign w:val="bottom"/>
            <w:hideMark/>
          </w:tcPr>
          <w:p w14:paraId="200CCBA5" w14:textId="77777777" w:rsidR="00C5044A" w:rsidRPr="00F40671" w:rsidRDefault="00C5044A" w:rsidP="00312E88">
            <w:pPr>
              <w:jc w:val="right"/>
              <w:rPr>
                <w:rFonts w:cs="Arial"/>
                <w:color w:val="000000"/>
                <w:sz w:val="16"/>
                <w:szCs w:val="16"/>
              </w:rPr>
            </w:pPr>
            <w:r w:rsidRPr="00F40671">
              <w:rPr>
                <w:rFonts w:cs="Arial"/>
                <w:color w:val="000000"/>
                <w:sz w:val="16"/>
                <w:szCs w:val="16"/>
              </w:rPr>
              <w:t>1,783</w:t>
            </w:r>
          </w:p>
        </w:tc>
        <w:tc>
          <w:tcPr>
            <w:tcW w:w="677" w:type="pct"/>
            <w:tcBorders>
              <w:top w:val="nil"/>
              <w:left w:val="nil"/>
              <w:bottom w:val="nil"/>
              <w:right w:val="nil"/>
            </w:tcBorders>
            <w:shd w:val="clear" w:color="auto" w:fill="auto"/>
            <w:noWrap/>
            <w:vAlign w:val="bottom"/>
            <w:hideMark/>
          </w:tcPr>
          <w:p w14:paraId="25ED2EE4" w14:textId="77777777" w:rsidR="00C5044A" w:rsidRPr="00F40671" w:rsidRDefault="00C5044A" w:rsidP="00312E88">
            <w:pPr>
              <w:jc w:val="right"/>
              <w:rPr>
                <w:rFonts w:cs="Arial"/>
                <w:color w:val="000000"/>
                <w:sz w:val="16"/>
                <w:szCs w:val="16"/>
              </w:rPr>
            </w:pPr>
            <w:r w:rsidRPr="00F40671">
              <w:rPr>
                <w:rFonts w:cs="Arial"/>
                <w:color w:val="000000"/>
                <w:sz w:val="16"/>
                <w:szCs w:val="16"/>
              </w:rPr>
              <w:t>2,387</w:t>
            </w:r>
          </w:p>
        </w:tc>
        <w:tc>
          <w:tcPr>
            <w:tcW w:w="677" w:type="pct"/>
            <w:tcBorders>
              <w:top w:val="nil"/>
              <w:left w:val="nil"/>
              <w:bottom w:val="nil"/>
              <w:right w:val="nil"/>
            </w:tcBorders>
            <w:shd w:val="clear" w:color="auto" w:fill="auto"/>
            <w:noWrap/>
            <w:vAlign w:val="bottom"/>
            <w:hideMark/>
          </w:tcPr>
          <w:p w14:paraId="172CB247" w14:textId="77777777" w:rsidR="00C5044A" w:rsidRPr="00F40671" w:rsidRDefault="00C5044A" w:rsidP="00312E88">
            <w:pPr>
              <w:jc w:val="right"/>
              <w:rPr>
                <w:rFonts w:cs="Arial"/>
                <w:color w:val="000000"/>
                <w:sz w:val="16"/>
                <w:szCs w:val="16"/>
              </w:rPr>
            </w:pPr>
            <w:r w:rsidRPr="00F40671">
              <w:rPr>
                <w:rFonts w:cs="Arial"/>
                <w:color w:val="000000"/>
                <w:sz w:val="16"/>
                <w:szCs w:val="16"/>
              </w:rPr>
              <w:t>3,025</w:t>
            </w:r>
          </w:p>
        </w:tc>
        <w:tc>
          <w:tcPr>
            <w:tcW w:w="677" w:type="pct"/>
            <w:tcBorders>
              <w:top w:val="nil"/>
              <w:left w:val="nil"/>
              <w:bottom w:val="single" w:sz="4" w:space="0" w:color="auto"/>
              <w:right w:val="nil"/>
            </w:tcBorders>
            <w:shd w:val="clear" w:color="auto" w:fill="auto"/>
            <w:noWrap/>
            <w:vAlign w:val="bottom"/>
            <w:hideMark/>
          </w:tcPr>
          <w:p w14:paraId="28C01247" w14:textId="77777777" w:rsidR="00C5044A" w:rsidRPr="00F40671" w:rsidRDefault="00C5044A" w:rsidP="00312E88">
            <w:pPr>
              <w:jc w:val="right"/>
              <w:rPr>
                <w:rFonts w:cs="Arial"/>
                <w:color w:val="000000"/>
                <w:sz w:val="16"/>
                <w:szCs w:val="16"/>
              </w:rPr>
            </w:pPr>
            <w:r w:rsidRPr="00F40671">
              <w:rPr>
                <w:rFonts w:cs="Arial"/>
                <w:color w:val="000000"/>
                <w:sz w:val="16"/>
                <w:szCs w:val="16"/>
              </w:rPr>
              <w:t>3,680</w:t>
            </w:r>
          </w:p>
        </w:tc>
        <w:tc>
          <w:tcPr>
            <w:tcW w:w="677" w:type="pct"/>
            <w:tcBorders>
              <w:top w:val="nil"/>
              <w:left w:val="dotted" w:sz="4" w:space="0" w:color="auto"/>
              <w:bottom w:val="nil"/>
              <w:right w:val="single" w:sz="4" w:space="0" w:color="auto"/>
            </w:tcBorders>
            <w:shd w:val="clear" w:color="auto" w:fill="auto"/>
            <w:noWrap/>
            <w:vAlign w:val="bottom"/>
            <w:hideMark/>
          </w:tcPr>
          <w:p w14:paraId="6B8A0861" w14:textId="77777777" w:rsidR="00C5044A" w:rsidRPr="00F40671" w:rsidRDefault="00C5044A" w:rsidP="00312E88">
            <w:pPr>
              <w:jc w:val="right"/>
              <w:rPr>
                <w:rFonts w:cs="Arial"/>
                <w:color w:val="000000"/>
                <w:sz w:val="16"/>
                <w:szCs w:val="16"/>
              </w:rPr>
            </w:pPr>
            <w:r w:rsidRPr="00F40671">
              <w:rPr>
                <w:rFonts w:cs="Arial"/>
                <w:color w:val="000000"/>
                <w:sz w:val="16"/>
                <w:szCs w:val="16"/>
              </w:rPr>
              <w:t>7,140</w:t>
            </w:r>
          </w:p>
        </w:tc>
      </w:tr>
      <w:tr w:rsidR="00C5044A" w:rsidRPr="00F40671" w14:paraId="3F401B28" w14:textId="77777777" w:rsidTr="00C5044A">
        <w:trPr>
          <w:trHeight w:hRule="exact" w:val="284"/>
        </w:trPr>
        <w:tc>
          <w:tcPr>
            <w:tcW w:w="1613" w:type="pct"/>
            <w:tcBorders>
              <w:top w:val="single" w:sz="4" w:space="0" w:color="auto"/>
              <w:left w:val="single" w:sz="4" w:space="0" w:color="auto"/>
              <w:bottom w:val="single" w:sz="4" w:space="0" w:color="auto"/>
              <w:right w:val="nil"/>
            </w:tcBorders>
            <w:shd w:val="clear" w:color="auto" w:fill="auto"/>
            <w:noWrap/>
            <w:vAlign w:val="bottom"/>
            <w:hideMark/>
          </w:tcPr>
          <w:p w14:paraId="577547FA" w14:textId="77777777" w:rsidR="00C5044A" w:rsidRPr="00F40671" w:rsidRDefault="00C5044A" w:rsidP="00312E88">
            <w:pPr>
              <w:rPr>
                <w:rFonts w:cs="Arial"/>
                <w:b/>
                <w:bCs/>
                <w:color w:val="000000"/>
                <w:sz w:val="16"/>
                <w:szCs w:val="16"/>
              </w:rPr>
            </w:pPr>
            <w:r w:rsidRPr="00F40671">
              <w:rPr>
                <w:rFonts w:cs="Arial"/>
                <w:b/>
                <w:bCs/>
                <w:color w:val="000000"/>
                <w:sz w:val="16"/>
                <w:szCs w:val="16"/>
              </w:rPr>
              <w:t>Total</w:t>
            </w:r>
          </w:p>
        </w:tc>
        <w:tc>
          <w:tcPr>
            <w:tcW w:w="677" w:type="pct"/>
            <w:tcBorders>
              <w:top w:val="single" w:sz="4" w:space="0" w:color="auto"/>
              <w:left w:val="single" w:sz="4" w:space="0" w:color="auto"/>
              <w:bottom w:val="single" w:sz="4" w:space="0" w:color="auto"/>
              <w:right w:val="nil"/>
            </w:tcBorders>
            <w:shd w:val="clear" w:color="auto" w:fill="auto"/>
            <w:noWrap/>
            <w:vAlign w:val="bottom"/>
            <w:hideMark/>
          </w:tcPr>
          <w:p w14:paraId="495713CB"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27,699</w:t>
            </w:r>
          </w:p>
        </w:tc>
        <w:tc>
          <w:tcPr>
            <w:tcW w:w="677" w:type="pct"/>
            <w:tcBorders>
              <w:top w:val="single" w:sz="4" w:space="0" w:color="auto"/>
              <w:left w:val="nil"/>
              <w:bottom w:val="single" w:sz="4" w:space="0" w:color="auto"/>
              <w:right w:val="nil"/>
            </w:tcBorders>
            <w:shd w:val="clear" w:color="auto" w:fill="auto"/>
            <w:noWrap/>
            <w:vAlign w:val="bottom"/>
            <w:hideMark/>
          </w:tcPr>
          <w:p w14:paraId="2C9F21A6"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32,436</w:t>
            </w:r>
          </w:p>
        </w:tc>
        <w:tc>
          <w:tcPr>
            <w:tcW w:w="677" w:type="pct"/>
            <w:tcBorders>
              <w:top w:val="single" w:sz="4" w:space="0" w:color="auto"/>
              <w:left w:val="nil"/>
              <w:bottom w:val="single" w:sz="4" w:space="0" w:color="auto"/>
              <w:right w:val="nil"/>
            </w:tcBorders>
            <w:shd w:val="clear" w:color="auto" w:fill="auto"/>
            <w:noWrap/>
            <w:vAlign w:val="bottom"/>
            <w:hideMark/>
          </w:tcPr>
          <w:p w14:paraId="6FDA9B0B"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36,622</w:t>
            </w:r>
          </w:p>
        </w:tc>
        <w:tc>
          <w:tcPr>
            <w:tcW w:w="677" w:type="pct"/>
            <w:tcBorders>
              <w:top w:val="nil"/>
              <w:left w:val="nil"/>
              <w:bottom w:val="single" w:sz="4" w:space="0" w:color="auto"/>
              <w:right w:val="nil"/>
            </w:tcBorders>
            <w:shd w:val="clear" w:color="auto" w:fill="auto"/>
            <w:noWrap/>
            <w:vAlign w:val="bottom"/>
            <w:hideMark/>
          </w:tcPr>
          <w:p w14:paraId="307AE89D"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40,385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A8CFF"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59,918</w:t>
            </w:r>
          </w:p>
        </w:tc>
      </w:tr>
      <w:tr w:rsidR="00C5044A" w:rsidRPr="00F40671" w14:paraId="2C778CD1" w14:textId="77777777" w:rsidTr="00C5044A">
        <w:trPr>
          <w:trHeight w:hRule="exact" w:val="284"/>
        </w:trPr>
        <w:tc>
          <w:tcPr>
            <w:tcW w:w="1613" w:type="pct"/>
            <w:tcBorders>
              <w:top w:val="nil"/>
              <w:left w:val="single" w:sz="4" w:space="0" w:color="auto"/>
              <w:bottom w:val="single" w:sz="4" w:space="0" w:color="auto"/>
              <w:right w:val="nil"/>
            </w:tcBorders>
            <w:shd w:val="clear" w:color="000000" w:fill="F7EEF7"/>
            <w:noWrap/>
            <w:vAlign w:val="bottom"/>
            <w:hideMark/>
          </w:tcPr>
          <w:p w14:paraId="195EA593" w14:textId="77777777" w:rsidR="00C5044A" w:rsidRPr="00F40671" w:rsidRDefault="00C5044A" w:rsidP="00312E88">
            <w:pPr>
              <w:rPr>
                <w:rFonts w:cs="Arial"/>
                <w:b/>
                <w:bCs/>
                <w:color w:val="000000"/>
                <w:sz w:val="16"/>
                <w:szCs w:val="16"/>
              </w:rPr>
            </w:pPr>
            <w:r w:rsidRPr="00F40671">
              <w:rPr>
                <w:rFonts w:cs="Arial"/>
                <w:b/>
                <w:bCs/>
                <w:color w:val="000000"/>
                <w:sz w:val="16"/>
                <w:szCs w:val="16"/>
              </w:rPr>
              <w:t>Difference</w:t>
            </w:r>
          </w:p>
        </w:tc>
        <w:tc>
          <w:tcPr>
            <w:tcW w:w="677" w:type="pct"/>
            <w:tcBorders>
              <w:top w:val="nil"/>
              <w:left w:val="nil"/>
              <w:bottom w:val="single" w:sz="4" w:space="0" w:color="auto"/>
              <w:right w:val="nil"/>
            </w:tcBorders>
            <w:shd w:val="clear" w:color="000000" w:fill="F7EEF7"/>
            <w:noWrap/>
            <w:vAlign w:val="bottom"/>
            <w:hideMark/>
          </w:tcPr>
          <w:p w14:paraId="5F02BC49"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06FE2C17"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5FEE3396"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503DFB66"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single" w:sz="4" w:space="0" w:color="auto"/>
            </w:tcBorders>
            <w:shd w:val="clear" w:color="000000" w:fill="F7EEF7"/>
            <w:noWrap/>
            <w:vAlign w:val="bottom"/>
            <w:hideMark/>
          </w:tcPr>
          <w:p w14:paraId="74E26632"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r>
      <w:tr w:rsidR="00C5044A" w:rsidRPr="00F40671" w14:paraId="61A162FD"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01620320" w14:textId="77777777" w:rsidR="00C5044A" w:rsidRPr="00F40671" w:rsidRDefault="00C5044A" w:rsidP="00312E88">
            <w:pPr>
              <w:rPr>
                <w:rFonts w:cs="Arial"/>
                <w:color w:val="000000"/>
                <w:sz w:val="16"/>
                <w:szCs w:val="16"/>
              </w:rPr>
            </w:pPr>
            <w:r w:rsidRPr="00F40671">
              <w:rPr>
                <w:rFonts w:cs="Arial"/>
                <w:color w:val="000000"/>
                <w:sz w:val="16"/>
                <w:szCs w:val="16"/>
              </w:rPr>
              <w:t>Children (0 to 14)</w:t>
            </w:r>
          </w:p>
        </w:tc>
        <w:tc>
          <w:tcPr>
            <w:tcW w:w="677" w:type="pct"/>
            <w:tcBorders>
              <w:top w:val="nil"/>
              <w:left w:val="single" w:sz="4" w:space="0" w:color="auto"/>
              <w:bottom w:val="nil"/>
              <w:right w:val="nil"/>
            </w:tcBorders>
            <w:shd w:val="clear" w:color="auto" w:fill="auto"/>
            <w:noWrap/>
            <w:vAlign w:val="bottom"/>
            <w:hideMark/>
          </w:tcPr>
          <w:p w14:paraId="281E83E5" w14:textId="77777777" w:rsidR="00C5044A" w:rsidRPr="00F40671" w:rsidRDefault="00C5044A" w:rsidP="00312E88">
            <w:pPr>
              <w:jc w:val="right"/>
              <w:rPr>
                <w:rFonts w:cs="Arial"/>
                <w:color w:val="000000"/>
                <w:sz w:val="16"/>
                <w:szCs w:val="16"/>
              </w:rPr>
            </w:pPr>
            <w:r w:rsidRPr="00F40671">
              <w:rPr>
                <w:rFonts w:cs="Arial"/>
                <w:color w:val="000000"/>
                <w:sz w:val="16"/>
                <w:szCs w:val="16"/>
              </w:rPr>
              <w:t>356</w:t>
            </w:r>
          </w:p>
        </w:tc>
        <w:tc>
          <w:tcPr>
            <w:tcW w:w="677" w:type="pct"/>
            <w:tcBorders>
              <w:top w:val="nil"/>
              <w:left w:val="nil"/>
              <w:bottom w:val="nil"/>
              <w:right w:val="nil"/>
            </w:tcBorders>
            <w:shd w:val="clear" w:color="auto" w:fill="auto"/>
            <w:noWrap/>
            <w:vAlign w:val="bottom"/>
            <w:hideMark/>
          </w:tcPr>
          <w:p w14:paraId="35B6B48C" w14:textId="77777777" w:rsidR="00C5044A" w:rsidRPr="00F40671" w:rsidRDefault="00C5044A" w:rsidP="00312E88">
            <w:pPr>
              <w:jc w:val="right"/>
              <w:rPr>
                <w:rFonts w:cs="Arial"/>
                <w:color w:val="000000"/>
                <w:sz w:val="16"/>
                <w:szCs w:val="16"/>
              </w:rPr>
            </w:pPr>
            <w:r w:rsidRPr="00F40671">
              <w:rPr>
                <w:rFonts w:cs="Arial"/>
                <w:color w:val="000000"/>
                <w:sz w:val="16"/>
                <w:szCs w:val="16"/>
              </w:rPr>
              <w:t>428</w:t>
            </w:r>
          </w:p>
        </w:tc>
        <w:tc>
          <w:tcPr>
            <w:tcW w:w="677" w:type="pct"/>
            <w:tcBorders>
              <w:top w:val="nil"/>
              <w:left w:val="nil"/>
              <w:bottom w:val="nil"/>
              <w:right w:val="nil"/>
            </w:tcBorders>
            <w:shd w:val="clear" w:color="auto" w:fill="auto"/>
            <w:noWrap/>
            <w:vAlign w:val="bottom"/>
            <w:hideMark/>
          </w:tcPr>
          <w:p w14:paraId="3D39215C" w14:textId="77777777" w:rsidR="00C5044A" w:rsidRPr="00F40671" w:rsidRDefault="00C5044A" w:rsidP="00312E88">
            <w:pPr>
              <w:jc w:val="right"/>
              <w:rPr>
                <w:rFonts w:cs="Arial"/>
                <w:color w:val="000000"/>
                <w:sz w:val="16"/>
                <w:szCs w:val="16"/>
              </w:rPr>
            </w:pPr>
            <w:r w:rsidRPr="00F40671">
              <w:rPr>
                <w:rFonts w:cs="Arial"/>
                <w:color w:val="000000"/>
                <w:sz w:val="16"/>
                <w:szCs w:val="16"/>
              </w:rPr>
              <w:t>491</w:t>
            </w:r>
          </w:p>
        </w:tc>
        <w:tc>
          <w:tcPr>
            <w:tcW w:w="677" w:type="pct"/>
            <w:tcBorders>
              <w:top w:val="dotted" w:sz="4" w:space="0" w:color="auto"/>
              <w:left w:val="nil"/>
              <w:bottom w:val="nil"/>
              <w:right w:val="nil"/>
            </w:tcBorders>
            <w:shd w:val="clear" w:color="auto" w:fill="auto"/>
            <w:noWrap/>
            <w:vAlign w:val="bottom"/>
            <w:hideMark/>
          </w:tcPr>
          <w:p w14:paraId="53C194F2" w14:textId="77777777" w:rsidR="00C5044A" w:rsidRPr="00F40671" w:rsidRDefault="00C5044A" w:rsidP="00312E88">
            <w:pPr>
              <w:jc w:val="right"/>
              <w:rPr>
                <w:rFonts w:cs="Arial"/>
                <w:color w:val="000000"/>
                <w:sz w:val="16"/>
                <w:szCs w:val="16"/>
              </w:rPr>
            </w:pPr>
            <w:r w:rsidRPr="00F40671">
              <w:rPr>
                <w:rFonts w:cs="Arial"/>
                <w:color w:val="000000"/>
                <w:sz w:val="16"/>
                <w:szCs w:val="16"/>
              </w:rPr>
              <w:t>465</w:t>
            </w:r>
          </w:p>
        </w:tc>
        <w:tc>
          <w:tcPr>
            <w:tcW w:w="677" w:type="pct"/>
            <w:tcBorders>
              <w:top w:val="nil"/>
              <w:left w:val="dotted" w:sz="4" w:space="0" w:color="auto"/>
              <w:bottom w:val="nil"/>
              <w:right w:val="single" w:sz="4" w:space="0" w:color="auto"/>
            </w:tcBorders>
            <w:shd w:val="clear" w:color="auto" w:fill="auto"/>
            <w:noWrap/>
            <w:vAlign w:val="bottom"/>
            <w:hideMark/>
          </w:tcPr>
          <w:p w14:paraId="447BEF8A" w14:textId="77777777" w:rsidR="00C5044A" w:rsidRPr="00F40671" w:rsidRDefault="00C5044A" w:rsidP="00312E88">
            <w:pPr>
              <w:jc w:val="right"/>
              <w:rPr>
                <w:rFonts w:cs="Arial"/>
                <w:color w:val="000000"/>
                <w:sz w:val="16"/>
                <w:szCs w:val="16"/>
              </w:rPr>
            </w:pPr>
            <w:r w:rsidRPr="00F40671">
              <w:rPr>
                <w:rFonts w:cs="Arial"/>
                <w:color w:val="000000"/>
                <w:sz w:val="16"/>
                <w:szCs w:val="16"/>
              </w:rPr>
              <w:t>93</w:t>
            </w:r>
          </w:p>
        </w:tc>
      </w:tr>
      <w:tr w:rsidR="00C5044A" w:rsidRPr="00F40671" w14:paraId="679911CE"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075F664B" w14:textId="77777777" w:rsidR="00C5044A" w:rsidRPr="00F40671" w:rsidRDefault="00C5044A" w:rsidP="00312E88">
            <w:pPr>
              <w:rPr>
                <w:rFonts w:cs="Arial"/>
                <w:color w:val="000000"/>
                <w:sz w:val="16"/>
                <w:szCs w:val="16"/>
              </w:rPr>
            </w:pPr>
            <w:r w:rsidRPr="00F40671">
              <w:rPr>
                <w:rFonts w:cs="Arial"/>
                <w:color w:val="000000"/>
                <w:sz w:val="16"/>
                <w:szCs w:val="16"/>
              </w:rPr>
              <w:t>Young adults (15 to 24)</w:t>
            </w:r>
          </w:p>
        </w:tc>
        <w:tc>
          <w:tcPr>
            <w:tcW w:w="677" w:type="pct"/>
            <w:tcBorders>
              <w:top w:val="nil"/>
              <w:left w:val="single" w:sz="4" w:space="0" w:color="auto"/>
              <w:bottom w:val="nil"/>
              <w:right w:val="nil"/>
            </w:tcBorders>
            <w:shd w:val="clear" w:color="auto" w:fill="auto"/>
            <w:noWrap/>
            <w:vAlign w:val="bottom"/>
            <w:hideMark/>
          </w:tcPr>
          <w:p w14:paraId="71E411AD" w14:textId="77777777" w:rsidR="00C5044A" w:rsidRPr="00F40671" w:rsidRDefault="00C5044A" w:rsidP="00312E88">
            <w:pPr>
              <w:jc w:val="right"/>
              <w:rPr>
                <w:rFonts w:cs="Arial"/>
                <w:color w:val="000000"/>
                <w:sz w:val="16"/>
                <w:szCs w:val="16"/>
              </w:rPr>
            </w:pPr>
            <w:r w:rsidRPr="00F40671">
              <w:rPr>
                <w:rFonts w:cs="Arial"/>
                <w:color w:val="000000"/>
                <w:sz w:val="16"/>
                <w:szCs w:val="16"/>
              </w:rPr>
              <w:t>434</w:t>
            </w:r>
          </w:p>
        </w:tc>
        <w:tc>
          <w:tcPr>
            <w:tcW w:w="677" w:type="pct"/>
            <w:tcBorders>
              <w:top w:val="nil"/>
              <w:left w:val="nil"/>
              <w:bottom w:val="nil"/>
              <w:right w:val="nil"/>
            </w:tcBorders>
            <w:shd w:val="clear" w:color="auto" w:fill="auto"/>
            <w:noWrap/>
            <w:vAlign w:val="bottom"/>
            <w:hideMark/>
          </w:tcPr>
          <w:p w14:paraId="55871029" w14:textId="77777777" w:rsidR="00C5044A" w:rsidRPr="00F40671" w:rsidRDefault="00C5044A" w:rsidP="00312E88">
            <w:pPr>
              <w:jc w:val="right"/>
              <w:rPr>
                <w:rFonts w:cs="Arial"/>
                <w:color w:val="000000"/>
                <w:sz w:val="16"/>
                <w:szCs w:val="16"/>
              </w:rPr>
            </w:pPr>
            <w:r w:rsidRPr="00F40671">
              <w:rPr>
                <w:rFonts w:cs="Arial"/>
                <w:color w:val="000000"/>
                <w:sz w:val="16"/>
                <w:szCs w:val="16"/>
              </w:rPr>
              <w:t>529</w:t>
            </w:r>
          </w:p>
        </w:tc>
        <w:tc>
          <w:tcPr>
            <w:tcW w:w="677" w:type="pct"/>
            <w:tcBorders>
              <w:top w:val="nil"/>
              <w:left w:val="nil"/>
              <w:bottom w:val="nil"/>
              <w:right w:val="nil"/>
            </w:tcBorders>
            <w:shd w:val="clear" w:color="auto" w:fill="auto"/>
            <w:noWrap/>
            <w:vAlign w:val="bottom"/>
            <w:hideMark/>
          </w:tcPr>
          <w:p w14:paraId="3983C78B" w14:textId="77777777" w:rsidR="00C5044A" w:rsidRPr="00F40671" w:rsidRDefault="00C5044A" w:rsidP="00312E88">
            <w:pPr>
              <w:jc w:val="right"/>
              <w:rPr>
                <w:rFonts w:cs="Arial"/>
                <w:color w:val="000000"/>
                <w:sz w:val="16"/>
                <w:szCs w:val="16"/>
              </w:rPr>
            </w:pPr>
            <w:r w:rsidRPr="00F40671">
              <w:rPr>
                <w:rFonts w:cs="Arial"/>
                <w:color w:val="000000"/>
                <w:sz w:val="16"/>
                <w:szCs w:val="16"/>
              </w:rPr>
              <w:t>605</w:t>
            </w:r>
          </w:p>
        </w:tc>
        <w:tc>
          <w:tcPr>
            <w:tcW w:w="677" w:type="pct"/>
            <w:tcBorders>
              <w:top w:val="nil"/>
              <w:left w:val="nil"/>
              <w:bottom w:val="nil"/>
              <w:right w:val="nil"/>
            </w:tcBorders>
            <w:shd w:val="clear" w:color="auto" w:fill="auto"/>
            <w:noWrap/>
            <w:vAlign w:val="bottom"/>
            <w:hideMark/>
          </w:tcPr>
          <w:p w14:paraId="0F8AE063" w14:textId="77777777" w:rsidR="00C5044A" w:rsidRPr="00F40671" w:rsidRDefault="00C5044A" w:rsidP="00312E88">
            <w:pPr>
              <w:jc w:val="right"/>
              <w:rPr>
                <w:rFonts w:cs="Arial"/>
                <w:color w:val="000000"/>
                <w:sz w:val="16"/>
                <w:szCs w:val="16"/>
              </w:rPr>
            </w:pPr>
            <w:r w:rsidRPr="00F40671">
              <w:rPr>
                <w:rFonts w:cs="Arial"/>
                <w:color w:val="000000"/>
                <w:sz w:val="16"/>
                <w:szCs w:val="16"/>
              </w:rPr>
              <w:t>623</w:t>
            </w:r>
          </w:p>
        </w:tc>
        <w:tc>
          <w:tcPr>
            <w:tcW w:w="677" w:type="pct"/>
            <w:tcBorders>
              <w:top w:val="nil"/>
              <w:left w:val="dotted" w:sz="4" w:space="0" w:color="auto"/>
              <w:bottom w:val="nil"/>
              <w:right w:val="single" w:sz="4" w:space="0" w:color="auto"/>
            </w:tcBorders>
            <w:shd w:val="clear" w:color="auto" w:fill="auto"/>
            <w:noWrap/>
            <w:vAlign w:val="bottom"/>
            <w:hideMark/>
          </w:tcPr>
          <w:p w14:paraId="5DCEF4FA" w14:textId="77777777" w:rsidR="00C5044A" w:rsidRPr="00F40671" w:rsidRDefault="00C5044A" w:rsidP="00312E88">
            <w:pPr>
              <w:jc w:val="right"/>
              <w:rPr>
                <w:rFonts w:cs="Arial"/>
                <w:color w:val="000000"/>
                <w:sz w:val="16"/>
                <w:szCs w:val="16"/>
              </w:rPr>
            </w:pPr>
            <w:r w:rsidRPr="00F40671">
              <w:rPr>
                <w:rFonts w:cs="Arial"/>
                <w:color w:val="000000"/>
                <w:sz w:val="16"/>
                <w:szCs w:val="16"/>
              </w:rPr>
              <w:t>781</w:t>
            </w:r>
          </w:p>
        </w:tc>
      </w:tr>
      <w:tr w:rsidR="00C5044A" w:rsidRPr="00F40671" w14:paraId="64EB8B41"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764CF6C1" w14:textId="77777777" w:rsidR="00C5044A" w:rsidRPr="00F40671" w:rsidRDefault="00C5044A" w:rsidP="00312E88">
            <w:pPr>
              <w:rPr>
                <w:rFonts w:cs="Arial"/>
                <w:color w:val="000000"/>
                <w:sz w:val="16"/>
                <w:szCs w:val="16"/>
              </w:rPr>
            </w:pPr>
            <w:r w:rsidRPr="00F40671">
              <w:rPr>
                <w:rFonts w:cs="Arial"/>
                <w:color w:val="000000"/>
                <w:sz w:val="16"/>
                <w:szCs w:val="16"/>
              </w:rPr>
              <w:t>Adults (25 to 64)</w:t>
            </w:r>
          </w:p>
        </w:tc>
        <w:tc>
          <w:tcPr>
            <w:tcW w:w="677" w:type="pct"/>
            <w:tcBorders>
              <w:top w:val="nil"/>
              <w:left w:val="single" w:sz="4" w:space="0" w:color="auto"/>
              <w:bottom w:val="nil"/>
              <w:right w:val="nil"/>
            </w:tcBorders>
            <w:shd w:val="clear" w:color="auto" w:fill="auto"/>
            <w:noWrap/>
            <w:vAlign w:val="bottom"/>
            <w:hideMark/>
          </w:tcPr>
          <w:p w14:paraId="01A3520A" w14:textId="77777777" w:rsidR="00C5044A" w:rsidRPr="00F40671" w:rsidRDefault="00C5044A" w:rsidP="00312E88">
            <w:pPr>
              <w:jc w:val="right"/>
              <w:rPr>
                <w:rFonts w:cs="Arial"/>
                <w:color w:val="000000"/>
                <w:sz w:val="16"/>
                <w:szCs w:val="16"/>
              </w:rPr>
            </w:pPr>
            <w:r w:rsidRPr="00F40671">
              <w:rPr>
                <w:rFonts w:cs="Arial"/>
                <w:color w:val="000000"/>
                <w:sz w:val="16"/>
                <w:szCs w:val="16"/>
              </w:rPr>
              <w:t>288</w:t>
            </w:r>
          </w:p>
        </w:tc>
        <w:tc>
          <w:tcPr>
            <w:tcW w:w="677" w:type="pct"/>
            <w:tcBorders>
              <w:top w:val="nil"/>
              <w:left w:val="nil"/>
              <w:bottom w:val="nil"/>
              <w:right w:val="nil"/>
            </w:tcBorders>
            <w:shd w:val="clear" w:color="auto" w:fill="auto"/>
            <w:noWrap/>
            <w:vAlign w:val="bottom"/>
            <w:hideMark/>
          </w:tcPr>
          <w:p w14:paraId="718EE9ED" w14:textId="77777777" w:rsidR="00C5044A" w:rsidRPr="00F40671" w:rsidRDefault="00C5044A" w:rsidP="00312E88">
            <w:pPr>
              <w:jc w:val="right"/>
              <w:rPr>
                <w:rFonts w:cs="Arial"/>
                <w:color w:val="000000"/>
                <w:sz w:val="16"/>
                <w:szCs w:val="16"/>
              </w:rPr>
            </w:pPr>
            <w:r w:rsidRPr="00F40671">
              <w:rPr>
                <w:rFonts w:cs="Arial"/>
                <w:color w:val="000000"/>
                <w:sz w:val="16"/>
                <w:szCs w:val="16"/>
              </w:rPr>
              <w:t>-41</w:t>
            </w:r>
          </w:p>
        </w:tc>
        <w:tc>
          <w:tcPr>
            <w:tcW w:w="677" w:type="pct"/>
            <w:tcBorders>
              <w:top w:val="nil"/>
              <w:left w:val="nil"/>
              <w:bottom w:val="nil"/>
              <w:right w:val="nil"/>
            </w:tcBorders>
            <w:shd w:val="clear" w:color="auto" w:fill="auto"/>
            <w:noWrap/>
            <w:vAlign w:val="bottom"/>
            <w:hideMark/>
          </w:tcPr>
          <w:p w14:paraId="12B10DF5" w14:textId="77777777" w:rsidR="00C5044A" w:rsidRPr="00F40671" w:rsidRDefault="00C5044A" w:rsidP="00312E88">
            <w:pPr>
              <w:jc w:val="right"/>
              <w:rPr>
                <w:rFonts w:cs="Arial"/>
                <w:color w:val="000000"/>
                <w:sz w:val="16"/>
                <w:szCs w:val="16"/>
              </w:rPr>
            </w:pPr>
            <w:r w:rsidRPr="00F40671">
              <w:rPr>
                <w:rFonts w:cs="Arial"/>
                <w:color w:val="000000"/>
                <w:sz w:val="16"/>
                <w:szCs w:val="16"/>
              </w:rPr>
              <w:t>-348</w:t>
            </w:r>
          </w:p>
        </w:tc>
        <w:tc>
          <w:tcPr>
            <w:tcW w:w="677" w:type="pct"/>
            <w:tcBorders>
              <w:top w:val="nil"/>
              <w:left w:val="nil"/>
              <w:bottom w:val="nil"/>
              <w:right w:val="nil"/>
            </w:tcBorders>
            <w:shd w:val="clear" w:color="auto" w:fill="auto"/>
            <w:noWrap/>
            <w:vAlign w:val="bottom"/>
            <w:hideMark/>
          </w:tcPr>
          <w:p w14:paraId="2D711B64" w14:textId="77777777" w:rsidR="00C5044A" w:rsidRPr="00F40671" w:rsidRDefault="00C5044A" w:rsidP="00312E88">
            <w:pPr>
              <w:jc w:val="right"/>
              <w:rPr>
                <w:rFonts w:cs="Arial"/>
                <w:color w:val="000000"/>
                <w:sz w:val="16"/>
                <w:szCs w:val="16"/>
              </w:rPr>
            </w:pPr>
            <w:r w:rsidRPr="00F40671">
              <w:rPr>
                <w:rFonts w:cs="Arial"/>
                <w:color w:val="000000"/>
                <w:sz w:val="16"/>
                <w:szCs w:val="16"/>
              </w:rPr>
              <w:t>-727</w:t>
            </w:r>
          </w:p>
        </w:tc>
        <w:tc>
          <w:tcPr>
            <w:tcW w:w="677" w:type="pct"/>
            <w:tcBorders>
              <w:top w:val="nil"/>
              <w:left w:val="dotted" w:sz="4" w:space="0" w:color="auto"/>
              <w:bottom w:val="nil"/>
              <w:right w:val="single" w:sz="4" w:space="0" w:color="auto"/>
            </w:tcBorders>
            <w:shd w:val="clear" w:color="auto" w:fill="auto"/>
            <w:noWrap/>
            <w:vAlign w:val="bottom"/>
            <w:hideMark/>
          </w:tcPr>
          <w:p w14:paraId="67348552" w14:textId="77777777" w:rsidR="00C5044A" w:rsidRPr="00F40671" w:rsidRDefault="00C5044A" w:rsidP="00312E88">
            <w:pPr>
              <w:jc w:val="right"/>
              <w:rPr>
                <w:rFonts w:cs="Arial"/>
                <w:color w:val="000000"/>
                <w:sz w:val="16"/>
                <w:szCs w:val="16"/>
              </w:rPr>
            </w:pPr>
            <w:r w:rsidRPr="00F40671">
              <w:rPr>
                <w:rFonts w:cs="Arial"/>
                <w:color w:val="000000"/>
                <w:sz w:val="16"/>
                <w:szCs w:val="16"/>
              </w:rPr>
              <w:t>-2,180</w:t>
            </w:r>
          </w:p>
        </w:tc>
      </w:tr>
      <w:tr w:rsidR="00C5044A" w:rsidRPr="00F40671" w14:paraId="703C6C63"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3B4A2F1B" w14:textId="77777777" w:rsidR="00C5044A" w:rsidRPr="00F40671" w:rsidRDefault="00C5044A" w:rsidP="00312E88">
            <w:pPr>
              <w:rPr>
                <w:rFonts w:cs="Arial"/>
                <w:color w:val="000000"/>
                <w:sz w:val="16"/>
                <w:szCs w:val="16"/>
              </w:rPr>
            </w:pPr>
            <w:r w:rsidRPr="00F40671">
              <w:rPr>
                <w:rFonts w:cs="Arial"/>
                <w:color w:val="000000"/>
                <w:sz w:val="16"/>
                <w:szCs w:val="16"/>
              </w:rPr>
              <w:t>Older adults (65+)</w:t>
            </w:r>
          </w:p>
        </w:tc>
        <w:tc>
          <w:tcPr>
            <w:tcW w:w="677" w:type="pct"/>
            <w:tcBorders>
              <w:top w:val="nil"/>
              <w:left w:val="single" w:sz="4" w:space="0" w:color="auto"/>
              <w:bottom w:val="nil"/>
              <w:right w:val="nil"/>
            </w:tcBorders>
            <w:shd w:val="clear" w:color="auto" w:fill="auto"/>
            <w:noWrap/>
            <w:vAlign w:val="bottom"/>
            <w:hideMark/>
          </w:tcPr>
          <w:p w14:paraId="27FDE744" w14:textId="77777777" w:rsidR="00C5044A" w:rsidRPr="00F40671" w:rsidRDefault="00C5044A" w:rsidP="00312E88">
            <w:pPr>
              <w:jc w:val="right"/>
              <w:rPr>
                <w:rFonts w:cs="Arial"/>
                <w:color w:val="000000"/>
                <w:sz w:val="16"/>
                <w:szCs w:val="16"/>
              </w:rPr>
            </w:pPr>
            <w:r w:rsidRPr="00F40671">
              <w:rPr>
                <w:rFonts w:cs="Arial"/>
                <w:color w:val="000000"/>
                <w:sz w:val="16"/>
                <w:szCs w:val="16"/>
              </w:rPr>
              <w:t>55</w:t>
            </w:r>
          </w:p>
        </w:tc>
        <w:tc>
          <w:tcPr>
            <w:tcW w:w="677" w:type="pct"/>
            <w:tcBorders>
              <w:top w:val="nil"/>
              <w:left w:val="nil"/>
              <w:bottom w:val="nil"/>
              <w:right w:val="nil"/>
            </w:tcBorders>
            <w:shd w:val="clear" w:color="auto" w:fill="auto"/>
            <w:noWrap/>
            <w:vAlign w:val="bottom"/>
            <w:hideMark/>
          </w:tcPr>
          <w:p w14:paraId="529DE7FB" w14:textId="77777777" w:rsidR="00C5044A" w:rsidRPr="00F40671" w:rsidRDefault="00C5044A" w:rsidP="00312E88">
            <w:pPr>
              <w:jc w:val="right"/>
              <w:rPr>
                <w:rFonts w:cs="Arial"/>
                <w:color w:val="000000"/>
                <w:sz w:val="16"/>
                <w:szCs w:val="16"/>
              </w:rPr>
            </w:pPr>
            <w:r w:rsidRPr="00F40671">
              <w:rPr>
                <w:rFonts w:cs="Arial"/>
                <w:color w:val="000000"/>
                <w:sz w:val="16"/>
                <w:szCs w:val="16"/>
              </w:rPr>
              <w:t>78</w:t>
            </w:r>
          </w:p>
        </w:tc>
        <w:tc>
          <w:tcPr>
            <w:tcW w:w="677" w:type="pct"/>
            <w:tcBorders>
              <w:top w:val="nil"/>
              <w:left w:val="nil"/>
              <w:bottom w:val="nil"/>
              <w:right w:val="nil"/>
            </w:tcBorders>
            <w:shd w:val="clear" w:color="auto" w:fill="auto"/>
            <w:noWrap/>
            <w:vAlign w:val="bottom"/>
            <w:hideMark/>
          </w:tcPr>
          <w:p w14:paraId="0ED95E94" w14:textId="77777777" w:rsidR="00C5044A" w:rsidRPr="00F40671" w:rsidRDefault="00C5044A" w:rsidP="00312E88">
            <w:pPr>
              <w:jc w:val="right"/>
              <w:rPr>
                <w:rFonts w:cs="Arial"/>
                <w:color w:val="000000"/>
                <w:sz w:val="16"/>
                <w:szCs w:val="16"/>
              </w:rPr>
            </w:pPr>
            <w:r w:rsidRPr="00F40671">
              <w:rPr>
                <w:rFonts w:cs="Arial"/>
                <w:color w:val="000000"/>
                <w:sz w:val="16"/>
                <w:szCs w:val="16"/>
              </w:rPr>
              <w:t>89</w:t>
            </w:r>
          </w:p>
        </w:tc>
        <w:tc>
          <w:tcPr>
            <w:tcW w:w="677" w:type="pct"/>
            <w:tcBorders>
              <w:top w:val="nil"/>
              <w:left w:val="nil"/>
              <w:bottom w:val="single" w:sz="4" w:space="0" w:color="auto"/>
              <w:right w:val="nil"/>
            </w:tcBorders>
            <w:shd w:val="clear" w:color="auto" w:fill="auto"/>
            <w:noWrap/>
            <w:vAlign w:val="bottom"/>
            <w:hideMark/>
          </w:tcPr>
          <w:p w14:paraId="440E17CD" w14:textId="77777777" w:rsidR="00C5044A" w:rsidRPr="00F40671" w:rsidRDefault="00C5044A" w:rsidP="00312E88">
            <w:pPr>
              <w:jc w:val="right"/>
              <w:rPr>
                <w:rFonts w:cs="Arial"/>
                <w:color w:val="000000"/>
                <w:sz w:val="16"/>
                <w:szCs w:val="16"/>
              </w:rPr>
            </w:pPr>
            <w:r w:rsidRPr="00F40671">
              <w:rPr>
                <w:rFonts w:cs="Arial"/>
                <w:color w:val="000000"/>
                <w:sz w:val="16"/>
                <w:szCs w:val="16"/>
              </w:rPr>
              <w:t>68</w:t>
            </w:r>
          </w:p>
        </w:tc>
        <w:tc>
          <w:tcPr>
            <w:tcW w:w="677" w:type="pct"/>
            <w:tcBorders>
              <w:top w:val="nil"/>
              <w:left w:val="dotted" w:sz="4" w:space="0" w:color="auto"/>
              <w:bottom w:val="nil"/>
              <w:right w:val="single" w:sz="4" w:space="0" w:color="auto"/>
            </w:tcBorders>
            <w:shd w:val="clear" w:color="auto" w:fill="auto"/>
            <w:noWrap/>
            <w:vAlign w:val="bottom"/>
            <w:hideMark/>
          </w:tcPr>
          <w:p w14:paraId="6BB3EA9D" w14:textId="77777777" w:rsidR="00C5044A" w:rsidRPr="00F40671" w:rsidRDefault="00C5044A" w:rsidP="00312E88">
            <w:pPr>
              <w:jc w:val="right"/>
              <w:rPr>
                <w:rFonts w:cs="Arial"/>
                <w:color w:val="000000"/>
                <w:sz w:val="16"/>
                <w:szCs w:val="16"/>
              </w:rPr>
            </w:pPr>
            <w:r w:rsidRPr="00F40671">
              <w:rPr>
                <w:rFonts w:cs="Arial"/>
                <w:color w:val="000000"/>
                <w:sz w:val="16"/>
                <w:szCs w:val="16"/>
              </w:rPr>
              <w:t>-128</w:t>
            </w:r>
          </w:p>
        </w:tc>
      </w:tr>
      <w:tr w:rsidR="00C5044A" w:rsidRPr="00F40671" w14:paraId="7CBDF63A" w14:textId="77777777" w:rsidTr="00C5044A">
        <w:trPr>
          <w:trHeight w:hRule="exact" w:val="284"/>
        </w:trPr>
        <w:tc>
          <w:tcPr>
            <w:tcW w:w="1613" w:type="pct"/>
            <w:tcBorders>
              <w:top w:val="single" w:sz="4" w:space="0" w:color="auto"/>
              <w:left w:val="single" w:sz="4" w:space="0" w:color="auto"/>
              <w:bottom w:val="single" w:sz="4" w:space="0" w:color="auto"/>
              <w:right w:val="nil"/>
            </w:tcBorders>
            <w:shd w:val="clear" w:color="auto" w:fill="auto"/>
            <w:noWrap/>
            <w:vAlign w:val="bottom"/>
            <w:hideMark/>
          </w:tcPr>
          <w:p w14:paraId="59170CC5" w14:textId="77777777" w:rsidR="00C5044A" w:rsidRPr="00F40671" w:rsidRDefault="00C5044A" w:rsidP="00312E88">
            <w:pPr>
              <w:rPr>
                <w:rFonts w:cs="Arial"/>
                <w:b/>
                <w:bCs/>
                <w:color w:val="000000"/>
                <w:sz w:val="16"/>
                <w:szCs w:val="16"/>
              </w:rPr>
            </w:pPr>
            <w:r w:rsidRPr="00F40671">
              <w:rPr>
                <w:rFonts w:cs="Arial"/>
                <w:b/>
                <w:bCs/>
                <w:color w:val="000000"/>
                <w:sz w:val="16"/>
                <w:szCs w:val="16"/>
              </w:rPr>
              <w:t>Total</w:t>
            </w:r>
          </w:p>
        </w:tc>
        <w:tc>
          <w:tcPr>
            <w:tcW w:w="677" w:type="pct"/>
            <w:tcBorders>
              <w:top w:val="single" w:sz="4" w:space="0" w:color="auto"/>
              <w:left w:val="single" w:sz="4" w:space="0" w:color="auto"/>
              <w:bottom w:val="single" w:sz="4" w:space="0" w:color="auto"/>
              <w:right w:val="nil"/>
            </w:tcBorders>
            <w:shd w:val="clear" w:color="auto" w:fill="auto"/>
            <w:noWrap/>
            <w:vAlign w:val="bottom"/>
            <w:hideMark/>
          </w:tcPr>
          <w:p w14:paraId="6451D6AD"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1,132</w:t>
            </w:r>
          </w:p>
        </w:tc>
        <w:tc>
          <w:tcPr>
            <w:tcW w:w="677" w:type="pct"/>
            <w:tcBorders>
              <w:top w:val="single" w:sz="4" w:space="0" w:color="auto"/>
              <w:left w:val="nil"/>
              <w:bottom w:val="single" w:sz="4" w:space="0" w:color="auto"/>
              <w:right w:val="nil"/>
            </w:tcBorders>
            <w:shd w:val="clear" w:color="auto" w:fill="auto"/>
            <w:noWrap/>
            <w:vAlign w:val="bottom"/>
            <w:hideMark/>
          </w:tcPr>
          <w:p w14:paraId="32A5A761"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994</w:t>
            </w:r>
          </w:p>
        </w:tc>
        <w:tc>
          <w:tcPr>
            <w:tcW w:w="677" w:type="pct"/>
            <w:tcBorders>
              <w:top w:val="single" w:sz="4" w:space="0" w:color="auto"/>
              <w:left w:val="nil"/>
              <w:bottom w:val="single" w:sz="4" w:space="0" w:color="auto"/>
              <w:right w:val="nil"/>
            </w:tcBorders>
            <w:shd w:val="clear" w:color="auto" w:fill="auto"/>
            <w:noWrap/>
            <w:vAlign w:val="bottom"/>
            <w:hideMark/>
          </w:tcPr>
          <w:p w14:paraId="181309BC"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837</w:t>
            </w:r>
          </w:p>
        </w:tc>
        <w:tc>
          <w:tcPr>
            <w:tcW w:w="677" w:type="pct"/>
            <w:tcBorders>
              <w:top w:val="nil"/>
              <w:left w:val="nil"/>
              <w:bottom w:val="single" w:sz="4" w:space="0" w:color="auto"/>
              <w:right w:val="nil"/>
            </w:tcBorders>
            <w:shd w:val="clear" w:color="auto" w:fill="auto"/>
            <w:noWrap/>
            <w:vAlign w:val="bottom"/>
            <w:hideMark/>
          </w:tcPr>
          <w:p w14:paraId="2D692E71"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430</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760EB"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-1,435</w:t>
            </w:r>
          </w:p>
        </w:tc>
      </w:tr>
      <w:tr w:rsidR="00C5044A" w:rsidRPr="00F40671" w14:paraId="617525AA" w14:textId="77777777" w:rsidTr="00C5044A">
        <w:trPr>
          <w:trHeight w:hRule="exact" w:val="284"/>
        </w:trPr>
        <w:tc>
          <w:tcPr>
            <w:tcW w:w="1613" w:type="pct"/>
            <w:tcBorders>
              <w:top w:val="nil"/>
              <w:left w:val="single" w:sz="4" w:space="0" w:color="auto"/>
              <w:bottom w:val="single" w:sz="4" w:space="0" w:color="auto"/>
              <w:right w:val="nil"/>
            </w:tcBorders>
            <w:shd w:val="clear" w:color="000000" w:fill="F7EEF7"/>
            <w:noWrap/>
            <w:vAlign w:val="bottom"/>
            <w:hideMark/>
          </w:tcPr>
          <w:p w14:paraId="1E9C0DA0" w14:textId="77777777" w:rsidR="00C5044A" w:rsidRPr="00F40671" w:rsidRDefault="00C5044A" w:rsidP="00312E88">
            <w:pPr>
              <w:rPr>
                <w:rFonts w:cs="Arial"/>
                <w:b/>
                <w:bCs/>
                <w:color w:val="000000"/>
                <w:sz w:val="16"/>
                <w:szCs w:val="16"/>
              </w:rPr>
            </w:pPr>
            <w:r w:rsidRPr="00F40671">
              <w:rPr>
                <w:rFonts w:cs="Arial"/>
                <w:b/>
                <w:bCs/>
                <w:color w:val="000000"/>
                <w:sz w:val="16"/>
                <w:szCs w:val="16"/>
              </w:rPr>
              <w:t>% Difference</w:t>
            </w:r>
          </w:p>
        </w:tc>
        <w:tc>
          <w:tcPr>
            <w:tcW w:w="677" w:type="pct"/>
            <w:tcBorders>
              <w:top w:val="nil"/>
              <w:left w:val="nil"/>
              <w:bottom w:val="single" w:sz="4" w:space="0" w:color="auto"/>
              <w:right w:val="nil"/>
            </w:tcBorders>
            <w:shd w:val="clear" w:color="000000" w:fill="F7EEF7"/>
            <w:noWrap/>
            <w:vAlign w:val="bottom"/>
            <w:hideMark/>
          </w:tcPr>
          <w:p w14:paraId="63C38505"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5ED2FF1C"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5F91BD65"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nil"/>
            </w:tcBorders>
            <w:shd w:val="clear" w:color="000000" w:fill="F7EEF7"/>
            <w:noWrap/>
            <w:vAlign w:val="bottom"/>
            <w:hideMark/>
          </w:tcPr>
          <w:p w14:paraId="751BBEEE"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c>
          <w:tcPr>
            <w:tcW w:w="677" w:type="pct"/>
            <w:tcBorders>
              <w:top w:val="nil"/>
              <w:left w:val="nil"/>
              <w:bottom w:val="single" w:sz="4" w:space="0" w:color="auto"/>
              <w:right w:val="single" w:sz="4" w:space="0" w:color="auto"/>
            </w:tcBorders>
            <w:shd w:val="clear" w:color="000000" w:fill="F7EEF7"/>
            <w:noWrap/>
            <w:vAlign w:val="bottom"/>
            <w:hideMark/>
          </w:tcPr>
          <w:p w14:paraId="4478983D" w14:textId="77777777" w:rsidR="00C5044A" w:rsidRPr="00F40671" w:rsidRDefault="00C5044A" w:rsidP="00312E88">
            <w:pPr>
              <w:jc w:val="right"/>
              <w:rPr>
                <w:rFonts w:cs="Arial"/>
                <w:b/>
                <w:bCs/>
                <w:i/>
                <w:iCs/>
                <w:color w:val="000000"/>
                <w:sz w:val="16"/>
                <w:szCs w:val="16"/>
              </w:rPr>
            </w:pPr>
            <w:r w:rsidRPr="00F40671">
              <w:rPr>
                <w:rFonts w:cs="Arial"/>
                <w:b/>
                <w:bCs/>
                <w:i/>
                <w:iCs/>
                <w:color w:val="000000"/>
                <w:sz w:val="16"/>
                <w:szCs w:val="16"/>
              </w:rPr>
              <w:t> </w:t>
            </w:r>
          </w:p>
        </w:tc>
      </w:tr>
      <w:tr w:rsidR="00C5044A" w:rsidRPr="00F40671" w14:paraId="1C53B257"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6632CBDD" w14:textId="77777777" w:rsidR="00C5044A" w:rsidRPr="00F40671" w:rsidRDefault="00C5044A" w:rsidP="00312E88">
            <w:pPr>
              <w:rPr>
                <w:rFonts w:cs="Arial"/>
                <w:color w:val="000000"/>
                <w:sz w:val="16"/>
                <w:szCs w:val="16"/>
              </w:rPr>
            </w:pPr>
            <w:r w:rsidRPr="00F40671">
              <w:rPr>
                <w:rFonts w:cs="Arial"/>
                <w:color w:val="000000"/>
                <w:sz w:val="16"/>
                <w:szCs w:val="16"/>
              </w:rPr>
              <w:t>Children (0 to 14)</w:t>
            </w:r>
          </w:p>
        </w:tc>
        <w:tc>
          <w:tcPr>
            <w:tcW w:w="677" w:type="pct"/>
            <w:tcBorders>
              <w:top w:val="nil"/>
              <w:left w:val="single" w:sz="4" w:space="0" w:color="auto"/>
              <w:bottom w:val="nil"/>
              <w:right w:val="nil"/>
            </w:tcBorders>
            <w:shd w:val="clear" w:color="auto" w:fill="auto"/>
            <w:noWrap/>
            <w:vAlign w:val="bottom"/>
            <w:hideMark/>
          </w:tcPr>
          <w:p w14:paraId="45C3C6B6" w14:textId="77777777" w:rsidR="00C5044A" w:rsidRPr="00F40671" w:rsidRDefault="00C5044A" w:rsidP="00312E88">
            <w:pPr>
              <w:jc w:val="right"/>
              <w:rPr>
                <w:rFonts w:cs="Arial"/>
                <w:color w:val="000000"/>
                <w:sz w:val="16"/>
                <w:szCs w:val="16"/>
              </w:rPr>
            </w:pPr>
            <w:r w:rsidRPr="00F40671">
              <w:rPr>
                <w:rFonts w:cs="Arial"/>
                <w:color w:val="000000"/>
                <w:sz w:val="16"/>
                <w:szCs w:val="16"/>
              </w:rPr>
              <w:t>9%</w:t>
            </w:r>
          </w:p>
        </w:tc>
        <w:tc>
          <w:tcPr>
            <w:tcW w:w="677" w:type="pct"/>
            <w:tcBorders>
              <w:top w:val="nil"/>
              <w:left w:val="nil"/>
              <w:bottom w:val="nil"/>
              <w:right w:val="nil"/>
            </w:tcBorders>
            <w:shd w:val="clear" w:color="auto" w:fill="auto"/>
            <w:noWrap/>
            <w:vAlign w:val="bottom"/>
            <w:hideMark/>
          </w:tcPr>
          <w:p w14:paraId="02AAFD67" w14:textId="77777777" w:rsidR="00C5044A" w:rsidRPr="00F40671" w:rsidRDefault="00C5044A" w:rsidP="00312E88">
            <w:pPr>
              <w:jc w:val="right"/>
              <w:rPr>
                <w:rFonts w:cs="Arial"/>
                <w:color w:val="000000"/>
                <w:sz w:val="16"/>
                <w:szCs w:val="16"/>
              </w:rPr>
            </w:pPr>
            <w:r w:rsidRPr="00F40671">
              <w:rPr>
                <w:rFonts w:cs="Arial"/>
                <w:color w:val="000000"/>
                <w:sz w:val="16"/>
                <w:szCs w:val="16"/>
              </w:rPr>
              <w:t>9%</w:t>
            </w:r>
          </w:p>
        </w:tc>
        <w:tc>
          <w:tcPr>
            <w:tcW w:w="677" w:type="pct"/>
            <w:tcBorders>
              <w:top w:val="nil"/>
              <w:left w:val="nil"/>
              <w:bottom w:val="nil"/>
              <w:right w:val="nil"/>
            </w:tcBorders>
            <w:shd w:val="clear" w:color="auto" w:fill="auto"/>
            <w:noWrap/>
            <w:vAlign w:val="bottom"/>
            <w:hideMark/>
          </w:tcPr>
          <w:p w14:paraId="74C7FE41" w14:textId="77777777" w:rsidR="00C5044A" w:rsidRPr="00F40671" w:rsidRDefault="00C5044A" w:rsidP="00312E88">
            <w:pPr>
              <w:jc w:val="right"/>
              <w:rPr>
                <w:rFonts w:cs="Arial"/>
                <w:color w:val="000000"/>
                <w:sz w:val="16"/>
                <w:szCs w:val="16"/>
              </w:rPr>
            </w:pPr>
            <w:r w:rsidRPr="00F40671">
              <w:rPr>
                <w:rFonts w:cs="Arial"/>
                <w:color w:val="000000"/>
                <w:sz w:val="16"/>
                <w:szCs w:val="16"/>
              </w:rPr>
              <w:t>9%</w:t>
            </w:r>
          </w:p>
        </w:tc>
        <w:tc>
          <w:tcPr>
            <w:tcW w:w="677" w:type="pct"/>
            <w:tcBorders>
              <w:top w:val="dotted" w:sz="4" w:space="0" w:color="auto"/>
              <w:left w:val="nil"/>
              <w:bottom w:val="nil"/>
              <w:right w:val="nil"/>
            </w:tcBorders>
            <w:shd w:val="clear" w:color="auto" w:fill="auto"/>
            <w:noWrap/>
            <w:vAlign w:val="bottom"/>
            <w:hideMark/>
          </w:tcPr>
          <w:p w14:paraId="3771F967" w14:textId="77777777" w:rsidR="00C5044A" w:rsidRPr="00F40671" w:rsidRDefault="00C5044A" w:rsidP="00312E88">
            <w:pPr>
              <w:jc w:val="right"/>
              <w:rPr>
                <w:rFonts w:cs="Arial"/>
                <w:color w:val="000000"/>
                <w:sz w:val="16"/>
                <w:szCs w:val="16"/>
              </w:rPr>
            </w:pPr>
            <w:r w:rsidRPr="00F40671">
              <w:rPr>
                <w:rFonts w:cs="Arial"/>
                <w:color w:val="000000"/>
                <w:sz w:val="16"/>
                <w:szCs w:val="16"/>
              </w:rPr>
              <w:t>8%</w:t>
            </w:r>
          </w:p>
        </w:tc>
        <w:tc>
          <w:tcPr>
            <w:tcW w:w="677" w:type="pct"/>
            <w:tcBorders>
              <w:top w:val="nil"/>
              <w:left w:val="dotted" w:sz="4" w:space="0" w:color="auto"/>
              <w:bottom w:val="nil"/>
              <w:right w:val="single" w:sz="4" w:space="0" w:color="auto"/>
            </w:tcBorders>
            <w:shd w:val="clear" w:color="auto" w:fill="auto"/>
            <w:noWrap/>
            <w:vAlign w:val="bottom"/>
            <w:hideMark/>
          </w:tcPr>
          <w:p w14:paraId="2A79C3A7" w14:textId="77777777" w:rsidR="00C5044A" w:rsidRPr="00F40671" w:rsidRDefault="00C5044A" w:rsidP="00312E88">
            <w:pPr>
              <w:jc w:val="right"/>
              <w:rPr>
                <w:rFonts w:cs="Arial"/>
                <w:color w:val="000000"/>
                <w:sz w:val="16"/>
                <w:szCs w:val="16"/>
              </w:rPr>
            </w:pPr>
            <w:r w:rsidRPr="00F40671">
              <w:rPr>
                <w:rFonts w:cs="Arial"/>
                <w:color w:val="000000"/>
                <w:sz w:val="16"/>
                <w:szCs w:val="16"/>
              </w:rPr>
              <w:t>1%</w:t>
            </w:r>
          </w:p>
        </w:tc>
      </w:tr>
      <w:tr w:rsidR="00C5044A" w:rsidRPr="00F40671" w14:paraId="5A35BD60"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51ED70D2" w14:textId="77777777" w:rsidR="00C5044A" w:rsidRPr="00F40671" w:rsidRDefault="00C5044A" w:rsidP="00312E88">
            <w:pPr>
              <w:rPr>
                <w:rFonts w:cs="Arial"/>
                <w:color w:val="000000"/>
                <w:sz w:val="16"/>
                <w:szCs w:val="16"/>
              </w:rPr>
            </w:pPr>
            <w:r w:rsidRPr="00F40671">
              <w:rPr>
                <w:rFonts w:cs="Arial"/>
                <w:color w:val="000000"/>
                <w:sz w:val="16"/>
                <w:szCs w:val="16"/>
              </w:rPr>
              <w:t>Young adults (15 to 24)</w:t>
            </w:r>
          </w:p>
        </w:tc>
        <w:tc>
          <w:tcPr>
            <w:tcW w:w="677" w:type="pct"/>
            <w:tcBorders>
              <w:top w:val="nil"/>
              <w:left w:val="single" w:sz="4" w:space="0" w:color="auto"/>
              <w:bottom w:val="nil"/>
              <w:right w:val="nil"/>
            </w:tcBorders>
            <w:shd w:val="clear" w:color="auto" w:fill="auto"/>
            <w:noWrap/>
            <w:vAlign w:val="bottom"/>
            <w:hideMark/>
          </w:tcPr>
          <w:p w14:paraId="1D0E117E" w14:textId="77777777" w:rsidR="00C5044A" w:rsidRPr="00F40671" w:rsidRDefault="00C5044A" w:rsidP="00312E88">
            <w:pPr>
              <w:jc w:val="right"/>
              <w:rPr>
                <w:rFonts w:cs="Arial"/>
                <w:color w:val="000000"/>
                <w:sz w:val="16"/>
                <w:szCs w:val="16"/>
              </w:rPr>
            </w:pPr>
            <w:r w:rsidRPr="00F40671">
              <w:rPr>
                <w:rFonts w:cs="Arial"/>
                <w:color w:val="000000"/>
                <w:sz w:val="16"/>
                <w:szCs w:val="16"/>
              </w:rPr>
              <w:t>10%</w:t>
            </w:r>
          </w:p>
        </w:tc>
        <w:tc>
          <w:tcPr>
            <w:tcW w:w="677" w:type="pct"/>
            <w:tcBorders>
              <w:top w:val="nil"/>
              <w:left w:val="nil"/>
              <w:bottom w:val="nil"/>
              <w:right w:val="nil"/>
            </w:tcBorders>
            <w:shd w:val="clear" w:color="auto" w:fill="auto"/>
            <w:noWrap/>
            <w:vAlign w:val="bottom"/>
            <w:hideMark/>
          </w:tcPr>
          <w:p w14:paraId="3FC1C326" w14:textId="77777777" w:rsidR="00C5044A" w:rsidRPr="00F40671" w:rsidRDefault="00C5044A" w:rsidP="00312E88">
            <w:pPr>
              <w:jc w:val="right"/>
              <w:rPr>
                <w:rFonts w:cs="Arial"/>
                <w:color w:val="000000"/>
                <w:sz w:val="16"/>
                <w:szCs w:val="16"/>
              </w:rPr>
            </w:pPr>
            <w:r w:rsidRPr="00F40671">
              <w:rPr>
                <w:rFonts w:cs="Arial"/>
                <w:color w:val="000000"/>
                <w:sz w:val="16"/>
                <w:szCs w:val="16"/>
              </w:rPr>
              <w:t>10%</w:t>
            </w:r>
          </w:p>
        </w:tc>
        <w:tc>
          <w:tcPr>
            <w:tcW w:w="677" w:type="pct"/>
            <w:tcBorders>
              <w:top w:val="nil"/>
              <w:left w:val="nil"/>
              <w:bottom w:val="nil"/>
              <w:right w:val="nil"/>
            </w:tcBorders>
            <w:shd w:val="clear" w:color="auto" w:fill="auto"/>
            <w:noWrap/>
            <w:vAlign w:val="bottom"/>
            <w:hideMark/>
          </w:tcPr>
          <w:p w14:paraId="07686160" w14:textId="77777777" w:rsidR="00C5044A" w:rsidRPr="00F40671" w:rsidRDefault="00C5044A" w:rsidP="00312E88">
            <w:pPr>
              <w:jc w:val="right"/>
              <w:rPr>
                <w:rFonts w:cs="Arial"/>
                <w:color w:val="000000"/>
                <w:sz w:val="16"/>
                <w:szCs w:val="16"/>
              </w:rPr>
            </w:pPr>
            <w:r w:rsidRPr="00F40671">
              <w:rPr>
                <w:rFonts w:cs="Arial"/>
                <w:color w:val="000000"/>
                <w:sz w:val="16"/>
                <w:szCs w:val="16"/>
              </w:rPr>
              <w:t>10%</w:t>
            </w:r>
          </w:p>
        </w:tc>
        <w:tc>
          <w:tcPr>
            <w:tcW w:w="677" w:type="pct"/>
            <w:tcBorders>
              <w:top w:val="nil"/>
              <w:left w:val="nil"/>
              <w:bottom w:val="nil"/>
              <w:right w:val="nil"/>
            </w:tcBorders>
            <w:shd w:val="clear" w:color="auto" w:fill="auto"/>
            <w:noWrap/>
            <w:vAlign w:val="bottom"/>
            <w:hideMark/>
          </w:tcPr>
          <w:p w14:paraId="4A6C47D0" w14:textId="77777777" w:rsidR="00C5044A" w:rsidRPr="00F40671" w:rsidRDefault="00C5044A" w:rsidP="00312E88">
            <w:pPr>
              <w:jc w:val="right"/>
              <w:rPr>
                <w:rFonts w:cs="Arial"/>
                <w:color w:val="000000"/>
                <w:sz w:val="16"/>
                <w:szCs w:val="16"/>
              </w:rPr>
            </w:pPr>
            <w:r w:rsidRPr="00F40671">
              <w:rPr>
                <w:rFonts w:cs="Arial"/>
                <w:color w:val="000000"/>
                <w:sz w:val="16"/>
                <w:szCs w:val="16"/>
              </w:rPr>
              <w:t>10%</w:t>
            </w:r>
          </w:p>
        </w:tc>
        <w:tc>
          <w:tcPr>
            <w:tcW w:w="677" w:type="pct"/>
            <w:tcBorders>
              <w:top w:val="nil"/>
              <w:left w:val="dotted" w:sz="4" w:space="0" w:color="auto"/>
              <w:bottom w:val="nil"/>
              <w:right w:val="single" w:sz="4" w:space="0" w:color="auto"/>
            </w:tcBorders>
            <w:shd w:val="clear" w:color="auto" w:fill="auto"/>
            <w:noWrap/>
            <w:vAlign w:val="bottom"/>
            <w:hideMark/>
          </w:tcPr>
          <w:p w14:paraId="370BC949" w14:textId="77777777" w:rsidR="00C5044A" w:rsidRPr="00F40671" w:rsidRDefault="00C5044A" w:rsidP="00312E88">
            <w:pPr>
              <w:jc w:val="right"/>
              <w:rPr>
                <w:rFonts w:cs="Arial"/>
                <w:color w:val="000000"/>
                <w:sz w:val="16"/>
                <w:szCs w:val="16"/>
              </w:rPr>
            </w:pPr>
            <w:r w:rsidRPr="00F40671">
              <w:rPr>
                <w:rFonts w:cs="Arial"/>
                <w:color w:val="000000"/>
                <w:sz w:val="16"/>
                <w:szCs w:val="16"/>
              </w:rPr>
              <w:t>7%</w:t>
            </w:r>
          </w:p>
        </w:tc>
      </w:tr>
      <w:tr w:rsidR="00C5044A" w:rsidRPr="00F40671" w14:paraId="66AB3626"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5AAEED21" w14:textId="77777777" w:rsidR="00C5044A" w:rsidRPr="00F40671" w:rsidRDefault="00C5044A" w:rsidP="00312E88">
            <w:pPr>
              <w:rPr>
                <w:rFonts w:cs="Arial"/>
                <w:color w:val="000000"/>
                <w:sz w:val="16"/>
                <w:szCs w:val="16"/>
              </w:rPr>
            </w:pPr>
            <w:r w:rsidRPr="00F40671">
              <w:rPr>
                <w:rFonts w:cs="Arial"/>
                <w:color w:val="000000"/>
                <w:sz w:val="16"/>
                <w:szCs w:val="16"/>
              </w:rPr>
              <w:t>Adults (25 to 64)</w:t>
            </w:r>
          </w:p>
        </w:tc>
        <w:tc>
          <w:tcPr>
            <w:tcW w:w="677" w:type="pct"/>
            <w:tcBorders>
              <w:top w:val="nil"/>
              <w:left w:val="single" w:sz="4" w:space="0" w:color="auto"/>
              <w:bottom w:val="nil"/>
              <w:right w:val="nil"/>
            </w:tcBorders>
            <w:shd w:val="clear" w:color="auto" w:fill="auto"/>
            <w:noWrap/>
            <w:vAlign w:val="bottom"/>
            <w:hideMark/>
          </w:tcPr>
          <w:p w14:paraId="03CC025A" w14:textId="77777777" w:rsidR="00C5044A" w:rsidRPr="00F40671" w:rsidRDefault="00C5044A" w:rsidP="00312E88">
            <w:pPr>
              <w:jc w:val="right"/>
              <w:rPr>
                <w:rFonts w:cs="Arial"/>
                <w:color w:val="000000"/>
                <w:sz w:val="16"/>
                <w:szCs w:val="16"/>
              </w:rPr>
            </w:pPr>
            <w:r w:rsidRPr="00F40671">
              <w:rPr>
                <w:rFonts w:cs="Arial"/>
                <w:color w:val="000000"/>
                <w:sz w:val="16"/>
                <w:szCs w:val="16"/>
              </w:rPr>
              <w:t>2%</w:t>
            </w:r>
          </w:p>
        </w:tc>
        <w:tc>
          <w:tcPr>
            <w:tcW w:w="677" w:type="pct"/>
            <w:tcBorders>
              <w:top w:val="nil"/>
              <w:left w:val="nil"/>
              <w:bottom w:val="nil"/>
              <w:right w:val="nil"/>
            </w:tcBorders>
            <w:shd w:val="clear" w:color="auto" w:fill="auto"/>
            <w:noWrap/>
            <w:vAlign w:val="bottom"/>
            <w:hideMark/>
          </w:tcPr>
          <w:p w14:paraId="4482F7BC" w14:textId="77777777" w:rsidR="00C5044A" w:rsidRPr="00F40671" w:rsidRDefault="00C5044A" w:rsidP="00312E88">
            <w:pPr>
              <w:jc w:val="right"/>
              <w:rPr>
                <w:rFonts w:cs="Arial"/>
                <w:color w:val="000000"/>
                <w:sz w:val="16"/>
                <w:szCs w:val="16"/>
              </w:rPr>
            </w:pPr>
            <w:r w:rsidRPr="00F40671">
              <w:rPr>
                <w:rFonts w:cs="Arial"/>
                <w:color w:val="000000"/>
                <w:sz w:val="16"/>
                <w:szCs w:val="16"/>
              </w:rPr>
              <w:t>0%</w:t>
            </w:r>
          </w:p>
        </w:tc>
        <w:tc>
          <w:tcPr>
            <w:tcW w:w="677" w:type="pct"/>
            <w:tcBorders>
              <w:top w:val="nil"/>
              <w:left w:val="nil"/>
              <w:bottom w:val="nil"/>
              <w:right w:val="nil"/>
            </w:tcBorders>
            <w:shd w:val="clear" w:color="auto" w:fill="auto"/>
            <w:noWrap/>
            <w:vAlign w:val="bottom"/>
            <w:hideMark/>
          </w:tcPr>
          <w:p w14:paraId="6F66B43F" w14:textId="77777777" w:rsidR="00C5044A" w:rsidRPr="00F40671" w:rsidRDefault="00C5044A" w:rsidP="00312E88">
            <w:pPr>
              <w:jc w:val="right"/>
              <w:rPr>
                <w:rFonts w:cs="Arial"/>
                <w:color w:val="000000"/>
                <w:sz w:val="16"/>
                <w:szCs w:val="16"/>
              </w:rPr>
            </w:pPr>
            <w:r w:rsidRPr="00F40671">
              <w:rPr>
                <w:rFonts w:cs="Arial"/>
                <w:color w:val="000000"/>
                <w:sz w:val="16"/>
                <w:szCs w:val="16"/>
              </w:rPr>
              <w:t>-2%</w:t>
            </w:r>
          </w:p>
        </w:tc>
        <w:tc>
          <w:tcPr>
            <w:tcW w:w="677" w:type="pct"/>
            <w:tcBorders>
              <w:top w:val="nil"/>
              <w:left w:val="nil"/>
              <w:bottom w:val="nil"/>
              <w:right w:val="nil"/>
            </w:tcBorders>
            <w:shd w:val="clear" w:color="auto" w:fill="auto"/>
            <w:noWrap/>
            <w:vAlign w:val="bottom"/>
            <w:hideMark/>
          </w:tcPr>
          <w:p w14:paraId="521DC3A1" w14:textId="77777777" w:rsidR="00C5044A" w:rsidRPr="00F40671" w:rsidRDefault="00C5044A" w:rsidP="00312E88">
            <w:pPr>
              <w:jc w:val="right"/>
              <w:rPr>
                <w:rFonts w:cs="Arial"/>
                <w:color w:val="000000"/>
                <w:sz w:val="16"/>
                <w:szCs w:val="16"/>
              </w:rPr>
            </w:pPr>
            <w:r w:rsidRPr="00F40671">
              <w:rPr>
                <w:rFonts w:cs="Arial"/>
                <w:color w:val="000000"/>
                <w:sz w:val="16"/>
                <w:szCs w:val="16"/>
              </w:rPr>
              <w:t>-3%</w:t>
            </w:r>
          </w:p>
        </w:tc>
        <w:tc>
          <w:tcPr>
            <w:tcW w:w="677" w:type="pct"/>
            <w:tcBorders>
              <w:top w:val="nil"/>
              <w:left w:val="dotted" w:sz="4" w:space="0" w:color="auto"/>
              <w:bottom w:val="nil"/>
              <w:right w:val="single" w:sz="4" w:space="0" w:color="auto"/>
            </w:tcBorders>
            <w:shd w:val="clear" w:color="auto" w:fill="auto"/>
            <w:noWrap/>
            <w:vAlign w:val="bottom"/>
            <w:hideMark/>
          </w:tcPr>
          <w:p w14:paraId="5AE6E34F" w14:textId="77777777" w:rsidR="00C5044A" w:rsidRPr="00F40671" w:rsidRDefault="00C5044A" w:rsidP="00312E88">
            <w:pPr>
              <w:jc w:val="right"/>
              <w:rPr>
                <w:rFonts w:cs="Arial"/>
                <w:color w:val="000000"/>
                <w:sz w:val="16"/>
                <w:szCs w:val="16"/>
              </w:rPr>
            </w:pPr>
            <w:r w:rsidRPr="00F40671">
              <w:rPr>
                <w:rFonts w:cs="Arial"/>
                <w:color w:val="000000"/>
                <w:sz w:val="16"/>
                <w:szCs w:val="16"/>
              </w:rPr>
              <w:t>-6%</w:t>
            </w:r>
          </w:p>
        </w:tc>
      </w:tr>
      <w:tr w:rsidR="00C5044A" w:rsidRPr="00F40671" w14:paraId="65BAEC9D" w14:textId="77777777" w:rsidTr="00C5044A">
        <w:trPr>
          <w:trHeight w:hRule="exact" w:val="284"/>
        </w:trPr>
        <w:tc>
          <w:tcPr>
            <w:tcW w:w="1613" w:type="pct"/>
            <w:tcBorders>
              <w:top w:val="nil"/>
              <w:left w:val="single" w:sz="4" w:space="0" w:color="auto"/>
              <w:bottom w:val="nil"/>
              <w:right w:val="nil"/>
            </w:tcBorders>
            <w:shd w:val="clear" w:color="auto" w:fill="auto"/>
            <w:noWrap/>
            <w:vAlign w:val="bottom"/>
            <w:hideMark/>
          </w:tcPr>
          <w:p w14:paraId="51493196" w14:textId="77777777" w:rsidR="00C5044A" w:rsidRPr="00F40671" w:rsidRDefault="00C5044A" w:rsidP="00312E88">
            <w:pPr>
              <w:rPr>
                <w:rFonts w:cs="Arial"/>
                <w:color w:val="000000"/>
                <w:sz w:val="16"/>
                <w:szCs w:val="16"/>
              </w:rPr>
            </w:pPr>
            <w:r w:rsidRPr="00F40671">
              <w:rPr>
                <w:rFonts w:cs="Arial"/>
                <w:color w:val="000000"/>
                <w:sz w:val="16"/>
                <w:szCs w:val="16"/>
              </w:rPr>
              <w:t>Older adults (65+)</w:t>
            </w:r>
          </w:p>
        </w:tc>
        <w:tc>
          <w:tcPr>
            <w:tcW w:w="677" w:type="pct"/>
            <w:tcBorders>
              <w:top w:val="nil"/>
              <w:left w:val="single" w:sz="4" w:space="0" w:color="auto"/>
              <w:bottom w:val="nil"/>
              <w:right w:val="nil"/>
            </w:tcBorders>
            <w:shd w:val="clear" w:color="auto" w:fill="auto"/>
            <w:noWrap/>
            <w:vAlign w:val="bottom"/>
            <w:hideMark/>
          </w:tcPr>
          <w:p w14:paraId="000022E9" w14:textId="77777777" w:rsidR="00C5044A" w:rsidRPr="00F40671" w:rsidRDefault="00C5044A" w:rsidP="00312E88">
            <w:pPr>
              <w:jc w:val="right"/>
              <w:rPr>
                <w:rFonts w:cs="Arial"/>
                <w:color w:val="000000"/>
                <w:sz w:val="16"/>
                <w:szCs w:val="16"/>
              </w:rPr>
            </w:pPr>
            <w:r w:rsidRPr="00F40671">
              <w:rPr>
                <w:rFonts w:cs="Arial"/>
                <w:color w:val="000000"/>
                <w:sz w:val="16"/>
                <w:szCs w:val="16"/>
              </w:rPr>
              <w:t>3%</w:t>
            </w:r>
          </w:p>
        </w:tc>
        <w:tc>
          <w:tcPr>
            <w:tcW w:w="677" w:type="pct"/>
            <w:tcBorders>
              <w:top w:val="nil"/>
              <w:left w:val="nil"/>
              <w:bottom w:val="nil"/>
              <w:right w:val="nil"/>
            </w:tcBorders>
            <w:shd w:val="clear" w:color="auto" w:fill="auto"/>
            <w:noWrap/>
            <w:vAlign w:val="bottom"/>
            <w:hideMark/>
          </w:tcPr>
          <w:p w14:paraId="2047E8D6" w14:textId="77777777" w:rsidR="00C5044A" w:rsidRPr="00F40671" w:rsidRDefault="00C5044A" w:rsidP="00312E88">
            <w:pPr>
              <w:jc w:val="right"/>
              <w:rPr>
                <w:rFonts w:cs="Arial"/>
                <w:color w:val="000000"/>
                <w:sz w:val="16"/>
                <w:szCs w:val="16"/>
              </w:rPr>
            </w:pPr>
            <w:r w:rsidRPr="00F40671">
              <w:rPr>
                <w:rFonts w:cs="Arial"/>
                <w:color w:val="000000"/>
                <w:sz w:val="16"/>
                <w:szCs w:val="16"/>
              </w:rPr>
              <w:t>3%</w:t>
            </w:r>
          </w:p>
        </w:tc>
        <w:tc>
          <w:tcPr>
            <w:tcW w:w="677" w:type="pct"/>
            <w:tcBorders>
              <w:top w:val="nil"/>
              <w:left w:val="nil"/>
              <w:bottom w:val="nil"/>
              <w:right w:val="nil"/>
            </w:tcBorders>
            <w:shd w:val="clear" w:color="auto" w:fill="auto"/>
            <w:noWrap/>
            <w:vAlign w:val="bottom"/>
            <w:hideMark/>
          </w:tcPr>
          <w:p w14:paraId="01BC2952" w14:textId="77777777" w:rsidR="00C5044A" w:rsidRPr="00F40671" w:rsidRDefault="00C5044A" w:rsidP="00312E88">
            <w:pPr>
              <w:jc w:val="right"/>
              <w:rPr>
                <w:rFonts w:cs="Arial"/>
                <w:color w:val="000000"/>
                <w:sz w:val="16"/>
                <w:szCs w:val="16"/>
              </w:rPr>
            </w:pPr>
            <w:r w:rsidRPr="00F40671">
              <w:rPr>
                <w:rFonts w:cs="Arial"/>
                <w:color w:val="000000"/>
                <w:sz w:val="16"/>
                <w:szCs w:val="16"/>
              </w:rPr>
              <w:t>3%</w:t>
            </w:r>
          </w:p>
        </w:tc>
        <w:tc>
          <w:tcPr>
            <w:tcW w:w="677" w:type="pct"/>
            <w:tcBorders>
              <w:top w:val="nil"/>
              <w:left w:val="nil"/>
              <w:bottom w:val="single" w:sz="4" w:space="0" w:color="auto"/>
              <w:right w:val="nil"/>
            </w:tcBorders>
            <w:shd w:val="clear" w:color="auto" w:fill="auto"/>
            <w:noWrap/>
            <w:vAlign w:val="bottom"/>
            <w:hideMark/>
          </w:tcPr>
          <w:p w14:paraId="2A89EC4F" w14:textId="77777777" w:rsidR="00C5044A" w:rsidRPr="00F40671" w:rsidRDefault="00C5044A" w:rsidP="00312E88">
            <w:pPr>
              <w:jc w:val="right"/>
              <w:rPr>
                <w:rFonts w:cs="Arial"/>
                <w:color w:val="000000"/>
                <w:sz w:val="16"/>
                <w:szCs w:val="16"/>
              </w:rPr>
            </w:pPr>
            <w:r w:rsidRPr="00F40671">
              <w:rPr>
                <w:rFonts w:cs="Arial"/>
                <w:color w:val="000000"/>
                <w:sz w:val="16"/>
                <w:szCs w:val="16"/>
              </w:rPr>
              <w:t>2%</w:t>
            </w:r>
          </w:p>
        </w:tc>
        <w:tc>
          <w:tcPr>
            <w:tcW w:w="677" w:type="pct"/>
            <w:tcBorders>
              <w:top w:val="nil"/>
              <w:left w:val="dotted" w:sz="4" w:space="0" w:color="auto"/>
              <w:bottom w:val="nil"/>
              <w:right w:val="single" w:sz="4" w:space="0" w:color="auto"/>
            </w:tcBorders>
            <w:shd w:val="clear" w:color="auto" w:fill="auto"/>
            <w:noWrap/>
            <w:vAlign w:val="bottom"/>
            <w:hideMark/>
          </w:tcPr>
          <w:p w14:paraId="083B4B0D" w14:textId="77777777" w:rsidR="00C5044A" w:rsidRPr="00F40671" w:rsidRDefault="00C5044A" w:rsidP="00312E88">
            <w:pPr>
              <w:jc w:val="right"/>
              <w:rPr>
                <w:rFonts w:cs="Arial"/>
                <w:color w:val="000000"/>
                <w:sz w:val="16"/>
                <w:szCs w:val="16"/>
              </w:rPr>
            </w:pPr>
            <w:r w:rsidRPr="00F40671">
              <w:rPr>
                <w:rFonts w:cs="Arial"/>
                <w:color w:val="000000"/>
                <w:sz w:val="16"/>
                <w:szCs w:val="16"/>
              </w:rPr>
              <w:t>-2%</w:t>
            </w:r>
          </w:p>
        </w:tc>
      </w:tr>
      <w:tr w:rsidR="00C5044A" w:rsidRPr="00F40671" w14:paraId="2A9276D9" w14:textId="77777777" w:rsidTr="00C5044A">
        <w:trPr>
          <w:trHeight w:hRule="exact" w:val="284"/>
        </w:trPr>
        <w:tc>
          <w:tcPr>
            <w:tcW w:w="1613" w:type="pct"/>
            <w:tcBorders>
              <w:top w:val="single" w:sz="4" w:space="0" w:color="auto"/>
              <w:left w:val="single" w:sz="4" w:space="0" w:color="auto"/>
              <w:bottom w:val="single" w:sz="4" w:space="0" w:color="auto"/>
              <w:right w:val="nil"/>
            </w:tcBorders>
            <w:shd w:val="clear" w:color="auto" w:fill="auto"/>
            <w:noWrap/>
            <w:vAlign w:val="bottom"/>
            <w:hideMark/>
          </w:tcPr>
          <w:p w14:paraId="4F143A65" w14:textId="77777777" w:rsidR="00C5044A" w:rsidRPr="00F40671" w:rsidRDefault="00C5044A" w:rsidP="00312E88">
            <w:pPr>
              <w:rPr>
                <w:rFonts w:cs="Arial"/>
                <w:b/>
                <w:bCs/>
                <w:color w:val="000000"/>
                <w:sz w:val="16"/>
                <w:szCs w:val="16"/>
              </w:rPr>
            </w:pPr>
            <w:r w:rsidRPr="00F40671">
              <w:rPr>
                <w:rFonts w:cs="Arial"/>
                <w:b/>
                <w:bCs/>
                <w:color w:val="000000"/>
                <w:sz w:val="16"/>
                <w:szCs w:val="16"/>
              </w:rPr>
              <w:t>Total</w:t>
            </w:r>
          </w:p>
        </w:tc>
        <w:tc>
          <w:tcPr>
            <w:tcW w:w="677" w:type="pct"/>
            <w:tcBorders>
              <w:top w:val="single" w:sz="4" w:space="0" w:color="auto"/>
              <w:left w:val="single" w:sz="4" w:space="0" w:color="auto"/>
              <w:bottom w:val="single" w:sz="4" w:space="0" w:color="auto"/>
              <w:right w:val="nil"/>
            </w:tcBorders>
            <w:shd w:val="clear" w:color="auto" w:fill="auto"/>
            <w:noWrap/>
            <w:vAlign w:val="bottom"/>
            <w:hideMark/>
          </w:tcPr>
          <w:p w14:paraId="56111C17"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4%</w:t>
            </w:r>
          </w:p>
        </w:tc>
        <w:tc>
          <w:tcPr>
            <w:tcW w:w="677" w:type="pct"/>
            <w:tcBorders>
              <w:top w:val="single" w:sz="4" w:space="0" w:color="auto"/>
              <w:left w:val="nil"/>
              <w:bottom w:val="single" w:sz="4" w:space="0" w:color="auto"/>
              <w:right w:val="nil"/>
            </w:tcBorders>
            <w:shd w:val="clear" w:color="auto" w:fill="auto"/>
            <w:noWrap/>
            <w:vAlign w:val="bottom"/>
            <w:hideMark/>
          </w:tcPr>
          <w:p w14:paraId="696F91AB"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3%</w:t>
            </w:r>
          </w:p>
        </w:tc>
        <w:tc>
          <w:tcPr>
            <w:tcW w:w="677" w:type="pct"/>
            <w:tcBorders>
              <w:top w:val="single" w:sz="4" w:space="0" w:color="auto"/>
              <w:left w:val="nil"/>
              <w:bottom w:val="single" w:sz="4" w:space="0" w:color="auto"/>
              <w:right w:val="nil"/>
            </w:tcBorders>
            <w:shd w:val="clear" w:color="auto" w:fill="auto"/>
            <w:noWrap/>
            <w:vAlign w:val="bottom"/>
            <w:hideMark/>
          </w:tcPr>
          <w:p w14:paraId="78343BDD"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2%</w:t>
            </w:r>
          </w:p>
        </w:tc>
        <w:tc>
          <w:tcPr>
            <w:tcW w:w="677" w:type="pct"/>
            <w:tcBorders>
              <w:top w:val="nil"/>
              <w:left w:val="nil"/>
              <w:bottom w:val="single" w:sz="4" w:space="0" w:color="auto"/>
              <w:right w:val="nil"/>
            </w:tcBorders>
            <w:shd w:val="clear" w:color="auto" w:fill="auto"/>
            <w:noWrap/>
            <w:vAlign w:val="bottom"/>
            <w:hideMark/>
          </w:tcPr>
          <w:p w14:paraId="06E978F6"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22998" w14:textId="77777777" w:rsidR="00C5044A" w:rsidRPr="00F40671" w:rsidRDefault="00C5044A" w:rsidP="00312E88">
            <w:pPr>
              <w:jc w:val="right"/>
              <w:rPr>
                <w:rFonts w:cs="Arial"/>
                <w:b/>
                <w:bCs/>
                <w:color w:val="000000"/>
                <w:sz w:val="16"/>
                <w:szCs w:val="16"/>
              </w:rPr>
            </w:pPr>
            <w:r w:rsidRPr="00F40671">
              <w:rPr>
                <w:rFonts w:cs="Arial"/>
                <w:b/>
                <w:bCs/>
                <w:color w:val="000000"/>
                <w:sz w:val="16"/>
                <w:szCs w:val="16"/>
              </w:rPr>
              <w:t>-2%</w:t>
            </w:r>
          </w:p>
        </w:tc>
      </w:tr>
    </w:tbl>
    <w:p w14:paraId="7AD4A40F" w14:textId="4644B35F" w:rsidR="005047B2" w:rsidRDefault="005047B2" w:rsidP="005047B2">
      <w:pPr>
        <w:pStyle w:val="FSRnormal"/>
      </w:pPr>
      <w:r w:rsidRPr="00CA035D" w:rsidDel="00823A40">
        <w:t xml:space="preserve"> </w:t>
      </w:r>
    </w:p>
    <w:p w14:paraId="54A22E82" w14:textId="6CDF19C0" w:rsidR="00C92165" w:rsidRDefault="00C92165" w:rsidP="005047B2">
      <w:pPr>
        <w:pStyle w:val="FSRnormal"/>
      </w:pPr>
    </w:p>
    <w:p w14:paraId="45EBC380" w14:textId="00B7DCF2" w:rsidR="00C92165" w:rsidRDefault="00C92165" w:rsidP="005047B2">
      <w:pPr>
        <w:pStyle w:val="FSRnormal"/>
      </w:pPr>
    </w:p>
    <w:p w14:paraId="28A3E26B" w14:textId="3231E6AF" w:rsidR="00C92165" w:rsidRDefault="00C92165" w:rsidP="005047B2">
      <w:pPr>
        <w:pStyle w:val="FSRnormal"/>
      </w:pPr>
    </w:p>
    <w:p w14:paraId="3F6B9550" w14:textId="1D4BF611" w:rsidR="00C92165" w:rsidRDefault="00C92165" w:rsidP="005047B2">
      <w:pPr>
        <w:pStyle w:val="FSRnormal"/>
      </w:pPr>
    </w:p>
    <w:p w14:paraId="062BBDCD" w14:textId="571D09DC" w:rsidR="00C92165" w:rsidRDefault="00C92165" w:rsidP="005047B2">
      <w:pPr>
        <w:pStyle w:val="FSRnormal"/>
      </w:pPr>
    </w:p>
    <w:p w14:paraId="10101318" w14:textId="77777777" w:rsidR="00C92165" w:rsidRDefault="00C92165" w:rsidP="005047B2">
      <w:pPr>
        <w:pStyle w:val="FSRnormal"/>
      </w:pPr>
    </w:p>
    <w:p w14:paraId="5DCE7488" w14:textId="304C6C62" w:rsidR="005047B2" w:rsidRPr="00174189" w:rsidRDefault="005047B2" w:rsidP="005047B2">
      <w:pPr>
        <w:pStyle w:val="FSRHeading4"/>
      </w:pPr>
      <w:r>
        <w:lastRenderedPageBreak/>
        <w:t xml:space="preserve">Participant </w:t>
      </w:r>
      <w:r w:rsidRPr="00174189">
        <w:t xml:space="preserve">Costs by </w:t>
      </w:r>
      <w:r>
        <w:t>Disability Group</w:t>
      </w:r>
    </w:p>
    <w:p w14:paraId="03F56212" w14:textId="2CEA2731" w:rsidR="005047B2" w:rsidRPr="00CA035D" w:rsidRDefault="005047B2" w:rsidP="005047B2">
      <w:pPr>
        <w:pStyle w:val="Caption"/>
        <w:keepNext/>
      </w:pPr>
      <w:r w:rsidRPr="002735DF">
        <w:t xml:space="preserve">Table </w:t>
      </w:r>
      <w:fldSimple w:instr=" SEQ Table \* ARABIC ">
        <w:r w:rsidR="00E50032">
          <w:rPr>
            <w:noProof/>
          </w:rPr>
          <w:t>62</w:t>
        </w:r>
      </w:fldSimple>
      <w:r w:rsidRPr="002735DF">
        <w:t xml:space="preserve"> </w:t>
      </w:r>
      <w:r w:rsidRPr="00CA035D">
        <w:t xml:space="preserve">Change in projected participant costs by </w:t>
      </w:r>
      <w:r>
        <w:t>disability</w:t>
      </w:r>
      <w:r w:rsidRPr="00CA035D">
        <w:t xml:space="preserve"> group (cash basis)</w:t>
      </w:r>
    </w:p>
    <w:tbl>
      <w:tblPr>
        <w:tblW w:w="5003" w:type="pct"/>
        <w:tblLook w:val="04A0" w:firstRow="1" w:lastRow="0" w:firstColumn="1" w:lastColumn="0" w:noHBand="0" w:noVBand="1"/>
      </w:tblPr>
      <w:tblGrid>
        <w:gridCol w:w="3082"/>
        <w:gridCol w:w="1187"/>
        <w:gridCol w:w="1187"/>
        <w:gridCol w:w="1187"/>
        <w:gridCol w:w="1187"/>
        <w:gridCol w:w="1191"/>
      </w:tblGrid>
      <w:tr w:rsidR="00C92165" w:rsidRPr="00F40671" w14:paraId="22B8BC24" w14:textId="77777777" w:rsidTr="00312E88">
        <w:trPr>
          <w:trHeight w:val="300"/>
          <w:tblHeader/>
        </w:trPr>
        <w:tc>
          <w:tcPr>
            <w:tcW w:w="1708" w:type="pct"/>
            <w:tcBorders>
              <w:top w:val="single" w:sz="4" w:space="0" w:color="auto"/>
              <w:left w:val="single" w:sz="4" w:space="0" w:color="auto"/>
              <w:bottom w:val="nil"/>
              <w:right w:val="nil"/>
            </w:tcBorders>
            <w:shd w:val="clear" w:color="000000" w:fill="6B2976"/>
            <w:vAlign w:val="center"/>
            <w:hideMark/>
          </w:tcPr>
          <w:p w14:paraId="4771FEF1" w14:textId="77777777" w:rsidR="00C92165" w:rsidRPr="00F40671" w:rsidRDefault="00C92165" w:rsidP="00312E88">
            <w:pPr>
              <w:rPr>
                <w:rFonts w:cs="Arial"/>
                <w:b/>
                <w:bCs/>
                <w:color w:val="FFFFFF"/>
                <w:sz w:val="16"/>
                <w:szCs w:val="16"/>
              </w:rPr>
            </w:pPr>
            <w:r w:rsidRPr="00F40671">
              <w:rPr>
                <w:rFonts w:cs="Arial"/>
                <w:b/>
                <w:bCs/>
                <w:color w:val="FFFFFF"/>
                <w:sz w:val="16"/>
                <w:szCs w:val="16"/>
              </w:rPr>
              <w:t>Participant Costs ($m)</w:t>
            </w:r>
          </w:p>
        </w:tc>
        <w:tc>
          <w:tcPr>
            <w:tcW w:w="658" w:type="pct"/>
            <w:tcBorders>
              <w:top w:val="nil"/>
              <w:left w:val="single" w:sz="4" w:space="0" w:color="auto"/>
              <w:bottom w:val="nil"/>
              <w:right w:val="nil"/>
            </w:tcBorders>
            <w:shd w:val="clear" w:color="000000" w:fill="6B2976"/>
            <w:noWrap/>
            <w:vAlign w:val="bottom"/>
            <w:hideMark/>
          </w:tcPr>
          <w:p w14:paraId="7B4E404F" w14:textId="77777777" w:rsidR="00C92165" w:rsidRPr="00F40671" w:rsidRDefault="00C92165" w:rsidP="00312E88">
            <w:pPr>
              <w:jc w:val="right"/>
              <w:rPr>
                <w:rFonts w:cs="Arial"/>
                <w:b/>
                <w:bCs/>
                <w:color w:val="FFFFFF"/>
                <w:sz w:val="16"/>
                <w:szCs w:val="16"/>
              </w:rPr>
            </w:pPr>
            <w:r w:rsidRPr="00F40671">
              <w:rPr>
                <w:rFonts w:cs="Arial"/>
                <w:b/>
                <w:bCs/>
                <w:color w:val="FFFFFF"/>
                <w:sz w:val="16"/>
                <w:szCs w:val="16"/>
              </w:rPr>
              <w:t>2021-22</w:t>
            </w:r>
          </w:p>
        </w:tc>
        <w:tc>
          <w:tcPr>
            <w:tcW w:w="658" w:type="pct"/>
            <w:tcBorders>
              <w:top w:val="nil"/>
              <w:left w:val="nil"/>
              <w:bottom w:val="nil"/>
              <w:right w:val="nil"/>
            </w:tcBorders>
            <w:shd w:val="clear" w:color="000000" w:fill="6B2976"/>
            <w:noWrap/>
            <w:vAlign w:val="bottom"/>
            <w:hideMark/>
          </w:tcPr>
          <w:p w14:paraId="040611F6" w14:textId="77777777" w:rsidR="00C92165" w:rsidRPr="00F40671" w:rsidRDefault="00C92165" w:rsidP="00312E88">
            <w:pPr>
              <w:jc w:val="right"/>
              <w:rPr>
                <w:rFonts w:cs="Arial"/>
                <w:b/>
                <w:bCs/>
                <w:color w:val="FFFFFF"/>
                <w:sz w:val="16"/>
                <w:szCs w:val="16"/>
              </w:rPr>
            </w:pPr>
            <w:r w:rsidRPr="00F40671">
              <w:rPr>
                <w:rFonts w:cs="Arial"/>
                <w:b/>
                <w:bCs/>
                <w:color w:val="FFFFFF"/>
                <w:sz w:val="16"/>
                <w:szCs w:val="16"/>
              </w:rPr>
              <w:t>2022-23</w:t>
            </w:r>
          </w:p>
        </w:tc>
        <w:tc>
          <w:tcPr>
            <w:tcW w:w="658" w:type="pct"/>
            <w:tcBorders>
              <w:top w:val="nil"/>
              <w:left w:val="nil"/>
              <w:bottom w:val="nil"/>
              <w:right w:val="nil"/>
            </w:tcBorders>
            <w:shd w:val="clear" w:color="000000" w:fill="6B2976"/>
            <w:noWrap/>
            <w:vAlign w:val="bottom"/>
            <w:hideMark/>
          </w:tcPr>
          <w:p w14:paraId="77EBB632" w14:textId="77777777" w:rsidR="00C92165" w:rsidRPr="00F40671" w:rsidRDefault="00C92165" w:rsidP="00312E88">
            <w:pPr>
              <w:jc w:val="right"/>
              <w:rPr>
                <w:rFonts w:cs="Arial"/>
                <w:b/>
                <w:bCs/>
                <w:color w:val="FFFFFF"/>
                <w:sz w:val="16"/>
                <w:szCs w:val="16"/>
              </w:rPr>
            </w:pPr>
            <w:r w:rsidRPr="00F40671">
              <w:rPr>
                <w:rFonts w:cs="Arial"/>
                <w:b/>
                <w:bCs/>
                <w:color w:val="FFFFFF"/>
                <w:sz w:val="16"/>
                <w:szCs w:val="16"/>
              </w:rPr>
              <w:t>2023-24</w:t>
            </w:r>
          </w:p>
        </w:tc>
        <w:tc>
          <w:tcPr>
            <w:tcW w:w="658" w:type="pct"/>
            <w:tcBorders>
              <w:top w:val="nil"/>
              <w:left w:val="nil"/>
              <w:bottom w:val="nil"/>
              <w:right w:val="nil"/>
            </w:tcBorders>
            <w:shd w:val="clear" w:color="000000" w:fill="6B2976"/>
            <w:noWrap/>
            <w:vAlign w:val="bottom"/>
            <w:hideMark/>
          </w:tcPr>
          <w:p w14:paraId="28B9A655" w14:textId="77777777" w:rsidR="00C92165" w:rsidRPr="00F40671" w:rsidRDefault="00C92165" w:rsidP="00312E88">
            <w:pPr>
              <w:jc w:val="right"/>
              <w:rPr>
                <w:rFonts w:cs="Arial"/>
                <w:b/>
                <w:bCs/>
                <w:color w:val="FFFFFF"/>
                <w:sz w:val="16"/>
                <w:szCs w:val="16"/>
              </w:rPr>
            </w:pPr>
            <w:r w:rsidRPr="00F40671">
              <w:rPr>
                <w:rFonts w:cs="Arial"/>
                <w:b/>
                <w:bCs/>
                <w:color w:val="FFFFFF"/>
                <w:sz w:val="16"/>
                <w:szCs w:val="16"/>
              </w:rPr>
              <w:t>2024-25</w:t>
            </w:r>
          </w:p>
        </w:tc>
        <w:tc>
          <w:tcPr>
            <w:tcW w:w="660" w:type="pct"/>
            <w:tcBorders>
              <w:top w:val="nil"/>
              <w:left w:val="dotted" w:sz="4" w:space="0" w:color="auto"/>
              <w:bottom w:val="nil"/>
              <w:right w:val="single" w:sz="4" w:space="0" w:color="auto"/>
            </w:tcBorders>
            <w:shd w:val="clear" w:color="000000" w:fill="6B2976"/>
            <w:noWrap/>
            <w:vAlign w:val="bottom"/>
            <w:hideMark/>
          </w:tcPr>
          <w:p w14:paraId="752EE29E" w14:textId="77777777" w:rsidR="00C92165" w:rsidRPr="00F40671" w:rsidRDefault="00C92165" w:rsidP="00312E88">
            <w:pPr>
              <w:jc w:val="right"/>
              <w:rPr>
                <w:rFonts w:cs="Arial"/>
                <w:b/>
                <w:bCs/>
                <w:color w:val="FFFFFF"/>
                <w:sz w:val="16"/>
                <w:szCs w:val="16"/>
              </w:rPr>
            </w:pPr>
            <w:r w:rsidRPr="00F40671">
              <w:rPr>
                <w:rFonts w:cs="Arial"/>
                <w:b/>
                <w:bCs/>
                <w:color w:val="FFFFFF"/>
                <w:sz w:val="16"/>
                <w:szCs w:val="16"/>
              </w:rPr>
              <w:t>2029-30</w:t>
            </w:r>
          </w:p>
        </w:tc>
      </w:tr>
      <w:tr w:rsidR="00C92165" w:rsidRPr="00F40671" w14:paraId="497C3A1D" w14:textId="77777777" w:rsidTr="00312E88">
        <w:trPr>
          <w:trHeight w:val="300"/>
        </w:trPr>
        <w:tc>
          <w:tcPr>
            <w:tcW w:w="1708" w:type="pct"/>
            <w:tcBorders>
              <w:top w:val="single" w:sz="4" w:space="0" w:color="auto"/>
              <w:left w:val="single" w:sz="4" w:space="0" w:color="auto"/>
              <w:bottom w:val="single" w:sz="4" w:space="0" w:color="auto"/>
              <w:right w:val="nil"/>
            </w:tcBorders>
            <w:shd w:val="clear" w:color="000000" w:fill="F7EEF7"/>
            <w:noWrap/>
            <w:vAlign w:val="bottom"/>
            <w:hideMark/>
          </w:tcPr>
          <w:p w14:paraId="2416648E" w14:textId="77777777" w:rsidR="00C92165" w:rsidRPr="00F40671" w:rsidRDefault="00C92165" w:rsidP="00312E88">
            <w:pPr>
              <w:rPr>
                <w:rFonts w:cs="Arial"/>
                <w:b/>
                <w:bCs/>
                <w:color w:val="000000"/>
                <w:sz w:val="16"/>
                <w:szCs w:val="16"/>
              </w:rPr>
            </w:pPr>
            <w:r w:rsidRPr="00F40671">
              <w:rPr>
                <w:rFonts w:cs="Arial"/>
                <w:b/>
                <w:bCs/>
                <w:color w:val="000000"/>
                <w:sz w:val="16"/>
                <w:szCs w:val="16"/>
              </w:rPr>
              <w:t>2020-21 AFSR</w:t>
            </w:r>
          </w:p>
        </w:tc>
        <w:tc>
          <w:tcPr>
            <w:tcW w:w="658" w:type="pct"/>
            <w:tcBorders>
              <w:top w:val="single" w:sz="4" w:space="0" w:color="auto"/>
              <w:left w:val="nil"/>
              <w:bottom w:val="single" w:sz="4" w:space="0" w:color="auto"/>
              <w:right w:val="nil"/>
            </w:tcBorders>
            <w:shd w:val="clear" w:color="000000" w:fill="F7EEF7"/>
            <w:noWrap/>
            <w:vAlign w:val="bottom"/>
            <w:hideMark/>
          </w:tcPr>
          <w:p w14:paraId="0A1C6D43"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single" w:sz="4" w:space="0" w:color="auto"/>
              <w:left w:val="nil"/>
              <w:bottom w:val="single" w:sz="4" w:space="0" w:color="auto"/>
              <w:right w:val="nil"/>
            </w:tcBorders>
            <w:shd w:val="clear" w:color="000000" w:fill="F7EEF7"/>
            <w:noWrap/>
            <w:vAlign w:val="bottom"/>
            <w:hideMark/>
          </w:tcPr>
          <w:p w14:paraId="7F98565D"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single" w:sz="4" w:space="0" w:color="auto"/>
              <w:left w:val="nil"/>
              <w:bottom w:val="single" w:sz="4" w:space="0" w:color="auto"/>
              <w:right w:val="nil"/>
            </w:tcBorders>
            <w:shd w:val="clear" w:color="000000" w:fill="F7EEF7"/>
            <w:noWrap/>
            <w:vAlign w:val="bottom"/>
            <w:hideMark/>
          </w:tcPr>
          <w:p w14:paraId="12362260"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single" w:sz="4" w:space="0" w:color="auto"/>
              <w:left w:val="nil"/>
              <w:bottom w:val="single" w:sz="4" w:space="0" w:color="auto"/>
              <w:right w:val="nil"/>
            </w:tcBorders>
            <w:shd w:val="clear" w:color="000000" w:fill="F7EEF7"/>
            <w:noWrap/>
            <w:vAlign w:val="bottom"/>
            <w:hideMark/>
          </w:tcPr>
          <w:p w14:paraId="41D188A1"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60" w:type="pct"/>
            <w:tcBorders>
              <w:top w:val="single" w:sz="4" w:space="0" w:color="auto"/>
              <w:left w:val="nil"/>
              <w:bottom w:val="single" w:sz="4" w:space="0" w:color="auto"/>
              <w:right w:val="single" w:sz="4" w:space="0" w:color="auto"/>
            </w:tcBorders>
            <w:shd w:val="clear" w:color="000000" w:fill="F7EEF7"/>
            <w:noWrap/>
            <w:vAlign w:val="bottom"/>
            <w:hideMark/>
          </w:tcPr>
          <w:p w14:paraId="1E735478"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r>
      <w:tr w:rsidR="00C92165" w:rsidRPr="00F40671" w14:paraId="1DEAD48C" w14:textId="77777777" w:rsidTr="00312E88">
        <w:trPr>
          <w:trHeight w:val="300"/>
        </w:trPr>
        <w:tc>
          <w:tcPr>
            <w:tcW w:w="1708" w:type="pct"/>
            <w:tcBorders>
              <w:top w:val="nil"/>
              <w:left w:val="single" w:sz="4" w:space="0" w:color="auto"/>
              <w:bottom w:val="nil"/>
              <w:right w:val="nil"/>
            </w:tcBorders>
            <w:shd w:val="clear" w:color="auto" w:fill="auto"/>
            <w:noWrap/>
            <w:vAlign w:val="bottom"/>
            <w:hideMark/>
          </w:tcPr>
          <w:p w14:paraId="3DCE3F0E" w14:textId="77777777" w:rsidR="00C92165" w:rsidRPr="00F40671" w:rsidRDefault="00C92165" w:rsidP="00312E88">
            <w:pPr>
              <w:rPr>
                <w:rFonts w:cs="Arial"/>
                <w:color w:val="000000"/>
                <w:sz w:val="16"/>
                <w:szCs w:val="16"/>
              </w:rPr>
            </w:pPr>
            <w:r w:rsidRPr="00F40671">
              <w:rPr>
                <w:rFonts w:cs="Arial"/>
                <w:color w:val="000000"/>
                <w:sz w:val="16"/>
                <w:szCs w:val="16"/>
              </w:rPr>
              <w:t>Autism</w:t>
            </w:r>
          </w:p>
        </w:tc>
        <w:tc>
          <w:tcPr>
            <w:tcW w:w="658" w:type="pct"/>
            <w:tcBorders>
              <w:top w:val="nil"/>
              <w:left w:val="single" w:sz="4" w:space="0" w:color="auto"/>
              <w:bottom w:val="nil"/>
              <w:right w:val="nil"/>
            </w:tcBorders>
            <w:shd w:val="clear" w:color="auto" w:fill="auto"/>
            <w:noWrap/>
            <w:vAlign w:val="bottom"/>
            <w:hideMark/>
          </w:tcPr>
          <w:p w14:paraId="2C55D1BB" w14:textId="77777777" w:rsidR="00C92165" w:rsidRPr="00F40671" w:rsidRDefault="00C92165" w:rsidP="00312E88">
            <w:pPr>
              <w:jc w:val="right"/>
              <w:rPr>
                <w:rFonts w:cs="Arial"/>
                <w:color w:val="000000"/>
                <w:sz w:val="16"/>
                <w:szCs w:val="16"/>
              </w:rPr>
            </w:pPr>
            <w:r w:rsidRPr="00F40671">
              <w:rPr>
                <w:rFonts w:cs="Arial"/>
                <w:color w:val="000000"/>
                <w:sz w:val="16"/>
                <w:szCs w:val="16"/>
              </w:rPr>
              <w:t>5,856</w:t>
            </w:r>
          </w:p>
        </w:tc>
        <w:tc>
          <w:tcPr>
            <w:tcW w:w="658" w:type="pct"/>
            <w:tcBorders>
              <w:top w:val="nil"/>
              <w:left w:val="nil"/>
              <w:bottom w:val="nil"/>
              <w:right w:val="nil"/>
            </w:tcBorders>
            <w:shd w:val="clear" w:color="auto" w:fill="auto"/>
            <w:noWrap/>
            <w:vAlign w:val="bottom"/>
            <w:hideMark/>
          </w:tcPr>
          <w:p w14:paraId="735BBE02" w14:textId="77777777" w:rsidR="00C92165" w:rsidRPr="00F40671" w:rsidRDefault="00C92165" w:rsidP="00312E88">
            <w:pPr>
              <w:jc w:val="right"/>
              <w:rPr>
                <w:rFonts w:cs="Arial"/>
                <w:color w:val="000000"/>
                <w:sz w:val="16"/>
                <w:szCs w:val="16"/>
              </w:rPr>
            </w:pPr>
            <w:r w:rsidRPr="00F40671">
              <w:rPr>
                <w:rFonts w:cs="Arial"/>
                <w:color w:val="000000"/>
                <w:sz w:val="16"/>
                <w:szCs w:val="16"/>
              </w:rPr>
              <w:t>7,216</w:t>
            </w:r>
          </w:p>
        </w:tc>
        <w:tc>
          <w:tcPr>
            <w:tcW w:w="658" w:type="pct"/>
            <w:tcBorders>
              <w:top w:val="nil"/>
              <w:left w:val="nil"/>
              <w:bottom w:val="nil"/>
              <w:right w:val="nil"/>
            </w:tcBorders>
            <w:shd w:val="clear" w:color="auto" w:fill="auto"/>
            <w:noWrap/>
            <w:vAlign w:val="bottom"/>
            <w:hideMark/>
          </w:tcPr>
          <w:p w14:paraId="21955315" w14:textId="77777777" w:rsidR="00C92165" w:rsidRPr="00F40671" w:rsidRDefault="00C92165" w:rsidP="00312E88">
            <w:pPr>
              <w:jc w:val="right"/>
              <w:rPr>
                <w:rFonts w:cs="Arial"/>
                <w:color w:val="000000"/>
                <w:sz w:val="16"/>
                <w:szCs w:val="16"/>
              </w:rPr>
            </w:pPr>
            <w:r w:rsidRPr="00F40671">
              <w:rPr>
                <w:rFonts w:cs="Arial"/>
                <w:color w:val="000000"/>
                <w:sz w:val="16"/>
                <w:szCs w:val="16"/>
              </w:rPr>
              <w:t>8,545</w:t>
            </w:r>
          </w:p>
        </w:tc>
        <w:tc>
          <w:tcPr>
            <w:tcW w:w="658" w:type="pct"/>
            <w:tcBorders>
              <w:top w:val="dotted" w:sz="4" w:space="0" w:color="auto"/>
              <w:left w:val="nil"/>
              <w:bottom w:val="nil"/>
              <w:right w:val="nil"/>
            </w:tcBorders>
            <w:shd w:val="clear" w:color="auto" w:fill="auto"/>
            <w:noWrap/>
            <w:vAlign w:val="bottom"/>
            <w:hideMark/>
          </w:tcPr>
          <w:p w14:paraId="78A105F2" w14:textId="77777777" w:rsidR="00C92165" w:rsidRPr="00F40671" w:rsidRDefault="00C92165" w:rsidP="00312E88">
            <w:pPr>
              <w:jc w:val="right"/>
              <w:rPr>
                <w:rFonts w:cs="Arial"/>
                <w:color w:val="000000"/>
                <w:sz w:val="16"/>
                <w:szCs w:val="16"/>
              </w:rPr>
            </w:pPr>
            <w:r w:rsidRPr="00F40671">
              <w:rPr>
                <w:rFonts w:cs="Arial"/>
                <w:color w:val="000000"/>
                <w:sz w:val="16"/>
                <w:szCs w:val="16"/>
              </w:rPr>
              <w:t>9,797</w:t>
            </w:r>
          </w:p>
        </w:tc>
        <w:tc>
          <w:tcPr>
            <w:tcW w:w="660" w:type="pct"/>
            <w:tcBorders>
              <w:top w:val="nil"/>
              <w:left w:val="dotted" w:sz="4" w:space="0" w:color="auto"/>
              <w:bottom w:val="nil"/>
              <w:right w:val="single" w:sz="4" w:space="0" w:color="auto"/>
            </w:tcBorders>
            <w:shd w:val="clear" w:color="auto" w:fill="auto"/>
            <w:noWrap/>
            <w:vAlign w:val="bottom"/>
            <w:hideMark/>
          </w:tcPr>
          <w:p w14:paraId="546E1364" w14:textId="77777777" w:rsidR="00C92165" w:rsidRPr="00F40671" w:rsidRDefault="00C92165" w:rsidP="00312E88">
            <w:pPr>
              <w:jc w:val="right"/>
              <w:rPr>
                <w:rFonts w:cs="Arial"/>
                <w:color w:val="000000"/>
                <w:sz w:val="16"/>
                <w:szCs w:val="16"/>
              </w:rPr>
            </w:pPr>
            <w:r w:rsidRPr="00F40671">
              <w:rPr>
                <w:rFonts w:cs="Arial"/>
                <w:color w:val="000000"/>
                <w:sz w:val="16"/>
                <w:szCs w:val="16"/>
              </w:rPr>
              <w:t>17,586</w:t>
            </w:r>
          </w:p>
        </w:tc>
      </w:tr>
      <w:tr w:rsidR="00C92165" w:rsidRPr="00F40671" w14:paraId="1A420037" w14:textId="77777777" w:rsidTr="00312E88">
        <w:trPr>
          <w:trHeight w:val="300"/>
        </w:trPr>
        <w:tc>
          <w:tcPr>
            <w:tcW w:w="1708" w:type="pct"/>
            <w:tcBorders>
              <w:top w:val="nil"/>
              <w:left w:val="single" w:sz="4" w:space="0" w:color="auto"/>
              <w:bottom w:val="nil"/>
              <w:right w:val="nil"/>
            </w:tcBorders>
            <w:shd w:val="clear" w:color="auto" w:fill="auto"/>
            <w:noWrap/>
            <w:vAlign w:val="bottom"/>
            <w:hideMark/>
          </w:tcPr>
          <w:p w14:paraId="54E8C3F1" w14:textId="77777777" w:rsidR="00C92165" w:rsidRPr="00F40671" w:rsidRDefault="00C92165" w:rsidP="00312E88">
            <w:pPr>
              <w:rPr>
                <w:rFonts w:cs="Arial"/>
                <w:color w:val="000000"/>
                <w:sz w:val="16"/>
                <w:szCs w:val="16"/>
              </w:rPr>
            </w:pPr>
            <w:r w:rsidRPr="00F40671">
              <w:rPr>
                <w:rFonts w:cs="Arial"/>
                <w:color w:val="000000"/>
                <w:sz w:val="16"/>
                <w:szCs w:val="16"/>
              </w:rPr>
              <w:t>Intellectual Disability</w:t>
            </w:r>
          </w:p>
        </w:tc>
        <w:tc>
          <w:tcPr>
            <w:tcW w:w="658" w:type="pct"/>
            <w:tcBorders>
              <w:top w:val="nil"/>
              <w:left w:val="single" w:sz="4" w:space="0" w:color="auto"/>
              <w:bottom w:val="nil"/>
              <w:right w:val="nil"/>
            </w:tcBorders>
            <w:shd w:val="clear" w:color="auto" w:fill="auto"/>
            <w:noWrap/>
            <w:vAlign w:val="bottom"/>
            <w:hideMark/>
          </w:tcPr>
          <w:p w14:paraId="00B1E087" w14:textId="77777777" w:rsidR="00C92165" w:rsidRPr="00F40671" w:rsidRDefault="00C92165" w:rsidP="00312E88">
            <w:pPr>
              <w:jc w:val="right"/>
              <w:rPr>
                <w:rFonts w:cs="Arial"/>
                <w:color w:val="000000"/>
                <w:sz w:val="16"/>
                <w:szCs w:val="16"/>
              </w:rPr>
            </w:pPr>
            <w:r w:rsidRPr="00F40671">
              <w:rPr>
                <w:rFonts w:cs="Arial"/>
                <w:color w:val="000000"/>
                <w:sz w:val="16"/>
                <w:szCs w:val="16"/>
              </w:rPr>
              <w:t>8,878</w:t>
            </w:r>
          </w:p>
        </w:tc>
        <w:tc>
          <w:tcPr>
            <w:tcW w:w="658" w:type="pct"/>
            <w:tcBorders>
              <w:top w:val="nil"/>
              <w:left w:val="nil"/>
              <w:bottom w:val="nil"/>
              <w:right w:val="nil"/>
            </w:tcBorders>
            <w:shd w:val="clear" w:color="auto" w:fill="auto"/>
            <w:noWrap/>
            <w:vAlign w:val="bottom"/>
            <w:hideMark/>
          </w:tcPr>
          <w:p w14:paraId="42FF44B4" w14:textId="77777777" w:rsidR="00C92165" w:rsidRPr="00F40671" w:rsidRDefault="00C92165" w:rsidP="00312E88">
            <w:pPr>
              <w:jc w:val="right"/>
              <w:rPr>
                <w:rFonts w:cs="Arial"/>
                <w:color w:val="000000"/>
                <w:sz w:val="16"/>
                <w:szCs w:val="16"/>
              </w:rPr>
            </w:pPr>
            <w:r w:rsidRPr="00F40671">
              <w:rPr>
                <w:rFonts w:cs="Arial"/>
                <w:color w:val="000000"/>
                <w:sz w:val="16"/>
                <w:szCs w:val="16"/>
              </w:rPr>
              <w:t>9,838</w:t>
            </w:r>
          </w:p>
        </w:tc>
        <w:tc>
          <w:tcPr>
            <w:tcW w:w="658" w:type="pct"/>
            <w:tcBorders>
              <w:top w:val="nil"/>
              <w:left w:val="nil"/>
              <w:bottom w:val="nil"/>
              <w:right w:val="nil"/>
            </w:tcBorders>
            <w:shd w:val="clear" w:color="auto" w:fill="auto"/>
            <w:noWrap/>
            <w:vAlign w:val="bottom"/>
            <w:hideMark/>
          </w:tcPr>
          <w:p w14:paraId="55FB86EE" w14:textId="77777777" w:rsidR="00C92165" w:rsidRPr="00F40671" w:rsidRDefault="00C92165" w:rsidP="00312E88">
            <w:pPr>
              <w:jc w:val="right"/>
              <w:rPr>
                <w:rFonts w:cs="Arial"/>
                <w:color w:val="000000"/>
                <w:sz w:val="16"/>
                <w:szCs w:val="16"/>
              </w:rPr>
            </w:pPr>
            <w:r w:rsidRPr="00F40671">
              <w:rPr>
                <w:rFonts w:cs="Arial"/>
                <w:color w:val="000000"/>
                <w:sz w:val="16"/>
                <w:szCs w:val="16"/>
              </w:rPr>
              <w:t>10,670</w:t>
            </w:r>
          </w:p>
        </w:tc>
        <w:tc>
          <w:tcPr>
            <w:tcW w:w="658" w:type="pct"/>
            <w:tcBorders>
              <w:top w:val="nil"/>
              <w:left w:val="nil"/>
              <w:bottom w:val="nil"/>
              <w:right w:val="nil"/>
            </w:tcBorders>
            <w:shd w:val="clear" w:color="auto" w:fill="auto"/>
            <w:noWrap/>
            <w:vAlign w:val="bottom"/>
            <w:hideMark/>
          </w:tcPr>
          <w:p w14:paraId="2D744017" w14:textId="77777777" w:rsidR="00C92165" w:rsidRPr="00F40671" w:rsidRDefault="00C92165" w:rsidP="00312E88">
            <w:pPr>
              <w:jc w:val="right"/>
              <w:rPr>
                <w:rFonts w:cs="Arial"/>
                <w:color w:val="000000"/>
                <w:sz w:val="16"/>
                <w:szCs w:val="16"/>
              </w:rPr>
            </w:pPr>
            <w:r w:rsidRPr="00F40671">
              <w:rPr>
                <w:rFonts w:cs="Arial"/>
                <w:color w:val="000000"/>
                <w:sz w:val="16"/>
                <w:szCs w:val="16"/>
              </w:rPr>
              <w:t>11,376</w:t>
            </w:r>
          </w:p>
        </w:tc>
        <w:tc>
          <w:tcPr>
            <w:tcW w:w="660" w:type="pct"/>
            <w:tcBorders>
              <w:top w:val="nil"/>
              <w:left w:val="dotted" w:sz="4" w:space="0" w:color="auto"/>
              <w:bottom w:val="nil"/>
              <w:right w:val="single" w:sz="4" w:space="0" w:color="auto"/>
            </w:tcBorders>
            <w:shd w:val="clear" w:color="auto" w:fill="auto"/>
            <w:noWrap/>
            <w:vAlign w:val="bottom"/>
            <w:hideMark/>
          </w:tcPr>
          <w:p w14:paraId="5FCB6DD9" w14:textId="77777777" w:rsidR="00C92165" w:rsidRPr="00F40671" w:rsidRDefault="00C92165" w:rsidP="00312E88">
            <w:pPr>
              <w:jc w:val="right"/>
              <w:rPr>
                <w:rFonts w:cs="Arial"/>
                <w:color w:val="000000"/>
                <w:sz w:val="16"/>
                <w:szCs w:val="16"/>
              </w:rPr>
            </w:pPr>
            <w:r w:rsidRPr="00F40671">
              <w:rPr>
                <w:rFonts w:cs="Arial"/>
                <w:color w:val="000000"/>
                <w:sz w:val="16"/>
                <w:szCs w:val="16"/>
              </w:rPr>
              <w:t>15,030</w:t>
            </w:r>
          </w:p>
        </w:tc>
      </w:tr>
      <w:tr w:rsidR="00C92165" w:rsidRPr="00F40671" w14:paraId="32664AFD" w14:textId="77777777" w:rsidTr="00312E88">
        <w:trPr>
          <w:trHeight w:val="300"/>
        </w:trPr>
        <w:tc>
          <w:tcPr>
            <w:tcW w:w="1708" w:type="pct"/>
            <w:tcBorders>
              <w:top w:val="nil"/>
              <w:left w:val="single" w:sz="4" w:space="0" w:color="auto"/>
              <w:bottom w:val="nil"/>
              <w:right w:val="nil"/>
            </w:tcBorders>
            <w:shd w:val="clear" w:color="auto" w:fill="auto"/>
            <w:noWrap/>
            <w:vAlign w:val="bottom"/>
            <w:hideMark/>
          </w:tcPr>
          <w:p w14:paraId="710F0469" w14:textId="77777777" w:rsidR="00C92165" w:rsidRPr="00F40671" w:rsidRDefault="00C92165" w:rsidP="00312E88">
            <w:pPr>
              <w:rPr>
                <w:rFonts w:cs="Arial"/>
                <w:color w:val="000000"/>
                <w:sz w:val="16"/>
                <w:szCs w:val="16"/>
              </w:rPr>
            </w:pPr>
            <w:r w:rsidRPr="00F40671">
              <w:rPr>
                <w:rFonts w:cs="Arial"/>
                <w:color w:val="000000"/>
                <w:sz w:val="16"/>
                <w:szCs w:val="16"/>
              </w:rPr>
              <w:t>Psychosocial Disability</w:t>
            </w:r>
          </w:p>
        </w:tc>
        <w:tc>
          <w:tcPr>
            <w:tcW w:w="658" w:type="pct"/>
            <w:tcBorders>
              <w:top w:val="nil"/>
              <w:left w:val="single" w:sz="4" w:space="0" w:color="auto"/>
              <w:bottom w:val="nil"/>
              <w:right w:val="nil"/>
            </w:tcBorders>
            <w:shd w:val="clear" w:color="auto" w:fill="auto"/>
            <w:noWrap/>
            <w:vAlign w:val="bottom"/>
            <w:hideMark/>
          </w:tcPr>
          <w:p w14:paraId="68292674" w14:textId="77777777" w:rsidR="00C92165" w:rsidRPr="00F40671" w:rsidRDefault="00C92165" w:rsidP="00312E88">
            <w:pPr>
              <w:jc w:val="right"/>
              <w:rPr>
                <w:rFonts w:cs="Arial"/>
                <w:color w:val="000000"/>
                <w:sz w:val="16"/>
                <w:szCs w:val="16"/>
              </w:rPr>
            </w:pPr>
            <w:r w:rsidRPr="00F40671">
              <w:rPr>
                <w:rFonts w:cs="Arial"/>
                <w:color w:val="000000"/>
                <w:sz w:val="16"/>
                <w:szCs w:val="16"/>
              </w:rPr>
              <w:t>3,088</w:t>
            </w:r>
          </w:p>
        </w:tc>
        <w:tc>
          <w:tcPr>
            <w:tcW w:w="658" w:type="pct"/>
            <w:tcBorders>
              <w:top w:val="nil"/>
              <w:left w:val="nil"/>
              <w:bottom w:val="nil"/>
              <w:right w:val="nil"/>
            </w:tcBorders>
            <w:shd w:val="clear" w:color="auto" w:fill="auto"/>
            <w:noWrap/>
            <w:vAlign w:val="bottom"/>
            <w:hideMark/>
          </w:tcPr>
          <w:p w14:paraId="0DB52927" w14:textId="77777777" w:rsidR="00C92165" w:rsidRPr="00F40671" w:rsidRDefault="00C92165" w:rsidP="00312E88">
            <w:pPr>
              <w:jc w:val="right"/>
              <w:rPr>
                <w:rFonts w:cs="Arial"/>
                <w:color w:val="000000"/>
                <w:sz w:val="16"/>
                <w:szCs w:val="16"/>
              </w:rPr>
            </w:pPr>
            <w:r w:rsidRPr="00F40671">
              <w:rPr>
                <w:rFonts w:cs="Arial"/>
                <w:color w:val="000000"/>
                <w:sz w:val="16"/>
                <w:szCs w:val="16"/>
              </w:rPr>
              <w:t>3,744</w:t>
            </w:r>
          </w:p>
        </w:tc>
        <w:tc>
          <w:tcPr>
            <w:tcW w:w="658" w:type="pct"/>
            <w:tcBorders>
              <w:top w:val="nil"/>
              <w:left w:val="nil"/>
              <w:bottom w:val="nil"/>
              <w:right w:val="nil"/>
            </w:tcBorders>
            <w:shd w:val="clear" w:color="auto" w:fill="auto"/>
            <w:noWrap/>
            <w:vAlign w:val="bottom"/>
            <w:hideMark/>
          </w:tcPr>
          <w:p w14:paraId="79F87E0D" w14:textId="77777777" w:rsidR="00C92165" w:rsidRPr="00F40671" w:rsidRDefault="00C92165" w:rsidP="00312E88">
            <w:pPr>
              <w:jc w:val="right"/>
              <w:rPr>
                <w:rFonts w:cs="Arial"/>
                <w:color w:val="000000"/>
                <w:sz w:val="16"/>
                <w:szCs w:val="16"/>
              </w:rPr>
            </w:pPr>
            <w:r w:rsidRPr="00F40671">
              <w:rPr>
                <w:rFonts w:cs="Arial"/>
                <w:color w:val="000000"/>
                <w:sz w:val="16"/>
                <w:szCs w:val="16"/>
              </w:rPr>
              <w:t>4,290</w:t>
            </w:r>
          </w:p>
        </w:tc>
        <w:tc>
          <w:tcPr>
            <w:tcW w:w="658" w:type="pct"/>
            <w:tcBorders>
              <w:top w:val="nil"/>
              <w:left w:val="nil"/>
              <w:bottom w:val="nil"/>
              <w:right w:val="nil"/>
            </w:tcBorders>
            <w:shd w:val="clear" w:color="auto" w:fill="auto"/>
            <w:noWrap/>
            <w:vAlign w:val="bottom"/>
            <w:hideMark/>
          </w:tcPr>
          <w:p w14:paraId="4D08C477" w14:textId="77777777" w:rsidR="00C92165" w:rsidRPr="00F40671" w:rsidRDefault="00C92165" w:rsidP="00312E88">
            <w:pPr>
              <w:jc w:val="right"/>
              <w:rPr>
                <w:rFonts w:cs="Arial"/>
                <w:color w:val="000000"/>
                <w:sz w:val="16"/>
                <w:szCs w:val="16"/>
              </w:rPr>
            </w:pPr>
            <w:r w:rsidRPr="00F40671">
              <w:rPr>
                <w:rFonts w:cs="Arial"/>
                <w:color w:val="000000"/>
                <w:sz w:val="16"/>
                <w:szCs w:val="16"/>
              </w:rPr>
              <w:t>4,716</w:t>
            </w:r>
          </w:p>
        </w:tc>
        <w:tc>
          <w:tcPr>
            <w:tcW w:w="660" w:type="pct"/>
            <w:tcBorders>
              <w:top w:val="nil"/>
              <w:left w:val="dotted" w:sz="4" w:space="0" w:color="auto"/>
              <w:bottom w:val="nil"/>
              <w:right w:val="single" w:sz="4" w:space="0" w:color="auto"/>
            </w:tcBorders>
            <w:shd w:val="clear" w:color="auto" w:fill="auto"/>
            <w:noWrap/>
            <w:vAlign w:val="bottom"/>
            <w:hideMark/>
          </w:tcPr>
          <w:p w14:paraId="6465D9ED" w14:textId="77777777" w:rsidR="00C92165" w:rsidRPr="00F40671" w:rsidRDefault="00C92165" w:rsidP="00312E88">
            <w:pPr>
              <w:jc w:val="right"/>
              <w:rPr>
                <w:rFonts w:cs="Arial"/>
                <w:color w:val="000000"/>
                <w:sz w:val="16"/>
                <w:szCs w:val="16"/>
              </w:rPr>
            </w:pPr>
            <w:r w:rsidRPr="00F40671">
              <w:rPr>
                <w:rFonts w:cs="Arial"/>
                <w:color w:val="000000"/>
                <w:sz w:val="16"/>
                <w:szCs w:val="16"/>
              </w:rPr>
              <w:t>6,817</w:t>
            </w:r>
          </w:p>
        </w:tc>
      </w:tr>
      <w:tr w:rsidR="00C92165" w:rsidRPr="00F40671" w14:paraId="0CB23F6A" w14:textId="77777777" w:rsidTr="00312E88">
        <w:trPr>
          <w:trHeight w:val="300"/>
        </w:trPr>
        <w:tc>
          <w:tcPr>
            <w:tcW w:w="1708" w:type="pct"/>
            <w:tcBorders>
              <w:top w:val="nil"/>
              <w:left w:val="single" w:sz="4" w:space="0" w:color="auto"/>
              <w:bottom w:val="nil"/>
              <w:right w:val="nil"/>
            </w:tcBorders>
            <w:shd w:val="clear" w:color="auto" w:fill="auto"/>
            <w:noWrap/>
            <w:vAlign w:val="bottom"/>
            <w:hideMark/>
          </w:tcPr>
          <w:p w14:paraId="1957A959" w14:textId="77777777" w:rsidR="00C92165" w:rsidRPr="00F40671" w:rsidRDefault="00C92165" w:rsidP="00312E88">
            <w:pPr>
              <w:rPr>
                <w:rFonts w:cs="Arial"/>
                <w:color w:val="000000"/>
                <w:sz w:val="16"/>
                <w:szCs w:val="16"/>
              </w:rPr>
            </w:pPr>
            <w:r w:rsidRPr="00F40671">
              <w:rPr>
                <w:rFonts w:cs="Arial"/>
                <w:color w:val="000000"/>
                <w:sz w:val="16"/>
                <w:szCs w:val="16"/>
              </w:rPr>
              <w:t>Developmental Delay</w:t>
            </w:r>
          </w:p>
        </w:tc>
        <w:tc>
          <w:tcPr>
            <w:tcW w:w="658" w:type="pct"/>
            <w:tcBorders>
              <w:top w:val="nil"/>
              <w:left w:val="single" w:sz="4" w:space="0" w:color="auto"/>
              <w:bottom w:val="nil"/>
              <w:right w:val="nil"/>
            </w:tcBorders>
            <w:shd w:val="clear" w:color="auto" w:fill="auto"/>
            <w:noWrap/>
            <w:vAlign w:val="bottom"/>
            <w:hideMark/>
          </w:tcPr>
          <w:p w14:paraId="53088237" w14:textId="77777777" w:rsidR="00C92165" w:rsidRPr="00F40671" w:rsidRDefault="00C92165" w:rsidP="00312E88">
            <w:pPr>
              <w:jc w:val="right"/>
              <w:rPr>
                <w:rFonts w:cs="Arial"/>
                <w:color w:val="000000"/>
                <w:sz w:val="16"/>
                <w:szCs w:val="16"/>
              </w:rPr>
            </w:pPr>
            <w:r w:rsidRPr="00F40671">
              <w:rPr>
                <w:rFonts w:cs="Arial"/>
                <w:color w:val="000000"/>
                <w:sz w:val="16"/>
                <w:szCs w:val="16"/>
              </w:rPr>
              <w:t>667</w:t>
            </w:r>
          </w:p>
        </w:tc>
        <w:tc>
          <w:tcPr>
            <w:tcW w:w="658" w:type="pct"/>
            <w:tcBorders>
              <w:top w:val="nil"/>
              <w:left w:val="nil"/>
              <w:bottom w:val="nil"/>
              <w:right w:val="nil"/>
            </w:tcBorders>
            <w:shd w:val="clear" w:color="auto" w:fill="auto"/>
            <w:noWrap/>
            <w:vAlign w:val="bottom"/>
            <w:hideMark/>
          </w:tcPr>
          <w:p w14:paraId="08784B61" w14:textId="77777777" w:rsidR="00C92165" w:rsidRPr="00F40671" w:rsidRDefault="00C92165" w:rsidP="00312E88">
            <w:pPr>
              <w:jc w:val="right"/>
              <w:rPr>
                <w:rFonts w:cs="Arial"/>
                <w:color w:val="000000"/>
                <w:sz w:val="16"/>
                <w:szCs w:val="16"/>
              </w:rPr>
            </w:pPr>
            <w:r w:rsidRPr="00F40671">
              <w:rPr>
                <w:rFonts w:cs="Arial"/>
                <w:color w:val="000000"/>
                <w:sz w:val="16"/>
                <w:szCs w:val="16"/>
              </w:rPr>
              <w:t>857</w:t>
            </w:r>
          </w:p>
        </w:tc>
        <w:tc>
          <w:tcPr>
            <w:tcW w:w="658" w:type="pct"/>
            <w:tcBorders>
              <w:top w:val="nil"/>
              <w:left w:val="nil"/>
              <w:bottom w:val="nil"/>
              <w:right w:val="nil"/>
            </w:tcBorders>
            <w:shd w:val="clear" w:color="auto" w:fill="auto"/>
            <w:noWrap/>
            <w:vAlign w:val="bottom"/>
            <w:hideMark/>
          </w:tcPr>
          <w:p w14:paraId="09F08216" w14:textId="77777777" w:rsidR="00C92165" w:rsidRPr="00F40671" w:rsidRDefault="00C92165" w:rsidP="00312E88">
            <w:pPr>
              <w:jc w:val="right"/>
              <w:rPr>
                <w:rFonts w:cs="Arial"/>
                <w:color w:val="000000"/>
                <w:sz w:val="16"/>
                <w:szCs w:val="16"/>
              </w:rPr>
            </w:pPr>
            <w:r w:rsidRPr="00F40671">
              <w:rPr>
                <w:rFonts w:cs="Arial"/>
                <w:color w:val="000000"/>
                <w:sz w:val="16"/>
                <w:szCs w:val="16"/>
              </w:rPr>
              <w:t>1,013</w:t>
            </w:r>
          </w:p>
        </w:tc>
        <w:tc>
          <w:tcPr>
            <w:tcW w:w="658" w:type="pct"/>
            <w:tcBorders>
              <w:top w:val="nil"/>
              <w:left w:val="nil"/>
              <w:bottom w:val="nil"/>
              <w:right w:val="nil"/>
            </w:tcBorders>
            <w:shd w:val="clear" w:color="auto" w:fill="auto"/>
            <w:noWrap/>
            <w:vAlign w:val="bottom"/>
            <w:hideMark/>
          </w:tcPr>
          <w:p w14:paraId="6ABB4228" w14:textId="77777777" w:rsidR="00C92165" w:rsidRPr="00F40671" w:rsidRDefault="00C92165" w:rsidP="00312E88">
            <w:pPr>
              <w:jc w:val="right"/>
              <w:rPr>
                <w:rFonts w:cs="Arial"/>
                <w:color w:val="000000"/>
                <w:sz w:val="16"/>
                <w:szCs w:val="16"/>
              </w:rPr>
            </w:pPr>
            <w:r w:rsidRPr="00F40671">
              <w:rPr>
                <w:rFonts w:cs="Arial"/>
                <w:color w:val="000000"/>
                <w:sz w:val="16"/>
                <w:szCs w:val="16"/>
              </w:rPr>
              <w:t>1,113</w:t>
            </w:r>
          </w:p>
        </w:tc>
        <w:tc>
          <w:tcPr>
            <w:tcW w:w="660" w:type="pct"/>
            <w:tcBorders>
              <w:top w:val="nil"/>
              <w:left w:val="dotted" w:sz="4" w:space="0" w:color="auto"/>
              <w:bottom w:val="nil"/>
              <w:right w:val="single" w:sz="4" w:space="0" w:color="auto"/>
            </w:tcBorders>
            <w:shd w:val="clear" w:color="auto" w:fill="auto"/>
            <w:noWrap/>
            <w:vAlign w:val="bottom"/>
            <w:hideMark/>
          </w:tcPr>
          <w:p w14:paraId="2CE5F344" w14:textId="77777777" w:rsidR="00C92165" w:rsidRPr="00F40671" w:rsidRDefault="00C92165" w:rsidP="00312E88">
            <w:pPr>
              <w:jc w:val="right"/>
              <w:rPr>
                <w:rFonts w:cs="Arial"/>
                <w:color w:val="000000"/>
                <w:sz w:val="16"/>
                <w:szCs w:val="16"/>
              </w:rPr>
            </w:pPr>
            <w:r w:rsidRPr="00F40671">
              <w:rPr>
                <w:rFonts w:cs="Arial"/>
                <w:color w:val="000000"/>
                <w:sz w:val="16"/>
                <w:szCs w:val="16"/>
              </w:rPr>
              <w:t>1,273</w:t>
            </w:r>
          </w:p>
        </w:tc>
      </w:tr>
      <w:tr w:rsidR="00C92165" w:rsidRPr="00F40671" w14:paraId="0123F781" w14:textId="77777777" w:rsidTr="00312E88">
        <w:trPr>
          <w:trHeight w:val="300"/>
        </w:trPr>
        <w:tc>
          <w:tcPr>
            <w:tcW w:w="1708" w:type="pct"/>
            <w:tcBorders>
              <w:top w:val="nil"/>
              <w:left w:val="single" w:sz="4" w:space="0" w:color="auto"/>
              <w:bottom w:val="nil"/>
              <w:right w:val="nil"/>
            </w:tcBorders>
            <w:shd w:val="clear" w:color="auto" w:fill="auto"/>
            <w:noWrap/>
            <w:vAlign w:val="bottom"/>
            <w:hideMark/>
          </w:tcPr>
          <w:p w14:paraId="2D377277" w14:textId="77777777" w:rsidR="00C92165" w:rsidRPr="00F40671" w:rsidRDefault="00C92165" w:rsidP="00312E88">
            <w:pPr>
              <w:rPr>
                <w:rFonts w:cs="Arial"/>
                <w:color w:val="000000"/>
                <w:sz w:val="16"/>
                <w:szCs w:val="16"/>
              </w:rPr>
            </w:pPr>
            <w:r w:rsidRPr="00F40671">
              <w:rPr>
                <w:rFonts w:cs="Arial"/>
                <w:color w:val="000000"/>
                <w:sz w:val="16"/>
                <w:szCs w:val="16"/>
              </w:rPr>
              <w:t>Sensory</w:t>
            </w:r>
          </w:p>
        </w:tc>
        <w:tc>
          <w:tcPr>
            <w:tcW w:w="658" w:type="pct"/>
            <w:tcBorders>
              <w:top w:val="nil"/>
              <w:left w:val="single" w:sz="4" w:space="0" w:color="auto"/>
              <w:bottom w:val="nil"/>
              <w:right w:val="nil"/>
            </w:tcBorders>
            <w:shd w:val="clear" w:color="auto" w:fill="auto"/>
            <w:noWrap/>
            <w:vAlign w:val="bottom"/>
            <w:hideMark/>
          </w:tcPr>
          <w:p w14:paraId="432F1878" w14:textId="77777777" w:rsidR="00C92165" w:rsidRPr="00F40671" w:rsidRDefault="00C92165" w:rsidP="00312E88">
            <w:pPr>
              <w:jc w:val="right"/>
              <w:rPr>
                <w:rFonts w:cs="Arial"/>
                <w:color w:val="000000"/>
                <w:sz w:val="16"/>
                <w:szCs w:val="16"/>
              </w:rPr>
            </w:pPr>
            <w:r w:rsidRPr="00F40671">
              <w:rPr>
                <w:rFonts w:cs="Arial"/>
                <w:color w:val="000000"/>
                <w:sz w:val="16"/>
                <w:szCs w:val="16"/>
              </w:rPr>
              <w:t>551</w:t>
            </w:r>
          </w:p>
        </w:tc>
        <w:tc>
          <w:tcPr>
            <w:tcW w:w="658" w:type="pct"/>
            <w:tcBorders>
              <w:top w:val="nil"/>
              <w:left w:val="nil"/>
              <w:bottom w:val="nil"/>
              <w:right w:val="nil"/>
            </w:tcBorders>
            <w:shd w:val="clear" w:color="auto" w:fill="auto"/>
            <w:noWrap/>
            <w:vAlign w:val="bottom"/>
            <w:hideMark/>
          </w:tcPr>
          <w:p w14:paraId="00CA9A40" w14:textId="77777777" w:rsidR="00C92165" w:rsidRPr="00F40671" w:rsidRDefault="00C92165" w:rsidP="00312E88">
            <w:pPr>
              <w:jc w:val="right"/>
              <w:rPr>
                <w:rFonts w:cs="Arial"/>
                <w:color w:val="000000"/>
                <w:sz w:val="16"/>
                <w:szCs w:val="16"/>
              </w:rPr>
            </w:pPr>
            <w:r w:rsidRPr="00F40671">
              <w:rPr>
                <w:rFonts w:cs="Arial"/>
                <w:color w:val="000000"/>
                <w:sz w:val="16"/>
                <w:szCs w:val="16"/>
              </w:rPr>
              <w:t>648</w:t>
            </w:r>
          </w:p>
        </w:tc>
        <w:tc>
          <w:tcPr>
            <w:tcW w:w="658" w:type="pct"/>
            <w:tcBorders>
              <w:top w:val="nil"/>
              <w:left w:val="nil"/>
              <w:bottom w:val="nil"/>
              <w:right w:val="nil"/>
            </w:tcBorders>
            <w:shd w:val="clear" w:color="auto" w:fill="auto"/>
            <w:noWrap/>
            <w:vAlign w:val="bottom"/>
            <w:hideMark/>
          </w:tcPr>
          <w:p w14:paraId="778C36E1" w14:textId="77777777" w:rsidR="00C92165" w:rsidRPr="00F40671" w:rsidRDefault="00C92165" w:rsidP="00312E88">
            <w:pPr>
              <w:jc w:val="right"/>
              <w:rPr>
                <w:rFonts w:cs="Arial"/>
                <w:color w:val="000000"/>
                <w:sz w:val="16"/>
                <w:szCs w:val="16"/>
              </w:rPr>
            </w:pPr>
            <w:r w:rsidRPr="00F40671">
              <w:rPr>
                <w:rFonts w:cs="Arial"/>
                <w:color w:val="000000"/>
                <w:sz w:val="16"/>
                <w:szCs w:val="16"/>
              </w:rPr>
              <w:t>731</w:t>
            </w:r>
          </w:p>
        </w:tc>
        <w:tc>
          <w:tcPr>
            <w:tcW w:w="658" w:type="pct"/>
            <w:tcBorders>
              <w:top w:val="nil"/>
              <w:left w:val="nil"/>
              <w:bottom w:val="nil"/>
              <w:right w:val="nil"/>
            </w:tcBorders>
            <w:shd w:val="clear" w:color="auto" w:fill="auto"/>
            <w:noWrap/>
            <w:vAlign w:val="bottom"/>
            <w:hideMark/>
          </w:tcPr>
          <w:p w14:paraId="59224754" w14:textId="77777777" w:rsidR="00C92165" w:rsidRPr="00F40671" w:rsidRDefault="00C92165" w:rsidP="00312E88">
            <w:pPr>
              <w:jc w:val="right"/>
              <w:rPr>
                <w:rFonts w:cs="Arial"/>
                <w:color w:val="000000"/>
                <w:sz w:val="16"/>
                <w:szCs w:val="16"/>
              </w:rPr>
            </w:pPr>
            <w:r w:rsidRPr="00F40671">
              <w:rPr>
                <w:rFonts w:cs="Arial"/>
                <w:color w:val="000000"/>
                <w:sz w:val="16"/>
                <w:szCs w:val="16"/>
              </w:rPr>
              <w:t>796</w:t>
            </w:r>
          </w:p>
        </w:tc>
        <w:tc>
          <w:tcPr>
            <w:tcW w:w="660" w:type="pct"/>
            <w:tcBorders>
              <w:top w:val="nil"/>
              <w:left w:val="dotted" w:sz="4" w:space="0" w:color="auto"/>
              <w:bottom w:val="nil"/>
              <w:right w:val="single" w:sz="4" w:space="0" w:color="auto"/>
            </w:tcBorders>
            <w:shd w:val="clear" w:color="auto" w:fill="auto"/>
            <w:noWrap/>
            <w:vAlign w:val="bottom"/>
            <w:hideMark/>
          </w:tcPr>
          <w:p w14:paraId="131754FC" w14:textId="77777777" w:rsidR="00C92165" w:rsidRPr="00F40671" w:rsidRDefault="00C92165" w:rsidP="00312E88">
            <w:pPr>
              <w:jc w:val="right"/>
              <w:rPr>
                <w:rFonts w:cs="Arial"/>
                <w:color w:val="000000"/>
                <w:sz w:val="16"/>
                <w:szCs w:val="16"/>
              </w:rPr>
            </w:pPr>
            <w:r w:rsidRPr="00F40671">
              <w:rPr>
                <w:rFonts w:cs="Arial"/>
                <w:color w:val="000000"/>
                <w:sz w:val="16"/>
                <w:szCs w:val="16"/>
              </w:rPr>
              <w:t>1,092</w:t>
            </w:r>
          </w:p>
        </w:tc>
      </w:tr>
      <w:tr w:rsidR="00C92165" w:rsidRPr="00F40671" w14:paraId="3A333760" w14:textId="77777777" w:rsidTr="00312E88">
        <w:trPr>
          <w:trHeight w:val="300"/>
        </w:trPr>
        <w:tc>
          <w:tcPr>
            <w:tcW w:w="1708" w:type="pct"/>
            <w:tcBorders>
              <w:top w:val="nil"/>
              <w:left w:val="single" w:sz="4" w:space="0" w:color="auto"/>
              <w:bottom w:val="nil"/>
              <w:right w:val="nil"/>
            </w:tcBorders>
            <w:shd w:val="clear" w:color="auto" w:fill="auto"/>
            <w:noWrap/>
            <w:vAlign w:val="bottom"/>
            <w:hideMark/>
          </w:tcPr>
          <w:p w14:paraId="5BDACCEE" w14:textId="77777777" w:rsidR="00C92165" w:rsidRPr="00F40671" w:rsidRDefault="00C92165" w:rsidP="00312E88">
            <w:pPr>
              <w:rPr>
                <w:rFonts w:cs="Arial"/>
                <w:color w:val="000000"/>
                <w:sz w:val="16"/>
                <w:szCs w:val="16"/>
              </w:rPr>
            </w:pPr>
            <w:r w:rsidRPr="00F40671">
              <w:rPr>
                <w:rFonts w:cs="Arial"/>
                <w:color w:val="000000"/>
                <w:sz w:val="16"/>
                <w:szCs w:val="16"/>
              </w:rPr>
              <w:t>Other</w:t>
            </w:r>
          </w:p>
        </w:tc>
        <w:tc>
          <w:tcPr>
            <w:tcW w:w="658" w:type="pct"/>
            <w:tcBorders>
              <w:top w:val="nil"/>
              <w:left w:val="single" w:sz="4" w:space="0" w:color="auto"/>
              <w:bottom w:val="nil"/>
              <w:right w:val="nil"/>
            </w:tcBorders>
            <w:shd w:val="clear" w:color="auto" w:fill="auto"/>
            <w:noWrap/>
            <w:vAlign w:val="bottom"/>
            <w:hideMark/>
          </w:tcPr>
          <w:p w14:paraId="73F4A1B9" w14:textId="77777777" w:rsidR="00C92165" w:rsidRPr="00F40671" w:rsidRDefault="00C92165" w:rsidP="00312E88">
            <w:pPr>
              <w:jc w:val="right"/>
              <w:rPr>
                <w:rFonts w:cs="Arial"/>
                <w:color w:val="000000"/>
                <w:sz w:val="16"/>
                <w:szCs w:val="16"/>
              </w:rPr>
            </w:pPr>
            <w:r w:rsidRPr="00F40671">
              <w:rPr>
                <w:rFonts w:cs="Arial"/>
                <w:color w:val="000000"/>
                <w:sz w:val="16"/>
                <w:szCs w:val="16"/>
              </w:rPr>
              <w:t>9,791</w:t>
            </w:r>
          </w:p>
        </w:tc>
        <w:tc>
          <w:tcPr>
            <w:tcW w:w="658" w:type="pct"/>
            <w:tcBorders>
              <w:top w:val="nil"/>
              <w:left w:val="nil"/>
              <w:bottom w:val="nil"/>
              <w:right w:val="nil"/>
            </w:tcBorders>
            <w:shd w:val="clear" w:color="auto" w:fill="auto"/>
            <w:noWrap/>
            <w:vAlign w:val="bottom"/>
            <w:hideMark/>
          </w:tcPr>
          <w:p w14:paraId="0AED24A8" w14:textId="77777777" w:rsidR="00C92165" w:rsidRPr="00F40671" w:rsidRDefault="00C92165" w:rsidP="00312E88">
            <w:pPr>
              <w:jc w:val="right"/>
              <w:rPr>
                <w:rFonts w:cs="Arial"/>
                <w:color w:val="000000"/>
                <w:sz w:val="16"/>
                <w:szCs w:val="16"/>
              </w:rPr>
            </w:pPr>
            <w:r w:rsidRPr="00F40671">
              <w:rPr>
                <w:rFonts w:cs="Arial"/>
                <w:color w:val="000000"/>
                <w:sz w:val="16"/>
                <w:szCs w:val="16"/>
              </w:rPr>
              <w:t>11,126</w:t>
            </w:r>
          </w:p>
        </w:tc>
        <w:tc>
          <w:tcPr>
            <w:tcW w:w="658" w:type="pct"/>
            <w:tcBorders>
              <w:top w:val="nil"/>
              <w:left w:val="nil"/>
              <w:bottom w:val="nil"/>
              <w:right w:val="nil"/>
            </w:tcBorders>
            <w:shd w:val="clear" w:color="auto" w:fill="auto"/>
            <w:noWrap/>
            <w:vAlign w:val="bottom"/>
            <w:hideMark/>
          </w:tcPr>
          <w:p w14:paraId="46A3EA9E" w14:textId="77777777" w:rsidR="00C92165" w:rsidRPr="00F40671" w:rsidRDefault="00C92165" w:rsidP="00312E88">
            <w:pPr>
              <w:jc w:val="right"/>
              <w:rPr>
                <w:rFonts w:cs="Arial"/>
                <w:color w:val="000000"/>
                <w:sz w:val="16"/>
                <w:szCs w:val="16"/>
              </w:rPr>
            </w:pPr>
            <w:r w:rsidRPr="00F40671">
              <w:rPr>
                <w:rFonts w:cs="Arial"/>
                <w:color w:val="000000"/>
                <w:sz w:val="16"/>
                <w:szCs w:val="16"/>
              </w:rPr>
              <w:t>12,211</w:t>
            </w:r>
          </w:p>
        </w:tc>
        <w:tc>
          <w:tcPr>
            <w:tcW w:w="658" w:type="pct"/>
            <w:tcBorders>
              <w:top w:val="nil"/>
              <w:left w:val="nil"/>
              <w:bottom w:val="single" w:sz="4" w:space="0" w:color="auto"/>
              <w:right w:val="nil"/>
            </w:tcBorders>
            <w:shd w:val="clear" w:color="auto" w:fill="auto"/>
            <w:noWrap/>
            <w:vAlign w:val="bottom"/>
            <w:hideMark/>
          </w:tcPr>
          <w:p w14:paraId="196C81F9" w14:textId="77777777" w:rsidR="00C92165" w:rsidRPr="00F40671" w:rsidRDefault="00C92165" w:rsidP="00312E88">
            <w:pPr>
              <w:jc w:val="right"/>
              <w:rPr>
                <w:rFonts w:cs="Arial"/>
                <w:color w:val="000000"/>
                <w:sz w:val="16"/>
                <w:szCs w:val="16"/>
              </w:rPr>
            </w:pPr>
            <w:r w:rsidRPr="00F40671">
              <w:rPr>
                <w:rFonts w:cs="Arial"/>
                <w:color w:val="000000"/>
                <w:sz w:val="16"/>
                <w:szCs w:val="16"/>
              </w:rPr>
              <w:t>13,017</w:t>
            </w:r>
          </w:p>
        </w:tc>
        <w:tc>
          <w:tcPr>
            <w:tcW w:w="660" w:type="pct"/>
            <w:tcBorders>
              <w:top w:val="nil"/>
              <w:left w:val="dotted" w:sz="4" w:space="0" w:color="auto"/>
              <w:bottom w:val="nil"/>
              <w:right w:val="single" w:sz="4" w:space="0" w:color="auto"/>
            </w:tcBorders>
            <w:shd w:val="clear" w:color="auto" w:fill="auto"/>
            <w:noWrap/>
            <w:vAlign w:val="bottom"/>
            <w:hideMark/>
          </w:tcPr>
          <w:p w14:paraId="72C2E760" w14:textId="77777777" w:rsidR="00C92165" w:rsidRPr="00F40671" w:rsidRDefault="00C92165" w:rsidP="00312E88">
            <w:pPr>
              <w:jc w:val="right"/>
              <w:rPr>
                <w:rFonts w:cs="Arial"/>
                <w:color w:val="000000"/>
                <w:sz w:val="16"/>
                <w:szCs w:val="16"/>
              </w:rPr>
            </w:pPr>
            <w:r w:rsidRPr="00F40671">
              <w:rPr>
                <w:rFonts w:cs="Arial"/>
                <w:color w:val="000000"/>
                <w:sz w:val="16"/>
                <w:szCs w:val="16"/>
              </w:rPr>
              <w:t>16,685</w:t>
            </w:r>
          </w:p>
        </w:tc>
      </w:tr>
      <w:tr w:rsidR="00C92165" w:rsidRPr="00F40671" w14:paraId="5BB01558" w14:textId="77777777" w:rsidTr="00312E88">
        <w:trPr>
          <w:trHeight w:val="300"/>
        </w:trPr>
        <w:tc>
          <w:tcPr>
            <w:tcW w:w="1708" w:type="pct"/>
            <w:tcBorders>
              <w:top w:val="single" w:sz="4" w:space="0" w:color="auto"/>
              <w:left w:val="single" w:sz="4" w:space="0" w:color="auto"/>
              <w:bottom w:val="single" w:sz="4" w:space="0" w:color="auto"/>
              <w:right w:val="nil"/>
            </w:tcBorders>
            <w:shd w:val="clear" w:color="auto" w:fill="auto"/>
            <w:noWrap/>
            <w:vAlign w:val="bottom"/>
            <w:hideMark/>
          </w:tcPr>
          <w:p w14:paraId="59E02E1F" w14:textId="77777777" w:rsidR="00C92165" w:rsidRPr="00F40671" w:rsidRDefault="00C92165" w:rsidP="00312E88">
            <w:pPr>
              <w:rPr>
                <w:rFonts w:cs="Arial"/>
                <w:b/>
                <w:bCs/>
                <w:color w:val="000000"/>
                <w:sz w:val="16"/>
                <w:szCs w:val="16"/>
              </w:rPr>
            </w:pPr>
            <w:r w:rsidRPr="00F40671">
              <w:rPr>
                <w:rFonts w:cs="Arial"/>
                <w:b/>
                <w:bCs/>
                <w:color w:val="000000"/>
                <w:sz w:val="16"/>
                <w:szCs w:val="16"/>
              </w:rPr>
              <w:t>Total</w:t>
            </w:r>
          </w:p>
        </w:tc>
        <w:tc>
          <w:tcPr>
            <w:tcW w:w="658" w:type="pct"/>
            <w:tcBorders>
              <w:top w:val="single" w:sz="4" w:space="0" w:color="auto"/>
              <w:left w:val="single" w:sz="4" w:space="0" w:color="auto"/>
              <w:bottom w:val="single" w:sz="4" w:space="0" w:color="auto"/>
              <w:right w:val="nil"/>
            </w:tcBorders>
            <w:shd w:val="clear" w:color="auto" w:fill="auto"/>
            <w:noWrap/>
            <w:vAlign w:val="bottom"/>
            <w:hideMark/>
          </w:tcPr>
          <w:p w14:paraId="085649B6"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28,831</w:t>
            </w:r>
          </w:p>
        </w:tc>
        <w:tc>
          <w:tcPr>
            <w:tcW w:w="658" w:type="pct"/>
            <w:tcBorders>
              <w:top w:val="single" w:sz="4" w:space="0" w:color="auto"/>
              <w:left w:val="nil"/>
              <w:bottom w:val="single" w:sz="4" w:space="0" w:color="auto"/>
              <w:right w:val="nil"/>
            </w:tcBorders>
            <w:shd w:val="clear" w:color="auto" w:fill="auto"/>
            <w:noWrap/>
            <w:vAlign w:val="bottom"/>
            <w:hideMark/>
          </w:tcPr>
          <w:p w14:paraId="7156748D"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33,429</w:t>
            </w:r>
          </w:p>
        </w:tc>
        <w:tc>
          <w:tcPr>
            <w:tcW w:w="658" w:type="pct"/>
            <w:tcBorders>
              <w:top w:val="single" w:sz="4" w:space="0" w:color="auto"/>
              <w:left w:val="nil"/>
              <w:bottom w:val="single" w:sz="4" w:space="0" w:color="auto"/>
              <w:right w:val="nil"/>
            </w:tcBorders>
            <w:shd w:val="clear" w:color="auto" w:fill="auto"/>
            <w:noWrap/>
            <w:vAlign w:val="bottom"/>
            <w:hideMark/>
          </w:tcPr>
          <w:p w14:paraId="1CC23039"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37,459</w:t>
            </w:r>
          </w:p>
        </w:tc>
        <w:tc>
          <w:tcPr>
            <w:tcW w:w="658" w:type="pct"/>
            <w:tcBorders>
              <w:top w:val="nil"/>
              <w:left w:val="nil"/>
              <w:bottom w:val="single" w:sz="4" w:space="0" w:color="auto"/>
              <w:right w:val="nil"/>
            </w:tcBorders>
            <w:shd w:val="clear" w:color="auto" w:fill="auto"/>
            <w:noWrap/>
            <w:vAlign w:val="bottom"/>
            <w:hideMark/>
          </w:tcPr>
          <w:p w14:paraId="60C0BCDE"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40,814</w:t>
            </w:r>
          </w:p>
        </w:tc>
        <w:tc>
          <w:tcPr>
            <w:tcW w:w="660" w:type="pct"/>
            <w:tcBorders>
              <w:top w:val="single" w:sz="4" w:space="0" w:color="auto"/>
              <w:left w:val="dotted" w:sz="4" w:space="0" w:color="auto"/>
              <w:bottom w:val="single" w:sz="4" w:space="0" w:color="auto"/>
              <w:right w:val="single" w:sz="4" w:space="0" w:color="auto"/>
            </w:tcBorders>
            <w:shd w:val="clear" w:color="auto" w:fill="auto"/>
            <w:noWrap/>
            <w:vAlign w:val="bottom"/>
            <w:hideMark/>
          </w:tcPr>
          <w:p w14:paraId="5D1A7966"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58,483</w:t>
            </w:r>
          </w:p>
        </w:tc>
      </w:tr>
      <w:tr w:rsidR="00C92165" w:rsidRPr="00F40671" w14:paraId="64C57736" w14:textId="77777777" w:rsidTr="00C92165">
        <w:trPr>
          <w:trHeight w:hRule="exact" w:val="284"/>
        </w:trPr>
        <w:tc>
          <w:tcPr>
            <w:tcW w:w="1708" w:type="pct"/>
            <w:tcBorders>
              <w:top w:val="nil"/>
              <w:left w:val="single" w:sz="4" w:space="0" w:color="auto"/>
              <w:bottom w:val="single" w:sz="4" w:space="0" w:color="auto"/>
              <w:right w:val="nil"/>
            </w:tcBorders>
            <w:shd w:val="clear" w:color="000000" w:fill="F7EEF7"/>
            <w:noWrap/>
            <w:vAlign w:val="bottom"/>
            <w:hideMark/>
          </w:tcPr>
          <w:p w14:paraId="0D2FC244" w14:textId="77777777" w:rsidR="00C92165" w:rsidRPr="00F40671" w:rsidRDefault="00C92165" w:rsidP="00312E88">
            <w:pPr>
              <w:rPr>
                <w:rFonts w:cs="Arial"/>
                <w:b/>
                <w:bCs/>
                <w:color w:val="000000"/>
                <w:sz w:val="16"/>
                <w:szCs w:val="16"/>
              </w:rPr>
            </w:pPr>
            <w:r w:rsidRPr="00F40671">
              <w:rPr>
                <w:rFonts w:cs="Arial"/>
                <w:b/>
                <w:bCs/>
                <w:color w:val="000000"/>
                <w:sz w:val="16"/>
                <w:szCs w:val="16"/>
              </w:rPr>
              <w:t>Dec20 AFSR</w:t>
            </w:r>
          </w:p>
        </w:tc>
        <w:tc>
          <w:tcPr>
            <w:tcW w:w="658" w:type="pct"/>
            <w:tcBorders>
              <w:top w:val="nil"/>
              <w:left w:val="nil"/>
              <w:bottom w:val="single" w:sz="4" w:space="0" w:color="auto"/>
              <w:right w:val="nil"/>
            </w:tcBorders>
            <w:shd w:val="clear" w:color="000000" w:fill="F7EEF7"/>
            <w:noWrap/>
            <w:vAlign w:val="bottom"/>
            <w:hideMark/>
          </w:tcPr>
          <w:p w14:paraId="7C3C5064"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nil"/>
              <w:left w:val="nil"/>
              <w:bottom w:val="single" w:sz="4" w:space="0" w:color="auto"/>
              <w:right w:val="nil"/>
            </w:tcBorders>
            <w:shd w:val="clear" w:color="000000" w:fill="F7EEF7"/>
            <w:noWrap/>
            <w:vAlign w:val="bottom"/>
            <w:hideMark/>
          </w:tcPr>
          <w:p w14:paraId="30E4F42E"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nil"/>
              <w:left w:val="nil"/>
              <w:bottom w:val="single" w:sz="4" w:space="0" w:color="auto"/>
              <w:right w:val="nil"/>
            </w:tcBorders>
            <w:shd w:val="clear" w:color="000000" w:fill="F7EEF7"/>
            <w:noWrap/>
            <w:vAlign w:val="bottom"/>
            <w:hideMark/>
          </w:tcPr>
          <w:p w14:paraId="5A785942"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nil"/>
              <w:left w:val="nil"/>
              <w:bottom w:val="single" w:sz="4" w:space="0" w:color="auto"/>
              <w:right w:val="nil"/>
            </w:tcBorders>
            <w:shd w:val="clear" w:color="000000" w:fill="F7EEF7"/>
            <w:noWrap/>
            <w:vAlign w:val="bottom"/>
            <w:hideMark/>
          </w:tcPr>
          <w:p w14:paraId="56051CEE"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60" w:type="pct"/>
            <w:tcBorders>
              <w:top w:val="nil"/>
              <w:left w:val="nil"/>
              <w:bottom w:val="single" w:sz="4" w:space="0" w:color="auto"/>
              <w:right w:val="single" w:sz="4" w:space="0" w:color="auto"/>
            </w:tcBorders>
            <w:shd w:val="clear" w:color="000000" w:fill="F7EEF7"/>
            <w:noWrap/>
            <w:vAlign w:val="bottom"/>
            <w:hideMark/>
          </w:tcPr>
          <w:p w14:paraId="1D33BC24"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r>
      <w:tr w:rsidR="00C92165" w:rsidRPr="00F40671" w14:paraId="0F6B50DB"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067B2D0F" w14:textId="77777777" w:rsidR="00C92165" w:rsidRPr="00F40671" w:rsidRDefault="00C92165" w:rsidP="00312E88">
            <w:pPr>
              <w:rPr>
                <w:rFonts w:cs="Arial"/>
                <w:color w:val="000000"/>
                <w:sz w:val="16"/>
                <w:szCs w:val="16"/>
              </w:rPr>
            </w:pPr>
            <w:r w:rsidRPr="00F40671">
              <w:rPr>
                <w:rFonts w:cs="Arial"/>
                <w:color w:val="000000"/>
                <w:sz w:val="16"/>
                <w:szCs w:val="16"/>
              </w:rPr>
              <w:t>Autism</w:t>
            </w:r>
          </w:p>
        </w:tc>
        <w:tc>
          <w:tcPr>
            <w:tcW w:w="658" w:type="pct"/>
            <w:tcBorders>
              <w:top w:val="nil"/>
              <w:left w:val="single" w:sz="4" w:space="0" w:color="auto"/>
              <w:bottom w:val="nil"/>
              <w:right w:val="nil"/>
            </w:tcBorders>
            <w:shd w:val="clear" w:color="auto" w:fill="auto"/>
            <w:noWrap/>
            <w:vAlign w:val="bottom"/>
            <w:hideMark/>
          </w:tcPr>
          <w:p w14:paraId="3E7C5524" w14:textId="77777777" w:rsidR="00C92165" w:rsidRPr="00F40671" w:rsidRDefault="00C92165" w:rsidP="00312E88">
            <w:pPr>
              <w:jc w:val="right"/>
              <w:rPr>
                <w:rFonts w:cs="Arial"/>
                <w:color w:val="000000"/>
                <w:sz w:val="16"/>
                <w:szCs w:val="16"/>
              </w:rPr>
            </w:pPr>
            <w:r w:rsidRPr="00F40671">
              <w:rPr>
                <w:rFonts w:cs="Arial"/>
                <w:color w:val="000000"/>
                <w:sz w:val="16"/>
                <w:szCs w:val="16"/>
              </w:rPr>
              <w:t>5,350</w:t>
            </w:r>
          </w:p>
        </w:tc>
        <w:tc>
          <w:tcPr>
            <w:tcW w:w="658" w:type="pct"/>
            <w:tcBorders>
              <w:top w:val="nil"/>
              <w:left w:val="nil"/>
              <w:bottom w:val="nil"/>
              <w:right w:val="nil"/>
            </w:tcBorders>
            <w:shd w:val="clear" w:color="auto" w:fill="auto"/>
            <w:noWrap/>
            <w:vAlign w:val="bottom"/>
            <w:hideMark/>
          </w:tcPr>
          <w:p w14:paraId="42DB24DD" w14:textId="77777777" w:rsidR="00C92165" w:rsidRPr="00F40671" w:rsidRDefault="00C92165" w:rsidP="00312E88">
            <w:pPr>
              <w:jc w:val="right"/>
              <w:rPr>
                <w:rFonts w:cs="Arial"/>
                <w:color w:val="000000"/>
                <w:sz w:val="16"/>
                <w:szCs w:val="16"/>
              </w:rPr>
            </w:pPr>
            <w:r w:rsidRPr="00F40671">
              <w:rPr>
                <w:rFonts w:cs="Arial"/>
                <w:color w:val="000000"/>
                <w:sz w:val="16"/>
                <w:szCs w:val="16"/>
              </w:rPr>
              <w:t>6,622</w:t>
            </w:r>
          </w:p>
        </w:tc>
        <w:tc>
          <w:tcPr>
            <w:tcW w:w="658" w:type="pct"/>
            <w:tcBorders>
              <w:top w:val="nil"/>
              <w:left w:val="nil"/>
              <w:bottom w:val="nil"/>
              <w:right w:val="nil"/>
            </w:tcBorders>
            <w:shd w:val="clear" w:color="auto" w:fill="auto"/>
            <w:noWrap/>
            <w:vAlign w:val="bottom"/>
            <w:hideMark/>
          </w:tcPr>
          <w:p w14:paraId="6C220381" w14:textId="77777777" w:rsidR="00C92165" w:rsidRPr="00F40671" w:rsidRDefault="00C92165" w:rsidP="00312E88">
            <w:pPr>
              <w:jc w:val="right"/>
              <w:rPr>
                <w:rFonts w:cs="Arial"/>
                <w:color w:val="000000"/>
                <w:sz w:val="16"/>
                <w:szCs w:val="16"/>
              </w:rPr>
            </w:pPr>
            <w:r w:rsidRPr="00F40671">
              <w:rPr>
                <w:rFonts w:cs="Arial"/>
                <w:color w:val="000000"/>
                <w:sz w:val="16"/>
                <w:szCs w:val="16"/>
              </w:rPr>
              <w:t>7,876</w:t>
            </w:r>
          </w:p>
        </w:tc>
        <w:tc>
          <w:tcPr>
            <w:tcW w:w="658" w:type="pct"/>
            <w:tcBorders>
              <w:top w:val="dotted" w:sz="4" w:space="0" w:color="auto"/>
              <w:left w:val="nil"/>
              <w:bottom w:val="nil"/>
              <w:right w:val="nil"/>
            </w:tcBorders>
            <w:shd w:val="clear" w:color="auto" w:fill="auto"/>
            <w:noWrap/>
            <w:vAlign w:val="bottom"/>
            <w:hideMark/>
          </w:tcPr>
          <w:p w14:paraId="6FED682B" w14:textId="77777777" w:rsidR="00C92165" w:rsidRPr="00F40671" w:rsidRDefault="00C92165" w:rsidP="00312E88">
            <w:pPr>
              <w:jc w:val="right"/>
              <w:rPr>
                <w:rFonts w:cs="Arial"/>
                <w:color w:val="000000"/>
                <w:sz w:val="16"/>
                <w:szCs w:val="16"/>
              </w:rPr>
            </w:pPr>
            <w:r w:rsidRPr="00F40671">
              <w:rPr>
                <w:rFonts w:cs="Arial"/>
                <w:color w:val="000000"/>
                <w:sz w:val="16"/>
                <w:szCs w:val="16"/>
              </w:rPr>
              <w:t>9,133</w:t>
            </w:r>
          </w:p>
        </w:tc>
        <w:tc>
          <w:tcPr>
            <w:tcW w:w="660" w:type="pct"/>
            <w:tcBorders>
              <w:top w:val="nil"/>
              <w:left w:val="dotted" w:sz="4" w:space="0" w:color="auto"/>
              <w:bottom w:val="nil"/>
              <w:right w:val="single" w:sz="4" w:space="0" w:color="auto"/>
            </w:tcBorders>
            <w:shd w:val="clear" w:color="auto" w:fill="auto"/>
            <w:noWrap/>
            <w:vAlign w:val="bottom"/>
            <w:hideMark/>
          </w:tcPr>
          <w:p w14:paraId="01C220A7" w14:textId="77777777" w:rsidR="00C92165" w:rsidRPr="00F40671" w:rsidRDefault="00C92165" w:rsidP="00312E88">
            <w:pPr>
              <w:jc w:val="right"/>
              <w:rPr>
                <w:rFonts w:cs="Arial"/>
                <w:color w:val="000000"/>
                <w:sz w:val="16"/>
                <w:szCs w:val="16"/>
              </w:rPr>
            </w:pPr>
            <w:r w:rsidRPr="00F40671">
              <w:rPr>
                <w:rFonts w:cs="Arial"/>
                <w:color w:val="000000"/>
                <w:sz w:val="16"/>
                <w:szCs w:val="16"/>
              </w:rPr>
              <w:t>17,025</w:t>
            </w:r>
          </w:p>
        </w:tc>
      </w:tr>
      <w:tr w:rsidR="00C92165" w:rsidRPr="00F40671" w14:paraId="11A74B0A"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23099F27" w14:textId="77777777" w:rsidR="00C92165" w:rsidRPr="00F40671" w:rsidRDefault="00C92165" w:rsidP="00312E88">
            <w:pPr>
              <w:rPr>
                <w:rFonts w:cs="Arial"/>
                <w:color w:val="000000"/>
                <w:sz w:val="16"/>
                <w:szCs w:val="16"/>
              </w:rPr>
            </w:pPr>
            <w:r w:rsidRPr="00F40671">
              <w:rPr>
                <w:rFonts w:cs="Arial"/>
                <w:color w:val="000000"/>
                <w:sz w:val="16"/>
                <w:szCs w:val="16"/>
              </w:rPr>
              <w:t>Intellectual Disability</w:t>
            </w:r>
          </w:p>
        </w:tc>
        <w:tc>
          <w:tcPr>
            <w:tcW w:w="658" w:type="pct"/>
            <w:tcBorders>
              <w:top w:val="nil"/>
              <w:left w:val="single" w:sz="4" w:space="0" w:color="auto"/>
              <w:bottom w:val="nil"/>
              <w:right w:val="nil"/>
            </w:tcBorders>
            <w:shd w:val="clear" w:color="auto" w:fill="auto"/>
            <w:noWrap/>
            <w:vAlign w:val="bottom"/>
            <w:hideMark/>
          </w:tcPr>
          <w:p w14:paraId="432B717C" w14:textId="77777777" w:rsidR="00C92165" w:rsidRPr="00F40671" w:rsidRDefault="00C92165" w:rsidP="00312E88">
            <w:pPr>
              <w:jc w:val="right"/>
              <w:rPr>
                <w:rFonts w:cs="Arial"/>
                <w:color w:val="000000"/>
                <w:sz w:val="16"/>
                <w:szCs w:val="16"/>
              </w:rPr>
            </w:pPr>
            <w:r w:rsidRPr="00F40671">
              <w:rPr>
                <w:rFonts w:cs="Arial"/>
                <w:color w:val="000000"/>
                <w:sz w:val="16"/>
                <w:szCs w:val="16"/>
              </w:rPr>
              <w:t>8,526</w:t>
            </w:r>
          </w:p>
        </w:tc>
        <w:tc>
          <w:tcPr>
            <w:tcW w:w="658" w:type="pct"/>
            <w:tcBorders>
              <w:top w:val="nil"/>
              <w:left w:val="nil"/>
              <w:bottom w:val="nil"/>
              <w:right w:val="nil"/>
            </w:tcBorders>
            <w:shd w:val="clear" w:color="auto" w:fill="auto"/>
            <w:noWrap/>
            <w:vAlign w:val="bottom"/>
            <w:hideMark/>
          </w:tcPr>
          <w:p w14:paraId="74AD8579" w14:textId="77777777" w:rsidR="00C92165" w:rsidRPr="00F40671" w:rsidRDefault="00C92165" w:rsidP="00312E88">
            <w:pPr>
              <w:jc w:val="right"/>
              <w:rPr>
                <w:rFonts w:cs="Arial"/>
                <w:color w:val="000000"/>
                <w:sz w:val="16"/>
                <w:szCs w:val="16"/>
              </w:rPr>
            </w:pPr>
            <w:r w:rsidRPr="00F40671">
              <w:rPr>
                <w:rFonts w:cs="Arial"/>
                <w:color w:val="000000"/>
                <w:sz w:val="16"/>
                <w:szCs w:val="16"/>
              </w:rPr>
              <w:t>9,606</w:t>
            </w:r>
          </w:p>
        </w:tc>
        <w:tc>
          <w:tcPr>
            <w:tcW w:w="658" w:type="pct"/>
            <w:tcBorders>
              <w:top w:val="nil"/>
              <w:left w:val="nil"/>
              <w:bottom w:val="nil"/>
              <w:right w:val="nil"/>
            </w:tcBorders>
            <w:shd w:val="clear" w:color="auto" w:fill="auto"/>
            <w:noWrap/>
            <w:vAlign w:val="bottom"/>
            <w:hideMark/>
          </w:tcPr>
          <w:p w14:paraId="3FE67495" w14:textId="77777777" w:rsidR="00C92165" w:rsidRPr="00F40671" w:rsidRDefault="00C92165" w:rsidP="00312E88">
            <w:pPr>
              <w:jc w:val="right"/>
              <w:rPr>
                <w:rFonts w:cs="Arial"/>
                <w:color w:val="000000"/>
                <w:sz w:val="16"/>
                <w:szCs w:val="16"/>
              </w:rPr>
            </w:pPr>
            <w:r w:rsidRPr="00F40671">
              <w:rPr>
                <w:rFonts w:cs="Arial"/>
                <w:color w:val="000000"/>
                <w:sz w:val="16"/>
                <w:szCs w:val="16"/>
              </w:rPr>
              <w:t>10,552</w:t>
            </w:r>
          </w:p>
        </w:tc>
        <w:tc>
          <w:tcPr>
            <w:tcW w:w="658" w:type="pct"/>
            <w:tcBorders>
              <w:top w:val="nil"/>
              <w:left w:val="nil"/>
              <w:bottom w:val="nil"/>
              <w:right w:val="nil"/>
            </w:tcBorders>
            <w:shd w:val="clear" w:color="auto" w:fill="auto"/>
            <w:noWrap/>
            <w:vAlign w:val="bottom"/>
            <w:hideMark/>
          </w:tcPr>
          <w:p w14:paraId="07135B43" w14:textId="77777777" w:rsidR="00C92165" w:rsidRPr="00F40671" w:rsidRDefault="00C92165" w:rsidP="00312E88">
            <w:pPr>
              <w:jc w:val="right"/>
              <w:rPr>
                <w:rFonts w:cs="Arial"/>
                <w:color w:val="000000"/>
                <w:sz w:val="16"/>
                <w:szCs w:val="16"/>
              </w:rPr>
            </w:pPr>
            <w:r w:rsidRPr="00F40671">
              <w:rPr>
                <w:rFonts w:cs="Arial"/>
                <w:color w:val="000000"/>
                <w:sz w:val="16"/>
                <w:szCs w:val="16"/>
              </w:rPr>
              <w:t>11,412</w:t>
            </w:r>
          </w:p>
        </w:tc>
        <w:tc>
          <w:tcPr>
            <w:tcW w:w="660" w:type="pct"/>
            <w:tcBorders>
              <w:top w:val="nil"/>
              <w:left w:val="dotted" w:sz="4" w:space="0" w:color="auto"/>
              <w:bottom w:val="nil"/>
              <w:right w:val="single" w:sz="4" w:space="0" w:color="auto"/>
            </w:tcBorders>
            <w:shd w:val="clear" w:color="auto" w:fill="auto"/>
            <w:noWrap/>
            <w:vAlign w:val="bottom"/>
            <w:hideMark/>
          </w:tcPr>
          <w:p w14:paraId="0CA0D8BC" w14:textId="77777777" w:rsidR="00C92165" w:rsidRPr="00F40671" w:rsidRDefault="00C92165" w:rsidP="00312E88">
            <w:pPr>
              <w:jc w:val="right"/>
              <w:rPr>
                <w:rFonts w:cs="Arial"/>
                <w:color w:val="000000"/>
                <w:sz w:val="16"/>
                <w:szCs w:val="16"/>
              </w:rPr>
            </w:pPr>
            <w:r w:rsidRPr="00F40671">
              <w:rPr>
                <w:rFonts w:cs="Arial"/>
                <w:color w:val="000000"/>
                <w:sz w:val="16"/>
                <w:szCs w:val="16"/>
              </w:rPr>
              <w:t>15,538</w:t>
            </w:r>
          </w:p>
        </w:tc>
      </w:tr>
      <w:tr w:rsidR="00C92165" w:rsidRPr="00F40671" w14:paraId="3157A5CC"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59F66E96" w14:textId="77777777" w:rsidR="00C92165" w:rsidRPr="00F40671" w:rsidRDefault="00C92165" w:rsidP="00312E88">
            <w:pPr>
              <w:rPr>
                <w:rFonts w:cs="Arial"/>
                <w:color w:val="000000"/>
                <w:sz w:val="16"/>
                <w:szCs w:val="16"/>
              </w:rPr>
            </w:pPr>
            <w:r w:rsidRPr="00F40671">
              <w:rPr>
                <w:rFonts w:cs="Arial"/>
                <w:color w:val="000000"/>
                <w:sz w:val="16"/>
                <w:szCs w:val="16"/>
              </w:rPr>
              <w:t>Psychosocial Disability</w:t>
            </w:r>
          </w:p>
        </w:tc>
        <w:tc>
          <w:tcPr>
            <w:tcW w:w="658" w:type="pct"/>
            <w:tcBorders>
              <w:top w:val="nil"/>
              <w:left w:val="single" w:sz="4" w:space="0" w:color="auto"/>
              <w:bottom w:val="nil"/>
              <w:right w:val="nil"/>
            </w:tcBorders>
            <w:shd w:val="clear" w:color="auto" w:fill="auto"/>
            <w:noWrap/>
            <w:vAlign w:val="bottom"/>
            <w:hideMark/>
          </w:tcPr>
          <w:p w14:paraId="5DFD53EC" w14:textId="77777777" w:rsidR="00C92165" w:rsidRPr="00F40671" w:rsidRDefault="00C92165" w:rsidP="00312E88">
            <w:pPr>
              <w:jc w:val="right"/>
              <w:rPr>
                <w:rFonts w:cs="Arial"/>
                <w:color w:val="000000"/>
                <w:sz w:val="16"/>
                <w:szCs w:val="16"/>
              </w:rPr>
            </w:pPr>
            <w:r w:rsidRPr="00F40671">
              <w:rPr>
                <w:rFonts w:cs="Arial"/>
                <w:color w:val="000000"/>
                <w:sz w:val="16"/>
                <w:szCs w:val="16"/>
              </w:rPr>
              <w:t>3,217</w:t>
            </w:r>
          </w:p>
        </w:tc>
        <w:tc>
          <w:tcPr>
            <w:tcW w:w="658" w:type="pct"/>
            <w:tcBorders>
              <w:top w:val="nil"/>
              <w:left w:val="nil"/>
              <w:bottom w:val="nil"/>
              <w:right w:val="nil"/>
            </w:tcBorders>
            <w:shd w:val="clear" w:color="auto" w:fill="auto"/>
            <w:noWrap/>
            <w:vAlign w:val="bottom"/>
            <w:hideMark/>
          </w:tcPr>
          <w:p w14:paraId="5A895FFF" w14:textId="77777777" w:rsidR="00C92165" w:rsidRPr="00F40671" w:rsidRDefault="00C92165" w:rsidP="00312E88">
            <w:pPr>
              <w:jc w:val="right"/>
              <w:rPr>
                <w:rFonts w:cs="Arial"/>
                <w:color w:val="000000"/>
                <w:sz w:val="16"/>
                <w:szCs w:val="16"/>
              </w:rPr>
            </w:pPr>
            <w:r w:rsidRPr="00F40671">
              <w:rPr>
                <w:rFonts w:cs="Arial"/>
                <w:color w:val="000000"/>
                <w:sz w:val="16"/>
                <w:szCs w:val="16"/>
              </w:rPr>
              <w:t>3,966</w:t>
            </w:r>
          </w:p>
        </w:tc>
        <w:tc>
          <w:tcPr>
            <w:tcW w:w="658" w:type="pct"/>
            <w:tcBorders>
              <w:top w:val="nil"/>
              <w:left w:val="nil"/>
              <w:bottom w:val="nil"/>
              <w:right w:val="nil"/>
            </w:tcBorders>
            <w:shd w:val="clear" w:color="auto" w:fill="auto"/>
            <w:noWrap/>
            <w:vAlign w:val="bottom"/>
            <w:hideMark/>
          </w:tcPr>
          <w:p w14:paraId="63349C9D" w14:textId="77777777" w:rsidR="00C92165" w:rsidRPr="00F40671" w:rsidRDefault="00C92165" w:rsidP="00312E88">
            <w:pPr>
              <w:jc w:val="right"/>
              <w:rPr>
                <w:rFonts w:cs="Arial"/>
                <w:color w:val="000000"/>
                <w:sz w:val="16"/>
                <w:szCs w:val="16"/>
              </w:rPr>
            </w:pPr>
            <w:r w:rsidRPr="00F40671">
              <w:rPr>
                <w:rFonts w:cs="Arial"/>
                <w:color w:val="000000"/>
                <w:sz w:val="16"/>
                <w:szCs w:val="16"/>
              </w:rPr>
              <w:t>4,603</w:t>
            </w:r>
          </w:p>
        </w:tc>
        <w:tc>
          <w:tcPr>
            <w:tcW w:w="658" w:type="pct"/>
            <w:tcBorders>
              <w:top w:val="nil"/>
              <w:left w:val="nil"/>
              <w:bottom w:val="nil"/>
              <w:right w:val="nil"/>
            </w:tcBorders>
            <w:shd w:val="clear" w:color="auto" w:fill="auto"/>
            <w:noWrap/>
            <w:vAlign w:val="bottom"/>
            <w:hideMark/>
          </w:tcPr>
          <w:p w14:paraId="74693136" w14:textId="77777777" w:rsidR="00C92165" w:rsidRPr="00F40671" w:rsidRDefault="00C92165" w:rsidP="00312E88">
            <w:pPr>
              <w:jc w:val="right"/>
              <w:rPr>
                <w:rFonts w:cs="Arial"/>
                <w:color w:val="000000"/>
                <w:sz w:val="16"/>
                <w:szCs w:val="16"/>
              </w:rPr>
            </w:pPr>
            <w:r w:rsidRPr="00F40671">
              <w:rPr>
                <w:rFonts w:cs="Arial"/>
                <w:color w:val="000000"/>
                <w:sz w:val="16"/>
                <w:szCs w:val="16"/>
              </w:rPr>
              <w:t>5,131</w:t>
            </w:r>
          </w:p>
        </w:tc>
        <w:tc>
          <w:tcPr>
            <w:tcW w:w="660" w:type="pct"/>
            <w:tcBorders>
              <w:top w:val="nil"/>
              <w:left w:val="dotted" w:sz="4" w:space="0" w:color="auto"/>
              <w:bottom w:val="nil"/>
              <w:right w:val="single" w:sz="4" w:space="0" w:color="auto"/>
            </w:tcBorders>
            <w:shd w:val="clear" w:color="auto" w:fill="auto"/>
            <w:noWrap/>
            <w:vAlign w:val="bottom"/>
            <w:hideMark/>
          </w:tcPr>
          <w:p w14:paraId="0291E054" w14:textId="77777777" w:rsidR="00C92165" w:rsidRPr="00F40671" w:rsidRDefault="00C92165" w:rsidP="00312E88">
            <w:pPr>
              <w:jc w:val="right"/>
              <w:rPr>
                <w:rFonts w:cs="Arial"/>
                <w:color w:val="000000"/>
                <w:sz w:val="16"/>
                <w:szCs w:val="16"/>
              </w:rPr>
            </w:pPr>
            <w:r w:rsidRPr="00F40671">
              <w:rPr>
                <w:rFonts w:cs="Arial"/>
                <w:color w:val="000000"/>
                <w:sz w:val="16"/>
                <w:szCs w:val="16"/>
              </w:rPr>
              <w:t>7,718</w:t>
            </w:r>
          </w:p>
        </w:tc>
      </w:tr>
      <w:tr w:rsidR="00C92165" w:rsidRPr="00F40671" w14:paraId="0B173A08"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0A804E32" w14:textId="77777777" w:rsidR="00C92165" w:rsidRPr="00F40671" w:rsidRDefault="00C92165" w:rsidP="00312E88">
            <w:pPr>
              <w:rPr>
                <w:rFonts w:cs="Arial"/>
                <w:color w:val="000000"/>
                <w:sz w:val="16"/>
                <w:szCs w:val="16"/>
              </w:rPr>
            </w:pPr>
            <w:r w:rsidRPr="00F40671">
              <w:rPr>
                <w:rFonts w:cs="Arial"/>
                <w:color w:val="000000"/>
                <w:sz w:val="16"/>
                <w:szCs w:val="16"/>
              </w:rPr>
              <w:t>Developmental Delay</w:t>
            </w:r>
          </w:p>
        </w:tc>
        <w:tc>
          <w:tcPr>
            <w:tcW w:w="658" w:type="pct"/>
            <w:tcBorders>
              <w:top w:val="nil"/>
              <w:left w:val="single" w:sz="4" w:space="0" w:color="auto"/>
              <w:bottom w:val="nil"/>
              <w:right w:val="nil"/>
            </w:tcBorders>
            <w:shd w:val="clear" w:color="auto" w:fill="auto"/>
            <w:noWrap/>
            <w:vAlign w:val="bottom"/>
            <w:hideMark/>
          </w:tcPr>
          <w:p w14:paraId="7744786D" w14:textId="77777777" w:rsidR="00C92165" w:rsidRPr="00F40671" w:rsidRDefault="00C92165" w:rsidP="00312E88">
            <w:pPr>
              <w:jc w:val="right"/>
              <w:rPr>
                <w:rFonts w:cs="Arial"/>
                <w:color w:val="000000"/>
                <w:sz w:val="16"/>
                <w:szCs w:val="16"/>
              </w:rPr>
            </w:pPr>
            <w:r w:rsidRPr="00F40671">
              <w:rPr>
                <w:rFonts w:cs="Arial"/>
                <w:color w:val="000000"/>
                <w:sz w:val="16"/>
                <w:szCs w:val="16"/>
              </w:rPr>
              <w:t>760</w:t>
            </w:r>
          </w:p>
        </w:tc>
        <w:tc>
          <w:tcPr>
            <w:tcW w:w="658" w:type="pct"/>
            <w:tcBorders>
              <w:top w:val="nil"/>
              <w:left w:val="nil"/>
              <w:bottom w:val="nil"/>
              <w:right w:val="nil"/>
            </w:tcBorders>
            <w:shd w:val="clear" w:color="auto" w:fill="auto"/>
            <w:noWrap/>
            <w:vAlign w:val="bottom"/>
            <w:hideMark/>
          </w:tcPr>
          <w:p w14:paraId="18CCEA81" w14:textId="77777777" w:rsidR="00C92165" w:rsidRPr="00F40671" w:rsidRDefault="00C92165" w:rsidP="00312E88">
            <w:pPr>
              <w:jc w:val="right"/>
              <w:rPr>
                <w:rFonts w:cs="Arial"/>
                <w:color w:val="000000"/>
                <w:sz w:val="16"/>
                <w:szCs w:val="16"/>
              </w:rPr>
            </w:pPr>
            <w:r w:rsidRPr="00F40671">
              <w:rPr>
                <w:rFonts w:cs="Arial"/>
                <w:color w:val="000000"/>
                <w:sz w:val="16"/>
                <w:szCs w:val="16"/>
              </w:rPr>
              <w:t>954</w:t>
            </w:r>
          </w:p>
        </w:tc>
        <w:tc>
          <w:tcPr>
            <w:tcW w:w="658" w:type="pct"/>
            <w:tcBorders>
              <w:top w:val="nil"/>
              <w:left w:val="nil"/>
              <w:bottom w:val="nil"/>
              <w:right w:val="nil"/>
            </w:tcBorders>
            <w:shd w:val="clear" w:color="auto" w:fill="auto"/>
            <w:noWrap/>
            <w:vAlign w:val="bottom"/>
            <w:hideMark/>
          </w:tcPr>
          <w:p w14:paraId="084D28EA" w14:textId="77777777" w:rsidR="00C92165" w:rsidRPr="00F40671" w:rsidRDefault="00C92165" w:rsidP="00312E88">
            <w:pPr>
              <w:jc w:val="right"/>
              <w:rPr>
                <w:rFonts w:cs="Arial"/>
                <w:color w:val="000000"/>
                <w:sz w:val="16"/>
                <w:szCs w:val="16"/>
              </w:rPr>
            </w:pPr>
            <w:r w:rsidRPr="00F40671">
              <w:rPr>
                <w:rFonts w:cs="Arial"/>
                <w:color w:val="000000"/>
                <w:sz w:val="16"/>
                <w:szCs w:val="16"/>
              </w:rPr>
              <w:t>1,112</w:t>
            </w:r>
          </w:p>
        </w:tc>
        <w:tc>
          <w:tcPr>
            <w:tcW w:w="658" w:type="pct"/>
            <w:tcBorders>
              <w:top w:val="nil"/>
              <w:left w:val="nil"/>
              <w:bottom w:val="nil"/>
              <w:right w:val="nil"/>
            </w:tcBorders>
            <w:shd w:val="clear" w:color="auto" w:fill="auto"/>
            <w:noWrap/>
            <w:vAlign w:val="bottom"/>
            <w:hideMark/>
          </w:tcPr>
          <w:p w14:paraId="13274884" w14:textId="77777777" w:rsidR="00C92165" w:rsidRPr="00F40671" w:rsidRDefault="00C92165" w:rsidP="00312E88">
            <w:pPr>
              <w:jc w:val="right"/>
              <w:rPr>
                <w:rFonts w:cs="Arial"/>
                <w:color w:val="000000"/>
                <w:sz w:val="16"/>
                <w:szCs w:val="16"/>
              </w:rPr>
            </w:pPr>
            <w:r w:rsidRPr="00F40671">
              <w:rPr>
                <w:rFonts w:cs="Arial"/>
                <w:color w:val="000000"/>
                <w:sz w:val="16"/>
                <w:szCs w:val="16"/>
              </w:rPr>
              <w:t>1,235</w:t>
            </w:r>
          </w:p>
        </w:tc>
        <w:tc>
          <w:tcPr>
            <w:tcW w:w="660" w:type="pct"/>
            <w:tcBorders>
              <w:top w:val="nil"/>
              <w:left w:val="dotted" w:sz="4" w:space="0" w:color="auto"/>
              <w:bottom w:val="nil"/>
              <w:right w:val="single" w:sz="4" w:space="0" w:color="auto"/>
            </w:tcBorders>
            <w:shd w:val="clear" w:color="auto" w:fill="auto"/>
            <w:noWrap/>
            <w:vAlign w:val="bottom"/>
            <w:hideMark/>
          </w:tcPr>
          <w:p w14:paraId="6515A992" w14:textId="77777777" w:rsidR="00C92165" w:rsidRPr="00F40671" w:rsidRDefault="00C92165" w:rsidP="00312E88">
            <w:pPr>
              <w:jc w:val="right"/>
              <w:rPr>
                <w:rFonts w:cs="Arial"/>
                <w:color w:val="000000"/>
                <w:sz w:val="16"/>
                <w:szCs w:val="16"/>
              </w:rPr>
            </w:pPr>
            <w:r w:rsidRPr="00F40671">
              <w:rPr>
                <w:rFonts w:cs="Arial"/>
                <w:color w:val="000000"/>
                <w:sz w:val="16"/>
                <w:szCs w:val="16"/>
              </w:rPr>
              <w:t>1,603</w:t>
            </w:r>
          </w:p>
        </w:tc>
      </w:tr>
      <w:tr w:rsidR="00C92165" w:rsidRPr="00F40671" w14:paraId="338AF807"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1519FF47" w14:textId="77777777" w:rsidR="00C92165" w:rsidRPr="00F40671" w:rsidRDefault="00C92165" w:rsidP="00312E88">
            <w:pPr>
              <w:rPr>
                <w:rFonts w:cs="Arial"/>
                <w:color w:val="000000"/>
                <w:sz w:val="16"/>
                <w:szCs w:val="16"/>
              </w:rPr>
            </w:pPr>
            <w:r w:rsidRPr="00F40671">
              <w:rPr>
                <w:rFonts w:cs="Arial"/>
                <w:color w:val="000000"/>
                <w:sz w:val="16"/>
                <w:szCs w:val="16"/>
              </w:rPr>
              <w:t>Sensory</w:t>
            </w:r>
          </w:p>
        </w:tc>
        <w:tc>
          <w:tcPr>
            <w:tcW w:w="658" w:type="pct"/>
            <w:tcBorders>
              <w:top w:val="nil"/>
              <w:left w:val="single" w:sz="4" w:space="0" w:color="auto"/>
              <w:bottom w:val="nil"/>
              <w:right w:val="nil"/>
            </w:tcBorders>
            <w:shd w:val="clear" w:color="auto" w:fill="auto"/>
            <w:noWrap/>
            <w:vAlign w:val="bottom"/>
            <w:hideMark/>
          </w:tcPr>
          <w:p w14:paraId="21630D61" w14:textId="77777777" w:rsidR="00C92165" w:rsidRPr="00F40671" w:rsidRDefault="00C92165" w:rsidP="00312E88">
            <w:pPr>
              <w:jc w:val="right"/>
              <w:rPr>
                <w:rFonts w:cs="Arial"/>
                <w:color w:val="000000"/>
                <w:sz w:val="16"/>
                <w:szCs w:val="16"/>
              </w:rPr>
            </w:pPr>
            <w:r w:rsidRPr="00F40671">
              <w:rPr>
                <w:rFonts w:cs="Arial"/>
                <w:color w:val="000000"/>
                <w:sz w:val="16"/>
                <w:szCs w:val="16"/>
              </w:rPr>
              <w:t>554</w:t>
            </w:r>
          </w:p>
        </w:tc>
        <w:tc>
          <w:tcPr>
            <w:tcW w:w="658" w:type="pct"/>
            <w:tcBorders>
              <w:top w:val="nil"/>
              <w:left w:val="nil"/>
              <w:bottom w:val="nil"/>
              <w:right w:val="nil"/>
            </w:tcBorders>
            <w:shd w:val="clear" w:color="auto" w:fill="auto"/>
            <w:noWrap/>
            <w:vAlign w:val="bottom"/>
            <w:hideMark/>
          </w:tcPr>
          <w:p w14:paraId="7004F9C2" w14:textId="77777777" w:rsidR="00C92165" w:rsidRPr="00F40671" w:rsidRDefault="00C92165" w:rsidP="00312E88">
            <w:pPr>
              <w:jc w:val="right"/>
              <w:rPr>
                <w:rFonts w:cs="Arial"/>
                <w:color w:val="000000"/>
                <w:sz w:val="16"/>
                <w:szCs w:val="16"/>
              </w:rPr>
            </w:pPr>
            <w:r w:rsidRPr="00F40671">
              <w:rPr>
                <w:rFonts w:cs="Arial"/>
                <w:color w:val="000000"/>
                <w:sz w:val="16"/>
                <w:szCs w:val="16"/>
              </w:rPr>
              <w:t>650</w:t>
            </w:r>
          </w:p>
        </w:tc>
        <w:tc>
          <w:tcPr>
            <w:tcW w:w="658" w:type="pct"/>
            <w:tcBorders>
              <w:top w:val="nil"/>
              <w:left w:val="nil"/>
              <w:bottom w:val="nil"/>
              <w:right w:val="nil"/>
            </w:tcBorders>
            <w:shd w:val="clear" w:color="auto" w:fill="auto"/>
            <w:noWrap/>
            <w:vAlign w:val="bottom"/>
            <w:hideMark/>
          </w:tcPr>
          <w:p w14:paraId="09EE782C" w14:textId="77777777" w:rsidR="00C92165" w:rsidRPr="00F40671" w:rsidRDefault="00C92165" w:rsidP="00312E88">
            <w:pPr>
              <w:jc w:val="right"/>
              <w:rPr>
                <w:rFonts w:cs="Arial"/>
                <w:color w:val="000000"/>
                <w:sz w:val="16"/>
                <w:szCs w:val="16"/>
              </w:rPr>
            </w:pPr>
            <w:r w:rsidRPr="00F40671">
              <w:rPr>
                <w:rFonts w:cs="Arial"/>
                <w:color w:val="000000"/>
                <w:sz w:val="16"/>
                <w:szCs w:val="16"/>
              </w:rPr>
              <w:t>732</w:t>
            </w:r>
          </w:p>
        </w:tc>
        <w:tc>
          <w:tcPr>
            <w:tcW w:w="658" w:type="pct"/>
            <w:tcBorders>
              <w:top w:val="nil"/>
              <w:left w:val="nil"/>
              <w:bottom w:val="nil"/>
              <w:right w:val="nil"/>
            </w:tcBorders>
            <w:shd w:val="clear" w:color="auto" w:fill="auto"/>
            <w:noWrap/>
            <w:vAlign w:val="bottom"/>
            <w:hideMark/>
          </w:tcPr>
          <w:p w14:paraId="1C84EAA8" w14:textId="77777777" w:rsidR="00C92165" w:rsidRPr="00F40671" w:rsidRDefault="00C92165" w:rsidP="00312E88">
            <w:pPr>
              <w:jc w:val="right"/>
              <w:rPr>
                <w:rFonts w:cs="Arial"/>
                <w:color w:val="000000"/>
                <w:sz w:val="16"/>
                <w:szCs w:val="16"/>
              </w:rPr>
            </w:pPr>
            <w:r w:rsidRPr="00F40671">
              <w:rPr>
                <w:rFonts w:cs="Arial"/>
                <w:color w:val="000000"/>
                <w:sz w:val="16"/>
                <w:szCs w:val="16"/>
              </w:rPr>
              <w:t>803</w:t>
            </w:r>
          </w:p>
        </w:tc>
        <w:tc>
          <w:tcPr>
            <w:tcW w:w="660" w:type="pct"/>
            <w:tcBorders>
              <w:top w:val="nil"/>
              <w:left w:val="dotted" w:sz="4" w:space="0" w:color="auto"/>
              <w:bottom w:val="nil"/>
              <w:right w:val="single" w:sz="4" w:space="0" w:color="auto"/>
            </w:tcBorders>
            <w:shd w:val="clear" w:color="auto" w:fill="auto"/>
            <w:noWrap/>
            <w:vAlign w:val="bottom"/>
            <w:hideMark/>
          </w:tcPr>
          <w:p w14:paraId="322AEB20" w14:textId="77777777" w:rsidR="00C92165" w:rsidRPr="00F40671" w:rsidRDefault="00C92165" w:rsidP="00312E88">
            <w:pPr>
              <w:jc w:val="right"/>
              <w:rPr>
                <w:rFonts w:cs="Arial"/>
                <w:color w:val="000000"/>
                <w:sz w:val="16"/>
                <w:szCs w:val="16"/>
              </w:rPr>
            </w:pPr>
            <w:r w:rsidRPr="00F40671">
              <w:rPr>
                <w:rFonts w:cs="Arial"/>
                <w:color w:val="000000"/>
                <w:sz w:val="16"/>
                <w:szCs w:val="16"/>
              </w:rPr>
              <w:t>1,147</w:t>
            </w:r>
          </w:p>
        </w:tc>
      </w:tr>
      <w:tr w:rsidR="00C92165" w:rsidRPr="00F40671" w14:paraId="1FAEFA4E"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7559F05E" w14:textId="77777777" w:rsidR="00C92165" w:rsidRPr="00F40671" w:rsidRDefault="00C92165" w:rsidP="00312E88">
            <w:pPr>
              <w:rPr>
                <w:rFonts w:cs="Arial"/>
                <w:color w:val="000000"/>
                <w:sz w:val="16"/>
                <w:szCs w:val="16"/>
              </w:rPr>
            </w:pPr>
            <w:r w:rsidRPr="00F40671">
              <w:rPr>
                <w:rFonts w:cs="Arial"/>
                <w:color w:val="000000"/>
                <w:sz w:val="16"/>
                <w:szCs w:val="16"/>
              </w:rPr>
              <w:t>Other</w:t>
            </w:r>
          </w:p>
        </w:tc>
        <w:tc>
          <w:tcPr>
            <w:tcW w:w="658" w:type="pct"/>
            <w:tcBorders>
              <w:top w:val="nil"/>
              <w:left w:val="single" w:sz="4" w:space="0" w:color="auto"/>
              <w:bottom w:val="nil"/>
              <w:right w:val="nil"/>
            </w:tcBorders>
            <w:shd w:val="clear" w:color="auto" w:fill="auto"/>
            <w:noWrap/>
            <w:vAlign w:val="bottom"/>
            <w:hideMark/>
          </w:tcPr>
          <w:p w14:paraId="16673F76" w14:textId="77777777" w:rsidR="00C92165" w:rsidRPr="00F40671" w:rsidRDefault="00C92165" w:rsidP="00312E88">
            <w:pPr>
              <w:jc w:val="right"/>
              <w:rPr>
                <w:rFonts w:cs="Arial"/>
                <w:color w:val="000000"/>
                <w:sz w:val="16"/>
                <w:szCs w:val="16"/>
              </w:rPr>
            </w:pPr>
            <w:r w:rsidRPr="00F40671">
              <w:rPr>
                <w:rFonts w:cs="Arial"/>
                <w:color w:val="000000"/>
                <w:sz w:val="16"/>
                <w:szCs w:val="16"/>
              </w:rPr>
              <w:t>9,292</w:t>
            </w:r>
          </w:p>
        </w:tc>
        <w:tc>
          <w:tcPr>
            <w:tcW w:w="658" w:type="pct"/>
            <w:tcBorders>
              <w:top w:val="nil"/>
              <w:left w:val="nil"/>
              <w:bottom w:val="nil"/>
              <w:right w:val="nil"/>
            </w:tcBorders>
            <w:shd w:val="clear" w:color="auto" w:fill="auto"/>
            <w:noWrap/>
            <w:vAlign w:val="bottom"/>
            <w:hideMark/>
          </w:tcPr>
          <w:p w14:paraId="11FA4858" w14:textId="77777777" w:rsidR="00C92165" w:rsidRPr="00F40671" w:rsidRDefault="00C92165" w:rsidP="00312E88">
            <w:pPr>
              <w:jc w:val="right"/>
              <w:rPr>
                <w:rFonts w:cs="Arial"/>
                <w:color w:val="000000"/>
                <w:sz w:val="16"/>
                <w:szCs w:val="16"/>
              </w:rPr>
            </w:pPr>
            <w:r w:rsidRPr="00F40671">
              <w:rPr>
                <w:rFonts w:cs="Arial"/>
                <w:color w:val="000000"/>
                <w:sz w:val="16"/>
                <w:szCs w:val="16"/>
              </w:rPr>
              <w:t>10,637</w:t>
            </w:r>
          </w:p>
        </w:tc>
        <w:tc>
          <w:tcPr>
            <w:tcW w:w="658" w:type="pct"/>
            <w:tcBorders>
              <w:top w:val="nil"/>
              <w:left w:val="nil"/>
              <w:bottom w:val="nil"/>
              <w:right w:val="nil"/>
            </w:tcBorders>
            <w:shd w:val="clear" w:color="auto" w:fill="auto"/>
            <w:noWrap/>
            <w:vAlign w:val="bottom"/>
            <w:hideMark/>
          </w:tcPr>
          <w:p w14:paraId="49B60D78" w14:textId="77777777" w:rsidR="00C92165" w:rsidRPr="00F40671" w:rsidRDefault="00C92165" w:rsidP="00312E88">
            <w:pPr>
              <w:jc w:val="right"/>
              <w:rPr>
                <w:rFonts w:cs="Arial"/>
                <w:color w:val="000000"/>
                <w:sz w:val="16"/>
                <w:szCs w:val="16"/>
              </w:rPr>
            </w:pPr>
            <w:r w:rsidRPr="00F40671">
              <w:rPr>
                <w:rFonts w:cs="Arial"/>
                <w:color w:val="000000"/>
                <w:sz w:val="16"/>
                <w:szCs w:val="16"/>
              </w:rPr>
              <w:t>11,748</w:t>
            </w:r>
          </w:p>
        </w:tc>
        <w:tc>
          <w:tcPr>
            <w:tcW w:w="658" w:type="pct"/>
            <w:tcBorders>
              <w:top w:val="nil"/>
              <w:left w:val="nil"/>
              <w:bottom w:val="single" w:sz="4" w:space="0" w:color="auto"/>
              <w:right w:val="nil"/>
            </w:tcBorders>
            <w:shd w:val="clear" w:color="auto" w:fill="auto"/>
            <w:noWrap/>
            <w:vAlign w:val="bottom"/>
            <w:hideMark/>
          </w:tcPr>
          <w:p w14:paraId="682F8298" w14:textId="77777777" w:rsidR="00C92165" w:rsidRPr="00F40671" w:rsidRDefault="00C92165" w:rsidP="00312E88">
            <w:pPr>
              <w:jc w:val="right"/>
              <w:rPr>
                <w:rFonts w:cs="Arial"/>
                <w:color w:val="000000"/>
                <w:sz w:val="16"/>
                <w:szCs w:val="16"/>
              </w:rPr>
            </w:pPr>
            <w:r w:rsidRPr="00F40671">
              <w:rPr>
                <w:rFonts w:cs="Arial"/>
                <w:color w:val="000000"/>
                <w:sz w:val="16"/>
                <w:szCs w:val="16"/>
              </w:rPr>
              <w:t>12,671</w:t>
            </w:r>
          </w:p>
        </w:tc>
        <w:tc>
          <w:tcPr>
            <w:tcW w:w="660" w:type="pct"/>
            <w:tcBorders>
              <w:top w:val="nil"/>
              <w:left w:val="dotted" w:sz="4" w:space="0" w:color="auto"/>
              <w:bottom w:val="nil"/>
              <w:right w:val="single" w:sz="4" w:space="0" w:color="auto"/>
            </w:tcBorders>
            <w:shd w:val="clear" w:color="auto" w:fill="auto"/>
            <w:noWrap/>
            <w:vAlign w:val="bottom"/>
            <w:hideMark/>
          </w:tcPr>
          <w:p w14:paraId="01B1DE6F" w14:textId="77777777" w:rsidR="00C92165" w:rsidRPr="00F40671" w:rsidRDefault="00C92165" w:rsidP="00312E88">
            <w:pPr>
              <w:jc w:val="right"/>
              <w:rPr>
                <w:rFonts w:cs="Arial"/>
                <w:color w:val="000000"/>
                <w:sz w:val="16"/>
                <w:szCs w:val="16"/>
              </w:rPr>
            </w:pPr>
            <w:r w:rsidRPr="00F40671">
              <w:rPr>
                <w:rFonts w:cs="Arial"/>
                <w:color w:val="000000"/>
                <w:sz w:val="16"/>
                <w:szCs w:val="16"/>
              </w:rPr>
              <w:t>16,887</w:t>
            </w:r>
          </w:p>
        </w:tc>
      </w:tr>
      <w:tr w:rsidR="00C92165" w:rsidRPr="00F40671" w14:paraId="23E7D20A" w14:textId="77777777" w:rsidTr="00C92165">
        <w:trPr>
          <w:trHeight w:hRule="exact" w:val="284"/>
        </w:trPr>
        <w:tc>
          <w:tcPr>
            <w:tcW w:w="1708" w:type="pct"/>
            <w:tcBorders>
              <w:top w:val="single" w:sz="4" w:space="0" w:color="auto"/>
              <w:left w:val="single" w:sz="4" w:space="0" w:color="auto"/>
              <w:bottom w:val="single" w:sz="4" w:space="0" w:color="auto"/>
              <w:right w:val="nil"/>
            </w:tcBorders>
            <w:shd w:val="clear" w:color="auto" w:fill="auto"/>
            <w:noWrap/>
            <w:vAlign w:val="bottom"/>
            <w:hideMark/>
          </w:tcPr>
          <w:p w14:paraId="16C53BBC" w14:textId="77777777" w:rsidR="00C92165" w:rsidRPr="00F40671" w:rsidRDefault="00C92165" w:rsidP="00312E88">
            <w:pPr>
              <w:rPr>
                <w:rFonts w:cs="Arial"/>
                <w:b/>
                <w:bCs/>
                <w:color w:val="000000"/>
                <w:sz w:val="16"/>
                <w:szCs w:val="16"/>
              </w:rPr>
            </w:pPr>
            <w:r w:rsidRPr="00F40671">
              <w:rPr>
                <w:rFonts w:cs="Arial"/>
                <w:b/>
                <w:bCs/>
                <w:color w:val="000000"/>
                <w:sz w:val="16"/>
                <w:szCs w:val="16"/>
              </w:rPr>
              <w:t>Total</w:t>
            </w:r>
          </w:p>
        </w:tc>
        <w:tc>
          <w:tcPr>
            <w:tcW w:w="658" w:type="pct"/>
            <w:tcBorders>
              <w:top w:val="single" w:sz="4" w:space="0" w:color="auto"/>
              <w:left w:val="single" w:sz="4" w:space="0" w:color="auto"/>
              <w:bottom w:val="single" w:sz="4" w:space="0" w:color="auto"/>
              <w:right w:val="nil"/>
            </w:tcBorders>
            <w:shd w:val="clear" w:color="auto" w:fill="auto"/>
            <w:noWrap/>
            <w:vAlign w:val="bottom"/>
            <w:hideMark/>
          </w:tcPr>
          <w:p w14:paraId="27916B06"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27,699</w:t>
            </w:r>
          </w:p>
        </w:tc>
        <w:tc>
          <w:tcPr>
            <w:tcW w:w="658" w:type="pct"/>
            <w:tcBorders>
              <w:top w:val="single" w:sz="4" w:space="0" w:color="auto"/>
              <w:left w:val="nil"/>
              <w:bottom w:val="single" w:sz="4" w:space="0" w:color="auto"/>
              <w:right w:val="nil"/>
            </w:tcBorders>
            <w:shd w:val="clear" w:color="auto" w:fill="auto"/>
            <w:noWrap/>
            <w:vAlign w:val="bottom"/>
            <w:hideMark/>
          </w:tcPr>
          <w:p w14:paraId="10C382D9"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32,436</w:t>
            </w:r>
          </w:p>
        </w:tc>
        <w:tc>
          <w:tcPr>
            <w:tcW w:w="658" w:type="pct"/>
            <w:tcBorders>
              <w:top w:val="single" w:sz="4" w:space="0" w:color="auto"/>
              <w:left w:val="nil"/>
              <w:bottom w:val="single" w:sz="4" w:space="0" w:color="auto"/>
              <w:right w:val="nil"/>
            </w:tcBorders>
            <w:shd w:val="clear" w:color="auto" w:fill="auto"/>
            <w:noWrap/>
            <w:vAlign w:val="bottom"/>
            <w:hideMark/>
          </w:tcPr>
          <w:p w14:paraId="377F851E"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36,622</w:t>
            </w:r>
          </w:p>
        </w:tc>
        <w:tc>
          <w:tcPr>
            <w:tcW w:w="658" w:type="pct"/>
            <w:tcBorders>
              <w:top w:val="nil"/>
              <w:left w:val="nil"/>
              <w:bottom w:val="single" w:sz="4" w:space="0" w:color="auto"/>
              <w:right w:val="nil"/>
            </w:tcBorders>
            <w:shd w:val="clear" w:color="auto" w:fill="auto"/>
            <w:noWrap/>
            <w:vAlign w:val="bottom"/>
            <w:hideMark/>
          </w:tcPr>
          <w:p w14:paraId="322291E9"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40,385</w:t>
            </w:r>
          </w:p>
        </w:tc>
        <w:tc>
          <w:tcPr>
            <w:tcW w:w="660" w:type="pct"/>
            <w:tcBorders>
              <w:top w:val="single" w:sz="4" w:space="0" w:color="auto"/>
              <w:left w:val="dotted" w:sz="4" w:space="0" w:color="auto"/>
              <w:bottom w:val="single" w:sz="4" w:space="0" w:color="auto"/>
              <w:right w:val="single" w:sz="4" w:space="0" w:color="auto"/>
            </w:tcBorders>
            <w:shd w:val="clear" w:color="auto" w:fill="auto"/>
            <w:noWrap/>
            <w:vAlign w:val="bottom"/>
            <w:hideMark/>
          </w:tcPr>
          <w:p w14:paraId="73447274"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59,918</w:t>
            </w:r>
          </w:p>
        </w:tc>
      </w:tr>
      <w:tr w:rsidR="00C92165" w:rsidRPr="00F40671" w14:paraId="5BBF2EEF" w14:textId="77777777" w:rsidTr="00C92165">
        <w:trPr>
          <w:trHeight w:hRule="exact" w:val="284"/>
        </w:trPr>
        <w:tc>
          <w:tcPr>
            <w:tcW w:w="1708" w:type="pct"/>
            <w:tcBorders>
              <w:top w:val="single" w:sz="4" w:space="0" w:color="auto"/>
              <w:left w:val="single" w:sz="4" w:space="0" w:color="auto"/>
              <w:bottom w:val="single" w:sz="4" w:space="0" w:color="auto"/>
              <w:right w:val="nil"/>
            </w:tcBorders>
            <w:shd w:val="clear" w:color="000000" w:fill="F7EEF7"/>
            <w:noWrap/>
            <w:vAlign w:val="bottom"/>
            <w:hideMark/>
          </w:tcPr>
          <w:p w14:paraId="0F7193E4" w14:textId="77777777" w:rsidR="00C92165" w:rsidRPr="00F40671" w:rsidRDefault="00C92165" w:rsidP="00312E88">
            <w:pPr>
              <w:rPr>
                <w:rFonts w:cs="Arial"/>
                <w:b/>
                <w:bCs/>
                <w:color w:val="000000"/>
                <w:sz w:val="16"/>
                <w:szCs w:val="16"/>
              </w:rPr>
            </w:pPr>
            <w:r w:rsidRPr="00F40671">
              <w:rPr>
                <w:rFonts w:cs="Arial"/>
                <w:b/>
                <w:bCs/>
                <w:color w:val="000000"/>
                <w:sz w:val="16"/>
                <w:szCs w:val="16"/>
              </w:rPr>
              <w:t>Difference</w:t>
            </w:r>
          </w:p>
        </w:tc>
        <w:tc>
          <w:tcPr>
            <w:tcW w:w="658" w:type="pct"/>
            <w:tcBorders>
              <w:top w:val="single" w:sz="4" w:space="0" w:color="auto"/>
              <w:left w:val="nil"/>
              <w:bottom w:val="single" w:sz="4" w:space="0" w:color="auto"/>
              <w:right w:val="nil"/>
            </w:tcBorders>
            <w:shd w:val="clear" w:color="000000" w:fill="F7EEF7"/>
            <w:noWrap/>
            <w:vAlign w:val="bottom"/>
            <w:hideMark/>
          </w:tcPr>
          <w:p w14:paraId="13434588"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single" w:sz="4" w:space="0" w:color="auto"/>
              <w:left w:val="nil"/>
              <w:bottom w:val="single" w:sz="4" w:space="0" w:color="auto"/>
              <w:right w:val="nil"/>
            </w:tcBorders>
            <w:shd w:val="clear" w:color="000000" w:fill="F7EEF7"/>
            <w:noWrap/>
            <w:vAlign w:val="bottom"/>
            <w:hideMark/>
          </w:tcPr>
          <w:p w14:paraId="16CF329F"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single" w:sz="4" w:space="0" w:color="auto"/>
              <w:left w:val="nil"/>
              <w:bottom w:val="single" w:sz="4" w:space="0" w:color="auto"/>
              <w:right w:val="nil"/>
            </w:tcBorders>
            <w:shd w:val="clear" w:color="000000" w:fill="F7EEF7"/>
            <w:noWrap/>
            <w:vAlign w:val="bottom"/>
            <w:hideMark/>
          </w:tcPr>
          <w:p w14:paraId="25D5CACA"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single" w:sz="4" w:space="0" w:color="auto"/>
              <w:left w:val="nil"/>
              <w:bottom w:val="single" w:sz="4" w:space="0" w:color="auto"/>
              <w:right w:val="nil"/>
            </w:tcBorders>
            <w:shd w:val="clear" w:color="000000" w:fill="F7EEF7"/>
            <w:noWrap/>
            <w:vAlign w:val="bottom"/>
            <w:hideMark/>
          </w:tcPr>
          <w:p w14:paraId="15D176BC"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60" w:type="pct"/>
            <w:tcBorders>
              <w:top w:val="single" w:sz="4" w:space="0" w:color="auto"/>
              <w:left w:val="nil"/>
              <w:bottom w:val="single" w:sz="4" w:space="0" w:color="auto"/>
              <w:right w:val="single" w:sz="4" w:space="0" w:color="auto"/>
            </w:tcBorders>
            <w:shd w:val="clear" w:color="000000" w:fill="F7EEF7"/>
            <w:noWrap/>
            <w:vAlign w:val="bottom"/>
            <w:hideMark/>
          </w:tcPr>
          <w:p w14:paraId="1FC4CB7D"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r>
      <w:tr w:rsidR="00C92165" w:rsidRPr="00F40671" w14:paraId="47237306"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50786D53" w14:textId="77777777" w:rsidR="00C92165" w:rsidRPr="00F40671" w:rsidRDefault="00C92165" w:rsidP="00312E88">
            <w:pPr>
              <w:rPr>
                <w:rFonts w:cs="Arial"/>
                <w:color w:val="000000"/>
                <w:sz w:val="16"/>
                <w:szCs w:val="16"/>
              </w:rPr>
            </w:pPr>
            <w:r w:rsidRPr="00F40671">
              <w:rPr>
                <w:rFonts w:cs="Arial"/>
                <w:color w:val="000000"/>
                <w:sz w:val="16"/>
                <w:szCs w:val="16"/>
              </w:rPr>
              <w:t>Autism</w:t>
            </w:r>
          </w:p>
        </w:tc>
        <w:tc>
          <w:tcPr>
            <w:tcW w:w="658" w:type="pct"/>
            <w:tcBorders>
              <w:top w:val="nil"/>
              <w:left w:val="single" w:sz="4" w:space="0" w:color="auto"/>
              <w:bottom w:val="nil"/>
              <w:right w:val="nil"/>
            </w:tcBorders>
            <w:shd w:val="clear" w:color="auto" w:fill="auto"/>
            <w:noWrap/>
            <w:vAlign w:val="bottom"/>
            <w:hideMark/>
          </w:tcPr>
          <w:p w14:paraId="3706F593" w14:textId="77777777" w:rsidR="00C92165" w:rsidRPr="00F40671" w:rsidRDefault="00C92165" w:rsidP="00312E88">
            <w:pPr>
              <w:jc w:val="right"/>
              <w:rPr>
                <w:rFonts w:cs="Arial"/>
                <w:color w:val="000000"/>
                <w:sz w:val="16"/>
                <w:szCs w:val="16"/>
              </w:rPr>
            </w:pPr>
            <w:r w:rsidRPr="00F40671">
              <w:rPr>
                <w:rFonts w:cs="Arial"/>
                <w:color w:val="000000"/>
                <w:sz w:val="16"/>
                <w:szCs w:val="16"/>
              </w:rPr>
              <w:t>506</w:t>
            </w:r>
          </w:p>
        </w:tc>
        <w:tc>
          <w:tcPr>
            <w:tcW w:w="658" w:type="pct"/>
            <w:tcBorders>
              <w:top w:val="nil"/>
              <w:left w:val="nil"/>
              <w:bottom w:val="nil"/>
              <w:right w:val="nil"/>
            </w:tcBorders>
            <w:shd w:val="clear" w:color="auto" w:fill="auto"/>
            <w:noWrap/>
            <w:vAlign w:val="bottom"/>
            <w:hideMark/>
          </w:tcPr>
          <w:p w14:paraId="2107DBE0" w14:textId="77777777" w:rsidR="00C92165" w:rsidRPr="00F40671" w:rsidRDefault="00C92165" w:rsidP="00312E88">
            <w:pPr>
              <w:jc w:val="right"/>
              <w:rPr>
                <w:rFonts w:cs="Arial"/>
                <w:color w:val="000000"/>
                <w:sz w:val="16"/>
                <w:szCs w:val="16"/>
              </w:rPr>
            </w:pPr>
            <w:r w:rsidRPr="00F40671">
              <w:rPr>
                <w:rFonts w:cs="Arial"/>
                <w:color w:val="000000"/>
                <w:sz w:val="16"/>
                <w:szCs w:val="16"/>
              </w:rPr>
              <w:t>594</w:t>
            </w:r>
          </w:p>
        </w:tc>
        <w:tc>
          <w:tcPr>
            <w:tcW w:w="658" w:type="pct"/>
            <w:tcBorders>
              <w:top w:val="nil"/>
              <w:left w:val="nil"/>
              <w:bottom w:val="nil"/>
              <w:right w:val="nil"/>
            </w:tcBorders>
            <w:shd w:val="clear" w:color="auto" w:fill="auto"/>
            <w:noWrap/>
            <w:vAlign w:val="bottom"/>
            <w:hideMark/>
          </w:tcPr>
          <w:p w14:paraId="458AE130" w14:textId="77777777" w:rsidR="00C92165" w:rsidRPr="00F40671" w:rsidRDefault="00C92165" w:rsidP="00312E88">
            <w:pPr>
              <w:jc w:val="right"/>
              <w:rPr>
                <w:rFonts w:cs="Arial"/>
                <w:color w:val="000000"/>
                <w:sz w:val="16"/>
                <w:szCs w:val="16"/>
              </w:rPr>
            </w:pPr>
            <w:r w:rsidRPr="00F40671">
              <w:rPr>
                <w:rFonts w:cs="Arial"/>
                <w:color w:val="000000"/>
                <w:sz w:val="16"/>
                <w:szCs w:val="16"/>
              </w:rPr>
              <w:t>668</w:t>
            </w:r>
          </w:p>
        </w:tc>
        <w:tc>
          <w:tcPr>
            <w:tcW w:w="658" w:type="pct"/>
            <w:tcBorders>
              <w:top w:val="dotted" w:sz="4" w:space="0" w:color="auto"/>
              <w:left w:val="nil"/>
              <w:bottom w:val="nil"/>
              <w:right w:val="nil"/>
            </w:tcBorders>
            <w:shd w:val="clear" w:color="auto" w:fill="auto"/>
            <w:noWrap/>
            <w:vAlign w:val="bottom"/>
            <w:hideMark/>
          </w:tcPr>
          <w:p w14:paraId="7BEDCCD8" w14:textId="77777777" w:rsidR="00C92165" w:rsidRPr="00F40671" w:rsidRDefault="00C92165" w:rsidP="00312E88">
            <w:pPr>
              <w:jc w:val="right"/>
              <w:rPr>
                <w:rFonts w:cs="Arial"/>
                <w:color w:val="000000"/>
                <w:sz w:val="16"/>
                <w:szCs w:val="16"/>
              </w:rPr>
            </w:pPr>
            <w:r w:rsidRPr="00F40671">
              <w:rPr>
                <w:rFonts w:cs="Arial"/>
                <w:color w:val="000000"/>
                <w:sz w:val="16"/>
                <w:szCs w:val="16"/>
              </w:rPr>
              <w:t>663</w:t>
            </w:r>
          </w:p>
        </w:tc>
        <w:tc>
          <w:tcPr>
            <w:tcW w:w="660" w:type="pct"/>
            <w:tcBorders>
              <w:top w:val="nil"/>
              <w:left w:val="dotted" w:sz="4" w:space="0" w:color="auto"/>
              <w:bottom w:val="nil"/>
              <w:right w:val="single" w:sz="4" w:space="0" w:color="auto"/>
            </w:tcBorders>
            <w:shd w:val="clear" w:color="auto" w:fill="auto"/>
            <w:noWrap/>
            <w:vAlign w:val="bottom"/>
            <w:hideMark/>
          </w:tcPr>
          <w:p w14:paraId="6CD87593" w14:textId="77777777" w:rsidR="00C92165" w:rsidRPr="00F40671" w:rsidRDefault="00C92165" w:rsidP="00312E88">
            <w:pPr>
              <w:jc w:val="right"/>
              <w:rPr>
                <w:rFonts w:cs="Arial"/>
                <w:color w:val="000000"/>
                <w:sz w:val="16"/>
                <w:szCs w:val="16"/>
              </w:rPr>
            </w:pPr>
            <w:r w:rsidRPr="00F40671">
              <w:rPr>
                <w:rFonts w:cs="Arial"/>
                <w:color w:val="000000"/>
                <w:sz w:val="16"/>
                <w:szCs w:val="16"/>
              </w:rPr>
              <w:t>561</w:t>
            </w:r>
          </w:p>
        </w:tc>
      </w:tr>
      <w:tr w:rsidR="00C92165" w:rsidRPr="00F40671" w14:paraId="50F74D4B"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3600994D" w14:textId="77777777" w:rsidR="00C92165" w:rsidRPr="00F40671" w:rsidRDefault="00C92165" w:rsidP="00312E88">
            <w:pPr>
              <w:rPr>
                <w:rFonts w:cs="Arial"/>
                <w:color w:val="000000"/>
                <w:sz w:val="16"/>
                <w:szCs w:val="16"/>
              </w:rPr>
            </w:pPr>
            <w:r w:rsidRPr="00F40671">
              <w:rPr>
                <w:rFonts w:cs="Arial"/>
                <w:color w:val="000000"/>
                <w:sz w:val="16"/>
                <w:szCs w:val="16"/>
              </w:rPr>
              <w:t>Intellectual Disability</w:t>
            </w:r>
          </w:p>
        </w:tc>
        <w:tc>
          <w:tcPr>
            <w:tcW w:w="658" w:type="pct"/>
            <w:tcBorders>
              <w:top w:val="nil"/>
              <w:left w:val="single" w:sz="4" w:space="0" w:color="auto"/>
              <w:bottom w:val="nil"/>
              <w:right w:val="nil"/>
            </w:tcBorders>
            <w:shd w:val="clear" w:color="auto" w:fill="auto"/>
            <w:noWrap/>
            <w:vAlign w:val="bottom"/>
            <w:hideMark/>
          </w:tcPr>
          <w:p w14:paraId="5005FCEF" w14:textId="77777777" w:rsidR="00C92165" w:rsidRPr="00F40671" w:rsidRDefault="00C92165" w:rsidP="00312E88">
            <w:pPr>
              <w:jc w:val="right"/>
              <w:rPr>
                <w:rFonts w:cs="Arial"/>
                <w:color w:val="000000"/>
                <w:sz w:val="16"/>
                <w:szCs w:val="16"/>
              </w:rPr>
            </w:pPr>
            <w:r w:rsidRPr="00F40671">
              <w:rPr>
                <w:rFonts w:cs="Arial"/>
                <w:color w:val="000000"/>
                <w:sz w:val="16"/>
                <w:szCs w:val="16"/>
              </w:rPr>
              <w:t>352</w:t>
            </w:r>
          </w:p>
        </w:tc>
        <w:tc>
          <w:tcPr>
            <w:tcW w:w="658" w:type="pct"/>
            <w:tcBorders>
              <w:top w:val="nil"/>
              <w:left w:val="nil"/>
              <w:bottom w:val="nil"/>
              <w:right w:val="nil"/>
            </w:tcBorders>
            <w:shd w:val="clear" w:color="auto" w:fill="auto"/>
            <w:noWrap/>
            <w:vAlign w:val="bottom"/>
            <w:hideMark/>
          </w:tcPr>
          <w:p w14:paraId="10C52E20" w14:textId="77777777" w:rsidR="00C92165" w:rsidRPr="00F40671" w:rsidRDefault="00C92165" w:rsidP="00312E88">
            <w:pPr>
              <w:jc w:val="right"/>
              <w:rPr>
                <w:rFonts w:cs="Arial"/>
                <w:color w:val="000000"/>
                <w:sz w:val="16"/>
                <w:szCs w:val="16"/>
              </w:rPr>
            </w:pPr>
            <w:r w:rsidRPr="00F40671">
              <w:rPr>
                <w:rFonts w:cs="Arial"/>
                <w:color w:val="000000"/>
                <w:sz w:val="16"/>
                <w:szCs w:val="16"/>
              </w:rPr>
              <w:t>231</w:t>
            </w:r>
          </w:p>
        </w:tc>
        <w:tc>
          <w:tcPr>
            <w:tcW w:w="658" w:type="pct"/>
            <w:tcBorders>
              <w:top w:val="nil"/>
              <w:left w:val="nil"/>
              <w:bottom w:val="nil"/>
              <w:right w:val="nil"/>
            </w:tcBorders>
            <w:shd w:val="clear" w:color="auto" w:fill="auto"/>
            <w:noWrap/>
            <w:vAlign w:val="bottom"/>
            <w:hideMark/>
          </w:tcPr>
          <w:p w14:paraId="7787382B" w14:textId="77777777" w:rsidR="00C92165" w:rsidRPr="00F40671" w:rsidRDefault="00C92165" w:rsidP="00312E88">
            <w:pPr>
              <w:jc w:val="right"/>
              <w:rPr>
                <w:rFonts w:cs="Arial"/>
                <w:color w:val="000000"/>
                <w:sz w:val="16"/>
                <w:szCs w:val="16"/>
              </w:rPr>
            </w:pPr>
            <w:r w:rsidRPr="00F40671">
              <w:rPr>
                <w:rFonts w:cs="Arial"/>
                <w:color w:val="000000"/>
                <w:sz w:val="16"/>
                <w:szCs w:val="16"/>
              </w:rPr>
              <w:t>118</w:t>
            </w:r>
          </w:p>
        </w:tc>
        <w:tc>
          <w:tcPr>
            <w:tcW w:w="658" w:type="pct"/>
            <w:tcBorders>
              <w:top w:val="nil"/>
              <w:left w:val="nil"/>
              <w:bottom w:val="nil"/>
              <w:right w:val="nil"/>
            </w:tcBorders>
            <w:shd w:val="clear" w:color="auto" w:fill="auto"/>
            <w:noWrap/>
            <w:vAlign w:val="bottom"/>
            <w:hideMark/>
          </w:tcPr>
          <w:p w14:paraId="1982D2D1" w14:textId="77777777" w:rsidR="00C92165" w:rsidRPr="00F40671" w:rsidRDefault="00C92165" w:rsidP="00312E88">
            <w:pPr>
              <w:jc w:val="right"/>
              <w:rPr>
                <w:rFonts w:cs="Arial"/>
                <w:color w:val="000000"/>
                <w:sz w:val="16"/>
                <w:szCs w:val="16"/>
              </w:rPr>
            </w:pPr>
            <w:r w:rsidRPr="00F40671">
              <w:rPr>
                <w:rFonts w:cs="Arial"/>
                <w:color w:val="000000"/>
                <w:sz w:val="16"/>
                <w:szCs w:val="16"/>
              </w:rPr>
              <w:t>-36</w:t>
            </w:r>
          </w:p>
        </w:tc>
        <w:tc>
          <w:tcPr>
            <w:tcW w:w="660" w:type="pct"/>
            <w:tcBorders>
              <w:top w:val="nil"/>
              <w:left w:val="dotted" w:sz="4" w:space="0" w:color="auto"/>
              <w:bottom w:val="nil"/>
              <w:right w:val="single" w:sz="4" w:space="0" w:color="auto"/>
            </w:tcBorders>
            <w:shd w:val="clear" w:color="auto" w:fill="auto"/>
            <w:noWrap/>
            <w:vAlign w:val="bottom"/>
            <w:hideMark/>
          </w:tcPr>
          <w:p w14:paraId="4ADE65E1" w14:textId="77777777" w:rsidR="00C92165" w:rsidRPr="00F40671" w:rsidRDefault="00C92165" w:rsidP="00312E88">
            <w:pPr>
              <w:jc w:val="right"/>
              <w:rPr>
                <w:rFonts w:cs="Arial"/>
                <w:color w:val="000000"/>
                <w:sz w:val="16"/>
                <w:szCs w:val="16"/>
              </w:rPr>
            </w:pPr>
            <w:r w:rsidRPr="00F40671">
              <w:rPr>
                <w:rFonts w:cs="Arial"/>
                <w:color w:val="000000"/>
                <w:sz w:val="16"/>
                <w:szCs w:val="16"/>
              </w:rPr>
              <w:t>-508</w:t>
            </w:r>
          </w:p>
        </w:tc>
      </w:tr>
      <w:tr w:rsidR="00C92165" w:rsidRPr="00F40671" w14:paraId="3785E78D"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3A5D06F2" w14:textId="77777777" w:rsidR="00C92165" w:rsidRPr="00F40671" w:rsidRDefault="00C92165" w:rsidP="00312E88">
            <w:pPr>
              <w:rPr>
                <w:rFonts w:cs="Arial"/>
                <w:color w:val="000000"/>
                <w:sz w:val="16"/>
                <w:szCs w:val="16"/>
              </w:rPr>
            </w:pPr>
            <w:r w:rsidRPr="00F40671">
              <w:rPr>
                <w:rFonts w:cs="Arial"/>
                <w:color w:val="000000"/>
                <w:sz w:val="16"/>
                <w:szCs w:val="16"/>
              </w:rPr>
              <w:t>Psychosocial Disability</w:t>
            </w:r>
          </w:p>
        </w:tc>
        <w:tc>
          <w:tcPr>
            <w:tcW w:w="658" w:type="pct"/>
            <w:tcBorders>
              <w:top w:val="nil"/>
              <w:left w:val="single" w:sz="4" w:space="0" w:color="auto"/>
              <w:bottom w:val="nil"/>
              <w:right w:val="nil"/>
            </w:tcBorders>
            <w:shd w:val="clear" w:color="auto" w:fill="auto"/>
            <w:noWrap/>
            <w:vAlign w:val="bottom"/>
            <w:hideMark/>
          </w:tcPr>
          <w:p w14:paraId="1DE03D72" w14:textId="77777777" w:rsidR="00C92165" w:rsidRPr="00F40671" w:rsidRDefault="00C92165" w:rsidP="00312E88">
            <w:pPr>
              <w:jc w:val="right"/>
              <w:rPr>
                <w:rFonts w:cs="Arial"/>
                <w:color w:val="000000"/>
                <w:sz w:val="16"/>
                <w:szCs w:val="16"/>
              </w:rPr>
            </w:pPr>
            <w:r w:rsidRPr="00F40671">
              <w:rPr>
                <w:rFonts w:cs="Arial"/>
                <w:color w:val="000000"/>
                <w:sz w:val="16"/>
                <w:szCs w:val="16"/>
              </w:rPr>
              <w:t>-129</w:t>
            </w:r>
          </w:p>
        </w:tc>
        <w:tc>
          <w:tcPr>
            <w:tcW w:w="658" w:type="pct"/>
            <w:tcBorders>
              <w:top w:val="nil"/>
              <w:left w:val="nil"/>
              <w:bottom w:val="nil"/>
              <w:right w:val="nil"/>
            </w:tcBorders>
            <w:shd w:val="clear" w:color="auto" w:fill="auto"/>
            <w:noWrap/>
            <w:vAlign w:val="bottom"/>
            <w:hideMark/>
          </w:tcPr>
          <w:p w14:paraId="3EA1F57D" w14:textId="77777777" w:rsidR="00C92165" w:rsidRPr="00F40671" w:rsidRDefault="00C92165" w:rsidP="00312E88">
            <w:pPr>
              <w:jc w:val="right"/>
              <w:rPr>
                <w:rFonts w:cs="Arial"/>
                <w:color w:val="000000"/>
                <w:sz w:val="16"/>
                <w:szCs w:val="16"/>
              </w:rPr>
            </w:pPr>
            <w:r w:rsidRPr="00F40671">
              <w:rPr>
                <w:rFonts w:cs="Arial"/>
                <w:color w:val="000000"/>
                <w:sz w:val="16"/>
                <w:szCs w:val="16"/>
              </w:rPr>
              <w:t>-222</w:t>
            </w:r>
          </w:p>
        </w:tc>
        <w:tc>
          <w:tcPr>
            <w:tcW w:w="658" w:type="pct"/>
            <w:tcBorders>
              <w:top w:val="nil"/>
              <w:left w:val="nil"/>
              <w:bottom w:val="nil"/>
              <w:right w:val="nil"/>
            </w:tcBorders>
            <w:shd w:val="clear" w:color="auto" w:fill="auto"/>
            <w:noWrap/>
            <w:vAlign w:val="bottom"/>
            <w:hideMark/>
          </w:tcPr>
          <w:p w14:paraId="6653834A" w14:textId="77777777" w:rsidR="00C92165" w:rsidRPr="00F40671" w:rsidRDefault="00C92165" w:rsidP="00312E88">
            <w:pPr>
              <w:jc w:val="right"/>
              <w:rPr>
                <w:rFonts w:cs="Arial"/>
                <w:color w:val="000000"/>
                <w:sz w:val="16"/>
                <w:szCs w:val="16"/>
              </w:rPr>
            </w:pPr>
            <w:r w:rsidRPr="00F40671">
              <w:rPr>
                <w:rFonts w:cs="Arial"/>
                <w:color w:val="000000"/>
                <w:sz w:val="16"/>
                <w:szCs w:val="16"/>
              </w:rPr>
              <w:t>-313</w:t>
            </w:r>
          </w:p>
        </w:tc>
        <w:tc>
          <w:tcPr>
            <w:tcW w:w="658" w:type="pct"/>
            <w:tcBorders>
              <w:top w:val="nil"/>
              <w:left w:val="nil"/>
              <w:bottom w:val="nil"/>
              <w:right w:val="nil"/>
            </w:tcBorders>
            <w:shd w:val="clear" w:color="auto" w:fill="auto"/>
            <w:noWrap/>
            <w:vAlign w:val="bottom"/>
            <w:hideMark/>
          </w:tcPr>
          <w:p w14:paraId="2CE0A7A5" w14:textId="77777777" w:rsidR="00C92165" w:rsidRPr="00F40671" w:rsidRDefault="00C92165" w:rsidP="00312E88">
            <w:pPr>
              <w:jc w:val="right"/>
              <w:rPr>
                <w:rFonts w:cs="Arial"/>
                <w:color w:val="000000"/>
                <w:sz w:val="16"/>
                <w:szCs w:val="16"/>
              </w:rPr>
            </w:pPr>
            <w:r w:rsidRPr="00F40671">
              <w:rPr>
                <w:rFonts w:cs="Arial"/>
                <w:color w:val="000000"/>
                <w:sz w:val="16"/>
                <w:szCs w:val="16"/>
              </w:rPr>
              <w:t>-414</w:t>
            </w:r>
          </w:p>
        </w:tc>
        <w:tc>
          <w:tcPr>
            <w:tcW w:w="660" w:type="pct"/>
            <w:tcBorders>
              <w:top w:val="nil"/>
              <w:left w:val="dotted" w:sz="4" w:space="0" w:color="auto"/>
              <w:bottom w:val="nil"/>
              <w:right w:val="single" w:sz="4" w:space="0" w:color="auto"/>
            </w:tcBorders>
            <w:shd w:val="clear" w:color="auto" w:fill="auto"/>
            <w:noWrap/>
            <w:vAlign w:val="bottom"/>
            <w:hideMark/>
          </w:tcPr>
          <w:p w14:paraId="418C1EC9" w14:textId="77777777" w:rsidR="00C92165" w:rsidRPr="00F40671" w:rsidRDefault="00C92165" w:rsidP="00312E88">
            <w:pPr>
              <w:jc w:val="right"/>
              <w:rPr>
                <w:rFonts w:cs="Arial"/>
                <w:color w:val="000000"/>
                <w:sz w:val="16"/>
                <w:szCs w:val="16"/>
              </w:rPr>
            </w:pPr>
            <w:r w:rsidRPr="00F40671">
              <w:rPr>
                <w:rFonts w:cs="Arial"/>
                <w:color w:val="000000"/>
                <w:sz w:val="16"/>
                <w:szCs w:val="16"/>
              </w:rPr>
              <w:t>-901</w:t>
            </w:r>
          </w:p>
        </w:tc>
      </w:tr>
      <w:tr w:rsidR="00C92165" w:rsidRPr="00F40671" w14:paraId="53121E6C"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2710E098" w14:textId="77777777" w:rsidR="00C92165" w:rsidRPr="00F40671" w:rsidRDefault="00C92165" w:rsidP="00312E88">
            <w:pPr>
              <w:rPr>
                <w:rFonts w:cs="Arial"/>
                <w:color w:val="000000"/>
                <w:sz w:val="16"/>
                <w:szCs w:val="16"/>
              </w:rPr>
            </w:pPr>
            <w:r w:rsidRPr="00F40671">
              <w:rPr>
                <w:rFonts w:cs="Arial"/>
                <w:color w:val="000000"/>
                <w:sz w:val="16"/>
                <w:szCs w:val="16"/>
              </w:rPr>
              <w:t>Developmental Delay</w:t>
            </w:r>
          </w:p>
        </w:tc>
        <w:tc>
          <w:tcPr>
            <w:tcW w:w="658" w:type="pct"/>
            <w:tcBorders>
              <w:top w:val="nil"/>
              <w:left w:val="single" w:sz="4" w:space="0" w:color="auto"/>
              <w:bottom w:val="nil"/>
              <w:right w:val="nil"/>
            </w:tcBorders>
            <w:shd w:val="clear" w:color="auto" w:fill="auto"/>
            <w:noWrap/>
            <w:vAlign w:val="bottom"/>
            <w:hideMark/>
          </w:tcPr>
          <w:p w14:paraId="4D84EEED" w14:textId="77777777" w:rsidR="00C92165" w:rsidRPr="00F40671" w:rsidRDefault="00C92165" w:rsidP="00312E88">
            <w:pPr>
              <w:jc w:val="right"/>
              <w:rPr>
                <w:rFonts w:cs="Arial"/>
                <w:color w:val="000000"/>
                <w:sz w:val="16"/>
                <w:szCs w:val="16"/>
              </w:rPr>
            </w:pPr>
            <w:r w:rsidRPr="00F40671">
              <w:rPr>
                <w:rFonts w:cs="Arial"/>
                <w:color w:val="000000"/>
                <w:sz w:val="16"/>
                <w:szCs w:val="16"/>
              </w:rPr>
              <w:t>-93</w:t>
            </w:r>
          </w:p>
        </w:tc>
        <w:tc>
          <w:tcPr>
            <w:tcW w:w="658" w:type="pct"/>
            <w:tcBorders>
              <w:top w:val="nil"/>
              <w:left w:val="nil"/>
              <w:bottom w:val="nil"/>
              <w:right w:val="nil"/>
            </w:tcBorders>
            <w:shd w:val="clear" w:color="auto" w:fill="auto"/>
            <w:noWrap/>
            <w:vAlign w:val="bottom"/>
            <w:hideMark/>
          </w:tcPr>
          <w:p w14:paraId="7FCECD6A" w14:textId="77777777" w:rsidR="00C92165" w:rsidRPr="00F40671" w:rsidRDefault="00C92165" w:rsidP="00312E88">
            <w:pPr>
              <w:jc w:val="right"/>
              <w:rPr>
                <w:rFonts w:cs="Arial"/>
                <w:color w:val="000000"/>
                <w:sz w:val="16"/>
                <w:szCs w:val="16"/>
              </w:rPr>
            </w:pPr>
            <w:r w:rsidRPr="00F40671">
              <w:rPr>
                <w:rFonts w:cs="Arial"/>
                <w:color w:val="000000"/>
                <w:sz w:val="16"/>
                <w:szCs w:val="16"/>
              </w:rPr>
              <w:t>-97</w:t>
            </w:r>
          </w:p>
        </w:tc>
        <w:tc>
          <w:tcPr>
            <w:tcW w:w="658" w:type="pct"/>
            <w:tcBorders>
              <w:top w:val="nil"/>
              <w:left w:val="nil"/>
              <w:bottom w:val="nil"/>
              <w:right w:val="nil"/>
            </w:tcBorders>
            <w:shd w:val="clear" w:color="auto" w:fill="auto"/>
            <w:noWrap/>
            <w:vAlign w:val="bottom"/>
            <w:hideMark/>
          </w:tcPr>
          <w:p w14:paraId="3BAB5B1C" w14:textId="77777777" w:rsidR="00C92165" w:rsidRPr="00F40671" w:rsidRDefault="00C92165" w:rsidP="00312E88">
            <w:pPr>
              <w:jc w:val="right"/>
              <w:rPr>
                <w:rFonts w:cs="Arial"/>
                <w:color w:val="000000"/>
                <w:sz w:val="16"/>
                <w:szCs w:val="16"/>
              </w:rPr>
            </w:pPr>
            <w:r w:rsidRPr="00F40671">
              <w:rPr>
                <w:rFonts w:cs="Arial"/>
                <w:color w:val="000000"/>
                <w:sz w:val="16"/>
                <w:szCs w:val="16"/>
              </w:rPr>
              <w:t>-99</w:t>
            </w:r>
          </w:p>
        </w:tc>
        <w:tc>
          <w:tcPr>
            <w:tcW w:w="658" w:type="pct"/>
            <w:tcBorders>
              <w:top w:val="nil"/>
              <w:left w:val="nil"/>
              <w:bottom w:val="nil"/>
              <w:right w:val="nil"/>
            </w:tcBorders>
            <w:shd w:val="clear" w:color="auto" w:fill="auto"/>
            <w:noWrap/>
            <w:vAlign w:val="bottom"/>
            <w:hideMark/>
          </w:tcPr>
          <w:p w14:paraId="37D327E6" w14:textId="77777777" w:rsidR="00C92165" w:rsidRPr="00F40671" w:rsidRDefault="00C92165" w:rsidP="00312E88">
            <w:pPr>
              <w:jc w:val="right"/>
              <w:rPr>
                <w:rFonts w:cs="Arial"/>
                <w:color w:val="000000"/>
                <w:sz w:val="16"/>
                <w:szCs w:val="16"/>
              </w:rPr>
            </w:pPr>
            <w:r w:rsidRPr="00F40671">
              <w:rPr>
                <w:rFonts w:cs="Arial"/>
                <w:color w:val="000000"/>
                <w:sz w:val="16"/>
                <w:szCs w:val="16"/>
              </w:rPr>
              <w:t>-122</w:t>
            </w:r>
          </w:p>
        </w:tc>
        <w:tc>
          <w:tcPr>
            <w:tcW w:w="660" w:type="pct"/>
            <w:tcBorders>
              <w:top w:val="nil"/>
              <w:left w:val="dotted" w:sz="4" w:space="0" w:color="auto"/>
              <w:bottom w:val="nil"/>
              <w:right w:val="single" w:sz="4" w:space="0" w:color="auto"/>
            </w:tcBorders>
            <w:shd w:val="clear" w:color="auto" w:fill="auto"/>
            <w:noWrap/>
            <w:vAlign w:val="bottom"/>
            <w:hideMark/>
          </w:tcPr>
          <w:p w14:paraId="3AAE7D85" w14:textId="77777777" w:rsidR="00C92165" w:rsidRPr="00F40671" w:rsidRDefault="00C92165" w:rsidP="00312E88">
            <w:pPr>
              <w:jc w:val="right"/>
              <w:rPr>
                <w:rFonts w:cs="Arial"/>
                <w:color w:val="000000"/>
                <w:sz w:val="16"/>
                <w:szCs w:val="16"/>
              </w:rPr>
            </w:pPr>
            <w:r w:rsidRPr="00F40671">
              <w:rPr>
                <w:rFonts w:cs="Arial"/>
                <w:color w:val="000000"/>
                <w:sz w:val="16"/>
                <w:szCs w:val="16"/>
              </w:rPr>
              <w:t>-329</w:t>
            </w:r>
          </w:p>
        </w:tc>
      </w:tr>
      <w:tr w:rsidR="00C92165" w:rsidRPr="00F40671" w14:paraId="7CEB8647"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7925FD88" w14:textId="77777777" w:rsidR="00C92165" w:rsidRPr="00F40671" w:rsidRDefault="00C92165" w:rsidP="00312E88">
            <w:pPr>
              <w:rPr>
                <w:rFonts w:cs="Arial"/>
                <w:color w:val="000000"/>
                <w:sz w:val="16"/>
                <w:szCs w:val="16"/>
              </w:rPr>
            </w:pPr>
            <w:r w:rsidRPr="00F40671">
              <w:rPr>
                <w:rFonts w:cs="Arial"/>
                <w:color w:val="000000"/>
                <w:sz w:val="16"/>
                <w:szCs w:val="16"/>
              </w:rPr>
              <w:t>Sensory</w:t>
            </w:r>
          </w:p>
        </w:tc>
        <w:tc>
          <w:tcPr>
            <w:tcW w:w="658" w:type="pct"/>
            <w:tcBorders>
              <w:top w:val="nil"/>
              <w:left w:val="single" w:sz="4" w:space="0" w:color="auto"/>
              <w:bottom w:val="nil"/>
              <w:right w:val="nil"/>
            </w:tcBorders>
            <w:shd w:val="clear" w:color="auto" w:fill="auto"/>
            <w:noWrap/>
            <w:vAlign w:val="bottom"/>
            <w:hideMark/>
          </w:tcPr>
          <w:p w14:paraId="417C449D" w14:textId="77777777" w:rsidR="00C92165" w:rsidRPr="00F40671" w:rsidRDefault="00C92165" w:rsidP="00312E88">
            <w:pPr>
              <w:jc w:val="right"/>
              <w:rPr>
                <w:rFonts w:cs="Arial"/>
                <w:color w:val="000000"/>
                <w:sz w:val="16"/>
                <w:szCs w:val="16"/>
              </w:rPr>
            </w:pPr>
            <w:r w:rsidRPr="00F40671">
              <w:rPr>
                <w:rFonts w:cs="Arial"/>
                <w:color w:val="000000"/>
                <w:sz w:val="16"/>
                <w:szCs w:val="16"/>
              </w:rPr>
              <w:t>-3</w:t>
            </w:r>
          </w:p>
        </w:tc>
        <w:tc>
          <w:tcPr>
            <w:tcW w:w="658" w:type="pct"/>
            <w:tcBorders>
              <w:top w:val="nil"/>
              <w:left w:val="nil"/>
              <w:bottom w:val="nil"/>
              <w:right w:val="nil"/>
            </w:tcBorders>
            <w:shd w:val="clear" w:color="auto" w:fill="auto"/>
            <w:noWrap/>
            <w:vAlign w:val="bottom"/>
            <w:hideMark/>
          </w:tcPr>
          <w:p w14:paraId="57611EC3" w14:textId="77777777" w:rsidR="00C92165" w:rsidRPr="00F40671" w:rsidRDefault="00C92165" w:rsidP="00312E88">
            <w:pPr>
              <w:jc w:val="right"/>
              <w:rPr>
                <w:rFonts w:cs="Arial"/>
                <w:color w:val="000000"/>
                <w:sz w:val="16"/>
                <w:szCs w:val="16"/>
              </w:rPr>
            </w:pPr>
            <w:r w:rsidRPr="00F40671">
              <w:rPr>
                <w:rFonts w:cs="Arial"/>
                <w:color w:val="000000"/>
                <w:sz w:val="16"/>
                <w:szCs w:val="16"/>
              </w:rPr>
              <w:t>-2</w:t>
            </w:r>
          </w:p>
        </w:tc>
        <w:tc>
          <w:tcPr>
            <w:tcW w:w="658" w:type="pct"/>
            <w:tcBorders>
              <w:top w:val="nil"/>
              <w:left w:val="nil"/>
              <w:bottom w:val="nil"/>
              <w:right w:val="nil"/>
            </w:tcBorders>
            <w:shd w:val="clear" w:color="auto" w:fill="auto"/>
            <w:noWrap/>
            <w:vAlign w:val="bottom"/>
            <w:hideMark/>
          </w:tcPr>
          <w:p w14:paraId="43E615FA" w14:textId="77777777" w:rsidR="00C92165" w:rsidRPr="00F40671" w:rsidRDefault="00C92165" w:rsidP="00312E88">
            <w:pPr>
              <w:jc w:val="right"/>
              <w:rPr>
                <w:rFonts w:cs="Arial"/>
                <w:color w:val="000000"/>
                <w:sz w:val="16"/>
                <w:szCs w:val="16"/>
              </w:rPr>
            </w:pPr>
            <w:r w:rsidRPr="00F40671">
              <w:rPr>
                <w:rFonts w:cs="Arial"/>
                <w:color w:val="000000"/>
                <w:sz w:val="16"/>
                <w:szCs w:val="16"/>
              </w:rPr>
              <w:t>0</w:t>
            </w:r>
          </w:p>
        </w:tc>
        <w:tc>
          <w:tcPr>
            <w:tcW w:w="658" w:type="pct"/>
            <w:tcBorders>
              <w:top w:val="nil"/>
              <w:left w:val="nil"/>
              <w:bottom w:val="nil"/>
              <w:right w:val="nil"/>
            </w:tcBorders>
            <w:shd w:val="clear" w:color="auto" w:fill="auto"/>
            <w:noWrap/>
            <w:vAlign w:val="bottom"/>
            <w:hideMark/>
          </w:tcPr>
          <w:p w14:paraId="6CE5EA50" w14:textId="77777777" w:rsidR="00C92165" w:rsidRPr="00F40671" w:rsidRDefault="00C92165" w:rsidP="00312E88">
            <w:pPr>
              <w:jc w:val="right"/>
              <w:rPr>
                <w:rFonts w:cs="Arial"/>
                <w:color w:val="000000"/>
                <w:sz w:val="16"/>
                <w:szCs w:val="16"/>
              </w:rPr>
            </w:pPr>
            <w:r w:rsidRPr="00F40671">
              <w:rPr>
                <w:rFonts w:cs="Arial"/>
                <w:color w:val="000000"/>
                <w:sz w:val="16"/>
                <w:szCs w:val="16"/>
              </w:rPr>
              <w:t>-7</w:t>
            </w:r>
          </w:p>
        </w:tc>
        <w:tc>
          <w:tcPr>
            <w:tcW w:w="660" w:type="pct"/>
            <w:tcBorders>
              <w:top w:val="nil"/>
              <w:left w:val="dotted" w:sz="4" w:space="0" w:color="auto"/>
              <w:bottom w:val="nil"/>
              <w:right w:val="single" w:sz="4" w:space="0" w:color="auto"/>
            </w:tcBorders>
            <w:shd w:val="clear" w:color="auto" w:fill="auto"/>
            <w:noWrap/>
            <w:vAlign w:val="bottom"/>
            <w:hideMark/>
          </w:tcPr>
          <w:p w14:paraId="4B5AFEBD" w14:textId="77777777" w:rsidR="00C92165" w:rsidRPr="00F40671" w:rsidRDefault="00C92165" w:rsidP="00312E88">
            <w:pPr>
              <w:jc w:val="right"/>
              <w:rPr>
                <w:rFonts w:cs="Arial"/>
                <w:color w:val="000000"/>
                <w:sz w:val="16"/>
                <w:szCs w:val="16"/>
              </w:rPr>
            </w:pPr>
            <w:r w:rsidRPr="00F40671">
              <w:rPr>
                <w:rFonts w:cs="Arial"/>
                <w:color w:val="000000"/>
                <w:sz w:val="16"/>
                <w:szCs w:val="16"/>
              </w:rPr>
              <w:t>-56</w:t>
            </w:r>
          </w:p>
        </w:tc>
      </w:tr>
      <w:tr w:rsidR="00C92165" w:rsidRPr="00F40671" w14:paraId="5DBA9691"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728B4807" w14:textId="77777777" w:rsidR="00C92165" w:rsidRPr="00F40671" w:rsidRDefault="00C92165" w:rsidP="00312E88">
            <w:pPr>
              <w:rPr>
                <w:rFonts w:cs="Arial"/>
                <w:color w:val="000000"/>
                <w:sz w:val="16"/>
                <w:szCs w:val="16"/>
              </w:rPr>
            </w:pPr>
            <w:r w:rsidRPr="00F40671">
              <w:rPr>
                <w:rFonts w:cs="Arial"/>
                <w:color w:val="000000"/>
                <w:sz w:val="16"/>
                <w:szCs w:val="16"/>
              </w:rPr>
              <w:t>Other</w:t>
            </w:r>
          </w:p>
        </w:tc>
        <w:tc>
          <w:tcPr>
            <w:tcW w:w="658" w:type="pct"/>
            <w:tcBorders>
              <w:top w:val="nil"/>
              <w:left w:val="single" w:sz="4" w:space="0" w:color="auto"/>
              <w:bottom w:val="nil"/>
              <w:right w:val="nil"/>
            </w:tcBorders>
            <w:shd w:val="clear" w:color="auto" w:fill="auto"/>
            <w:noWrap/>
            <w:vAlign w:val="bottom"/>
            <w:hideMark/>
          </w:tcPr>
          <w:p w14:paraId="645726A8" w14:textId="77777777" w:rsidR="00C92165" w:rsidRPr="00F40671" w:rsidRDefault="00C92165" w:rsidP="00312E88">
            <w:pPr>
              <w:jc w:val="right"/>
              <w:rPr>
                <w:rFonts w:cs="Arial"/>
                <w:color w:val="000000"/>
                <w:sz w:val="16"/>
                <w:szCs w:val="16"/>
              </w:rPr>
            </w:pPr>
            <w:r w:rsidRPr="00F40671">
              <w:rPr>
                <w:rFonts w:cs="Arial"/>
                <w:color w:val="000000"/>
                <w:sz w:val="16"/>
                <w:szCs w:val="16"/>
              </w:rPr>
              <w:t>499</w:t>
            </w:r>
          </w:p>
        </w:tc>
        <w:tc>
          <w:tcPr>
            <w:tcW w:w="658" w:type="pct"/>
            <w:tcBorders>
              <w:top w:val="nil"/>
              <w:left w:val="nil"/>
              <w:bottom w:val="nil"/>
              <w:right w:val="nil"/>
            </w:tcBorders>
            <w:shd w:val="clear" w:color="auto" w:fill="auto"/>
            <w:noWrap/>
            <w:vAlign w:val="bottom"/>
            <w:hideMark/>
          </w:tcPr>
          <w:p w14:paraId="7E72ED71" w14:textId="77777777" w:rsidR="00C92165" w:rsidRPr="00F40671" w:rsidRDefault="00C92165" w:rsidP="00312E88">
            <w:pPr>
              <w:jc w:val="right"/>
              <w:rPr>
                <w:rFonts w:cs="Arial"/>
                <w:color w:val="000000"/>
                <w:sz w:val="16"/>
                <w:szCs w:val="16"/>
              </w:rPr>
            </w:pPr>
            <w:r w:rsidRPr="00F40671">
              <w:rPr>
                <w:rFonts w:cs="Arial"/>
                <w:color w:val="000000"/>
                <w:sz w:val="16"/>
                <w:szCs w:val="16"/>
              </w:rPr>
              <w:t>489</w:t>
            </w:r>
          </w:p>
        </w:tc>
        <w:tc>
          <w:tcPr>
            <w:tcW w:w="658" w:type="pct"/>
            <w:tcBorders>
              <w:top w:val="nil"/>
              <w:left w:val="nil"/>
              <w:bottom w:val="nil"/>
              <w:right w:val="nil"/>
            </w:tcBorders>
            <w:shd w:val="clear" w:color="auto" w:fill="auto"/>
            <w:noWrap/>
            <w:vAlign w:val="bottom"/>
            <w:hideMark/>
          </w:tcPr>
          <w:p w14:paraId="1A0C1644" w14:textId="77777777" w:rsidR="00C92165" w:rsidRPr="00F40671" w:rsidRDefault="00C92165" w:rsidP="00312E88">
            <w:pPr>
              <w:jc w:val="right"/>
              <w:rPr>
                <w:rFonts w:cs="Arial"/>
                <w:color w:val="000000"/>
                <w:sz w:val="16"/>
                <w:szCs w:val="16"/>
              </w:rPr>
            </w:pPr>
            <w:r w:rsidRPr="00F40671">
              <w:rPr>
                <w:rFonts w:cs="Arial"/>
                <w:color w:val="000000"/>
                <w:sz w:val="16"/>
                <w:szCs w:val="16"/>
              </w:rPr>
              <w:t>463</w:t>
            </w:r>
          </w:p>
        </w:tc>
        <w:tc>
          <w:tcPr>
            <w:tcW w:w="658" w:type="pct"/>
            <w:tcBorders>
              <w:top w:val="nil"/>
              <w:left w:val="nil"/>
              <w:bottom w:val="single" w:sz="4" w:space="0" w:color="auto"/>
              <w:right w:val="nil"/>
            </w:tcBorders>
            <w:shd w:val="clear" w:color="auto" w:fill="auto"/>
            <w:noWrap/>
            <w:vAlign w:val="bottom"/>
            <w:hideMark/>
          </w:tcPr>
          <w:p w14:paraId="5CBEFF40" w14:textId="77777777" w:rsidR="00C92165" w:rsidRPr="00F40671" w:rsidRDefault="00C92165" w:rsidP="00312E88">
            <w:pPr>
              <w:jc w:val="right"/>
              <w:rPr>
                <w:rFonts w:cs="Arial"/>
                <w:color w:val="000000"/>
                <w:sz w:val="16"/>
                <w:szCs w:val="16"/>
              </w:rPr>
            </w:pPr>
            <w:r w:rsidRPr="00F40671">
              <w:rPr>
                <w:rFonts w:cs="Arial"/>
                <w:color w:val="000000"/>
                <w:sz w:val="16"/>
                <w:szCs w:val="16"/>
              </w:rPr>
              <w:t>346</w:t>
            </w:r>
          </w:p>
        </w:tc>
        <w:tc>
          <w:tcPr>
            <w:tcW w:w="660" w:type="pct"/>
            <w:tcBorders>
              <w:top w:val="nil"/>
              <w:left w:val="dotted" w:sz="4" w:space="0" w:color="auto"/>
              <w:bottom w:val="nil"/>
              <w:right w:val="single" w:sz="4" w:space="0" w:color="auto"/>
            </w:tcBorders>
            <w:shd w:val="clear" w:color="auto" w:fill="auto"/>
            <w:noWrap/>
            <w:vAlign w:val="bottom"/>
            <w:hideMark/>
          </w:tcPr>
          <w:p w14:paraId="26531E35" w14:textId="77777777" w:rsidR="00C92165" w:rsidRPr="00F40671" w:rsidRDefault="00C92165" w:rsidP="00312E88">
            <w:pPr>
              <w:jc w:val="right"/>
              <w:rPr>
                <w:rFonts w:cs="Arial"/>
                <w:color w:val="000000"/>
                <w:sz w:val="16"/>
                <w:szCs w:val="16"/>
              </w:rPr>
            </w:pPr>
            <w:r w:rsidRPr="00F40671">
              <w:rPr>
                <w:rFonts w:cs="Arial"/>
                <w:color w:val="000000"/>
                <w:sz w:val="16"/>
                <w:szCs w:val="16"/>
              </w:rPr>
              <w:t>-202</w:t>
            </w:r>
          </w:p>
        </w:tc>
      </w:tr>
      <w:tr w:rsidR="00C92165" w:rsidRPr="00F40671" w14:paraId="3F39FD99" w14:textId="77777777" w:rsidTr="00C92165">
        <w:trPr>
          <w:trHeight w:hRule="exact" w:val="284"/>
        </w:trPr>
        <w:tc>
          <w:tcPr>
            <w:tcW w:w="1708" w:type="pct"/>
            <w:tcBorders>
              <w:top w:val="single" w:sz="4" w:space="0" w:color="auto"/>
              <w:left w:val="single" w:sz="4" w:space="0" w:color="auto"/>
              <w:bottom w:val="single" w:sz="4" w:space="0" w:color="auto"/>
              <w:right w:val="nil"/>
            </w:tcBorders>
            <w:shd w:val="clear" w:color="auto" w:fill="auto"/>
            <w:noWrap/>
            <w:vAlign w:val="bottom"/>
            <w:hideMark/>
          </w:tcPr>
          <w:p w14:paraId="5A2F252C" w14:textId="77777777" w:rsidR="00C92165" w:rsidRPr="00F40671" w:rsidRDefault="00C92165" w:rsidP="00312E88">
            <w:pPr>
              <w:rPr>
                <w:rFonts w:cs="Arial"/>
                <w:b/>
                <w:bCs/>
                <w:color w:val="000000"/>
                <w:sz w:val="16"/>
                <w:szCs w:val="16"/>
              </w:rPr>
            </w:pPr>
            <w:r w:rsidRPr="00F40671">
              <w:rPr>
                <w:rFonts w:cs="Arial"/>
                <w:b/>
                <w:bCs/>
                <w:color w:val="000000"/>
                <w:sz w:val="16"/>
                <w:szCs w:val="16"/>
              </w:rPr>
              <w:t>Total</w:t>
            </w:r>
          </w:p>
        </w:tc>
        <w:tc>
          <w:tcPr>
            <w:tcW w:w="658" w:type="pct"/>
            <w:tcBorders>
              <w:top w:val="single" w:sz="4" w:space="0" w:color="auto"/>
              <w:left w:val="single" w:sz="4" w:space="0" w:color="auto"/>
              <w:bottom w:val="single" w:sz="4" w:space="0" w:color="auto"/>
              <w:right w:val="nil"/>
            </w:tcBorders>
            <w:shd w:val="clear" w:color="auto" w:fill="auto"/>
            <w:noWrap/>
            <w:vAlign w:val="bottom"/>
            <w:hideMark/>
          </w:tcPr>
          <w:p w14:paraId="5DB1E36C"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1,132</w:t>
            </w:r>
          </w:p>
        </w:tc>
        <w:tc>
          <w:tcPr>
            <w:tcW w:w="658" w:type="pct"/>
            <w:tcBorders>
              <w:top w:val="single" w:sz="4" w:space="0" w:color="auto"/>
              <w:left w:val="nil"/>
              <w:bottom w:val="single" w:sz="4" w:space="0" w:color="auto"/>
              <w:right w:val="nil"/>
            </w:tcBorders>
            <w:shd w:val="clear" w:color="auto" w:fill="auto"/>
            <w:noWrap/>
            <w:vAlign w:val="bottom"/>
            <w:hideMark/>
          </w:tcPr>
          <w:p w14:paraId="0C6E894B"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994</w:t>
            </w:r>
          </w:p>
        </w:tc>
        <w:tc>
          <w:tcPr>
            <w:tcW w:w="658" w:type="pct"/>
            <w:tcBorders>
              <w:top w:val="single" w:sz="4" w:space="0" w:color="auto"/>
              <w:left w:val="nil"/>
              <w:bottom w:val="single" w:sz="4" w:space="0" w:color="auto"/>
              <w:right w:val="nil"/>
            </w:tcBorders>
            <w:shd w:val="clear" w:color="auto" w:fill="auto"/>
            <w:noWrap/>
            <w:vAlign w:val="bottom"/>
            <w:hideMark/>
          </w:tcPr>
          <w:p w14:paraId="0795BAAC"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837</w:t>
            </w:r>
          </w:p>
        </w:tc>
        <w:tc>
          <w:tcPr>
            <w:tcW w:w="658" w:type="pct"/>
            <w:tcBorders>
              <w:top w:val="nil"/>
              <w:left w:val="nil"/>
              <w:bottom w:val="single" w:sz="4" w:space="0" w:color="auto"/>
              <w:right w:val="nil"/>
            </w:tcBorders>
            <w:shd w:val="clear" w:color="auto" w:fill="auto"/>
            <w:noWrap/>
            <w:vAlign w:val="bottom"/>
            <w:hideMark/>
          </w:tcPr>
          <w:p w14:paraId="16270359"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430</w:t>
            </w:r>
          </w:p>
        </w:tc>
        <w:tc>
          <w:tcPr>
            <w:tcW w:w="660" w:type="pct"/>
            <w:tcBorders>
              <w:top w:val="single" w:sz="4" w:space="0" w:color="auto"/>
              <w:left w:val="dotted" w:sz="4" w:space="0" w:color="auto"/>
              <w:bottom w:val="single" w:sz="4" w:space="0" w:color="auto"/>
              <w:right w:val="single" w:sz="4" w:space="0" w:color="auto"/>
            </w:tcBorders>
            <w:shd w:val="clear" w:color="auto" w:fill="auto"/>
            <w:noWrap/>
            <w:vAlign w:val="bottom"/>
            <w:hideMark/>
          </w:tcPr>
          <w:p w14:paraId="71B81CE9"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-1,435</w:t>
            </w:r>
          </w:p>
        </w:tc>
      </w:tr>
      <w:tr w:rsidR="00C92165" w:rsidRPr="00F40671" w14:paraId="3C5A9B86" w14:textId="77777777" w:rsidTr="00C92165">
        <w:trPr>
          <w:trHeight w:hRule="exact" w:val="284"/>
        </w:trPr>
        <w:tc>
          <w:tcPr>
            <w:tcW w:w="1708" w:type="pct"/>
            <w:tcBorders>
              <w:top w:val="nil"/>
              <w:left w:val="single" w:sz="4" w:space="0" w:color="auto"/>
              <w:bottom w:val="single" w:sz="4" w:space="0" w:color="auto"/>
              <w:right w:val="nil"/>
            </w:tcBorders>
            <w:shd w:val="clear" w:color="000000" w:fill="F7EEF7"/>
            <w:noWrap/>
            <w:vAlign w:val="bottom"/>
            <w:hideMark/>
          </w:tcPr>
          <w:p w14:paraId="2EC2A03D" w14:textId="77777777" w:rsidR="00C92165" w:rsidRPr="00F40671" w:rsidRDefault="00C92165" w:rsidP="00312E88">
            <w:pPr>
              <w:rPr>
                <w:rFonts w:cs="Arial"/>
                <w:b/>
                <w:bCs/>
                <w:color w:val="000000"/>
                <w:sz w:val="16"/>
                <w:szCs w:val="16"/>
              </w:rPr>
            </w:pPr>
            <w:r w:rsidRPr="00F40671">
              <w:rPr>
                <w:rFonts w:cs="Arial"/>
                <w:b/>
                <w:bCs/>
                <w:color w:val="000000"/>
                <w:sz w:val="16"/>
                <w:szCs w:val="16"/>
              </w:rPr>
              <w:t>% Difference</w:t>
            </w:r>
          </w:p>
        </w:tc>
        <w:tc>
          <w:tcPr>
            <w:tcW w:w="658" w:type="pct"/>
            <w:tcBorders>
              <w:top w:val="nil"/>
              <w:left w:val="nil"/>
              <w:bottom w:val="single" w:sz="4" w:space="0" w:color="auto"/>
              <w:right w:val="nil"/>
            </w:tcBorders>
            <w:shd w:val="clear" w:color="000000" w:fill="F7EEF7"/>
            <w:noWrap/>
            <w:vAlign w:val="bottom"/>
            <w:hideMark/>
          </w:tcPr>
          <w:p w14:paraId="7B8A0CD6"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nil"/>
              <w:left w:val="nil"/>
              <w:bottom w:val="single" w:sz="4" w:space="0" w:color="auto"/>
              <w:right w:val="nil"/>
            </w:tcBorders>
            <w:shd w:val="clear" w:color="000000" w:fill="F7EEF7"/>
            <w:noWrap/>
            <w:vAlign w:val="bottom"/>
            <w:hideMark/>
          </w:tcPr>
          <w:p w14:paraId="7A1B7549"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nil"/>
              <w:left w:val="nil"/>
              <w:bottom w:val="single" w:sz="4" w:space="0" w:color="auto"/>
              <w:right w:val="nil"/>
            </w:tcBorders>
            <w:shd w:val="clear" w:color="000000" w:fill="F7EEF7"/>
            <w:noWrap/>
            <w:vAlign w:val="bottom"/>
            <w:hideMark/>
          </w:tcPr>
          <w:p w14:paraId="0A6F61FE"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58" w:type="pct"/>
            <w:tcBorders>
              <w:top w:val="nil"/>
              <w:left w:val="nil"/>
              <w:bottom w:val="single" w:sz="4" w:space="0" w:color="auto"/>
              <w:right w:val="nil"/>
            </w:tcBorders>
            <w:shd w:val="clear" w:color="000000" w:fill="F7EEF7"/>
            <w:noWrap/>
            <w:vAlign w:val="bottom"/>
            <w:hideMark/>
          </w:tcPr>
          <w:p w14:paraId="6E0EF31C"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c>
          <w:tcPr>
            <w:tcW w:w="660" w:type="pct"/>
            <w:tcBorders>
              <w:top w:val="nil"/>
              <w:left w:val="nil"/>
              <w:bottom w:val="single" w:sz="4" w:space="0" w:color="auto"/>
              <w:right w:val="single" w:sz="4" w:space="0" w:color="auto"/>
            </w:tcBorders>
            <w:shd w:val="clear" w:color="000000" w:fill="F7EEF7"/>
            <w:noWrap/>
            <w:vAlign w:val="bottom"/>
            <w:hideMark/>
          </w:tcPr>
          <w:p w14:paraId="4E916EF5" w14:textId="77777777" w:rsidR="00C92165" w:rsidRPr="00F40671" w:rsidRDefault="00C92165" w:rsidP="00312E88">
            <w:pPr>
              <w:jc w:val="right"/>
              <w:rPr>
                <w:rFonts w:cs="Arial"/>
                <w:b/>
                <w:bCs/>
                <w:i/>
                <w:iCs/>
                <w:color w:val="000000"/>
                <w:sz w:val="16"/>
                <w:szCs w:val="16"/>
              </w:rPr>
            </w:pPr>
            <w:r w:rsidRPr="00F40671">
              <w:rPr>
                <w:rFonts w:cs="Arial"/>
                <w:b/>
                <w:bCs/>
                <w:i/>
                <w:iCs/>
                <w:color w:val="000000"/>
                <w:sz w:val="16"/>
                <w:szCs w:val="16"/>
              </w:rPr>
              <w:t> </w:t>
            </w:r>
          </w:p>
        </w:tc>
      </w:tr>
      <w:tr w:rsidR="00C92165" w:rsidRPr="00F40671" w14:paraId="34840B24"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7B0D3A72" w14:textId="77777777" w:rsidR="00C92165" w:rsidRPr="00F40671" w:rsidRDefault="00C92165" w:rsidP="00312E88">
            <w:pPr>
              <w:rPr>
                <w:rFonts w:cs="Arial"/>
                <w:color w:val="000000"/>
                <w:sz w:val="16"/>
                <w:szCs w:val="16"/>
              </w:rPr>
            </w:pPr>
            <w:r w:rsidRPr="00F40671">
              <w:rPr>
                <w:rFonts w:cs="Arial"/>
                <w:color w:val="000000"/>
                <w:sz w:val="16"/>
                <w:szCs w:val="16"/>
              </w:rPr>
              <w:t>Autism</w:t>
            </w:r>
          </w:p>
        </w:tc>
        <w:tc>
          <w:tcPr>
            <w:tcW w:w="658" w:type="pct"/>
            <w:tcBorders>
              <w:top w:val="nil"/>
              <w:left w:val="single" w:sz="4" w:space="0" w:color="auto"/>
              <w:bottom w:val="nil"/>
              <w:right w:val="nil"/>
            </w:tcBorders>
            <w:shd w:val="clear" w:color="auto" w:fill="auto"/>
            <w:noWrap/>
            <w:vAlign w:val="bottom"/>
            <w:hideMark/>
          </w:tcPr>
          <w:p w14:paraId="45880E4A" w14:textId="77777777" w:rsidR="00C92165" w:rsidRPr="00F40671" w:rsidRDefault="00C92165" w:rsidP="00312E88">
            <w:pPr>
              <w:jc w:val="right"/>
              <w:rPr>
                <w:rFonts w:cs="Arial"/>
                <w:color w:val="000000"/>
                <w:sz w:val="16"/>
                <w:szCs w:val="16"/>
              </w:rPr>
            </w:pPr>
            <w:r w:rsidRPr="00F40671">
              <w:rPr>
                <w:rFonts w:cs="Arial"/>
                <w:color w:val="000000"/>
                <w:sz w:val="16"/>
                <w:szCs w:val="16"/>
              </w:rPr>
              <w:t>9%</w:t>
            </w:r>
          </w:p>
        </w:tc>
        <w:tc>
          <w:tcPr>
            <w:tcW w:w="658" w:type="pct"/>
            <w:tcBorders>
              <w:top w:val="nil"/>
              <w:left w:val="nil"/>
              <w:bottom w:val="nil"/>
              <w:right w:val="nil"/>
            </w:tcBorders>
            <w:shd w:val="clear" w:color="auto" w:fill="auto"/>
            <w:noWrap/>
            <w:vAlign w:val="bottom"/>
            <w:hideMark/>
          </w:tcPr>
          <w:p w14:paraId="0F9915DC" w14:textId="77777777" w:rsidR="00C92165" w:rsidRPr="00F40671" w:rsidRDefault="00C92165" w:rsidP="00312E88">
            <w:pPr>
              <w:jc w:val="right"/>
              <w:rPr>
                <w:rFonts w:cs="Arial"/>
                <w:color w:val="000000"/>
                <w:sz w:val="16"/>
                <w:szCs w:val="16"/>
              </w:rPr>
            </w:pPr>
            <w:r w:rsidRPr="00F40671">
              <w:rPr>
                <w:rFonts w:cs="Arial"/>
                <w:color w:val="000000"/>
                <w:sz w:val="16"/>
                <w:szCs w:val="16"/>
              </w:rPr>
              <w:t>9%</w:t>
            </w:r>
          </w:p>
        </w:tc>
        <w:tc>
          <w:tcPr>
            <w:tcW w:w="658" w:type="pct"/>
            <w:tcBorders>
              <w:top w:val="nil"/>
              <w:left w:val="nil"/>
              <w:bottom w:val="nil"/>
              <w:right w:val="nil"/>
            </w:tcBorders>
            <w:shd w:val="clear" w:color="auto" w:fill="auto"/>
            <w:noWrap/>
            <w:vAlign w:val="bottom"/>
            <w:hideMark/>
          </w:tcPr>
          <w:p w14:paraId="7EE85EC0" w14:textId="77777777" w:rsidR="00C92165" w:rsidRPr="00F40671" w:rsidRDefault="00C92165" w:rsidP="00312E88">
            <w:pPr>
              <w:jc w:val="right"/>
              <w:rPr>
                <w:rFonts w:cs="Arial"/>
                <w:color w:val="000000"/>
                <w:sz w:val="16"/>
                <w:szCs w:val="16"/>
              </w:rPr>
            </w:pPr>
            <w:r w:rsidRPr="00F40671">
              <w:rPr>
                <w:rFonts w:cs="Arial"/>
                <w:color w:val="000000"/>
                <w:sz w:val="16"/>
                <w:szCs w:val="16"/>
              </w:rPr>
              <w:t>8%</w:t>
            </w:r>
          </w:p>
        </w:tc>
        <w:tc>
          <w:tcPr>
            <w:tcW w:w="658" w:type="pct"/>
            <w:tcBorders>
              <w:top w:val="dotted" w:sz="4" w:space="0" w:color="auto"/>
              <w:left w:val="nil"/>
              <w:bottom w:val="nil"/>
              <w:right w:val="nil"/>
            </w:tcBorders>
            <w:shd w:val="clear" w:color="auto" w:fill="auto"/>
            <w:noWrap/>
            <w:vAlign w:val="bottom"/>
            <w:hideMark/>
          </w:tcPr>
          <w:p w14:paraId="3387F70B" w14:textId="77777777" w:rsidR="00C92165" w:rsidRPr="00F40671" w:rsidRDefault="00C92165" w:rsidP="00312E88">
            <w:pPr>
              <w:jc w:val="right"/>
              <w:rPr>
                <w:rFonts w:cs="Arial"/>
                <w:color w:val="000000"/>
                <w:sz w:val="16"/>
                <w:szCs w:val="16"/>
              </w:rPr>
            </w:pPr>
            <w:r w:rsidRPr="00F40671">
              <w:rPr>
                <w:rFonts w:cs="Arial"/>
                <w:color w:val="000000"/>
                <w:sz w:val="16"/>
                <w:szCs w:val="16"/>
              </w:rPr>
              <w:t>7%</w:t>
            </w:r>
          </w:p>
        </w:tc>
        <w:tc>
          <w:tcPr>
            <w:tcW w:w="660" w:type="pct"/>
            <w:tcBorders>
              <w:top w:val="nil"/>
              <w:left w:val="dotted" w:sz="4" w:space="0" w:color="auto"/>
              <w:bottom w:val="nil"/>
              <w:right w:val="single" w:sz="4" w:space="0" w:color="auto"/>
            </w:tcBorders>
            <w:shd w:val="clear" w:color="auto" w:fill="auto"/>
            <w:noWrap/>
            <w:vAlign w:val="bottom"/>
            <w:hideMark/>
          </w:tcPr>
          <w:p w14:paraId="021D2E40" w14:textId="77777777" w:rsidR="00C92165" w:rsidRPr="00F40671" w:rsidRDefault="00C92165" w:rsidP="00312E88">
            <w:pPr>
              <w:jc w:val="right"/>
              <w:rPr>
                <w:rFonts w:cs="Arial"/>
                <w:color w:val="000000"/>
                <w:sz w:val="16"/>
                <w:szCs w:val="16"/>
              </w:rPr>
            </w:pPr>
            <w:r w:rsidRPr="00F40671">
              <w:rPr>
                <w:rFonts w:cs="Arial"/>
                <w:color w:val="000000"/>
                <w:sz w:val="16"/>
                <w:szCs w:val="16"/>
              </w:rPr>
              <w:t>3%</w:t>
            </w:r>
          </w:p>
        </w:tc>
      </w:tr>
      <w:tr w:rsidR="00C92165" w:rsidRPr="00F40671" w14:paraId="2022C341"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48AC3F45" w14:textId="77777777" w:rsidR="00C92165" w:rsidRPr="00F40671" w:rsidRDefault="00C92165" w:rsidP="00312E88">
            <w:pPr>
              <w:rPr>
                <w:rFonts w:cs="Arial"/>
                <w:color w:val="000000"/>
                <w:sz w:val="16"/>
                <w:szCs w:val="16"/>
              </w:rPr>
            </w:pPr>
            <w:r w:rsidRPr="00F40671">
              <w:rPr>
                <w:rFonts w:cs="Arial"/>
                <w:color w:val="000000"/>
                <w:sz w:val="16"/>
                <w:szCs w:val="16"/>
              </w:rPr>
              <w:t>Intellectual Disability</w:t>
            </w:r>
          </w:p>
        </w:tc>
        <w:tc>
          <w:tcPr>
            <w:tcW w:w="658" w:type="pct"/>
            <w:tcBorders>
              <w:top w:val="nil"/>
              <w:left w:val="single" w:sz="4" w:space="0" w:color="auto"/>
              <w:bottom w:val="nil"/>
              <w:right w:val="nil"/>
            </w:tcBorders>
            <w:shd w:val="clear" w:color="auto" w:fill="auto"/>
            <w:noWrap/>
            <w:vAlign w:val="bottom"/>
            <w:hideMark/>
          </w:tcPr>
          <w:p w14:paraId="130406B9" w14:textId="77777777" w:rsidR="00C92165" w:rsidRPr="00F40671" w:rsidRDefault="00C92165" w:rsidP="00312E88">
            <w:pPr>
              <w:jc w:val="right"/>
              <w:rPr>
                <w:rFonts w:cs="Arial"/>
                <w:color w:val="000000"/>
                <w:sz w:val="16"/>
                <w:szCs w:val="16"/>
              </w:rPr>
            </w:pPr>
            <w:r w:rsidRPr="00F40671">
              <w:rPr>
                <w:rFonts w:cs="Arial"/>
                <w:color w:val="000000"/>
                <w:sz w:val="16"/>
                <w:szCs w:val="16"/>
              </w:rPr>
              <w:t>4%</w:t>
            </w:r>
          </w:p>
        </w:tc>
        <w:tc>
          <w:tcPr>
            <w:tcW w:w="658" w:type="pct"/>
            <w:tcBorders>
              <w:top w:val="nil"/>
              <w:left w:val="nil"/>
              <w:bottom w:val="nil"/>
              <w:right w:val="nil"/>
            </w:tcBorders>
            <w:shd w:val="clear" w:color="auto" w:fill="auto"/>
            <w:noWrap/>
            <w:vAlign w:val="bottom"/>
            <w:hideMark/>
          </w:tcPr>
          <w:p w14:paraId="1C8293B8" w14:textId="77777777" w:rsidR="00C92165" w:rsidRPr="00F40671" w:rsidRDefault="00C92165" w:rsidP="00312E88">
            <w:pPr>
              <w:jc w:val="right"/>
              <w:rPr>
                <w:rFonts w:cs="Arial"/>
                <w:color w:val="000000"/>
                <w:sz w:val="16"/>
                <w:szCs w:val="16"/>
              </w:rPr>
            </w:pPr>
            <w:r w:rsidRPr="00F40671">
              <w:rPr>
                <w:rFonts w:cs="Arial"/>
                <w:color w:val="000000"/>
                <w:sz w:val="16"/>
                <w:szCs w:val="16"/>
              </w:rPr>
              <w:t>2%</w:t>
            </w:r>
          </w:p>
        </w:tc>
        <w:tc>
          <w:tcPr>
            <w:tcW w:w="658" w:type="pct"/>
            <w:tcBorders>
              <w:top w:val="nil"/>
              <w:left w:val="nil"/>
              <w:bottom w:val="nil"/>
              <w:right w:val="nil"/>
            </w:tcBorders>
            <w:shd w:val="clear" w:color="auto" w:fill="auto"/>
            <w:noWrap/>
            <w:vAlign w:val="bottom"/>
            <w:hideMark/>
          </w:tcPr>
          <w:p w14:paraId="5869A946" w14:textId="77777777" w:rsidR="00C92165" w:rsidRPr="00F40671" w:rsidRDefault="00C92165" w:rsidP="00312E88">
            <w:pPr>
              <w:jc w:val="right"/>
              <w:rPr>
                <w:rFonts w:cs="Arial"/>
                <w:color w:val="000000"/>
                <w:sz w:val="16"/>
                <w:szCs w:val="16"/>
              </w:rPr>
            </w:pPr>
            <w:r w:rsidRPr="00F40671">
              <w:rPr>
                <w:rFonts w:cs="Arial"/>
                <w:color w:val="000000"/>
                <w:sz w:val="16"/>
                <w:szCs w:val="16"/>
              </w:rPr>
              <w:t>1%</w:t>
            </w:r>
          </w:p>
        </w:tc>
        <w:tc>
          <w:tcPr>
            <w:tcW w:w="658" w:type="pct"/>
            <w:tcBorders>
              <w:top w:val="nil"/>
              <w:left w:val="nil"/>
              <w:bottom w:val="nil"/>
              <w:right w:val="nil"/>
            </w:tcBorders>
            <w:shd w:val="clear" w:color="auto" w:fill="auto"/>
            <w:noWrap/>
            <w:vAlign w:val="bottom"/>
            <w:hideMark/>
          </w:tcPr>
          <w:p w14:paraId="688FBB71" w14:textId="77777777" w:rsidR="00C92165" w:rsidRPr="00F40671" w:rsidRDefault="00C92165" w:rsidP="00312E88">
            <w:pPr>
              <w:jc w:val="right"/>
              <w:rPr>
                <w:rFonts w:cs="Arial"/>
                <w:color w:val="000000"/>
                <w:sz w:val="16"/>
                <w:szCs w:val="16"/>
              </w:rPr>
            </w:pPr>
            <w:r w:rsidRPr="00F40671">
              <w:rPr>
                <w:rFonts w:cs="Arial"/>
                <w:color w:val="000000"/>
                <w:sz w:val="16"/>
                <w:szCs w:val="16"/>
              </w:rPr>
              <w:t>0%</w:t>
            </w:r>
          </w:p>
        </w:tc>
        <w:tc>
          <w:tcPr>
            <w:tcW w:w="660" w:type="pct"/>
            <w:tcBorders>
              <w:top w:val="nil"/>
              <w:left w:val="dotted" w:sz="4" w:space="0" w:color="auto"/>
              <w:bottom w:val="nil"/>
              <w:right w:val="single" w:sz="4" w:space="0" w:color="auto"/>
            </w:tcBorders>
            <w:shd w:val="clear" w:color="auto" w:fill="auto"/>
            <w:noWrap/>
            <w:vAlign w:val="bottom"/>
            <w:hideMark/>
          </w:tcPr>
          <w:p w14:paraId="6D16D629" w14:textId="77777777" w:rsidR="00C92165" w:rsidRPr="00F40671" w:rsidRDefault="00C92165" w:rsidP="00312E88">
            <w:pPr>
              <w:jc w:val="right"/>
              <w:rPr>
                <w:rFonts w:cs="Arial"/>
                <w:color w:val="000000"/>
                <w:sz w:val="16"/>
                <w:szCs w:val="16"/>
              </w:rPr>
            </w:pPr>
            <w:r w:rsidRPr="00F40671">
              <w:rPr>
                <w:rFonts w:cs="Arial"/>
                <w:color w:val="000000"/>
                <w:sz w:val="16"/>
                <w:szCs w:val="16"/>
              </w:rPr>
              <w:t>-3%</w:t>
            </w:r>
          </w:p>
        </w:tc>
      </w:tr>
      <w:tr w:rsidR="00C92165" w:rsidRPr="00F40671" w14:paraId="115373F8"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70A95EDD" w14:textId="77777777" w:rsidR="00C92165" w:rsidRPr="00F40671" w:rsidRDefault="00C92165" w:rsidP="00312E88">
            <w:pPr>
              <w:rPr>
                <w:rFonts w:cs="Arial"/>
                <w:color w:val="000000"/>
                <w:sz w:val="16"/>
                <w:szCs w:val="16"/>
              </w:rPr>
            </w:pPr>
            <w:r w:rsidRPr="00F40671">
              <w:rPr>
                <w:rFonts w:cs="Arial"/>
                <w:color w:val="000000"/>
                <w:sz w:val="16"/>
                <w:szCs w:val="16"/>
              </w:rPr>
              <w:t>Psychosocial Disability</w:t>
            </w:r>
          </w:p>
        </w:tc>
        <w:tc>
          <w:tcPr>
            <w:tcW w:w="658" w:type="pct"/>
            <w:tcBorders>
              <w:top w:val="nil"/>
              <w:left w:val="single" w:sz="4" w:space="0" w:color="auto"/>
              <w:bottom w:val="nil"/>
              <w:right w:val="nil"/>
            </w:tcBorders>
            <w:shd w:val="clear" w:color="auto" w:fill="auto"/>
            <w:noWrap/>
            <w:vAlign w:val="bottom"/>
            <w:hideMark/>
          </w:tcPr>
          <w:p w14:paraId="2CA944B7" w14:textId="77777777" w:rsidR="00C92165" w:rsidRPr="00F40671" w:rsidRDefault="00C92165" w:rsidP="00312E88">
            <w:pPr>
              <w:jc w:val="right"/>
              <w:rPr>
                <w:rFonts w:cs="Arial"/>
                <w:color w:val="000000"/>
                <w:sz w:val="16"/>
                <w:szCs w:val="16"/>
              </w:rPr>
            </w:pPr>
            <w:r w:rsidRPr="00F40671">
              <w:rPr>
                <w:rFonts w:cs="Arial"/>
                <w:color w:val="000000"/>
                <w:sz w:val="16"/>
                <w:szCs w:val="16"/>
              </w:rPr>
              <w:t>-4%</w:t>
            </w:r>
          </w:p>
        </w:tc>
        <w:tc>
          <w:tcPr>
            <w:tcW w:w="658" w:type="pct"/>
            <w:tcBorders>
              <w:top w:val="nil"/>
              <w:left w:val="nil"/>
              <w:bottom w:val="nil"/>
              <w:right w:val="nil"/>
            </w:tcBorders>
            <w:shd w:val="clear" w:color="auto" w:fill="auto"/>
            <w:noWrap/>
            <w:vAlign w:val="bottom"/>
            <w:hideMark/>
          </w:tcPr>
          <w:p w14:paraId="74BDE0D7" w14:textId="77777777" w:rsidR="00C92165" w:rsidRPr="00F40671" w:rsidRDefault="00C92165" w:rsidP="00312E88">
            <w:pPr>
              <w:jc w:val="right"/>
              <w:rPr>
                <w:rFonts w:cs="Arial"/>
                <w:color w:val="000000"/>
                <w:sz w:val="16"/>
                <w:szCs w:val="16"/>
              </w:rPr>
            </w:pPr>
            <w:r w:rsidRPr="00F40671">
              <w:rPr>
                <w:rFonts w:cs="Arial"/>
                <w:color w:val="000000"/>
                <w:sz w:val="16"/>
                <w:szCs w:val="16"/>
              </w:rPr>
              <w:t>-6%</w:t>
            </w:r>
          </w:p>
        </w:tc>
        <w:tc>
          <w:tcPr>
            <w:tcW w:w="658" w:type="pct"/>
            <w:tcBorders>
              <w:top w:val="nil"/>
              <w:left w:val="nil"/>
              <w:bottom w:val="nil"/>
              <w:right w:val="nil"/>
            </w:tcBorders>
            <w:shd w:val="clear" w:color="auto" w:fill="auto"/>
            <w:noWrap/>
            <w:vAlign w:val="bottom"/>
            <w:hideMark/>
          </w:tcPr>
          <w:p w14:paraId="3367996F" w14:textId="77777777" w:rsidR="00C92165" w:rsidRPr="00F40671" w:rsidRDefault="00C92165" w:rsidP="00312E88">
            <w:pPr>
              <w:jc w:val="right"/>
              <w:rPr>
                <w:rFonts w:cs="Arial"/>
                <w:color w:val="000000"/>
                <w:sz w:val="16"/>
                <w:szCs w:val="16"/>
              </w:rPr>
            </w:pPr>
            <w:r w:rsidRPr="00F40671">
              <w:rPr>
                <w:rFonts w:cs="Arial"/>
                <w:color w:val="000000"/>
                <w:sz w:val="16"/>
                <w:szCs w:val="16"/>
              </w:rPr>
              <w:t>-7%</w:t>
            </w:r>
          </w:p>
        </w:tc>
        <w:tc>
          <w:tcPr>
            <w:tcW w:w="658" w:type="pct"/>
            <w:tcBorders>
              <w:top w:val="nil"/>
              <w:left w:val="nil"/>
              <w:bottom w:val="nil"/>
              <w:right w:val="nil"/>
            </w:tcBorders>
            <w:shd w:val="clear" w:color="auto" w:fill="auto"/>
            <w:noWrap/>
            <w:vAlign w:val="bottom"/>
            <w:hideMark/>
          </w:tcPr>
          <w:p w14:paraId="2875FE95" w14:textId="77777777" w:rsidR="00C92165" w:rsidRPr="00F40671" w:rsidRDefault="00C92165" w:rsidP="00312E88">
            <w:pPr>
              <w:jc w:val="right"/>
              <w:rPr>
                <w:rFonts w:cs="Arial"/>
                <w:color w:val="000000"/>
                <w:sz w:val="16"/>
                <w:szCs w:val="16"/>
              </w:rPr>
            </w:pPr>
            <w:r w:rsidRPr="00F40671">
              <w:rPr>
                <w:rFonts w:cs="Arial"/>
                <w:color w:val="000000"/>
                <w:sz w:val="16"/>
                <w:szCs w:val="16"/>
              </w:rPr>
              <w:t>-8%</w:t>
            </w:r>
          </w:p>
        </w:tc>
        <w:tc>
          <w:tcPr>
            <w:tcW w:w="660" w:type="pct"/>
            <w:tcBorders>
              <w:top w:val="nil"/>
              <w:left w:val="dotted" w:sz="4" w:space="0" w:color="auto"/>
              <w:bottom w:val="nil"/>
              <w:right w:val="single" w:sz="4" w:space="0" w:color="auto"/>
            </w:tcBorders>
            <w:shd w:val="clear" w:color="auto" w:fill="auto"/>
            <w:noWrap/>
            <w:vAlign w:val="bottom"/>
            <w:hideMark/>
          </w:tcPr>
          <w:p w14:paraId="51B46A00" w14:textId="77777777" w:rsidR="00C92165" w:rsidRPr="00F40671" w:rsidRDefault="00C92165" w:rsidP="00312E88">
            <w:pPr>
              <w:jc w:val="right"/>
              <w:rPr>
                <w:rFonts w:cs="Arial"/>
                <w:color w:val="000000"/>
                <w:sz w:val="16"/>
                <w:szCs w:val="16"/>
              </w:rPr>
            </w:pPr>
            <w:r w:rsidRPr="00F40671">
              <w:rPr>
                <w:rFonts w:cs="Arial"/>
                <w:color w:val="000000"/>
                <w:sz w:val="16"/>
                <w:szCs w:val="16"/>
              </w:rPr>
              <w:t>-12%</w:t>
            </w:r>
          </w:p>
        </w:tc>
      </w:tr>
      <w:tr w:rsidR="00C92165" w:rsidRPr="00F40671" w14:paraId="43559048"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4994AF22" w14:textId="77777777" w:rsidR="00C92165" w:rsidRPr="00F40671" w:rsidRDefault="00C92165" w:rsidP="00312E88">
            <w:pPr>
              <w:rPr>
                <w:rFonts w:cs="Arial"/>
                <w:color w:val="000000"/>
                <w:sz w:val="16"/>
                <w:szCs w:val="16"/>
              </w:rPr>
            </w:pPr>
            <w:r w:rsidRPr="00F40671">
              <w:rPr>
                <w:rFonts w:cs="Arial"/>
                <w:color w:val="000000"/>
                <w:sz w:val="16"/>
                <w:szCs w:val="16"/>
              </w:rPr>
              <w:t>Developmental Delay</w:t>
            </w:r>
          </w:p>
        </w:tc>
        <w:tc>
          <w:tcPr>
            <w:tcW w:w="658" w:type="pct"/>
            <w:tcBorders>
              <w:top w:val="nil"/>
              <w:left w:val="single" w:sz="4" w:space="0" w:color="auto"/>
              <w:bottom w:val="nil"/>
              <w:right w:val="nil"/>
            </w:tcBorders>
            <w:shd w:val="clear" w:color="auto" w:fill="auto"/>
            <w:noWrap/>
            <w:vAlign w:val="bottom"/>
            <w:hideMark/>
          </w:tcPr>
          <w:p w14:paraId="680F9479" w14:textId="77777777" w:rsidR="00C92165" w:rsidRPr="00F40671" w:rsidRDefault="00C92165" w:rsidP="00312E88">
            <w:pPr>
              <w:jc w:val="right"/>
              <w:rPr>
                <w:rFonts w:cs="Arial"/>
                <w:color w:val="000000"/>
                <w:sz w:val="16"/>
                <w:szCs w:val="16"/>
              </w:rPr>
            </w:pPr>
            <w:r w:rsidRPr="00F40671">
              <w:rPr>
                <w:rFonts w:cs="Arial"/>
                <w:color w:val="000000"/>
                <w:sz w:val="16"/>
                <w:szCs w:val="16"/>
              </w:rPr>
              <w:t>-12%</w:t>
            </w:r>
          </w:p>
        </w:tc>
        <w:tc>
          <w:tcPr>
            <w:tcW w:w="658" w:type="pct"/>
            <w:tcBorders>
              <w:top w:val="nil"/>
              <w:left w:val="nil"/>
              <w:bottom w:val="nil"/>
              <w:right w:val="nil"/>
            </w:tcBorders>
            <w:shd w:val="clear" w:color="auto" w:fill="auto"/>
            <w:noWrap/>
            <w:vAlign w:val="bottom"/>
            <w:hideMark/>
          </w:tcPr>
          <w:p w14:paraId="38BFE017" w14:textId="77777777" w:rsidR="00C92165" w:rsidRPr="00F40671" w:rsidRDefault="00C92165" w:rsidP="00312E88">
            <w:pPr>
              <w:jc w:val="right"/>
              <w:rPr>
                <w:rFonts w:cs="Arial"/>
                <w:color w:val="000000"/>
                <w:sz w:val="16"/>
                <w:szCs w:val="16"/>
              </w:rPr>
            </w:pPr>
            <w:r w:rsidRPr="00F40671">
              <w:rPr>
                <w:rFonts w:cs="Arial"/>
                <w:color w:val="000000"/>
                <w:sz w:val="16"/>
                <w:szCs w:val="16"/>
              </w:rPr>
              <w:t>-10%</w:t>
            </w:r>
          </w:p>
        </w:tc>
        <w:tc>
          <w:tcPr>
            <w:tcW w:w="658" w:type="pct"/>
            <w:tcBorders>
              <w:top w:val="nil"/>
              <w:left w:val="nil"/>
              <w:bottom w:val="nil"/>
              <w:right w:val="nil"/>
            </w:tcBorders>
            <w:shd w:val="clear" w:color="auto" w:fill="auto"/>
            <w:noWrap/>
            <w:vAlign w:val="bottom"/>
            <w:hideMark/>
          </w:tcPr>
          <w:p w14:paraId="3404AF0B" w14:textId="77777777" w:rsidR="00C92165" w:rsidRPr="00F40671" w:rsidRDefault="00C92165" w:rsidP="00312E88">
            <w:pPr>
              <w:jc w:val="right"/>
              <w:rPr>
                <w:rFonts w:cs="Arial"/>
                <w:color w:val="000000"/>
                <w:sz w:val="16"/>
                <w:szCs w:val="16"/>
              </w:rPr>
            </w:pPr>
            <w:r w:rsidRPr="00F40671">
              <w:rPr>
                <w:rFonts w:cs="Arial"/>
                <w:color w:val="000000"/>
                <w:sz w:val="16"/>
                <w:szCs w:val="16"/>
              </w:rPr>
              <w:t>-9%</w:t>
            </w:r>
          </w:p>
        </w:tc>
        <w:tc>
          <w:tcPr>
            <w:tcW w:w="658" w:type="pct"/>
            <w:tcBorders>
              <w:top w:val="nil"/>
              <w:left w:val="nil"/>
              <w:bottom w:val="nil"/>
              <w:right w:val="nil"/>
            </w:tcBorders>
            <w:shd w:val="clear" w:color="auto" w:fill="auto"/>
            <w:noWrap/>
            <w:vAlign w:val="bottom"/>
            <w:hideMark/>
          </w:tcPr>
          <w:p w14:paraId="32BC06EC" w14:textId="77777777" w:rsidR="00C92165" w:rsidRPr="00F40671" w:rsidRDefault="00C92165" w:rsidP="00312E88">
            <w:pPr>
              <w:jc w:val="right"/>
              <w:rPr>
                <w:rFonts w:cs="Arial"/>
                <w:color w:val="000000"/>
                <w:sz w:val="16"/>
                <w:szCs w:val="16"/>
              </w:rPr>
            </w:pPr>
            <w:r w:rsidRPr="00F40671">
              <w:rPr>
                <w:rFonts w:cs="Arial"/>
                <w:color w:val="000000"/>
                <w:sz w:val="16"/>
                <w:szCs w:val="16"/>
              </w:rPr>
              <w:t>-10%</w:t>
            </w:r>
          </w:p>
        </w:tc>
        <w:tc>
          <w:tcPr>
            <w:tcW w:w="660" w:type="pct"/>
            <w:tcBorders>
              <w:top w:val="nil"/>
              <w:left w:val="dotted" w:sz="4" w:space="0" w:color="auto"/>
              <w:bottom w:val="nil"/>
              <w:right w:val="single" w:sz="4" w:space="0" w:color="auto"/>
            </w:tcBorders>
            <w:shd w:val="clear" w:color="auto" w:fill="auto"/>
            <w:noWrap/>
            <w:vAlign w:val="bottom"/>
            <w:hideMark/>
          </w:tcPr>
          <w:p w14:paraId="726261F9" w14:textId="77777777" w:rsidR="00C92165" w:rsidRPr="00F40671" w:rsidRDefault="00C92165" w:rsidP="00312E88">
            <w:pPr>
              <w:jc w:val="right"/>
              <w:rPr>
                <w:rFonts w:cs="Arial"/>
                <w:color w:val="000000"/>
                <w:sz w:val="16"/>
                <w:szCs w:val="16"/>
              </w:rPr>
            </w:pPr>
            <w:r w:rsidRPr="00F40671">
              <w:rPr>
                <w:rFonts w:cs="Arial"/>
                <w:color w:val="000000"/>
                <w:sz w:val="16"/>
                <w:szCs w:val="16"/>
              </w:rPr>
              <w:t>-21%</w:t>
            </w:r>
          </w:p>
        </w:tc>
      </w:tr>
      <w:tr w:rsidR="00C92165" w:rsidRPr="00F40671" w14:paraId="570CD1FB"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448CF9B1" w14:textId="77777777" w:rsidR="00C92165" w:rsidRPr="00F40671" w:rsidRDefault="00C92165" w:rsidP="00312E88">
            <w:pPr>
              <w:rPr>
                <w:rFonts w:cs="Arial"/>
                <w:color w:val="000000"/>
                <w:sz w:val="16"/>
                <w:szCs w:val="16"/>
              </w:rPr>
            </w:pPr>
            <w:r w:rsidRPr="00F40671">
              <w:rPr>
                <w:rFonts w:cs="Arial"/>
                <w:color w:val="000000"/>
                <w:sz w:val="16"/>
                <w:szCs w:val="16"/>
              </w:rPr>
              <w:t>Sensory</w:t>
            </w:r>
          </w:p>
        </w:tc>
        <w:tc>
          <w:tcPr>
            <w:tcW w:w="658" w:type="pct"/>
            <w:tcBorders>
              <w:top w:val="nil"/>
              <w:left w:val="single" w:sz="4" w:space="0" w:color="auto"/>
              <w:bottom w:val="nil"/>
              <w:right w:val="nil"/>
            </w:tcBorders>
            <w:shd w:val="clear" w:color="auto" w:fill="auto"/>
            <w:noWrap/>
            <w:vAlign w:val="bottom"/>
            <w:hideMark/>
          </w:tcPr>
          <w:p w14:paraId="6F53C57A" w14:textId="77777777" w:rsidR="00C92165" w:rsidRPr="00F40671" w:rsidRDefault="00C92165" w:rsidP="00312E88">
            <w:pPr>
              <w:jc w:val="right"/>
              <w:rPr>
                <w:rFonts w:cs="Arial"/>
                <w:color w:val="000000"/>
                <w:sz w:val="16"/>
                <w:szCs w:val="16"/>
              </w:rPr>
            </w:pPr>
            <w:r w:rsidRPr="00F40671">
              <w:rPr>
                <w:rFonts w:cs="Arial"/>
                <w:color w:val="000000"/>
                <w:sz w:val="16"/>
                <w:szCs w:val="16"/>
              </w:rPr>
              <w:t>-1%</w:t>
            </w:r>
          </w:p>
        </w:tc>
        <w:tc>
          <w:tcPr>
            <w:tcW w:w="658" w:type="pct"/>
            <w:tcBorders>
              <w:top w:val="nil"/>
              <w:left w:val="nil"/>
              <w:bottom w:val="nil"/>
              <w:right w:val="nil"/>
            </w:tcBorders>
            <w:shd w:val="clear" w:color="auto" w:fill="auto"/>
            <w:noWrap/>
            <w:vAlign w:val="bottom"/>
            <w:hideMark/>
          </w:tcPr>
          <w:p w14:paraId="7BCBD2C7" w14:textId="77777777" w:rsidR="00C92165" w:rsidRPr="00F40671" w:rsidRDefault="00C92165" w:rsidP="00312E88">
            <w:pPr>
              <w:jc w:val="right"/>
              <w:rPr>
                <w:rFonts w:cs="Arial"/>
                <w:color w:val="000000"/>
                <w:sz w:val="16"/>
                <w:szCs w:val="16"/>
              </w:rPr>
            </w:pPr>
            <w:r w:rsidRPr="00F40671">
              <w:rPr>
                <w:rFonts w:cs="Arial"/>
                <w:color w:val="000000"/>
                <w:sz w:val="16"/>
                <w:szCs w:val="16"/>
              </w:rPr>
              <w:t>0%</w:t>
            </w:r>
          </w:p>
        </w:tc>
        <w:tc>
          <w:tcPr>
            <w:tcW w:w="658" w:type="pct"/>
            <w:tcBorders>
              <w:top w:val="nil"/>
              <w:left w:val="nil"/>
              <w:bottom w:val="nil"/>
              <w:right w:val="nil"/>
            </w:tcBorders>
            <w:shd w:val="clear" w:color="auto" w:fill="auto"/>
            <w:noWrap/>
            <w:vAlign w:val="bottom"/>
            <w:hideMark/>
          </w:tcPr>
          <w:p w14:paraId="55620711" w14:textId="77777777" w:rsidR="00C92165" w:rsidRPr="00F40671" w:rsidRDefault="00C92165" w:rsidP="00312E88">
            <w:pPr>
              <w:jc w:val="right"/>
              <w:rPr>
                <w:rFonts w:cs="Arial"/>
                <w:color w:val="000000"/>
                <w:sz w:val="16"/>
                <w:szCs w:val="16"/>
              </w:rPr>
            </w:pPr>
            <w:r w:rsidRPr="00F40671">
              <w:rPr>
                <w:rFonts w:cs="Arial"/>
                <w:color w:val="000000"/>
                <w:sz w:val="16"/>
                <w:szCs w:val="16"/>
              </w:rPr>
              <w:t>0%</w:t>
            </w:r>
          </w:p>
        </w:tc>
        <w:tc>
          <w:tcPr>
            <w:tcW w:w="658" w:type="pct"/>
            <w:tcBorders>
              <w:top w:val="nil"/>
              <w:left w:val="nil"/>
              <w:bottom w:val="nil"/>
              <w:right w:val="nil"/>
            </w:tcBorders>
            <w:shd w:val="clear" w:color="auto" w:fill="auto"/>
            <w:noWrap/>
            <w:vAlign w:val="bottom"/>
            <w:hideMark/>
          </w:tcPr>
          <w:p w14:paraId="2CB5EADF" w14:textId="77777777" w:rsidR="00C92165" w:rsidRPr="00F40671" w:rsidRDefault="00C92165" w:rsidP="00312E88">
            <w:pPr>
              <w:jc w:val="right"/>
              <w:rPr>
                <w:rFonts w:cs="Arial"/>
                <w:color w:val="000000"/>
                <w:sz w:val="16"/>
                <w:szCs w:val="16"/>
              </w:rPr>
            </w:pPr>
            <w:r w:rsidRPr="00F40671">
              <w:rPr>
                <w:rFonts w:cs="Arial"/>
                <w:color w:val="000000"/>
                <w:sz w:val="16"/>
                <w:szCs w:val="16"/>
              </w:rPr>
              <w:t>-1%</w:t>
            </w:r>
          </w:p>
        </w:tc>
        <w:tc>
          <w:tcPr>
            <w:tcW w:w="660" w:type="pct"/>
            <w:tcBorders>
              <w:top w:val="nil"/>
              <w:left w:val="dotted" w:sz="4" w:space="0" w:color="auto"/>
              <w:bottom w:val="nil"/>
              <w:right w:val="single" w:sz="4" w:space="0" w:color="auto"/>
            </w:tcBorders>
            <w:shd w:val="clear" w:color="auto" w:fill="auto"/>
            <w:noWrap/>
            <w:vAlign w:val="bottom"/>
            <w:hideMark/>
          </w:tcPr>
          <w:p w14:paraId="5A0042BA" w14:textId="77777777" w:rsidR="00C92165" w:rsidRPr="00F40671" w:rsidRDefault="00C92165" w:rsidP="00312E88">
            <w:pPr>
              <w:jc w:val="right"/>
              <w:rPr>
                <w:rFonts w:cs="Arial"/>
                <w:color w:val="000000"/>
                <w:sz w:val="16"/>
                <w:szCs w:val="16"/>
              </w:rPr>
            </w:pPr>
            <w:r w:rsidRPr="00F40671">
              <w:rPr>
                <w:rFonts w:cs="Arial"/>
                <w:color w:val="000000"/>
                <w:sz w:val="16"/>
                <w:szCs w:val="16"/>
              </w:rPr>
              <w:t>-5%</w:t>
            </w:r>
          </w:p>
        </w:tc>
      </w:tr>
      <w:tr w:rsidR="00C92165" w:rsidRPr="00F40671" w14:paraId="13465CF2" w14:textId="77777777" w:rsidTr="00C92165">
        <w:trPr>
          <w:trHeight w:hRule="exact" w:val="284"/>
        </w:trPr>
        <w:tc>
          <w:tcPr>
            <w:tcW w:w="1708" w:type="pct"/>
            <w:tcBorders>
              <w:top w:val="nil"/>
              <w:left w:val="single" w:sz="4" w:space="0" w:color="auto"/>
              <w:bottom w:val="nil"/>
              <w:right w:val="nil"/>
            </w:tcBorders>
            <w:shd w:val="clear" w:color="auto" w:fill="auto"/>
            <w:noWrap/>
            <w:vAlign w:val="bottom"/>
            <w:hideMark/>
          </w:tcPr>
          <w:p w14:paraId="21E0600E" w14:textId="77777777" w:rsidR="00C92165" w:rsidRPr="00F40671" w:rsidRDefault="00C92165" w:rsidP="00312E88">
            <w:pPr>
              <w:rPr>
                <w:rFonts w:cs="Arial"/>
                <w:color w:val="000000"/>
                <w:sz w:val="16"/>
                <w:szCs w:val="16"/>
              </w:rPr>
            </w:pPr>
            <w:r w:rsidRPr="00F40671">
              <w:rPr>
                <w:rFonts w:cs="Arial"/>
                <w:color w:val="000000"/>
                <w:sz w:val="16"/>
                <w:szCs w:val="16"/>
              </w:rPr>
              <w:t>Other</w:t>
            </w:r>
          </w:p>
        </w:tc>
        <w:tc>
          <w:tcPr>
            <w:tcW w:w="658" w:type="pct"/>
            <w:tcBorders>
              <w:top w:val="nil"/>
              <w:left w:val="single" w:sz="4" w:space="0" w:color="auto"/>
              <w:bottom w:val="nil"/>
              <w:right w:val="nil"/>
            </w:tcBorders>
            <w:shd w:val="clear" w:color="auto" w:fill="auto"/>
            <w:noWrap/>
            <w:vAlign w:val="bottom"/>
            <w:hideMark/>
          </w:tcPr>
          <w:p w14:paraId="37D1B2B5" w14:textId="77777777" w:rsidR="00C92165" w:rsidRPr="00F40671" w:rsidRDefault="00C92165" w:rsidP="00312E88">
            <w:pPr>
              <w:jc w:val="right"/>
              <w:rPr>
                <w:rFonts w:cs="Arial"/>
                <w:color w:val="000000"/>
                <w:sz w:val="16"/>
                <w:szCs w:val="16"/>
              </w:rPr>
            </w:pPr>
            <w:r w:rsidRPr="00F40671">
              <w:rPr>
                <w:rFonts w:cs="Arial"/>
                <w:color w:val="000000"/>
                <w:sz w:val="16"/>
                <w:szCs w:val="16"/>
              </w:rPr>
              <w:t>5%</w:t>
            </w:r>
          </w:p>
        </w:tc>
        <w:tc>
          <w:tcPr>
            <w:tcW w:w="658" w:type="pct"/>
            <w:tcBorders>
              <w:top w:val="nil"/>
              <w:left w:val="nil"/>
              <w:bottom w:val="nil"/>
              <w:right w:val="nil"/>
            </w:tcBorders>
            <w:shd w:val="clear" w:color="auto" w:fill="auto"/>
            <w:noWrap/>
            <w:vAlign w:val="bottom"/>
            <w:hideMark/>
          </w:tcPr>
          <w:p w14:paraId="02C19762" w14:textId="77777777" w:rsidR="00C92165" w:rsidRPr="00F40671" w:rsidRDefault="00C92165" w:rsidP="00312E88">
            <w:pPr>
              <w:jc w:val="right"/>
              <w:rPr>
                <w:rFonts w:cs="Arial"/>
                <w:color w:val="000000"/>
                <w:sz w:val="16"/>
                <w:szCs w:val="16"/>
              </w:rPr>
            </w:pPr>
            <w:r w:rsidRPr="00F40671">
              <w:rPr>
                <w:rFonts w:cs="Arial"/>
                <w:color w:val="000000"/>
                <w:sz w:val="16"/>
                <w:szCs w:val="16"/>
              </w:rPr>
              <w:t>5%</w:t>
            </w:r>
          </w:p>
        </w:tc>
        <w:tc>
          <w:tcPr>
            <w:tcW w:w="658" w:type="pct"/>
            <w:tcBorders>
              <w:top w:val="nil"/>
              <w:left w:val="nil"/>
              <w:bottom w:val="nil"/>
              <w:right w:val="nil"/>
            </w:tcBorders>
            <w:shd w:val="clear" w:color="auto" w:fill="auto"/>
            <w:noWrap/>
            <w:vAlign w:val="bottom"/>
            <w:hideMark/>
          </w:tcPr>
          <w:p w14:paraId="57D944F8" w14:textId="77777777" w:rsidR="00C92165" w:rsidRPr="00F40671" w:rsidRDefault="00C92165" w:rsidP="00312E88">
            <w:pPr>
              <w:jc w:val="right"/>
              <w:rPr>
                <w:rFonts w:cs="Arial"/>
                <w:color w:val="000000"/>
                <w:sz w:val="16"/>
                <w:szCs w:val="16"/>
              </w:rPr>
            </w:pPr>
            <w:r w:rsidRPr="00F40671">
              <w:rPr>
                <w:rFonts w:cs="Arial"/>
                <w:color w:val="000000"/>
                <w:sz w:val="16"/>
                <w:szCs w:val="16"/>
              </w:rPr>
              <w:t>4%</w:t>
            </w:r>
          </w:p>
        </w:tc>
        <w:tc>
          <w:tcPr>
            <w:tcW w:w="658" w:type="pct"/>
            <w:tcBorders>
              <w:top w:val="nil"/>
              <w:left w:val="nil"/>
              <w:bottom w:val="single" w:sz="4" w:space="0" w:color="auto"/>
              <w:right w:val="nil"/>
            </w:tcBorders>
            <w:shd w:val="clear" w:color="auto" w:fill="auto"/>
            <w:noWrap/>
            <w:vAlign w:val="bottom"/>
            <w:hideMark/>
          </w:tcPr>
          <w:p w14:paraId="4537CB0B" w14:textId="77777777" w:rsidR="00C92165" w:rsidRPr="00F40671" w:rsidRDefault="00C92165" w:rsidP="00312E88">
            <w:pPr>
              <w:jc w:val="right"/>
              <w:rPr>
                <w:rFonts w:cs="Arial"/>
                <w:color w:val="000000"/>
                <w:sz w:val="16"/>
                <w:szCs w:val="16"/>
              </w:rPr>
            </w:pPr>
            <w:r w:rsidRPr="00F40671">
              <w:rPr>
                <w:rFonts w:cs="Arial"/>
                <w:color w:val="000000"/>
                <w:sz w:val="16"/>
                <w:szCs w:val="16"/>
              </w:rPr>
              <w:t>3%</w:t>
            </w:r>
          </w:p>
        </w:tc>
        <w:tc>
          <w:tcPr>
            <w:tcW w:w="660" w:type="pct"/>
            <w:tcBorders>
              <w:top w:val="nil"/>
              <w:left w:val="dotted" w:sz="4" w:space="0" w:color="auto"/>
              <w:bottom w:val="nil"/>
              <w:right w:val="single" w:sz="4" w:space="0" w:color="auto"/>
            </w:tcBorders>
            <w:shd w:val="clear" w:color="auto" w:fill="auto"/>
            <w:noWrap/>
            <w:vAlign w:val="bottom"/>
            <w:hideMark/>
          </w:tcPr>
          <w:p w14:paraId="08753386" w14:textId="77777777" w:rsidR="00C92165" w:rsidRPr="00F40671" w:rsidRDefault="00C92165" w:rsidP="00312E88">
            <w:pPr>
              <w:jc w:val="right"/>
              <w:rPr>
                <w:rFonts w:cs="Arial"/>
                <w:color w:val="000000"/>
                <w:sz w:val="16"/>
                <w:szCs w:val="16"/>
              </w:rPr>
            </w:pPr>
            <w:r w:rsidRPr="00F40671">
              <w:rPr>
                <w:rFonts w:cs="Arial"/>
                <w:color w:val="000000"/>
                <w:sz w:val="16"/>
                <w:szCs w:val="16"/>
              </w:rPr>
              <w:t>-1%</w:t>
            </w:r>
          </w:p>
        </w:tc>
      </w:tr>
      <w:tr w:rsidR="00C92165" w:rsidRPr="00F40671" w14:paraId="10664D8B" w14:textId="77777777" w:rsidTr="00C92165">
        <w:trPr>
          <w:trHeight w:hRule="exact" w:val="284"/>
        </w:trPr>
        <w:tc>
          <w:tcPr>
            <w:tcW w:w="1708" w:type="pct"/>
            <w:tcBorders>
              <w:top w:val="single" w:sz="4" w:space="0" w:color="auto"/>
              <w:left w:val="single" w:sz="4" w:space="0" w:color="auto"/>
              <w:bottom w:val="single" w:sz="4" w:space="0" w:color="auto"/>
              <w:right w:val="nil"/>
            </w:tcBorders>
            <w:shd w:val="clear" w:color="auto" w:fill="auto"/>
            <w:noWrap/>
            <w:vAlign w:val="bottom"/>
            <w:hideMark/>
          </w:tcPr>
          <w:p w14:paraId="0D686B69" w14:textId="77777777" w:rsidR="00C92165" w:rsidRPr="00F40671" w:rsidRDefault="00C92165" w:rsidP="00312E88">
            <w:pPr>
              <w:rPr>
                <w:rFonts w:cs="Arial"/>
                <w:b/>
                <w:bCs/>
                <w:color w:val="000000"/>
                <w:sz w:val="16"/>
                <w:szCs w:val="16"/>
              </w:rPr>
            </w:pPr>
            <w:r w:rsidRPr="00F40671">
              <w:rPr>
                <w:rFonts w:cs="Arial"/>
                <w:b/>
                <w:bCs/>
                <w:color w:val="000000"/>
                <w:sz w:val="16"/>
                <w:szCs w:val="16"/>
              </w:rPr>
              <w:t>Total</w:t>
            </w:r>
          </w:p>
        </w:tc>
        <w:tc>
          <w:tcPr>
            <w:tcW w:w="658" w:type="pct"/>
            <w:tcBorders>
              <w:top w:val="single" w:sz="4" w:space="0" w:color="auto"/>
              <w:left w:val="single" w:sz="4" w:space="0" w:color="auto"/>
              <w:bottom w:val="single" w:sz="4" w:space="0" w:color="auto"/>
              <w:right w:val="nil"/>
            </w:tcBorders>
            <w:shd w:val="clear" w:color="auto" w:fill="auto"/>
            <w:noWrap/>
            <w:vAlign w:val="bottom"/>
            <w:hideMark/>
          </w:tcPr>
          <w:p w14:paraId="79ED5729"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4%</w:t>
            </w:r>
          </w:p>
        </w:tc>
        <w:tc>
          <w:tcPr>
            <w:tcW w:w="658" w:type="pct"/>
            <w:tcBorders>
              <w:top w:val="single" w:sz="4" w:space="0" w:color="auto"/>
              <w:left w:val="nil"/>
              <w:bottom w:val="single" w:sz="4" w:space="0" w:color="auto"/>
              <w:right w:val="nil"/>
            </w:tcBorders>
            <w:shd w:val="clear" w:color="auto" w:fill="auto"/>
            <w:noWrap/>
            <w:vAlign w:val="bottom"/>
            <w:hideMark/>
          </w:tcPr>
          <w:p w14:paraId="2135ACB1"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3%</w:t>
            </w:r>
          </w:p>
        </w:tc>
        <w:tc>
          <w:tcPr>
            <w:tcW w:w="658" w:type="pct"/>
            <w:tcBorders>
              <w:top w:val="single" w:sz="4" w:space="0" w:color="auto"/>
              <w:left w:val="nil"/>
              <w:bottom w:val="single" w:sz="4" w:space="0" w:color="auto"/>
              <w:right w:val="nil"/>
            </w:tcBorders>
            <w:shd w:val="clear" w:color="auto" w:fill="auto"/>
            <w:noWrap/>
            <w:vAlign w:val="bottom"/>
            <w:hideMark/>
          </w:tcPr>
          <w:p w14:paraId="232ED240"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2%</w:t>
            </w:r>
          </w:p>
        </w:tc>
        <w:tc>
          <w:tcPr>
            <w:tcW w:w="658" w:type="pct"/>
            <w:tcBorders>
              <w:top w:val="nil"/>
              <w:left w:val="nil"/>
              <w:bottom w:val="single" w:sz="4" w:space="0" w:color="auto"/>
              <w:right w:val="nil"/>
            </w:tcBorders>
            <w:shd w:val="clear" w:color="auto" w:fill="auto"/>
            <w:noWrap/>
            <w:vAlign w:val="bottom"/>
            <w:hideMark/>
          </w:tcPr>
          <w:p w14:paraId="5644B3D2"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1%</w:t>
            </w:r>
          </w:p>
        </w:tc>
        <w:tc>
          <w:tcPr>
            <w:tcW w:w="660" w:type="pct"/>
            <w:tcBorders>
              <w:top w:val="single" w:sz="4" w:space="0" w:color="auto"/>
              <w:left w:val="dotted" w:sz="4" w:space="0" w:color="auto"/>
              <w:bottom w:val="single" w:sz="4" w:space="0" w:color="auto"/>
              <w:right w:val="single" w:sz="4" w:space="0" w:color="auto"/>
            </w:tcBorders>
            <w:shd w:val="clear" w:color="auto" w:fill="auto"/>
            <w:noWrap/>
            <w:vAlign w:val="bottom"/>
            <w:hideMark/>
          </w:tcPr>
          <w:p w14:paraId="24B35F93" w14:textId="77777777" w:rsidR="00C92165" w:rsidRPr="00F40671" w:rsidRDefault="00C92165" w:rsidP="00312E88">
            <w:pPr>
              <w:jc w:val="right"/>
              <w:rPr>
                <w:rFonts w:cs="Arial"/>
                <w:b/>
                <w:bCs/>
                <w:color w:val="000000"/>
                <w:sz w:val="16"/>
                <w:szCs w:val="16"/>
              </w:rPr>
            </w:pPr>
            <w:r w:rsidRPr="00F40671">
              <w:rPr>
                <w:rFonts w:cs="Arial"/>
                <w:b/>
                <w:bCs/>
                <w:color w:val="000000"/>
                <w:sz w:val="16"/>
                <w:szCs w:val="16"/>
              </w:rPr>
              <w:t>-2%</w:t>
            </w:r>
          </w:p>
        </w:tc>
      </w:tr>
    </w:tbl>
    <w:p w14:paraId="40051A51" w14:textId="2BED3E0B" w:rsidR="005047B2" w:rsidRPr="00CA035D" w:rsidRDefault="005047B2" w:rsidP="00826B75">
      <w:pPr>
        <w:pStyle w:val="FSRnormal"/>
      </w:pPr>
      <w:r w:rsidRPr="00CA035D" w:rsidDel="00823A40">
        <w:t xml:space="preserve"> </w:t>
      </w:r>
    </w:p>
    <w:p w14:paraId="4839C39E" w14:textId="77777777" w:rsidR="00826B75" w:rsidRDefault="00826B75" w:rsidP="00826B75">
      <w:pPr>
        <w:pStyle w:val="Heading5"/>
        <w:rPr>
          <w:rFonts w:ascii="Arial" w:eastAsiaTheme="minorEastAsia" w:hAnsi="Arial" w:cstheme="minorBidi"/>
          <w:b/>
          <w:i/>
          <w:color w:val="6B2976"/>
          <w:sz w:val="25"/>
        </w:rPr>
      </w:pPr>
      <w:r>
        <w:rPr>
          <w:rFonts w:ascii="Arial" w:eastAsiaTheme="minorEastAsia" w:hAnsi="Arial" w:cstheme="minorBidi"/>
          <w:b/>
          <w:i/>
          <w:color w:val="6B2976"/>
          <w:sz w:val="25"/>
        </w:rPr>
        <w:t xml:space="preserve">Participant </w:t>
      </w:r>
      <w:r w:rsidRPr="00CA035D">
        <w:rPr>
          <w:rFonts w:ascii="Arial" w:eastAsiaTheme="minorEastAsia" w:hAnsi="Arial" w:cstheme="minorBidi"/>
          <w:b/>
          <w:i/>
          <w:color w:val="6B2976"/>
          <w:sz w:val="25"/>
        </w:rPr>
        <w:t>Costs by Support Categories</w:t>
      </w:r>
    </w:p>
    <w:p w14:paraId="6B12643B" w14:textId="511F98B8" w:rsidR="00826B75" w:rsidRPr="00CA035D" w:rsidRDefault="00FE6084" w:rsidP="00826B75">
      <w:pPr>
        <w:pStyle w:val="FSRnormal"/>
      </w:pPr>
      <w:r w:rsidRPr="00C92165">
        <w:rPr>
          <w:u w:val="single"/>
        </w:rPr>
        <w:fldChar w:fldCharType="begin"/>
      </w:r>
      <w:r w:rsidRPr="00C92165">
        <w:rPr>
          <w:u w:val="single"/>
        </w:rPr>
        <w:instrText xml:space="preserve"> REF _Ref80457065 \h </w:instrText>
      </w:r>
      <w:r w:rsidR="00C92165">
        <w:rPr>
          <w:u w:val="single"/>
        </w:rPr>
        <w:instrText xml:space="preserve"> \* MERGEFORMAT </w:instrText>
      </w:r>
      <w:r w:rsidRPr="00C92165">
        <w:rPr>
          <w:u w:val="single"/>
        </w:rPr>
      </w:r>
      <w:r w:rsidRPr="00C92165">
        <w:rPr>
          <w:u w:val="single"/>
        </w:rPr>
        <w:fldChar w:fldCharType="separate"/>
      </w:r>
      <w:r w:rsidR="00E50032" w:rsidRPr="00E50032">
        <w:rPr>
          <w:u w:val="single"/>
        </w:rPr>
        <w:t xml:space="preserve">Table </w:t>
      </w:r>
      <w:r w:rsidR="00E50032" w:rsidRPr="00E50032">
        <w:rPr>
          <w:noProof/>
          <w:u w:val="single"/>
        </w:rPr>
        <w:t>63</w:t>
      </w:r>
      <w:r w:rsidRPr="00C92165">
        <w:rPr>
          <w:u w:val="single"/>
        </w:rPr>
        <w:fldChar w:fldCharType="end"/>
      </w:r>
      <w:r>
        <w:t xml:space="preserve"> </w:t>
      </w:r>
      <w:r w:rsidR="00826B75" w:rsidRPr="00CA035D">
        <w:t xml:space="preserve">shows </w:t>
      </w:r>
      <w:r w:rsidR="00826B75">
        <w:t xml:space="preserve">projections by </w:t>
      </w:r>
      <w:r w:rsidR="00826B75" w:rsidRPr="00CA035D">
        <w:t xml:space="preserve">support categories have </w:t>
      </w:r>
      <w:r w:rsidR="00826B75">
        <w:t>shifted</w:t>
      </w:r>
      <w:r w:rsidR="00826B75" w:rsidRPr="00CA035D">
        <w:t xml:space="preserve"> substantially compared to the </w:t>
      </w:r>
      <w:r w:rsidR="0087666A">
        <w:t>previous review</w:t>
      </w:r>
      <w:r w:rsidR="00826B75" w:rsidRPr="00CA035D">
        <w:t xml:space="preserve">. </w:t>
      </w:r>
      <w:r w:rsidR="00826B75">
        <w:t xml:space="preserve">The greatest difference is the decrease </w:t>
      </w:r>
      <w:r w:rsidR="00586806">
        <w:t xml:space="preserve">in the longer term </w:t>
      </w:r>
      <w:r w:rsidR="00826B75">
        <w:t xml:space="preserve">in projected </w:t>
      </w:r>
      <w:r w:rsidR="00826B75">
        <w:lastRenderedPageBreak/>
        <w:t xml:space="preserve">participant costs for the </w:t>
      </w:r>
      <w:r w:rsidR="00826B75" w:rsidRPr="00CA035D">
        <w:t>Core Daily Activities support category</w:t>
      </w:r>
      <w:r w:rsidR="00826B75">
        <w:t xml:space="preserve">, and is driven by a </w:t>
      </w:r>
      <w:r w:rsidR="00843242">
        <w:t xml:space="preserve">relative </w:t>
      </w:r>
      <w:r w:rsidR="00826B75">
        <w:t xml:space="preserve">decrease in </w:t>
      </w:r>
      <w:r w:rsidR="00843242">
        <w:t xml:space="preserve">the </w:t>
      </w:r>
      <w:r w:rsidR="00826B75">
        <w:t xml:space="preserve">projected </w:t>
      </w:r>
      <w:r w:rsidR="00843242">
        <w:t xml:space="preserve">number of </w:t>
      </w:r>
      <w:r w:rsidR="00826B75">
        <w:t>SIL participants in the longer-term</w:t>
      </w:r>
      <w:r w:rsidR="00826B75" w:rsidRPr="00CA035D">
        <w:t xml:space="preserve">. </w:t>
      </w:r>
    </w:p>
    <w:p w14:paraId="6D57AB2B" w14:textId="44855DCD" w:rsidR="00826B75" w:rsidRDefault="00826B75" w:rsidP="000D0CA3">
      <w:pPr>
        <w:pStyle w:val="FSRnormal"/>
        <w:rPr>
          <w:highlight w:val="yellow"/>
        </w:rPr>
      </w:pPr>
      <w:r w:rsidRPr="00CA035D">
        <w:t>For the Capacity Building Daily Activities support category, projected</w:t>
      </w:r>
      <w:r>
        <w:t xml:space="preserve"> </w:t>
      </w:r>
      <w:r w:rsidR="009F2CB7">
        <w:t xml:space="preserve">costs are </w:t>
      </w:r>
      <w:r>
        <w:t xml:space="preserve">higher than the </w:t>
      </w:r>
      <w:r w:rsidR="009F2CB7">
        <w:t>previous review</w:t>
      </w:r>
      <w:r>
        <w:t>. This reflects</w:t>
      </w:r>
      <w:r w:rsidRPr="00CA035D">
        <w:t xml:space="preserve"> </w:t>
      </w:r>
      <w:r>
        <w:t xml:space="preserve">the </w:t>
      </w:r>
      <w:r w:rsidRPr="00CA035D">
        <w:t xml:space="preserve">higher payment experience, </w:t>
      </w:r>
      <w:r>
        <w:t xml:space="preserve">and is impacted by </w:t>
      </w:r>
      <w:r w:rsidRPr="00CA035D">
        <w:t xml:space="preserve">the </w:t>
      </w:r>
      <w:r>
        <w:t xml:space="preserve">projected </w:t>
      </w:r>
      <w:r w:rsidRPr="00CA035D">
        <w:t xml:space="preserve">increase in </w:t>
      </w:r>
      <w:r>
        <w:t>intake of children</w:t>
      </w:r>
      <w:r w:rsidRPr="00CA035D">
        <w:t xml:space="preserve">, </w:t>
      </w:r>
      <w:r>
        <w:t>a cohort that spends a substantial amount on this support category</w:t>
      </w:r>
      <w:r w:rsidRPr="00CA035D">
        <w:t xml:space="preserve">. </w:t>
      </w:r>
    </w:p>
    <w:p w14:paraId="574E8AC1" w14:textId="6529E1D8" w:rsidR="00826B75" w:rsidRPr="00CA035D" w:rsidRDefault="00C967DA" w:rsidP="00826B75">
      <w:pPr>
        <w:pStyle w:val="Caption"/>
        <w:keepNext/>
      </w:pPr>
      <w:bookmarkStart w:id="377" w:name="_Ref80457065"/>
      <w:r w:rsidRPr="002735DF">
        <w:t xml:space="preserve">Table </w:t>
      </w:r>
      <w:fldSimple w:instr=" SEQ Table \* ARABIC ">
        <w:r w:rsidR="00E50032">
          <w:rPr>
            <w:noProof/>
          </w:rPr>
          <w:t>63</w:t>
        </w:r>
      </w:fldSimple>
      <w:bookmarkEnd w:id="377"/>
      <w:r w:rsidRPr="002735DF">
        <w:t xml:space="preserve"> </w:t>
      </w:r>
      <w:r w:rsidR="00826B75" w:rsidRPr="00CA035D">
        <w:t>Change in projected participant costs by support category (on a cash basis)</w:t>
      </w:r>
    </w:p>
    <w:tbl>
      <w:tblPr>
        <w:tblW w:w="5000" w:type="pct"/>
        <w:tblLook w:val="04A0" w:firstRow="1" w:lastRow="0" w:firstColumn="1" w:lastColumn="0" w:noHBand="0" w:noVBand="1"/>
      </w:tblPr>
      <w:tblGrid>
        <w:gridCol w:w="3079"/>
        <w:gridCol w:w="1186"/>
        <w:gridCol w:w="1187"/>
        <w:gridCol w:w="1187"/>
        <w:gridCol w:w="1187"/>
        <w:gridCol w:w="1190"/>
      </w:tblGrid>
      <w:tr w:rsidR="00924C53" w:rsidRPr="00F40671" w14:paraId="6834E219" w14:textId="77777777" w:rsidTr="00312E88">
        <w:trPr>
          <w:trHeight w:val="300"/>
          <w:tblHeader/>
        </w:trPr>
        <w:tc>
          <w:tcPr>
            <w:tcW w:w="1708" w:type="pct"/>
            <w:tcBorders>
              <w:top w:val="single" w:sz="4" w:space="0" w:color="auto"/>
              <w:left w:val="single" w:sz="4" w:space="0" w:color="auto"/>
              <w:bottom w:val="nil"/>
              <w:right w:val="single" w:sz="4" w:space="0" w:color="auto"/>
            </w:tcBorders>
            <w:shd w:val="clear" w:color="000000" w:fill="6B2976"/>
            <w:hideMark/>
          </w:tcPr>
          <w:p w14:paraId="3CA48660" w14:textId="77777777" w:rsidR="00924C53" w:rsidRPr="00F40671" w:rsidRDefault="00924C53" w:rsidP="00312E88">
            <w:pPr>
              <w:rPr>
                <w:rFonts w:cs="Arial"/>
                <w:b/>
                <w:bCs/>
                <w:color w:val="FFFFFF"/>
                <w:sz w:val="18"/>
                <w:szCs w:val="18"/>
              </w:rPr>
            </w:pPr>
            <w:r w:rsidRPr="00F40671">
              <w:rPr>
                <w:rFonts w:cs="Arial"/>
                <w:b/>
                <w:bCs/>
                <w:color w:val="FFFFFF"/>
                <w:sz w:val="18"/>
                <w:szCs w:val="18"/>
              </w:rPr>
              <w:t>Participant Costs ($m)</w:t>
            </w:r>
          </w:p>
        </w:tc>
        <w:tc>
          <w:tcPr>
            <w:tcW w:w="658" w:type="pct"/>
            <w:tcBorders>
              <w:top w:val="nil"/>
              <w:left w:val="nil"/>
              <w:bottom w:val="single" w:sz="4" w:space="0" w:color="auto"/>
              <w:right w:val="nil"/>
            </w:tcBorders>
            <w:shd w:val="clear" w:color="000000" w:fill="6B2F76"/>
            <w:noWrap/>
            <w:hideMark/>
          </w:tcPr>
          <w:p w14:paraId="0EC3DA28" w14:textId="77777777" w:rsidR="00924C53" w:rsidRPr="00F40671" w:rsidRDefault="00924C53" w:rsidP="00312E88">
            <w:pPr>
              <w:jc w:val="right"/>
              <w:rPr>
                <w:rFonts w:cs="Arial"/>
                <w:b/>
                <w:bCs/>
                <w:color w:val="FFFFFF"/>
                <w:sz w:val="18"/>
                <w:szCs w:val="18"/>
              </w:rPr>
            </w:pPr>
            <w:r w:rsidRPr="00F40671">
              <w:rPr>
                <w:rFonts w:cs="Arial"/>
                <w:b/>
                <w:bCs/>
                <w:color w:val="FFFFFF"/>
                <w:sz w:val="18"/>
                <w:szCs w:val="18"/>
              </w:rPr>
              <w:t>2021-22</w:t>
            </w:r>
          </w:p>
        </w:tc>
        <w:tc>
          <w:tcPr>
            <w:tcW w:w="658" w:type="pct"/>
            <w:tcBorders>
              <w:top w:val="nil"/>
              <w:left w:val="nil"/>
              <w:bottom w:val="single" w:sz="4" w:space="0" w:color="auto"/>
              <w:right w:val="nil"/>
            </w:tcBorders>
            <w:shd w:val="clear" w:color="000000" w:fill="6B2F76"/>
            <w:noWrap/>
            <w:hideMark/>
          </w:tcPr>
          <w:p w14:paraId="0A94FCBD" w14:textId="77777777" w:rsidR="00924C53" w:rsidRPr="00F40671" w:rsidRDefault="00924C53" w:rsidP="00312E88">
            <w:pPr>
              <w:jc w:val="right"/>
              <w:rPr>
                <w:rFonts w:cs="Arial"/>
                <w:b/>
                <w:bCs/>
                <w:color w:val="FFFFFF"/>
                <w:sz w:val="18"/>
                <w:szCs w:val="18"/>
              </w:rPr>
            </w:pPr>
            <w:r w:rsidRPr="00F40671">
              <w:rPr>
                <w:rFonts w:cs="Arial"/>
                <w:b/>
                <w:bCs/>
                <w:color w:val="FFFFFF"/>
                <w:sz w:val="18"/>
                <w:szCs w:val="18"/>
              </w:rPr>
              <w:t>2022-23</w:t>
            </w:r>
          </w:p>
        </w:tc>
        <w:tc>
          <w:tcPr>
            <w:tcW w:w="658" w:type="pct"/>
            <w:tcBorders>
              <w:top w:val="nil"/>
              <w:left w:val="nil"/>
              <w:bottom w:val="single" w:sz="4" w:space="0" w:color="auto"/>
              <w:right w:val="nil"/>
            </w:tcBorders>
            <w:shd w:val="clear" w:color="000000" w:fill="6B2F76"/>
            <w:noWrap/>
            <w:hideMark/>
          </w:tcPr>
          <w:p w14:paraId="10B087B9" w14:textId="77777777" w:rsidR="00924C53" w:rsidRPr="00F40671" w:rsidRDefault="00924C53" w:rsidP="00312E88">
            <w:pPr>
              <w:jc w:val="right"/>
              <w:rPr>
                <w:rFonts w:cs="Arial"/>
                <w:b/>
                <w:bCs/>
                <w:color w:val="FFFFFF"/>
                <w:sz w:val="18"/>
                <w:szCs w:val="18"/>
              </w:rPr>
            </w:pPr>
            <w:r w:rsidRPr="00F40671">
              <w:rPr>
                <w:rFonts w:cs="Arial"/>
                <w:b/>
                <w:bCs/>
                <w:color w:val="FFFFFF"/>
                <w:sz w:val="18"/>
                <w:szCs w:val="18"/>
              </w:rPr>
              <w:t>2023-24</w:t>
            </w:r>
          </w:p>
        </w:tc>
        <w:tc>
          <w:tcPr>
            <w:tcW w:w="658" w:type="pct"/>
            <w:tcBorders>
              <w:top w:val="nil"/>
              <w:left w:val="nil"/>
              <w:bottom w:val="single" w:sz="4" w:space="0" w:color="auto"/>
              <w:right w:val="nil"/>
            </w:tcBorders>
            <w:shd w:val="clear" w:color="000000" w:fill="6B2F76"/>
            <w:noWrap/>
            <w:hideMark/>
          </w:tcPr>
          <w:p w14:paraId="5F538C5D" w14:textId="77777777" w:rsidR="00924C53" w:rsidRPr="00F40671" w:rsidRDefault="00924C53" w:rsidP="00312E88">
            <w:pPr>
              <w:jc w:val="right"/>
              <w:rPr>
                <w:rFonts w:cs="Arial"/>
                <w:b/>
                <w:bCs/>
                <w:color w:val="FFFFFF"/>
                <w:sz w:val="18"/>
                <w:szCs w:val="18"/>
              </w:rPr>
            </w:pPr>
            <w:r w:rsidRPr="00F40671">
              <w:rPr>
                <w:rFonts w:cs="Arial"/>
                <w:b/>
                <w:bCs/>
                <w:color w:val="FFFFFF"/>
                <w:sz w:val="18"/>
                <w:szCs w:val="18"/>
              </w:rPr>
              <w:t>2024-25</w:t>
            </w:r>
          </w:p>
        </w:tc>
        <w:tc>
          <w:tcPr>
            <w:tcW w:w="660" w:type="pct"/>
            <w:tcBorders>
              <w:top w:val="nil"/>
              <w:left w:val="single" w:sz="4" w:space="0" w:color="auto"/>
              <w:bottom w:val="single" w:sz="4" w:space="0" w:color="auto"/>
              <w:right w:val="single" w:sz="4" w:space="0" w:color="auto"/>
            </w:tcBorders>
            <w:shd w:val="clear" w:color="000000" w:fill="6B2F76"/>
            <w:noWrap/>
            <w:hideMark/>
          </w:tcPr>
          <w:p w14:paraId="233CA28E" w14:textId="77777777" w:rsidR="00924C53" w:rsidRPr="00F40671" w:rsidRDefault="00924C53" w:rsidP="00312E88">
            <w:pPr>
              <w:jc w:val="right"/>
              <w:rPr>
                <w:rFonts w:cs="Arial"/>
                <w:b/>
                <w:bCs/>
                <w:color w:val="FFFFFF"/>
                <w:sz w:val="18"/>
                <w:szCs w:val="18"/>
              </w:rPr>
            </w:pPr>
            <w:r w:rsidRPr="00F40671">
              <w:rPr>
                <w:rFonts w:cs="Arial"/>
                <w:b/>
                <w:bCs/>
                <w:color w:val="FFFFFF"/>
                <w:sz w:val="18"/>
                <w:szCs w:val="18"/>
              </w:rPr>
              <w:t>2029-30</w:t>
            </w:r>
          </w:p>
        </w:tc>
      </w:tr>
      <w:tr w:rsidR="00924C53" w:rsidRPr="00F40671" w14:paraId="50AD2056" w14:textId="77777777" w:rsidTr="00924C53">
        <w:trPr>
          <w:trHeight w:hRule="exact" w:val="284"/>
        </w:trPr>
        <w:tc>
          <w:tcPr>
            <w:tcW w:w="1708" w:type="pct"/>
            <w:tcBorders>
              <w:top w:val="single" w:sz="4" w:space="0" w:color="auto"/>
              <w:left w:val="single" w:sz="4" w:space="0" w:color="auto"/>
              <w:bottom w:val="single" w:sz="4" w:space="0" w:color="auto"/>
              <w:right w:val="nil"/>
            </w:tcBorders>
            <w:shd w:val="clear" w:color="000000" w:fill="F7EEF7"/>
            <w:noWrap/>
            <w:hideMark/>
          </w:tcPr>
          <w:p w14:paraId="4FD2C1FB" w14:textId="77777777" w:rsidR="00924C53" w:rsidRPr="00F40671" w:rsidRDefault="00924C53" w:rsidP="00312E88">
            <w:pPr>
              <w:rPr>
                <w:rFonts w:cs="Arial"/>
                <w:b/>
                <w:bCs/>
                <w:color w:val="000000"/>
                <w:sz w:val="18"/>
                <w:szCs w:val="18"/>
              </w:rPr>
            </w:pPr>
            <w:r w:rsidRPr="00F40671">
              <w:rPr>
                <w:rFonts w:cs="Arial"/>
                <w:b/>
                <w:bCs/>
                <w:color w:val="000000"/>
                <w:sz w:val="18"/>
                <w:szCs w:val="18"/>
              </w:rPr>
              <w:t>2020-21 AFSR</w:t>
            </w:r>
          </w:p>
        </w:tc>
        <w:tc>
          <w:tcPr>
            <w:tcW w:w="658" w:type="pct"/>
            <w:tcBorders>
              <w:top w:val="nil"/>
              <w:left w:val="nil"/>
              <w:bottom w:val="single" w:sz="4" w:space="0" w:color="auto"/>
              <w:right w:val="nil"/>
            </w:tcBorders>
            <w:shd w:val="clear" w:color="000000" w:fill="F7EEF7"/>
            <w:noWrap/>
            <w:hideMark/>
          </w:tcPr>
          <w:p w14:paraId="63689F69" w14:textId="77777777" w:rsidR="00924C53" w:rsidRPr="00F40671" w:rsidRDefault="00924C53" w:rsidP="00312E88">
            <w:pPr>
              <w:jc w:val="right"/>
              <w:rPr>
                <w:rFonts w:cs="Arial"/>
                <w:b/>
                <w:bCs/>
                <w:i/>
                <w:iCs/>
                <w:color w:val="000000"/>
                <w:sz w:val="18"/>
                <w:szCs w:val="18"/>
              </w:rPr>
            </w:pPr>
            <w:r w:rsidRPr="00F40671">
              <w:rPr>
                <w:rFonts w:cs="Arial"/>
                <w:b/>
                <w:bCs/>
                <w:i/>
                <w:iCs/>
                <w:color w:val="000000"/>
                <w:sz w:val="18"/>
                <w:szCs w:val="18"/>
              </w:rPr>
              <w:t> </w:t>
            </w:r>
          </w:p>
        </w:tc>
        <w:tc>
          <w:tcPr>
            <w:tcW w:w="658" w:type="pct"/>
            <w:tcBorders>
              <w:top w:val="nil"/>
              <w:left w:val="nil"/>
              <w:bottom w:val="single" w:sz="4" w:space="0" w:color="auto"/>
              <w:right w:val="nil"/>
            </w:tcBorders>
            <w:shd w:val="clear" w:color="000000" w:fill="F7EEF7"/>
            <w:noWrap/>
            <w:hideMark/>
          </w:tcPr>
          <w:p w14:paraId="3FB86832" w14:textId="77777777" w:rsidR="00924C53" w:rsidRPr="00F40671" w:rsidRDefault="00924C53" w:rsidP="00312E88">
            <w:pPr>
              <w:jc w:val="right"/>
              <w:rPr>
                <w:rFonts w:cs="Arial"/>
                <w:b/>
                <w:bCs/>
                <w:i/>
                <w:iCs/>
                <w:color w:val="000000"/>
                <w:sz w:val="18"/>
                <w:szCs w:val="18"/>
              </w:rPr>
            </w:pPr>
            <w:r w:rsidRPr="00F40671">
              <w:rPr>
                <w:rFonts w:cs="Arial"/>
                <w:b/>
                <w:bCs/>
                <w:i/>
                <w:iCs/>
                <w:color w:val="000000"/>
                <w:sz w:val="18"/>
                <w:szCs w:val="18"/>
              </w:rPr>
              <w:t> </w:t>
            </w:r>
          </w:p>
        </w:tc>
        <w:tc>
          <w:tcPr>
            <w:tcW w:w="658" w:type="pct"/>
            <w:tcBorders>
              <w:top w:val="nil"/>
              <w:left w:val="nil"/>
              <w:bottom w:val="single" w:sz="4" w:space="0" w:color="auto"/>
              <w:right w:val="nil"/>
            </w:tcBorders>
            <w:shd w:val="clear" w:color="000000" w:fill="F7EEF7"/>
            <w:noWrap/>
            <w:hideMark/>
          </w:tcPr>
          <w:p w14:paraId="208212F8" w14:textId="77777777" w:rsidR="00924C53" w:rsidRPr="00F40671" w:rsidRDefault="00924C53" w:rsidP="00312E88">
            <w:pPr>
              <w:jc w:val="right"/>
              <w:rPr>
                <w:rFonts w:cs="Arial"/>
                <w:b/>
                <w:bCs/>
                <w:i/>
                <w:iCs/>
                <w:color w:val="000000"/>
                <w:sz w:val="18"/>
                <w:szCs w:val="18"/>
              </w:rPr>
            </w:pPr>
            <w:r w:rsidRPr="00F40671">
              <w:rPr>
                <w:rFonts w:cs="Arial"/>
                <w:b/>
                <w:bCs/>
                <w:i/>
                <w:iCs/>
                <w:color w:val="000000"/>
                <w:sz w:val="18"/>
                <w:szCs w:val="18"/>
              </w:rPr>
              <w:t> </w:t>
            </w:r>
          </w:p>
        </w:tc>
        <w:tc>
          <w:tcPr>
            <w:tcW w:w="658" w:type="pct"/>
            <w:tcBorders>
              <w:top w:val="nil"/>
              <w:left w:val="nil"/>
              <w:bottom w:val="single" w:sz="4" w:space="0" w:color="auto"/>
              <w:right w:val="nil"/>
            </w:tcBorders>
            <w:shd w:val="clear" w:color="000000" w:fill="F7EEF7"/>
            <w:noWrap/>
            <w:hideMark/>
          </w:tcPr>
          <w:p w14:paraId="391E6E8A" w14:textId="77777777" w:rsidR="00924C53" w:rsidRPr="00F40671" w:rsidRDefault="00924C53" w:rsidP="00312E88">
            <w:pPr>
              <w:jc w:val="right"/>
              <w:rPr>
                <w:rFonts w:cs="Arial"/>
                <w:b/>
                <w:bCs/>
                <w:i/>
                <w:iCs/>
                <w:color w:val="000000"/>
                <w:sz w:val="18"/>
                <w:szCs w:val="18"/>
              </w:rPr>
            </w:pPr>
            <w:r w:rsidRPr="00F40671">
              <w:rPr>
                <w:rFonts w:cs="Arial"/>
                <w:b/>
                <w:bCs/>
                <w:i/>
                <w:iCs/>
                <w:color w:val="000000"/>
                <w:sz w:val="18"/>
                <w:szCs w:val="18"/>
              </w:rPr>
              <w:t> </w:t>
            </w:r>
          </w:p>
        </w:tc>
        <w:tc>
          <w:tcPr>
            <w:tcW w:w="660" w:type="pct"/>
            <w:tcBorders>
              <w:top w:val="nil"/>
              <w:left w:val="nil"/>
              <w:bottom w:val="single" w:sz="4" w:space="0" w:color="auto"/>
              <w:right w:val="single" w:sz="4" w:space="0" w:color="auto"/>
            </w:tcBorders>
            <w:shd w:val="clear" w:color="000000" w:fill="F7EEF7"/>
            <w:noWrap/>
            <w:hideMark/>
          </w:tcPr>
          <w:p w14:paraId="5F8371AF" w14:textId="77777777" w:rsidR="00924C53" w:rsidRPr="00F40671" w:rsidRDefault="00924C53" w:rsidP="00312E88">
            <w:pPr>
              <w:jc w:val="right"/>
              <w:rPr>
                <w:rFonts w:cs="Arial"/>
                <w:b/>
                <w:bCs/>
                <w:i/>
                <w:iCs/>
                <w:color w:val="000000"/>
                <w:sz w:val="18"/>
                <w:szCs w:val="18"/>
              </w:rPr>
            </w:pPr>
            <w:r w:rsidRPr="00F40671">
              <w:rPr>
                <w:rFonts w:cs="Arial"/>
                <w:b/>
                <w:bCs/>
                <w:i/>
                <w:iCs/>
                <w:color w:val="000000"/>
                <w:sz w:val="18"/>
                <w:szCs w:val="18"/>
              </w:rPr>
              <w:t> </w:t>
            </w:r>
          </w:p>
        </w:tc>
      </w:tr>
      <w:tr w:rsidR="00924C53" w:rsidRPr="00F40671" w14:paraId="4914DF2E" w14:textId="77777777" w:rsidTr="00924C53">
        <w:trPr>
          <w:trHeight w:hRule="exact" w:val="284"/>
        </w:trPr>
        <w:tc>
          <w:tcPr>
            <w:tcW w:w="1708" w:type="pct"/>
            <w:tcBorders>
              <w:top w:val="dotted" w:sz="4" w:space="0" w:color="auto"/>
              <w:left w:val="single" w:sz="4" w:space="0" w:color="auto"/>
              <w:bottom w:val="nil"/>
              <w:right w:val="single" w:sz="4" w:space="0" w:color="auto"/>
            </w:tcBorders>
            <w:shd w:val="clear" w:color="auto" w:fill="auto"/>
            <w:noWrap/>
            <w:hideMark/>
          </w:tcPr>
          <w:p w14:paraId="1CBE7450" w14:textId="77777777" w:rsidR="00924C53" w:rsidRPr="00F40671" w:rsidRDefault="00924C53" w:rsidP="00312E88">
            <w:pPr>
              <w:rPr>
                <w:rFonts w:cs="Arial"/>
                <w:b/>
                <w:bCs/>
                <w:color w:val="000000"/>
                <w:sz w:val="18"/>
                <w:szCs w:val="18"/>
              </w:rPr>
            </w:pPr>
            <w:r w:rsidRPr="00F40671">
              <w:rPr>
                <w:rFonts w:cs="Arial"/>
                <w:b/>
                <w:bCs/>
                <w:color w:val="000000"/>
                <w:sz w:val="18"/>
                <w:szCs w:val="18"/>
              </w:rPr>
              <w:t>Core</w:t>
            </w:r>
          </w:p>
        </w:tc>
        <w:tc>
          <w:tcPr>
            <w:tcW w:w="658" w:type="pct"/>
            <w:tcBorders>
              <w:top w:val="nil"/>
              <w:left w:val="nil"/>
              <w:bottom w:val="nil"/>
              <w:right w:val="nil"/>
            </w:tcBorders>
            <w:shd w:val="clear" w:color="auto" w:fill="auto"/>
            <w:noWrap/>
            <w:hideMark/>
          </w:tcPr>
          <w:p w14:paraId="5180D835" w14:textId="77777777" w:rsidR="00924C53" w:rsidRPr="00F40671" w:rsidRDefault="00924C53" w:rsidP="00312E88">
            <w:pPr>
              <w:rPr>
                <w:rFonts w:cs="Arial"/>
                <w:b/>
                <w:bCs/>
                <w:color w:val="000000"/>
                <w:sz w:val="18"/>
                <w:szCs w:val="18"/>
              </w:rPr>
            </w:pPr>
          </w:p>
        </w:tc>
        <w:tc>
          <w:tcPr>
            <w:tcW w:w="658" w:type="pct"/>
            <w:tcBorders>
              <w:top w:val="nil"/>
              <w:left w:val="nil"/>
              <w:bottom w:val="nil"/>
              <w:right w:val="nil"/>
            </w:tcBorders>
            <w:shd w:val="clear" w:color="auto" w:fill="auto"/>
            <w:noWrap/>
            <w:hideMark/>
          </w:tcPr>
          <w:p w14:paraId="56F35D77" w14:textId="77777777" w:rsidR="00924C53" w:rsidRPr="00F40671" w:rsidRDefault="00924C53" w:rsidP="00312E88">
            <w:pPr>
              <w:rPr>
                <w:sz w:val="18"/>
                <w:szCs w:val="18"/>
              </w:rPr>
            </w:pPr>
          </w:p>
        </w:tc>
        <w:tc>
          <w:tcPr>
            <w:tcW w:w="658" w:type="pct"/>
            <w:tcBorders>
              <w:top w:val="nil"/>
              <w:left w:val="nil"/>
              <w:bottom w:val="nil"/>
              <w:right w:val="nil"/>
            </w:tcBorders>
            <w:shd w:val="clear" w:color="auto" w:fill="auto"/>
            <w:noWrap/>
            <w:hideMark/>
          </w:tcPr>
          <w:p w14:paraId="515593DE" w14:textId="77777777" w:rsidR="00924C53" w:rsidRPr="00F40671" w:rsidRDefault="00924C53" w:rsidP="00312E88">
            <w:pPr>
              <w:rPr>
                <w:sz w:val="18"/>
                <w:szCs w:val="18"/>
              </w:rPr>
            </w:pPr>
          </w:p>
        </w:tc>
        <w:tc>
          <w:tcPr>
            <w:tcW w:w="658" w:type="pct"/>
            <w:tcBorders>
              <w:top w:val="nil"/>
              <w:left w:val="nil"/>
              <w:bottom w:val="nil"/>
              <w:right w:val="nil"/>
            </w:tcBorders>
            <w:shd w:val="clear" w:color="auto" w:fill="auto"/>
            <w:noWrap/>
            <w:hideMark/>
          </w:tcPr>
          <w:p w14:paraId="5B168C3B" w14:textId="77777777" w:rsidR="00924C53" w:rsidRPr="00F40671" w:rsidRDefault="00924C53" w:rsidP="00312E88">
            <w:pPr>
              <w:rPr>
                <w:sz w:val="18"/>
                <w:szCs w:val="18"/>
              </w:rPr>
            </w:pPr>
          </w:p>
        </w:tc>
        <w:tc>
          <w:tcPr>
            <w:tcW w:w="660" w:type="pct"/>
            <w:tcBorders>
              <w:top w:val="dotted" w:sz="4" w:space="0" w:color="auto"/>
              <w:left w:val="single" w:sz="4" w:space="0" w:color="auto"/>
              <w:bottom w:val="nil"/>
              <w:right w:val="single" w:sz="4" w:space="0" w:color="auto"/>
            </w:tcBorders>
            <w:shd w:val="clear" w:color="auto" w:fill="auto"/>
            <w:noWrap/>
            <w:hideMark/>
          </w:tcPr>
          <w:p w14:paraId="0B0E9272" w14:textId="77777777" w:rsidR="00924C53" w:rsidRPr="00F40671" w:rsidRDefault="00924C53" w:rsidP="00312E88">
            <w:pPr>
              <w:rPr>
                <w:rFonts w:cs="Arial"/>
                <w:color w:val="000000"/>
                <w:sz w:val="18"/>
                <w:szCs w:val="18"/>
              </w:rPr>
            </w:pPr>
            <w:r w:rsidRPr="00F40671">
              <w:rPr>
                <w:rFonts w:cs="Arial"/>
                <w:color w:val="000000"/>
                <w:sz w:val="18"/>
                <w:szCs w:val="18"/>
              </w:rPr>
              <w:t> </w:t>
            </w:r>
          </w:p>
        </w:tc>
      </w:tr>
      <w:tr w:rsidR="00924C53" w:rsidRPr="00F40671" w14:paraId="51C49D92"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40C2B14A"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Daily Activities</w:t>
            </w:r>
          </w:p>
        </w:tc>
        <w:tc>
          <w:tcPr>
            <w:tcW w:w="658" w:type="pct"/>
            <w:tcBorders>
              <w:top w:val="nil"/>
              <w:left w:val="nil"/>
              <w:bottom w:val="nil"/>
              <w:right w:val="nil"/>
            </w:tcBorders>
            <w:shd w:val="clear" w:color="auto" w:fill="auto"/>
            <w:noWrap/>
            <w:hideMark/>
          </w:tcPr>
          <w:p w14:paraId="08184BF6" w14:textId="77777777" w:rsidR="00924C53" w:rsidRPr="00F40671" w:rsidRDefault="00924C53" w:rsidP="00312E88">
            <w:pPr>
              <w:jc w:val="right"/>
              <w:rPr>
                <w:rFonts w:cs="Arial"/>
                <w:color w:val="000000"/>
                <w:sz w:val="18"/>
                <w:szCs w:val="18"/>
              </w:rPr>
            </w:pPr>
            <w:r w:rsidRPr="00F40671">
              <w:rPr>
                <w:rFonts w:cs="Arial"/>
                <w:color w:val="000000"/>
                <w:sz w:val="18"/>
                <w:szCs w:val="18"/>
              </w:rPr>
              <w:t>15,852</w:t>
            </w:r>
          </w:p>
        </w:tc>
        <w:tc>
          <w:tcPr>
            <w:tcW w:w="658" w:type="pct"/>
            <w:tcBorders>
              <w:top w:val="nil"/>
              <w:left w:val="nil"/>
              <w:bottom w:val="nil"/>
              <w:right w:val="nil"/>
            </w:tcBorders>
            <w:shd w:val="clear" w:color="auto" w:fill="auto"/>
            <w:noWrap/>
            <w:hideMark/>
          </w:tcPr>
          <w:p w14:paraId="2726DB4F" w14:textId="77777777" w:rsidR="00924C53" w:rsidRPr="00F40671" w:rsidRDefault="00924C53" w:rsidP="00312E88">
            <w:pPr>
              <w:jc w:val="right"/>
              <w:rPr>
                <w:rFonts w:cs="Arial"/>
                <w:color w:val="000000"/>
                <w:sz w:val="18"/>
                <w:szCs w:val="18"/>
              </w:rPr>
            </w:pPr>
            <w:r w:rsidRPr="00F40671">
              <w:rPr>
                <w:rFonts w:cs="Arial"/>
                <w:color w:val="000000"/>
                <w:sz w:val="18"/>
                <w:szCs w:val="18"/>
              </w:rPr>
              <w:t>17,947</w:t>
            </w:r>
          </w:p>
        </w:tc>
        <w:tc>
          <w:tcPr>
            <w:tcW w:w="658" w:type="pct"/>
            <w:tcBorders>
              <w:top w:val="nil"/>
              <w:left w:val="nil"/>
              <w:bottom w:val="nil"/>
              <w:right w:val="nil"/>
            </w:tcBorders>
            <w:shd w:val="clear" w:color="auto" w:fill="auto"/>
            <w:noWrap/>
            <w:hideMark/>
          </w:tcPr>
          <w:p w14:paraId="18B82F5B" w14:textId="77777777" w:rsidR="00924C53" w:rsidRPr="00F40671" w:rsidRDefault="00924C53" w:rsidP="00312E88">
            <w:pPr>
              <w:jc w:val="right"/>
              <w:rPr>
                <w:rFonts w:cs="Arial"/>
                <w:color w:val="000000"/>
                <w:sz w:val="18"/>
                <w:szCs w:val="18"/>
              </w:rPr>
            </w:pPr>
            <w:r w:rsidRPr="00F40671">
              <w:rPr>
                <w:rFonts w:cs="Arial"/>
                <w:color w:val="000000"/>
                <w:sz w:val="18"/>
                <w:szCs w:val="18"/>
              </w:rPr>
              <w:t>19,800</w:t>
            </w:r>
          </w:p>
        </w:tc>
        <w:tc>
          <w:tcPr>
            <w:tcW w:w="658" w:type="pct"/>
            <w:tcBorders>
              <w:top w:val="nil"/>
              <w:left w:val="nil"/>
              <w:bottom w:val="nil"/>
              <w:right w:val="nil"/>
            </w:tcBorders>
            <w:shd w:val="clear" w:color="auto" w:fill="auto"/>
            <w:noWrap/>
            <w:hideMark/>
          </w:tcPr>
          <w:p w14:paraId="6CFD7EBD" w14:textId="77777777" w:rsidR="00924C53" w:rsidRPr="00F40671" w:rsidRDefault="00924C53" w:rsidP="00312E88">
            <w:pPr>
              <w:jc w:val="right"/>
              <w:rPr>
                <w:rFonts w:cs="Arial"/>
                <w:color w:val="000000"/>
                <w:sz w:val="18"/>
                <w:szCs w:val="18"/>
              </w:rPr>
            </w:pPr>
            <w:r w:rsidRPr="00F40671">
              <w:rPr>
                <w:rFonts w:cs="Arial"/>
                <w:color w:val="000000"/>
                <w:sz w:val="18"/>
                <w:szCs w:val="18"/>
              </w:rPr>
              <w:t>21,407</w:t>
            </w:r>
          </w:p>
        </w:tc>
        <w:tc>
          <w:tcPr>
            <w:tcW w:w="660" w:type="pct"/>
            <w:tcBorders>
              <w:top w:val="nil"/>
              <w:left w:val="single" w:sz="4" w:space="0" w:color="auto"/>
              <w:bottom w:val="nil"/>
              <w:right w:val="single" w:sz="4" w:space="0" w:color="auto"/>
            </w:tcBorders>
            <w:shd w:val="clear" w:color="auto" w:fill="auto"/>
            <w:noWrap/>
            <w:hideMark/>
          </w:tcPr>
          <w:p w14:paraId="53F3F9D7" w14:textId="77777777" w:rsidR="00924C53" w:rsidRPr="00F40671" w:rsidRDefault="00924C53" w:rsidP="00312E88">
            <w:pPr>
              <w:jc w:val="right"/>
              <w:rPr>
                <w:rFonts w:cs="Arial"/>
                <w:color w:val="000000"/>
                <w:sz w:val="18"/>
                <w:szCs w:val="18"/>
              </w:rPr>
            </w:pPr>
            <w:r w:rsidRPr="00F40671">
              <w:rPr>
                <w:rFonts w:cs="Arial"/>
                <w:color w:val="000000"/>
                <w:sz w:val="18"/>
                <w:szCs w:val="18"/>
              </w:rPr>
              <w:t>30,417</w:t>
            </w:r>
          </w:p>
        </w:tc>
      </w:tr>
      <w:tr w:rsidR="00924C53" w:rsidRPr="00F40671" w14:paraId="5F5F972F"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7EDDDC87"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Social Community Civic</w:t>
            </w:r>
          </w:p>
        </w:tc>
        <w:tc>
          <w:tcPr>
            <w:tcW w:w="658" w:type="pct"/>
            <w:tcBorders>
              <w:top w:val="nil"/>
              <w:left w:val="nil"/>
              <w:bottom w:val="nil"/>
              <w:right w:val="nil"/>
            </w:tcBorders>
            <w:shd w:val="clear" w:color="auto" w:fill="auto"/>
            <w:noWrap/>
            <w:hideMark/>
          </w:tcPr>
          <w:p w14:paraId="206215DD" w14:textId="77777777" w:rsidR="00924C53" w:rsidRPr="00F40671" w:rsidRDefault="00924C53" w:rsidP="00312E88">
            <w:pPr>
              <w:jc w:val="right"/>
              <w:rPr>
                <w:rFonts w:cs="Arial"/>
                <w:color w:val="000000"/>
                <w:sz w:val="18"/>
                <w:szCs w:val="18"/>
              </w:rPr>
            </w:pPr>
            <w:r w:rsidRPr="00F40671">
              <w:rPr>
                <w:rFonts w:cs="Arial"/>
                <w:color w:val="000000"/>
                <w:sz w:val="18"/>
                <w:szCs w:val="18"/>
              </w:rPr>
              <w:t>5,289</w:t>
            </w:r>
          </w:p>
        </w:tc>
        <w:tc>
          <w:tcPr>
            <w:tcW w:w="658" w:type="pct"/>
            <w:tcBorders>
              <w:top w:val="nil"/>
              <w:left w:val="nil"/>
              <w:bottom w:val="nil"/>
              <w:right w:val="nil"/>
            </w:tcBorders>
            <w:shd w:val="clear" w:color="auto" w:fill="auto"/>
            <w:noWrap/>
            <w:hideMark/>
          </w:tcPr>
          <w:p w14:paraId="6DED8BA2" w14:textId="77777777" w:rsidR="00924C53" w:rsidRPr="00F40671" w:rsidRDefault="00924C53" w:rsidP="00312E88">
            <w:pPr>
              <w:jc w:val="right"/>
              <w:rPr>
                <w:rFonts w:cs="Arial"/>
                <w:color w:val="000000"/>
                <w:sz w:val="18"/>
                <w:szCs w:val="18"/>
              </w:rPr>
            </w:pPr>
            <w:r w:rsidRPr="00F40671">
              <w:rPr>
                <w:rFonts w:cs="Arial"/>
                <w:color w:val="000000"/>
                <w:sz w:val="18"/>
                <w:szCs w:val="18"/>
              </w:rPr>
              <w:t>6,184</w:t>
            </w:r>
          </w:p>
        </w:tc>
        <w:tc>
          <w:tcPr>
            <w:tcW w:w="658" w:type="pct"/>
            <w:tcBorders>
              <w:top w:val="nil"/>
              <w:left w:val="nil"/>
              <w:bottom w:val="nil"/>
              <w:right w:val="nil"/>
            </w:tcBorders>
            <w:shd w:val="clear" w:color="auto" w:fill="auto"/>
            <w:noWrap/>
            <w:hideMark/>
          </w:tcPr>
          <w:p w14:paraId="4D12C993" w14:textId="77777777" w:rsidR="00924C53" w:rsidRPr="00F40671" w:rsidRDefault="00924C53" w:rsidP="00312E88">
            <w:pPr>
              <w:jc w:val="right"/>
              <w:rPr>
                <w:rFonts w:cs="Arial"/>
                <w:color w:val="000000"/>
                <w:sz w:val="18"/>
                <w:szCs w:val="18"/>
              </w:rPr>
            </w:pPr>
            <w:r w:rsidRPr="00F40671">
              <w:rPr>
                <w:rFonts w:cs="Arial"/>
                <w:color w:val="000000"/>
                <w:sz w:val="18"/>
                <w:szCs w:val="18"/>
              </w:rPr>
              <w:t>6,994</w:t>
            </w:r>
          </w:p>
        </w:tc>
        <w:tc>
          <w:tcPr>
            <w:tcW w:w="658" w:type="pct"/>
            <w:tcBorders>
              <w:top w:val="nil"/>
              <w:left w:val="nil"/>
              <w:bottom w:val="nil"/>
              <w:right w:val="nil"/>
            </w:tcBorders>
            <w:shd w:val="clear" w:color="auto" w:fill="auto"/>
            <w:noWrap/>
            <w:hideMark/>
          </w:tcPr>
          <w:p w14:paraId="64CBF2D4" w14:textId="77777777" w:rsidR="00924C53" w:rsidRPr="00F40671" w:rsidRDefault="00924C53" w:rsidP="00312E88">
            <w:pPr>
              <w:jc w:val="right"/>
              <w:rPr>
                <w:rFonts w:cs="Arial"/>
                <w:color w:val="000000"/>
                <w:sz w:val="18"/>
                <w:szCs w:val="18"/>
              </w:rPr>
            </w:pPr>
            <w:r w:rsidRPr="00F40671">
              <w:rPr>
                <w:rFonts w:cs="Arial"/>
                <w:color w:val="000000"/>
                <w:sz w:val="18"/>
                <w:szCs w:val="18"/>
              </w:rPr>
              <w:t>7,684</w:t>
            </w:r>
          </w:p>
        </w:tc>
        <w:tc>
          <w:tcPr>
            <w:tcW w:w="660" w:type="pct"/>
            <w:tcBorders>
              <w:top w:val="nil"/>
              <w:left w:val="single" w:sz="4" w:space="0" w:color="auto"/>
              <w:bottom w:val="nil"/>
              <w:right w:val="single" w:sz="4" w:space="0" w:color="auto"/>
            </w:tcBorders>
            <w:shd w:val="clear" w:color="auto" w:fill="auto"/>
            <w:noWrap/>
            <w:hideMark/>
          </w:tcPr>
          <w:p w14:paraId="7F2F9477" w14:textId="77777777" w:rsidR="00924C53" w:rsidRPr="00F40671" w:rsidRDefault="00924C53" w:rsidP="00312E88">
            <w:pPr>
              <w:jc w:val="right"/>
              <w:rPr>
                <w:rFonts w:cs="Arial"/>
                <w:color w:val="000000"/>
                <w:sz w:val="18"/>
                <w:szCs w:val="18"/>
              </w:rPr>
            </w:pPr>
            <w:r w:rsidRPr="00F40671">
              <w:rPr>
                <w:rFonts w:cs="Arial"/>
                <w:color w:val="000000"/>
                <w:sz w:val="18"/>
                <w:szCs w:val="18"/>
              </w:rPr>
              <w:t>11,650</w:t>
            </w:r>
          </w:p>
        </w:tc>
      </w:tr>
      <w:tr w:rsidR="00924C53" w:rsidRPr="00F40671" w14:paraId="5AE260D8"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7137CCF3"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Transport</w:t>
            </w:r>
          </w:p>
        </w:tc>
        <w:tc>
          <w:tcPr>
            <w:tcW w:w="658" w:type="pct"/>
            <w:tcBorders>
              <w:top w:val="nil"/>
              <w:left w:val="nil"/>
              <w:bottom w:val="nil"/>
              <w:right w:val="nil"/>
            </w:tcBorders>
            <w:shd w:val="clear" w:color="auto" w:fill="auto"/>
            <w:noWrap/>
            <w:hideMark/>
          </w:tcPr>
          <w:p w14:paraId="04BE6F2E" w14:textId="77777777" w:rsidR="00924C53" w:rsidRPr="00F40671" w:rsidRDefault="00924C53" w:rsidP="00312E88">
            <w:pPr>
              <w:jc w:val="right"/>
              <w:rPr>
                <w:rFonts w:cs="Arial"/>
                <w:color w:val="000000"/>
                <w:sz w:val="18"/>
                <w:szCs w:val="18"/>
              </w:rPr>
            </w:pPr>
            <w:r w:rsidRPr="00F40671">
              <w:rPr>
                <w:rFonts w:cs="Arial"/>
                <w:color w:val="000000"/>
                <w:sz w:val="18"/>
                <w:szCs w:val="18"/>
              </w:rPr>
              <w:t>881</w:t>
            </w:r>
          </w:p>
        </w:tc>
        <w:tc>
          <w:tcPr>
            <w:tcW w:w="658" w:type="pct"/>
            <w:tcBorders>
              <w:top w:val="nil"/>
              <w:left w:val="nil"/>
              <w:bottom w:val="nil"/>
              <w:right w:val="nil"/>
            </w:tcBorders>
            <w:shd w:val="clear" w:color="auto" w:fill="auto"/>
            <w:noWrap/>
            <w:hideMark/>
          </w:tcPr>
          <w:p w14:paraId="18BBF694" w14:textId="77777777" w:rsidR="00924C53" w:rsidRPr="00F40671" w:rsidRDefault="00924C53" w:rsidP="00312E88">
            <w:pPr>
              <w:jc w:val="right"/>
              <w:rPr>
                <w:rFonts w:cs="Arial"/>
                <w:color w:val="000000"/>
                <w:sz w:val="18"/>
                <w:szCs w:val="18"/>
              </w:rPr>
            </w:pPr>
            <w:r w:rsidRPr="00F40671">
              <w:rPr>
                <w:rFonts w:cs="Arial"/>
                <w:color w:val="000000"/>
                <w:sz w:val="18"/>
                <w:szCs w:val="18"/>
              </w:rPr>
              <w:t>1,059</w:t>
            </w:r>
          </w:p>
        </w:tc>
        <w:tc>
          <w:tcPr>
            <w:tcW w:w="658" w:type="pct"/>
            <w:tcBorders>
              <w:top w:val="nil"/>
              <w:left w:val="nil"/>
              <w:bottom w:val="nil"/>
              <w:right w:val="nil"/>
            </w:tcBorders>
            <w:shd w:val="clear" w:color="auto" w:fill="auto"/>
            <w:noWrap/>
            <w:hideMark/>
          </w:tcPr>
          <w:p w14:paraId="7DEF4E73" w14:textId="77777777" w:rsidR="00924C53" w:rsidRPr="00F40671" w:rsidRDefault="00924C53" w:rsidP="00312E88">
            <w:pPr>
              <w:jc w:val="right"/>
              <w:rPr>
                <w:rFonts w:cs="Arial"/>
                <w:color w:val="000000"/>
                <w:sz w:val="18"/>
                <w:szCs w:val="18"/>
              </w:rPr>
            </w:pPr>
            <w:r w:rsidRPr="00F40671">
              <w:rPr>
                <w:rFonts w:cs="Arial"/>
                <w:color w:val="000000"/>
                <w:sz w:val="18"/>
                <w:szCs w:val="18"/>
              </w:rPr>
              <w:t>1,209</w:t>
            </w:r>
          </w:p>
        </w:tc>
        <w:tc>
          <w:tcPr>
            <w:tcW w:w="658" w:type="pct"/>
            <w:tcBorders>
              <w:top w:val="nil"/>
              <w:left w:val="nil"/>
              <w:bottom w:val="nil"/>
              <w:right w:val="nil"/>
            </w:tcBorders>
            <w:shd w:val="clear" w:color="auto" w:fill="auto"/>
            <w:noWrap/>
            <w:hideMark/>
          </w:tcPr>
          <w:p w14:paraId="60A184F1" w14:textId="77777777" w:rsidR="00924C53" w:rsidRPr="00F40671" w:rsidRDefault="00924C53" w:rsidP="00312E88">
            <w:pPr>
              <w:jc w:val="right"/>
              <w:rPr>
                <w:rFonts w:cs="Arial"/>
                <w:color w:val="000000"/>
                <w:sz w:val="18"/>
                <w:szCs w:val="18"/>
              </w:rPr>
            </w:pPr>
            <w:r w:rsidRPr="00F40671">
              <w:rPr>
                <w:rFonts w:cs="Arial"/>
                <w:color w:val="000000"/>
                <w:sz w:val="18"/>
                <w:szCs w:val="18"/>
              </w:rPr>
              <w:t>1,336</w:t>
            </w:r>
          </w:p>
        </w:tc>
        <w:tc>
          <w:tcPr>
            <w:tcW w:w="660" w:type="pct"/>
            <w:tcBorders>
              <w:top w:val="nil"/>
              <w:left w:val="single" w:sz="4" w:space="0" w:color="auto"/>
              <w:bottom w:val="nil"/>
              <w:right w:val="single" w:sz="4" w:space="0" w:color="auto"/>
            </w:tcBorders>
            <w:shd w:val="clear" w:color="auto" w:fill="auto"/>
            <w:noWrap/>
            <w:hideMark/>
          </w:tcPr>
          <w:p w14:paraId="2F75F26F" w14:textId="77777777" w:rsidR="00924C53" w:rsidRPr="00F40671" w:rsidRDefault="00924C53" w:rsidP="00312E88">
            <w:pPr>
              <w:jc w:val="right"/>
              <w:rPr>
                <w:rFonts w:cs="Arial"/>
                <w:color w:val="000000"/>
                <w:sz w:val="18"/>
                <w:szCs w:val="18"/>
              </w:rPr>
            </w:pPr>
            <w:r w:rsidRPr="00F40671">
              <w:rPr>
                <w:rFonts w:cs="Arial"/>
                <w:color w:val="000000"/>
                <w:sz w:val="18"/>
                <w:szCs w:val="18"/>
              </w:rPr>
              <w:t>1,948</w:t>
            </w:r>
          </w:p>
        </w:tc>
      </w:tr>
      <w:tr w:rsidR="00924C53" w:rsidRPr="00F40671" w14:paraId="29B08F50"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39AA141D"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Consumables</w:t>
            </w:r>
          </w:p>
        </w:tc>
        <w:tc>
          <w:tcPr>
            <w:tcW w:w="658" w:type="pct"/>
            <w:tcBorders>
              <w:top w:val="nil"/>
              <w:left w:val="nil"/>
              <w:bottom w:val="nil"/>
              <w:right w:val="nil"/>
            </w:tcBorders>
            <w:shd w:val="clear" w:color="auto" w:fill="auto"/>
            <w:noWrap/>
            <w:hideMark/>
          </w:tcPr>
          <w:p w14:paraId="4CD2679D" w14:textId="77777777" w:rsidR="00924C53" w:rsidRPr="00F40671" w:rsidRDefault="00924C53" w:rsidP="00312E88">
            <w:pPr>
              <w:jc w:val="right"/>
              <w:rPr>
                <w:rFonts w:cs="Arial"/>
                <w:color w:val="000000"/>
                <w:sz w:val="18"/>
                <w:szCs w:val="18"/>
              </w:rPr>
            </w:pPr>
            <w:r w:rsidRPr="00F40671">
              <w:rPr>
                <w:rFonts w:cs="Arial"/>
                <w:color w:val="000000"/>
                <w:sz w:val="18"/>
                <w:szCs w:val="18"/>
              </w:rPr>
              <w:t>532</w:t>
            </w:r>
          </w:p>
        </w:tc>
        <w:tc>
          <w:tcPr>
            <w:tcW w:w="658" w:type="pct"/>
            <w:tcBorders>
              <w:top w:val="nil"/>
              <w:left w:val="nil"/>
              <w:bottom w:val="nil"/>
              <w:right w:val="nil"/>
            </w:tcBorders>
            <w:shd w:val="clear" w:color="auto" w:fill="auto"/>
            <w:noWrap/>
            <w:hideMark/>
          </w:tcPr>
          <w:p w14:paraId="3EDDCC06" w14:textId="77777777" w:rsidR="00924C53" w:rsidRPr="00F40671" w:rsidRDefault="00924C53" w:rsidP="00312E88">
            <w:pPr>
              <w:jc w:val="right"/>
              <w:rPr>
                <w:rFonts w:cs="Arial"/>
                <w:color w:val="000000"/>
                <w:sz w:val="18"/>
                <w:szCs w:val="18"/>
              </w:rPr>
            </w:pPr>
            <w:r w:rsidRPr="00F40671">
              <w:rPr>
                <w:rFonts w:cs="Arial"/>
                <w:color w:val="000000"/>
                <w:sz w:val="18"/>
                <w:szCs w:val="18"/>
              </w:rPr>
              <w:t>616</w:t>
            </w:r>
          </w:p>
        </w:tc>
        <w:tc>
          <w:tcPr>
            <w:tcW w:w="658" w:type="pct"/>
            <w:tcBorders>
              <w:top w:val="nil"/>
              <w:left w:val="nil"/>
              <w:bottom w:val="nil"/>
              <w:right w:val="nil"/>
            </w:tcBorders>
            <w:shd w:val="clear" w:color="auto" w:fill="auto"/>
            <w:noWrap/>
            <w:hideMark/>
          </w:tcPr>
          <w:p w14:paraId="5DE8E1C9" w14:textId="77777777" w:rsidR="00924C53" w:rsidRPr="00F40671" w:rsidRDefault="00924C53" w:rsidP="00312E88">
            <w:pPr>
              <w:jc w:val="right"/>
              <w:rPr>
                <w:rFonts w:cs="Arial"/>
                <w:color w:val="000000"/>
                <w:sz w:val="18"/>
                <w:szCs w:val="18"/>
              </w:rPr>
            </w:pPr>
            <w:r w:rsidRPr="00F40671">
              <w:rPr>
                <w:rFonts w:cs="Arial"/>
                <w:color w:val="000000"/>
                <w:sz w:val="18"/>
                <w:szCs w:val="18"/>
              </w:rPr>
              <w:t>689</w:t>
            </w:r>
          </w:p>
        </w:tc>
        <w:tc>
          <w:tcPr>
            <w:tcW w:w="658" w:type="pct"/>
            <w:tcBorders>
              <w:top w:val="nil"/>
              <w:left w:val="nil"/>
              <w:bottom w:val="nil"/>
              <w:right w:val="nil"/>
            </w:tcBorders>
            <w:shd w:val="clear" w:color="auto" w:fill="auto"/>
            <w:noWrap/>
            <w:hideMark/>
          </w:tcPr>
          <w:p w14:paraId="4A2AD388" w14:textId="77777777" w:rsidR="00924C53" w:rsidRPr="00F40671" w:rsidRDefault="00924C53" w:rsidP="00312E88">
            <w:pPr>
              <w:jc w:val="right"/>
              <w:rPr>
                <w:rFonts w:cs="Arial"/>
                <w:color w:val="000000"/>
                <w:sz w:val="18"/>
                <w:szCs w:val="18"/>
              </w:rPr>
            </w:pPr>
            <w:r w:rsidRPr="00F40671">
              <w:rPr>
                <w:rFonts w:cs="Arial"/>
                <w:color w:val="000000"/>
                <w:sz w:val="18"/>
                <w:szCs w:val="18"/>
              </w:rPr>
              <w:t>747</w:t>
            </w:r>
          </w:p>
        </w:tc>
        <w:tc>
          <w:tcPr>
            <w:tcW w:w="660" w:type="pct"/>
            <w:tcBorders>
              <w:top w:val="nil"/>
              <w:left w:val="single" w:sz="4" w:space="0" w:color="auto"/>
              <w:bottom w:val="nil"/>
              <w:right w:val="single" w:sz="4" w:space="0" w:color="auto"/>
            </w:tcBorders>
            <w:shd w:val="clear" w:color="auto" w:fill="auto"/>
            <w:noWrap/>
            <w:hideMark/>
          </w:tcPr>
          <w:p w14:paraId="6801D761" w14:textId="77777777" w:rsidR="00924C53" w:rsidRPr="00F40671" w:rsidRDefault="00924C53" w:rsidP="00312E88">
            <w:pPr>
              <w:jc w:val="right"/>
              <w:rPr>
                <w:rFonts w:cs="Arial"/>
                <w:color w:val="000000"/>
                <w:sz w:val="18"/>
                <w:szCs w:val="18"/>
              </w:rPr>
            </w:pPr>
            <w:r w:rsidRPr="00F40671">
              <w:rPr>
                <w:rFonts w:cs="Arial"/>
                <w:color w:val="000000"/>
                <w:sz w:val="18"/>
                <w:szCs w:val="18"/>
              </w:rPr>
              <w:t>990</w:t>
            </w:r>
          </w:p>
        </w:tc>
      </w:tr>
      <w:tr w:rsidR="00924C53" w:rsidRPr="00F40671" w14:paraId="7108E4BA"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7576B931" w14:textId="77777777" w:rsidR="00924C53" w:rsidRPr="00F40671" w:rsidRDefault="00924C53" w:rsidP="00312E88">
            <w:pPr>
              <w:rPr>
                <w:rFonts w:cs="Arial"/>
                <w:b/>
                <w:bCs/>
                <w:color w:val="000000"/>
                <w:sz w:val="18"/>
                <w:szCs w:val="18"/>
              </w:rPr>
            </w:pPr>
            <w:r w:rsidRPr="00F40671">
              <w:rPr>
                <w:rFonts w:cs="Arial"/>
                <w:b/>
                <w:bCs/>
                <w:color w:val="000000"/>
                <w:sz w:val="18"/>
                <w:szCs w:val="18"/>
              </w:rPr>
              <w:t>Capital</w:t>
            </w:r>
          </w:p>
        </w:tc>
        <w:tc>
          <w:tcPr>
            <w:tcW w:w="658" w:type="pct"/>
            <w:tcBorders>
              <w:top w:val="nil"/>
              <w:left w:val="nil"/>
              <w:bottom w:val="nil"/>
              <w:right w:val="nil"/>
            </w:tcBorders>
            <w:shd w:val="clear" w:color="auto" w:fill="auto"/>
            <w:noWrap/>
            <w:hideMark/>
          </w:tcPr>
          <w:p w14:paraId="66AB716D" w14:textId="77777777" w:rsidR="00924C53" w:rsidRPr="00F40671" w:rsidRDefault="00924C53" w:rsidP="00312E88">
            <w:pPr>
              <w:rPr>
                <w:rFonts w:cs="Arial"/>
                <w:b/>
                <w:bCs/>
                <w:color w:val="000000"/>
                <w:sz w:val="18"/>
                <w:szCs w:val="18"/>
              </w:rPr>
            </w:pPr>
          </w:p>
        </w:tc>
        <w:tc>
          <w:tcPr>
            <w:tcW w:w="658" w:type="pct"/>
            <w:tcBorders>
              <w:top w:val="nil"/>
              <w:left w:val="nil"/>
              <w:bottom w:val="nil"/>
              <w:right w:val="nil"/>
            </w:tcBorders>
            <w:shd w:val="clear" w:color="auto" w:fill="auto"/>
            <w:noWrap/>
            <w:hideMark/>
          </w:tcPr>
          <w:p w14:paraId="5A2B60B3" w14:textId="77777777" w:rsidR="00924C53" w:rsidRPr="00F40671" w:rsidRDefault="00924C53" w:rsidP="00312E88">
            <w:pPr>
              <w:rPr>
                <w:sz w:val="18"/>
                <w:szCs w:val="18"/>
              </w:rPr>
            </w:pPr>
          </w:p>
        </w:tc>
        <w:tc>
          <w:tcPr>
            <w:tcW w:w="658" w:type="pct"/>
            <w:tcBorders>
              <w:top w:val="nil"/>
              <w:left w:val="nil"/>
              <w:bottom w:val="nil"/>
              <w:right w:val="nil"/>
            </w:tcBorders>
            <w:shd w:val="clear" w:color="auto" w:fill="auto"/>
            <w:noWrap/>
            <w:hideMark/>
          </w:tcPr>
          <w:p w14:paraId="4D29A7C4" w14:textId="77777777" w:rsidR="00924C53" w:rsidRPr="00F40671" w:rsidRDefault="00924C53" w:rsidP="00312E88">
            <w:pPr>
              <w:rPr>
                <w:sz w:val="18"/>
                <w:szCs w:val="18"/>
              </w:rPr>
            </w:pPr>
          </w:p>
        </w:tc>
        <w:tc>
          <w:tcPr>
            <w:tcW w:w="658" w:type="pct"/>
            <w:tcBorders>
              <w:top w:val="nil"/>
              <w:left w:val="nil"/>
              <w:bottom w:val="nil"/>
              <w:right w:val="nil"/>
            </w:tcBorders>
            <w:shd w:val="clear" w:color="auto" w:fill="auto"/>
            <w:noWrap/>
            <w:hideMark/>
          </w:tcPr>
          <w:p w14:paraId="5215E3E4" w14:textId="77777777" w:rsidR="00924C53" w:rsidRPr="00F40671" w:rsidRDefault="00924C53" w:rsidP="00312E88">
            <w:pPr>
              <w:rPr>
                <w:sz w:val="18"/>
                <w:szCs w:val="18"/>
              </w:rPr>
            </w:pPr>
          </w:p>
        </w:tc>
        <w:tc>
          <w:tcPr>
            <w:tcW w:w="660" w:type="pct"/>
            <w:tcBorders>
              <w:top w:val="nil"/>
              <w:left w:val="single" w:sz="4" w:space="0" w:color="auto"/>
              <w:bottom w:val="nil"/>
              <w:right w:val="single" w:sz="4" w:space="0" w:color="auto"/>
            </w:tcBorders>
            <w:shd w:val="clear" w:color="auto" w:fill="auto"/>
            <w:noWrap/>
            <w:hideMark/>
          </w:tcPr>
          <w:p w14:paraId="2CD48BEE" w14:textId="77777777" w:rsidR="00924C53" w:rsidRPr="00F40671" w:rsidRDefault="00924C53" w:rsidP="00312E88">
            <w:pPr>
              <w:rPr>
                <w:rFonts w:cs="Arial"/>
                <w:color w:val="000000"/>
                <w:sz w:val="18"/>
                <w:szCs w:val="18"/>
              </w:rPr>
            </w:pPr>
            <w:r w:rsidRPr="00F40671">
              <w:rPr>
                <w:rFonts w:cs="Arial"/>
                <w:color w:val="000000"/>
                <w:sz w:val="18"/>
                <w:szCs w:val="18"/>
              </w:rPr>
              <w:t> </w:t>
            </w:r>
          </w:p>
        </w:tc>
      </w:tr>
      <w:tr w:rsidR="00924C53" w:rsidRPr="00F40671" w14:paraId="5CF04A8E"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7D3BA768"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Assistive Technology</w:t>
            </w:r>
          </w:p>
        </w:tc>
        <w:tc>
          <w:tcPr>
            <w:tcW w:w="658" w:type="pct"/>
            <w:tcBorders>
              <w:top w:val="nil"/>
              <w:left w:val="nil"/>
              <w:bottom w:val="nil"/>
              <w:right w:val="nil"/>
            </w:tcBorders>
            <w:shd w:val="clear" w:color="auto" w:fill="auto"/>
            <w:noWrap/>
            <w:hideMark/>
          </w:tcPr>
          <w:p w14:paraId="74923A16" w14:textId="77777777" w:rsidR="00924C53" w:rsidRPr="00F40671" w:rsidRDefault="00924C53" w:rsidP="00312E88">
            <w:pPr>
              <w:jc w:val="right"/>
              <w:rPr>
                <w:rFonts w:cs="Arial"/>
                <w:color w:val="000000"/>
                <w:sz w:val="18"/>
                <w:szCs w:val="18"/>
              </w:rPr>
            </w:pPr>
            <w:r w:rsidRPr="00F40671">
              <w:rPr>
                <w:rFonts w:cs="Arial"/>
                <w:color w:val="000000"/>
                <w:sz w:val="18"/>
                <w:szCs w:val="18"/>
              </w:rPr>
              <w:t>552</w:t>
            </w:r>
          </w:p>
        </w:tc>
        <w:tc>
          <w:tcPr>
            <w:tcW w:w="658" w:type="pct"/>
            <w:tcBorders>
              <w:top w:val="nil"/>
              <w:left w:val="nil"/>
              <w:bottom w:val="nil"/>
              <w:right w:val="nil"/>
            </w:tcBorders>
            <w:shd w:val="clear" w:color="auto" w:fill="auto"/>
            <w:noWrap/>
            <w:hideMark/>
          </w:tcPr>
          <w:p w14:paraId="28CB6132" w14:textId="77777777" w:rsidR="00924C53" w:rsidRPr="00F40671" w:rsidRDefault="00924C53" w:rsidP="00312E88">
            <w:pPr>
              <w:jc w:val="right"/>
              <w:rPr>
                <w:rFonts w:cs="Arial"/>
                <w:color w:val="000000"/>
                <w:sz w:val="18"/>
                <w:szCs w:val="18"/>
              </w:rPr>
            </w:pPr>
            <w:r w:rsidRPr="00F40671">
              <w:rPr>
                <w:rFonts w:cs="Arial"/>
                <w:color w:val="000000"/>
                <w:sz w:val="18"/>
                <w:szCs w:val="18"/>
              </w:rPr>
              <w:t>634</w:t>
            </w:r>
          </w:p>
        </w:tc>
        <w:tc>
          <w:tcPr>
            <w:tcW w:w="658" w:type="pct"/>
            <w:tcBorders>
              <w:top w:val="nil"/>
              <w:left w:val="nil"/>
              <w:bottom w:val="nil"/>
              <w:right w:val="nil"/>
            </w:tcBorders>
            <w:shd w:val="clear" w:color="auto" w:fill="auto"/>
            <w:noWrap/>
            <w:hideMark/>
          </w:tcPr>
          <w:p w14:paraId="1D5C70BE" w14:textId="77777777" w:rsidR="00924C53" w:rsidRPr="00F40671" w:rsidRDefault="00924C53" w:rsidP="00312E88">
            <w:pPr>
              <w:jc w:val="right"/>
              <w:rPr>
                <w:rFonts w:cs="Arial"/>
                <w:color w:val="000000"/>
                <w:sz w:val="18"/>
                <w:szCs w:val="18"/>
              </w:rPr>
            </w:pPr>
            <w:r w:rsidRPr="00F40671">
              <w:rPr>
                <w:rFonts w:cs="Arial"/>
                <w:color w:val="000000"/>
                <w:sz w:val="18"/>
                <w:szCs w:val="18"/>
              </w:rPr>
              <w:t>705</w:t>
            </w:r>
          </w:p>
        </w:tc>
        <w:tc>
          <w:tcPr>
            <w:tcW w:w="658" w:type="pct"/>
            <w:tcBorders>
              <w:top w:val="nil"/>
              <w:left w:val="nil"/>
              <w:bottom w:val="nil"/>
              <w:right w:val="nil"/>
            </w:tcBorders>
            <w:shd w:val="clear" w:color="auto" w:fill="auto"/>
            <w:noWrap/>
            <w:hideMark/>
          </w:tcPr>
          <w:p w14:paraId="7E5DD7A0" w14:textId="77777777" w:rsidR="00924C53" w:rsidRPr="00F40671" w:rsidRDefault="00924C53" w:rsidP="00312E88">
            <w:pPr>
              <w:jc w:val="right"/>
              <w:rPr>
                <w:rFonts w:cs="Arial"/>
                <w:color w:val="000000"/>
                <w:sz w:val="18"/>
                <w:szCs w:val="18"/>
              </w:rPr>
            </w:pPr>
            <w:r w:rsidRPr="00F40671">
              <w:rPr>
                <w:rFonts w:cs="Arial"/>
                <w:color w:val="000000"/>
                <w:sz w:val="18"/>
                <w:szCs w:val="18"/>
              </w:rPr>
              <w:t>758</w:t>
            </w:r>
          </w:p>
        </w:tc>
        <w:tc>
          <w:tcPr>
            <w:tcW w:w="660" w:type="pct"/>
            <w:tcBorders>
              <w:top w:val="nil"/>
              <w:left w:val="single" w:sz="4" w:space="0" w:color="auto"/>
              <w:bottom w:val="nil"/>
              <w:right w:val="single" w:sz="4" w:space="0" w:color="auto"/>
            </w:tcBorders>
            <w:shd w:val="clear" w:color="auto" w:fill="auto"/>
            <w:noWrap/>
            <w:hideMark/>
          </w:tcPr>
          <w:p w14:paraId="71261493" w14:textId="77777777" w:rsidR="00924C53" w:rsidRPr="00F40671" w:rsidRDefault="00924C53" w:rsidP="00312E88">
            <w:pPr>
              <w:jc w:val="right"/>
              <w:rPr>
                <w:rFonts w:cs="Arial"/>
                <w:color w:val="000000"/>
                <w:sz w:val="18"/>
                <w:szCs w:val="18"/>
              </w:rPr>
            </w:pPr>
            <w:r w:rsidRPr="00F40671">
              <w:rPr>
                <w:rFonts w:cs="Arial"/>
                <w:color w:val="000000"/>
                <w:sz w:val="18"/>
                <w:szCs w:val="18"/>
              </w:rPr>
              <w:t>972</w:t>
            </w:r>
          </w:p>
        </w:tc>
      </w:tr>
      <w:tr w:rsidR="00924C53" w:rsidRPr="00F40671" w14:paraId="21B4815B"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09690CDF"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Home Modifications</w:t>
            </w:r>
          </w:p>
        </w:tc>
        <w:tc>
          <w:tcPr>
            <w:tcW w:w="658" w:type="pct"/>
            <w:tcBorders>
              <w:top w:val="nil"/>
              <w:left w:val="nil"/>
              <w:bottom w:val="nil"/>
              <w:right w:val="nil"/>
            </w:tcBorders>
            <w:shd w:val="clear" w:color="auto" w:fill="auto"/>
            <w:noWrap/>
            <w:hideMark/>
          </w:tcPr>
          <w:p w14:paraId="1E1F6DFA" w14:textId="77777777" w:rsidR="00924C53" w:rsidRPr="00F40671" w:rsidRDefault="00924C53" w:rsidP="00312E88">
            <w:pPr>
              <w:jc w:val="right"/>
              <w:rPr>
                <w:rFonts w:cs="Arial"/>
                <w:color w:val="000000"/>
                <w:sz w:val="18"/>
                <w:szCs w:val="18"/>
              </w:rPr>
            </w:pPr>
            <w:r w:rsidRPr="00F40671">
              <w:rPr>
                <w:rFonts w:cs="Arial"/>
                <w:color w:val="000000"/>
                <w:sz w:val="18"/>
                <w:szCs w:val="18"/>
              </w:rPr>
              <w:t>311</w:t>
            </w:r>
          </w:p>
        </w:tc>
        <w:tc>
          <w:tcPr>
            <w:tcW w:w="658" w:type="pct"/>
            <w:tcBorders>
              <w:top w:val="nil"/>
              <w:left w:val="nil"/>
              <w:bottom w:val="nil"/>
              <w:right w:val="nil"/>
            </w:tcBorders>
            <w:shd w:val="clear" w:color="auto" w:fill="auto"/>
            <w:noWrap/>
            <w:hideMark/>
          </w:tcPr>
          <w:p w14:paraId="36CAD4AE" w14:textId="77777777" w:rsidR="00924C53" w:rsidRPr="00F40671" w:rsidRDefault="00924C53" w:rsidP="00312E88">
            <w:pPr>
              <w:jc w:val="right"/>
              <w:rPr>
                <w:rFonts w:cs="Arial"/>
                <w:color w:val="000000"/>
                <w:sz w:val="18"/>
                <w:szCs w:val="18"/>
              </w:rPr>
            </w:pPr>
            <w:r w:rsidRPr="00F40671">
              <w:rPr>
                <w:rFonts w:cs="Arial"/>
                <w:color w:val="000000"/>
                <w:sz w:val="18"/>
                <w:szCs w:val="18"/>
              </w:rPr>
              <w:t>372</w:t>
            </w:r>
          </w:p>
        </w:tc>
        <w:tc>
          <w:tcPr>
            <w:tcW w:w="658" w:type="pct"/>
            <w:tcBorders>
              <w:top w:val="nil"/>
              <w:left w:val="nil"/>
              <w:bottom w:val="nil"/>
              <w:right w:val="nil"/>
            </w:tcBorders>
            <w:shd w:val="clear" w:color="auto" w:fill="auto"/>
            <w:noWrap/>
            <w:hideMark/>
          </w:tcPr>
          <w:p w14:paraId="1E4DEE48" w14:textId="77777777" w:rsidR="00924C53" w:rsidRPr="00F40671" w:rsidRDefault="00924C53" w:rsidP="00312E88">
            <w:pPr>
              <w:jc w:val="right"/>
              <w:rPr>
                <w:rFonts w:cs="Arial"/>
                <w:color w:val="000000"/>
                <w:sz w:val="18"/>
                <w:szCs w:val="18"/>
              </w:rPr>
            </w:pPr>
            <w:r w:rsidRPr="00F40671">
              <w:rPr>
                <w:rFonts w:cs="Arial"/>
                <w:color w:val="000000"/>
                <w:sz w:val="18"/>
                <w:szCs w:val="18"/>
              </w:rPr>
              <w:t>419</w:t>
            </w:r>
          </w:p>
        </w:tc>
        <w:tc>
          <w:tcPr>
            <w:tcW w:w="658" w:type="pct"/>
            <w:tcBorders>
              <w:top w:val="nil"/>
              <w:left w:val="nil"/>
              <w:bottom w:val="nil"/>
              <w:right w:val="nil"/>
            </w:tcBorders>
            <w:shd w:val="clear" w:color="auto" w:fill="auto"/>
            <w:noWrap/>
            <w:hideMark/>
          </w:tcPr>
          <w:p w14:paraId="2EBAF62E" w14:textId="77777777" w:rsidR="00924C53" w:rsidRPr="00F40671" w:rsidRDefault="00924C53" w:rsidP="00312E88">
            <w:pPr>
              <w:jc w:val="right"/>
              <w:rPr>
                <w:rFonts w:cs="Arial"/>
                <w:color w:val="000000"/>
                <w:sz w:val="18"/>
                <w:szCs w:val="18"/>
              </w:rPr>
            </w:pPr>
            <w:r w:rsidRPr="00F40671">
              <w:rPr>
                <w:rFonts w:cs="Arial"/>
                <w:color w:val="000000"/>
                <w:sz w:val="18"/>
                <w:szCs w:val="18"/>
              </w:rPr>
              <w:t>446</w:t>
            </w:r>
          </w:p>
        </w:tc>
        <w:tc>
          <w:tcPr>
            <w:tcW w:w="660" w:type="pct"/>
            <w:tcBorders>
              <w:top w:val="nil"/>
              <w:left w:val="single" w:sz="4" w:space="0" w:color="auto"/>
              <w:bottom w:val="nil"/>
              <w:right w:val="single" w:sz="4" w:space="0" w:color="auto"/>
            </w:tcBorders>
            <w:shd w:val="clear" w:color="auto" w:fill="auto"/>
            <w:noWrap/>
            <w:hideMark/>
          </w:tcPr>
          <w:p w14:paraId="55831B20" w14:textId="77777777" w:rsidR="00924C53" w:rsidRPr="00F40671" w:rsidRDefault="00924C53" w:rsidP="00312E88">
            <w:pPr>
              <w:jc w:val="right"/>
              <w:rPr>
                <w:rFonts w:cs="Arial"/>
                <w:color w:val="000000"/>
                <w:sz w:val="18"/>
                <w:szCs w:val="18"/>
              </w:rPr>
            </w:pPr>
            <w:r w:rsidRPr="00F40671">
              <w:rPr>
                <w:rFonts w:cs="Arial"/>
                <w:color w:val="000000"/>
                <w:sz w:val="18"/>
                <w:szCs w:val="18"/>
              </w:rPr>
              <w:t>579</w:t>
            </w:r>
          </w:p>
        </w:tc>
      </w:tr>
      <w:tr w:rsidR="00924C53" w:rsidRPr="00F40671" w14:paraId="06B6A2F2"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24D334A9" w14:textId="77777777" w:rsidR="00924C53" w:rsidRPr="00F40671" w:rsidRDefault="00924C53" w:rsidP="00312E88">
            <w:pPr>
              <w:rPr>
                <w:rFonts w:cs="Arial"/>
                <w:b/>
                <w:bCs/>
                <w:color w:val="000000"/>
                <w:sz w:val="18"/>
                <w:szCs w:val="18"/>
              </w:rPr>
            </w:pPr>
            <w:r w:rsidRPr="00F40671">
              <w:rPr>
                <w:rFonts w:cs="Arial"/>
                <w:b/>
                <w:bCs/>
                <w:color w:val="000000"/>
                <w:sz w:val="18"/>
                <w:szCs w:val="18"/>
              </w:rPr>
              <w:t>Capacity Building</w:t>
            </w:r>
          </w:p>
        </w:tc>
        <w:tc>
          <w:tcPr>
            <w:tcW w:w="658" w:type="pct"/>
            <w:tcBorders>
              <w:top w:val="nil"/>
              <w:left w:val="nil"/>
              <w:bottom w:val="nil"/>
              <w:right w:val="nil"/>
            </w:tcBorders>
            <w:shd w:val="clear" w:color="auto" w:fill="auto"/>
            <w:noWrap/>
            <w:hideMark/>
          </w:tcPr>
          <w:p w14:paraId="5597FE80" w14:textId="77777777" w:rsidR="00924C53" w:rsidRPr="00F40671" w:rsidRDefault="00924C53" w:rsidP="00312E88">
            <w:pPr>
              <w:rPr>
                <w:rFonts w:cs="Arial"/>
                <w:b/>
                <w:bCs/>
                <w:color w:val="000000"/>
                <w:sz w:val="18"/>
                <w:szCs w:val="18"/>
              </w:rPr>
            </w:pPr>
          </w:p>
        </w:tc>
        <w:tc>
          <w:tcPr>
            <w:tcW w:w="658" w:type="pct"/>
            <w:tcBorders>
              <w:top w:val="nil"/>
              <w:left w:val="nil"/>
              <w:bottom w:val="nil"/>
              <w:right w:val="nil"/>
            </w:tcBorders>
            <w:shd w:val="clear" w:color="auto" w:fill="auto"/>
            <w:noWrap/>
            <w:hideMark/>
          </w:tcPr>
          <w:p w14:paraId="430B5CCD" w14:textId="77777777" w:rsidR="00924C53" w:rsidRPr="00F40671" w:rsidRDefault="00924C53" w:rsidP="00312E88">
            <w:pPr>
              <w:rPr>
                <w:sz w:val="18"/>
                <w:szCs w:val="18"/>
              </w:rPr>
            </w:pPr>
          </w:p>
        </w:tc>
        <w:tc>
          <w:tcPr>
            <w:tcW w:w="658" w:type="pct"/>
            <w:tcBorders>
              <w:top w:val="nil"/>
              <w:left w:val="nil"/>
              <w:bottom w:val="nil"/>
              <w:right w:val="nil"/>
            </w:tcBorders>
            <w:shd w:val="clear" w:color="auto" w:fill="auto"/>
            <w:noWrap/>
            <w:hideMark/>
          </w:tcPr>
          <w:p w14:paraId="25F3F852" w14:textId="77777777" w:rsidR="00924C53" w:rsidRPr="00F40671" w:rsidRDefault="00924C53" w:rsidP="00312E88">
            <w:pPr>
              <w:rPr>
                <w:sz w:val="18"/>
                <w:szCs w:val="18"/>
              </w:rPr>
            </w:pPr>
          </w:p>
        </w:tc>
        <w:tc>
          <w:tcPr>
            <w:tcW w:w="658" w:type="pct"/>
            <w:tcBorders>
              <w:top w:val="nil"/>
              <w:left w:val="nil"/>
              <w:bottom w:val="nil"/>
              <w:right w:val="nil"/>
            </w:tcBorders>
            <w:shd w:val="clear" w:color="auto" w:fill="auto"/>
            <w:noWrap/>
            <w:hideMark/>
          </w:tcPr>
          <w:p w14:paraId="1B8A1F15" w14:textId="77777777" w:rsidR="00924C53" w:rsidRPr="00F40671" w:rsidRDefault="00924C53" w:rsidP="00312E88">
            <w:pPr>
              <w:rPr>
                <w:sz w:val="18"/>
                <w:szCs w:val="18"/>
              </w:rPr>
            </w:pPr>
          </w:p>
        </w:tc>
        <w:tc>
          <w:tcPr>
            <w:tcW w:w="660" w:type="pct"/>
            <w:tcBorders>
              <w:top w:val="nil"/>
              <w:left w:val="single" w:sz="4" w:space="0" w:color="auto"/>
              <w:bottom w:val="nil"/>
              <w:right w:val="single" w:sz="4" w:space="0" w:color="auto"/>
            </w:tcBorders>
            <w:shd w:val="clear" w:color="auto" w:fill="auto"/>
            <w:noWrap/>
            <w:hideMark/>
          </w:tcPr>
          <w:p w14:paraId="1CD73270" w14:textId="77777777" w:rsidR="00924C53" w:rsidRPr="00F40671" w:rsidRDefault="00924C53" w:rsidP="00312E88">
            <w:pPr>
              <w:rPr>
                <w:rFonts w:cs="Arial"/>
                <w:color w:val="000000"/>
                <w:sz w:val="18"/>
                <w:szCs w:val="18"/>
              </w:rPr>
            </w:pPr>
            <w:r w:rsidRPr="00F40671">
              <w:rPr>
                <w:rFonts w:cs="Arial"/>
                <w:color w:val="000000"/>
                <w:sz w:val="18"/>
                <w:szCs w:val="18"/>
              </w:rPr>
              <w:t> </w:t>
            </w:r>
          </w:p>
        </w:tc>
      </w:tr>
      <w:tr w:rsidR="00924C53" w:rsidRPr="00F40671" w14:paraId="7790B928"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2795D07E"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CB Daily Activities</w:t>
            </w:r>
          </w:p>
        </w:tc>
        <w:tc>
          <w:tcPr>
            <w:tcW w:w="658" w:type="pct"/>
            <w:tcBorders>
              <w:top w:val="nil"/>
              <w:left w:val="nil"/>
              <w:bottom w:val="nil"/>
              <w:right w:val="nil"/>
            </w:tcBorders>
            <w:shd w:val="clear" w:color="auto" w:fill="auto"/>
            <w:noWrap/>
            <w:hideMark/>
          </w:tcPr>
          <w:p w14:paraId="396C3C8D" w14:textId="77777777" w:rsidR="00924C53" w:rsidRPr="00F40671" w:rsidRDefault="00924C53" w:rsidP="00312E88">
            <w:pPr>
              <w:jc w:val="right"/>
              <w:rPr>
                <w:rFonts w:cs="Arial"/>
                <w:color w:val="000000"/>
                <w:sz w:val="18"/>
                <w:szCs w:val="18"/>
              </w:rPr>
            </w:pPr>
            <w:r w:rsidRPr="00F40671">
              <w:rPr>
                <w:rFonts w:cs="Arial"/>
                <w:color w:val="000000"/>
                <w:sz w:val="18"/>
                <w:szCs w:val="18"/>
              </w:rPr>
              <w:t>3,517</w:t>
            </w:r>
          </w:p>
        </w:tc>
        <w:tc>
          <w:tcPr>
            <w:tcW w:w="658" w:type="pct"/>
            <w:tcBorders>
              <w:top w:val="nil"/>
              <w:left w:val="nil"/>
              <w:bottom w:val="nil"/>
              <w:right w:val="nil"/>
            </w:tcBorders>
            <w:shd w:val="clear" w:color="auto" w:fill="auto"/>
            <w:noWrap/>
            <w:hideMark/>
          </w:tcPr>
          <w:p w14:paraId="085BD1B5" w14:textId="77777777" w:rsidR="00924C53" w:rsidRPr="00F40671" w:rsidRDefault="00924C53" w:rsidP="00312E88">
            <w:pPr>
              <w:jc w:val="right"/>
              <w:rPr>
                <w:rFonts w:cs="Arial"/>
                <w:color w:val="000000"/>
                <w:sz w:val="18"/>
                <w:szCs w:val="18"/>
              </w:rPr>
            </w:pPr>
            <w:r w:rsidRPr="00F40671">
              <w:rPr>
                <w:rFonts w:cs="Arial"/>
                <w:color w:val="000000"/>
                <w:sz w:val="18"/>
                <w:szCs w:val="18"/>
              </w:rPr>
              <w:t>4,191</w:t>
            </w:r>
          </w:p>
        </w:tc>
        <w:tc>
          <w:tcPr>
            <w:tcW w:w="658" w:type="pct"/>
            <w:tcBorders>
              <w:top w:val="nil"/>
              <w:left w:val="nil"/>
              <w:bottom w:val="nil"/>
              <w:right w:val="nil"/>
            </w:tcBorders>
            <w:shd w:val="clear" w:color="auto" w:fill="auto"/>
            <w:noWrap/>
            <w:hideMark/>
          </w:tcPr>
          <w:p w14:paraId="4588B01F" w14:textId="77777777" w:rsidR="00924C53" w:rsidRPr="00F40671" w:rsidRDefault="00924C53" w:rsidP="00312E88">
            <w:pPr>
              <w:jc w:val="right"/>
              <w:rPr>
                <w:rFonts w:cs="Arial"/>
                <w:color w:val="000000"/>
                <w:sz w:val="18"/>
                <w:szCs w:val="18"/>
              </w:rPr>
            </w:pPr>
            <w:r w:rsidRPr="00F40671">
              <w:rPr>
                <w:rFonts w:cs="Arial"/>
                <w:color w:val="000000"/>
                <w:sz w:val="18"/>
                <w:szCs w:val="18"/>
              </w:rPr>
              <w:t>4,796</w:t>
            </w:r>
          </w:p>
        </w:tc>
        <w:tc>
          <w:tcPr>
            <w:tcW w:w="658" w:type="pct"/>
            <w:tcBorders>
              <w:top w:val="nil"/>
              <w:left w:val="nil"/>
              <w:bottom w:val="nil"/>
              <w:right w:val="nil"/>
            </w:tcBorders>
            <w:shd w:val="clear" w:color="auto" w:fill="auto"/>
            <w:noWrap/>
            <w:hideMark/>
          </w:tcPr>
          <w:p w14:paraId="27D964EA" w14:textId="77777777" w:rsidR="00924C53" w:rsidRPr="00F40671" w:rsidRDefault="00924C53" w:rsidP="00312E88">
            <w:pPr>
              <w:jc w:val="right"/>
              <w:rPr>
                <w:rFonts w:cs="Arial"/>
                <w:color w:val="000000"/>
                <w:sz w:val="18"/>
                <w:szCs w:val="18"/>
              </w:rPr>
            </w:pPr>
            <w:r w:rsidRPr="00F40671">
              <w:rPr>
                <w:rFonts w:cs="Arial"/>
                <w:color w:val="000000"/>
                <w:sz w:val="18"/>
                <w:szCs w:val="18"/>
              </w:rPr>
              <w:t>5,279</w:t>
            </w:r>
          </w:p>
        </w:tc>
        <w:tc>
          <w:tcPr>
            <w:tcW w:w="660" w:type="pct"/>
            <w:tcBorders>
              <w:top w:val="nil"/>
              <w:left w:val="single" w:sz="4" w:space="0" w:color="auto"/>
              <w:bottom w:val="nil"/>
              <w:right w:val="single" w:sz="4" w:space="0" w:color="auto"/>
            </w:tcBorders>
            <w:shd w:val="clear" w:color="auto" w:fill="auto"/>
            <w:noWrap/>
            <w:hideMark/>
          </w:tcPr>
          <w:p w14:paraId="5A011BB4" w14:textId="77777777" w:rsidR="00924C53" w:rsidRPr="00F40671" w:rsidRDefault="00924C53" w:rsidP="00312E88">
            <w:pPr>
              <w:jc w:val="right"/>
              <w:rPr>
                <w:rFonts w:cs="Arial"/>
                <w:color w:val="000000"/>
                <w:sz w:val="18"/>
                <w:szCs w:val="18"/>
              </w:rPr>
            </w:pPr>
            <w:r w:rsidRPr="00F40671">
              <w:rPr>
                <w:rFonts w:cs="Arial"/>
                <w:color w:val="000000"/>
                <w:sz w:val="18"/>
                <w:szCs w:val="18"/>
              </w:rPr>
              <w:t>7,156</w:t>
            </w:r>
          </w:p>
        </w:tc>
      </w:tr>
      <w:tr w:rsidR="00924C53" w:rsidRPr="00F40671" w14:paraId="1AB30420"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061C1B89"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Support Coordination</w:t>
            </w:r>
          </w:p>
        </w:tc>
        <w:tc>
          <w:tcPr>
            <w:tcW w:w="658" w:type="pct"/>
            <w:tcBorders>
              <w:top w:val="nil"/>
              <w:left w:val="nil"/>
              <w:bottom w:val="nil"/>
              <w:right w:val="nil"/>
            </w:tcBorders>
            <w:shd w:val="clear" w:color="auto" w:fill="auto"/>
            <w:noWrap/>
            <w:hideMark/>
          </w:tcPr>
          <w:p w14:paraId="7F590EBD" w14:textId="77777777" w:rsidR="00924C53" w:rsidRPr="00F40671" w:rsidRDefault="00924C53" w:rsidP="00312E88">
            <w:pPr>
              <w:jc w:val="right"/>
              <w:rPr>
                <w:rFonts w:cs="Arial"/>
                <w:color w:val="000000"/>
                <w:sz w:val="18"/>
                <w:szCs w:val="18"/>
              </w:rPr>
            </w:pPr>
            <w:r w:rsidRPr="00F40671">
              <w:rPr>
                <w:rFonts w:cs="Arial"/>
                <w:color w:val="000000"/>
                <w:sz w:val="18"/>
                <w:szCs w:val="18"/>
              </w:rPr>
              <w:t>750</w:t>
            </w:r>
          </w:p>
        </w:tc>
        <w:tc>
          <w:tcPr>
            <w:tcW w:w="658" w:type="pct"/>
            <w:tcBorders>
              <w:top w:val="nil"/>
              <w:left w:val="nil"/>
              <w:bottom w:val="nil"/>
              <w:right w:val="nil"/>
            </w:tcBorders>
            <w:shd w:val="clear" w:color="auto" w:fill="auto"/>
            <w:noWrap/>
            <w:hideMark/>
          </w:tcPr>
          <w:p w14:paraId="16975CCD" w14:textId="77777777" w:rsidR="00924C53" w:rsidRPr="00F40671" w:rsidRDefault="00924C53" w:rsidP="00312E88">
            <w:pPr>
              <w:jc w:val="right"/>
              <w:rPr>
                <w:rFonts w:cs="Arial"/>
                <w:color w:val="000000"/>
                <w:sz w:val="18"/>
                <w:szCs w:val="18"/>
              </w:rPr>
            </w:pPr>
            <w:r w:rsidRPr="00F40671">
              <w:rPr>
                <w:rFonts w:cs="Arial"/>
                <w:color w:val="000000"/>
                <w:sz w:val="18"/>
                <w:szCs w:val="18"/>
              </w:rPr>
              <w:t>947</w:t>
            </w:r>
          </w:p>
        </w:tc>
        <w:tc>
          <w:tcPr>
            <w:tcW w:w="658" w:type="pct"/>
            <w:tcBorders>
              <w:top w:val="nil"/>
              <w:left w:val="nil"/>
              <w:bottom w:val="nil"/>
              <w:right w:val="nil"/>
            </w:tcBorders>
            <w:shd w:val="clear" w:color="auto" w:fill="auto"/>
            <w:noWrap/>
            <w:hideMark/>
          </w:tcPr>
          <w:p w14:paraId="47CFECEE" w14:textId="77777777" w:rsidR="00924C53" w:rsidRPr="00F40671" w:rsidRDefault="00924C53" w:rsidP="00312E88">
            <w:pPr>
              <w:jc w:val="right"/>
              <w:rPr>
                <w:rFonts w:cs="Arial"/>
                <w:color w:val="000000"/>
                <w:sz w:val="18"/>
                <w:szCs w:val="18"/>
              </w:rPr>
            </w:pPr>
            <w:r w:rsidRPr="00F40671">
              <w:rPr>
                <w:rFonts w:cs="Arial"/>
                <w:color w:val="000000"/>
                <w:sz w:val="18"/>
                <w:szCs w:val="18"/>
              </w:rPr>
              <w:t>1,111</w:t>
            </w:r>
          </w:p>
        </w:tc>
        <w:tc>
          <w:tcPr>
            <w:tcW w:w="658" w:type="pct"/>
            <w:tcBorders>
              <w:top w:val="nil"/>
              <w:left w:val="nil"/>
              <w:bottom w:val="nil"/>
              <w:right w:val="nil"/>
            </w:tcBorders>
            <w:shd w:val="clear" w:color="auto" w:fill="auto"/>
            <w:noWrap/>
            <w:hideMark/>
          </w:tcPr>
          <w:p w14:paraId="0EC132BE" w14:textId="77777777" w:rsidR="00924C53" w:rsidRPr="00F40671" w:rsidRDefault="00924C53" w:rsidP="00312E88">
            <w:pPr>
              <w:jc w:val="right"/>
              <w:rPr>
                <w:rFonts w:cs="Arial"/>
                <w:color w:val="000000"/>
                <w:sz w:val="18"/>
                <w:szCs w:val="18"/>
              </w:rPr>
            </w:pPr>
            <w:r w:rsidRPr="00F40671">
              <w:rPr>
                <w:rFonts w:cs="Arial"/>
                <w:color w:val="000000"/>
                <w:sz w:val="18"/>
                <w:szCs w:val="18"/>
              </w:rPr>
              <w:t>1,218</w:t>
            </w:r>
          </w:p>
        </w:tc>
        <w:tc>
          <w:tcPr>
            <w:tcW w:w="660" w:type="pct"/>
            <w:tcBorders>
              <w:top w:val="nil"/>
              <w:left w:val="single" w:sz="4" w:space="0" w:color="auto"/>
              <w:bottom w:val="nil"/>
              <w:right w:val="single" w:sz="4" w:space="0" w:color="auto"/>
            </w:tcBorders>
            <w:shd w:val="clear" w:color="auto" w:fill="auto"/>
            <w:noWrap/>
            <w:hideMark/>
          </w:tcPr>
          <w:p w14:paraId="24C4530E" w14:textId="77777777" w:rsidR="00924C53" w:rsidRPr="00F40671" w:rsidRDefault="00924C53" w:rsidP="00312E88">
            <w:pPr>
              <w:jc w:val="right"/>
              <w:rPr>
                <w:rFonts w:cs="Arial"/>
                <w:color w:val="000000"/>
                <w:sz w:val="18"/>
                <w:szCs w:val="18"/>
              </w:rPr>
            </w:pPr>
            <w:r w:rsidRPr="00F40671">
              <w:rPr>
                <w:rFonts w:cs="Arial"/>
                <w:color w:val="000000"/>
                <w:sz w:val="18"/>
                <w:szCs w:val="18"/>
              </w:rPr>
              <w:t>1,735</w:t>
            </w:r>
          </w:p>
        </w:tc>
      </w:tr>
      <w:tr w:rsidR="00924C53" w:rsidRPr="00F40671" w14:paraId="6BC25885"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60B1F067"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CB Employment</w:t>
            </w:r>
          </w:p>
        </w:tc>
        <w:tc>
          <w:tcPr>
            <w:tcW w:w="658" w:type="pct"/>
            <w:tcBorders>
              <w:top w:val="nil"/>
              <w:left w:val="nil"/>
              <w:bottom w:val="nil"/>
              <w:right w:val="nil"/>
            </w:tcBorders>
            <w:shd w:val="clear" w:color="auto" w:fill="auto"/>
            <w:noWrap/>
            <w:hideMark/>
          </w:tcPr>
          <w:p w14:paraId="256082C6" w14:textId="77777777" w:rsidR="00924C53" w:rsidRPr="00F40671" w:rsidRDefault="00924C53" w:rsidP="00312E88">
            <w:pPr>
              <w:jc w:val="right"/>
              <w:rPr>
                <w:rFonts w:cs="Arial"/>
                <w:color w:val="000000"/>
                <w:sz w:val="18"/>
                <w:szCs w:val="18"/>
              </w:rPr>
            </w:pPr>
            <w:r w:rsidRPr="00F40671">
              <w:rPr>
                <w:rFonts w:cs="Arial"/>
                <w:color w:val="000000"/>
                <w:sz w:val="18"/>
                <w:szCs w:val="18"/>
              </w:rPr>
              <w:t>315</w:t>
            </w:r>
          </w:p>
        </w:tc>
        <w:tc>
          <w:tcPr>
            <w:tcW w:w="658" w:type="pct"/>
            <w:tcBorders>
              <w:top w:val="nil"/>
              <w:left w:val="nil"/>
              <w:bottom w:val="nil"/>
              <w:right w:val="nil"/>
            </w:tcBorders>
            <w:shd w:val="clear" w:color="auto" w:fill="auto"/>
            <w:noWrap/>
            <w:hideMark/>
          </w:tcPr>
          <w:p w14:paraId="0285BA3A" w14:textId="77777777" w:rsidR="00924C53" w:rsidRPr="00F40671" w:rsidRDefault="00924C53" w:rsidP="00312E88">
            <w:pPr>
              <w:jc w:val="right"/>
              <w:rPr>
                <w:rFonts w:cs="Arial"/>
                <w:color w:val="000000"/>
                <w:sz w:val="18"/>
                <w:szCs w:val="18"/>
              </w:rPr>
            </w:pPr>
            <w:r w:rsidRPr="00F40671">
              <w:rPr>
                <w:rFonts w:cs="Arial"/>
                <w:color w:val="000000"/>
                <w:sz w:val="18"/>
                <w:szCs w:val="18"/>
              </w:rPr>
              <w:t>469</w:t>
            </w:r>
          </w:p>
        </w:tc>
        <w:tc>
          <w:tcPr>
            <w:tcW w:w="658" w:type="pct"/>
            <w:tcBorders>
              <w:top w:val="nil"/>
              <w:left w:val="nil"/>
              <w:bottom w:val="nil"/>
              <w:right w:val="nil"/>
            </w:tcBorders>
            <w:shd w:val="clear" w:color="auto" w:fill="auto"/>
            <w:noWrap/>
            <w:hideMark/>
          </w:tcPr>
          <w:p w14:paraId="5F4603CF" w14:textId="77777777" w:rsidR="00924C53" w:rsidRPr="00F40671" w:rsidRDefault="00924C53" w:rsidP="00312E88">
            <w:pPr>
              <w:jc w:val="right"/>
              <w:rPr>
                <w:rFonts w:cs="Arial"/>
                <w:color w:val="000000"/>
                <w:sz w:val="18"/>
                <w:szCs w:val="18"/>
              </w:rPr>
            </w:pPr>
            <w:r w:rsidRPr="00F40671">
              <w:rPr>
                <w:rFonts w:cs="Arial"/>
                <w:color w:val="000000"/>
                <w:sz w:val="18"/>
                <w:szCs w:val="18"/>
              </w:rPr>
              <w:t>569</w:t>
            </w:r>
          </w:p>
        </w:tc>
        <w:tc>
          <w:tcPr>
            <w:tcW w:w="658" w:type="pct"/>
            <w:tcBorders>
              <w:top w:val="nil"/>
              <w:left w:val="nil"/>
              <w:bottom w:val="nil"/>
              <w:right w:val="nil"/>
            </w:tcBorders>
            <w:shd w:val="clear" w:color="auto" w:fill="auto"/>
            <w:noWrap/>
            <w:hideMark/>
          </w:tcPr>
          <w:p w14:paraId="1C0CF3A5" w14:textId="77777777" w:rsidR="00924C53" w:rsidRPr="00F40671" w:rsidRDefault="00924C53" w:rsidP="00312E88">
            <w:pPr>
              <w:jc w:val="right"/>
              <w:rPr>
                <w:rFonts w:cs="Arial"/>
                <w:color w:val="000000"/>
                <w:sz w:val="18"/>
                <w:szCs w:val="18"/>
              </w:rPr>
            </w:pPr>
            <w:r w:rsidRPr="00F40671">
              <w:rPr>
                <w:rFonts w:cs="Arial"/>
                <w:color w:val="000000"/>
                <w:sz w:val="18"/>
                <w:szCs w:val="18"/>
              </w:rPr>
              <w:t>648</w:t>
            </w:r>
          </w:p>
        </w:tc>
        <w:tc>
          <w:tcPr>
            <w:tcW w:w="660" w:type="pct"/>
            <w:tcBorders>
              <w:top w:val="nil"/>
              <w:left w:val="single" w:sz="4" w:space="0" w:color="auto"/>
              <w:bottom w:val="nil"/>
              <w:right w:val="single" w:sz="4" w:space="0" w:color="auto"/>
            </w:tcBorders>
            <w:shd w:val="clear" w:color="auto" w:fill="auto"/>
            <w:noWrap/>
            <w:hideMark/>
          </w:tcPr>
          <w:p w14:paraId="37EBCA72" w14:textId="77777777" w:rsidR="00924C53" w:rsidRPr="00F40671" w:rsidRDefault="00924C53" w:rsidP="00312E88">
            <w:pPr>
              <w:jc w:val="right"/>
              <w:rPr>
                <w:rFonts w:cs="Arial"/>
                <w:color w:val="000000"/>
                <w:sz w:val="18"/>
                <w:szCs w:val="18"/>
              </w:rPr>
            </w:pPr>
            <w:r w:rsidRPr="00F40671">
              <w:rPr>
                <w:rFonts w:cs="Arial"/>
                <w:color w:val="000000"/>
                <w:sz w:val="18"/>
                <w:szCs w:val="18"/>
              </w:rPr>
              <w:t>1,139</w:t>
            </w:r>
          </w:p>
        </w:tc>
      </w:tr>
      <w:tr w:rsidR="00924C53" w:rsidRPr="00F40671" w14:paraId="6ACAAF2F"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19CACFBE"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CB Choice and Control</w:t>
            </w:r>
          </w:p>
        </w:tc>
        <w:tc>
          <w:tcPr>
            <w:tcW w:w="658" w:type="pct"/>
            <w:tcBorders>
              <w:top w:val="nil"/>
              <w:left w:val="nil"/>
              <w:bottom w:val="nil"/>
              <w:right w:val="nil"/>
            </w:tcBorders>
            <w:shd w:val="clear" w:color="auto" w:fill="auto"/>
            <w:noWrap/>
            <w:hideMark/>
          </w:tcPr>
          <w:p w14:paraId="14907562" w14:textId="77777777" w:rsidR="00924C53" w:rsidRPr="00F40671" w:rsidRDefault="00924C53" w:rsidP="00312E88">
            <w:pPr>
              <w:jc w:val="right"/>
              <w:rPr>
                <w:rFonts w:cs="Arial"/>
                <w:color w:val="000000"/>
                <w:sz w:val="18"/>
                <w:szCs w:val="18"/>
              </w:rPr>
            </w:pPr>
            <w:r w:rsidRPr="00F40671">
              <w:rPr>
                <w:rFonts w:cs="Arial"/>
                <w:color w:val="000000"/>
                <w:sz w:val="18"/>
                <w:szCs w:val="18"/>
              </w:rPr>
              <w:t>363</w:t>
            </w:r>
          </w:p>
        </w:tc>
        <w:tc>
          <w:tcPr>
            <w:tcW w:w="658" w:type="pct"/>
            <w:tcBorders>
              <w:top w:val="nil"/>
              <w:left w:val="nil"/>
              <w:bottom w:val="nil"/>
              <w:right w:val="nil"/>
            </w:tcBorders>
            <w:shd w:val="clear" w:color="auto" w:fill="auto"/>
            <w:noWrap/>
            <w:hideMark/>
          </w:tcPr>
          <w:p w14:paraId="04F3DD6A" w14:textId="77777777" w:rsidR="00924C53" w:rsidRPr="00F40671" w:rsidRDefault="00924C53" w:rsidP="00312E88">
            <w:pPr>
              <w:jc w:val="right"/>
              <w:rPr>
                <w:rFonts w:cs="Arial"/>
                <w:color w:val="000000"/>
                <w:sz w:val="18"/>
                <w:szCs w:val="18"/>
              </w:rPr>
            </w:pPr>
            <w:r w:rsidRPr="00F40671">
              <w:rPr>
                <w:rFonts w:cs="Arial"/>
                <w:color w:val="000000"/>
                <w:sz w:val="18"/>
                <w:szCs w:val="18"/>
              </w:rPr>
              <w:t>456</w:t>
            </w:r>
          </w:p>
        </w:tc>
        <w:tc>
          <w:tcPr>
            <w:tcW w:w="658" w:type="pct"/>
            <w:tcBorders>
              <w:top w:val="nil"/>
              <w:left w:val="nil"/>
              <w:bottom w:val="nil"/>
              <w:right w:val="nil"/>
            </w:tcBorders>
            <w:shd w:val="clear" w:color="auto" w:fill="auto"/>
            <w:noWrap/>
            <w:hideMark/>
          </w:tcPr>
          <w:p w14:paraId="1A81D073" w14:textId="77777777" w:rsidR="00924C53" w:rsidRPr="00F40671" w:rsidRDefault="00924C53" w:rsidP="00312E88">
            <w:pPr>
              <w:jc w:val="right"/>
              <w:rPr>
                <w:rFonts w:cs="Arial"/>
                <w:color w:val="000000"/>
                <w:sz w:val="18"/>
                <w:szCs w:val="18"/>
              </w:rPr>
            </w:pPr>
            <w:r w:rsidRPr="00F40671">
              <w:rPr>
                <w:rFonts w:cs="Arial"/>
                <w:color w:val="000000"/>
                <w:sz w:val="18"/>
                <w:szCs w:val="18"/>
              </w:rPr>
              <w:t>535</w:t>
            </w:r>
          </w:p>
        </w:tc>
        <w:tc>
          <w:tcPr>
            <w:tcW w:w="658" w:type="pct"/>
            <w:tcBorders>
              <w:top w:val="nil"/>
              <w:left w:val="nil"/>
              <w:bottom w:val="nil"/>
              <w:right w:val="nil"/>
            </w:tcBorders>
            <w:shd w:val="clear" w:color="auto" w:fill="auto"/>
            <w:noWrap/>
            <w:hideMark/>
          </w:tcPr>
          <w:p w14:paraId="01269450" w14:textId="77777777" w:rsidR="00924C53" w:rsidRPr="00F40671" w:rsidRDefault="00924C53" w:rsidP="00312E88">
            <w:pPr>
              <w:jc w:val="right"/>
              <w:rPr>
                <w:rFonts w:cs="Arial"/>
                <w:color w:val="000000"/>
                <w:sz w:val="18"/>
                <w:szCs w:val="18"/>
              </w:rPr>
            </w:pPr>
            <w:r w:rsidRPr="00F40671">
              <w:rPr>
                <w:rFonts w:cs="Arial"/>
                <w:color w:val="000000"/>
                <w:sz w:val="18"/>
                <w:szCs w:val="18"/>
              </w:rPr>
              <w:t>592</w:t>
            </w:r>
          </w:p>
        </w:tc>
        <w:tc>
          <w:tcPr>
            <w:tcW w:w="660" w:type="pct"/>
            <w:tcBorders>
              <w:top w:val="nil"/>
              <w:left w:val="single" w:sz="4" w:space="0" w:color="auto"/>
              <w:bottom w:val="nil"/>
              <w:right w:val="single" w:sz="4" w:space="0" w:color="auto"/>
            </w:tcBorders>
            <w:shd w:val="clear" w:color="auto" w:fill="auto"/>
            <w:noWrap/>
            <w:hideMark/>
          </w:tcPr>
          <w:p w14:paraId="40146DF2" w14:textId="77777777" w:rsidR="00924C53" w:rsidRPr="00F40671" w:rsidRDefault="00924C53" w:rsidP="00312E88">
            <w:pPr>
              <w:jc w:val="right"/>
              <w:rPr>
                <w:rFonts w:cs="Arial"/>
                <w:color w:val="000000"/>
                <w:sz w:val="18"/>
                <w:szCs w:val="18"/>
              </w:rPr>
            </w:pPr>
            <w:r w:rsidRPr="00F40671">
              <w:rPr>
                <w:rFonts w:cs="Arial"/>
                <w:color w:val="000000"/>
                <w:sz w:val="18"/>
                <w:szCs w:val="18"/>
              </w:rPr>
              <w:t>854</w:t>
            </w:r>
          </w:p>
        </w:tc>
      </w:tr>
      <w:tr w:rsidR="00924C53" w:rsidRPr="00F40671" w14:paraId="01680606" w14:textId="77777777" w:rsidTr="00924C5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7CAF944F" w14:textId="77777777" w:rsidR="00924C53" w:rsidRPr="00F40671" w:rsidRDefault="00924C53" w:rsidP="00312E88">
            <w:pPr>
              <w:ind w:firstLineChars="100" w:firstLine="180"/>
              <w:rPr>
                <w:rFonts w:cs="Arial"/>
                <w:i/>
                <w:iCs/>
                <w:color w:val="000000"/>
                <w:sz w:val="18"/>
                <w:szCs w:val="18"/>
              </w:rPr>
            </w:pPr>
            <w:r w:rsidRPr="00F40671">
              <w:rPr>
                <w:rFonts w:cs="Arial"/>
                <w:i/>
                <w:iCs/>
                <w:color w:val="000000"/>
                <w:sz w:val="18"/>
                <w:szCs w:val="18"/>
              </w:rPr>
              <w:t>Other CB supports</w:t>
            </w:r>
          </w:p>
        </w:tc>
        <w:tc>
          <w:tcPr>
            <w:tcW w:w="658" w:type="pct"/>
            <w:tcBorders>
              <w:top w:val="nil"/>
              <w:left w:val="nil"/>
              <w:bottom w:val="nil"/>
              <w:right w:val="nil"/>
            </w:tcBorders>
            <w:shd w:val="clear" w:color="auto" w:fill="auto"/>
            <w:noWrap/>
            <w:hideMark/>
          </w:tcPr>
          <w:p w14:paraId="76D98CD0" w14:textId="77777777" w:rsidR="00924C53" w:rsidRPr="00F40671" w:rsidRDefault="00924C53" w:rsidP="00312E88">
            <w:pPr>
              <w:jc w:val="right"/>
              <w:rPr>
                <w:rFonts w:cs="Arial"/>
                <w:color w:val="000000"/>
                <w:sz w:val="18"/>
                <w:szCs w:val="18"/>
              </w:rPr>
            </w:pPr>
            <w:r w:rsidRPr="00F40671">
              <w:rPr>
                <w:rFonts w:cs="Arial"/>
                <w:color w:val="000000"/>
                <w:sz w:val="18"/>
                <w:szCs w:val="18"/>
              </w:rPr>
              <w:t>469</w:t>
            </w:r>
          </w:p>
        </w:tc>
        <w:tc>
          <w:tcPr>
            <w:tcW w:w="658" w:type="pct"/>
            <w:tcBorders>
              <w:top w:val="nil"/>
              <w:left w:val="nil"/>
              <w:bottom w:val="nil"/>
              <w:right w:val="nil"/>
            </w:tcBorders>
            <w:shd w:val="clear" w:color="auto" w:fill="auto"/>
            <w:noWrap/>
            <w:hideMark/>
          </w:tcPr>
          <w:p w14:paraId="12FBF9FB" w14:textId="77777777" w:rsidR="00924C53" w:rsidRPr="00F40671" w:rsidRDefault="00924C53" w:rsidP="00312E88">
            <w:pPr>
              <w:jc w:val="right"/>
              <w:rPr>
                <w:rFonts w:cs="Arial"/>
                <w:color w:val="000000"/>
                <w:sz w:val="18"/>
                <w:szCs w:val="18"/>
              </w:rPr>
            </w:pPr>
            <w:r w:rsidRPr="00F40671">
              <w:rPr>
                <w:rFonts w:cs="Arial"/>
                <w:color w:val="000000"/>
                <w:sz w:val="18"/>
                <w:szCs w:val="18"/>
              </w:rPr>
              <w:t>554</w:t>
            </w:r>
          </w:p>
        </w:tc>
        <w:tc>
          <w:tcPr>
            <w:tcW w:w="658" w:type="pct"/>
            <w:tcBorders>
              <w:top w:val="nil"/>
              <w:left w:val="nil"/>
              <w:bottom w:val="nil"/>
              <w:right w:val="nil"/>
            </w:tcBorders>
            <w:shd w:val="clear" w:color="auto" w:fill="auto"/>
            <w:noWrap/>
            <w:hideMark/>
          </w:tcPr>
          <w:p w14:paraId="67B1D3BE" w14:textId="77777777" w:rsidR="00924C53" w:rsidRPr="00F40671" w:rsidRDefault="00924C53" w:rsidP="00312E88">
            <w:pPr>
              <w:jc w:val="right"/>
              <w:rPr>
                <w:rFonts w:cs="Arial"/>
                <w:color w:val="000000"/>
                <w:sz w:val="18"/>
                <w:szCs w:val="18"/>
              </w:rPr>
            </w:pPr>
            <w:r w:rsidRPr="00F40671">
              <w:rPr>
                <w:rFonts w:cs="Arial"/>
                <w:color w:val="000000"/>
                <w:sz w:val="18"/>
                <w:szCs w:val="18"/>
              </w:rPr>
              <w:t>632</w:t>
            </w:r>
          </w:p>
        </w:tc>
        <w:tc>
          <w:tcPr>
            <w:tcW w:w="658" w:type="pct"/>
            <w:tcBorders>
              <w:top w:val="nil"/>
              <w:left w:val="nil"/>
              <w:bottom w:val="nil"/>
              <w:right w:val="nil"/>
            </w:tcBorders>
            <w:shd w:val="clear" w:color="auto" w:fill="auto"/>
            <w:noWrap/>
            <w:hideMark/>
          </w:tcPr>
          <w:p w14:paraId="2C151DC1" w14:textId="77777777" w:rsidR="00924C53" w:rsidRPr="00F40671" w:rsidRDefault="00924C53" w:rsidP="00312E88">
            <w:pPr>
              <w:jc w:val="right"/>
              <w:rPr>
                <w:rFonts w:cs="Arial"/>
                <w:color w:val="000000"/>
                <w:sz w:val="18"/>
                <w:szCs w:val="18"/>
              </w:rPr>
            </w:pPr>
            <w:r w:rsidRPr="00F40671">
              <w:rPr>
                <w:rFonts w:cs="Arial"/>
                <w:color w:val="000000"/>
                <w:sz w:val="18"/>
                <w:szCs w:val="18"/>
              </w:rPr>
              <w:t>699</w:t>
            </w:r>
          </w:p>
        </w:tc>
        <w:tc>
          <w:tcPr>
            <w:tcW w:w="660" w:type="pct"/>
            <w:tcBorders>
              <w:top w:val="nil"/>
              <w:left w:val="single" w:sz="4" w:space="0" w:color="auto"/>
              <w:bottom w:val="nil"/>
              <w:right w:val="single" w:sz="4" w:space="0" w:color="auto"/>
            </w:tcBorders>
            <w:shd w:val="clear" w:color="auto" w:fill="auto"/>
            <w:noWrap/>
            <w:hideMark/>
          </w:tcPr>
          <w:p w14:paraId="41234703" w14:textId="77777777" w:rsidR="00924C53" w:rsidRPr="00F40671" w:rsidRDefault="00924C53" w:rsidP="00312E88">
            <w:pPr>
              <w:jc w:val="right"/>
              <w:rPr>
                <w:rFonts w:cs="Arial"/>
                <w:color w:val="000000"/>
                <w:sz w:val="18"/>
                <w:szCs w:val="18"/>
              </w:rPr>
            </w:pPr>
            <w:r w:rsidRPr="00F40671">
              <w:rPr>
                <w:rFonts w:cs="Arial"/>
                <w:color w:val="000000"/>
                <w:sz w:val="18"/>
                <w:szCs w:val="18"/>
              </w:rPr>
              <w:t>1,042</w:t>
            </w:r>
          </w:p>
        </w:tc>
      </w:tr>
      <w:tr w:rsidR="00924C53" w:rsidRPr="00F40671" w14:paraId="5351708D" w14:textId="77777777" w:rsidTr="00924C53">
        <w:trPr>
          <w:trHeight w:hRule="exact" w:val="284"/>
        </w:trPr>
        <w:tc>
          <w:tcPr>
            <w:tcW w:w="1708" w:type="pct"/>
            <w:tcBorders>
              <w:top w:val="single" w:sz="4" w:space="0" w:color="auto"/>
              <w:left w:val="single" w:sz="4" w:space="0" w:color="auto"/>
              <w:bottom w:val="single" w:sz="4" w:space="0" w:color="auto"/>
              <w:right w:val="nil"/>
            </w:tcBorders>
            <w:shd w:val="clear" w:color="auto" w:fill="auto"/>
            <w:noWrap/>
            <w:hideMark/>
          </w:tcPr>
          <w:p w14:paraId="0EBBD60C" w14:textId="77777777" w:rsidR="00924C53" w:rsidRPr="00F40671" w:rsidRDefault="00924C53" w:rsidP="00312E88">
            <w:pPr>
              <w:rPr>
                <w:rFonts w:cs="Arial"/>
                <w:b/>
                <w:bCs/>
                <w:color w:val="000000"/>
                <w:sz w:val="18"/>
                <w:szCs w:val="18"/>
              </w:rPr>
            </w:pPr>
            <w:r w:rsidRPr="00F40671">
              <w:rPr>
                <w:rFonts w:cs="Arial"/>
                <w:b/>
                <w:bCs/>
                <w:color w:val="000000"/>
                <w:sz w:val="18"/>
                <w:szCs w:val="18"/>
              </w:rPr>
              <w:t>Total</w:t>
            </w:r>
          </w:p>
        </w:tc>
        <w:tc>
          <w:tcPr>
            <w:tcW w:w="658" w:type="pct"/>
            <w:tcBorders>
              <w:top w:val="single" w:sz="4" w:space="0" w:color="auto"/>
              <w:left w:val="single" w:sz="4" w:space="0" w:color="auto"/>
              <w:bottom w:val="single" w:sz="4" w:space="0" w:color="auto"/>
              <w:right w:val="nil"/>
            </w:tcBorders>
            <w:shd w:val="clear" w:color="auto" w:fill="auto"/>
            <w:noWrap/>
            <w:hideMark/>
          </w:tcPr>
          <w:p w14:paraId="570F30DF" w14:textId="77777777" w:rsidR="00924C53" w:rsidRPr="00F40671" w:rsidRDefault="00924C53" w:rsidP="00312E88">
            <w:pPr>
              <w:jc w:val="right"/>
              <w:rPr>
                <w:rFonts w:cs="Arial"/>
                <w:b/>
                <w:bCs/>
                <w:color w:val="000000"/>
                <w:sz w:val="18"/>
                <w:szCs w:val="18"/>
              </w:rPr>
            </w:pPr>
            <w:r w:rsidRPr="00F40671">
              <w:rPr>
                <w:rFonts w:cs="Arial"/>
                <w:b/>
                <w:bCs/>
                <w:color w:val="000000"/>
                <w:sz w:val="18"/>
                <w:szCs w:val="18"/>
              </w:rPr>
              <w:t>28,831</w:t>
            </w:r>
          </w:p>
        </w:tc>
        <w:tc>
          <w:tcPr>
            <w:tcW w:w="658" w:type="pct"/>
            <w:tcBorders>
              <w:top w:val="single" w:sz="4" w:space="0" w:color="auto"/>
              <w:left w:val="nil"/>
              <w:bottom w:val="single" w:sz="4" w:space="0" w:color="auto"/>
              <w:right w:val="nil"/>
            </w:tcBorders>
            <w:shd w:val="clear" w:color="auto" w:fill="auto"/>
            <w:noWrap/>
            <w:hideMark/>
          </w:tcPr>
          <w:p w14:paraId="7CD2CE49" w14:textId="77777777" w:rsidR="00924C53" w:rsidRPr="00F40671" w:rsidRDefault="00924C53" w:rsidP="00312E88">
            <w:pPr>
              <w:jc w:val="right"/>
              <w:rPr>
                <w:rFonts w:cs="Arial"/>
                <w:b/>
                <w:bCs/>
                <w:color w:val="000000"/>
                <w:sz w:val="18"/>
                <w:szCs w:val="18"/>
              </w:rPr>
            </w:pPr>
            <w:r w:rsidRPr="00F40671">
              <w:rPr>
                <w:rFonts w:cs="Arial"/>
                <w:b/>
                <w:bCs/>
                <w:color w:val="000000"/>
                <w:sz w:val="18"/>
                <w:szCs w:val="18"/>
              </w:rPr>
              <w:t>33,429</w:t>
            </w:r>
          </w:p>
        </w:tc>
        <w:tc>
          <w:tcPr>
            <w:tcW w:w="658" w:type="pct"/>
            <w:tcBorders>
              <w:top w:val="single" w:sz="4" w:space="0" w:color="auto"/>
              <w:left w:val="nil"/>
              <w:bottom w:val="single" w:sz="4" w:space="0" w:color="auto"/>
              <w:right w:val="nil"/>
            </w:tcBorders>
            <w:shd w:val="clear" w:color="auto" w:fill="auto"/>
            <w:noWrap/>
            <w:hideMark/>
          </w:tcPr>
          <w:p w14:paraId="3E40C500" w14:textId="77777777" w:rsidR="00924C53" w:rsidRPr="00F40671" w:rsidRDefault="00924C53" w:rsidP="00312E88">
            <w:pPr>
              <w:jc w:val="right"/>
              <w:rPr>
                <w:rFonts w:cs="Arial"/>
                <w:b/>
                <w:bCs/>
                <w:color w:val="000000"/>
                <w:sz w:val="18"/>
                <w:szCs w:val="18"/>
              </w:rPr>
            </w:pPr>
            <w:r w:rsidRPr="00F40671">
              <w:rPr>
                <w:rFonts w:cs="Arial"/>
                <w:b/>
                <w:bCs/>
                <w:color w:val="000000"/>
                <w:sz w:val="18"/>
                <w:szCs w:val="18"/>
              </w:rPr>
              <w:t>37,459</w:t>
            </w:r>
          </w:p>
        </w:tc>
        <w:tc>
          <w:tcPr>
            <w:tcW w:w="658" w:type="pct"/>
            <w:tcBorders>
              <w:top w:val="single" w:sz="4" w:space="0" w:color="auto"/>
              <w:left w:val="nil"/>
              <w:bottom w:val="single" w:sz="4" w:space="0" w:color="auto"/>
              <w:right w:val="nil"/>
            </w:tcBorders>
            <w:shd w:val="clear" w:color="auto" w:fill="auto"/>
            <w:noWrap/>
            <w:hideMark/>
          </w:tcPr>
          <w:p w14:paraId="55D25BDA" w14:textId="77777777" w:rsidR="00924C53" w:rsidRPr="00F40671" w:rsidRDefault="00924C53" w:rsidP="00312E88">
            <w:pPr>
              <w:jc w:val="right"/>
              <w:rPr>
                <w:rFonts w:cs="Arial"/>
                <w:b/>
                <w:bCs/>
                <w:color w:val="000000"/>
                <w:sz w:val="18"/>
                <w:szCs w:val="18"/>
              </w:rPr>
            </w:pPr>
            <w:r w:rsidRPr="00F40671">
              <w:rPr>
                <w:rFonts w:cs="Arial"/>
                <w:b/>
                <w:bCs/>
                <w:color w:val="000000"/>
                <w:sz w:val="18"/>
                <w:szCs w:val="18"/>
              </w:rPr>
              <w:t>40,814</w:t>
            </w:r>
          </w:p>
        </w:tc>
        <w:tc>
          <w:tcPr>
            <w:tcW w:w="660" w:type="pct"/>
            <w:tcBorders>
              <w:top w:val="single" w:sz="4" w:space="0" w:color="auto"/>
              <w:left w:val="single" w:sz="4" w:space="0" w:color="auto"/>
              <w:bottom w:val="single" w:sz="4" w:space="0" w:color="auto"/>
              <w:right w:val="single" w:sz="4" w:space="0" w:color="auto"/>
            </w:tcBorders>
            <w:shd w:val="clear" w:color="auto" w:fill="auto"/>
            <w:noWrap/>
            <w:hideMark/>
          </w:tcPr>
          <w:p w14:paraId="021AA5A6" w14:textId="77777777" w:rsidR="00924C53" w:rsidRPr="00F40671" w:rsidRDefault="00924C53" w:rsidP="00312E88">
            <w:pPr>
              <w:jc w:val="right"/>
              <w:rPr>
                <w:rFonts w:cs="Arial"/>
                <w:b/>
                <w:bCs/>
                <w:color w:val="000000"/>
                <w:sz w:val="18"/>
                <w:szCs w:val="18"/>
              </w:rPr>
            </w:pPr>
            <w:r w:rsidRPr="00F40671">
              <w:rPr>
                <w:rFonts w:cs="Arial"/>
                <w:b/>
                <w:bCs/>
                <w:color w:val="000000"/>
                <w:sz w:val="18"/>
                <w:szCs w:val="18"/>
              </w:rPr>
              <w:t>58,483</w:t>
            </w:r>
          </w:p>
        </w:tc>
      </w:tr>
    </w:tbl>
    <w:p w14:paraId="7B2DEAF2" w14:textId="4329FB8F" w:rsidR="00826B75" w:rsidRPr="00CA035D" w:rsidRDefault="00826B75" w:rsidP="00826B75"/>
    <w:tbl>
      <w:tblPr>
        <w:tblW w:w="5000" w:type="pct"/>
        <w:tblLook w:val="04A0" w:firstRow="1" w:lastRow="0" w:firstColumn="1" w:lastColumn="0" w:noHBand="0" w:noVBand="1"/>
      </w:tblPr>
      <w:tblGrid>
        <w:gridCol w:w="3079"/>
        <w:gridCol w:w="1186"/>
        <w:gridCol w:w="1187"/>
        <w:gridCol w:w="1187"/>
        <w:gridCol w:w="1187"/>
        <w:gridCol w:w="1190"/>
      </w:tblGrid>
      <w:tr w:rsidR="004D7B0C" w:rsidRPr="005528D7" w14:paraId="096395F5" w14:textId="77777777" w:rsidTr="00312E88">
        <w:trPr>
          <w:trHeight w:val="300"/>
          <w:tblHeader/>
        </w:trPr>
        <w:tc>
          <w:tcPr>
            <w:tcW w:w="1708" w:type="pct"/>
            <w:tcBorders>
              <w:top w:val="single" w:sz="4" w:space="0" w:color="auto"/>
              <w:left w:val="single" w:sz="4" w:space="0" w:color="auto"/>
              <w:bottom w:val="nil"/>
              <w:right w:val="single" w:sz="4" w:space="0" w:color="auto"/>
            </w:tcBorders>
            <w:shd w:val="clear" w:color="000000" w:fill="6B2976"/>
            <w:hideMark/>
          </w:tcPr>
          <w:p w14:paraId="54A700F5" w14:textId="77777777" w:rsidR="004D7B0C" w:rsidRPr="005528D7" w:rsidRDefault="004D7B0C" w:rsidP="00312E88">
            <w:pPr>
              <w:rPr>
                <w:rFonts w:cs="Arial"/>
                <w:b/>
                <w:bCs/>
                <w:color w:val="FFFFFF"/>
                <w:sz w:val="18"/>
                <w:szCs w:val="18"/>
              </w:rPr>
            </w:pPr>
            <w:r w:rsidRPr="005528D7">
              <w:rPr>
                <w:rFonts w:cs="Arial"/>
                <w:b/>
                <w:bCs/>
                <w:color w:val="FFFFFF"/>
                <w:sz w:val="18"/>
                <w:szCs w:val="18"/>
              </w:rPr>
              <w:t>Participant Costs ($m)</w:t>
            </w:r>
          </w:p>
        </w:tc>
        <w:tc>
          <w:tcPr>
            <w:tcW w:w="658" w:type="pct"/>
            <w:tcBorders>
              <w:top w:val="nil"/>
              <w:left w:val="nil"/>
              <w:bottom w:val="single" w:sz="4" w:space="0" w:color="auto"/>
              <w:right w:val="nil"/>
            </w:tcBorders>
            <w:shd w:val="clear" w:color="000000" w:fill="6B2F76"/>
            <w:noWrap/>
            <w:hideMark/>
          </w:tcPr>
          <w:p w14:paraId="25DC89A7" w14:textId="77777777" w:rsidR="004D7B0C" w:rsidRPr="005528D7" w:rsidRDefault="004D7B0C" w:rsidP="00312E88">
            <w:pPr>
              <w:jc w:val="right"/>
              <w:rPr>
                <w:rFonts w:cs="Arial"/>
                <w:b/>
                <w:bCs/>
                <w:color w:val="FFFFFF"/>
                <w:sz w:val="18"/>
                <w:szCs w:val="18"/>
              </w:rPr>
            </w:pPr>
            <w:r w:rsidRPr="005528D7">
              <w:rPr>
                <w:rFonts w:cs="Arial"/>
                <w:b/>
                <w:bCs/>
                <w:color w:val="FFFFFF"/>
                <w:sz w:val="18"/>
                <w:szCs w:val="18"/>
              </w:rPr>
              <w:t>2021-22</w:t>
            </w:r>
          </w:p>
        </w:tc>
        <w:tc>
          <w:tcPr>
            <w:tcW w:w="658" w:type="pct"/>
            <w:tcBorders>
              <w:top w:val="nil"/>
              <w:left w:val="nil"/>
              <w:bottom w:val="single" w:sz="4" w:space="0" w:color="auto"/>
              <w:right w:val="nil"/>
            </w:tcBorders>
            <w:shd w:val="clear" w:color="000000" w:fill="6B2F76"/>
            <w:noWrap/>
            <w:hideMark/>
          </w:tcPr>
          <w:p w14:paraId="18998C8F" w14:textId="77777777" w:rsidR="004D7B0C" w:rsidRPr="005528D7" w:rsidRDefault="004D7B0C" w:rsidP="00312E88">
            <w:pPr>
              <w:jc w:val="right"/>
              <w:rPr>
                <w:rFonts w:cs="Arial"/>
                <w:b/>
                <w:bCs/>
                <w:color w:val="FFFFFF"/>
                <w:sz w:val="18"/>
                <w:szCs w:val="18"/>
              </w:rPr>
            </w:pPr>
            <w:r w:rsidRPr="005528D7">
              <w:rPr>
                <w:rFonts w:cs="Arial"/>
                <w:b/>
                <w:bCs/>
                <w:color w:val="FFFFFF"/>
                <w:sz w:val="18"/>
                <w:szCs w:val="18"/>
              </w:rPr>
              <w:t>2022-23</w:t>
            </w:r>
          </w:p>
        </w:tc>
        <w:tc>
          <w:tcPr>
            <w:tcW w:w="658" w:type="pct"/>
            <w:tcBorders>
              <w:top w:val="nil"/>
              <w:left w:val="nil"/>
              <w:bottom w:val="single" w:sz="4" w:space="0" w:color="auto"/>
              <w:right w:val="nil"/>
            </w:tcBorders>
            <w:shd w:val="clear" w:color="000000" w:fill="6B2F76"/>
            <w:noWrap/>
            <w:hideMark/>
          </w:tcPr>
          <w:p w14:paraId="55B208F7" w14:textId="77777777" w:rsidR="004D7B0C" w:rsidRPr="005528D7" w:rsidRDefault="004D7B0C" w:rsidP="00312E88">
            <w:pPr>
              <w:jc w:val="right"/>
              <w:rPr>
                <w:rFonts w:cs="Arial"/>
                <w:b/>
                <w:bCs/>
                <w:color w:val="FFFFFF"/>
                <w:sz w:val="18"/>
                <w:szCs w:val="18"/>
              </w:rPr>
            </w:pPr>
            <w:r w:rsidRPr="005528D7">
              <w:rPr>
                <w:rFonts w:cs="Arial"/>
                <w:b/>
                <w:bCs/>
                <w:color w:val="FFFFFF"/>
                <w:sz w:val="18"/>
                <w:szCs w:val="18"/>
              </w:rPr>
              <w:t>2023-24</w:t>
            </w:r>
          </w:p>
        </w:tc>
        <w:tc>
          <w:tcPr>
            <w:tcW w:w="658" w:type="pct"/>
            <w:tcBorders>
              <w:top w:val="nil"/>
              <w:left w:val="nil"/>
              <w:bottom w:val="single" w:sz="4" w:space="0" w:color="auto"/>
              <w:right w:val="nil"/>
            </w:tcBorders>
            <w:shd w:val="clear" w:color="000000" w:fill="6B2F76"/>
            <w:noWrap/>
            <w:hideMark/>
          </w:tcPr>
          <w:p w14:paraId="2A0EBC5B" w14:textId="77777777" w:rsidR="004D7B0C" w:rsidRPr="005528D7" w:rsidRDefault="004D7B0C" w:rsidP="00312E88">
            <w:pPr>
              <w:jc w:val="right"/>
              <w:rPr>
                <w:rFonts w:cs="Arial"/>
                <w:b/>
                <w:bCs/>
                <w:color w:val="FFFFFF"/>
                <w:sz w:val="18"/>
                <w:szCs w:val="18"/>
              </w:rPr>
            </w:pPr>
            <w:r w:rsidRPr="005528D7">
              <w:rPr>
                <w:rFonts w:cs="Arial"/>
                <w:b/>
                <w:bCs/>
                <w:color w:val="FFFFFF"/>
                <w:sz w:val="18"/>
                <w:szCs w:val="18"/>
              </w:rPr>
              <w:t>2024-25</w:t>
            </w:r>
          </w:p>
        </w:tc>
        <w:tc>
          <w:tcPr>
            <w:tcW w:w="660" w:type="pct"/>
            <w:tcBorders>
              <w:top w:val="nil"/>
              <w:left w:val="single" w:sz="4" w:space="0" w:color="auto"/>
              <w:bottom w:val="single" w:sz="4" w:space="0" w:color="auto"/>
              <w:right w:val="single" w:sz="4" w:space="0" w:color="auto"/>
            </w:tcBorders>
            <w:shd w:val="clear" w:color="000000" w:fill="6B2F76"/>
            <w:noWrap/>
            <w:hideMark/>
          </w:tcPr>
          <w:p w14:paraId="125CB39F" w14:textId="77777777" w:rsidR="004D7B0C" w:rsidRPr="005528D7" w:rsidRDefault="004D7B0C" w:rsidP="00312E88">
            <w:pPr>
              <w:jc w:val="right"/>
              <w:rPr>
                <w:rFonts w:cs="Arial"/>
                <w:b/>
                <w:bCs/>
                <w:color w:val="FFFFFF"/>
                <w:sz w:val="18"/>
                <w:szCs w:val="18"/>
              </w:rPr>
            </w:pPr>
            <w:r w:rsidRPr="005528D7">
              <w:rPr>
                <w:rFonts w:cs="Arial"/>
                <w:b/>
                <w:bCs/>
                <w:color w:val="FFFFFF"/>
                <w:sz w:val="18"/>
                <w:szCs w:val="18"/>
              </w:rPr>
              <w:t>2029-30</w:t>
            </w:r>
          </w:p>
        </w:tc>
      </w:tr>
      <w:tr w:rsidR="004D7B0C" w:rsidRPr="005528D7" w14:paraId="6ECE3E7D" w14:textId="77777777" w:rsidTr="004D7B0C">
        <w:trPr>
          <w:trHeight w:hRule="exact" w:val="284"/>
          <w:tblHeader/>
        </w:trPr>
        <w:tc>
          <w:tcPr>
            <w:tcW w:w="1708" w:type="pct"/>
            <w:tcBorders>
              <w:top w:val="single" w:sz="4" w:space="0" w:color="auto"/>
              <w:left w:val="single" w:sz="4" w:space="0" w:color="auto"/>
              <w:bottom w:val="single" w:sz="4" w:space="0" w:color="auto"/>
              <w:right w:val="nil"/>
            </w:tcBorders>
            <w:shd w:val="clear" w:color="000000" w:fill="F7EEF7"/>
            <w:noWrap/>
            <w:hideMark/>
          </w:tcPr>
          <w:p w14:paraId="4C7C9E83" w14:textId="77777777" w:rsidR="004D7B0C" w:rsidRPr="005528D7" w:rsidRDefault="004D7B0C" w:rsidP="00312E88">
            <w:pPr>
              <w:rPr>
                <w:rFonts w:cs="Arial"/>
                <w:b/>
                <w:bCs/>
                <w:color w:val="000000"/>
                <w:sz w:val="18"/>
                <w:szCs w:val="18"/>
              </w:rPr>
            </w:pPr>
            <w:r w:rsidRPr="005528D7">
              <w:rPr>
                <w:rFonts w:cs="Arial"/>
                <w:b/>
                <w:bCs/>
                <w:color w:val="000000"/>
                <w:sz w:val="18"/>
                <w:szCs w:val="18"/>
              </w:rPr>
              <w:t>Dec20 AFSR</w:t>
            </w:r>
          </w:p>
        </w:tc>
        <w:tc>
          <w:tcPr>
            <w:tcW w:w="658" w:type="pct"/>
            <w:tcBorders>
              <w:top w:val="nil"/>
              <w:left w:val="nil"/>
              <w:bottom w:val="single" w:sz="4" w:space="0" w:color="auto"/>
              <w:right w:val="nil"/>
            </w:tcBorders>
            <w:shd w:val="clear" w:color="000000" w:fill="F7EEF7"/>
            <w:noWrap/>
            <w:hideMark/>
          </w:tcPr>
          <w:p w14:paraId="63D9DE81" w14:textId="77777777" w:rsidR="004D7B0C" w:rsidRPr="005528D7" w:rsidRDefault="004D7B0C" w:rsidP="00312E88">
            <w:pPr>
              <w:jc w:val="right"/>
              <w:rPr>
                <w:rFonts w:cs="Arial"/>
                <w:b/>
                <w:bCs/>
                <w:i/>
                <w:iCs/>
                <w:color w:val="000000"/>
                <w:sz w:val="18"/>
                <w:szCs w:val="18"/>
              </w:rPr>
            </w:pPr>
            <w:r w:rsidRPr="005528D7">
              <w:rPr>
                <w:rFonts w:cs="Arial"/>
                <w:b/>
                <w:bCs/>
                <w:i/>
                <w:iCs/>
                <w:color w:val="000000"/>
                <w:sz w:val="18"/>
                <w:szCs w:val="18"/>
              </w:rPr>
              <w:t> </w:t>
            </w:r>
          </w:p>
        </w:tc>
        <w:tc>
          <w:tcPr>
            <w:tcW w:w="658" w:type="pct"/>
            <w:tcBorders>
              <w:top w:val="nil"/>
              <w:left w:val="nil"/>
              <w:bottom w:val="single" w:sz="4" w:space="0" w:color="auto"/>
              <w:right w:val="nil"/>
            </w:tcBorders>
            <w:shd w:val="clear" w:color="000000" w:fill="F7EEF7"/>
            <w:noWrap/>
            <w:hideMark/>
          </w:tcPr>
          <w:p w14:paraId="3839EFAD" w14:textId="77777777" w:rsidR="004D7B0C" w:rsidRPr="005528D7" w:rsidRDefault="004D7B0C" w:rsidP="00312E88">
            <w:pPr>
              <w:jc w:val="right"/>
              <w:rPr>
                <w:rFonts w:cs="Arial"/>
                <w:b/>
                <w:bCs/>
                <w:i/>
                <w:iCs/>
                <w:color w:val="000000"/>
                <w:sz w:val="18"/>
                <w:szCs w:val="18"/>
              </w:rPr>
            </w:pPr>
            <w:r w:rsidRPr="005528D7">
              <w:rPr>
                <w:rFonts w:cs="Arial"/>
                <w:b/>
                <w:bCs/>
                <w:i/>
                <w:iCs/>
                <w:color w:val="000000"/>
                <w:sz w:val="18"/>
                <w:szCs w:val="18"/>
              </w:rPr>
              <w:t> </w:t>
            </w:r>
          </w:p>
        </w:tc>
        <w:tc>
          <w:tcPr>
            <w:tcW w:w="658" w:type="pct"/>
            <w:tcBorders>
              <w:top w:val="nil"/>
              <w:left w:val="nil"/>
              <w:bottom w:val="single" w:sz="4" w:space="0" w:color="auto"/>
              <w:right w:val="nil"/>
            </w:tcBorders>
            <w:shd w:val="clear" w:color="000000" w:fill="F7EEF7"/>
            <w:noWrap/>
            <w:hideMark/>
          </w:tcPr>
          <w:p w14:paraId="21ACA082" w14:textId="77777777" w:rsidR="004D7B0C" w:rsidRPr="005528D7" w:rsidRDefault="004D7B0C" w:rsidP="00312E88">
            <w:pPr>
              <w:jc w:val="right"/>
              <w:rPr>
                <w:rFonts w:cs="Arial"/>
                <w:b/>
                <w:bCs/>
                <w:i/>
                <w:iCs/>
                <w:color w:val="000000"/>
                <w:sz w:val="18"/>
                <w:szCs w:val="18"/>
              </w:rPr>
            </w:pPr>
            <w:r w:rsidRPr="005528D7">
              <w:rPr>
                <w:rFonts w:cs="Arial"/>
                <w:b/>
                <w:bCs/>
                <w:i/>
                <w:iCs/>
                <w:color w:val="000000"/>
                <w:sz w:val="18"/>
                <w:szCs w:val="18"/>
              </w:rPr>
              <w:t> </w:t>
            </w:r>
          </w:p>
        </w:tc>
        <w:tc>
          <w:tcPr>
            <w:tcW w:w="658" w:type="pct"/>
            <w:tcBorders>
              <w:top w:val="nil"/>
              <w:left w:val="nil"/>
              <w:bottom w:val="single" w:sz="4" w:space="0" w:color="auto"/>
              <w:right w:val="nil"/>
            </w:tcBorders>
            <w:shd w:val="clear" w:color="000000" w:fill="F7EEF7"/>
            <w:noWrap/>
            <w:hideMark/>
          </w:tcPr>
          <w:p w14:paraId="76965AD6" w14:textId="77777777" w:rsidR="004D7B0C" w:rsidRPr="005528D7" w:rsidRDefault="004D7B0C" w:rsidP="00312E88">
            <w:pPr>
              <w:jc w:val="right"/>
              <w:rPr>
                <w:rFonts w:cs="Arial"/>
                <w:b/>
                <w:bCs/>
                <w:i/>
                <w:iCs/>
                <w:color w:val="000000"/>
                <w:sz w:val="18"/>
                <w:szCs w:val="18"/>
              </w:rPr>
            </w:pPr>
            <w:r w:rsidRPr="005528D7">
              <w:rPr>
                <w:rFonts w:cs="Arial"/>
                <w:b/>
                <w:bCs/>
                <w:i/>
                <w:iCs/>
                <w:color w:val="000000"/>
                <w:sz w:val="18"/>
                <w:szCs w:val="18"/>
              </w:rPr>
              <w:t> </w:t>
            </w:r>
          </w:p>
        </w:tc>
        <w:tc>
          <w:tcPr>
            <w:tcW w:w="660" w:type="pct"/>
            <w:tcBorders>
              <w:top w:val="nil"/>
              <w:left w:val="nil"/>
              <w:bottom w:val="single" w:sz="4" w:space="0" w:color="auto"/>
              <w:right w:val="single" w:sz="4" w:space="0" w:color="auto"/>
            </w:tcBorders>
            <w:shd w:val="clear" w:color="000000" w:fill="F7EEF7"/>
            <w:noWrap/>
            <w:hideMark/>
          </w:tcPr>
          <w:p w14:paraId="0127CC1E" w14:textId="77777777" w:rsidR="004D7B0C" w:rsidRPr="005528D7" w:rsidRDefault="004D7B0C" w:rsidP="00312E88">
            <w:pPr>
              <w:jc w:val="right"/>
              <w:rPr>
                <w:rFonts w:cs="Arial"/>
                <w:b/>
                <w:bCs/>
                <w:i/>
                <w:iCs/>
                <w:color w:val="000000"/>
                <w:sz w:val="18"/>
                <w:szCs w:val="18"/>
              </w:rPr>
            </w:pPr>
            <w:r w:rsidRPr="005528D7">
              <w:rPr>
                <w:rFonts w:cs="Arial"/>
                <w:b/>
                <w:bCs/>
                <w:i/>
                <w:iCs/>
                <w:color w:val="000000"/>
                <w:sz w:val="18"/>
                <w:szCs w:val="18"/>
              </w:rPr>
              <w:t> </w:t>
            </w:r>
          </w:p>
        </w:tc>
      </w:tr>
      <w:tr w:rsidR="004D7B0C" w:rsidRPr="005528D7" w14:paraId="1638FE6B" w14:textId="77777777" w:rsidTr="004D7B0C">
        <w:trPr>
          <w:trHeight w:hRule="exact" w:val="284"/>
          <w:tblHeader/>
        </w:trPr>
        <w:tc>
          <w:tcPr>
            <w:tcW w:w="1708" w:type="pct"/>
            <w:tcBorders>
              <w:top w:val="dotted" w:sz="4" w:space="0" w:color="auto"/>
              <w:left w:val="single" w:sz="4" w:space="0" w:color="auto"/>
              <w:bottom w:val="nil"/>
              <w:right w:val="single" w:sz="4" w:space="0" w:color="auto"/>
            </w:tcBorders>
            <w:shd w:val="clear" w:color="auto" w:fill="auto"/>
            <w:noWrap/>
            <w:hideMark/>
          </w:tcPr>
          <w:p w14:paraId="794025F6" w14:textId="77777777" w:rsidR="004D7B0C" w:rsidRPr="005528D7" w:rsidRDefault="004D7B0C" w:rsidP="00312E88">
            <w:pPr>
              <w:rPr>
                <w:rFonts w:cs="Arial"/>
                <w:b/>
                <w:bCs/>
                <w:color w:val="000000"/>
                <w:sz w:val="18"/>
                <w:szCs w:val="18"/>
              </w:rPr>
            </w:pPr>
            <w:r w:rsidRPr="005528D7">
              <w:rPr>
                <w:rFonts w:cs="Arial"/>
                <w:b/>
                <w:bCs/>
                <w:color w:val="000000"/>
                <w:sz w:val="18"/>
                <w:szCs w:val="18"/>
              </w:rPr>
              <w:t>Core</w:t>
            </w:r>
          </w:p>
        </w:tc>
        <w:tc>
          <w:tcPr>
            <w:tcW w:w="658" w:type="pct"/>
            <w:tcBorders>
              <w:top w:val="nil"/>
              <w:left w:val="nil"/>
              <w:bottom w:val="nil"/>
              <w:right w:val="nil"/>
            </w:tcBorders>
            <w:shd w:val="clear" w:color="auto" w:fill="auto"/>
            <w:noWrap/>
            <w:hideMark/>
          </w:tcPr>
          <w:p w14:paraId="2CFD50F8" w14:textId="77777777" w:rsidR="004D7B0C" w:rsidRPr="005528D7" w:rsidRDefault="004D7B0C" w:rsidP="00312E88">
            <w:pPr>
              <w:rPr>
                <w:rFonts w:cs="Arial"/>
                <w:b/>
                <w:bCs/>
                <w:color w:val="000000"/>
                <w:sz w:val="18"/>
                <w:szCs w:val="18"/>
              </w:rPr>
            </w:pPr>
          </w:p>
        </w:tc>
        <w:tc>
          <w:tcPr>
            <w:tcW w:w="658" w:type="pct"/>
            <w:tcBorders>
              <w:top w:val="nil"/>
              <w:left w:val="nil"/>
              <w:bottom w:val="nil"/>
              <w:right w:val="nil"/>
            </w:tcBorders>
            <w:shd w:val="clear" w:color="auto" w:fill="auto"/>
            <w:noWrap/>
            <w:hideMark/>
          </w:tcPr>
          <w:p w14:paraId="0D1804A7" w14:textId="77777777" w:rsidR="004D7B0C" w:rsidRPr="005528D7" w:rsidRDefault="004D7B0C" w:rsidP="00312E88">
            <w:pPr>
              <w:rPr>
                <w:rFonts w:cs="Arial"/>
                <w:sz w:val="18"/>
                <w:szCs w:val="18"/>
              </w:rPr>
            </w:pPr>
          </w:p>
        </w:tc>
        <w:tc>
          <w:tcPr>
            <w:tcW w:w="658" w:type="pct"/>
            <w:tcBorders>
              <w:top w:val="nil"/>
              <w:left w:val="nil"/>
              <w:bottom w:val="nil"/>
              <w:right w:val="nil"/>
            </w:tcBorders>
            <w:shd w:val="clear" w:color="auto" w:fill="auto"/>
            <w:noWrap/>
            <w:hideMark/>
          </w:tcPr>
          <w:p w14:paraId="6D7723E0" w14:textId="77777777" w:rsidR="004D7B0C" w:rsidRPr="005528D7" w:rsidRDefault="004D7B0C" w:rsidP="00312E88">
            <w:pPr>
              <w:rPr>
                <w:rFonts w:cs="Arial"/>
                <w:sz w:val="18"/>
                <w:szCs w:val="18"/>
              </w:rPr>
            </w:pPr>
          </w:p>
        </w:tc>
        <w:tc>
          <w:tcPr>
            <w:tcW w:w="658" w:type="pct"/>
            <w:tcBorders>
              <w:top w:val="nil"/>
              <w:left w:val="nil"/>
              <w:bottom w:val="nil"/>
              <w:right w:val="nil"/>
            </w:tcBorders>
            <w:shd w:val="clear" w:color="auto" w:fill="auto"/>
            <w:noWrap/>
            <w:hideMark/>
          </w:tcPr>
          <w:p w14:paraId="0EA844D6" w14:textId="77777777" w:rsidR="004D7B0C" w:rsidRPr="005528D7" w:rsidRDefault="004D7B0C" w:rsidP="00312E88">
            <w:pPr>
              <w:rPr>
                <w:rFonts w:cs="Arial"/>
                <w:sz w:val="18"/>
                <w:szCs w:val="18"/>
              </w:rPr>
            </w:pPr>
          </w:p>
        </w:tc>
        <w:tc>
          <w:tcPr>
            <w:tcW w:w="660" w:type="pct"/>
            <w:tcBorders>
              <w:top w:val="dotted" w:sz="4" w:space="0" w:color="auto"/>
              <w:left w:val="single" w:sz="4" w:space="0" w:color="auto"/>
              <w:bottom w:val="nil"/>
              <w:right w:val="single" w:sz="4" w:space="0" w:color="auto"/>
            </w:tcBorders>
            <w:shd w:val="clear" w:color="auto" w:fill="auto"/>
            <w:noWrap/>
            <w:hideMark/>
          </w:tcPr>
          <w:p w14:paraId="68656DFA" w14:textId="77777777" w:rsidR="004D7B0C" w:rsidRPr="005528D7" w:rsidRDefault="004D7B0C" w:rsidP="00312E88">
            <w:pPr>
              <w:rPr>
                <w:rFonts w:cs="Arial"/>
                <w:color w:val="000000"/>
                <w:sz w:val="18"/>
                <w:szCs w:val="18"/>
              </w:rPr>
            </w:pPr>
            <w:r w:rsidRPr="005528D7">
              <w:rPr>
                <w:rFonts w:cs="Arial"/>
                <w:color w:val="000000"/>
                <w:sz w:val="18"/>
                <w:szCs w:val="18"/>
              </w:rPr>
              <w:t> </w:t>
            </w:r>
          </w:p>
        </w:tc>
      </w:tr>
      <w:tr w:rsidR="004D7B0C" w:rsidRPr="005528D7" w14:paraId="5A2C9AF8"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2385063F"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Daily Activities</w:t>
            </w:r>
          </w:p>
        </w:tc>
        <w:tc>
          <w:tcPr>
            <w:tcW w:w="658" w:type="pct"/>
            <w:tcBorders>
              <w:top w:val="nil"/>
              <w:left w:val="nil"/>
              <w:bottom w:val="nil"/>
              <w:right w:val="nil"/>
            </w:tcBorders>
            <w:shd w:val="clear" w:color="auto" w:fill="auto"/>
            <w:noWrap/>
            <w:hideMark/>
          </w:tcPr>
          <w:p w14:paraId="414D5B47" w14:textId="77777777" w:rsidR="004D7B0C" w:rsidRPr="005528D7" w:rsidRDefault="004D7B0C" w:rsidP="00312E88">
            <w:pPr>
              <w:jc w:val="right"/>
              <w:rPr>
                <w:rFonts w:cs="Arial"/>
                <w:color w:val="000000"/>
                <w:sz w:val="18"/>
                <w:szCs w:val="18"/>
              </w:rPr>
            </w:pPr>
            <w:r w:rsidRPr="005528D7">
              <w:rPr>
                <w:rFonts w:cs="Arial"/>
                <w:color w:val="000000"/>
                <w:sz w:val="18"/>
                <w:szCs w:val="18"/>
              </w:rPr>
              <w:t>15,098</w:t>
            </w:r>
          </w:p>
        </w:tc>
        <w:tc>
          <w:tcPr>
            <w:tcW w:w="658" w:type="pct"/>
            <w:tcBorders>
              <w:top w:val="nil"/>
              <w:left w:val="nil"/>
              <w:bottom w:val="nil"/>
              <w:right w:val="nil"/>
            </w:tcBorders>
            <w:shd w:val="clear" w:color="auto" w:fill="auto"/>
            <w:noWrap/>
            <w:hideMark/>
          </w:tcPr>
          <w:p w14:paraId="4FB39C11" w14:textId="77777777" w:rsidR="004D7B0C" w:rsidRPr="005528D7" w:rsidRDefault="004D7B0C" w:rsidP="00312E88">
            <w:pPr>
              <w:jc w:val="right"/>
              <w:rPr>
                <w:rFonts w:cs="Arial"/>
                <w:color w:val="000000"/>
                <w:sz w:val="18"/>
                <w:szCs w:val="18"/>
              </w:rPr>
            </w:pPr>
            <w:r w:rsidRPr="005528D7">
              <w:rPr>
                <w:rFonts w:cs="Arial"/>
                <w:color w:val="000000"/>
                <w:sz w:val="18"/>
                <w:szCs w:val="18"/>
              </w:rPr>
              <w:t>17,398</w:t>
            </w:r>
          </w:p>
        </w:tc>
        <w:tc>
          <w:tcPr>
            <w:tcW w:w="658" w:type="pct"/>
            <w:tcBorders>
              <w:top w:val="nil"/>
              <w:left w:val="nil"/>
              <w:bottom w:val="nil"/>
              <w:right w:val="nil"/>
            </w:tcBorders>
            <w:shd w:val="clear" w:color="auto" w:fill="auto"/>
            <w:noWrap/>
            <w:hideMark/>
          </w:tcPr>
          <w:p w14:paraId="387719E2" w14:textId="77777777" w:rsidR="004D7B0C" w:rsidRPr="005528D7" w:rsidRDefault="004D7B0C" w:rsidP="00312E88">
            <w:pPr>
              <w:jc w:val="right"/>
              <w:rPr>
                <w:rFonts w:cs="Arial"/>
                <w:color w:val="000000"/>
                <w:sz w:val="18"/>
                <w:szCs w:val="18"/>
              </w:rPr>
            </w:pPr>
            <w:r w:rsidRPr="005528D7">
              <w:rPr>
                <w:rFonts w:cs="Arial"/>
                <w:color w:val="000000"/>
                <w:sz w:val="18"/>
                <w:szCs w:val="18"/>
              </w:rPr>
              <w:t>19,489</w:t>
            </w:r>
          </w:p>
        </w:tc>
        <w:tc>
          <w:tcPr>
            <w:tcW w:w="658" w:type="pct"/>
            <w:tcBorders>
              <w:top w:val="nil"/>
              <w:left w:val="nil"/>
              <w:bottom w:val="nil"/>
              <w:right w:val="nil"/>
            </w:tcBorders>
            <w:shd w:val="clear" w:color="auto" w:fill="auto"/>
            <w:noWrap/>
            <w:hideMark/>
          </w:tcPr>
          <w:p w14:paraId="4C28C78C" w14:textId="77777777" w:rsidR="004D7B0C" w:rsidRPr="005528D7" w:rsidRDefault="004D7B0C" w:rsidP="00312E88">
            <w:pPr>
              <w:jc w:val="right"/>
              <w:rPr>
                <w:rFonts w:cs="Arial"/>
                <w:color w:val="000000"/>
                <w:sz w:val="18"/>
                <w:szCs w:val="18"/>
              </w:rPr>
            </w:pPr>
            <w:r w:rsidRPr="005528D7">
              <w:rPr>
                <w:rFonts w:cs="Arial"/>
                <w:color w:val="000000"/>
                <w:sz w:val="18"/>
                <w:szCs w:val="18"/>
              </w:rPr>
              <w:t>21,405</w:t>
            </w:r>
          </w:p>
        </w:tc>
        <w:tc>
          <w:tcPr>
            <w:tcW w:w="660" w:type="pct"/>
            <w:tcBorders>
              <w:top w:val="nil"/>
              <w:left w:val="single" w:sz="4" w:space="0" w:color="auto"/>
              <w:bottom w:val="nil"/>
              <w:right w:val="single" w:sz="4" w:space="0" w:color="auto"/>
            </w:tcBorders>
            <w:shd w:val="clear" w:color="auto" w:fill="auto"/>
            <w:noWrap/>
            <w:hideMark/>
          </w:tcPr>
          <w:p w14:paraId="537C1489" w14:textId="77777777" w:rsidR="004D7B0C" w:rsidRPr="005528D7" w:rsidRDefault="004D7B0C" w:rsidP="00312E88">
            <w:pPr>
              <w:jc w:val="right"/>
              <w:rPr>
                <w:rFonts w:cs="Arial"/>
                <w:color w:val="000000"/>
                <w:sz w:val="18"/>
                <w:szCs w:val="18"/>
              </w:rPr>
            </w:pPr>
            <w:r w:rsidRPr="005528D7">
              <w:rPr>
                <w:rFonts w:cs="Arial"/>
                <w:color w:val="000000"/>
                <w:sz w:val="18"/>
                <w:szCs w:val="18"/>
              </w:rPr>
              <w:t>31,549</w:t>
            </w:r>
          </w:p>
        </w:tc>
      </w:tr>
      <w:tr w:rsidR="004D7B0C" w:rsidRPr="005528D7" w14:paraId="1130A747"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7C41F5B4"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Social Community Civic</w:t>
            </w:r>
          </w:p>
        </w:tc>
        <w:tc>
          <w:tcPr>
            <w:tcW w:w="658" w:type="pct"/>
            <w:tcBorders>
              <w:top w:val="nil"/>
              <w:left w:val="nil"/>
              <w:bottom w:val="nil"/>
              <w:right w:val="nil"/>
            </w:tcBorders>
            <w:shd w:val="clear" w:color="auto" w:fill="auto"/>
            <w:noWrap/>
            <w:hideMark/>
          </w:tcPr>
          <w:p w14:paraId="097C03E3" w14:textId="77777777" w:rsidR="004D7B0C" w:rsidRPr="005528D7" w:rsidRDefault="004D7B0C" w:rsidP="00312E88">
            <w:pPr>
              <w:jc w:val="right"/>
              <w:rPr>
                <w:rFonts w:cs="Arial"/>
                <w:color w:val="000000"/>
                <w:sz w:val="18"/>
                <w:szCs w:val="18"/>
              </w:rPr>
            </w:pPr>
            <w:r w:rsidRPr="005528D7">
              <w:rPr>
                <w:rFonts w:cs="Arial"/>
                <w:color w:val="000000"/>
                <w:sz w:val="18"/>
                <w:szCs w:val="18"/>
              </w:rPr>
              <w:t>5,159</w:t>
            </w:r>
          </w:p>
        </w:tc>
        <w:tc>
          <w:tcPr>
            <w:tcW w:w="658" w:type="pct"/>
            <w:tcBorders>
              <w:top w:val="nil"/>
              <w:left w:val="nil"/>
              <w:bottom w:val="nil"/>
              <w:right w:val="nil"/>
            </w:tcBorders>
            <w:shd w:val="clear" w:color="auto" w:fill="auto"/>
            <w:noWrap/>
            <w:hideMark/>
          </w:tcPr>
          <w:p w14:paraId="75ADDAED" w14:textId="77777777" w:rsidR="004D7B0C" w:rsidRPr="005528D7" w:rsidRDefault="004D7B0C" w:rsidP="00312E88">
            <w:pPr>
              <w:jc w:val="right"/>
              <w:rPr>
                <w:rFonts w:cs="Arial"/>
                <w:color w:val="000000"/>
                <w:sz w:val="18"/>
                <w:szCs w:val="18"/>
              </w:rPr>
            </w:pPr>
            <w:r w:rsidRPr="005528D7">
              <w:rPr>
                <w:rFonts w:cs="Arial"/>
                <w:color w:val="000000"/>
                <w:sz w:val="18"/>
                <w:szCs w:val="18"/>
              </w:rPr>
              <w:t>6,015</w:t>
            </w:r>
          </w:p>
        </w:tc>
        <w:tc>
          <w:tcPr>
            <w:tcW w:w="658" w:type="pct"/>
            <w:tcBorders>
              <w:top w:val="nil"/>
              <w:left w:val="nil"/>
              <w:bottom w:val="nil"/>
              <w:right w:val="nil"/>
            </w:tcBorders>
            <w:shd w:val="clear" w:color="auto" w:fill="auto"/>
            <w:noWrap/>
            <w:hideMark/>
          </w:tcPr>
          <w:p w14:paraId="29B4B088" w14:textId="77777777" w:rsidR="004D7B0C" w:rsidRPr="005528D7" w:rsidRDefault="004D7B0C" w:rsidP="00312E88">
            <w:pPr>
              <w:jc w:val="right"/>
              <w:rPr>
                <w:rFonts w:cs="Arial"/>
                <w:color w:val="000000"/>
                <w:sz w:val="18"/>
                <w:szCs w:val="18"/>
              </w:rPr>
            </w:pPr>
            <w:r w:rsidRPr="005528D7">
              <w:rPr>
                <w:rFonts w:cs="Arial"/>
                <w:color w:val="000000"/>
                <w:sz w:val="18"/>
                <w:szCs w:val="18"/>
              </w:rPr>
              <w:t>6,795</w:t>
            </w:r>
          </w:p>
        </w:tc>
        <w:tc>
          <w:tcPr>
            <w:tcW w:w="658" w:type="pct"/>
            <w:tcBorders>
              <w:top w:val="nil"/>
              <w:left w:val="nil"/>
              <w:bottom w:val="nil"/>
              <w:right w:val="nil"/>
            </w:tcBorders>
            <w:shd w:val="clear" w:color="auto" w:fill="auto"/>
            <w:noWrap/>
            <w:hideMark/>
          </w:tcPr>
          <w:p w14:paraId="13E523C1" w14:textId="77777777" w:rsidR="004D7B0C" w:rsidRPr="005528D7" w:rsidRDefault="004D7B0C" w:rsidP="00312E88">
            <w:pPr>
              <w:jc w:val="right"/>
              <w:rPr>
                <w:rFonts w:cs="Arial"/>
                <w:color w:val="000000"/>
                <w:sz w:val="18"/>
                <w:szCs w:val="18"/>
              </w:rPr>
            </w:pPr>
            <w:r w:rsidRPr="005528D7">
              <w:rPr>
                <w:rFonts w:cs="Arial"/>
                <w:color w:val="000000"/>
                <w:sz w:val="18"/>
                <w:szCs w:val="18"/>
              </w:rPr>
              <w:t>7,509</w:t>
            </w:r>
          </w:p>
        </w:tc>
        <w:tc>
          <w:tcPr>
            <w:tcW w:w="660" w:type="pct"/>
            <w:tcBorders>
              <w:top w:val="nil"/>
              <w:left w:val="single" w:sz="4" w:space="0" w:color="auto"/>
              <w:bottom w:val="nil"/>
              <w:right w:val="single" w:sz="4" w:space="0" w:color="auto"/>
            </w:tcBorders>
            <w:shd w:val="clear" w:color="auto" w:fill="auto"/>
            <w:noWrap/>
            <w:hideMark/>
          </w:tcPr>
          <w:p w14:paraId="58996E7D" w14:textId="77777777" w:rsidR="004D7B0C" w:rsidRPr="005528D7" w:rsidRDefault="004D7B0C" w:rsidP="00312E88">
            <w:pPr>
              <w:jc w:val="right"/>
              <w:rPr>
                <w:rFonts w:cs="Arial"/>
                <w:color w:val="000000"/>
                <w:sz w:val="18"/>
                <w:szCs w:val="18"/>
              </w:rPr>
            </w:pPr>
            <w:r w:rsidRPr="005528D7">
              <w:rPr>
                <w:rFonts w:cs="Arial"/>
                <w:color w:val="000000"/>
                <w:sz w:val="18"/>
                <w:szCs w:val="18"/>
              </w:rPr>
              <w:t>11,609</w:t>
            </w:r>
          </w:p>
        </w:tc>
      </w:tr>
      <w:tr w:rsidR="004D7B0C" w:rsidRPr="005528D7" w14:paraId="4D639B4D"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128DF78F"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Transport</w:t>
            </w:r>
          </w:p>
        </w:tc>
        <w:tc>
          <w:tcPr>
            <w:tcW w:w="658" w:type="pct"/>
            <w:tcBorders>
              <w:top w:val="nil"/>
              <w:left w:val="nil"/>
              <w:bottom w:val="nil"/>
              <w:right w:val="nil"/>
            </w:tcBorders>
            <w:shd w:val="clear" w:color="auto" w:fill="auto"/>
            <w:noWrap/>
            <w:hideMark/>
          </w:tcPr>
          <w:p w14:paraId="6B5ED53B" w14:textId="77777777" w:rsidR="004D7B0C" w:rsidRPr="005528D7" w:rsidRDefault="004D7B0C" w:rsidP="00312E88">
            <w:pPr>
              <w:jc w:val="right"/>
              <w:rPr>
                <w:rFonts w:cs="Arial"/>
                <w:color w:val="000000"/>
                <w:sz w:val="18"/>
                <w:szCs w:val="18"/>
              </w:rPr>
            </w:pPr>
            <w:r w:rsidRPr="005528D7">
              <w:rPr>
                <w:rFonts w:cs="Arial"/>
                <w:color w:val="000000"/>
                <w:sz w:val="18"/>
                <w:szCs w:val="18"/>
              </w:rPr>
              <w:t>707</w:t>
            </w:r>
          </w:p>
        </w:tc>
        <w:tc>
          <w:tcPr>
            <w:tcW w:w="658" w:type="pct"/>
            <w:tcBorders>
              <w:top w:val="nil"/>
              <w:left w:val="nil"/>
              <w:bottom w:val="nil"/>
              <w:right w:val="nil"/>
            </w:tcBorders>
            <w:shd w:val="clear" w:color="auto" w:fill="auto"/>
            <w:noWrap/>
            <w:hideMark/>
          </w:tcPr>
          <w:p w14:paraId="30271FB0" w14:textId="77777777" w:rsidR="004D7B0C" w:rsidRPr="005528D7" w:rsidRDefault="004D7B0C" w:rsidP="00312E88">
            <w:pPr>
              <w:jc w:val="right"/>
              <w:rPr>
                <w:rFonts w:cs="Arial"/>
                <w:color w:val="000000"/>
                <w:sz w:val="18"/>
                <w:szCs w:val="18"/>
              </w:rPr>
            </w:pPr>
            <w:r w:rsidRPr="005528D7">
              <w:rPr>
                <w:rFonts w:cs="Arial"/>
                <w:color w:val="000000"/>
                <w:sz w:val="18"/>
                <w:szCs w:val="18"/>
              </w:rPr>
              <w:t>850</w:t>
            </w:r>
          </w:p>
        </w:tc>
        <w:tc>
          <w:tcPr>
            <w:tcW w:w="658" w:type="pct"/>
            <w:tcBorders>
              <w:top w:val="nil"/>
              <w:left w:val="nil"/>
              <w:bottom w:val="nil"/>
              <w:right w:val="nil"/>
            </w:tcBorders>
            <w:shd w:val="clear" w:color="auto" w:fill="auto"/>
            <w:noWrap/>
            <w:hideMark/>
          </w:tcPr>
          <w:p w14:paraId="67F7621A" w14:textId="77777777" w:rsidR="004D7B0C" w:rsidRPr="005528D7" w:rsidRDefault="004D7B0C" w:rsidP="00312E88">
            <w:pPr>
              <w:jc w:val="right"/>
              <w:rPr>
                <w:rFonts w:cs="Arial"/>
                <w:color w:val="000000"/>
                <w:sz w:val="18"/>
                <w:szCs w:val="18"/>
              </w:rPr>
            </w:pPr>
            <w:r w:rsidRPr="005528D7">
              <w:rPr>
                <w:rFonts w:cs="Arial"/>
                <w:color w:val="000000"/>
                <w:sz w:val="18"/>
                <w:szCs w:val="18"/>
              </w:rPr>
              <w:t>969</w:t>
            </w:r>
          </w:p>
        </w:tc>
        <w:tc>
          <w:tcPr>
            <w:tcW w:w="658" w:type="pct"/>
            <w:tcBorders>
              <w:top w:val="nil"/>
              <w:left w:val="nil"/>
              <w:bottom w:val="nil"/>
              <w:right w:val="nil"/>
            </w:tcBorders>
            <w:shd w:val="clear" w:color="auto" w:fill="auto"/>
            <w:noWrap/>
            <w:hideMark/>
          </w:tcPr>
          <w:p w14:paraId="187B5E02" w14:textId="77777777" w:rsidR="004D7B0C" w:rsidRPr="005528D7" w:rsidRDefault="004D7B0C" w:rsidP="00312E88">
            <w:pPr>
              <w:jc w:val="right"/>
              <w:rPr>
                <w:rFonts w:cs="Arial"/>
                <w:color w:val="000000"/>
                <w:sz w:val="18"/>
                <w:szCs w:val="18"/>
              </w:rPr>
            </w:pPr>
            <w:r w:rsidRPr="005528D7">
              <w:rPr>
                <w:rFonts w:cs="Arial"/>
                <w:color w:val="000000"/>
                <w:sz w:val="18"/>
                <w:szCs w:val="18"/>
              </w:rPr>
              <w:t>1,078</w:t>
            </w:r>
          </w:p>
        </w:tc>
        <w:tc>
          <w:tcPr>
            <w:tcW w:w="660" w:type="pct"/>
            <w:tcBorders>
              <w:top w:val="nil"/>
              <w:left w:val="single" w:sz="4" w:space="0" w:color="auto"/>
              <w:bottom w:val="nil"/>
              <w:right w:val="single" w:sz="4" w:space="0" w:color="auto"/>
            </w:tcBorders>
            <w:shd w:val="clear" w:color="auto" w:fill="auto"/>
            <w:noWrap/>
            <w:hideMark/>
          </w:tcPr>
          <w:p w14:paraId="4FD22F0B" w14:textId="77777777" w:rsidR="004D7B0C" w:rsidRPr="005528D7" w:rsidRDefault="004D7B0C" w:rsidP="00312E88">
            <w:pPr>
              <w:jc w:val="right"/>
              <w:rPr>
                <w:rFonts w:cs="Arial"/>
                <w:color w:val="000000"/>
                <w:sz w:val="18"/>
                <w:szCs w:val="18"/>
              </w:rPr>
            </w:pPr>
            <w:r w:rsidRPr="005528D7">
              <w:rPr>
                <w:rFonts w:cs="Arial"/>
                <w:color w:val="000000"/>
                <w:sz w:val="18"/>
                <w:szCs w:val="18"/>
              </w:rPr>
              <w:t>1,632</w:t>
            </w:r>
          </w:p>
        </w:tc>
      </w:tr>
      <w:tr w:rsidR="004D7B0C" w:rsidRPr="005528D7" w14:paraId="7DB6B57D"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0149BECE"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Consumables</w:t>
            </w:r>
          </w:p>
        </w:tc>
        <w:tc>
          <w:tcPr>
            <w:tcW w:w="658" w:type="pct"/>
            <w:tcBorders>
              <w:top w:val="nil"/>
              <w:left w:val="nil"/>
              <w:bottom w:val="nil"/>
              <w:right w:val="nil"/>
            </w:tcBorders>
            <w:shd w:val="clear" w:color="auto" w:fill="auto"/>
            <w:noWrap/>
            <w:hideMark/>
          </w:tcPr>
          <w:p w14:paraId="0529928C" w14:textId="77777777" w:rsidR="004D7B0C" w:rsidRPr="005528D7" w:rsidRDefault="004D7B0C" w:rsidP="00312E88">
            <w:pPr>
              <w:jc w:val="right"/>
              <w:rPr>
                <w:rFonts w:cs="Arial"/>
                <w:color w:val="000000"/>
                <w:sz w:val="18"/>
                <w:szCs w:val="18"/>
              </w:rPr>
            </w:pPr>
            <w:r w:rsidRPr="005528D7">
              <w:rPr>
                <w:rFonts w:cs="Arial"/>
                <w:color w:val="000000"/>
                <w:sz w:val="18"/>
                <w:szCs w:val="18"/>
              </w:rPr>
              <w:t>543</w:t>
            </w:r>
          </w:p>
        </w:tc>
        <w:tc>
          <w:tcPr>
            <w:tcW w:w="658" w:type="pct"/>
            <w:tcBorders>
              <w:top w:val="nil"/>
              <w:left w:val="nil"/>
              <w:bottom w:val="nil"/>
              <w:right w:val="nil"/>
            </w:tcBorders>
            <w:shd w:val="clear" w:color="auto" w:fill="auto"/>
            <w:noWrap/>
            <w:hideMark/>
          </w:tcPr>
          <w:p w14:paraId="26E7B0B2" w14:textId="77777777" w:rsidR="004D7B0C" w:rsidRPr="005528D7" w:rsidRDefault="004D7B0C" w:rsidP="00312E88">
            <w:pPr>
              <w:jc w:val="right"/>
              <w:rPr>
                <w:rFonts w:cs="Arial"/>
                <w:color w:val="000000"/>
                <w:sz w:val="18"/>
                <w:szCs w:val="18"/>
              </w:rPr>
            </w:pPr>
            <w:r w:rsidRPr="005528D7">
              <w:rPr>
                <w:rFonts w:cs="Arial"/>
                <w:color w:val="000000"/>
                <w:sz w:val="18"/>
                <w:szCs w:val="18"/>
              </w:rPr>
              <w:t>629</w:t>
            </w:r>
          </w:p>
        </w:tc>
        <w:tc>
          <w:tcPr>
            <w:tcW w:w="658" w:type="pct"/>
            <w:tcBorders>
              <w:top w:val="nil"/>
              <w:left w:val="nil"/>
              <w:bottom w:val="nil"/>
              <w:right w:val="nil"/>
            </w:tcBorders>
            <w:shd w:val="clear" w:color="auto" w:fill="auto"/>
            <w:noWrap/>
            <w:hideMark/>
          </w:tcPr>
          <w:p w14:paraId="2172659B" w14:textId="77777777" w:rsidR="004D7B0C" w:rsidRPr="005528D7" w:rsidRDefault="004D7B0C" w:rsidP="00312E88">
            <w:pPr>
              <w:jc w:val="right"/>
              <w:rPr>
                <w:rFonts w:cs="Arial"/>
                <w:color w:val="000000"/>
                <w:sz w:val="18"/>
                <w:szCs w:val="18"/>
              </w:rPr>
            </w:pPr>
            <w:r w:rsidRPr="005528D7">
              <w:rPr>
                <w:rFonts w:cs="Arial"/>
                <w:color w:val="000000"/>
                <w:sz w:val="18"/>
                <w:szCs w:val="18"/>
              </w:rPr>
              <w:t>704</w:t>
            </w:r>
          </w:p>
        </w:tc>
        <w:tc>
          <w:tcPr>
            <w:tcW w:w="658" w:type="pct"/>
            <w:tcBorders>
              <w:top w:val="nil"/>
              <w:left w:val="nil"/>
              <w:bottom w:val="nil"/>
              <w:right w:val="nil"/>
            </w:tcBorders>
            <w:shd w:val="clear" w:color="auto" w:fill="auto"/>
            <w:noWrap/>
            <w:hideMark/>
          </w:tcPr>
          <w:p w14:paraId="3CB0A3B1" w14:textId="77777777" w:rsidR="004D7B0C" w:rsidRPr="005528D7" w:rsidRDefault="004D7B0C" w:rsidP="00312E88">
            <w:pPr>
              <w:jc w:val="right"/>
              <w:rPr>
                <w:rFonts w:cs="Arial"/>
                <w:color w:val="000000"/>
                <w:sz w:val="18"/>
                <w:szCs w:val="18"/>
              </w:rPr>
            </w:pPr>
            <w:r w:rsidRPr="005528D7">
              <w:rPr>
                <w:rFonts w:cs="Arial"/>
                <w:color w:val="000000"/>
                <w:sz w:val="18"/>
                <w:szCs w:val="18"/>
              </w:rPr>
              <w:t>770</w:t>
            </w:r>
          </w:p>
        </w:tc>
        <w:tc>
          <w:tcPr>
            <w:tcW w:w="660" w:type="pct"/>
            <w:tcBorders>
              <w:top w:val="nil"/>
              <w:left w:val="single" w:sz="4" w:space="0" w:color="auto"/>
              <w:bottom w:val="nil"/>
              <w:right w:val="single" w:sz="4" w:space="0" w:color="auto"/>
            </w:tcBorders>
            <w:shd w:val="clear" w:color="auto" w:fill="auto"/>
            <w:noWrap/>
            <w:hideMark/>
          </w:tcPr>
          <w:p w14:paraId="5F849E38" w14:textId="77777777" w:rsidR="004D7B0C" w:rsidRPr="005528D7" w:rsidRDefault="004D7B0C" w:rsidP="00312E88">
            <w:pPr>
              <w:jc w:val="right"/>
              <w:rPr>
                <w:rFonts w:cs="Arial"/>
                <w:color w:val="000000"/>
                <w:sz w:val="18"/>
                <w:szCs w:val="18"/>
              </w:rPr>
            </w:pPr>
            <w:r w:rsidRPr="005528D7">
              <w:rPr>
                <w:rFonts w:cs="Arial"/>
                <w:color w:val="000000"/>
                <w:sz w:val="18"/>
                <w:szCs w:val="18"/>
              </w:rPr>
              <w:t>1,067</w:t>
            </w:r>
          </w:p>
        </w:tc>
      </w:tr>
      <w:tr w:rsidR="004D7B0C" w:rsidRPr="005528D7" w14:paraId="16E7DC4C"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655D72DF" w14:textId="77777777" w:rsidR="004D7B0C" w:rsidRPr="005528D7" w:rsidRDefault="004D7B0C" w:rsidP="00312E88">
            <w:pPr>
              <w:rPr>
                <w:rFonts w:cs="Arial"/>
                <w:b/>
                <w:bCs/>
                <w:color w:val="000000"/>
                <w:sz w:val="18"/>
                <w:szCs w:val="18"/>
              </w:rPr>
            </w:pPr>
            <w:r w:rsidRPr="005528D7">
              <w:rPr>
                <w:rFonts w:cs="Arial"/>
                <w:b/>
                <w:bCs/>
                <w:color w:val="000000"/>
                <w:sz w:val="18"/>
                <w:szCs w:val="18"/>
              </w:rPr>
              <w:t>Capital</w:t>
            </w:r>
          </w:p>
        </w:tc>
        <w:tc>
          <w:tcPr>
            <w:tcW w:w="658" w:type="pct"/>
            <w:tcBorders>
              <w:top w:val="nil"/>
              <w:left w:val="nil"/>
              <w:bottom w:val="nil"/>
              <w:right w:val="nil"/>
            </w:tcBorders>
            <w:shd w:val="clear" w:color="auto" w:fill="auto"/>
            <w:noWrap/>
            <w:hideMark/>
          </w:tcPr>
          <w:p w14:paraId="4D0CB598" w14:textId="77777777" w:rsidR="004D7B0C" w:rsidRPr="005528D7" w:rsidRDefault="004D7B0C" w:rsidP="00312E88">
            <w:pPr>
              <w:rPr>
                <w:rFonts w:cs="Arial"/>
                <w:b/>
                <w:bCs/>
                <w:color w:val="000000"/>
                <w:sz w:val="18"/>
                <w:szCs w:val="18"/>
              </w:rPr>
            </w:pPr>
          </w:p>
        </w:tc>
        <w:tc>
          <w:tcPr>
            <w:tcW w:w="658" w:type="pct"/>
            <w:tcBorders>
              <w:top w:val="nil"/>
              <w:left w:val="nil"/>
              <w:bottom w:val="nil"/>
              <w:right w:val="nil"/>
            </w:tcBorders>
            <w:shd w:val="clear" w:color="auto" w:fill="auto"/>
            <w:noWrap/>
            <w:hideMark/>
          </w:tcPr>
          <w:p w14:paraId="7B9F6739" w14:textId="77777777" w:rsidR="004D7B0C" w:rsidRPr="005528D7" w:rsidRDefault="004D7B0C" w:rsidP="00312E88">
            <w:pPr>
              <w:rPr>
                <w:rFonts w:cs="Arial"/>
                <w:sz w:val="18"/>
                <w:szCs w:val="18"/>
              </w:rPr>
            </w:pPr>
          </w:p>
        </w:tc>
        <w:tc>
          <w:tcPr>
            <w:tcW w:w="658" w:type="pct"/>
            <w:tcBorders>
              <w:top w:val="nil"/>
              <w:left w:val="nil"/>
              <w:bottom w:val="nil"/>
              <w:right w:val="nil"/>
            </w:tcBorders>
            <w:shd w:val="clear" w:color="auto" w:fill="auto"/>
            <w:noWrap/>
            <w:hideMark/>
          </w:tcPr>
          <w:p w14:paraId="2D480233" w14:textId="77777777" w:rsidR="004D7B0C" w:rsidRPr="005528D7" w:rsidRDefault="004D7B0C" w:rsidP="00312E88">
            <w:pPr>
              <w:rPr>
                <w:rFonts w:cs="Arial"/>
                <w:sz w:val="18"/>
                <w:szCs w:val="18"/>
              </w:rPr>
            </w:pPr>
          </w:p>
        </w:tc>
        <w:tc>
          <w:tcPr>
            <w:tcW w:w="658" w:type="pct"/>
            <w:tcBorders>
              <w:top w:val="nil"/>
              <w:left w:val="nil"/>
              <w:bottom w:val="nil"/>
              <w:right w:val="nil"/>
            </w:tcBorders>
            <w:shd w:val="clear" w:color="auto" w:fill="auto"/>
            <w:noWrap/>
            <w:hideMark/>
          </w:tcPr>
          <w:p w14:paraId="3E89282F" w14:textId="77777777" w:rsidR="004D7B0C" w:rsidRPr="005528D7" w:rsidRDefault="004D7B0C" w:rsidP="00312E88">
            <w:pPr>
              <w:rPr>
                <w:rFonts w:cs="Arial"/>
                <w:sz w:val="18"/>
                <w:szCs w:val="18"/>
              </w:rPr>
            </w:pPr>
          </w:p>
        </w:tc>
        <w:tc>
          <w:tcPr>
            <w:tcW w:w="660" w:type="pct"/>
            <w:tcBorders>
              <w:top w:val="nil"/>
              <w:left w:val="single" w:sz="4" w:space="0" w:color="auto"/>
              <w:bottom w:val="nil"/>
              <w:right w:val="single" w:sz="4" w:space="0" w:color="auto"/>
            </w:tcBorders>
            <w:shd w:val="clear" w:color="auto" w:fill="auto"/>
            <w:noWrap/>
            <w:hideMark/>
          </w:tcPr>
          <w:p w14:paraId="2ED75BC2" w14:textId="77777777" w:rsidR="004D7B0C" w:rsidRPr="005528D7" w:rsidRDefault="004D7B0C" w:rsidP="00312E88">
            <w:pPr>
              <w:rPr>
                <w:rFonts w:cs="Arial"/>
                <w:color w:val="000000"/>
                <w:sz w:val="18"/>
                <w:szCs w:val="18"/>
              </w:rPr>
            </w:pPr>
            <w:r w:rsidRPr="005528D7">
              <w:rPr>
                <w:rFonts w:cs="Arial"/>
                <w:color w:val="000000"/>
                <w:sz w:val="18"/>
                <w:szCs w:val="18"/>
              </w:rPr>
              <w:t> </w:t>
            </w:r>
          </w:p>
        </w:tc>
      </w:tr>
      <w:tr w:rsidR="004D7B0C" w:rsidRPr="005528D7" w14:paraId="0FAC23E4"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57FB19A3"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Assistive Technology</w:t>
            </w:r>
          </w:p>
        </w:tc>
        <w:tc>
          <w:tcPr>
            <w:tcW w:w="658" w:type="pct"/>
            <w:tcBorders>
              <w:top w:val="nil"/>
              <w:left w:val="nil"/>
              <w:bottom w:val="nil"/>
              <w:right w:val="nil"/>
            </w:tcBorders>
            <w:shd w:val="clear" w:color="auto" w:fill="auto"/>
            <w:noWrap/>
            <w:hideMark/>
          </w:tcPr>
          <w:p w14:paraId="57136DBC" w14:textId="77777777" w:rsidR="004D7B0C" w:rsidRPr="005528D7" w:rsidRDefault="004D7B0C" w:rsidP="00312E88">
            <w:pPr>
              <w:jc w:val="right"/>
              <w:rPr>
                <w:rFonts w:cs="Arial"/>
                <w:color w:val="000000"/>
                <w:sz w:val="18"/>
                <w:szCs w:val="18"/>
              </w:rPr>
            </w:pPr>
            <w:r w:rsidRPr="005528D7">
              <w:rPr>
                <w:rFonts w:cs="Arial"/>
                <w:color w:val="000000"/>
                <w:sz w:val="18"/>
                <w:szCs w:val="18"/>
              </w:rPr>
              <w:t>668</w:t>
            </w:r>
          </w:p>
        </w:tc>
        <w:tc>
          <w:tcPr>
            <w:tcW w:w="658" w:type="pct"/>
            <w:tcBorders>
              <w:top w:val="nil"/>
              <w:left w:val="nil"/>
              <w:bottom w:val="nil"/>
              <w:right w:val="nil"/>
            </w:tcBorders>
            <w:shd w:val="clear" w:color="auto" w:fill="auto"/>
            <w:noWrap/>
            <w:hideMark/>
          </w:tcPr>
          <w:p w14:paraId="1F65B83D" w14:textId="77777777" w:rsidR="004D7B0C" w:rsidRPr="005528D7" w:rsidRDefault="004D7B0C" w:rsidP="00312E88">
            <w:pPr>
              <w:jc w:val="right"/>
              <w:rPr>
                <w:rFonts w:cs="Arial"/>
                <w:color w:val="000000"/>
                <w:sz w:val="18"/>
                <w:szCs w:val="18"/>
              </w:rPr>
            </w:pPr>
            <w:r w:rsidRPr="005528D7">
              <w:rPr>
                <w:rFonts w:cs="Arial"/>
                <w:color w:val="000000"/>
                <w:sz w:val="18"/>
                <w:szCs w:val="18"/>
              </w:rPr>
              <w:t>767</w:t>
            </w:r>
          </w:p>
        </w:tc>
        <w:tc>
          <w:tcPr>
            <w:tcW w:w="658" w:type="pct"/>
            <w:tcBorders>
              <w:top w:val="nil"/>
              <w:left w:val="nil"/>
              <w:bottom w:val="nil"/>
              <w:right w:val="nil"/>
            </w:tcBorders>
            <w:shd w:val="clear" w:color="auto" w:fill="auto"/>
            <w:noWrap/>
            <w:hideMark/>
          </w:tcPr>
          <w:p w14:paraId="1C59C811" w14:textId="77777777" w:rsidR="004D7B0C" w:rsidRPr="005528D7" w:rsidRDefault="004D7B0C" w:rsidP="00312E88">
            <w:pPr>
              <w:jc w:val="right"/>
              <w:rPr>
                <w:rFonts w:cs="Arial"/>
                <w:color w:val="000000"/>
                <w:sz w:val="18"/>
                <w:szCs w:val="18"/>
              </w:rPr>
            </w:pPr>
            <w:r w:rsidRPr="005528D7">
              <w:rPr>
                <w:rFonts w:cs="Arial"/>
                <w:color w:val="000000"/>
                <w:sz w:val="18"/>
                <w:szCs w:val="18"/>
              </w:rPr>
              <w:t>853</w:t>
            </w:r>
          </w:p>
        </w:tc>
        <w:tc>
          <w:tcPr>
            <w:tcW w:w="658" w:type="pct"/>
            <w:tcBorders>
              <w:top w:val="nil"/>
              <w:left w:val="nil"/>
              <w:bottom w:val="nil"/>
              <w:right w:val="nil"/>
            </w:tcBorders>
            <w:shd w:val="clear" w:color="auto" w:fill="auto"/>
            <w:noWrap/>
            <w:hideMark/>
          </w:tcPr>
          <w:p w14:paraId="3B5CE7BA" w14:textId="77777777" w:rsidR="004D7B0C" w:rsidRPr="005528D7" w:rsidRDefault="004D7B0C" w:rsidP="00312E88">
            <w:pPr>
              <w:jc w:val="right"/>
              <w:rPr>
                <w:rFonts w:cs="Arial"/>
                <w:color w:val="000000"/>
                <w:sz w:val="18"/>
                <w:szCs w:val="18"/>
              </w:rPr>
            </w:pPr>
            <w:r w:rsidRPr="005528D7">
              <w:rPr>
                <w:rFonts w:cs="Arial"/>
                <w:color w:val="000000"/>
                <w:sz w:val="18"/>
                <w:szCs w:val="18"/>
              </w:rPr>
              <w:t>928</w:t>
            </w:r>
          </w:p>
        </w:tc>
        <w:tc>
          <w:tcPr>
            <w:tcW w:w="660" w:type="pct"/>
            <w:tcBorders>
              <w:top w:val="nil"/>
              <w:left w:val="single" w:sz="4" w:space="0" w:color="auto"/>
              <w:bottom w:val="nil"/>
              <w:right w:val="single" w:sz="4" w:space="0" w:color="auto"/>
            </w:tcBorders>
            <w:shd w:val="clear" w:color="auto" w:fill="auto"/>
            <w:noWrap/>
            <w:hideMark/>
          </w:tcPr>
          <w:p w14:paraId="7632A335" w14:textId="77777777" w:rsidR="004D7B0C" w:rsidRPr="005528D7" w:rsidRDefault="004D7B0C" w:rsidP="00312E88">
            <w:pPr>
              <w:jc w:val="right"/>
              <w:rPr>
                <w:rFonts w:cs="Arial"/>
                <w:color w:val="000000"/>
                <w:sz w:val="18"/>
                <w:szCs w:val="18"/>
              </w:rPr>
            </w:pPr>
            <w:r w:rsidRPr="005528D7">
              <w:rPr>
                <w:rFonts w:cs="Arial"/>
                <w:color w:val="000000"/>
                <w:sz w:val="18"/>
                <w:szCs w:val="18"/>
              </w:rPr>
              <w:t>1,246</w:t>
            </w:r>
          </w:p>
        </w:tc>
      </w:tr>
      <w:tr w:rsidR="004D7B0C" w:rsidRPr="005528D7" w14:paraId="51C53635"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59E98A37"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Home Modifications</w:t>
            </w:r>
          </w:p>
        </w:tc>
        <w:tc>
          <w:tcPr>
            <w:tcW w:w="658" w:type="pct"/>
            <w:tcBorders>
              <w:top w:val="nil"/>
              <w:left w:val="nil"/>
              <w:bottom w:val="nil"/>
              <w:right w:val="nil"/>
            </w:tcBorders>
            <w:shd w:val="clear" w:color="auto" w:fill="auto"/>
            <w:noWrap/>
            <w:hideMark/>
          </w:tcPr>
          <w:p w14:paraId="6F683625" w14:textId="77777777" w:rsidR="004D7B0C" w:rsidRPr="005528D7" w:rsidRDefault="004D7B0C" w:rsidP="00312E88">
            <w:pPr>
              <w:jc w:val="right"/>
              <w:rPr>
                <w:rFonts w:cs="Arial"/>
                <w:color w:val="000000"/>
                <w:sz w:val="18"/>
                <w:szCs w:val="18"/>
              </w:rPr>
            </w:pPr>
            <w:r w:rsidRPr="005528D7">
              <w:rPr>
                <w:rFonts w:cs="Arial"/>
                <w:color w:val="000000"/>
                <w:sz w:val="18"/>
                <w:szCs w:val="18"/>
              </w:rPr>
              <w:t>283</w:t>
            </w:r>
          </w:p>
        </w:tc>
        <w:tc>
          <w:tcPr>
            <w:tcW w:w="658" w:type="pct"/>
            <w:tcBorders>
              <w:top w:val="nil"/>
              <w:left w:val="nil"/>
              <w:bottom w:val="nil"/>
              <w:right w:val="nil"/>
            </w:tcBorders>
            <w:shd w:val="clear" w:color="auto" w:fill="auto"/>
            <w:noWrap/>
            <w:hideMark/>
          </w:tcPr>
          <w:p w14:paraId="0BF2254D" w14:textId="77777777" w:rsidR="004D7B0C" w:rsidRPr="005528D7" w:rsidRDefault="004D7B0C" w:rsidP="00312E88">
            <w:pPr>
              <w:jc w:val="right"/>
              <w:rPr>
                <w:rFonts w:cs="Arial"/>
                <w:color w:val="000000"/>
                <w:sz w:val="18"/>
                <w:szCs w:val="18"/>
              </w:rPr>
            </w:pPr>
            <w:r w:rsidRPr="005528D7">
              <w:rPr>
                <w:rFonts w:cs="Arial"/>
                <w:color w:val="000000"/>
                <w:sz w:val="18"/>
                <w:szCs w:val="18"/>
              </w:rPr>
              <w:t>344</w:t>
            </w:r>
          </w:p>
        </w:tc>
        <w:tc>
          <w:tcPr>
            <w:tcW w:w="658" w:type="pct"/>
            <w:tcBorders>
              <w:top w:val="nil"/>
              <w:left w:val="nil"/>
              <w:bottom w:val="nil"/>
              <w:right w:val="nil"/>
            </w:tcBorders>
            <w:shd w:val="clear" w:color="auto" w:fill="auto"/>
            <w:noWrap/>
            <w:hideMark/>
          </w:tcPr>
          <w:p w14:paraId="638DB830" w14:textId="77777777" w:rsidR="004D7B0C" w:rsidRPr="005528D7" w:rsidRDefault="004D7B0C" w:rsidP="00312E88">
            <w:pPr>
              <w:jc w:val="right"/>
              <w:rPr>
                <w:rFonts w:cs="Arial"/>
                <w:color w:val="000000"/>
                <w:sz w:val="18"/>
                <w:szCs w:val="18"/>
              </w:rPr>
            </w:pPr>
            <w:r w:rsidRPr="005528D7">
              <w:rPr>
                <w:rFonts w:cs="Arial"/>
                <w:color w:val="000000"/>
                <w:sz w:val="18"/>
                <w:szCs w:val="18"/>
              </w:rPr>
              <w:t>382</w:t>
            </w:r>
          </w:p>
        </w:tc>
        <w:tc>
          <w:tcPr>
            <w:tcW w:w="658" w:type="pct"/>
            <w:tcBorders>
              <w:top w:val="nil"/>
              <w:left w:val="nil"/>
              <w:bottom w:val="nil"/>
              <w:right w:val="nil"/>
            </w:tcBorders>
            <w:shd w:val="clear" w:color="auto" w:fill="auto"/>
            <w:noWrap/>
            <w:hideMark/>
          </w:tcPr>
          <w:p w14:paraId="4EDFF2A3" w14:textId="77777777" w:rsidR="004D7B0C" w:rsidRPr="005528D7" w:rsidRDefault="004D7B0C" w:rsidP="00312E88">
            <w:pPr>
              <w:jc w:val="right"/>
              <w:rPr>
                <w:rFonts w:cs="Arial"/>
                <w:color w:val="000000"/>
                <w:sz w:val="18"/>
                <w:szCs w:val="18"/>
              </w:rPr>
            </w:pPr>
            <w:r w:rsidRPr="005528D7">
              <w:rPr>
                <w:rFonts w:cs="Arial"/>
                <w:color w:val="000000"/>
                <w:sz w:val="18"/>
                <w:szCs w:val="18"/>
              </w:rPr>
              <w:t>416</w:t>
            </w:r>
          </w:p>
        </w:tc>
        <w:tc>
          <w:tcPr>
            <w:tcW w:w="660" w:type="pct"/>
            <w:tcBorders>
              <w:top w:val="nil"/>
              <w:left w:val="single" w:sz="4" w:space="0" w:color="auto"/>
              <w:bottom w:val="nil"/>
              <w:right w:val="single" w:sz="4" w:space="0" w:color="auto"/>
            </w:tcBorders>
            <w:shd w:val="clear" w:color="auto" w:fill="auto"/>
            <w:noWrap/>
            <w:hideMark/>
          </w:tcPr>
          <w:p w14:paraId="006C31F5" w14:textId="77777777" w:rsidR="004D7B0C" w:rsidRPr="005528D7" w:rsidRDefault="004D7B0C" w:rsidP="00312E88">
            <w:pPr>
              <w:jc w:val="right"/>
              <w:rPr>
                <w:rFonts w:cs="Arial"/>
                <w:color w:val="000000"/>
                <w:sz w:val="18"/>
                <w:szCs w:val="18"/>
              </w:rPr>
            </w:pPr>
            <w:r w:rsidRPr="005528D7">
              <w:rPr>
                <w:rFonts w:cs="Arial"/>
                <w:color w:val="000000"/>
                <w:sz w:val="18"/>
                <w:szCs w:val="18"/>
              </w:rPr>
              <w:t>566</w:t>
            </w:r>
          </w:p>
        </w:tc>
      </w:tr>
      <w:tr w:rsidR="004D7B0C" w:rsidRPr="005528D7" w14:paraId="24D0307E"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15BD5D8F" w14:textId="77777777" w:rsidR="004D7B0C" w:rsidRPr="005528D7" w:rsidRDefault="004D7B0C" w:rsidP="00312E88">
            <w:pPr>
              <w:rPr>
                <w:rFonts w:cs="Arial"/>
                <w:b/>
                <w:bCs/>
                <w:color w:val="000000"/>
                <w:sz w:val="18"/>
                <w:szCs w:val="18"/>
              </w:rPr>
            </w:pPr>
            <w:r w:rsidRPr="005528D7">
              <w:rPr>
                <w:rFonts w:cs="Arial"/>
                <w:b/>
                <w:bCs/>
                <w:color w:val="000000"/>
                <w:sz w:val="18"/>
                <w:szCs w:val="18"/>
              </w:rPr>
              <w:t>Capacity Building</w:t>
            </w:r>
          </w:p>
        </w:tc>
        <w:tc>
          <w:tcPr>
            <w:tcW w:w="658" w:type="pct"/>
            <w:tcBorders>
              <w:top w:val="nil"/>
              <w:left w:val="nil"/>
              <w:bottom w:val="nil"/>
              <w:right w:val="nil"/>
            </w:tcBorders>
            <w:shd w:val="clear" w:color="auto" w:fill="auto"/>
            <w:noWrap/>
            <w:hideMark/>
          </w:tcPr>
          <w:p w14:paraId="1CBAEEC6" w14:textId="77777777" w:rsidR="004D7B0C" w:rsidRPr="005528D7" w:rsidRDefault="004D7B0C" w:rsidP="00312E88">
            <w:pPr>
              <w:rPr>
                <w:rFonts w:cs="Arial"/>
                <w:b/>
                <w:bCs/>
                <w:color w:val="000000"/>
                <w:sz w:val="18"/>
                <w:szCs w:val="18"/>
              </w:rPr>
            </w:pPr>
          </w:p>
        </w:tc>
        <w:tc>
          <w:tcPr>
            <w:tcW w:w="658" w:type="pct"/>
            <w:tcBorders>
              <w:top w:val="nil"/>
              <w:left w:val="nil"/>
              <w:bottom w:val="nil"/>
              <w:right w:val="nil"/>
            </w:tcBorders>
            <w:shd w:val="clear" w:color="auto" w:fill="auto"/>
            <w:noWrap/>
            <w:hideMark/>
          </w:tcPr>
          <w:p w14:paraId="4A66E1C5" w14:textId="77777777" w:rsidR="004D7B0C" w:rsidRPr="005528D7" w:rsidRDefault="004D7B0C" w:rsidP="00312E88">
            <w:pPr>
              <w:rPr>
                <w:rFonts w:cs="Arial"/>
                <w:sz w:val="18"/>
                <w:szCs w:val="18"/>
              </w:rPr>
            </w:pPr>
          </w:p>
        </w:tc>
        <w:tc>
          <w:tcPr>
            <w:tcW w:w="658" w:type="pct"/>
            <w:tcBorders>
              <w:top w:val="nil"/>
              <w:left w:val="nil"/>
              <w:bottom w:val="nil"/>
              <w:right w:val="nil"/>
            </w:tcBorders>
            <w:shd w:val="clear" w:color="auto" w:fill="auto"/>
            <w:noWrap/>
            <w:hideMark/>
          </w:tcPr>
          <w:p w14:paraId="67F0131D" w14:textId="77777777" w:rsidR="004D7B0C" w:rsidRPr="005528D7" w:rsidRDefault="004D7B0C" w:rsidP="00312E88">
            <w:pPr>
              <w:rPr>
                <w:rFonts w:cs="Arial"/>
                <w:sz w:val="18"/>
                <w:szCs w:val="18"/>
              </w:rPr>
            </w:pPr>
          </w:p>
        </w:tc>
        <w:tc>
          <w:tcPr>
            <w:tcW w:w="658" w:type="pct"/>
            <w:tcBorders>
              <w:top w:val="nil"/>
              <w:left w:val="nil"/>
              <w:bottom w:val="nil"/>
              <w:right w:val="nil"/>
            </w:tcBorders>
            <w:shd w:val="clear" w:color="auto" w:fill="auto"/>
            <w:noWrap/>
            <w:hideMark/>
          </w:tcPr>
          <w:p w14:paraId="001A237E" w14:textId="77777777" w:rsidR="004D7B0C" w:rsidRPr="005528D7" w:rsidRDefault="004D7B0C" w:rsidP="00312E88">
            <w:pPr>
              <w:rPr>
                <w:rFonts w:cs="Arial"/>
                <w:sz w:val="18"/>
                <w:szCs w:val="18"/>
              </w:rPr>
            </w:pPr>
          </w:p>
        </w:tc>
        <w:tc>
          <w:tcPr>
            <w:tcW w:w="660" w:type="pct"/>
            <w:tcBorders>
              <w:top w:val="nil"/>
              <w:left w:val="single" w:sz="4" w:space="0" w:color="auto"/>
              <w:bottom w:val="nil"/>
              <w:right w:val="single" w:sz="4" w:space="0" w:color="auto"/>
            </w:tcBorders>
            <w:shd w:val="clear" w:color="auto" w:fill="auto"/>
            <w:noWrap/>
            <w:hideMark/>
          </w:tcPr>
          <w:p w14:paraId="05D05817" w14:textId="77777777" w:rsidR="004D7B0C" w:rsidRPr="005528D7" w:rsidRDefault="004D7B0C" w:rsidP="00312E88">
            <w:pPr>
              <w:rPr>
                <w:rFonts w:cs="Arial"/>
                <w:color w:val="000000"/>
                <w:sz w:val="18"/>
                <w:szCs w:val="18"/>
              </w:rPr>
            </w:pPr>
            <w:r w:rsidRPr="005528D7">
              <w:rPr>
                <w:rFonts w:cs="Arial"/>
                <w:color w:val="000000"/>
                <w:sz w:val="18"/>
                <w:szCs w:val="18"/>
              </w:rPr>
              <w:t> </w:t>
            </w:r>
          </w:p>
        </w:tc>
      </w:tr>
      <w:tr w:rsidR="004D7B0C" w:rsidRPr="005528D7" w14:paraId="293CCDDD"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61E11438"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CB Daily Activities</w:t>
            </w:r>
          </w:p>
        </w:tc>
        <w:tc>
          <w:tcPr>
            <w:tcW w:w="658" w:type="pct"/>
            <w:tcBorders>
              <w:top w:val="nil"/>
              <w:left w:val="nil"/>
              <w:bottom w:val="nil"/>
              <w:right w:val="nil"/>
            </w:tcBorders>
            <w:shd w:val="clear" w:color="auto" w:fill="auto"/>
            <w:noWrap/>
            <w:hideMark/>
          </w:tcPr>
          <w:p w14:paraId="12D19614" w14:textId="77777777" w:rsidR="004D7B0C" w:rsidRPr="005528D7" w:rsidRDefault="004D7B0C" w:rsidP="00312E88">
            <w:pPr>
              <w:jc w:val="right"/>
              <w:rPr>
                <w:rFonts w:cs="Arial"/>
                <w:color w:val="000000"/>
                <w:sz w:val="18"/>
                <w:szCs w:val="18"/>
              </w:rPr>
            </w:pPr>
            <w:r w:rsidRPr="005528D7">
              <w:rPr>
                <w:rFonts w:cs="Arial"/>
                <w:color w:val="000000"/>
                <w:sz w:val="18"/>
                <w:szCs w:val="18"/>
              </w:rPr>
              <w:t>3,305</w:t>
            </w:r>
          </w:p>
        </w:tc>
        <w:tc>
          <w:tcPr>
            <w:tcW w:w="658" w:type="pct"/>
            <w:tcBorders>
              <w:top w:val="nil"/>
              <w:left w:val="nil"/>
              <w:bottom w:val="nil"/>
              <w:right w:val="nil"/>
            </w:tcBorders>
            <w:shd w:val="clear" w:color="auto" w:fill="auto"/>
            <w:noWrap/>
            <w:hideMark/>
          </w:tcPr>
          <w:p w14:paraId="0D774473" w14:textId="77777777" w:rsidR="004D7B0C" w:rsidRPr="005528D7" w:rsidRDefault="004D7B0C" w:rsidP="00312E88">
            <w:pPr>
              <w:jc w:val="right"/>
              <w:rPr>
                <w:rFonts w:cs="Arial"/>
                <w:color w:val="000000"/>
                <w:sz w:val="18"/>
                <w:szCs w:val="18"/>
              </w:rPr>
            </w:pPr>
            <w:r w:rsidRPr="005528D7">
              <w:rPr>
                <w:rFonts w:cs="Arial"/>
                <w:color w:val="000000"/>
                <w:sz w:val="18"/>
                <w:szCs w:val="18"/>
              </w:rPr>
              <w:t>3,930</w:t>
            </w:r>
          </w:p>
        </w:tc>
        <w:tc>
          <w:tcPr>
            <w:tcW w:w="658" w:type="pct"/>
            <w:tcBorders>
              <w:top w:val="nil"/>
              <w:left w:val="nil"/>
              <w:bottom w:val="nil"/>
              <w:right w:val="nil"/>
            </w:tcBorders>
            <w:shd w:val="clear" w:color="auto" w:fill="auto"/>
            <w:noWrap/>
            <w:hideMark/>
          </w:tcPr>
          <w:p w14:paraId="3389B8AF" w14:textId="77777777" w:rsidR="004D7B0C" w:rsidRPr="005528D7" w:rsidRDefault="004D7B0C" w:rsidP="00312E88">
            <w:pPr>
              <w:jc w:val="right"/>
              <w:rPr>
                <w:rFonts w:cs="Arial"/>
                <w:color w:val="000000"/>
                <w:sz w:val="18"/>
                <w:szCs w:val="18"/>
              </w:rPr>
            </w:pPr>
            <w:r w:rsidRPr="005528D7">
              <w:rPr>
                <w:rFonts w:cs="Arial"/>
                <w:color w:val="000000"/>
                <w:sz w:val="18"/>
                <w:szCs w:val="18"/>
              </w:rPr>
              <w:t>4,493</w:t>
            </w:r>
          </w:p>
        </w:tc>
        <w:tc>
          <w:tcPr>
            <w:tcW w:w="658" w:type="pct"/>
            <w:tcBorders>
              <w:top w:val="nil"/>
              <w:left w:val="nil"/>
              <w:bottom w:val="nil"/>
              <w:right w:val="nil"/>
            </w:tcBorders>
            <w:shd w:val="clear" w:color="auto" w:fill="auto"/>
            <w:noWrap/>
            <w:hideMark/>
          </w:tcPr>
          <w:p w14:paraId="457EE14C" w14:textId="77777777" w:rsidR="004D7B0C" w:rsidRPr="005528D7" w:rsidRDefault="004D7B0C" w:rsidP="00312E88">
            <w:pPr>
              <w:jc w:val="right"/>
              <w:rPr>
                <w:rFonts w:cs="Arial"/>
                <w:color w:val="000000"/>
                <w:sz w:val="18"/>
                <w:szCs w:val="18"/>
              </w:rPr>
            </w:pPr>
            <w:r w:rsidRPr="005528D7">
              <w:rPr>
                <w:rFonts w:cs="Arial"/>
                <w:color w:val="000000"/>
                <w:sz w:val="18"/>
                <w:szCs w:val="18"/>
              </w:rPr>
              <w:t>4,995</w:t>
            </w:r>
          </w:p>
        </w:tc>
        <w:tc>
          <w:tcPr>
            <w:tcW w:w="660" w:type="pct"/>
            <w:tcBorders>
              <w:top w:val="nil"/>
              <w:left w:val="single" w:sz="4" w:space="0" w:color="auto"/>
              <w:bottom w:val="nil"/>
              <w:right w:val="single" w:sz="4" w:space="0" w:color="auto"/>
            </w:tcBorders>
            <w:shd w:val="clear" w:color="auto" w:fill="auto"/>
            <w:noWrap/>
            <w:hideMark/>
          </w:tcPr>
          <w:p w14:paraId="2F9604A4" w14:textId="77777777" w:rsidR="004D7B0C" w:rsidRPr="005528D7" w:rsidRDefault="004D7B0C" w:rsidP="00312E88">
            <w:pPr>
              <w:jc w:val="right"/>
              <w:rPr>
                <w:rFonts w:cs="Arial"/>
                <w:color w:val="000000"/>
                <w:sz w:val="18"/>
                <w:szCs w:val="18"/>
              </w:rPr>
            </w:pPr>
            <w:r w:rsidRPr="005528D7">
              <w:rPr>
                <w:rFonts w:cs="Arial"/>
                <w:color w:val="000000"/>
                <w:sz w:val="18"/>
                <w:szCs w:val="18"/>
              </w:rPr>
              <w:t>7,099</w:t>
            </w:r>
          </w:p>
        </w:tc>
      </w:tr>
      <w:tr w:rsidR="004D7B0C" w:rsidRPr="005528D7" w14:paraId="76403146"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1CB2594D"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Support Coordination</w:t>
            </w:r>
          </w:p>
        </w:tc>
        <w:tc>
          <w:tcPr>
            <w:tcW w:w="658" w:type="pct"/>
            <w:tcBorders>
              <w:top w:val="nil"/>
              <w:left w:val="nil"/>
              <w:bottom w:val="nil"/>
              <w:right w:val="nil"/>
            </w:tcBorders>
            <w:shd w:val="clear" w:color="auto" w:fill="auto"/>
            <w:noWrap/>
            <w:hideMark/>
          </w:tcPr>
          <w:p w14:paraId="0118936D" w14:textId="77777777" w:rsidR="004D7B0C" w:rsidRPr="005528D7" w:rsidRDefault="004D7B0C" w:rsidP="00312E88">
            <w:pPr>
              <w:jc w:val="right"/>
              <w:rPr>
                <w:rFonts w:cs="Arial"/>
                <w:color w:val="000000"/>
                <w:sz w:val="18"/>
                <w:szCs w:val="18"/>
              </w:rPr>
            </w:pPr>
            <w:r w:rsidRPr="005528D7">
              <w:rPr>
                <w:rFonts w:cs="Arial"/>
                <w:color w:val="000000"/>
                <w:sz w:val="18"/>
                <w:szCs w:val="18"/>
              </w:rPr>
              <w:t>673</w:t>
            </w:r>
          </w:p>
        </w:tc>
        <w:tc>
          <w:tcPr>
            <w:tcW w:w="658" w:type="pct"/>
            <w:tcBorders>
              <w:top w:val="nil"/>
              <w:left w:val="nil"/>
              <w:bottom w:val="nil"/>
              <w:right w:val="nil"/>
            </w:tcBorders>
            <w:shd w:val="clear" w:color="auto" w:fill="auto"/>
            <w:noWrap/>
            <w:hideMark/>
          </w:tcPr>
          <w:p w14:paraId="26DC75C5" w14:textId="77777777" w:rsidR="004D7B0C" w:rsidRPr="005528D7" w:rsidRDefault="004D7B0C" w:rsidP="00312E88">
            <w:pPr>
              <w:jc w:val="right"/>
              <w:rPr>
                <w:rFonts w:cs="Arial"/>
                <w:color w:val="000000"/>
                <w:sz w:val="18"/>
                <w:szCs w:val="18"/>
              </w:rPr>
            </w:pPr>
            <w:r w:rsidRPr="005528D7">
              <w:rPr>
                <w:rFonts w:cs="Arial"/>
                <w:color w:val="000000"/>
                <w:sz w:val="18"/>
                <w:szCs w:val="18"/>
              </w:rPr>
              <w:t>850</w:t>
            </w:r>
          </w:p>
        </w:tc>
        <w:tc>
          <w:tcPr>
            <w:tcW w:w="658" w:type="pct"/>
            <w:tcBorders>
              <w:top w:val="nil"/>
              <w:left w:val="nil"/>
              <w:bottom w:val="nil"/>
              <w:right w:val="nil"/>
            </w:tcBorders>
            <w:shd w:val="clear" w:color="auto" w:fill="auto"/>
            <w:noWrap/>
            <w:hideMark/>
          </w:tcPr>
          <w:p w14:paraId="729ED0BE" w14:textId="77777777" w:rsidR="004D7B0C" w:rsidRPr="005528D7" w:rsidRDefault="004D7B0C" w:rsidP="00312E88">
            <w:pPr>
              <w:jc w:val="right"/>
              <w:rPr>
                <w:rFonts w:cs="Arial"/>
                <w:color w:val="000000"/>
                <w:sz w:val="18"/>
                <w:szCs w:val="18"/>
              </w:rPr>
            </w:pPr>
            <w:r w:rsidRPr="005528D7">
              <w:rPr>
                <w:rFonts w:cs="Arial"/>
                <w:color w:val="000000"/>
                <w:sz w:val="18"/>
                <w:szCs w:val="18"/>
              </w:rPr>
              <w:t>999</w:t>
            </w:r>
          </w:p>
        </w:tc>
        <w:tc>
          <w:tcPr>
            <w:tcW w:w="658" w:type="pct"/>
            <w:tcBorders>
              <w:top w:val="nil"/>
              <w:left w:val="nil"/>
              <w:bottom w:val="nil"/>
              <w:right w:val="nil"/>
            </w:tcBorders>
            <w:shd w:val="clear" w:color="auto" w:fill="auto"/>
            <w:noWrap/>
            <w:hideMark/>
          </w:tcPr>
          <w:p w14:paraId="51BB0DFC" w14:textId="77777777" w:rsidR="004D7B0C" w:rsidRPr="005528D7" w:rsidRDefault="004D7B0C" w:rsidP="00312E88">
            <w:pPr>
              <w:jc w:val="right"/>
              <w:rPr>
                <w:rFonts w:cs="Arial"/>
                <w:color w:val="000000"/>
                <w:sz w:val="18"/>
                <w:szCs w:val="18"/>
              </w:rPr>
            </w:pPr>
            <w:r w:rsidRPr="005528D7">
              <w:rPr>
                <w:rFonts w:cs="Arial"/>
                <w:color w:val="000000"/>
                <w:sz w:val="18"/>
                <w:szCs w:val="18"/>
              </w:rPr>
              <w:t>1,105</w:t>
            </w:r>
          </w:p>
        </w:tc>
        <w:tc>
          <w:tcPr>
            <w:tcW w:w="660" w:type="pct"/>
            <w:tcBorders>
              <w:top w:val="nil"/>
              <w:left w:val="single" w:sz="4" w:space="0" w:color="auto"/>
              <w:bottom w:val="nil"/>
              <w:right w:val="single" w:sz="4" w:space="0" w:color="auto"/>
            </w:tcBorders>
            <w:shd w:val="clear" w:color="auto" w:fill="auto"/>
            <w:noWrap/>
            <w:hideMark/>
          </w:tcPr>
          <w:p w14:paraId="10144FA5" w14:textId="77777777" w:rsidR="004D7B0C" w:rsidRPr="005528D7" w:rsidRDefault="004D7B0C" w:rsidP="00312E88">
            <w:pPr>
              <w:jc w:val="right"/>
              <w:rPr>
                <w:rFonts w:cs="Arial"/>
                <w:color w:val="000000"/>
                <w:sz w:val="18"/>
                <w:szCs w:val="18"/>
              </w:rPr>
            </w:pPr>
            <w:r w:rsidRPr="005528D7">
              <w:rPr>
                <w:rFonts w:cs="Arial"/>
                <w:color w:val="000000"/>
                <w:sz w:val="18"/>
                <w:szCs w:val="18"/>
              </w:rPr>
              <w:t>1,624</w:t>
            </w:r>
          </w:p>
        </w:tc>
      </w:tr>
      <w:tr w:rsidR="004D7B0C" w:rsidRPr="005528D7" w14:paraId="70E119C9"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17AF3D73"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CB Employment</w:t>
            </w:r>
          </w:p>
        </w:tc>
        <w:tc>
          <w:tcPr>
            <w:tcW w:w="658" w:type="pct"/>
            <w:tcBorders>
              <w:top w:val="nil"/>
              <w:left w:val="nil"/>
              <w:bottom w:val="nil"/>
              <w:right w:val="nil"/>
            </w:tcBorders>
            <w:shd w:val="clear" w:color="auto" w:fill="auto"/>
            <w:noWrap/>
            <w:hideMark/>
          </w:tcPr>
          <w:p w14:paraId="38D5115C" w14:textId="77777777" w:rsidR="004D7B0C" w:rsidRPr="005528D7" w:rsidRDefault="004D7B0C" w:rsidP="00312E88">
            <w:pPr>
              <w:jc w:val="right"/>
              <w:rPr>
                <w:rFonts w:cs="Arial"/>
                <w:color w:val="000000"/>
                <w:sz w:val="18"/>
                <w:szCs w:val="18"/>
              </w:rPr>
            </w:pPr>
            <w:r w:rsidRPr="005528D7">
              <w:rPr>
                <w:rFonts w:cs="Arial"/>
                <w:color w:val="000000"/>
                <w:sz w:val="18"/>
                <w:szCs w:val="18"/>
              </w:rPr>
              <w:t>481</w:t>
            </w:r>
          </w:p>
        </w:tc>
        <w:tc>
          <w:tcPr>
            <w:tcW w:w="658" w:type="pct"/>
            <w:tcBorders>
              <w:top w:val="nil"/>
              <w:left w:val="nil"/>
              <w:bottom w:val="nil"/>
              <w:right w:val="nil"/>
            </w:tcBorders>
            <w:shd w:val="clear" w:color="auto" w:fill="auto"/>
            <w:noWrap/>
            <w:hideMark/>
          </w:tcPr>
          <w:p w14:paraId="6107D32E" w14:textId="77777777" w:rsidR="004D7B0C" w:rsidRPr="005528D7" w:rsidRDefault="004D7B0C" w:rsidP="00312E88">
            <w:pPr>
              <w:jc w:val="right"/>
              <w:rPr>
                <w:rFonts w:cs="Arial"/>
                <w:color w:val="000000"/>
                <w:sz w:val="18"/>
                <w:szCs w:val="18"/>
              </w:rPr>
            </w:pPr>
            <w:r w:rsidRPr="005528D7">
              <w:rPr>
                <w:rFonts w:cs="Arial"/>
                <w:color w:val="000000"/>
                <w:sz w:val="18"/>
                <w:szCs w:val="18"/>
              </w:rPr>
              <w:t>703</w:t>
            </w:r>
          </w:p>
        </w:tc>
        <w:tc>
          <w:tcPr>
            <w:tcW w:w="658" w:type="pct"/>
            <w:tcBorders>
              <w:top w:val="nil"/>
              <w:left w:val="nil"/>
              <w:bottom w:val="nil"/>
              <w:right w:val="nil"/>
            </w:tcBorders>
            <w:shd w:val="clear" w:color="auto" w:fill="auto"/>
            <w:noWrap/>
            <w:hideMark/>
          </w:tcPr>
          <w:p w14:paraId="043D86F9" w14:textId="77777777" w:rsidR="004D7B0C" w:rsidRPr="005528D7" w:rsidRDefault="004D7B0C" w:rsidP="00312E88">
            <w:pPr>
              <w:jc w:val="right"/>
              <w:rPr>
                <w:rFonts w:cs="Arial"/>
                <w:color w:val="000000"/>
                <w:sz w:val="18"/>
                <w:szCs w:val="18"/>
              </w:rPr>
            </w:pPr>
            <w:r w:rsidRPr="005528D7">
              <w:rPr>
                <w:rFonts w:cs="Arial"/>
                <w:color w:val="000000"/>
                <w:sz w:val="18"/>
                <w:szCs w:val="18"/>
              </w:rPr>
              <w:t>839</w:t>
            </w:r>
          </w:p>
        </w:tc>
        <w:tc>
          <w:tcPr>
            <w:tcW w:w="658" w:type="pct"/>
            <w:tcBorders>
              <w:top w:val="nil"/>
              <w:left w:val="nil"/>
              <w:bottom w:val="nil"/>
              <w:right w:val="nil"/>
            </w:tcBorders>
            <w:shd w:val="clear" w:color="auto" w:fill="auto"/>
            <w:noWrap/>
            <w:hideMark/>
          </w:tcPr>
          <w:p w14:paraId="476FAA37" w14:textId="77777777" w:rsidR="004D7B0C" w:rsidRPr="005528D7" w:rsidRDefault="004D7B0C" w:rsidP="00312E88">
            <w:pPr>
              <w:jc w:val="right"/>
              <w:rPr>
                <w:rFonts w:cs="Arial"/>
                <w:color w:val="000000"/>
                <w:sz w:val="18"/>
                <w:szCs w:val="18"/>
              </w:rPr>
            </w:pPr>
            <w:r w:rsidRPr="005528D7">
              <w:rPr>
                <w:rFonts w:cs="Arial"/>
                <w:color w:val="000000"/>
                <w:sz w:val="18"/>
                <w:szCs w:val="18"/>
              </w:rPr>
              <w:t>951</w:t>
            </w:r>
          </w:p>
        </w:tc>
        <w:tc>
          <w:tcPr>
            <w:tcW w:w="660" w:type="pct"/>
            <w:tcBorders>
              <w:top w:val="nil"/>
              <w:left w:val="single" w:sz="4" w:space="0" w:color="auto"/>
              <w:bottom w:val="nil"/>
              <w:right w:val="single" w:sz="4" w:space="0" w:color="auto"/>
            </w:tcBorders>
            <w:shd w:val="clear" w:color="auto" w:fill="auto"/>
            <w:noWrap/>
            <w:hideMark/>
          </w:tcPr>
          <w:p w14:paraId="21E1DCD2" w14:textId="77777777" w:rsidR="004D7B0C" w:rsidRPr="005528D7" w:rsidRDefault="004D7B0C" w:rsidP="00312E88">
            <w:pPr>
              <w:jc w:val="right"/>
              <w:rPr>
                <w:rFonts w:cs="Arial"/>
                <w:color w:val="000000"/>
                <w:sz w:val="18"/>
                <w:szCs w:val="18"/>
              </w:rPr>
            </w:pPr>
            <w:r w:rsidRPr="005528D7">
              <w:rPr>
                <w:rFonts w:cs="Arial"/>
                <w:color w:val="000000"/>
                <w:sz w:val="18"/>
                <w:szCs w:val="18"/>
              </w:rPr>
              <w:t>1,655</w:t>
            </w:r>
          </w:p>
        </w:tc>
      </w:tr>
      <w:tr w:rsidR="004D7B0C" w:rsidRPr="005528D7" w14:paraId="0BCA1C51"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06A72863"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CB Choice and Control</w:t>
            </w:r>
          </w:p>
        </w:tc>
        <w:tc>
          <w:tcPr>
            <w:tcW w:w="658" w:type="pct"/>
            <w:tcBorders>
              <w:top w:val="nil"/>
              <w:left w:val="nil"/>
              <w:bottom w:val="nil"/>
              <w:right w:val="nil"/>
            </w:tcBorders>
            <w:shd w:val="clear" w:color="auto" w:fill="auto"/>
            <w:noWrap/>
            <w:hideMark/>
          </w:tcPr>
          <w:p w14:paraId="55C514E3" w14:textId="77777777" w:rsidR="004D7B0C" w:rsidRPr="005528D7" w:rsidRDefault="004D7B0C" w:rsidP="00312E88">
            <w:pPr>
              <w:jc w:val="right"/>
              <w:rPr>
                <w:rFonts w:cs="Arial"/>
                <w:color w:val="000000"/>
                <w:sz w:val="18"/>
                <w:szCs w:val="18"/>
              </w:rPr>
            </w:pPr>
            <w:r w:rsidRPr="005528D7">
              <w:rPr>
                <w:rFonts w:cs="Arial"/>
                <w:color w:val="000000"/>
                <w:sz w:val="18"/>
                <w:szCs w:val="18"/>
              </w:rPr>
              <w:t>326</w:t>
            </w:r>
          </w:p>
        </w:tc>
        <w:tc>
          <w:tcPr>
            <w:tcW w:w="658" w:type="pct"/>
            <w:tcBorders>
              <w:top w:val="nil"/>
              <w:left w:val="nil"/>
              <w:bottom w:val="nil"/>
              <w:right w:val="nil"/>
            </w:tcBorders>
            <w:shd w:val="clear" w:color="auto" w:fill="auto"/>
            <w:noWrap/>
            <w:hideMark/>
          </w:tcPr>
          <w:p w14:paraId="04BF27C7" w14:textId="77777777" w:rsidR="004D7B0C" w:rsidRPr="005528D7" w:rsidRDefault="004D7B0C" w:rsidP="00312E88">
            <w:pPr>
              <w:jc w:val="right"/>
              <w:rPr>
                <w:rFonts w:cs="Arial"/>
                <w:color w:val="000000"/>
                <w:sz w:val="18"/>
                <w:szCs w:val="18"/>
              </w:rPr>
            </w:pPr>
            <w:r w:rsidRPr="005528D7">
              <w:rPr>
                <w:rFonts w:cs="Arial"/>
                <w:color w:val="000000"/>
                <w:sz w:val="18"/>
                <w:szCs w:val="18"/>
              </w:rPr>
              <w:t>408</w:t>
            </w:r>
          </w:p>
        </w:tc>
        <w:tc>
          <w:tcPr>
            <w:tcW w:w="658" w:type="pct"/>
            <w:tcBorders>
              <w:top w:val="nil"/>
              <w:left w:val="nil"/>
              <w:bottom w:val="nil"/>
              <w:right w:val="nil"/>
            </w:tcBorders>
            <w:shd w:val="clear" w:color="auto" w:fill="auto"/>
            <w:noWrap/>
            <w:hideMark/>
          </w:tcPr>
          <w:p w14:paraId="3465B291" w14:textId="77777777" w:rsidR="004D7B0C" w:rsidRPr="005528D7" w:rsidRDefault="004D7B0C" w:rsidP="00312E88">
            <w:pPr>
              <w:jc w:val="right"/>
              <w:rPr>
                <w:rFonts w:cs="Arial"/>
                <w:color w:val="000000"/>
                <w:sz w:val="18"/>
                <w:szCs w:val="18"/>
              </w:rPr>
            </w:pPr>
            <w:r w:rsidRPr="005528D7">
              <w:rPr>
                <w:rFonts w:cs="Arial"/>
                <w:color w:val="000000"/>
                <w:sz w:val="18"/>
                <w:szCs w:val="18"/>
              </w:rPr>
              <w:t>478</w:t>
            </w:r>
          </w:p>
        </w:tc>
        <w:tc>
          <w:tcPr>
            <w:tcW w:w="658" w:type="pct"/>
            <w:tcBorders>
              <w:top w:val="nil"/>
              <w:left w:val="nil"/>
              <w:bottom w:val="nil"/>
              <w:right w:val="nil"/>
            </w:tcBorders>
            <w:shd w:val="clear" w:color="auto" w:fill="auto"/>
            <w:noWrap/>
            <w:hideMark/>
          </w:tcPr>
          <w:p w14:paraId="3C804423" w14:textId="77777777" w:rsidR="004D7B0C" w:rsidRPr="005528D7" w:rsidRDefault="004D7B0C" w:rsidP="00312E88">
            <w:pPr>
              <w:jc w:val="right"/>
              <w:rPr>
                <w:rFonts w:cs="Arial"/>
                <w:color w:val="000000"/>
                <w:sz w:val="18"/>
                <w:szCs w:val="18"/>
              </w:rPr>
            </w:pPr>
            <w:r w:rsidRPr="005528D7">
              <w:rPr>
                <w:rFonts w:cs="Arial"/>
                <w:color w:val="000000"/>
                <w:sz w:val="18"/>
                <w:szCs w:val="18"/>
              </w:rPr>
              <w:t>532</w:t>
            </w:r>
          </w:p>
        </w:tc>
        <w:tc>
          <w:tcPr>
            <w:tcW w:w="660" w:type="pct"/>
            <w:tcBorders>
              <w:top w:val="nil"/>
              <w:left w:val="single" w:sz="4" w:space="0" w:color="auto"/>
              <w:bottom w:val="nil"/>
              <w:right w:val="single" w:sz="4" w:space="0" w:color="auto"/>
            </w:tcBorders>
            <w:shd w:val="clear" w:color="auto" w:fill="auto"/>
            <w:noWrap/>
            <w:hideMark/>
          </w:tcPr>
          <w:p w14:paraId="1FC2B5EE" w14:textId="77777777" w:rsidR="004D7B0C" w:rsidRPr="005528D7" w:rsidRDefault="004D7B0C" w:rsidP="00312E88">
            <w:pPr>
              <w:jc w:val="right"/>
              <w:rPr>
                <w:rFonts w:cs="Arial"/>
                <w:color w:val="000000"/>
                <w:sz w:val="18"/>
                <w:szCs w:val="18"/>
              </w:rPr>
            </w:pPr>
            <w:r w:rsidRPr="005528D7">
              <w:rPr>
                <w:rFonts w:cs="Arial"/>
                <w:color w:val="000000"/>
                <w:sz w:val="18"/>
                <w:szCs w:val="18"/>
              </w:rPr>
              <w:t>795</w:t>
            </w:r>
          </w:p>
        </w:tc>
      </w:tr>
      <w:tr w:rsidR="004D7B0C" w:rsidRPr="005528D7" w14:paraId="145D2AAF" w14:textId="77777777" w:rsidTr="004D7B0C">
        <w:trPr>
          <w:trHeight w:hRule="exact" w:val="284"/>
          <w:tblHeader/>
        </w:trPr>
        <w:tc>
          <w:tcPr>
            <w:tcW w:w="1708" w:type="pct"/>
            <w:tcBorders>
              <w:top w:val="nil"/>
              <w:left w:val="single" w:sz="4" w:space="0" w:color="auto"/>
              <w:bottom w:val="nil"/>
              <w:right w:val="single" w:sz="4" w:space="0" w:color="auto"/>
            </w:tcBorders>
            <w:shd w:val="clear" w:color="auto" w:fill="auto"/>
            <w:noWrap/>
            <w:hideMark/>
          </w:tcPr>
          <w:p w14:paraId="63AD1362" w14:textId="77777777" w:rsidR="004D7B0C" w:rsidRPr="005528D7" w:rsidRDefault="004D7B0C" w:rsidP="00312E88">
            <w:pPr>
              <w:ind w:firstLineChars="100" w:firstLine="180"/>
              <w:rPr>
                <w:rFonts w:cs="Arial"/>
                <w:i/>
                <w:iCs/>
                <w:color w:val="000000"/>
                <w:sz w:val="18"/>
                <w:szCs w:val="18"/>
              </w:rPr>
            </w:pPr>
            <w:r w:rsidRPr="005528D7">
              <w:rPr>
                <w:rFonts w:cs="Arial"/>
                <w:i/>
                <w:iCs/>
                <w:color w:val="000000"/>
                <w:sz w:val="18"/>
                <w:szCs w:val="18"/>
              </w:rPr>
              <w:t>Other CB supports</w:t>
            </w:r>
          </w:p>
        </w:tc>
        <w:tc>
          <w:tcPr>
            <w:tcW w:w="658" w:type="pct"/>
            <w:tcBorders>
              <w:top w:val="nil"/>
              <w:left w:val="nil"/>
              <w:bottom w:val="nil"/>
              <w:right w:val="nil"/>
            </w:tcBorders>
            <w:shd w:val="clear" w:color="auto" w:fill="auto"/>
            <w:noWrap/>
            <w:hideMark/>
          </w:tcPr>
          <w:p w14:paraId="01CD8D24" w14:textId="77777777" w:rsidR="004D7B0C" w:rsidRPr="005528D7" w:rsidRDefault="004D7B0C" w:rsidP="00312E88">
            <w:pPr>
              <w:jc w:val="right"/>
              <w:rPr>
                <w:rFonts w:cs="Arial"/>
                <w:color w:val="000000"/>
                <w:sz w:val="18"/>
                <w:szCs w:val="18"/>
              </w:rPr>
            </w:pPr>
            <w:r w:rsidRPr="005528D7">
              <w:rPr>
                <w:rFonts w:cs="Arial"/>
                <w:color w:val="000000"/>
                <w:sz w:val="18"/>
                <w:szCs w:val="18"/>
              </w:rPr>
              <w:t>456</w:t>
            </w:r>
          </w:p>
        </w:tc>
        <w:tc>
          <w:tcPr>
            <w:tcW w:w="658" w:type="pct"/>
            <w:tcBorders>
              <w:top w:val="nil"/>
              <w:left w:val="nil"/>
              <w:bottom w:val="nil"/>
              <w:right w:val="nil"/>
            </w:tcBorders>
            <w:shd w:val="clear" w:color="auto" w:fill="auto"/>
            <w:noWrap/>
            <w:hideMark/>
          </w:tcPr>
          <w:p w14:paraId="45AC5F31" w14:textId="77777777" w:rsidR="004D7B0C" w:rsidRPr="005528D7" w:rsidRDefault="004D7B0C" w:rsidP="00312E88">
            <w:pPr>
              <w:jc w:val="right"/>
              <w:rPr>
                <w:rFonts w:cs="Arial"/>
                <w:color w:val="000000"/>
                <w:sz w:val="18"/>
                <w:szCs w:val="18"/>
              </w:rPr>
            </w:pPr>
            <w:r w:rsidRPr="005528D7">
              <w:rPr>
                <w:rFonts w:cs="Arial"/>
                <w:color w:val="000000"/>
                <w:sz w:val="18"/>
                <w:szCs w:val="18"/>
              </w:rPr>
              <w:t>541</w:t>
            </w:r>
          </w:p>
        </w:tc>
        <w:tc>
          <w:tcPr>
            <w:tcW w:w="658" w:type="pct"/>
            <w:tcBorders>
              <w:top w:val="nil"/>
              <w:left w:val="nil"/>
              <w:bottom w:val="nil"/>
              <w:right w:val="nil"/>
            </w:tcBorders>
            <w:shd w:val="clear" w:color="auto" w:fill="auto"/>
            <w:noWrap/>
            <w:hideMark/>
          </w:tcPr>
          <w:p w14:paraId="00CCAEBA" w14:textId="77777777" w:rsidR="004D7B0C" w:rsidRPr="005528D7" w:rsidRDefault="004D7B0C" w:rsidP="00312E88">
            <w:pPr>
              <w:jc w:val="right"/>
              <w:rPr>
                <w:rFonts w:cs="Arial"/>
                <w:color w:val="000000"/>
                <w:sz w:val="18"/>
                <w:szCs w:val="18"/>
              </w:rPr>
            </w:pPr>
            <w:r w:rsidRPr="005528D7">
              <w:rPr>
                <w:rFonts w:cs="Arial"/>
                <w:color w:val="000000"/>
                <w:sz w:val="18"/>
                <w:szCs w:val="18"/>
              </w:rPr>
              <w:t>621</w:t>
            </w:r>
          </w:p>
        </w:tc>
        <w:tc>
          <w:tcPr>
            <w:tcW w:w="658" w:type="pct"/>
            <w:tcBorders>
              <w:top w:val="nil"/>
              <w:left w:val="nil"/>
              <w:bottom w:val="nil"/>
              <w:right w:val="nil"/>
            </w:tcBorders>
            <w:shd w:val="clear" w:color="auto" w:fill="auto"/>
            <w:noWrap/>
            <w:hideMark/>
          </w:tcPr>
          <w:p w14:paraId="4757CA78" w14:textId="77777777" w:rsidR="004D7B0C" w:rsidRPr="005528D7" w:rsidRDefault="004D7B0C" w:rsidP="00312E88">
            <w:pPr>
              <w:jc w:val="right"/>
              <w:rPr>
                <w:rFonts w:cs="Arial"/>
                <w:color w:val="000000"/>
                <w:sz w:val="18"/>
                <w:szCs w:val="18"/>
              </w:rPr>
            </w:pPr>
            <w:r w:rsidRPr="005528D7">
              <w:rPr>
                <w:rFonts w:cs="Arial"/>
                <w:color w:val="000000"/>
                <w:sz w:val="18"/>
                <w:szCs w:val="18"/>
              </w:rPr>
              <w:t>695</w:t>
            </w:r>
          </w:p>
        </w:tc>
        <w:tc>
          <w:tcPr>
            <w:tcW w:w="660" w:type="pct"/>
            <w:tcBorders>
              <w:top w:val="nil"/>
              <w:left w:val="single" w:sz="4" w:space="0" w:color="auto"/>
              <w:bottom w:val="nil"/>
              <w:right w:val="single" w:sz="4" w:space="0" w:color="auto"/>
            </w:tcBorders>
            <w:shd w:val="clear" w:color="auto" w:fill="auto"/>
            <w:noWrap/>
            <w:hideMark/>
          </w:tcPr>
          <w:p w14:paraId="0DFF4094" w14:textId="77777777" w:rsidR="004D7B0C" w:rsidRPr="005528D7" w:rsidRDefault="004D7B0C" w:rsidP="00312E88">
            <w:pPr>
              <w:jc w:val="right"/>
              <w:rPr>
                <w:rFonts w:cs="Arial"/>
                <w:color w:val="000000"/>
                <w:sz w:val="18"/>
                <w:szCs w:val="18"/>
              </w:rPr>
            </w:pPr>
            <w:r w:rsidRPr="005528D7">
              <w:rPr>
                <w:rFonts w:cs="Arial"/>
                <w:color w:val="000000"/>
                <w:sz w:val="18"/>
                <w:szCs w:val="18"/>
              </w:rPr>
              <w:t>1,075</w:t>
            </w:r>
          </w:p>
        </w:tc>
      </w:tr>
      <w:tr w:rsidR="004D7B0C" w:rsidRPr="005528D7" w14:paraId="2FD38FB2" w14:textId="77777777" w:rsidTr="004D7B0C">
        <w:trPr>
          <w:trHeight w:hRule="exact" w:val="284"/>
          <w:tblHeader/>
        </w:trPr>
        <w:tc>
          <w:tcPr>
            <w:tcW w:w="1708" w:type="pct"/>
            <w:tcBorders>
              <w:top w:val="single" w:sz="4" w:space="0" w:color="auto"/>
              <w:left w:val="single" w:sz="4" w:space="0" w:color="auto"/>
              <w:bottom w:val="single" w:sz="4" w:space="0" w:color="auto"/>
              <w:right w:val="nil"/>
            </w:tcBorders>
            <w:shd w:val="clear" w:color="auto" w:fill="auto"/>
            <w:noWrap/>
            <w:hideMark/>
          </w:tcPr>
          <w:p w14:paraId="553B48E6" w14:textId="77777777" w:rsidR="004D7B0C" w:rsidRPr="005528D7" w:rsidRDefault="004D7B0C" w:rsidP="00312E88">
            <w:pPr>
              <w:rPr>
                <w:rFonts w:cs="Arial"/>
                <w:b/>
                <w:bCs/>
                <w:color w:val="000000"/>
                <w:sz w:val="18"/>
                <w:szCs w:val="18"/>
              </w:rPr>
            </w:pPr>
            <w:r w:rsidRPr="005528D7">
              <w:rPr>
                <w:rFonts w:cs="Arial"/>
                <w:b/>
                <w:bCs/>
                <w:color w:val="000000"/>
                <w:sz w:val="18"/>
                <w:szCs w:val="18"/>
              </w:rPr>
              <w:t>Total</w:t>
            </w:r>
          </w:p>
        </w:tc>
        <w:tc>
          <w:tcPr>
            <w:tcW w:w="658" w:type="pct"/>
            <w:tcBorders>
              <w:top w:val="single" w:sz="4" w:space="0" w:color="auto"/>
              <w:left w:val="single" w:sz="4" w:space="0" w:color="auto"/>
              <w:bottom w:val="single" w:sz="4" w:space="0" w:color="auto"/>
              <w:right w:val="nil"/>
            </w:tcBorders>
            <w:shd w:val="clear" w:color="auto" w:fill="auto"/>
            <w:noWrap/>
            <w:hideMark/>
          </w:tcPr>
          <w:p w14:paraId="5E688AC7" w14:textId="77777777" w:rsidR="004D7B0C" w:rsidRPr="005528D7" w:rsidRDefault="004D7B0C" w:rsidP="00312E88">
            <w:pPr>
              <w:jc w:val="right"/>
              <w:rPr>
                <w:rFonts w:cs="Arial"/>
                <w:b/>
                <w:bCs/>
                <w:color w:val="000000"/>
                <w:sz w:val="18"/>
                <w:szCs w:val="18"/>
              </w:rPr>
            </w:pPr>
            <w:r w:rsidRPr="005528D7">
              <w:rPr>
                <w:rFonts w:cs="Arial"/>
                <w:b/>
                <w:bCs/>
                <w:color w:val="000000"/>
                <w:sz w:val="18"/>
                <w:szCs w:val="18"/>
              </w:rPr>
              <w:t>27,699</w:t>
            </w:r>
          </w:p>
        </w:tc>
        <w:tc>
          <w:tcPr>
            <w:tcW w:w="658" w:type="pct"/>
            <w:tcBorders>
              <w:top w:val="single" w:sz="4" w:space="0" w:color="auto"/>
              <w:left w:val="nil"/>
              <w:bottom w:val="single" w:sz="4" w:space="0" w:color="auto"/>
              <w:right w:val="nil"/>
            </w:tcBorders>
            <w:shd w:val="clear" w:color="auto" w:fill="auto"/>
            <w:noWrap/>
            <w:hideMark/>
          </w:tcPr>
          <w:p w14:paraId="6BA0CB5B" w14:textId="77777777" w:rsidR="004D7B0C" w:rsidRPr="005528D7" w:rsidRDefault="004D7B0C" w:rsidP="00312E88">
            <w:pPr>
              <w:jc w:val="right"/>
              <w:rPr>
                <w:rFonts w:cs="Arial"/>
                <w:b/>
                <w:bCs/>
                <w:color w:val="000000"/>
                <w:sz w:val="18"/>
                <w:szCs w:val="18"/>
              </w:rPr>
            </w:pPr>
            <w:r w:rsidRPr="005528D7">
              <w:rPr>
                <w:rFonts w:cs="Arial"/>
                <w:b/>
                <w:bCs/>
                <w:color w:val="000000"/>
                <w:sz w:val="18"/>
                <w:szCs w:val="18"/>
              </w:rPr>
              <w:t>32,436</w:t>
            </w:r>
          </w:p>
        </w:tc>
        <w:tc>
          <w:tcPr>
            <w:tcW w:w="658" w:type="pct"/>
            <w:tcBorders>
              <w:top w:val="single" w:sz="4" w:space="0" w:color="auto"/>
              <w:left w:val="nil"/>
              <w:bottom w:val="single" w:sz="4" w:space="0" w:color="auto"/>
              <w:right w:val="nil"/>
            </w:tcBorders>
            <w:shd w:val="clear" w:color="auto" w:fill="auto"/>
            <w:noWrap/>
            <w:hideMark/>
          </w:tcPr>
          <w:p w14:paraId="12A664D0" w14:textId="77777777" w:rsidR="004D7B0C" w:rsidRPr="005528D7" w:rsidRDefault="004D7B0C" w:rsidP="00312E88">
            <w:pPr>
              <w:jc w:val="right"/>
              <w:rPr>
                <w:rFonts w:cs="Arial"/>
                <w:b/>
                <w:bCs/>
                <w:color w:val="000000"/>
                <w:sz w:val="18"/>
                <w:szCs w:val="18"/>
              </w:rPr>
            </w:pPr>
            <w:r w:rsidRPr="005528D7">
              <w:rPr>
                <w:rFonts w:cs="Arial"/>
                <w:b/>
                <w:bCs/>
                <w:color w:val="000000"/>
                <w:sz w:val="18"/>
                <w:szCs w:val="18"/>
              </w:rPr>
              <w:t>36,622</w:t>
            </w:r>
          </w:p>
        </w:tc>
        <w:tc>
          <w:tcPr>
            <w:tcW w:w="658" w:type="pct"/>
            <w:tcBorders>
              <w:top w:val="single" w:sz="4" w:space="0" w:color="auto"/>
              <w:left w:val="nil"/>
              <w:bottom w:val="single" w:sz="4" w:space="0" w:color="auto"/>
              <w:right w:val="nil"/>
            </w:tcBorders>
            <w:shd w:val="clear" w:color="auto" w:fill="auto"/>
            <w:noWrap/>
            <w:hideMark/>
          </w:tcPr>
          <w:p w14:paraId="147631B1" w14:textId="77777777" w:rsidR="004D7B0C" w:rsidRPr="005528D7" w:rsidRDefault="004D7B0C" w:rsidP="00312E88">
            <w:pPr>
              <w:jc w:val="right"/>
              <w:rPr>
                <w:rFonts w:cs="Arial"/>
                <w:b/>
                <w:bCs/>
                <w:color w:val="000000"/>
                <w:sz w:val="18"/>
                <w:szCs w:val="18"/>
              </w:rPr>
            </w:pPr>
            <w:r w:rsidRPr="005528D7">
              <w:rPr>
                <w:rFonts w:cs="Arial"/>
                <w:b/>
                <w:bCs/>
                <w:color w:val="000000"/>
                <w:sz w:val="18"/>
                <w:szCs w:val="18"/>
              </w:rPr>
              <w:t>40,385</w:t>
            </w:r>
          </w:p>
        </w:tc>
        <w:tc>
          <w:tcPr>
            <w:tcW w:w="660" w:type="pct"/>
            <w:tcBorders>
              <w:top w:val="single" w:sz="4" w:space="0" w:color="auto"/>
              <w:left w:val="single" w:sz="4" w:space="0" w:color="auto"/>
              <w:bottom w:val="single" w:sz="4" w:space="0" w:color="auto"/>
              <w:right w:val="single" w:sz="4" w:space="0" w:color="auto"/>
            </w:tcBorders>
            <w:shd w:val="clear" w:color="auto" w:fill="auto"/>
            <w:noWrap/>
            <w:hideMark/>
          </w:tcPr>
          <w:p w14:paraId="155D1AA3" w14:textId="77777777" w:rsidR="004D7B0C" w:rsidRPr="005528D7" w:rsidRDefault="004D7B0C" w:rsidP="00312E88">
            <w:pPr>
              <w:jc w:val="right"/>
              <w:rPr>
                <w:rFonts w:cs="Arial"/>
                <w:b/>
                <w:bCs/>
                <w:color w:val="000000"/>
                <w:sz w:val="18"/>
                <w:szCs w:val="18"/>
              </w:rPr>
            </w:pPr>
            <w:r w:rsidRPr="005528D7">
              <w:rPr>
                <w:rFonts w:cs="Arial"/>
                <w:b/>
                <w:bCs/>
                <w:color w:val="000000"/>
                <w:sz w:val="18"/>
                <w:szCs w:val="18"/>
              </w:rPr>
              <w:t>59,918</w:t>
            </w:r>
          </w:p>
        </w:tc>
      </w:tr>
    </w:tbl>
    <w:p w14:paraId="2B9B4824" w14:textId="18CB91D9" w:rsidR="00826B75" w:rsidRPr="00CA035D" w:rsidRDefault="00826B75" w:rsidP="00826B75"/>
    <w:tbl>
      <w:tblPr>
        <w:tblW w:w="5000" w:type="pct"/>
        <w:tblLook w:val="04A0" w:firstRow="1" w:lastRow="0" w:firstColumn="1" w:lastColumn="0" w:noHBand="0" w:noVBand="1"/>
      </w:tblPr>
      <w:tblGrid>
        <w:gridCol w:w="3079"/>
        <w:gridCol w:w="1186"/>
        <w:gridCol w:w="1187"/>
        <w:gridCol w:w="1187"/>
        <w:gridCol w:w="1187"/>
        <w:gridCol w:w="1190"/>
      </w:tblGrid>
      <w:tr w:rsidR="00654063" w:rsidRPr="002B59C5" w14:paraId="786EA03A" w14:textId="77777777" w:rsidTr="00312E88">
        <w:trPr>
          <w:trHeight w:val="300"/>
          <w:tblHeader/>
        </w:trPr>
        <w:tc>
          <w:tcPr>
            <w:tcW w:w="1708" w:type="pct"/>
            <w:tcBorders>
              <w:top w:val="single" w:sz="4" w:space="0" w:color="auto"/>
              <w:left w:val="single" w:sz="4" w:space="0" w:color="auto"/>
              <w:bottom w:val="nil"/>
              <w:right w:val="single" w:sz="4" w:space="0" w:color="auto"/>
            </w:tcBorders>
            <w:shd w:val="clear" w:color="000000" w:fill="6B2976"/>
            <w:hideMark/>
          </w:tcPr>
          <w:p w14:paraId="7F8C4A78" w14:textId="77777777" w:rsidR="00654063" w:rsidRPr="002B59C5" w:rsidRDefault="00654063" w:rsidP="00312E88">
            <w:pPr>
              <w:rPr>
                <w:rFonts w:cs="Arial"/>
                <w:b/>
                <w:bCs/>
                <w:color w:val="FFFFFF"/>
                <w:sz w:val="18"/>
                <w:szCs w:val="18"/>
              </w:rPr>
            </w:pPr>
            <w:r w:rsidRPr="002B59C5">
              <w:rPr>
                <w:rFonts w:cs="Arial"/>
                <w:b/>
                <w:bCs/>
                <w:color w:val="FFFFFF"/>
                <w:sz w:val="18"/>
                <w:szCs w:val="18"/>
              </w:rPr>
              <w:lastRenderedPageBreak/>
              <w:t>Participant Costs ($m)</w:t>
            </w:r>
          </w:p>
        </w:tc>
        <w:tc>
          <w:tcPr>
            <w:tcW w:w="658" w:type="pct"/>
            <w:tcBorders>
              <w:top w:val="nil"/>
              <w:left w:val="nil"/>
              <w:bottom w:val="single" w:sz="4" w:space="0" w:color="auto"/>
              <w:right w:val="nil"/>
            </w:tcBorders>
            <w:shd w:val="clear" w:color="000000" w:fill="6B2F76"/>
            <w:noWrap/>
            <w:hideMark/>
          </w:tcPr>
          <w:p w14:paraId="4411DF85" w14:textId="77777777" w:rsidR="00654063" w:rsidRPr="002B59C5" w:rsidRDefault="00654063" w:rsidP="00312E88">
            <w:pPr>
              <w:jc w:val="right"/>
              <w:rPr>
                <w:rFonts w:cs="Arial"/>
                <w:b/>
                <w:bCs/>
                <w:color w:val="FFFFFF"/>
                <w:sz w:val="18"/>
                <w:szCs w:val="18"/>
              </w:rPr>
            </w:pPr>
            <w:r w:rsidRPr="002B59C5">
              <w:rPr>
                <w:rFonts w:cs="Arial"/>
                <w:b/>
                <w:bCs/>
                <w:color w:val="FFFFFF"/>
                <w:sz w:val="18"/>
                <w:szCs w:val="18"/>
              </w:rPr>
              <w:t>2021-22</w:t>
            </w:r>
          </w:p>
        </w:tc>
        <w:tc>
          <w:tcPr>
            <w:tcW w:w="658" w:type="pct"/>
            <w:tcBorders>
              <w:top w:val="nil"/>
              <w:left w:val="nil"/>
              <w:bottom w:val="single" w:sz="4" w:space="0" w:color="auto"/>
              <w:right w:val="nil"/>
            </w:tcBorders>
            <w:shd w:val="clear" w:color="000000" w:fill="6B2F76"/>
            <w:noWrap/>
            <w:hideMark/>
          </w:tcPr>
          <w:p w14:paraId="7CB8C9F4" w14:textId="77777777" w:rsidR="00654063" w:rsidRPr="002B59C5" w:rsidRDefault="00654063" w:rsidP="00312E88">
            <w:pPr>
              <w:jc w:val="right"/>
              <w:rPr>
                <w:rFonts w:cs="Arial"/>
                <w:b/>
                <w:bCs/>
                <w:color w:val="FFFFFF"/>
                <w:sz w:val="18"/>
                <w:szCs w:val="18"/>
              </w:rPr>
            </w:pPr>
            <w:r w:rsidRPr="002B59C5">
              <w:rPr>
                <w:rFonts w:cs="Arial"/>
                <w:b/>
                <w:bCs/>
                <w:color w:val="FFFFFF"/>
                <w:sz w:val="18"/>
                <w:szCs w:val="18"/>
              </w:rPr>
              <w:t>2022-23</w:t>
            </w:r>
          </w:p>
        </w:tc>
        <w:tc>
          <w:tcPr>
            <w:tcW w:w="658" w:type="pct"/>
            <w:tcBorders>
              <w:top w:val="nil"/>
              <w:left w:val="nil"/>
              <w:bottom w:val="single" w:sz="4" w:space="0" w:color="auto"/>
              <w:right w:val="nil"/>
            </w:tcBorders>
            <w:shd w:val="clear" w:color="000000" w:fill="6B2F76"/>
            <w:noWrap/>
            <w:hideMark/>
          </w:tcPr>
          <w:p w14:paraId="58289145" w14:textId="77777777" w:rsidR="00654063" w:rsidRPr="002B59C5" w:rsidRDefault="00654063" w:rsidP="00312E88">
            <w:pPr>
              <w:jc w:val="right"/>
              <w:rPr>
                <w:rFonts w:cs="Arial"/>
                <w:b/>
                <w:bCs/>
                <w:color w:val="FFFFFF"/>
                <w:sz w:val="18"/>
                <w:szCs w:val="18"/>
              </w:rPr>
            </w:pPr>
            <w:r w:rsidRPr="002B59C5">
              <w:rPr>
                <w:rFonts w:cs="Arial"/>
                <w:b/>
                <w:bCs/>
                <w:color w:val="FFFFFF"/>
                <w:sz w:val="18"/>
                <w:szCs w:val="18"/>
              </w:rPr>
              <w:t>2023-24</w:t>
            </w:r>
          </w:p>
        </w:tc>
        <w:tc>
          <w:tcPr>
            <w:tcW w:w="658" w:type="pct"/>
            <w:tcBorders>
              <w:top w:val="nil"/>
              <w:left w:val="nil"/>
              <w:bottom w:val="single" w:sz="4" w:space="0" w:color="auto"/>
              <w:right w:val="nil"/>
            </w:tcBorders>
            <w:shd w:val="clear" w:color="000000" w:fill="6B2F76"/>
            <w:noWrap/>
            <w:hideMark/>
          </w:tcPr>
          <w:p w14:paraId="2759F92E" w14:textId="77777777" w:rsidR="00654063" w:rsidRPr="002B59C5" w:rsidRDefault="00654063" w:rsidP="00312E88">
            <w:pPr>
              <w:jc w:val="right"/>
              <w:rPr>
                <w:rFonts w:cs="Arial"/>
                <w:b/>
                <w:bCs/>
                <w:color w:val="FFFFFF"/>
                <w:sz w:val="18"/>
                <w:szCs w:val="18"/>
              </w:rPr>
            </w:pPr>
            <w:r w:rsidRPr="002B59C5">
              <w:rPr>
                <w:rFonts w:cs="Arial"/>
                <w:b/>
                <w:bCs/>
                <w:color w:val="FFFFFF"/>
                <w:sz w:val="18"/>
                <w:szCs w:val="18"/>
              </w:rPr>
              <w:t>2024-25</w:t>
            </w:r>
          </w:p>
        </w:tc>
        <w:tc>
          <w:tcPr>
            <w:tcW w:w="660" w:type="pct"/>
            <w:tcBorders>
              <w:top w:val="nil"/>
              <w:left w:val="single" w:sz="4" w:space="0" w:color="auto"/>
              <w:bottom w:val="single" w:sz="4" w:space="0" w:color="auto"/>
              <w:right w:val="single" w:sz="4" w:space="0" w:color="auto"/>
            </w:tcBorders>
            <w:shd w:val="clear" w:color="000000" w:fill="6B2F76"/>
            <w:noWrap/>
            <w:hideMark/>
          </w:tcPr>
          <w:p w14:paraId="41B92FE1" w14:textId="77777777" w:rsidR="00654063" w:rsidRPr="002B59C5" w:rsidRDefault="00654063" w:rsidP="00312E88">
            <w:pPr>
              <w:jc w:val="right"/>
              <w:rPr>
                <w:rFonts w:cs="Arial"/>
                <w:b/>
                <w:bCs/>
                <w:color w:val="FFFFFF"/>
                <w:sz w:val="18"/>
                <w:szCs w:val="18"/>
              </w:rPr>
            </w:pPr>
            <w:r w:rsidRPr="002B59C5">
              <w:rPr>
                <w:rFonts w:cs="Arial"/>
                <w:b/>
                <w:bCs/>
                <w:color w:val="FFFFFF"/>
                <w:sz w:val="18"/>
                <w:szCs w:val="18"/>
              </w:rPr>
              <w:t>2029-30</w:t>
            </w:r>
          </w:p>
        </w:tc>
      </w:tr>
      <w:tr w:rsidR="00654063" w:rsidRPr="002B59C5" w14:paraId="4A8695E6" w14:textId="77777777" w:rsidTr="00654063">
        <w:trPr>
          <w:trHeight w:hRule="exact" w:val="284"/>
        </w:trPr>
        <w:tc>
          <w:tcPr>
            <w:tcW w:w="1708" w:type="pct"/>
            <w:tcBorders>
              <w:top w:val="single" w:sz="4" w:space="0" w:color="auto"/>
              <w:left w:val="single" w:sz="4" w:space="0" w:color="auto"/>
              <w:bottom w:val="single" w:sz="4" w:space="0" w:color="auto"/>
              <w:right w:val="nil"/>
            </w:tcBorders>
            <w:shd w:val="clear" w:color="000000" w:fill="F7EEF7"/>
            <w:noWrap/>
            <w:hideMark/>
          </w:tcPr>
          <w:p w14:paraId="4705DAF0" w14:textId="77777777" w:rsidR="00654063" w:rsidRPr="002B59C5" w:rsidRDefault="00654063" w:rsidP="00312E88">
            <w:pPr>
              <w:rPr>
                <w:rFonts w:cs="Arial"/>
                <w:b/>
                <w:bCs/>
                <w:color w:val="000000"/>
                <w:sz w:val="18"/>
                <w:szCs w:val="18"/>
              </w:rPr>
            </w:pPr>
            <w:r w:rsidRPr="002B59C5">
              <w:rPr>
                <w:rFonts w:cs="Arial"/>
                <w:b/>
                <w:bCs/>
                <w:color w:val="000000"/>
                <w:sz w:val="18"/>
                <w:szCs w:val="18"/>
              </w:rPr>
              <w:t>Difference</w:t>
            </w:r>
          </w:p>
        </w:tc>
        <w:tc>
          <w:tcPr>
            <w:tcW w:w="658" w:type="pct"/>
            <w:tcBorders>
              <w:top w:val="nil"/>
              <w:left w:val="nil"/>
              <w:bottom w:val="single" w:sz="4" w:space="0" w:color="auto"/>
              <w:right w:val="nil"/>
            </w:tcBorders>
            <w:shd w:val="clear" w:color="000000" w:fill="F7EEF7"/>
            <w:noWrap/>
            <w:hideMark/>
          </w:tcPr>
          <w:p w14:paraId="46AD0B6B" w14:textId="77777777" w:rsidR="00654063" w:rsidRPr="002B59C5" w:rsidRDefault="00654063" w:rsidP="00312E88">
            <w:pPr>
              <w:jc w:val="right"/>
              <w:rPr>
                <w:rFonts w:cs="Arial"/>
                <w:b/>
                <w:bCs/>
                <w:i/>
                <w:iCs/>
                <w:color w:val="000000"/>
                <w:sz w:val="18"/>
                <w:szCs w:val="18"/>
              </w:rPr>
            </w:pPr>
            <w:r w:rsidRPr="002B59C5">
              <w:rPr>
                <w:rFonts w:cs="Arial"/>
                <w:b/>
                <w:bCs/>
                <w:i/>
                <w:iCs/>
                <w:color w:val="000000"/>
                <w:sz w:val="18"/>
                <w:szCs w:val="18"/>
              </w:rPr>
              <w:t> </w:t>
            </w:r>
          </w:p>
        </w:tc>
        <w:tc>
          <w:tcPr>
            <w:tcW w:w="658" w:type="pct"/>
            <w:tcBorders>
              <w:top w:val="nil"/>
              <w:left w:val="nil"/>
              <w:bottom w:val="single" w:sz="4" w:space="0" w:color="auto"/>
              <w:right w:val="nil"/>
            </w:tcBorders>
            <w:shd w:val="clear" w:color="000000" w:fill="F7EEF7"/>
            <w:noWrap/>
            <w:hideMark/>
          </w:tcPr>
          <w:p w14:paraId="779BE6BA" w14:textId="77777777" w:rsidR="00654063" w:rsidRPr="002B59C5" w:rsidRDefault="00654063" w:rsidP="00312E88">
            <w:pPr>
              <w:jc w:val="right"/>
              <w:rPr>
                <w:rFonts w:cs="Arial"/>
                <w:b/>
                <w:bCs/>
                <w:i/>
                <w:iCs/>
                <w:color w:val="000000"/>
                <w:sz w:val="18"/>
                <w:szCs w:val="18"/>
              </w:rPr>
            </w:pPr>
            <w:r w:rsidRPr="002B59C5">
              <w:rPr>
                <w:rFonts w:cs="Arial"/>
                <w:b/>
                <w:bCs/>
                <w:i/>
                <w:iCs/>
                <w:color w:val="000000"/>
                <w:sz w:val="18"/>
                <w:szCs w:val="18"/>
              </w:rPr>
              <w:t> </w:t>
            </w:r>
          </w:p>
        </w:tc>
        <w:tc>
          <w:tcPr>
            <w:tcW w:w="658" w:type="pct"/>
            <w:tcBorders>
              <w:top w:val="nil"/>
              <w:left w:val="nil"/>
              <w:bottom w:val="single" w:sz="4" w:space="0" w:color="auto"/>
              <w:right w:val="nil"/>
            </w:tcBorders>
            <w:shd w:val="clear" w:color="000000" w:fill="F7EEF7"/>
            <w:noWrap/>
            <w:hideMark/>
          </w:tcPr>
          <w:p w14:paraId="32EF6C20" w14:textId="77777777" w:rsidR="00654063" w:rsidRPr="002B59C5" w:rsidRDefault="00654063" w:rsidP="00312E88">
            <w:pPr>
              <w:jc w:val="right"/>
              <w:rPr>
                <w:rFonts w:cs="Arial"/>
                <w:b/>
                <w:bCs/>
                <w:i/>
                <w:iCs/>
                <w:color w:val="000000"/>
                <w:sz w:val="18"/>
                <w:szCs w:val="18"/>
              </w:rPr>
            </w:pPr>
            <w:r w:rsidRPr="002B59C5">
              <w:rPr>
                <w:rFonts w:cs="Arial"/>
                <w:b/>
                <w:bCs/>
                <w:i/>
                <w:iCs/>
                <w:color w:val="000000"/>
                <w:sz w:val="18"/>
                <w:szCs w:val="18"/>
              </w:rPr>
              <w:t> </w:t>
            </w:r>
          </w:p>
        </w:tc>
        <w:tc>
          <w:tcPr>
            <w:tcW w:w="658" w:type="pct"/>
            <w:tcBorders>
              <w:top w:val="nil"/>
              <w:left w:val="nil"/>
              <w:bottom w:val="single" w:sz="4" w:space="0" w:color="auto"/>
              <w:right w:val="nil"/>
            </w:tcBorders>
            <w:shd w:val="clear" w:color="000000" w:fill="F7EEF7"/>
            <w:noWrap/>
            <w:hideMark/>
          </w:tcPr>
          <w:p w14:paraId="2613D986" w14:textId="77777777" w:rsidR="00654063" w:rsidRPr="002B59C5" w:rsidRDefault="00654063" w:rsidP="00312E88">
            <w:pPr>
              <w:jc w:val="right"/>
              <w:rPr>
                <w:rFonts w:cs="Arial"/>
                <w:b/>
                <w:bCs/>
                <w:i/>
                <w:iCs/>
                <w:color w:val="000000"/>
                <w:sz w:val="18"/>
                <w:szCs w:val="18"/>
              </w:rPr>
            </w:pPr>
            <w:r w:rsidRPr="002B59C5">
              <w:rPr>
                <w:rFonts w:cs="Arial"/>
                <w:b/>
                <w:bCs/>
                <w:i/>
                <w:iCs/>
                <w:color w:val="000000"/>
                <w:sz w:val="18"/>
                <w:szCs w:val="18"/>
              </w:rPr>
              <w:t> </w:t>
            </w:r>
          </w:p>
        </w:tc>
        <w:tc>
          <w:tcPr>
            <w:tcW w:w="660" w:type="pct"/>
            <w:tcBorders>
              <w:top w:val="nil"/>
              <w:left w:val="nil"/>
              <w:bottom w:val="single" w:sz="4" w:space="0" w:color="auto"/>
              <w:right w:val="single" w:sz="4" w:space="0" w:color="auto"/>
            </w:tcBorders>
            <w:shd w:val="clear" w:color="000000" w:fill="F7EEF7"/>
            <w:noWrap/>
            <w:hideMark/>
          </w:tcPr>
          <w:p w14:paraId="628CB19C" w14:textId="77777777" w:rsidR="00654063" w:rsidRPr="002B59C5" w:rsidRDefault="00654063" w:rsidP="00312E88">
            <w:pPr>
              <w:jc w:val="right"/>
              <w:rPr>
                <w:rFonts w:cs="Arial"/>
                <w:b/>
                <w:bCs/>
                <w:i/>
                <w:iCs/>
                <w:color w:val="000000"/>
                <w:sz w:val="18"/>
                <w:szCs w:val="18"/>
              </w:rPr>
            </w:pPr>
            <w:r w:rsidRPr="002B59C5">
              <w:rPr>
                <w:rFonts w:cs="Arial"/>
                <w:b/>
                <w:bCs/>
                <w:i/>
                <w:iCs/>
                <w:color w:val="000000"/>
                <w:sz w:val="18"/>
                <w:szCs w:val="18"/>
              </w:rPr>
              <w:t> </w:t>
            </w:r>
          </w:p>
        </w:tc>
      </w:tr>
      <w:tr w:rsidR="00654063" w:rsidRPr="002B59C5" w14:paraId="030C6964" w14:textId="77777777" w:rsidTr="00654063">
        <w:trPr>
          <w:trHeight w:hRule="exact" w:val="284"/>
        </w:trPr>
        <w:tc>
          <w:tcPr>
            <w:tcW w:w="1708" w:type="pct"/>
            <w:tcBorders>
              <w:top w:val="dotted" w:sz="4" w:space="0" w:color="auto"/>
              <w:left w:val="single" w:sz="4" w:space="0" w:color="auto"/>
              <w:bottom w:val="nil"/>
              <w:right w:val="single" w:sz="4" w:space="0" w:color="auto"/>
            </w:tcBorders>
            <w:shd w:val="clear" w:color="auto" w:fill="auto"/>
            <w:noWrap/>
            <w:hideMark/>
          </w:tcPr>
          <w:p w14:paraId="2831656F" w14:textId="77777777" w:rsidR="00654063" w:rsidRPr="002B59C5" w:rsidRDefault="00654063" w:rsidP="00312E88">
            <w:pPr>
              <w:rPr>
                <w:rFonts w:cs="Arial"/>
                <w:b/>
                <w:bCs/>
                <w:color w:val="000000"/>
                <w:sz w:val="18"/>
                <w:szCs w:val="18"/>
              </w:rPr>
            </w:pPr>
            <w:r w:rsidRPr="002B59C5">
              <w:rPr>
                <w:rFonts w:cs="Arial"/>
                <w:b/>
                <w:bCs/>
                <w:color w:val="000000"/>
                <w:sz w:val="18"/>
                <w:szCs w:val="18"/>
              </w:rPr>
              <w:t>Core</w:t>
            </w:r>
          </w:p>
        </w:tc>
        <w:tc>
          <w:tcPr>
            <w:tcW w:w="658" w:type="pct"/>
            <w:tcBorders>
              <w:top w:val="nil"/>
              <w:left w:val="nil"/>
              <w:bottom w:val="nil"/>
              <w:right w:val="nil"/>
            </w:tcBorders>
            <w:shd w:val="clear" w:color="auto" w:fill="auto"/>
            <w:noWrap/>
            <w:hideMark/>
          </w:tcPr>
          <w:p w14:paraId="0A0D14BE" w14:textId="77777777" w:rsidR="00654063" w:rsidRPr="002B59C5" w:rsidRDefault="00654063" w:rsidP="00312E88">
            <w:pPr>
              <w:rPr>
                <w:rFonts w:cs="Arial"/>
                <w:b/>
                <w:bCs/>
                <w:color w:val="000000"/>
                <w:sz w:val="18"/>
                <w:szCs w:val="18"/>
              </w:rPr>
            </w:pPr>
          </w:p>
        </w:tc>
        <w:tc>
          <w:tcPr>
            <w:tcW w:w="658" w:type="pct"/>
            <w:tcBorders>
              <w:top w:val="nil"/>
              <w:left w:val="nil"/>
              <w:bottom w:val="nil"/>
              <w:right w:val="nil"/>
            </w:tcBorders>
            <w:shd w:val="clear" w:color="auto" w:fill="auto"/>
            <w:noWrap/>
            <w:hideMark/>
          </w:tcPr>
          <w:p w14:paraId="32E16017" w14:textId="77777777" w:rsidR="00654063" w:rsidRPr="002B59C5" w:rsidRDefault="00654063" w:rsidP="00312E88">
            <w:pPr>
              <w:rPr>
                <w:sz w:val="18"/>
                <w:szCs w:val="18"/>
              </w:rPr>
            </w:pPr>
          </w:p>
        </w:tc>
        <w:tc>
          <w:tcPr>
            <w:tcW w:w="658" w:type="pct"/>
            <w:tcBorders>
              <w:top w:val="nil"/>
              <w:left w:val="nil"/>
              <w:bottom w:val="nil"/>
              <w:right w:val="nil"/>
            </w:tcBorders>
            <w:shd w:val="clear" w:color="auto" w:fill="auto"/>
            <w:noWrap/>
            <w:hideMark/>
          </w:tcPr>
          <w:p w14:paraId="0B302C7F" w14:textId="77777777" w:rsidR="00654063" w:rsidRPr="002B59C5" w:rsidRDefault="00654063" w:rsidP="00312E88">
            <w:pPr>
              <w:rPr>
                <w:sz w:val="18"/>
                <w:szCs w:val="18"/>
              </w:rPr>
            </w:pPr>
          </w:p>
        </w:tc>
        <w:tc>
          <w:tcPr>
            <w:tcW w:w="658" w:type="pct"/>
            <w:tcBorders>
              <w:top w:val="nil"/>
              <w:left w:val="nil"/>
              <w:bottom w:val="nil"/>
              <w:right w:val="nil"/>
            </w:tcBorders>
            <w:shd w:val="clear" w:color="auto" w:fill="auto"/>
            <w:noWrap/>
            <w:hideMark/>
          </w:tcPr>
          <w:p w14:paraId="5227CB51" w14:textId="77777777" w:rsidR="00654063" w:rsidRPr="002B59C5" w:rsidRDefault="00654063" w:rsidP="00312E88">
            <w:pPr>
              <w:rPr>
                <w:sz w:val="18"/>
                <w:szCs w:val="18"/>
              </w:rPr>
            </w:pPr>
          </w:p>
        </w:tc>
        <w:tc>
          <w:tcPr>
            <w:tcW w:w="660" w:type="pct"/>
            <w:tcBorders>
              <w:top w:val="dotted" w:sz="4" w:space="0" w:color="auto"/>
              <w:left w:val="single" w:sz="4" w:space="0" w:color="auto"/>
              <w:bottom w:val="nil"/>
              <w:right w:val="single" w:sz="4" w:space="0" w:color="auto"/>
            </w:tcBorders>
            <w:shd w:val="clear" w:color="auto" w:fill="auto"/>
            <w:noWrap/>
            <w:hideMark/>
          </w:tcPr>
          <w:p w14:paraId="5BAFD1B1" w14:textId="77777777" w:rsidR="00654063" w:rsidRPr="002B59C5" w:rsidRDefault="00654063" w:rsidP="00312E88">
            <w:pPr>
              <w:rPr>
                <w:rFonts w:cs="Arial"/>
                <w:color w:val="000000"/>
                <w:sz w:val="18"/>
                <w:szCs w:val="18"/>
              </w:rPr>
            </w:pPr>
            <w:r w:rsidRPr="002B59C5">
              <w:rPr>
                <w:rFonts w:cs="Arial"/>
                <w:color w:val="000000"/>
                <w:sz w:val="18"/>
                <w:szCs w:val="18"/>
              </w:rPr>
              <w:t> </w:t>
            </w:r>
          </w:p>
        </w:tc>
      </w:tr>
      <w:tr w:rsidR="00654063" w:rsidRPr="002B59C5" w14:paraId="38BE4B65"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0E33DEFF"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Daily Activities</w:t>
            </w:r>
          </w:p>
        </w:tc>
        <w:tc>
          <w:tcPr>
            <w:tcW w:w="658" w:type="pct"/>
            <w:tcBorders>
              <w:top w:val="nil"/>
              <w:left w:val="nil"/>
              <w:bottom w:val="nil"/>
              <w:right w:val="nil"/>
            </w:tcBorders>
            <w:shd w:val="clear" w:color="auto" w:fill="auto"/>
            <w:noWrap/>
            <w:hideMark/>
          </w:tcPr>
          <w:p w14:paraId="76FEA2EB" w14:textId="77777777" w:rsidR="00654063" w:rsidRPr="002B59C5" w:rsidRDefault="00654063" w:rsidP="00312E88">
            <w:pPr>
              <w:jc w:val="right"/>
              <w:rPr>
                <w:rFonts w:cs="Arial"/>
                <w:color w:val="000000"/>
                <w:sz w:val="18"/>
                <w:szCs w:val="18"/>
              </w:rPr>
            </w:pPr>
            <w:r w:rsidRPr="002B59C5">
              <w:rPr>
                <w:rFonts w:cs="Arial"/>
                <w:color w:val="000000"/>
                <w:sz w:val="18"/>
                <w:szCs w:val="18"/>
              </w:rPr>
              <w:t>754</w:t>
            </w:r>
          </w:p>
        </w:tc>
        <w:tc>
          <w:tcPr>
            <w:tcW w:w="658" w:type="pct"/>
            <w:tcBorders>
              <w:top w:val="nil"/>
              <w:left w:val="nil"/>
              <w:bottom w:val="nil"/>
              <w:right w:val="nil"/>
            </w:tcBorders>
            <w:shd w:val="clear" w:color="auto" w:fill="auto"/>
            <w:noWrap/>
            <w:hideMark/>
          </w:tcPr>
          <w:p w14:paraId="21BD10C0" w14:textId="77777777" w:rsidR="00654063" w:rsidRPr="002B59C5" w:rsidRDefault="00654063" w:rsidP="00312E88">
            <w:pPr>
              <w:jc w:val="right"/>
              <w:rPr>
                <w:rFonts w:cs="Arial"/>
                <w:color w:val="000000"/>
                <w:sz w:val="18"/>
                <w:szCs w:val="18"/>
              </w:rPr>
            </w:pPr>
            <w:r w:rsidRPr="002B59C5">
              <w:rPr>
                <w:rFonts w:cs="Arial"/>
                <w:color w:val="000000"/>
                <w:sz w:val="18"/>
                <w:szCs w:val="18"/>
              </w:rPr>
              <w:t>549</w:t>
            </w:r>
          </w:p>
        </w:tc>
        <w:tc>
          <w:tcPr>
            <w:tcW w:w="658" w:type="pct"/>
            <w:tcBorders>
              <w:top w:val="nil"/>
              <w:left w:val="nil"/>
              <w:bottom w:val="nil"/>
              <w:right w:val="nil"/>
            </w:tcBorders>
            <w:shd w:val="clear" w:color="auto" w:fill="auto"/>
            <w:noWrap/>
            <w:hideMark/>
          </w:tcPr>
          <w:p w14:paraId="6D38677F" w14:textId="77777777" w:rsidR="00654063" w:rsidRPr="002B59C5" w:rsidRDefault="00654063" w:rsidP="00312E88">
            <w:pPr>
              <w:jc w:val="right"/>
              <w:rPr>
                <w:rFonts w:cs="Arial"/>
                <w:color w:val="000000"/>
                <w:sz w:val="18"/>
                <w:szCs w:val="18"/>
              </w:rPr>
            </w:pPr>
            <w:r w:rsidRPr="002B59C5">
              <w:rPr>
                <w:rFonts w:cs="Arial"/>
                <w:color w:val="000000"/>
                <w:sz w:val="18"/>
                <w:szCs w:val="18"/>
              </w:rPr>
              <w:t>310</w:t>
            </w:r>
          </w:p>
        </w:tc>
        <w:tc>
          <w:tcPr>
            <w:tcW w:w="658" w:type="pct"/>
            <w:tcBorders>
              <w:top w:val="nil"/>
              <w:left w:val="nil"/>
              <w:bottom w:val="nil"/>
              <w:right w:val="nil"/>
            </w:tcBorders>
            <w:shd w:val="clear" w:color="auto" w:fill="auto"/>
            <w:noWrap/>
            <w:hideMark/>
          </w:tcPr>
          <w:p w14:paraId="27E7537F" w14:textId="77777777" w:rsidR="00654063" w:rsidRPr="002B59C5" w:rsidRDefault="00654063" w:rsidP="00312E88">
            <w:pPr>
              <w:jc w:val="right"/>
              <w:rPr>
                <w:rFonts w:cs="Arial"/>
                <w:color w:val="000000"/>
                <w:sz w:val="18"/>
                <w:szCs w:val="18"/>
              </w:rPr>
            </w:pPr>
            <w:r w:rsidRPr="002B59C5">
              <w:rPr>
                <w:rFonts w:cs="Arial"/>
                <w:color w:val="000000"/>
                <w:sz w:val="18"/>
                <w:szCs w:val="18"/>
              </w:rPr>
              <w:t>2</w:t>
            </w:r>
          </w:p>
        </w:tc>
        <w:tc>
          <w:tcPr>
            <w:tcW w:w="660" w:type="pct"/>
            <w:tcBorders>
              <w:top w:val="nil"/>
              <w:left w:val="single" w:sz="4" w:space="0" w:color="auto"/>
              <w:bottom w:val="nil"/>
              <w:right w:val="single" w:sz="4" w:space="0" w:color="auto"/>
            </w:tcBorders>
            <w:shd w:val="clear" w:color="auto" w:fill="auto"/>
            <w:noWrap/>
            <w:hideMark/>
          </w:tcPr>
          <w:p w14:paraId="707AF963" w14:textId="77777777" w:rsidR="00654063" w:rsidRPr="002B59C5" w:rsidRDefault="00654063" w:rsidP="00312E88">
            <w:pPr>
              <w:jc w:val="right"/>
              <w:rPr>
                <w:rFonts w:cs="Arial"/>
                <w:color w:val="000000"/>
                <w:sz w:val="18"/>
                <w:szCs w:val="18"/>
              </w:rPr>
            </w:pPr>
            <w:r w:rsidRPr="002B59C5">
              <w:rPr>
                <w:rFonts w:cs="Arial"/>
                <w:color w:val="000000"/>
                <w:sz w:val="18"/>
                <w:szCs w:val="18"/>
              </w:rPr>
              <w:t>-1,131</w:t>
            </w:r>
          </w:p>
        </w:tc>
      </w:tr>
      <w:tr w:rsidR="00654063" w:rsidRPr="002B59C5" w14:paraId="7465A687"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775F220D"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Social Community Civic</w:t>
            </w:r>
          </w:p>
        </w:tc>
        <w:tc>
          <w:tcPr>
            <w:tcW w:w="658" w:type="pct"/>
            <w:tcBorders>
              <w:top w:val="nil"/>
              <w:left w:val="nil"/>
              <w:bottom w:val="nil"/>
              <w:right w:val="nil"/>
            </w:tcBorders>
            <w:shd w:val="clear" w:color="auto" w:fill="auto"/>
            <w:noWrap/>
            <w:hideMark/>
          </w:tcPr>
          <w:p w14:paraId="17AA4E0D" w14:textId="77777777" w:rsidR="00654063" w:rsidRPr="002B59C5" w:rsidRDefault="00654063" w:rsidP="00312E88">
            <w:pPr>
              <w:jc w:val="right"/>
              <w:rPr>
                <w:rFonts w:cs="Arial"/>
                <w:color w:val="000000"/>
                <w:sz w:val="18"/>
                <w:szCs w:val="18"/>
              </w:rPr>
            </w:pPr>
            <w:r w:rsidRPr="002B59C5">
              <w:rPr>
                <w:rFonts w:cs="Arial"/>
                <w:color w:val="000000"/>
                <w:sz w:val="18"/>
                <w:szCs w:val="18"/>
              </w:rPr>
              <w:t>130</w:t>
            </w:r>
          </w:p>
        </w:tc>
        <w:tc>
          <w:tcPr>
            <w:tcW w:w="658" w:type="pct"/>
            <w:tcBorders>
              <w:top w:val="nil"/>
              <w:left w:val="nil"/>
              <w:bottom w:val="nil"/>
              <w:right w:val="nil"/>
            </w:tcBorders>
            <w:shd w:val="clear" w:color="auto" w:fill="auto"/>
            <w:noWrap/>
            <w:hideMark/>
          </w:tcPr>
          <w:p w14:paraId="7B810FFA" w14:textId="77777777" w:rsidR="00654063" w:rsidRPr="002B59C5" w:rsidRDefault="00654063" w:rsidP="00312E88">
            <w:pPr>
              <w:jc w:val="right"/>
              <w:rPr>
                <w:rFonts w:cs="Arial"/>
                <w:color w:val="000000"/>
                <w:sz w:val="18"/>
                <w:szCs w:val="18"/>
              </w:rPr>
            </w:pPr>
            <w:r w:rsidRPr="002B59C5">
              <w:rPr>
                <w:rFonts w:cs="Arial"/>
                <w:color w:val="000000"/>
                <w:sz w:val="18"/>
                <w:szCs w:val="18"/>
              </w:rPr>
              <w:t>170</w:t>
            </w:r>
          </w:p>
        </w:tc>
        <w:tc>
          <w:tcPr>
            <w:tcW w:w="658" w:type="pct"/>
            <w:tcBorders>
              <w:top w:val="nil"/>
              <w:left w:val="nil"/>
              <w:bottom w:val="nil"/>
              <w:right w:val="nil"/>
            </w:tcBorders>
            <w:shd w:val="clear" w:color="auto" w:fill="auto"/>
            <w:noWrap/>
            <w:hideMark/>
          </w:tcPr>
          <w:p w14:paraId="214EE00F" w14:textId="77777777" w:rsidR="00654063" w:rsidRPr="002B59C5" w:rsidRDefault="00654063" w:rsidP="00312E88">
            <w:pPr>
              <w:jc w:val="right"/>
              <w:rPr>
                <w:rFonts w:cs="Arial"/>
                <w:color w:val="000000"/>
                <w:sz w:val="18"/>
                <w:szCs w:val="18"/>
              </w:rPr>
            </w:pPr>
            <w:r w:rsidRPr="002B59C5">
              <w:rPr>
                <w:rFonts w:cs="Arial"/>
                <w:color w:val="000000"/>
                <w:sz w:val="18"/>
                <w:szCs w:val="18"/>
              </w:rPr>
              <w:t>199</w:t>
            </w:r>
          </w:p>
        </w:tc>
        <w:tc>
          <w:tcPr>
            <w:tcW w:w="658" w:type="pct"/>
            <w:tcBorders>
              <w:top w:val="nil"/>
              <w:left w:val="nil"/>
              <w:bottom w:val="nil"/>
              <w:right w:val="nil"/>
            </w:tcBorders>
            <w:shd w:val="clear" w:color="auto" w:fill="auto"/>
            <w:noWrap/>
            <w:hideMark/>
          </w:tcPr>
          <w:p w14:paraId="69F66B33" w14:textId="77777777" w:rsidR="00654063" w:rsidRPr="002B59C5" w:rsidRDefault="00654063" w:rsidP="00312E88">
            <w:pPr>
              <w:jc w:val="right"/>
              <w:rPr>
                <w:rFonts w:cs="Arial"/>
                <w:color w:val="000000"/>
                <w:sz w:val="18"/>
                <w:szCs w:val="18"/>
              </w:rPr>
            </w:pPr>
            <w:r w:rsidRPr="002B59C5">
              <w:rPr>
                <w:rFonts w:cs="Arial"/>
                <w:color w:val="000000"/>
                <w:sz w:val="18"/>
                <w:szCs w:val="18"/>
              </w:rPr>
              <w:t>175</w:t>
            </w:r>
          </w:p>
        </w:tc>
        <w:tc>
          <w:tcPr>
            <w:tcW w:w="660" w:type="pct"/>
            <w:tcBorders>
              <w:top w:val="nil"/>
              <w:left w:val="single" w:sz="4" w:space="0" w:color="auto"/>
              <w:bottom w:val="nil"/>
              <w:right w:val="single" w:sz="4" w:space="0" w:color="auto"/>
            </w:tcBorders>
            <w:shd w:val="clear" w:color="auto" w:fill="auto"/>
            <w:noWrap/>
            <w:hideMark/>
          </w:tcPr>
          <w:p w14:paraId="2D7B75DF" w14:textId="77777777" w:rsidR="00654063" w:rsidRPr="002B59C5" w:rsidRDefault="00654063" w:rsidP="00312E88">
            <w:pPr>
              <w:jc w:val="right"/>
              <w:rPr>
                <w:rFonts w:cs="Arial"/>
                <w:color w:val="000000"/>
                <w:sz w:val="18"/>
                <w:szCs w:val="18"/>
              </w:rPr>
            </w:pPr>
            <w:r w:rsidRPr="002B59C5">
              <w:rPr>
                <w:rFonts w:cs="Arial"/>
                <w:color w:val="000000"/>
                <w:sz w:val="18"/>
                <w:szCs w:val="18"/>
              </w:rPr>
              <w:t>41</w:t>
            </w:r>
          </w:p>
        </w:tc>
      </w:tr>
      <w:tr w:rsidR="00654063" w:rsidRPr="002B59C5" w14:paraId="1C602BCE"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7AB283EC"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Transport</w:t>
            </w:r>
          </w:p>
        </w:tc>
        <w:tc>
          <w:tcPr>
            <w:tcW w:w="658" w:type="pct"/>
            <w:tcBorders>
              <w:top w:val="nil"/>
              <w:left w:val="nil"/>
              <w:bottom w:val="nil"/>
              <w:right w:val="nil"/>
            </w:tcBorders>
            <w:shd w:val="clear" w:color="auto" w:fill="auto"/>
            <w:noWrap/>
            <w:hideMark/>
          </w:tcPr>
          <w:p w14:paraId="2D7BF0BE" w14:textId="77777777" w:rsidR="00654063" w:rsidRPr="002B59C5" w:rsidRDefault="00654063" w:rsidP="00312E88">
            <w:pPr>
              <w:jc w:val="right"/>
              <w:rPr>
                <w:rFonts w:cs="Arial"/>
                <w:color w:val="000000"/>
                <w:sz w:val="18"/>
                <w:szCs w:val="18"/>
              </w:rPr>
            </w:pPr>
            <w:r w:rsidRPr="002B59C5">
              <w:rPr>
                <w:rFonts w:cs="Arial"/>
                <w:color w:val="000000"/>
                <w:sz w:val="18"/>
                <w:szCs w:val="18"/>
              </w:rPr>
              <w:t>174</w:t>
            </w:r>
          </w:p>
        </w:tc>
        <w:tc>
          <w:tcPr>
            <w:tcW w:w="658" w:type="pct"/>
            <w:tcBorders>
              <w:top w:val="nil"/>
              <w:left w:val="nil"/>
              <w:bottom w:val="nil"/>
              <w:right w:val="nil"/>
            </w:tcBorders>
            <w:shd w:val="clear" w:color="auto" w:fill="auto"/>
            <w:noWrap/>
            <w:hideMark/>
          </w:tcPr>
          <w:p w14:paraId="06CF742E" w14:textId="77777777" w:rsidR="00654063" w:rsidRPr="002B59C5" w:rsidRDefault="00654063" w:rsidP="00312E88">
            <w:pPr>
              <w:jc w:val="right"/>
              <w:rPr>
                <w:rFonts w:cs="Arial"/>
                <w:color w:val="000000"/>
                <w:sz w:val="18"/>
                <w:szCs w:val="18"/>
              </w:rPr>
            </w:pPr>
            <w:r w:rsidRPr="002B59C5">
              <w:rPr>
                <w:rFonts w:cs="Arial"/>
                <w:color w:val="000000"/>
                <w:sz w:val="18"/>
                <w:szCs w:val="18"/>
              </w:rPr>
              <w:t>209</w:t>
            </w:r>
          </w:p>
        </w:tc>
        <w:tc>
          <w:tcPr>
            <w:tcW w:w="658" w:type="pct"/>
            <w:tcBorders>
              <w:top w:val="nil"/>
              <w:left w:val="nil"/>
              <w:bottom w:val="nil"/>
              <w:right w:val="nil"/>
            </w:tcBorders>
            <w:shd w:val="clear" w:color="auto" w:fill="auto"/>
            <w:noWrap/>
            <w:hideMark/>
          </w:tcPr>
          <w:p w14:paraId="5FA8C34E" w14:textId="77777777" w:rsidR="00654063" w:rsidRPr="002B59C5" w:rsidRDefault="00654063" w:rsidP="00312E88">
            <w:pPr>
              <w:jc w:val="right"/>
              <w:rPr>
                <w:rFonts w:cs="Arial"/>
                <w:color w:val="000000"/>
                <w:sz w:val="18"/>
                <w:szCs w:val="18"/>
              </w:rPr>
            </w:pPr>
            <w:r w:rsidRPr="002B59C5">
              <w:rPr>
                <w:rFonts w:cs="Arial"/>
                <w:color w:val="000000"/>
                <w:sz w:val="18"/>
                <w:szCs w:val="18"/>
              </w:rPr>
              <w:t>241</w:t>
            </w:r>
          </w:p>
        </w:tc>
        <w:tc>
          <w:tcPr>
            <w:tcW w:w="658" w:type="pct"/>
            <w:tcBorders>
              <w:top w:val="nil"/>
              <w:left w:val="nil"/>
              <w:bottom w:val="nil"/>
              <w:right w:val="nil"/>
            </w:tcBorders>
            <w:shd w:val="clear" w:color="auto" w:fill="auto"/>
            <w:noWrap/>
            <w:hideMark/>
          </w:tcPr>
          <w:p w14:paraId="685962D2" w14:textId="77777777" w:rsidR="00654063" w:rsidRPr="002B59C5" w:rsidRDefault="00654063" w:rsidP="00312E88">
            <w:pPr>
              <w:jc w:val="right"/>
              <w:rPr>
                <w:rFonts w:cs="Arial"/>
                <w:color w:val="000000"/>
                <w:sz w:val="18"/>
                <w:szCs w:val="18"/>
              </w:rPr>
            </w:pPr>
            <w:r w:rsidRPr="002B59C5">
              <w:rPr>
                <w:rFonts w:cs="Arial"/>
                <w:color w:val="000000"/>
                <w:sz w:val="18"/>
                <w:szCs w:val="18"/>
              </w:rPr>
              <w:t>258</w:t>
            </w:r>
          </w:p>
        </w:tc>
        <w:tc>
          <w:tcPr>
            <w:tcW w:w="660" w:type="pct"/>
            <w:tcBorders>
              <w:top w:val="nil"/>
              <w:left w:val="single" w:sz="4" w:space="0" w:color="auto"/>
              <w:bottom w:val="nil"/>
              <w:right w:val="single" w:sz="4" w:space="0" w:color="auto"/>
            </w:tcBorders>
            <w:shd w:val="clear" w:color="auto" w:fill="auto"/>
            <w:noWrap/>
            <w:hideMark/>
          </w:tcPr>
          <w:p w14:paraId="48310A2D" w14:textId="77777777" w:rsidR="00654063" w:rsidRPr="002B59C5" w:rsidRDefault="00654063" w:rsidP="00312E88">
            <w:pPr>
              <w:jc w:val="right"/>
              <w:rPr>
                <w:rFonts w:cs="Arial"/>
                <w:color w:val="000000"/>
                <w:sz w:val="18"/>
                <w:szCs w:val="18"/>
              </w:rPr>
            </w:pPr>
            <w:r w:rsidRPr="002B59C5">
              <w:rPr>
                <w:rFonts w:cs="Arial"/>
                <w:color w:val="000000"/>
                <w:sz w:val="18"/>
                <w:szCs w:val="18"/>
              </w:rPr>
              <w:t>316</w:t>
            </w:r>
          </w:p>
        </w:tc>
      </w:tr>
      <w:tr w:rsidR="00654063" w:rsidRPr="002B59C5" w14:paraId="5C08121B"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307D2DF1"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Consumables</w:t>
            </w:r>
          </w:p>
        </w:tc>
        <w:tc>
          <w:tcPr>
            <w:tcW w:w="658" w:type="pct"/>
            <w:tcBorders>
              <w:top w:val="nil"/>
              <w:left w:val="nil"/>
              <w:bottom w:val="nil"/>
              <w:right w:val="nil"/>
            </w:tcBorders>
            <w:shd w:val="clear" w:color="auto" w:fill="auto"/>
            <w:noWrap/>
            <w:hideMark/>
          </w:tcPr>
          <w:p w14:paraId="4D58418E" w14:textId="77777777" w:rsidR="00654063" w:rsidRPr="002B59C5" w:rsidRDefault="00654063" w:rsidP="00312E88">
            <w:pPr>
              <w:jc w:val="right"/>
              <w:rPr>
                <w:rFonts w:cs="Arial"/>
                <w:color w:val="000000"/>
                <w:sz w:val="18"/>
                <w:szCs w:val="18"/>
              </w:rPr>
            </w:pPr>
            <w:r w:rsidRPr="002B59C5">
              <w:rPr>
                <w:rFonts w:cs="Arial"/>
                <w:color w:val="000000"/>
                <w:sz w:val="18"/>
                <w:szCs w:val="18"/>
              </w:rPr>
              <w:t>-12</w:t>
            </w:r>
          </w:p>
        </w:tc>
        <w:tc>
          <w:tcPr>
            <w:tcW w:w="658" w:type="pct"/>
            <w:tcBorders>
              <w:top w:val="nil"/>
              <w:left w:val="nil"/>
              <w:bottom w:val="nil"/>
              <w:right w:val="nil"/>
            </w:tcBorders>
            <w:shd w:val="clear" w:color="auto" w:fill="auto"/>
            <w:noWrap/>
            <w:hideMark/>
          </w:tcPr>
          <w:p w14:paraId="4DD7B79B" w14:textId="77777777" w:rsidR="00654063" w:rsidRPr="002B59C5" w:rsidRDefault="00654063" w:rsidP="00312E88">
            <w:pPr>
              <w:jc w:val="right"/>
              <w:rPr>
                <w:rFonts w:cs="Arial"/>
                <w:color w:val="000000"/>
                <w:sz w:val="18"/>
                <w:szCs w:val="18"/>
              </w:rPr>
            </w:pPr>
            <w:r w:rsidRPr="002B59C5">
              <w:rPr>
                <w:rFonts w:cs="Arial"/>
                <w:color w:val="000000"/>
                <w:sz w:val="18"/>
                <w:szCs w:val="18"/>
              </w:rPr>
              <w:t>-13</w:t>
            </w:r>
          </w:p>
        </w:tc>
        <w:tc>
          <w:tcPr>
            <w:tcW w:w="658" w:type="pct"/>
            <w:tcBorders>
              <w:top w:val="nil"/>
              <w:left w:val="nil"/>
              <w:bottom w:val="nil"/>
              <w:right w:val="nil"/>
            </w:tcBorders>
            <w:shd w:val="clear" w:color="auto" w:fill="auto"/>
            <w:noWrap/>
            <w:hideMark/>
          </w:tcPr>
          <w:p w14:paraId="67AB9909" w14:textId="77777777" w:rsidR="00654063" w:rsidRPr="002B59C5" w:rsidRDefault="00654063" w:rsidP="00312E88">
            <w:pPr>
              <w:jc w:val="right"/>
              <w:rPr>
                <w:rFonts w:cs="Arial"/>
                <w:color w:val="000000"/>
                <w:sz w:val="18"/>
                <w:szCs w:val="18"/>
              </w:rPr>
            </w:pPr>
            <w:r w:rsidRPr="002B59C5">
              <w:rPr>
                <w:rFonts w:cs="Arial"/>
                <w:color w:val="000000"/>
                <w:sz w:val="18"/>
                <w:szCs w:val="18"/>
              </w:rPr>
              <w:t>-14</w:t>
            </w:r>
          </w:p>
        </w:tc>
        <w:tc>
          <w:tcPr>
            <w:tcW w:w="658" w:type="pct"/>
            <w:tcBorders>
              <w:top w:val="nil"/>
              <w:left w:val="nil"/>
              <w:bottom w:val="nil"/>
              <w:right w:val="nil"/>
            </w:tcBorders>
            <w:shd w:val="clear" w:color="auto" w:fill="auto"/>
            <w:noWrap/>
            <w:hideMark/>
          </w:tcPr>
          <w:p w14:paraId="3D1AE568" w14:textId="77777777" w:rsidR="00654063" w:rsidRPr="002B59C5" w:rsidRDefault="00654063" w:rsidP="00312E88">
            <w:pPr>
              <w:jc w:val="right"/>
              <w:rPr>
                <w:rFonts w:cs="Arial"/>
                <w:color w:val="000000"/>
                <w:sz w:val="18"/>
                <w:szCs w:val="18"/>
              </w:rPr>
            </w:pPr>
            <w:r w:rsidRPr="002B59C5">
              <w:rPr>
                <w:rFonts w:cs="Arial"/>
                <w:color w:val="000000"/>
                <w:sz w:val="18"/>
                <w:szCs w:val="18"/>
              </w:rPr>
              <w:t>-23</w:t>
            </w:r>
          </w:p>
        </w:tc>
        <w:tc>
          <w:tcPr>
            <w:tcW w:w="660" w:type="pct"/>
            <w:tcBorders>
              <w:top w:val="nil"/>
              <w:left w:val="single" w:sz="4" w:space="0" w:color="auto"/>
              <w:bottom w:val="nil"/>
              <w:right w:val="single" w:sz="4" w:space="0" w:color="auto"/>
            </w:tcBorders>
            <w:shd w:val="clear" w:color="auto" w:fill="auto"/>
            <w:noWrap/>
            <w:hideMark/>
          </w:tcPr>
          <w:p w14:paraId="4BDF9947" w14:textId="77777777" w:rsidR="00654063" w:rsidRPr="002B59C5" w:rsidRDefault="00654063" w:rsidP="00312E88">
            <w:pPr>
              <w:jc w:val="right"/>
              <w:rPr>
                <w:rFonts w:cs="Arial"/>
                <w:color w:val="000000"/>
                <w:sz w:val="18"/>
                <w:szCs w:val="18"/>
              </w:rPr>
            </w:pPr>
            <w:r w:rsidRPr="002B59C5">
              <w:rPr>
                <w:rFonts w:cs="Arial"/>
                <w:color w:val="000000"/>
                <w:sz w:val="18"/>
                <w:szCs w:val="18"/>
              </w:rPr>
              <w:t>-77</w:t>
            </w:r>
          </w:p>
        </w:tc>
      </w:tr>
      <w:tr w:rsidR="00654063" w:rsidRPr="002B59C5" w14:paraId="19EBF83C"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3CAB836E" w14:textId="77777777" w:rsidR="00654063" w:rsidRPr="002B59C5" w:rsidRDefault="00654063" w:rsidP="00312E88">
            <w:pPr>
              <w:rPr>
                <w:rFonts w:cs="Arial"/>
                <w:b/>
                <w:bCs/>
                <w:color w:val="000000"/>
                <w:sz w:val="18"/>
                <w:szCs w:val="18"/>
              </w:rPr>
            </w:pPr>
            <w:r w:rsidRPr="002B59C5">
              <w:rPr>
                <w:rFonts w:cs="Arial"/>
                <w:b/>
                <w:bCs/>
                <w:color w:val="000000"/>
                <w:sz w:val="18"/>
                <w:szCs w:val="18"/>
              </w:rPr>
              <w:t>Capital</w:t>
            </w:r>
          </w:p>
        </w:tc>
        <w:tc>
          <w:tcPr>
            <w:tcW w:w="658" w:type="pct"/>
            <w:tcBorders>
              <w:top w:val="nil"/>
              <w:left w:val="nil"/>
              <w:bottom w:val="nil"/>
              <w:right w:val="nil"/>
            </w:tcBorders>
            <w:shd w:val="clear" w:color="auto" w:fill="auto"/>
            <w:noWrap/>
            <w:hideMark/>
          </w:tcPr>
          <w:p w14:paraId="1ADDE2D6" w14:textId="77777777" w:rsidR="00654063" w:rsidRPr="002B59C5" w:rsidRDefault="00654063" w:rsidP="00312E88">
            <w:pPr>
              <w:rPr>
                <w:rFonts w:cs="Arial"/>
                <w:b/>
                <w:bCs/>
                <w:color w:val="000000"/>
                <w:sz w:val="18"/>
                <w:szCs w:val="18"/>
              </w:rPr>
            </w:pPr>
          </w:p>
        </w:tc>
        <w:tc>
          <w:tcPr>
            <w:tcW w:w="658" w:type="pct"/>
            <w:tcBorders>
              <w:top w:val="nil"/>
              <w:left w:val="nil"/>
              <w:bottom w:val="nil"/>
              <w:right w:val="nil"/>
            </w:tcBorders>
            <w:shd w:val="clear" w:color="auto" w:fill="auto"/>
            <w:noWrap/>
            <w:hideMark/>
          </w:tcPr>
          <w:p w14:paraId="4D53F758" w14:textId="77777777" w:rsidR="00654063" w:rsidRPr="002B59C5" w:rsidRDefault="00654063" w:rsidP="00312E88">
            <w:pPr>
              <w:rPr>
                <w:sz w:val="18"/>
                <w:szCs w:val="18"/>
              </w:rPr>
            </w:pPr>
          </w:p>
        </w:tc>
        <w:tc>
          <w:tcPr>
            <w:tcW w:w="658" w:type="pct"/>
            <w:tcBorders>
              <w:top w:val="nil"/>
              <w:left w:val="nil"/>
              <w:bottom w:val="nil"/>
              <w:right w:val="nil"/>
            </w:tcBorders>
            <w:shd w:val="clear" w:color="auto" w:fill="auto"/>
            <w:noWrap/>
            <w:hideMark/>
          </w:tcPr>
          <w:p w14:paraId="2944CF60" w14:textId="77777777" w:rsidR="00654063" w:rsidRPr="002B59C5" w:rsidRDefault="00654063" w:rsidP="00312E88">
            <w:pPr>
              <w:rPr>
                <w:sz w:val="18"/>
                <w:szCs w:val="18"/>
              </w:rPr>
            </w:pPr>
          </w:p>
        </w:tc>
        <w:tc>
          <w:tcPr>
            <w:tcW w:w="658" w:type="pct"/>
            <w:tcBorders>
              <w:top w:val="nil"/>
              <w:left w:val="nil"/>
              <w:bottom w:val="nil"/>
              <w:right w:val="nil"/>
            </w:tcBorders>
            <w:shd w:val="clear" w:color="auto" w:fill="auto"/>
            <w:noWrap/>
            <w:hideMark/>
          </w:tcPr>
          <w:p w14:paraId="4FD458A3" w14:textId="77777777" w:rsidR="00654063" w:rsidRPr="002B59C5" w:rsidRDefault="00654063" w:rsidP="00312E88">
            <w:pPr>
              <w:rPr>
                <w:sz w:val="18"/>
                <w:szCs w:val="18"/>
              </w:rPr>
            </w:pPr>
          </w:p>
        </w:tc>
        <w:tc>
          <w:tcPr>
            <w:tcW w:w="660" w:type="pct"/>
            <w:tcBorders>
              <w:top w:val="nil"/>
              <w:left w:val="single" w:sz="4" w:space="0" w:color="auto"/>
              <w:bottom w:val="nil"/>
              <w:right w:val="single" w:sz="4" w:space="0" w:color="auto"/>
            </w:tcBorders>
            <w:shd w:val="clear" w:color="auto" w:fill="auto"/>
            <w:noWrap/>
            <w:hideMark/>
          </w:tcPr>
          <w:p w14:paraId="205938FD" w14:textId="77777777" w:rsidR="00654063" w:rsidRPr="002B59C5" w:rsidRDefault="00654063" w:rsidP="00312E88">
            <w:pPr>
              <w:rPr>
                <w:rFonts w:cs="Arial"/>
                <w:color w:val="000000"/>
                <w:sz w:val="18"/>
                <w:szCs w:val="18"/>
              </w:rPr>
            </w:pPr>
            <w:r w:rsidRPr="002B59C5">
              <w:rPr>
                <w:rFonts w:cs="Arial"/>
                <w:color w:val="000000"/>
                <w:sz w:val="18"/>
                <w:szCs w:val="18"/>
              </w:rPr>
              <w:t> </w:t>
            </w:r>
          </w:p>
        </w:tc>
      </w:tr>
      <w:tr w:rsidR="00654063" w:rsidRPr="002B59C5" w14:paraId="7BD8869A"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0C9EE3BA"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Assistive Technology</w:t>
            </w:r>
          </w:p>
        </w:tc>
        <w:tc>
          <w:tcPr>
            <w:tcW w:w="658" w:type="pct"/>
            <w:tcBorders>
              <w:top w:val="nil"/>
              <w:left w:val="nil"/>
              <w:bottom w:val="nil"/>
              <w:right w:val="nil"/>
            </w:tcBorders>
            <w:shd w:val="clear" w:color="auto" w:fill="auto"/>
            <w:noWrap/>
            <w:hideMark/>
          </w:tcPr>
          <w:p w14:paraId="46930673" w14:textId="77777777" w:rsidR="00654063" w:rsidRPr="002B59C5" w:rsidRDefault="00654063" w:rsidP="00312E88">
            <w:pPr>
              <w:jc w:val="right"/>
              <w:rPr>
                <w:rFonts w:cs="Arial"/>
                <w:color w:val="000000"/>
                <w:sz w:val="18"/>
                <w:szCs w:val="18"/>
              </w:rPr>
            </w:pPr>
            <w:r w:rsidRPr="002B59C5">
              <w:rPr>
                <w:rFonts w:cs="Arial"/>
                <w:color w:val="000000"/>
                <w:sz w:val="18"/>
                <w:szCs w:val="18"/>
              </w:rPr>
              <w:t>-116</w:t>
            </w:r>
          </w:p>
        </w:tc>
        <w:tc>
          <w:tcPr>
            <w:tcW w:w="658" w:type="pct"/>
            <w:tcBorders>
              <w:top w:val="nil"/>
              <w:left w:val="nil"/>
              <w:bottom w:val="nil"/>
              <w:right w:val="nil"/>
            </w:tcBorders>
            <w:shd w:val="clear" w:color="auto" w:fill="auto"/>
            <w:noWrap/>
            <w:hideMark/>
          </w:tcPr>
          <w:p w14:paraId="116B463E" w14:textId="77777777" w:rsidR="00654063" w:rsidRPr="002B59C5" w:rsidRDefault="00654063" w:rsidP="00312E88">
            <w:pPr>
              <w:jc w:val="right"/>
              <w:rPr>
                <w:rFonts w:cs="Arial"/>
                <w:color w:val="000000"/>
                <w:sz w:val="18"/>
                <w:szCs w:val="18"/>
              </w:rPr>
            </w:pPr>
            <w:r w:rsidRPr="002B59C5">
              <w:rPr>
                <w:rFonts w:cs="Arial"/>
                <w:color w:val="000000"/>
                <w:sz w:val="18"/>
                <w:szCs w:val="18"/>
              </w:rPr>
              <w:t>-133</w:t>
            </w:r>
          </w:p>
        </w:tc>
        <w:tc>
          <w:tcPr>
            <w:tcW w:w="658" w:type="pct"/>
            <w:tcBorders>
              <w:top w:val="nil"/>
              <w:left w:val="nil"/>
              <w:bottom w:val="nil"/>
              <w:right w:val="nil"/>
            </w:tcBorders>
            <w:shd w:val="clear" w:color="auto" w:fill="auto"/>
            <w:noWrap/>
            <w:hideMark/>
          </w:tcPr>
          <w:p w14:paraId="5B72718B" w14:textId="77777777" w:rsidR="00654063" w:rsidRPr="002B59C5" w:rsidRDefault="00654063" w:rsidP="00312E88">
            <w:pPr>
              <w:jc w:val="right"/>
              <w:rPr>
                <w:rFonts w:cs="Arial"/>
                <w:color w:val="000000"/>
                <w:sz w:val="18"/>
                <w:szCs w:val="18"/>
              </w:rPr>
            </w:pPr>
            <w:r w:rsidRPr="002B59C5">
              <w:rPr>
                <w:rFonts w:cs="Arial"/>
                <w:color w:val="000000"/>
                <w:sz w:val="18"/>
                <w:szCs w:val="18"/>
              </w:rPr>
              <w:t>-149</w:t>
            </w:r>
          </w:p>
        </w:tc>
        <w:tc>
          <w:tcPr>
            <w:tcW w:w="658" w:type="pct"/>
            <w:tcBorders>
              <w:top w:val="nil"/>
              <w:left w:val="nil"/>
              <w:bottom w:val="nil"/>
              <w:right w:val="nil"/>
            </w:tcBorders>
            <w:shd w:val="clear" w:color="auto" w:fill="auto"/>
            <w:noWrap/>
            <w:hideMark/>
          </w:tcPr>
          <w:p w14:paraId="507AC41A" w14:textId="77777777" w:rsidR="00654063" w:rsidRPr="002B59C5" w:rsidRDefault="00654063" w:rsidP="00312E88">
            <w:pPr>
              <w:jc w:val="right"/>
              <w:rPr>
                <w:rFonts w:cs="Arial"/>
                <w:color w:val="000000"/>
                <w:sz w:val="18"/>
                <w:szCs w:val="18"/>
              </w:rPr>
            </w:pPr>
            <w:r w:rsidRPr="002B59C5">
              <w:rPr>
                <w:rFonts w:cs="Arial"/>
                <w:color w:val="000000"/>
                <w:sz w:val="18"/>
                <w:szCs w:val="18"/>
              </w:rPr>
              <w:t>-170</w:t>
            </w:r>
          </w:p>
        </w:tc>
        <w:tc>
          <w:tcPr>
            <w:tcW w:w="660" w:type="pct"/>
            <w:tcBorders>
              <w:top w:val="nil"/>
              <w:left w:val="single" w:sz="4" w:space="0" w:color="auto"/>
              <w:bottom w:val="nil"/>
              <w:right w:val="single" w:sz="4" w:space="0" w:color="auto"/>
            </w:tcBorders>
            <w:shd w:val="clear" w:color="auto" w:fill="auto"/>
            <w:noWrap/>
            <w:hideMark/>
          </w:tcPr>
          <w:p w14:paraId="10C1F4C9" w14:textId="77777777" w:rsidR="00654063" w:rsidRPr="002B59C5" w:rsidRDefault="00654063" w:rsidP="00312E88">
            <w:pPr>
              <w:jc w:val="right"/>
              <w:rPr>
                <w:rFonts w:cs="Arial"/>
                <w:color w:val="000000"/>
                <w:sz w:val="18"/>
                <w:szCs w:val="18"/>
              </w:rPr>
            </w:pPr>
            <w:r w:rsidRPr="002B59C5">
              <w:rPr>
                <w:rFonts w:cs="Arial"/>
                <w:color w:val="000000"/>
                <w:sz w:val="18"/>
                <w:szCs w:val="18"/>
              </w:rPr>
              <w:t>-274</w:t>
            </w:r>
          </w:p>
        </w:tc>
      </w:tr>
      <w:tr w:rsidR="00654063" w:rsidRPr="002B59C5" w14:paraId="38539433"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3CB0BC01"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Home Modifications</w:t>
            </w:r>
          </w:p>
        </w:tc>
        <w:tc>
          <w:tcPr>
            <w:tcW w:w="658" w:type="pct"/>
            <w:tcBorders>
              <w:top w:val="nil"/>
              <w:left w:val="nil"/>
              <w:bottom w:val="nil"/>
              <w:right w:val="nil"/>
            </w:tcBorders>
            <w:shd w:val="clear" w:color="auto" w:fill="auto"/>
            <w:noWrap/>
            <w:hideMark/>
          </w:tcPr>
          <w:p w14:paraId="63294828" w14:textId="77777777" w:rsidR="00654063" w:rsidRPr="002B59C5" w:rsidRDefault="00654063" w:rsidP="00312E88">
            <w:pPr>
              <w:jc w:val="right"/>
              <w:rPr>
                <w:rFonts w:cs="Arial"/>
                <w:color w:val="000000"/>
                <w:sz w:val="18"/>
                <w:szCs w:val="18"/>
              </w:rPr>
            </w:pPr>
            <w:r w:rsidRPr="002B59C5">
              <w:rPr>
                <w:rFonts w:cs="Arial"/>
                <w:color w:val="000000"/>
                <w:sz w:val="18"/>
                <w:szCs w:val="18"/>
              </w:rPr>
              <w:t>29</w:t>
            </w:r>
          </w:p>
        </w:tc>
        <w:tc>
          <w:tcPr>
            <w:tcW w:w="658" w:type="pct"/>
            <w:tcBorders>
              <w:top w:val="nil"/>
              <w:left w:val="nil"/>
              <w:bottom w:val="nil"/>
              <w:right w:val="nil"/>
            </w:tcBorders>
            <w:shd w:val="clear" w:color="auto" w:fill="auto"/>
            <w:noWrap/>
            <w:hideMark/>
          </w:tcPr>
          <w:p w14:paraId="41C1FF8C" w14:textId="77777777" w:rsidR="00654063" w:rsidRPr="002B59C5" w:rsidRDefault="00654063" w:rsidP="00312E88">
            <w:pPr>
              <w:jc w:val="right"/>
              <w:rPr>
                <w:rFonts w:cs="Arial"/>
                <w:color w:val="000000"/>
                <w:sz w:val="18"/>
                <w:szCs w:val="18"/>
              </w:rPr>
            </w:pPr>
            <w:r w:rsidRPr="002B59C5">
              <w:rPr>
                <w:rFonts w:cs="Arial"/>
                <w:color w:val="000000"/>
                <w:sz w:val="18"/>
                <w:szCs w:val="18"/>
              </w:rPr>
              <w:t>28</w:t>
            </w:r>
          </w:p>
        </w:tc>
        <w:tc>
          <w:tcPr>
            <w:tcW w:w="658" w:type="pct"/>
            <w:tcBorders>
              <w:top w:val="nil"/>
              <w:left w:val="nil"/>
              <w:bottom w:val="nil"/>
              <w:right w:val="nil"/>
            </w:tcBorders>
            <w:shd w:val="clear" w:color="auto" w:fill="auto"/>
            <w:noWrap/>
            <w:hideMark/>
          </w:tcPr>
          <w:p w14:paraId="4A756F9B" w14:textId="77777777" w:rsidR="00654063" w:rsidRPr="002B59C5" w:rsidRDefault="00654063" w:rsidP="00312E88">
            <w:pPr>
              <w:jc w:val="right"/>
              <w:rPr>
                <w:rFonts w:cs="Arial"/>
                <w:color w:val="000000"/>
                <w:sz w:val="18"/>
                <w:szCs w:val="18"/>
              </w:rPr>
            </w:pPr>
            <w:r w:rsidRPr="002B59C5">
              <w:rPr>
                <w:rFonts w:cs="Arial"/>
                <w:color w:val="000000"/>
                <w:sz w:val="18"/>
                <w:szCs w:val="18"/>
              </w:rPr>
              <w:t>37</w:t>
            </w:r>
          </w:p>
        </w:tc>
        <w:tc>
          <w:tcPr>
            <w:tcW w:w="658" w:type="pct"/>
            <w:tcBorders>
              <w:top w:val="nil"/>
              <w:left w:val="nil"/>
              <w:bottom w:val="nil"/>
              <w:right w:val="nil"/>
            </w:tcBorders>
            <w:shd w:val="clear" w:color="auto" w:fill="auto"/>
            <w:noWrap/>
            <w:hideMark/>
          </w:tcPr>
          <w:p w14:paraId="16476DAB" w14:textId="77777777" w:rsidR="00654063" w:rsidRPr="002B59C5" w:rsidRDefault="00654063" w:rsidP="00312E88">
            <w:pPr>
              <w:jc w:val="right"/>
              <w:rPr>
                <w:rFonts w:cs="Arial"/>
                <w:color w:val="000000"/>
                <w:sz w:val="18"/>
                <w:szCs w:val="18"/>
              </w:rPr>
            </w:pPr>
            <w:r w:rsidRPr="002B59C5">
              <w:rPr>
                <w:rFonts w:cs="Arial"/>
                <w:color w:val="000000"/>
                <w:sz w:val="18"/>
                <w:szCs w:val="18"/>
              </w:rPr>
              <w:t>30</w:t>
            </w:r>
          </w:p>
        </w:tc>
        <w:tc>
          <w:tcPr>
            <w:tcW w:w="660" w:type="pct"/>
            <w:tcBorders>
              <w:top w:val="nil"/>
              <w:left w:val="single" w:sz="4" w:space="0" w:color="auto"/>
              <w:bottom w:val="nil"/>
              <w:right w:val="single" w:sz="4" w:space="0" w:color="auto"/>
            </w:tcBorders>
            <w:shd w:val="clear" w:color="auto" w:fill="auto"/>
            <w:noWrap/>
            <w:hideMark/>
          </w:tcPr>
          <w:p w14:paraId="4D47033A" w14:textId="77777777" w:rsidR="00654063" w:rsidRPr="002B59C5" w:rsidRDefault="00654063" w:rsidP="00312E88">
            <w:pPr>
              <w:jc w:val="right"/>
              <w:rPr>
                <w:rFonts w:cs="Arial"/>
                <w:color w:val="000000"/>
                <w:sz w:val="18"/>
                <w:szCs w:val="18"/>
              </w:rPr>
            </w:pPr>
            <w:r w:rsidRPr="002B59C5">
              <w:rPr>
                <w:rFonts w:cs="Arial"/>
                <w:color w:val="000000"/>
                <w:sz w:val="18"/>
                <w:szCs w:val="18"/>
              </w:rPr>
              <w:t>13</w:t>
            </w:r>
          </w:p>
        </w:tc>
      </w:tr>
      <w:tr w:rsidR="00654063" w:rsidRPr="002B59C5" w14:paraId="72506E54"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796930FB" w14:textId="77777777" w:rsidR="00654063" w:rsidRPr="002B59C5" w:rsidRDefault="00654063" w:rsidP="00312E88">
            <w:pPr>
              <w:rPr>
                <w:rFonts w:cs="Arial"/>
                <w:b/>
                <w:bCs/>
                <w:color w:val="000000"/>
                <w:sz w:val="18"/>
                <w:szCs w:val="18"/>
              </w:rPr>
            </w:pPr>
            <w:r w:rsidRPr="002B59C5">
              <w:rPr>
                <w:rFonts w:cs="Arial"/>
                <w:b/>
                <w:bCs/>
                <w:color w:val="000000"/>
                <w:sz w:val="18"/>
                <w:szCs w:val="18"/>
              </w:rPr>
              <w:t>Capacity Building</w:t>
            </w:r>
          </w:p>
        </w:tc>
        <w:tc>
          <w:tcPr>
            <w:tcW w:w="658" w:type="pct"/>
            <w:tcBorders>
              <w:top w:val="nil"/>
              <w:left w:val="nil"/>
              <w:bottom w:val="nil"/>
              <w:right w:val="nil"/>
            </w:tcBorders>
            <w:shd w:val="clear" w:color="auto" w:fill="auto"/>
            <w:noWrap/>
            <w:hideMark/>
          </w:tcPr>
          <w:p w14:paraId="5388FFD3" w14:textId="77777777" w:rsidR="00654063" w:rsidRPr="002B59C5" w:rsidRDefault="00654063" w:rsidP="00312E88">
            <w:pPr>
              <w:rPr>
                <w:rFonts w:cs="Arial"/>
                <w:b/>
                <w:bCs/>
                <w:color w:val="000000"/>
                <w:sz w:val="18"/>
                <w:szCs w:val="18"/>
              </w:rPr>
            </w:pPr>
          </w:p>
        </w:tc>
        <w:tc>
          <w:tcPr>
            <w:tcW w:w="658" w:type="pct"/>
            <w:tcBorders>
              <w:top w:val="nil"/>
              <w:left w:val="nil"/>
              <w:bottom w:val="nil"/>
              <w:right w:val="nil"/>
            </w:tcBorders>
            <w:shd w:val="clear" w:color="auto" w:fill="auto"/>
            <w:noWrap/>
            <w:hideMark/>
          </w:tcPr>
          <w:p w14:paraId="49CB1832" w14:textId="77777777" w:rsidR="00654063" w:rsidRPr="002B59C5" w:rsidRDefault="00654063" w:rsidP="00312E88">
            <w:pPr>
              <w:rPr>
                <w:sz w:val="18"/>
                <w:szCs w:val="18"/>
              </w:rPr>
            </w:pPr>
          </w:p>
        </w:tc>
        <w:tc>
          <w:tcPr>
            <w:tcW w:w="658" w:type="pct"/>
            <w:tcBorders>
              <w:top w:val="nil"/>
              <w:left w:val="nil"/>
              <w:bottom w:val="nil"/>
              <w:right w:val="nil"/>
            </w:tcBorders>
            <w:shd w:val="clear" w:color="auto" w:fill="auto"/>
            <w:noWrap/>
            <w:hideMark/>
          </w:tcPr>
          <w:p w14:paraId="0F6C0824" w14:textId="77777777" w:rsidR="00654063" w:rsidRPr="002B59C5" w:rsidRDefault="00654063" w:rsidP="00312E88">
            <w:pPr>
              <w:rPr>
                <w:sz w:val="18"/>
                <w:szCs w:val="18"/>
              </w:rPr>
            </w:pPr>
          </w:p>
        </w:tc>
        <w:tc>
          <w:tcPr>
            <w:tcW w:w="658" w:type="pct"/>
            <w:tcBorders>
              <w:top w:val="nil"/>
              <w:left w:val="nil"/>
              <w:bottom w:val="nil"/>
              <w:right w:val="nil"/>
            </w:tcBorders>
            <w:shd w:val="clear" w:color="auto" w:fill="auto"/>
            <w:noWrap/>
            <w:hideMark/>
          </w:tcPr>
          <w:p w14:paraId="3E80F59D" w14:textId="77777777" w:rsidR="00654063" w:rsidRPr="002B59C5" w:rsidRDefault="00654063" w:rsidP="00312E88">
            <w:pPr>
              <w:rPr>
                <w:sz w:val="18"/>
                <w:szCs w:val="18"/>
              </w:rPr>
            </w:pPr>
          </w:p>
        </w:tc>
        <w:tc>
          <w:tcPr>
            <w:tcW w:w="660" w:type="pct"/>
            <w:tcBorders>
              <w:top w:val="nil"/>
              <w:left w:val="single" w:sz="4" w:space="0" w:color="auto"/>
              <w:bottom w:val="nil"/>
              <w:right w:val="single" w:sz="4" w:space="0" w:color="auto"/>
            </w:tcBorders>
            <w:shd w:val="clear" w:color="auto" w:fill="auto"/>
            <w:noWrap/>
            <w:hideMark/>
          </w:tcPr>
          <w:p w14:paraId="745B6C23" w14:textId="77777777" w:rsidR="00654063" w:rsidRPr="002B59C5" w:rsidRDefault="00654063" w:rsidP="00312E88">
            <w:pPr>
              <w:rPr>
                <w:rFonts w:cs="Arial"/>
                <w:color w:val="000000"/>
                <w:sz w:val="18"/>
                <w:szCs w:val="18"/>
              </w:rPr>
            </w:pPr>
            <w:r w:rsidRPr="002B59C5">
              <w:rPr>
                <w:rFonts w:cs="Arial"/>
                <w:color w:val="000000"/>
                <w:sz w:val="18"/>
                <w:szCs w:val="18"/>
              </w:rPr>
              <w:t> </w:t>
            </w:r>
          </w:p>
        </w:tc>
      </w:tr>
      <w:tr w:rsidR="00654063" w:rsidRPr="002B59C5" w14:paraId="30C2F012"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12A570D9"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CB Daily Activities</w:t>
            </w:r>
          </w:p>
        </w:tc>
        <w:tc>
          <w:tcPr>
            <w:tcW w:w="658" w:type="pct"/>
            <w:tcBorders>
              <w:top w:val="nil"/>
              <w:left w:val="nil"/>
              <w:bottom w:val="nil"/>
              <w:right w:val="nil"/>
            </w:tcBorders>
            <w:shd w:val="clear" w:color="auto" w:fill="auto"/>
            <w:noWrap/>
            <w:hideMark/>
          </w:tcPr>
          <w:p w14:paraId="6FE6F0B2" w14:textId="77777777" w:rsidR="00654063" w:rsidRPr="002B59C5" w:rsidRDefault="00654063" w:rsidP="00312E88">
            <w:pPr>
              <w:jc w:val="right"/>
              <w:rPr>
                <w:rFonts w:cs="Arial"/>
                <w:color w:val="000000"/>
                <w:sz w:val="18"/>
                <w:szCs w:val="18"/>
              </w:rPr>
            </w:pPr>
            <w:r w:rsidRPr="002B59C5">
              <w:rPr>
                <w:rFonts w:cs="Arial"/>
                <w:color w:val="000000"/>
                <w:sz w:val="18"/>
                <w:szCs w:val="18"/>
              </w:rPr>
              <w:t>212</w:t>
            </w:r>
          </w:p>
        </w:tc>
        <w:tc>
          <w:tcPr>
            <w:tcW w:w="658" w:type="pct"/>
            <w:tcBorders>
              <w:top w:val="nil"/>
              <w:left w:val="nil"/>
              <w:bottom w:val="nil"/>
              <w:right w:val="nil"/>
            </w:tcBorders>
            <w:shd w:val="clear" w:color="auto" w:fill="auto"/>
            <w:noWrap/>
            <w:hideMark/>
          </w:tcPr>
          <w:p w14:paraId="09ACE1E4" w14:textId="77777777" w:rsidR="00654063" w:rsidRPr="002B59C5" w:rsidRDefault="00654063" w:rsidP="00312E88">
            <w:pPr>
              <w:jc w:val="right"/>
              <w:rPr>
                <w:rFonts w:cs="Arial"/>
                <w:color w:val="000000"/>
                <w:sz w:val="18"/>
                <w:szCs w:val="18"/>
              </w:rPr>
            </w:pPr>
            <w:r w:rsidRPr="002B59C5">
              <w:rPr>
                <w:rFonts w:cs="Arial"/>
                <w:color w:val="000000"/>
                <w:sz w:val="18"/>
                <w:szCs w:val="18"/>
              </w:rPr>
              <w:t>261</w:t>
            </w:r>
          </w:p>
        </w:tc>
        <w:tc>
          <w:tcPr>
            <w:tcW w:w="658" w:type="pct"/>
            <w:tcBorders>
              <w:top w:val="nil"/>
              <w:left w:val="nil"/>
              <w:bottom w:val="nil"/>
              <w:right w:val="nil"/>
            </w:tcBorders>
            <w:shd w:val="clear" w:color="auto" w:fill="auto"/>
            <w:noWrap/>
            <w:hideMark/>
          </w:tcPr>
          <w:p w14:paraId="486299CE" w14:textId="77777777" w:rsidR="00654063" w:rsidRPr="002B59C5" w:rsidRDefault="00654063" w:rsidP="00312E88">
            <w:pPr>
              <w:jc w:val="right"/>
              <w:rPr>
                <w:rFonts w:cs="Arial"/>
                <w:color w:val="000000"/>
                <w:sz w:val="18"/>
                <w:szCs w:val="18"/>
              </w:rPr>
            </w:pPr>
            <w:r w:rsidRPr="002B59C5">
              <w:rPr>
                <w:rFonts w:cs="Arial"/>
                <w:color w:val="000000"/>
                <w:sz w:val="18"/>
                <w:szCs w:val="18"/>
              </w:rPr>
              <w:t>303</w:t>
            </w:r>
          </w:p>
        </w:tc>
        <w:tc>
          <w:tcPr>
            <w:tcW w:w="658" w:type="pct"/>
            <w:tcBorders>
              <w:top w:val="nil"/>
              <w:left w:val="nil"/>
              <w:bottom w:val="nil"/>
              <w:right w:val="nil"/>
            </w:tcBorders>
            <w:shd w:val="clear" w:color="auto" w:fill="auto"/>
            <w:noWrap/>
            <w:hideMark/>
          </w:tcPr>
          <w:p w14:paraId="09B35399" w14:textId="77777777" w:rsidR="00654063" w:rsidRPr="002B59C5" w:rsidRDefault="00654063" w:rsidP="00312E88">
            <w:pPr>
              <w:jc w:val="right"/>
              <w:rPr>
                <w:rFonts w:cs="Arial"/>
                <w:color w:val="000000"/>
                <w:sz w:val="18"/>
                <w:szCs w:val="18"/>
              </w:rPr>
            </w:pPr>
            <w:r w:rsidRPr="002B59C5">
              <w:rPr>
                <w:rFonts w:cs="Arial"/>
                <w:color w:val="000000"/>
                <w:sz w:val="18"/>
                <w:szCs w:val="18"/>
              </w:rPr>
              <w:t>284</w:t>
            </w:r>
          </w:p>
        </w:tc>
        <w:tc>
          <w:tcPr>
            <w:tcW w:w="660" w:type="pct"/>
            <w:tcBorders>
              <w:top w:val="nil"/>
              <w:left w:val="single" w:sz="4" w:space="0" w:color="auto"/>
              <w:bottom w:val="nil"/>
              <w:right w:val="single" w:sz="4" w:space="0" w:color="auto"/>
            </w:tcBorders>
            <w:shd w:val="clear" w:color="auto" w:fill="auto"/>
            <w:noWrap/>
            <w:hideMark/>
          </w:tcPr>
          <w:p w14:paraId="3F9ACD4E" w14:textId="77777777" w:rsidR="00654063" w:rsidRPr="002B59C5" w:rsidRDefault="00654063" w:rsidP="00312E88">
            <w:pPr>
              <w:jc w:val="right"/>
              <w:rPr>
                <w:rFonts w:cs="Arial"/>
                <w:color w:val="000000"/>
                <w:sz w:val="18"/>
                <w:szCs w:val="18"/>
              </w:rPr>
            </w:pPr>
            <w:r w:rsidRPr="002B59C5">
              <w:rPr>
                <w:rFonts w:cs="Arial"/>
                <w:color w:val="000000"/>
                <w:sz w:val="18"/>
                <w:szCs w:val="18"/>
              </w:rPr>
              <w:t>57</w:t>
            </w:r>
          </w:p>
        </w:tc>
      </w:tr>
      <w:tr w:rsidR="00654063" w:rsidRPr="002B59C5" w14:paraId="121963E9"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4180A7FF"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Support Coordination</w:t>
            </w:r>
          </w:p>
        </w:tc>
        <w:tc>
          <w:tcPr>
            <w:tcW w:w="658" w:type="pct"/>
            <w:tcBorders>
              <w:top w:val="nil"/>
              <w:left w:val="nil"/>
              <w:bottom w:val="nil"/>
              <w:right w:val="nil"/>
            </w:tcBorders>
            <w:shd w:val="clear" w:color="auto" w:fill="auto"/>
            <w:noWrap/>
            <w:hideMark/>
          </w:tcPr>
          <w:p w14:paraId="7FB9CA15" w14:textId="77777777" w:rsidR="00654063" w:rsidRPr="002B59C5" w:rsidRDefault="00654063" w:rsidP="00312E88">
            <w:pPr>
              <w:jc w:val="right"/>
              <w:rPr>
                <w:rFonts w:cs="Arial"/>
                <w:color w:val="000000"/>
                <w:sz w:val="18"/>
                <w:szCs w:val="18"/>
              </w:rPr>
            </w:pPr>
            <w:r w:rsidRPr="002B59C5">
              <w:rPr>
                <w:rFonts w:cs="Arial"/>
                <w:color w:val="000000"/>
                <w:sz w:val="18"/>
                <w:szCs w:val="18"/>
              </w:rPr>
              <w:t>78</w:t>
            </w:r>
          </w:p>
        </w:tc>
        <w:tc>
          <w:tcPr>
            <w:tcW w:w="658" w:type="pct"/>
            <w:tcBorders>
              <w:top w:val="nil"/>
              <w:left w:val="nil"/>
              <w:bottom w:val="nil"/>
              <w:right w:val="nil"/>
            </w:tcBorders>
            <w:shd w:val="clear" w:color="auto" w:fill="auto"/>
            <w:noWrap/>
            <w:hideMark/>
          </w:tcPr>
          <w:p w14:paraId="158A8FC7" w14:textId="77777777" w:rsidR="00654063" w:rsidRPr="002B59C5" w:rsidRDefault="00654063" w:rsidP="00312E88">
            <w:pPr>
              <w:jc w:val="right"/>
              <w:rPr>
                <w:rFonts w:cs="Arial"/>
                <w:color w:val="000000"/>
                <w:sz w:val="18"/>
                <w:szCs w:val="18"/>
              </w:rPr>
            </w:pPr>
            <w:r w:rsidRPr="002B59C5">
              <w:rPr>
                <w:rFonts w:cs="Arial"/>
                <w:color w:val="000000"/>
                <w:sz w:val="18"/>
                <w:szCs w:val="18"/>
              </w:rPr>
              <w:t>97</w:t>
            </w:r>
          </w:p>
        </w:tc>
        <w:tc>
          <w:tcPr>
            <w:tcW w:w="658" w:type="pct"/>
            <w:tcBorders>
              <w:top w:val="nil"/>
              <w:left w:val="nil"/>
              <w:bottom w:val="nil"/>
              <w:right w:val="nil"/>
            </w:tcBorders>
            <w:shd w:val="clear" w:color="auto" w:fill="auto"/>
            <w:noWrap/>
            <w:hideMark/>
          </w:tcPr>
          <w:p w14:paraId="7FBA7A6A" w14:textId="77777777" w:rsidR="00654063" w:rsidRPr="002B59C5" w:rsidRDefault="00654063" w:rsidP="00312E88">
            <w:pPr>
              <w:jc w:val="right"/>
              <w:rPr>
                <w:rFonts w:cs="Arial"/>
                <w:color w:val="000000"/>
                <w:sz w:val="18"/>
                <w:szCs w:val="18"/>
              </w:rPr>
            </w:pPr>
            <w:r w:rsidRPr="002B59C5">
              <w:rPr>
                <w:rFonts w:cs="Arial"/>
                <w:color w:val="000000"/>
                <w:sz w:val="18"/>
                <w:szCs w:val="18"/>
              </w:rPr>
              <w:t>112</w:t>
            </w:r>
          </w:p>
        </w:tc>
        <w:tc>
          <w:tcPr>
            <w:tcW w:w="658" w:type="pct"/>
            <w:tcBorders>
              <w:top w:val="nil"/>
              <w:left w:val="nil"/>
              <w:bottom w:val="nil"/>
              <w:right w:val="nil"/>
            </w:tcBorders>
            <w:shd w:val="clear" w:color="auto" w:fill="auto"/>
            <w:noWrap/>
            <w:hideMark/>
          </w:tcPr>
          <w:p w14:paraId="2FF72C65" w14:textId="77777777" w:rsidR="00654063" w:rsidRPr="002B59C5" w:rsidRDefault="00654063" w:rsidP="00312E88">
            <w:pPr>
              <w:jc w:val="right"/>
              <w:rPr>
                <w:rFonts w:cs="Arial"/>
                <w:color w:val="000000"/>
                <w:sz w:val="18"/>
                <w:szCs w:val="18"/>
              </w:rPr>
            </w:pPr>
            <w:r w:rsidRPr="002B59C5">
              <w:rPr>
                <w:rFonts w:cs="Arial"/>
                <w:color w:val="000000"/>
                <w:sz w:val="18"/>
                <w:szCs w:val="18"/>
              </w:rPr>
              <w:t>113</w:t>
            </w:r>
          </w:p>
        </w:tc>
        <w:tc>
          <w:tcPr>
            <w:tcW w:w="660" w:type="pct"/>
            <w:tcBorders>
              <w:top w:val="nil"/>
              <w:left w:val="single" w:sz="4" w:space="0" w:color="auto"/>
              <w:bottom w:val="nil"/>
              <w:right w:val="single" w:sz="4" w:space="0" w:color="auto"/>
            </w:tcBorders>
            <w:shd w:val="clear" w:color="auto" w:fill="auto"/>
            <w:noWrap/>
            <w:hideMark/>
          </w:tcPr>
          <w:p w14:paraId="386EEA25" w14:textId="77777777" w:rsidR="00654063" w:rsidRPr="002B59C5" w:rsidRDefault="00654063" w:rsidP="00312E88">
            <w:pPr>
              <w:jc w:val="right"/>
              <w:rPr>
                <w:rFonts w:cs="Arial"/>
                <w:color w:val="000000"/>
                <w:sz w:val="18"/>
                <w:szCs w:val="18"/>
              </w:rPr>
            </w:pPr>
            <w:r w:rsidRPr="002B59C5">
              <w:rPr>
                <w:rFonts w:cs="Arial"/>
                <w:color w:val="000000"/>
                <w:sz w:val="18"/>
                <w:szCs w:val="18"/>
              </w:rPr>
              <w:t>112</w:t>
            </w:r>
          </w:p>
        </w:tc>
      </w:tr>
      <w:tr w:rsidR="00654063" w:rsidRPr="002B59C5" w14:paraId="03B04C8F"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731AACA5"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CB Employment</w:t>
            </w:r>
          </w:p>
        </w:tc>
        <w:tc>
          <w:tcPr>
            <w:tcW w:w="658" w:type="pct"/>
            <w:tcBorders>
              <w:top w:val="nil"/>
              <w:left w:val="nil"/>
              <w:bottom w:val="nil"/>
              <w:right w:val="nil"/>
            </w:tcBorders>
            <w:shd w:val="clear" w:color="auto" w:fill="auto"/>
            <w:noWrap/>
            <w:hideMark/>
          </w:tcPr>
          <w:p w14:paraId="615E2F53" w14:textId="77777777" w:rsidR="00654063" w:rsidRPr="002B59C5" w:rsidRDefault="00654063" w:rsidP="00312E88">
            <w:pPr>
              <w:jc w:val="right"/>
              <w:rPr>
                <w:rFonts w:cs="Arial"/>
                <w:color w:val="000000"/>
                <w:sz w:val="18"/>
                <w:szCs w:val="18"/>
              </w:rPr>
            </w:pPr>
            <w:r w:rsidRPr="002B59C5">
              <w:rPr>
                <w:rFonts w:cs="Arial"/>
                <w:color w:val="000000"/>
                <w:sz w:val="18"/>
                <w:szCs w:val="18"/>
              </w:rPr>
              <w:t>-166</w:t>
            </w:r>
          </w:p>
        </w:tc>
        <w:tc>
          <w:tcPr>
            <w:tcW w:w="658" w:type="pct"/>
            <w:tcBorders>
              <w:top w:val="nil"/>
              <w:left w:val="nil"/>
              <w:bottom w:val="nil"/>
              <w:right w:val="nil"/>
            </w:tcBorders>
            <w:shd w:val="clear" w:color="auto" w:fill="auto"/>
            <w:noWrap/>
            <w:hideMark/>
          </w:tcPr>
          <w:p w14:paraId="754A66E1" w14:textId="77777777" w:rsidR="00654063" w:rsidRPr="002B59C5" w:rsidRDefault="00654063" w:rsidP="00312E88">
            <w:pPr>
              <w:jc w:val="right"/>
              <w:rPr>
                <w:rFonts w:cs="Arial"/>
                <w:color w:val="000000"/>
                <w:sz w:val="18"/>
                <w:szCs w:val="18"/>
              </w:rPr>
            </w:pPr>
            <w:r w:rsidRPr="002B59C5">
              <w:rPr>
                <w:rFonts w:cs="Arial"/>
                <w:color w:val="000000"/>
                <w:sz w:val="18"/>
                <w:szCs w:val="18"/>
              </w:rPr>
              <w:t>-234</w:t>
            </w:r>
          </w:p>
        </w:tc>
        <w:tc>
          <w:tcPr>
            <w:tcW w:w="658" w:type="pct"/>
            <w:tcBorders>
              <w:top w:val="nil"/>
              <w:left w:val="nil"/>
              <w:bottom w:val="nil"/>
              <w:right w:val="nil"/>
            </w:tcBorders>
            <w:shd w:val="clear" w:color="auto" w:fill="auto"/>
            <w:noWrap/>
            <w:hideMark/>
          </w:tcPr>
          <w:p w14:paraId="4259BCE0" w14:textId="77777777" w:rsidR="00654063" w:rsidRPr="002B59C5" w:rsidRDefault="00654063" w:rsidP="00312E88">
            <w:pPr>
              <w:jc w:val="right"/>
              <w:rPr>
                <w:rFonts w:cs="Arial"/>
                <w:color w:val="000000"/>
                <w:sz w:val="18"/>
                <w:szCs w:val="18"/>
              </w:rPr>
            </w:pPr>
            <w:r w:rsidRPr="002B59C5">
              <w:rPr>
                <w:rFonts w:cs="Arial"/>
                <w:color w:val="000000"/>
                <w:sz w:val="18"/>
                <w:szCs w:val="18"/>
              </w:rPr>
              <w:t>-270</w:t>
            </w:r>
          </w:p>
        </w:tc>
        <w:tc>
          <w:tcPr>
            <w:tcW w:w="658" w:type="pct"/>
            <w:tcBorders>
              <w:top w:val="nil"/>
              <w:left w:val="nil"/>
              <w:bottom w:val="nil"/>
              <w:right w:val="nil"/>
            </w:tcBorders>
            <w:shd w:val="clear" w:color="auto" w:fill="auto"/>
            <w:noWrap/>
            <w:hideMark/>
          </w:tcPr>
          <w:p w14:paraId="07AFB006" w14:textId="77777777" w:rsidR="00654063" w:rsidRPr="002B59C5" w:rsidRDefault="00654063" w:rsidP="00312E88">
            <w:pPr>
              <w:jc w:val="right"/>
              <w:rPr>
                <w:rFonts w:cs="Arial"/>
                <w:color w:val="000000"/>
                <w:sz w:val="18"/>
                <w:szCs w:val="18"/>
              </w:rPr>
            </w:pPr>
            <w:r w:rsidRPr="002B59C5">
              <w:rPr>
                <w:rFonts w:cs="Arial"/>
                <w:color w:val="000000"/>
                <w:sz w:val="18"/>
                <w:szCs w:val="18"/>
              </w:rPr>
              <w:t>-303</w:t>
            </w:r>
          </w:p>
        </w:tc>
        <w:tc>
          <w:tcPr>
            <w:tcW w:w="660" w:type="pct"/>
            <w:tcBorders>
              <w:top w:val="nil"/>
              <w:left w:val="single" w:sz="4" w:space="0" w:color="auto"/>
              <w:bottom w:val="nil"/>
              <w:right w:val="single" w:sz="4" w:space="0" w:color="auto"/>
            </w:tcBorders>
            <w:shd w:val="clear" w:color="auto" w:fill="auto"/>
            <w:noWrap/>
            <w:hideMark/>
          </w:tcPr>
          <w:p w14:paraId="7A009710" w14:textId="77777777" w:rsidR="00654063" w:rsidRPr="002B59C5" w:rsidRDefault="00654063" w:rsidP="00312E88">
            <w:pPr>
              <w:jc w:val="right"/>
              <w:rPr>
                <w:rFonts w:cs="Arial"/>
                <w:color w:val="000000"/>
                <w:sz w:val="18"/>
                <w:szCs w:val="18"/>
              </w:rPr>
            </w:pPr>
            <w:r w:rsidRPr="002B59C5">
              <w:rPr>
                <w:rFonts w:cs="Arial"/>
                <w:color w:val="000000"/>
                <w:sz w:val="18"/>
                <w:szCs w:val="18"/>
              </w:rPr>
              <w:t>-516</w:t>
            </w:r>
          </w:p>
        </w:tc>
      </w:tr>
      <w:tr w:rsidR="00654063" w:rsidRPr="002B59C5" w14:paraId="53F8850C"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1D75B449"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CB Choice and Control</w:t>
            </w:r>
          </w:p>
        </w:tc>
        <w:tc>
          <w:tcPr>
            <w:tcW w:w="658" w:type="pct"/>
            <w:tcBorders>
              <w:top w:val="nil"/>
              <w:left w:val="nil"/>
              <w:bottom w:val="nil"/>
              <w:right w:val="nil"/>
            </w:tcBorders>
            <w:shd w:val="clear" w:color="auto" w:fill="auto"/>
            <w:noWrap/>
            <w:hideMark/>
          </w:tcPr>
          <w:p w14:paraId="4792200C" w14:textId="77777777" w:rsidR="00654063" w:rsidRPr="002B59C5" w:rsidRDefault="00654063" w:rsidP="00312E88">
            <w:pPr>
              <w:jc w:val="right"/>
              <w:rPr>
                <w:rFonts w:cs="Arial"/>
                <w:color w:val="000000"/>
                <w:sz w:val="18"/>
                <w:szCs w:val="18"/>
              </w:rPr>
            </w:pPr>
            <w:r w:rsidRPr="002B59C5">
              <w:rPr>
                <w:rFonts w:cs="Arial"/>
                <w:color w:val="000000"/>
                <w:sz w:val="18"/>
                <w:szCs w:val="18"/>
              </w:rPr>
              <w:t>37</w:t>
            </w:r>
          </w:p>
        </w:tc>
        <w:tc>
          <w:tcPr>
            <w:tcW w:w="658" w:type="pct"/>
            <w:tcBorders>
              <w:top w:val="nil"/>
              <w:left w:val="nil"/>
              <w:bottom w:val="nil"/>
              <w:right w:val="nil"/>
            </w:tcBorders>
            <w:shd w:val="clear" w:color="auto" w:fill="auto"/>
            <w:noWrap/>
            <w:hideMark/>
          </w:tcPr>
          <w:p w14:paraId="4BE449CB" w14:textId="77777777" w:rsidR="00654063" w:rsidRPr="002B59C5" w:rsidRDefault="00654063" w:rsidP="00312E88">
            <w:pPr>
              <w:jc w:val="right"/>
              <w:rPr>
                <w:rFonts w:cs="Arial"/>
                <w:color w:val="000000"/>
                <w:sz w:val="18"/>
                <w:szCs w:val="18"/>
              </w:rPr>
            </w:pPr>
            <w:r w:rsidRPr="002B59C5">
              <w:rPr>
                <w:rFonts w:cs="Arial"/>
                <w:color w:val="000000"/>
                <w:sz w:val="18"/>
                <w:szCs w:val="18"/>
              </w:rPr>
              <w:t>48</w:t>
            </w:r>
          </w:p>
        </w:tc>
        <w:tc>
          <w:tcPr>
            <w:tcW w:w="658" w:type="pct"/>
            <w:tcBorders>
              <w:top w:val="nil"/>
              <w:left w:val="nil"/>
              <w:bottom w:val="nil"/>
              <w:right w:val="nil"/>
            </w:tcBorders>
            <w:shd w:val="clear" w:color="auto" w:fill="auto"/>
            <w:noWrap/>
            <w:hideMark/>
          </w:tcPr>
          <w:p w14:paraId="0FEFDDFF" w14:textId="77777777" w:rsidR="00654063" w:rsidRPr="002B59C5" w:rsidRDefault="00654063" w:rsidP="00312E88">
            <w:pPr>
              <w:jc w:val="right"/>
              <w:rPr>
                <w:rFonts w:cs="Arial"/>
                <w:color w:val="000000"/>
                <w:sz w:val="18"/>
                <w:szCs w:val="18"/>
              </w:rPr>
            </w:pPr>
            <w:r w:rsidRPr="002B59C5">
              <w:rPr>
                <w:rFonts w:cs="Arial"/>
                <w:color w:val="000000"/>
                <w:sz w:val="18"/>
                <w:szCs w:val="18"/>
              </w:rPr>
              <w:t>58</w:t>
            </w:r>
          </w:p>
        </w:tc>
        <w:tc>
          <w:tcPr>
            <w:tcW w:w="658" w:type="pct"/>
            <w:tcBorders>
              <w:top w:val="nil"/>
              <w:left w:val="nil"/>
              <w:bottom w:val="nil"/>
              <w:right w:val="nil"/>
            </w:tcBorders>
            <w:shd w:val="clear" w:color="auto" w:fill="auto"/>
            <w:noWrap/>
            <w:hideMark/>
          </w:tcPr>
          <w:p w14:paraId="00242CAC" w14:textId="77777777" w:rsidR="00654063" w:rsidRPr="002B59C5" w:rsidRDefault="00654063" w:rsidP="00312E88">
            <w:pPr>
              <w:jc w:val="right"/>
              <w:rPr>
                <w:rFonts w:cs="Arial"/>
                <w:color w:val="000000"/>
                <w:sz w:val="18"/>
                <w:szCs w:val="18"/>
              </w:rPr>
            </w:pPr>
            <w:r w:rsidRPr="002B59C5">
              <w:rPr>
                <w:rFonts w:cs="Arial"/>
                <w:color w:val="000000"/>
                <w:sz w:val="18"/>
                <w:szCs w:val="18"/>
              </w:rPr>
              <w:t>60</w:t>
            </w:r>
          </w:p>
        </w:tc>
        <w:tc>
          <w:tcPr>
            <w:tcW w:w="660" w:type="pct"/>
            <w:tcBorders>
              <w:top w:val="nil"/>
              <w:left w:val="single" w:sz="4" w:space="0" w:color="auto"/>
              <w:bottom w:val="nil"/>
              <w:right w:val="single" w:sz="4" w:space="0" w:color="auto"/>
            </w:tcBorders>
            <w:shd w:val="clear" w:color="auto" w:fill="auto"/>
            <w:noWrap/>
            <w:hideMark/>
          </w:tcPr>
          <w:p w14:paraId="06D27C55" w14:textId="77777777" w:rsidR="00654063" w:rsidRPr="002B59C5" w:rsidRDefault="00654063" w:rsidP="00312E88">
            <w:pPr>
              <w:jc w:val="right"/>
              <w:rPr>
                <w:rFonts w:cs="Arial"/>
                <w:color w:val="000000"/>
                <w:sz w:val="18"/>
                <w:szCs w:val="18"/>
              </w:rPr>
            </w:pPr>
            <w:r w:rsidRPr="002B59C5">
              <w:rPr>
                <w:rFonts w:cs="Arial"/>
                <w:color w:val="000000"/>
                <w:sz w:val="18"/>
                <w:szCs w:val="18"/>
              </w:rPr>
              <w:t>59</w:t>
            </w:r>
          </w:p>
        </w:tc>
      </w:tr>
      <w:tr w:rsidR="00654063" w:rsidRPr="002B59C5" w14:paraId="0C950267" w14:textId="77777777" w:rsidTr="00654063">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0015001C" w14:textId="77777777" w:rsidR="00654063" w:rsidRPr="002B59C5" w:rsidRDefault="00654063" w:rsidP="00312E88">
            <w:pPr>
              <w:ind w:firstLineChars="100" w:firstLine="180"/>
              <w:rPr>
                <w:rFonts w:cs="Arial"/>
                <w:i/>
                <w:iCs/>
                <w:color w:val="000000"/>
                <w:sz w:val="18"/>
                <w:szCs w:val="18"/>
              </w:rPr>
            </w:pPr>
            <w:r w:rsidRPr="002B59C5">
              <w:rPr>
                <w:rFonts w:cs="Arial"/>
                <w:i/>
                <w:iCs/>
                <w:color w:val="000000"/>
                <w:sz w:val="18"/>
                <w:szCs w:val="18"/>
              </w:rPr>
              <w:t>Other CB supports</w:t>
            </w:r>
          </w:p>
        </w:tc>
        <w:tc>
          <w:tcPr>
            <w:tcW w:w="658" w:type="pct"/>
            <w:tcBorders>
              <w:top w:val="nil"/>
              <w:left w:val="nil"/>
              <w:bottom w:val="nil"/>
              <w:right w:val="nil"/>
            </w:tcBorders>
            <w:shd w:val="clear" w:color="auto" w:fill="auto"/>
            <w:noWrap/>
            <w:hideMark/>
          </w:tcPr>
          <w:p w14:paraId="40B1E5CC" w14:textId="77777777" w:rsidR="00654063" w:rsidRPr="002B59C5" w:rsidRDefault="00654063" w:rsidP="00312E88">
            <w:pPr>
              <w:jc w:val="right"/>
              <w:rPr>
                <w:rFonts w:cs="Arial"/>
                <w:color w:val="000000"/>
                <w:sz w:val="18"/>
                <w:szCs w:val="18"/>
              </w:rPr>
            </w:pPr>
            <w:r w:rsidRPr="002B59C5">
              <w:rPr>
                <w:rFonts w:cs="Arial"/>
                <w:color w:val="000000"/>
                <w:sz w:val="18"/>
                <w:szCs w:val="18"/>
              </w:rPr>
              <w:t>13</w:t>
            </w:r>
          </w:p>
        </w:tc>
        <w:tc>
          <w:tcPr>
            <w:tcW w:w="658" w:type="pct"/>
            <w:tcBorders>
              <w:top w:val="nil"/>
              <w:left w:val="nil"/>
              <w:bottom w:val="nil"/>
              <w:right w:val="nil"/>
            </w:tcBorders>
            <w:shd w:val="clear" w:color="auto" w:fill="auto"/>
            <w:noWrap/>
            <w:hideMark/>
          </w:tcPr>
          <w:p w14:paraId="03C9A2B9" w14:textId="77777777" w:rsidR="00654063" w:rsidRPr="002B59C5" w:rsidRDefault="00654063" w:rsidP="00312E88">
            <w:pPr>
              <w:jc w:val="right"/>
              <w:rPr>
                <w:rFonts w:cs="Arial"/>
                <w:color w:val="000000"/>
                <w:sz w:val="18"/>
                <w:szCs w:val="18"/>
              </w:rPr>
            </w:pPr>
            <w:r w:rsidRPr="002B59C5">
              <w:rPr>
                <w:rFonts w:cs="Arial"/>
                <w:color w:val="000000"/>
                <w:sz w:val="18"/>
                <w:szCs w:val="18"/>
              </w:rPr>
              <w:t>12</w:t>
            </w:r>
          </w:p>
        </w:tc>
        <w:tc>
          <w:tcPr>
            <w:tcW w:w="658" w:type="pct"/>
            <w:tcBorders>
              <w:top w:val="nil"/>
              <w:left w:val="nil"/>
              <w:bottom w:val="nil"/>
              <w:right w:val="nil"/>
            </w:tcBorders>
            <w:shd w:val="clear" w:color="auto" w:fill="auto"/>
            <w:noWrap/>
            <w:hideMark/>
          </w:tcPr>
          <w:p w14:paraId="69744BA0" w14:textId="77777777" w:rsidR="00654063" w:rsidRPr="002B59C5" w:rsidRDefault="00654063" w:rsidP="00312E88">
            <w:pPr>
              <w:jc w:val="right"/>
              <w:rPr>
                <w:rFonts w:cs="Arial"/>
                <w:color w:val="000000"/>
                <w:sz w:val="18"/>
                <w:szCs w:val="18"/>
              </w:rPr>
            </w:pPr>
            <w:r w:rsidRPr="002B59C5">
              <w:rPr>
                <w:rFonts w:cs="Arial"/>
                <w:color w:val="000000"/>
                <w:sz w:val="18"/>
                <w:szCs w:val="18"/>
              </w:rPr>
              <w:t>11</w:t>
            </w:r>
          </w:p>
        </w:tc>
        <w:tc>
          <w:tcPr>
            <w:tcW w:w="658" w:type="pct"/>
            <w:tcBorders>
              <w:top w:val="nil"/>
              <w:left w:val="nil"/>
              <w:bottom w:val="nil"/>
              <w:right w:val="nil"/>
            </w:tcBorders>
            <w:shd w:val="clear" w:color="auto" w:fill="auto"/>
            <w:noWrap/>
            <w:hideMark/>
          </w:tcPr>
          <w:p w14:paraId="2D8630B6" w14:textId="77777777" w:rsidR="00654063" w:rsidRPr="002B59C5" w:rsidRDefault="00654063" w:rsidP="00312E88">
            <w:pPr>
              <w:jc w:val="right"/>
              <w:rPr>
                <w:rFonts w:cs="Arial"/>
                <w:color w:val="000000"/>
                <w:sz w:val="18"/>
                <w:szCs w:val="18"/>
              </w:rPr>
            </w:pPr>
            <w:r w:rsidRPr="002B59C5">
              <w:rPr>
                <w:rFonts w:cs="Arial"/>
                <w:color w:val="000000"/>
                <w:sz w:val="18"/>
                <w:szCs w:val="18"/>
              </w:rPr>
              <w:t>4</w:t>
            </w:r>
          </w:p>
        </w:tc>
        <w:tc>
          <w:tcPr>
            <w:tcW w:w="660" w:type="pct"/>
            <w:tcBorders>
              <w:top w:val="nil"/>
              <w:left w:val="single" w:sz="4" w:space="0" w:color="auto"/>
              <w:bottom w:val="nil"/>
              <w:right w:val="single" w:sz="4" w:space="0" w:color="auto"/>
            </w:tcBorders>
            <w:shd w:val="clear" w:color="auto" w:fill="auto"/>
            <w:noWrap/>
            <w:hideMark/>
          </w:tcPr>
          <w:p w14:paraId="10078C10" w14:textId="77777777" w:rsidR="00654063" w:rsidRPr="002B59C5" w:rsidRDefault="00654063" w:rsidP="00312E88">
            <w:pPr>
              <w:jc w:val="right"/>
              <w:rPr>
                <w:rFonts w:cs="Arial"/>
                <w:color w:val="000000"/>
                <w:sz w:val="18"/>
                <w:szCs w:val="18"/>
              </w:rPr>
            </w:pPr>
            <w:r w:rsidRPr="002B59C5">
              <w:rPr>
                <w:rFonts w:cs="Arial"/>
                <w:color w:val="000000"/>
                <w:sz w:val="18"/>
                <w:szCs w:val="18"/>
              </w:rPr>
              <w:t>-34</w:t>
            </w:r>
          </w:p>
        </w:tc>
      </w:tr>
      <w:tr w:rsidR="00654063" w:rsidRPr="002B59C5" w14:paraId="28915805" w14:textId="77777777" w:rsidTr="00654063">
        <w:trPr>
          <w:trHeight w:hRule="exact" w:val="284"/>
        </w:trPr>
        <w:tc>
          <w:tcPr>
            <w:tcW w:w="1708" w:type="pct"/>
            <w:tcBorders>
              <w:top w:val="single" w:sz="4" w:space="0" w:color="auto"/>
              <w:left w:val="single" w:sz="4" w:space="0" w:color="auto"/>
              <w:bottom w:val="single" w:sz="4" w:space="0" w:color="auto"/>
              <w:right w:val="nil"/>
            </w:tcBorders>
            <w:shd w:val="clear" w:color="auto" w:fill="auto"/>
            <w:noWrap/>
            <w:hideMark/>
          </w:tcPr>
          <w:p w14:paraId="4B89F2EC" w14:textId="77777777" w:rsidR="00654063" w:rsidRPr="002B59C5" w:rsidRDefault="00654063" w:rsidP="00312E88">
            <w:pPr>
              <w:rPr>
                <w:rFonts w:cs="Arial"/>
                <w:b/>
                <w:bCs/>
                <w:color w:val="000000"/>
                <w:sz w:val="18"/>
                <w:szCs w:val="18"/>
              </w:rPr>
            </w:pPr>
            <w:r w:rsidRPr="002B59C5">
              <w:rPr>
                <w:rFonts w:cs="Arial"/>
                <w:b/>
                <w:bCs/>
                <w:color w:val="000000"/>
                <w:sz w:val="18"/>
                <w:szCs w:val="18"/>
              </w:rPr>
              <w:t>Total</w:t>
            </w:r>
          </w:p>
        </w:tc>
        <w:tc>
          <w:tcPr>
            <w:tcW w:w="658" w:type="pct"/>
            <w:tcBorders>
              <w:top w:val="single" w:sz="4" w:space="0" w:color="auto"/>
              <w:left w:val="single" w:sz="4" w:space="0" w:color="auto"/>
              <w:bottom w:val="single" w:sz="4" w:space="0" w:color="auto"/>
              <w:right w:val="nil"/>
            </w:tcBorders>
            <w:shd w:val="clear" w:color="auto" w:fill="auto"/>
            <w:noWrap/>
            <w:hideMark/>
          </w:tcPr>
          <w:p w14:paraId="063928D8" w14:textId="77777777" w:rsidR="00654063" w:rsidRPr="002B59C5" w:rsidRDefault="00654063" w:rsidP="00312E88">
            <w:pPr>
              <w:jc w:val="right"/>
              <w:rPr>
                <w:rFonts w:cs="Arial"/>
                <w:b/>
                <w:bCs/>
                <w:color w:val="000000"/>
                <w:sz w:val="18"/>
                <w:szCs w:val="18"/>
              </w:rPr>
            </w:pPr>
            <w:r w:rsidRPr="002B59C5">
              <w:rPr>
                <w:rFonts w:cs="Arial"/>
                <w:b/>
                <w:bCs/>
                <w:color w:val="000000"/>
                <w:sz w:val="18"/>
                <w:szCs w:val="18"/>
              </w:rPr>
              <w:t>1,132</w:t>
            </w:r>
          </w:p>
        </w:tc>
        <w:tc>
          <w:tcPr>
            <w:tcW w:w="658" w:type="pct"/>
            <w:tcBorders>
              <w:top w:val="single" w:sz="4" w:space="0" w:color="auto"/>
              <w:left w:val="nil"/>
              <w:bottom w:val="single" w:sz="4" w:space="0" w:color="auto"/>
              <w:right w:val="nil"/>
            </w:tcBorders>
            <w:shd w:val="clear" w:color="auto" w:fill="auto"/>
            <w:noWrap/>
            <w:hideMark/>
          </w:tcPr>
          <w:p w14:paraId="59E0A987" w14:textId="77777777" w:rsidR="00654063" w:rsidRPr="002B59C5" w:rsidRDefault="00654063" w:rsidP="00312E88">
            <w:pPr>
              <w:jc w:val="right"/>
              <w:rPr>
                <w:rFonts w:cs="Arial"/>
                <w:b/>
                <w:bCs/>
                <w:color w:val="000000"/>
                <w:sz w:val="18"/>
                <w:szCs w:val="18"/>
              </w:rPr>
            </w:pPr>
            <w:r w:rsidRPr="002B59C5">
              <w:rPr>
                <w:rFonts w:cs="Arial"/>
                <w:b/>
                <w:bCs/>
                <w:color w:val="000000"/>
                <w:sz w:val="18"/>
                <w:szCs w:val="18"/>
              </w:rPr>
              <w:t>994</w:t>
            </w:r>
          </w:p>
        </w:tc>
        <w:tc>
          <w:tcPr>
            <w:tcW w:w="658" w:type="pct"/>
            <w:tcBorders>
              <w:top w:val="single" w:sz="4" w:space="0" w:color="auto"/>
              <w:left w:val="nil"/>
              <w:bottom w:val="single" w:sz="4" w:space="0" w:color="auto"/>
              <w:right w:val="nil"/>
            </w:tcBorders>
            <w:shd w:val="clear" w:color="auto" w:fill="auto"/>
            <w:noWrap/>
            <w:hideMark/>
          </w:tcPr>
          <w:p w14:paraId="1AD48FB0" w14:textId="77777777" w:rsidR="00654063" w:rsidRPr="002B59C5" w:rsidRDefault="00654063" w:rsidP="00312E88">
            <w:pPr>
              <w:jc w:val="right"/>
              <w:rPr>
                <w:rFonts w:cs="Arial"/>
                <w:b/>
                <w:bCs/>
                <w:color w:val="000000"/>
                <w:sz w:val="18"/>
                <w:szCs w:val="18"/>
              </w:rPr>
            </w:pPr>
            <w:r w:rsidRPr="002B59C5">
              <w:rPr>
                <w:rFonts w:cs="Arial"/>
                <w:b/>
                <w:bCs/>
                <w:color w:val="000000"/>
                <w:sz w:val="18"/>
                <w:szCs w:val="18"/>
              </w:rPr>
              <w:t>837</w:t>
            </w:r>
          </w:p>
        </w:tc>
        <w:tc>
          <w:tcPr>
            <w:tcW w:w="658" w:type="pct"/>
            <w:tcBorders>
              <w:top w:val="single" w:sz="4" w:space="0" w:color="auto"/>
              <w:left w:val="nil"/>
              <w:bottom w:val="single" w:sz="4" w:space="0" w:color="auto"/>
              <w:right w:val="nil"/>
            </w:tcBorders>
            <w:shd w:val="clear" w:color="auto" w:fill="auto"/>
            <w:noWrap/>
            <w:hideMark/>
          </w:tcPr>
          <w:p w14:paraId="67991F23" w14:textId="77777777" w:rsidR="00654063" w:rsidRPr="002B59C5" w:rsidRDefault="00654063" w:rsidP="00312E88">
            <w:pPr>
              <w:jc w:val="right"/>
              <w:rPr>
                <w:rFonts w:cs="Arial"/>
                <w:b/>
                <w:bCs/>
                <w:color w:val="000000"/>
                <w:sz w:val="18"/>
                <w:szCs w:val="18"/>
              </w:rPr>
            </w:pPr>
            <w:r w:rsidRPr="002B59C5">
              <w:rPr>
                <w:rFonts w:cs="Arial"/>
                <w:b/>
                <w:bCs/>
                <w:color w:val="000000"/>
                <w:sz w:val="18"/>
                <w:szCs w:val="18"/>
              </w:rPr>
              <w:t>430</w:t>
            </w:r>
          </w:p>
        </w:tc>
        <w:tc>
          <w:tcPr>
            <w:tcW w:w="660" w:type="pct"/>
            <w:tcBorders>
              <w:top w:val="single" w:sz="4" w:space="0" w:color="auto"/>
              <w:left w:val="single" w:sz="4" w:space="0" w:color="auto"/>
              <w:bottom w:val="single" w:sz="4" w:space="0" w:color="auto"/>
              <w:right w:val="single" w:sz="4" w:space="0" w:color="auto"/>
            </w:tcBorders>
            <w:shd w:val="clear" w:color="auto" w:fill="auto"/>
            <w:noWrap/>
            <w:hideMark/>
          </w:tcPr>
          <w:p w14:paraId="784C7780" w14:textId="77777777" w:rsidR="00654063" w:rsidRPr="002B59C5" w:rsidRDefault="00654063" w:rsidP="00312E88">
            <w:pPr>
              <w:jc w:val="right"/>
              <w:rPr>
                <w:rFonts w:cs="Arial"/>
                <w:b/>
                <w:bCs/>
                <w:color w:val="000000"/>
                <w:sz w:val="18"/>
                <w:szCs w:val="18"/>
              </w:rPr>
            </w:pPr>
            <w:r w:rsidRPr="002B59C5">
              <w:rPr>
                <w:rFonts w:cs="Arial"/>
                <w:b/>
                <w:bCs/>
                <w:color w:val="000000"/>
                <w:sz w:val="18"/>
                <w:szCs w:val="18"/>
              </w:rPr>
              <w:t>-1,435</w:t>
            </w:r>
          </w:p>
        </w:tc>
      </w:tr>
    </w:tbl>
    <w:p w14:paraId="7F2B5B3A" w14:textId="5834E043" w:rsidR="00826B75" w:rsidRPr="00CA035D" w:rsidRDefault="00826B75" w:rsidP="00826B75"/>
    <w:tbl>
      <w:tblPr>
        <w:tblW w:w="5000" w:type="pct"/>
        <w:tblLook w:val="04A0" w:firstRow="1" w:lastRow="0" w:firstColumn="1" w:lastColumn="0" w:noHBand="0" w:noVBand="1"/>
      </w:tblPr>
      <w:tblGrid>
        <w:gridCol w:w="3081"/>
        <w:gridCol w:w="1187"/>
        <w:gridCol w:w="1187"/>
        <w:gridCol w:w="1187"/>
        <w:gridCol w:w="1187"/>
        <w:gridCol w:w="1187"/>
      </w:tblGrid>
      <w:tr w:rsidR="004624FD" w:rsidRPr="002B59C5" w14:paraId="3985127F" w14:textId="77777777" w:rsidTr="00312E88">
        <w:trPr>
          <w:trHeight w:val="300"/>
          <w:tblHeader/>
        </w:trPr>
        <w:tc>
          <w:tcPr>
            <w:tcW w:w="1708" w:type="pct"/>
            <w:tcBorders>
              <w:top w:val="single" w:sz="4" w:space="0" w:color="auto"/>
              <w:left w:val="single" w:sz="4" w:space="0" w:color="auto"/>
              <w:bottom w:val="nil"/>
              <w:right w:val="single" w:sz="4" w:space="0" w:color="auto"/>
            </w:tcBorders>
            <w:shd w:val="clear" w:color="000000" w:fill="6B2976"/>
            <w:hideMark/>
          </w:tcPr>
          <w:p w14:paraId="3842CB04" w14:textId="77777777" w:rsidR="004624FD" w:rsidRPr="002B59C5" w:rsidRDefault="004624FD" w:rsidP="00312E88">
            <w:pPr>
              <w:rPr>
                <w:rFonts w:cs="Arial"/>
                <w:b/>
                <w:bCs/>
                <w:color w:val="FFFFFF"/>
                <w:sz w:val="16"/>
                <w:szCs w:val="16"/>
              </w:rPr>
            </w:pPr>
            <w:r w:rsidRPr="002B59C5">
              <w:rPr>
                <w:rFonts w:cs="Arial"/>
                <w:b/>
                <w:bCs/>
                <w:color w:val="FFFFFF"/>
                <w:sz w:val="16"/>
                <w:szCs w:val="16"/>
              </w:rPr>
              <w:t>Participant Costs ($m)</w:t>
            </w:r>
          </w:p>
        </w:tc>
        <w:tc>
          <w:tcPr>
            <w:tcW w:w="658" w:type="pct"/>
            <w:tcBorders>
              <w:top w:val="nil"/>
              <w:left w:val="nil"/>
              <w:bottom w:val="single" w:sz="4" w:space="0" w:color="auto"/>
              <w:right w:val="nil"/>
            </w:tcBorders>
            <w:shd w:val="clear" w:color="000000" w:fill="6B2F76"/>
            <w:noWrap/>
            <w:hideMark/>
          </w:tcPr>
          <w:p w14:paraId="757331D7" w14:textId="77777777" w:rsidR="004624FD" w:rsidRPr="002B59C5" w:rsidRDefault="004624FD" w:rsidP="00312E88">
            <w:pPr>
              <w:jc w:val="right"/>
              <w:rPr>
                <w:rFonts w:cs="Arial"/>
                <w:b/>
                <w:bCs/>
                <w:color w:val="FFFFFF"/>
                <w:sz w:val="16"/>
                <w:szCs w:val="16"/>
              </w:rPr>
            </w:pPr>
            <w:r w:rsidRPr="002B59C5">
              <w:rPr>
                <w:rFonts w:cs="Arial"/>
                <w:b/>
                <w:bCs/>
                <w:color w:val="FFFFFF"/>
                <w:sz w:val="16"/>
                <w:szCs w:val="16"/>
              </w:rPr>
              <w:t>2021-22</w:t>
            </w:r>
          </w:p>
        </w:tc>
        <w:tc>
          <w:tcPr>
            <w:tcW w:w="658" w:type="pct"/>
            <w:tcBorders>
              <w:top w:val="nil"/>
              <w:left w:val="nil"/>
              <w:bottom w:val="single" w:sz="4" w:space="0" w:color="auto"/>
              <w:right w:val="nil"/>
            </w:tcBorders>
            <w:shd w:val="clear" w:color="000000" w:fill="6B2F76"/>
            <w:noWrap/>
            <w:hideMark/>
          </w:tcPr>
          <w:p w14:paraId="5F4BF9B1" w14:textId="77777777" w:rsidR="004624FD" w:rsidRPr="002B59C5" w:rsidRDefault="004624FD" w:rsidP="00312E88">
            <w:pPr>
              <w:jc w:val="right"/>
              <w:rPr>
                <w:rFonts w:cs="Arial"/>
                <w:b/>
                <w:bCs/>
                <w:color w:val="FFFFFF"/>
                <w:sz w:val="16"/>
                <w:szCs w:val="16"/>
              </w:rPr>
            </w:pPr>
            <w:r w:rsidRPr="002B59C5">
              <w:rPr>
                <w:rFonts w:cs="Arial"/>
                <w:b/>
                <w:bCs/>
                <w:color w:val="FFFFFF"/>
                <w:sz w:val="16"/>
                <w:szCs w:val="16"/>
              </w:rPr>
              <w:t>2022-23</w:t>
            </w:r>
          </w:p>
        </w:tc>
        <w:tc>
          <w:tcPr>
            <w:tcW w:w="658" w:type="pct"/>
            <w:tcBorders>
              <w:top w:val="nil"/>
              <w:left w:val="nil"/>
              <w:bottom w:val="single" w:sz="4" w:space="0" w:color="auto"/>
              <w:right w:val="nil"/>
            </w:tcBorders>
            <w:shd w:val="clear" w:color="000000" w:fill="6B2F76"/>
            <w:noWrap/>
            <w:hideMark/>
          </w:tcPr>
          <w:p w14:paraId="00B6ED6C" w14:textId="77777777" w:rsidR="004624FD" w:rsidRPr="002B59C5" w:rsidRDefault="004624FD" w:rsidP="00312E88">
            <w:pPr>
              <w:jc w:val="right"/>
              <w:rPr>
                <w:rFonts w:cs="Arial"/>
                <w:b/>
                <w:bCs/>
                <w:color w:val="FFFFFF"/>
                <w:sz w:val="16"/>
                <w:szCs w:val="16"/>
              </w:rPr>
            </w:pPr>
            <w:r w:rsidRPr="002B59C5">
              <w:rPr>
                <w:rFonts w:cs="Arial"/>
                <w:b/>
                <w:bCs/>
                <w:color w:val="FFFFFF"/>
                <w:sz w:val="16"/>
                <w:szCs w:val="16"/>
              </w:rPr>
              <w:t>2023-24</w:t>
            </w:r>
          </w:p>
        </w:tc>
        <w:tc>
          <w:tcPr>
            <w:tcW w:w="658" w:type="pct"/>
            <w:tcBorders>
              <w:top w:val="nil"/>
              <w:left w:val="nil"/>
              <w:bottom w:val="single" w:sz="4" w:space="0" w:color="auto"/>
              <w:right w:val="nil"/>
            </w:tcBorders>
            <w:shd w:val="clear" w:color="000000" w:fill="6B2F76"/>
            <w:noWrap/>
            <w:hideMark/>
          </w:tcPr>
          <w:p w14:paraId="04BEEDDA" w14:textId="77777777" w:rsidR="004624FD" w:rsidRPr="002B59C5" w:rsidRDefault="004624FD" w:rsidP="00312E88">
            <w:pPr>
              <w:jc w:val="right"/>
              <w:rPr>
                <w:rFonts w:cs="Arial"/>
                <w:b/>
                <w:bCs/>
                <w:color w:val="FFFFFF"/>
                <w:sz w:val="16"/>
                <w:szCs w:val="16"/>
              </w:rPr>
            </w:pPr>
            <w:r w:rsidRPr="002B59C5">
              <w:rPr>
                <w:rFonts w:cs="Arial"/>
                <w:b/>
                <w:bCs/>
                <w:color w:val="FFFFFF"/>
                <w:sz w:val="16"/>
                <w:szCs w:val="16"/>
              </w:rPr>
              <w:t>2024-25</w:t>
            </w:r>
          </w:p>
        </w:tc>
        <w:tc>
          <w:tcPr>
            <w:tcW w:w="658" w:type="pct"/>
            <w:tcBorders>
              <w:top w:val="nil"/>
              <w:left w:val="single" w:sz="4" w:space="0" w:color="auto"/>
              <w:bottom w:val="single" w:sz="4" w:space="0" w:color="auto"/>
              <w:right w:val="single" w:sz="4" w:space="0" w:color="auto"/>
            </w:tcBorders>
            <w:shd w:val="clear" w:color="000000" w:fill="6B2F76"/>
            <w:noWrap/>
            <w:hideMark/>
          </w:tcPr>
          <w:p w14:paraId="2BB77EB8" w14:textId="77777777" w:rsidR="004624FD" w:rsidRPr="002B59C5" w:rsidRDefault="004624FD" w:rsidP="00312E88">
            <w:pPr>
              <w:jc w:val="right"/>
              <w:rPr>
                <w:rFonts w:cs="Arial"/>
                <w:b/>
                <w:bCs/>
                <w:color w:val="FFFFFF"/>
                <w:sz w:val="16"/>
                <w:szCs w:val="16"/>
              </w:rPr>
            </w:pPr>
            <w:r w:rsidRPr="002B59C5">
              <w:rPr>
                <w:rFonts w:cs="Arial"/>
                <w:b/>
                <w:bCs/>
                <w:color w:val="FFFFFF"/>
                <w:sz w:val="16"/>
                <w:szCs w:val="16"/>
              </w:rPr>
              <w:t>2029-30</w:t>
            </w:r>
          </w:p>
        </w:tc>
      </w:tr>
      <w:tr w:rsidR="004624FD" w:rsidRPr="002B59C5" w14:paraId="4CA5DAC6" w14:textId="77777777" w:rsidTr="004624FD">
        <w:trPr>
          <w:trHeight w:hRule="exact" w:val="284"/>
        </w:trPr>
        <w:tc>
          <w:tcPr>
            <w:tcW w:w="1708" w:type="pct"/>
            <w:tcBorders>
              <w:top w:val="single" w:sz="4" w:space="0" w:color="auto"/>
              <w:left w:val="single" w:sz="4" w:space="0" w:color="auto"/>
              <w:bottom w:val="single" w:sz="4" w:space="0" w:color="auto"/>
              <w:right w:val="nil"/>
            </w:tcBorders>
            <w:shd w:val="clear" w:color="000000" w:fill="F7EEF7"/>
            <w:noWrap/>
            <w:hideMark/>
          </w:tcPr>
          <w:p w14:paraId="41236EC9" w14:textId="77777777" w:rsidR="004624FD" w:rsidRPr="002B59C5" w:rsidRDefault="004624FD" w:rsidP="00312E88">
            <w:pPr>
              <w:rPr>
                <w:rFonts w:cs="Arial"/>
                <w:b/>
                <w:bCs/>
                <w:color w:val="000000"/>
                <w:sz w:val="16"/>
                <w:szCs w:val="16"/>
              </w:rPr>
            </w:pPr>
            <w:r w:rsidRPr="002B59C5">
              <w:rPr>
                <w:rFonts w:cs="Arial"/>
                <w:b/>
                <w:bCs/>
                <w:color w:val="000000"/>
                <w:sz w:val="16"/>
                <w:szCs w:val="16"/>
              </w:rPr>
              <w:t>% Difference</w:t>
            </w:r>
          </w:p>
        </w:tc>
        <w:tc>
          <w:tcPr>
            <w:tcW w:w="658" w:type="pct"/>
            <w:tcBorders>
              <w:top w:val="nil"/>
              <w:left w:val="nil"/>
              <w:bottom w:val="single" w:sz="4" w:space="0" w:color="auto"/>
              <w:right w:val="nil"/>
            </w:tcBorders>
            <w:shd w:val="clear" w:color="000000" w:fill="F7EEF7"/>
            <w:noWrap/>
            <w:hideMark/>
          </w:tcPr>
          <w:p w14:paraId="075DF2AF" w14:textId="77777777" w:rsidR="004624FD" w:rsidRPr="002B59C5" w:rsidRDefault="004624FD" w:rsidP="00312E88">
            <w:pPr>
              <w:jc w:val="right"/>
              <w:rPr>
                <w:rFonts w:cs="Arial"/>
                <w:b/>
                <w:bCs/>
                <w:i/>
                <w:iCs/>
                <w:color w:val="000000"/>
                <w:sz w:val="16"/>
                <w:szCs w:val="16"/>
              </w:rPr>
            </w:pPr>
            <w:r w:rsidRPr="002B59C5">
              <w:rPr>
                <w:rFonts w:cs="Arial"/>
                <w:b/>
                <w:bCs/>
                <w:i/>
                <w:iCs/>
                <w:color w:val="000000"/>
                <w:sz w:val="16"/>
                <w:szCs w:val="16"/>
              </w:rPr>
              <w:t> </w:t>
            </w:r>
          </w:p>
        </w:tc>
        <w:tc>
          <w:tcPr>
            <w:tcW w:w="658" w:type="pct"/>
            <w:tcBorders>
              <w:top w:val="nil"/>
              <w:left w:val="nil"/>
              <w:bottom w:val="single" w:sz="4" w:space="0" w:color="auto"/>
              <w:right w:val="nil"/>
            </w:tcBorders>
            <w:shd w:val="clear" w:color="000000" w:fill="F7EEF7"/>
            <w:noWrap/>
            <w:hideMark/>
          </w:tcPr>
          <w:p w14:paraId="3A33D900" w14:textId="77777777" w:rsidR="004624FD" w:rsidRPr="002B59C5" w:rsidRDefault="004624FD" w:rsidP="00312E88">
            <w:pPr>
              <w:jc w:val="right"/>
              <w:rPr>
                <w:rFonts w:cs="Arial"/>
                <w:b/>
                <w:bCs/>
                <w:i/>
                <w:iCs/>
                <w:color w:val="000000"/>
                <w:sz w:val="16"/>
                <w:szCs w:val="16"/>
              </w:rPr>
            </w:pPr>
            <w:r w:rsidRPr="002B59C5">
              <w:rPr>
                <w:rFonts w:cs="Arial"/>
                <w:b/>
                <w:bCs/>
                <w:i/>
                <w:iCs/>
                <w:color w:val="000000"/>
                <w:sz w:val="16"/>
                <w:szCs w:val="16"/>
              </w:rPr>
              <w:t> </w:t>
            </w:r>
          </w:p>
        </w:tc>
        <w:tc>
          <w:tcPr>
            <w:tcW w:w="658" w:type="pct"/>
            <w:tcBorders>
              <w:top w:val="nil"/>
              <w:left w:val="nil"/>
              <w:bottom w:val="single" w:sz="4" w:space="0" w:color="auto"/>
              <w:right w:val="nil"/>
            </w:tcBorders>
            <w:shd w:val="clear" w:color="000000" w:fill="F7EEF7"/>
            <w:noWrap/>
            <w:hideMark/>
          </w:tcPr>
          <w:p w14:paraId="72189C07" w14:textId="77777777" w:rsidR="004624FD" w:rsidRPr="002B59C5" w:rsidRDefault="004624FD" w:rsidP="00312E88">
            <w:pPr>
              <w:jc w:val="right"/>
              <w:rPr>
                <w:rFonts w:cs="Arial"/>
                <w:b/>
                <w:bCs/>
                <w:i/>
                <w:iCs/>
                <w:color w:val="000000"/>
                <w:sz w:val="16"/>
                <w:szCs w:val="16"/>
              </w:rPr>
            </w:pPr>
            <w:r w:rsidRPr="002B59C5">
              <w:rPr>
                <w:rFonts w:cs="Arial"/>
                <w:b/>
                <w:bCs/>
                <w:i/>
                <w:iCs/>
                <w:color w:val="000000"/>
                <w:sz w:val="16"/>
                <w:szCs w:val="16"/>
              </w:rPr>
              <w:t> </w:t>
            </w:r>
          </w:p>
        </w:tc>
        <w:tc>
          <w:tcPr>
            <w:tcW w:w="658" w:type="pct"/>
            <w:tcBorders>
              <w:top w:val="nil"/>
              <w:left w:val="nil"/>
              <w:bottom w:val="single" w:sz="4" w:space="0" w:color="auto"/>
              <w:right w:val="nil"/>
            </w:tcBorders>
            <w:shd w:val="clear" w:color="000000" w:fill="F7EEF7"/>
            <w:noWrap/>
            <w:hideMark/>
          </w:tcPr>
          <w:p w14:paraId="3526C03D" w14:textId="77777777" w:rsidR="004624FD" w:rsidRPr="002B59C5" w:rsidRDefault="004624FD" w:rsidP="00312E88">
            <w:pPr>
              <w:jc w:val="right"/>
              <w:rPr>
                <w:rFonts w:cs="Arial"/>
                <w:b/>
                <w:bCs/>
                <w:i/>
                <w:iCs/>
                <w:color w:val="000000"/>
                <w:sz w:val="16"/>
                <w:szCs w:val="16"/>
              </w:rPr>
            </w:pPr>
            <w:r w:rsidRPr="002B59C5">
              <w:rPr>
                <w:rFonts w:cs="Arial"/>
                <w:b/>
                <w:bCs/>
                <w:i/>
                <w:iCs/>
                <w:color w:val="000000"/>
                <w:sz w:val="16"/>
                <w:szCs w:val="16"/>
              </w:rPr>
              <w:t> </w:t>
            </w:r>
          </w:p>
        </w:tc>
        <w:tc>
          <w:tcPr>
            <w:tcW w:w="658" w:type="pct"/>
            <w:tcBorders>
              <w:top w:val="nil"/>
              <w:left w:val="nil"/>
              <w:bottom w:val="single" w:sz="4" w:space="0" w:color="auto"/>
              <w:right w:val="single" w:sz="4" w:space="0" w:color="auto"/>
            </w:tcBorders>
            <w:shd w:val="clear" w:color="000000" w:fill="F7EEF7"/>
            <w:noWrap/>
            <w:hideMark/>
          </w:tcPr>
          <w:p w14:paraId="2AA9BC34" w14:textId="77777777" w:rsidR="004624FD" w:rsidRPr="002B59C5" w:rsidRDefault="004624FD" w:rsidP="00312E88">
            <w:pPr>
              <w:jc w:val="right"/>
              <w:rPr>
                <w:rFonts w:cs="Arial"/>
                <w:b/>
                <w:bCs/>
                <w:i/>
                <w:iCs/>
                <w:color w:val="000000"/>
                <w:sz w:val="16"/>
                <w:szCs w:val="16"/>
              </w:rPr>
            </w:pPr>
            <w:r w:rsidRPr="002B59C5">
              <w:rPr>
                <w:rFonts w:cs="Arial"/>
                <w:b/>
                <w:bCs/>
                <w:i/>
                <w:iCs/>
                <w:color w:val="000000"/>
                <w:sz w:val="16"/>
                <w:szCs w:val="16"/>
              </w:rPr>
              <w:t> </w:t>
            </w:r>
          </w:p>
        </w:tc>
      </w:tr>
      <w:tr w:rsidR="004624FD" w:rsidRPr="002B59C5" w14:paraId="4065B747" w14:textId="77777777" w:rsidTr="004624FD">
        <w:trPr>
          <w:trHeight w:hRule="exact" w:val="284"/>
        </w:trPr>
        <w:tc>
          <w:tcPr>
            <w:tcW w:w="1708" w:type="pct"/>
            <w:tcBorders>
              <w:top w:val="dotted" w:sz="4" w:space="0" w:color="auto"/>
              <w:left w:val="single" w:sz="4" w:space="0" w:color="auto"/>
              <w:bottom w:val="nil"/>
              <w:right w:val="single" w:sz="4" w:space="0" w:color="auto"/>
            </w:tcBorders>
            <w:shd w:val="clear" w:color="auto" w:fill="auto"/>
            <w:noWrap/>
            <w:hideMark/>
          </w:tcPr>
          <w:p w14:paraId="11C6CD80" w14:textId="77777777" w:rsidR="004624FD" w:rsidRPr="002B59C5" w:rsidRDefault="004624FD" w:rsidP="00312E88">
            <w:pPr>
              <w:rPr>
                <w:rFonts w:cs="Arial"/>
                <w:b/>
                <w:bCs/>
                <w:color w:val="000000"/>
                <w:sz w:val="16"/>
                <w:szCs w:val="16"/>
              </w:rPr>
            </w:pPr>
            <w:r w:rsidRPr="002B59C5">
              <w:rPr>
                <w:rFonts w:cs="Arial"/>
                <w:b/>
                <w:bCs/>
                <w:color w:val="000000"/>
                <w:sz w:val="16"/>
                <w:szCs w:val="16"/>
              </w:rPr>
              <w:t>Core</w:t>
            </w:r>
          </w:p>
        </w:tc>
        <w:tc>
          <w:tcPr>
            <w:tcW w:w="658" w:type="pct"/>
            <w:tcBorders>
              <w:top w:val="nil"/>
              <w:left w:val="nil"/>
              <w:bottom w:val="nil"/>
              <w:right w:val="nil"/>
            </w:tcBorders>
            <w:shd w:val="clear" w:color="auto" w:fill="auto"/>
            <w:noWrap/>
            <w:hideMark/>
          </w:tcPr>
          <w:p w14:paraId="12C66CBD" w14:textId="77777777" w:rsidR="004624FD" w:rsidRPr="002B59C5" w:rsidRDefault="004624FD" w:rsidP="00312E88">
            <w:pPr>
              <w:rPr>
                <w:rFonts w:cs="Arial"/>
                <w:b/>
                <w:bCs/>
                <w:color w:val="000000"/>
                <w:sz w:val="16"/>
                <w:szCs w:val="16"/>
              </w:rPr>
            </w:pPr>
          </w:p>
        </w:tc>
        <w:tc>
          <w:tcPr>
            <w:tcW w:w="658" w:type="pct"/>
            <w:tcBorders>
              <w:top w:val="nil"/>
              <w:left w:val="nil"/>
              <w:bottom w:val="nil"/>
              <w:right w:val="nil"/>
            </w:tcBorders>
            <w:shd w:val="clear" w:color="auto" w:fill="auto"/>
            <w:noWrap/>
            <w:hideMark/>
          </w:tcPr>
          <w:p w14:paraId="61463BD7" w14:textId="77777777" w:rsidR="004624FD" w:rsidRPr="002B59C5" w:rsidRDefault="004624FD" w:rsidP="00312E88">
            <w:pPr>
              <w:rPr>
                <w:sz w:val="16"/>
                <w:szCs w:val="16"/>
              </w:rPr>
            </w:pPr>
          </w:p>
        </w:tc>
        <w:tc>
          <w:tcPr>
            <w:tcW w:w="658" w:type="pct"/>
            <w:tcBorders>
              <w:top w:val="nil"/>
              <w:left w:val="nil"/>
              <w:bottom w:val="nil"/>
              <w:right w:val="nil"/>
            </w:tcBorders>
            <w:shd w:val="clear" w:color="auto" w:fill="auto"/>
            <w:noWrap/>
            <w:hideMark/>
          </w:tcPr>
          <w:p w14:paraId="5E729540" w14:textId="77777777" w:rsidR="004624FD" w:rsidRPr="002B59C5" w:rsidRDefault="004624FD" w:rsidP="00312E88">
            <w:pPr>
              <w:rPr>
                <w:sz w:val="16"/>
                <w:szCs w:val="16"/>
              </w:rPr>
            </w:pPr>
          </w:p>
        </w:tc>
        <w:tc>
          <w:tcPr>
            <w:tcW w:w="658" w:type="pct"/>
            <w:tcBorders>
              <w:top w:val="nil"/>
              <w:left w:val="nil"/>
              <w:bottom w:val="nil"/>
              <w:right w:val="nil"/>
            </w:tcBorders>
            <w:shd w:val="clear" w:color="auto" w:fill="auto"/>
            <w:noWrap/>
            <w:hideMark/>
          </w:tcPr>
          <w:p w14:paraId="6CD49289" w14:textId="77777777" w:rsidR="004624FD" w:rsidRPr="002B59C5" w:rsidRDefault="004624FD" w:rsidP="00312E88">
            <w:pPr>
              <w:rPr>
                <w:sz w:val="16"/>
                <w:szCs w:val="16"/>
              </w:rPr>
            </w:pPr>
          </w:p>
        </w:tc>
        <w:tc>
          <w:tcPr>
            <w:tcW w:w="658" w:type="pct"/>
            <w:tcBorders>
              <w:top w:val="dotted" w:sz="4" w:space="0" w:color="auto"/>
              <w:left w:val="single" w:sz="4" w:space="0" w:color="auto"/>
              <w:bottom w:val="nil"/>
              <w:right w:val="single" w:sz="4" w:space="0" w:color="auto"/>
            </w:tcBorders>
            <w:shd w:val="clear" w:color="auto" w:fill="auto"/>
            <w:noWrap/>
            <w:hideMark/>
          </w:tcPr>
          <w:p w14:paraId="32068D41" w14:textId="77777777" w:rsidR="004624FD" w:rsidRPr="002B59C5" w:rsidRDefault="004624FD" w:rsidP="00312E88">
            <w:pPr>
              <w:rPr>
                <w:rFonts w:cs="Arial"/>
                <w:color w:val="000000"/>
                <w:sz w:val="16"/>
                <w:szCs w:val="16"/>
              </w:rPr>
            </w:pPr>
            <w:r w:rsidRPr="002B59C5">
              <w:rPr>
                <w:rFonts w:cs="Arial"/>
                <w:color w:val="000000"/>
                <w:sz w:val="16"/>
                <w:szCs w:val="16"/>
              </w:rPr>
              <w:t> </w:t>
            </w:r>
          </w:p>
        </w:tc>
      </w:tr>
      <w:tr w:rsidR="004624FD" w:rsidRPr="002B59C5" w14:paraId="570B1CC2"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1934EF45"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Daily Activities</w:t>
            </w:r>
          </w:p>
        </w:tc>
        <w:tc>
          <w:tcPr>
            <w:tcW w:w="658" w:type="pct"/>
            <w:tcBorders>
              <w:top w:val="nil"/>
              <w:left w:val="nil"/>
              <w:bottom w:val="nil"/>
              <w:right w:val="nil"/>
            </w:tcBorders>
            <w:shd w:val="clear" w:color="auto" w:fill="auto"/>
            <w:noWrap/>
            <w:hideMark/>
          </w:tcPr>
          <w:p w14:paraId="1ECBE0B1" w14:textId="77777777" w:rsidR="004624FD" w:rsidRPr="002B59C5" w:rsidRDefault="004624FD" w:rsidP="00312E88">
            <w:pPr>
              <w:jc w:val="right"/>
              <w:rPr>
                <w:rFonts w:cs="Arial"/>
                <w:color w:val="000000"/>
                <w:sz w:val="16"/>
                <w:szCs w:val="16"/>
              </w:rPr>
            </w:pPr>
            <w:r w:rsidRPr="002B59C5">
              <w:rPr>
                <w:rFonts w:cs="Arial"/>
                <w:color w:val="000000"/>
                <w:sz w:val="16"/>
                <w:szCs w:val="16"/>
              </w:rPr>
              <w:t>5%</w:t>
            </w:r>
          </w:p>
        </w:tc>
        <w:tc>
          <w:tcPr>
            <w:tcW w:w="658" w:type="pct"/>
            <w:tcBorders>
              <w:top w:val="nil"/>
              <w:left w:val="nil"/>
              <w:bottom w:val="nil"/>
              <w:right w:val="nil"/>
            </w:tcBorders>
            <w:shd w:val="clear" w:color="auto" w:fill="auto"/>
            <w:noWrap/>
            <w:hideMark/>
          </w:tcPr>
          <w:p w14:paraId="0E77A9BD" w14:textId="77777777" w:rsidR="004624FD" w:rsidRPr="002B59C5" w:rsidRDefault="004624FD" w:rsidP="00312E88">
            <w:pPr>
              <w:jc w:val="right"/>
              <w:rPr>
                <w:rFonts w:cs="Arial"/>
                <w:color w:val="000000"/>
                <w:sz w:val="16"/>
                <w:szCs w:val="16"/>
              </w:rPr>
            </w:pPr>
            <w:r w:rsidRPr="002B59C5">
              <w:rPr>
                <w:rFonts w:cs="Arial"/>
                <w:color w:val="000000"/>
                <w:sz w:val="16"/>
                <w:szCs w:val="16"/>
              </w:rPr>
              <w:t>3%</w:t>
            </w:r>
          </w:p>
        </w:tc>
        <w:tc>
          <w:tcPr>
            <w:tcW w:w="658" w:type="pct"/>
            <w:tcBorders>
              <w:top w:val="nil"/>
              <w:left w:val="nil"/>
              <w:bottom w:val="nil"/>
              <w:right w:val="nil"/>
            </w:tcBorders>
            <w:shd w:val="clear" w:color="auto" w:fill="auto"/>
            <w:noWrap/>
            <w:hideMark/>
          </w:tcPr>
          <w:p w14:paraId="1FB77D6C" w14:textId="77777777" w:rsidR="004624FD" w:rsidRPr="002B59C5" w:rsidRDefault="004624FD" w:rsidP="00312E88">
            <w:pPr>
              <w:jc w:val="right"/>
              <w:rPr>
                <w:rFonts w:cs="Arial"/>
                <w:color w:val="000000"/>
                <w:sz w:val="16"/>
                <w:szCs w:val="16"/>
              </w:rPr>
            </w:pPr>
            <w:r w:rsidRPr="002B59C5">
              <w:rPr>
                <w:rFonts w:cs="Arial"/>
                <w:color w:val="000000"/>
                <w:sz w:val="16"/>
                <w:szCs w:val="16"/>
              </w:rPr>
              <w:t>2%</w:t>
            </w:r>
          </w:p>
        </w:tc>
        <w:tc>
          <w:tcPr>
            <w:tcW w:w="658" w:type="pct"/>
            <w:tcBorders>
              <w:top w:val="nil"/>
              <w:left w:val="nil"/>
              <w:bottom w:val="nil"/>
              <w:right w:val="nil"/>
            </w:tcBorders>
            <w:shd w:val="clear" w:color="auto" w:fill="auto"/>
            <w:noWrap/>
            <w:hideMark/>
          </w:tcPr>
          <w:p w14:paraId="5D534FD4" w14:textId="77777777" w:rsidR="004624FD" w:rsidRPr="002B59C5" w:rsidRDefault="004624FD" w:rsidP="00312E88">
            <w:pPr>
              <w:jc w:val="right"/>
              <w:rPr>
                <w:rFonts w:cs="Arial"/>
                <w:color w:val="000000"/>
                <w:sz w:val="16"/>
                <w:szCs w:val="16"/>
              </w:rPr>
            </w:pPr>
            <w:r w:rsidRPr="002B59C5">
              <w:rPr>
                <w:rFonts w:cs="Arial"/>
                <w:color w:val="000000"/>
                <w:sz w:val="16"/>
                <w:szCs w:val="16"/>
              </w:rPr>
              <w:t>0%</w:t>
            </w:r>
          </w:p>
        </w:tc>
        <w:tc>
          <w:tcPr>
            <w:tcW w:w="658" w:type="pct"/>
            <w:tcBorders>
              <w:top w:val="nil"/>
              <w:left w:val="single" w:sz="4" w:space="0" w:color="auto"/>
              <w:bottom w:val="nil"/>
              <w:right w:val="single" w:sz="4" w:space="0" w:color="auto"/>
            </w:tcBorders>
            <w:shd w:val="clear" w:color="auto" w:fill="auto"/>
            <w:noWrap/>
            <w:hideMark/>
          </w:tcPr>
          <w:p w14:paraId="602A6FAD" w14:textId="77777777" w:rsidR="004624FD" w:rsidRPr="002B59C5" w:rsidRDefault="004624FD" w:rsidP="00312E88">
            <w:pPr>
              <w:jc w:val="right"/>
              <w:rPr>
                <w:rFonts w:cs="Arial"/>
                <w:color w:val="000000"/>
                <w:sz w:val="16"/>
                <w:szCs w:val="16"/>
              </w:rPr>
            </w:pPr>
            <w:r w:rsidRPr="002B59C5">
              <w:rPr>
                <w:rFonts w:cs="Arial"/>
                <w:color w:val="000000"/>
                <w:sz w:val="16"/>
                <w:szCs w:val="16"/>
              </w:rPr>
              <w:t>-4%</w:t>
            </w:r>
          </w:p>
        </w:tc>
      </w:tr>
      <w:tr w:rsidR="004624FD" w:rsidRPr="002B59C5" w14:paraId="78494AB0"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605B214E"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Social Community Civic</w:t>
            </w:r>
          </w:p>
        </w:tc>
        <w:tc>
          <w:tcPr>
            <w:tcW w:w="658" w:type="pct"/>
            <w:tcBorders>
              <w:top w:val="nil"/>
              <w:left w:val="nil"/>
              <w:bottom w:val="nil"/>
              <w:right w:val="nil"/>
            </w:tcBorders>
            <w:shd w:val="clear" w:color="auto" w:fill="auto"/>
            <w:noWrap/>
            <w:hideMark/>
          </w:tcPr>
          <w:p w14:paraId="23199D95" w14:textId="77777777" w:rsidR="004624FD" w:rsidRPr="002B59C5" w:rsidRDefault="004624FD" w:rsidP="00312E88">
            <w:pPr>
              <w:jc w:val="right"/>
              <w:rPr>
                <w:rFonts w:cs="Arial"/>
                <w:color w:val="000000"/>
                <w:sz w:val="16"/>
                <w:szCs w:val="16"/>
              </w:rPr>
            </w:pPr>
            <w:r w:rsidRPr="002B59C5">
              <w:rPr>
                <w:rFonts w:cs="Arial"/>
                <w:color w:val="000000"/>
                <w:sz w:val="16"/>
                <w:szCs w:val="16"/>
              </w:rPr>
              <w:t>3%</w:t>
            </w:r>
          </w:p>
        </w:tc>
        <w:tc>
          <w:tcPr>
            <w:tcW w:w="658" w:type="pct"/>
            <w:tcBorders>
              <w:top w:val="nil"/>
              <w:left w:val="nil"/>
              <w:bottom w:val="nil"/>
              <w:right w:val="nil"/>
            </w:tcBorders>
            <w:shd w:val="clear" w:color="auto" w:fill="auto"/>
            <w:noWrap/>
            <w:hideMark/>
          </w:tcPr>
          <w:p w14:paraId="28BF145A" w14:textId="77777777" w:rsidR="004624FD" w:rsidRPr="002B59C5" w:rsidRDefault="004624FD" w:rsidP="00312E88">
            <w:pPr>
              <w:jc w:val="right"/>
              <w:rPr>
                <w:rFonts w:cs="Arial"/>
                <w:color w:val="000000"/>
                <w:sz w:val="16"/>
                <w:szCs w:val="16"/>
              </w:rPr>
            </w:pPr>
            <w:r w:rsidRPr="002B59C5">
              <w:rPr>
                <w:rFonts w:cs="Arial"/>
                <w:color w:val="000000"/>
                <w:sz w:val="16"/>
                <w:szCs w:val="16"/>
              </w:rPr>
              <w:t>3%</w:t>
            </w:r>
          </w:p>
        </w:tc>
        <w:tc>
          <w:tcPr>
            <w:tcW w:w="658" w:type="pct"/>
            <w:tcBorders>
              <w:top w:val="nil"/>
              <w:left w:val="nil"/>
              <w:bottom w:val="nil"/>
              <w:right w:val="nil"/>
            </w:tcBorders>
            <w:shd w:val="clear" w:color="auto" w:fill="auto"/>
            <w:noWrap/>
            <w:hideMark/>
          </w:tcPr>
          <w:p w14:paraId="457C9584" w14:textId="77777777" w:rsidR="004624FD" w:rsidRPr="002B59C5" w:rsidRDefault="004624FD" w:rsidP="00312E88">
            <w:pPr>
              <w:jc w:val="right"/>
              <w:rPr>
                <w:rFonts w:cs="Arial"/>
                <w:color w:val="000000"/>
                <w:sz w:val="16"/>
                <w:szCs w:val="16"/>
              </w:rPr>
            </w:pPr>
            <w:r w:rsidRPr="002B59C5">
              <w:rPr>
                <w:rFonts w:cs="Arial"/>
                <w:color w:val="000000"/>
                <w:sz w:val="16"/>
                <w:szCs w:val="16"/>
              </w:rPr>
              <w:t>3%</w:t>
            </w:r>
          </w:p>
        </w:tc>
        <w:tc>
          <w:tcPr>
            <w:tcW w:w="658" w:type="pct"/>
            <w:tcBorders>
              <w:top w:val="nil"/>
              <w:left w:val="nil"/>
              <w:bottom w:val="nil"/>
              <w:right w:val="nil"/>
            </w:tcBorders>
            <w:shd w:val="clear" w:color="auto" w:fill="auto"/>
            <w:noWrap/>
            <w:hideMark/>
          </w:tcPr>
          <w:p w14:paraId="5780B41B" w14:textId="77777777" w:rsidR="004624FD" w:rsidRPr="002B59C5" w:rsidRDefault="004624FD" w:rsidP="00312E88">
            <w:pPr>
              <w:jc w:val="right"/>
              <w:rPr>
                <w:rFonts w:cs="Arial"/>
                <w:color w:val="000000"/>
                <w:sz w:val="16"/>
                <w:szCs w:val="16"/>
              </w:rPr>
            </w:pPr>
            <w:r w:rsidRPr="002B59C5">
              <w:rPr>
                <w:rFonts w:cs="Arial"/>
                <w:color w:val="000000"/>
                <w:sz w:val="16"/>
                <w:szCs w:val="16"/>
              </w:rPr>
              <w:t>2%</w:t>
            </w:r>
          </w:p>
        </w:tc>
        <w:tc>
          <w:tcPr>
            <w:tcW w:w="658" w:type="pct"/>
            <w:tcBorders>
              <w:top w:val="nil"/>
              <w:left w:val="single" w:sz="4" w:space="0" w:color="auto"/>
              <w:bottom w:val="nil"/>
              <w:right w:val="single" w:sz="4" w:space="0" w:color="auto"/>
            </w:tcBorders>
            <w:shd w:val="clear" w:color="auto" w:fill="auto"/>
            <w:noWrap/>
            <w:hideMark/>
          </w:tcPr>
          <w:p w14:paraId="7F8A50C3" w14:textId="77777777" w:rsidR="004624FD" w:rsidRPr="002B59C5" w:rsidRDefault="004624FD" w:rsidP="00312E88">
            <w:pPr>
              <w:jc w:val="right"/>
              <w:rPr>
                <w:rFonts w:cs="Arial"/>
                <w:color w:val="000000"/>
                <w:sz w:val="16"/>
                <w:szCs w:val="16"/>
              </w:rPr>
            </w:pPr>
            <w:r w:rsidRPr="002B59C5">
              <w:rPr>
                <w:rFonts w:cs="Arial"/>
                <w:color w:val="000000"/>
                <w:sz w:val="16"/>
                <w:szCs w:val="16"/>
              </w:rPr>
              <w:t>0%</w:t>
            </w:r>
          </w:p>
        </w:tc>
      </w:tr>
      <w:tr w:rsidR="004624FD" w:rsidRPr="002B59C5" w14:paraId="54D186AE"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2EC339E6"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Transport</w:t>
            </w:r>
          </w:p>
        </w:tc>
        <w:tc>
          <w:tcPr>
            <w:tcW w:w="658" w:type="pct"/>
            <w:tcBorders>
              <w:top w:val="nil"/>
              <w:left w:val="nil"/>
              <w:bottom w:val="nil"/>
              <w:right w:val="nil"/>
            </w:tcBorders>
            <w:shd w:val="clear" w:color="auto" w:fill="auto"/>
            <w:noWrap/>
            <w:hideMark/>
          </w:tcPr>
          <w:p w14:paraId="1290FF0E" w14:textId="77777777" w:rsidR="004624FD" w:rsidRPr="002B59C5" w:rsidRDefault="004624FD" w:rsidP="00312E88">
            <w:pPr>
              <w:jc w:val="right"/>
              <w:rPr>
                <w:rFonts w:cs="Arial"/>
                <w:color w:val="000000"/>
                <w:sz w:val="16"/>
                <w:szCs w:val="16"/>
              </w:rPr>
            </w:pPr>
            <w:r w:rsidRPr="002B59C5">
              <w:rPr>
                <w:rFonts w:cs="Arial"/>
                <w:color w:val="000000"/>
                <w:sz w:val="16"/>
                <w:szCs w:val="16"/>
              </w:rPr>
              <w:t>25%</w:t>
            </w:r>
          </w:p>
        </w:tc>
        <w:tc>
          <w:tcPr>
            <w:tcW w:w="658" w:type="pct"/>
            <w:tcBorders>
              <w:top w:val="nil"/>
              <w:left w:val="nil"/>
              <w:bottom w:val="nil"/>
              <w:right w:val="nil"/>
            </w:tcBorders>
            <w:shd w:val="clear" w:color="auto" w:fill="auto"/>
            <w:noWrap/>
            <w:hideMark/>
          </w:tcPr>
          <w:p w14:paraId="5F956F09" w14:textId="77777777" w:rsidR="004624FD" w:rsidRPr="002B59C5" w:rsidRDefault="004624FD" w:rsidP="00312E88">
            <w:pPr>
              <w:jc w:val="right"/>
              <w:rPr>
                <w:rFonts w:cs="Arial"/>
                <w:color w:val="000000"/>
                <w:sz w:val="16"/>
                <w:szCs w:val="16"/>
              </w:rPr>
            </w:pPr>
            <w:r w:rsidRPr="002B59C5">
              <w:rPr>
                <w:rFonts w:cs="Arial"/>
                <w:color w:val="000000"/>
                <w:sz w:val="16"/>
                <w:szCs w:val="16"/>
              </w:rPr>
              <w:t>25%</w:t>
            </w:r>
          </w:p>
        </w:tc>
        <w:tc>
          <w:tcPr>
            <w:tcW w:w="658" w:type="pct"/>
            <w:tcBorders>
              <w:top w:val="nil"/>
              <w:left w:val="nil"/>
              <w:bottom w:val="nil"/>
              <w:right w:val="nil"/>
            </w:tcBorders>
            <w:shd w:val="clear" w:color="auto" w:fill="auto"/>
            <w:noWrap/>
            <w:hideMark/>
          </w:tcPr>
          <w:p w14:paraId="02D199E5" w14:textId="77777777" w:rsidR="004624FD" w:rsidRPr="002B59C5" w:rsidRDefault="004624FD" w:rsidP="00312E88">
            <w:pPr>
              <w:jc w:val="right"/>
              <w:rPr>
                <w:rFonts w:cs="Arial"/>
                <w:color w:val="000000"/>
                <w:sz w:val="16"/>
                <w:szCs w:val="16"/>
              </w:rPr>
            </w:pPr>
            <w:r w:rsidRPr="002B59C5">
              <w:rPr>
                <w:rFonts w:cs="Arial"/>
                <w:color w:val="000000"/>
                <w:sz w:val="16"/>
                <w:szCs w:val="16"/>
              </w:rPr>
              <w:t>25%</w:t>
            </w:r>
          </w:p>
        </w:tc>
        <w:tc>
          <w:tcPr>
            <w:tcW w:w="658" w:type="pct"/>
            <w:tcBorders>
              <w:top w:val="nil"/>
              <w:left w:val="nil"/>
              <w:bottom w:val="nil"/>
              <w:right w:val="nil"/>
            </w:tcBorders>
            <w:shd w:val="clear" w:color="auto" w:fill="auto"/>
            <w:noWrap/>
            <w:hideMark/>
          </w:tcPr>
          <w:p w14:paraId="3E098FB4" w14:textId="77777777" w:rsidR="004624FD" w:rsidRPr="002B59C5" w:rsidRDefault="004624FD" w:rsidP="00312E88">
            <w:pPr>
              <w:jc w:val="right"/>
              <w:rPr>
                <w:rFonts w:cs="Arial"/>
                <w:color w:val="000000"/>
                <w:sz w:val="16"/>
                <w:szCs w:val="16"/>
              </w:rPr>
            </w:pPr>
            <w:r w:rsidRPr="002B59C5">
              <w:rPr>
                <w:rFonts w:cs="Arial"/>
                <w:color w:val="000000"/>
                <w:sz w:val="16"/>
                <w:szCs w:val="16"/>
              </w:rPr>
              <w:t>24%</w:t>
            </w:r>
          </w:p>
        </w:tc>
        <w:tc>
          <w:tcPr>
            <w:tcW w:w="658" w:type="pct"/>
            <w:tcBorders>
              <w:top w:val="nil"/>
              <w:left w:val="single" w:sz="4" w:space="0" w:color="auto"/>
              <w:bottom w:val="nil"/>
              <w:right w:val="single" w:sz="4" w:space="0" w:color="auto"/>
            </w:tcBorders>
            <w:shd w:val="clear" w:color="auto" w:fill="auto"/>
            <w:noWrap/>
            <w:hideMark/>
          </w:tcPr>
          <w:p w14:paraId="0FDAB800" w14:textId="77777777" w:rsidR="004624FD" w:rsidRPr="002B59C5" w:rsidRDefault="004624FD" w:rsidP="00312E88">
            <w:pPr>
              <w:jc w:val="right"/>
              <w:rPr>
                <w:rFonts w:cs="Arial"/>
                <w:color w:val="000000"/>
                <w:sz w:val="16"/>
                <w:szCs w:val="16"/>
              </w:rPr>
            </w:pPr>
            <w:r w:rsidRPr="002B59C5">
              <w:rPr>
                <w:rFonts w:cs="Arial"/>
                <w:color w:val="000000"/>
                <w:sz w:val="16"/>
                <w:szCs w:val="16"/>
              </w:rPr>
              <w:t>19%</w:t>
            </w:r>
          </w:p>
        </w:tc>
      </w:tr>
      <w:tr w:rsidR="004624FD" w:rsidRPr="002B59C5" w14:paraId="3AB105C5"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0528A146"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Consumables</w:t>
            </w:r>
          </w:p>
        </w:tc>
        <w:tc>
          <w:tcPr>
            <w:tcW w:w="658" w:type="pct"/>
            <w:tcBorders>
              <w:top w:val="nil"/>
              <w:left w:val="nil"/>
              <w:bottom w:val="nil"/>
              <w:right w:val="nil"/>
            </w:tcBorders>
            <w:shd w:val="clear" w:color="auto" w:fill="auto"/>
            <w:noWrap/>
            <w:hideMark/>
          </w:tcPr>
          <w:p w14:paraId="02BFA8AA" w14:textId="77777777" w:rsidR="004624FD" w:rsidRPr="002B59C5" w:rsidRDefault="004624FD" w:rsidP="00312E88">
            <w:pPr>
              <w:jc w:val="right"/>
              <w:rPr>
                <w:rFonts w:cs="Arial"/>
                <w:color w:val="000000"/>
                <w:sz w:val="16"/>
                <w:szCs w:val="16"/>
              </w:rPr>
            </w:pPr>
            <w:r w:rsidRPr="002B59C5">
              <w:rPr>
                <w:rFonts w:cs="Arial"/>
                <w:color w:val="000000"/>
                <w:sz w:val="16"/>
                <w:szCs w:val="16"/>
              </w:rPr>
              <w:t>-2%</w:t>
            </w:r>
          </w:p>
        </w:tc>
        <w:tc>
          <w:tcPr>
            <w:tcW w:w="658" w:type="pct"/>
            <w:tcBorders>
              <w:top w:val="nil"/>
              <w:left w:val="nil"/>
              <w:bottom w:val="nil"/>
              <w:right w:val="nil"/>
            </w:tcBorders>
            <w:shd w:val="clear" w:color="auto" w:fill="auto"/>
            <w:noWrap/>
            <w:hideMark/>
          </w:tcPr>
          <w:p w14:paraId="0DB63802" w14:textId="77777777" w:rsidR="004624FD" w:rsidRPr="002B59C5" w:rsidRDefault="004624FD" w:rsidP="00312E88">
            <w:pPr>
              <w:jc w:val="right"/>
              <w:rPr>
                <w:rFonts w:cs="Arial"/>
                <w:color w:val="000000"/>
                <w:sz w:val="16"/>
                <w:szCs w:val="16"/>
              </w:rPr>
            </w:pPr>
            <w:r w:rsidRPr="002B59C5">
              <w:rPr>
                <w:rFonts w:cs="Arial"/>
                <w:color w:val="000000"/>
                <w:sz w:val="16"/>
                <w:szCs w:val="16"/>
              </w:rPr>
              <w:t>-2%</w:t>
            </w:r>
          </w:p>
        </w:tc>
        <w:tc>
          <w:tcPr>
            <w:tcW w:w="658" w:type="pct"/>
            <w:tcBorders>
              <w:top w:val="nil"/>
              <w:left w:val="nil"/>
              <w:bottom w:val="nil"/>
              <w:right w:val="nil"/>
            </w:tcBorders>
            <w:shd w:val="clear" w:color="auto" w:fill="auto"/>
            <w:noWrap/>
            <w:hideMark/>
          </w:tcPr>
          <w:p w14:paraId="228F6BB0" w14:textId="77777777" w:rsidR="004624FD" w:rsidRPr="002B59C5" w:rsidRDefault="004624FD" w:rsidP="00312E88">
            <w:pPr>
              <w:jc w:val="right"/>
              <w:rPr>
                <w:rFonts w:cs="Arial"/>
                <w:color w:val="000000"/>
                <w:sz w:val="16"/>
                <w:szCs w:val="16"/>
              </w:rPr>
            </w:pPr>
            <w:r w:rsidRPr="002B59C5">
              <w:rPr>
                <w:rFonts w:cs="Arial"/>
                <w:color w:val="000000"/>
                <w:sz w:val="16"/>
                <w:szCs w:val="16"/>
              </w:rPr>
              <w:t>-2%</w:t>
            </w:r>
          </w:p>
        </w:tc>
        <w:tc>
          <w:tcPr>
            <w:tcW w:w="658" w:type="pct"/>
            <w:tcBorders>
              <w:top w:val="nil"/>
              <w:left w:val="nil"/>
              <w:bottom w:val="nil"/>
              <w:right w:val="nil"/>
            </w:tcBorders>
            <w:shd w:val="clear" w:color="auto" w:fill="auto"/>
            <w:noWrap/>
            <w:hideMark/>
          </w:tcPr>
          <w:p w14:paraId="732309F0" w14:textId="77777777" w:rsidR="004624FD" w:rsidRPr="002B59C5" w:rsidRDefault="004624FD" w:rsidP="00312E88">
            <w:pPr>
              <w:jc w:val="right"/>
              <w:rPr>
                <w:rFonts w:cs="Arial"/>
                <w:color w:val="000000"/>
                <w:sz w:val="16"/>
                <w:szCs w:val="16"/>
              </w:rPr>
            </w:pPr>
            <w:r w:rsidRPr="002B59C5">
              <w:rPr>
                <w:rFonts w:cs="Arial"/>
                <w:color w:val="000000"/>
                <w:sz w:val="16"/>
                <w:szCs w:val="16"/>
              </w:rPr>
              <w:t>-3%</w:t>
            </w:r>
          </w:p>
        </w:tc>
        <w:tc>
          <w:tcPr>
            <w:tcW w:w="658" w:type="pct"/>
            <w:tcBorders>
              <w:top w:val="nil"/>
              <w:left w:val="single" w:sz="4" w:space="0" w:color="auto"/>
              <w:bottom w:val="nil"/>
              <w:right w:val="single" w:sz="4" w:space="0" w:color="auto"/>
            </w:tcBorders>
            <w:shd w:val="clear" w:color="auto" w:fill="auto"/>
            <w:noWrap/>
            <w:hideMark/>
          </w:tcPr>
          <w:p w14:paraId="22413593" w14:textId="77777777" w:rsidR="004624FD" w:rsidRPr="002B59C5" w:rsidRDefault="004624FD" w:rsidP="00312E88">
            <w:pPr>
              <w:jc w:val="right"/>
              <w:rPr>
                <w:rFonts w:cs="Arial"/>
                <w:color w:val="000000"/>
                <w:sz w:val="16"/>
                <w:szCs w:val="16"/>
              </w:rPr>
            </w:pPr>
            <w:r w:rsidRPr="002B59C5">
              <w:rPr>
                <w:rFonts w:cs="Arial"/>
                <w:color w:val="000000"/>
                <w:sz w:val="16"/>
                <w:szCs w:val="16"/>
              </w:rPr>
              <w:t>-7%</w:t>
            </w:r>
          </w:p>
        </w:tc>
      </w:tr>
      <w:tr w:rsidR="004624FD" w:rsidRPr="002B59C5" w14:paraId="75C46FB6"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34372757" w14:textId="77777777" w:rsidR="004624FD" w:rsidRPr="002B59C5" w:rsidRDefault="004624FD" w:rsidP="00312E88">
            <w:pPr>
              <w:rPr>
                <w:rFonts w:cs="Arial"/>
                <w:b/>
                <w:bCs/>
                <w:color w:val="000000"/>
                <w:sz w:val="16"/>
                <w:szCs w:val="16"/>
              </w:rPr>
            </w:pPr>
            <w:r w:rsidRPr="002B59C5">
              <w:rPr>
                <w:rFonts w:cs="Arial"/>
                <w:b/>
                <w:bCs/>
                <w:color w:val="000000"/>
                <w:sz w:val="16"/>
                <w:szCs w:val="16"/>
              </w:rPr>
              <w:t>Capital</w:t>
            </w:r>
          </w:p>
        </w:tc>
        <w:tc>
          <w:tcPr>
            <w:tcW w:w="658" w:type="pct"/>
            <w:tcBorders>
              <w:top w:val="nil"/>
              <w:left w:val="nil"/>
              <w:bottom w:val="nil"/>
              <w:right w:val="nil"/>
            </w:tcBorders>
            <w:shd w:val="clear" w:color="auto" w:fill="auto"/>
            <w:noWrap/>
            <w:hideMark/>
          </w:tcPr>
          <w:p w14:paraId="42ED071A" w14:textId="77777777" w:rsidR="004624FD" w:rsidRPr="002B59C5" w:rsidRDefault="004624FD" w:rsidP="00312E88">
            <w:pPr>
              <w:rPr>
                <w:rFonts w:cs="Arial"/>
                <w:b/>
                <w:bCs/>
                <w:color w:val="000000"/>
                <w:sz w:val="16"/>
                <w:szCs w:val="16"/>
              </w:rPr>
            </w:pPr>
          </w:p>
        </w:tc>
        <w:tc>
          <w:tcPr>
            <w:tcW w:w="658" w:type="pct"/>
            <w:tcBorders>
              <w:top w:val="nil"/>
              <w:left w:val="nil"/>
              <w:bottom w:val="nil"/>
              <w:right w:val="nil"/>
            </w:tcBorders>
            <w:shd w:val="clear" w:color="auto" w:fill="auto"/>
            <w:noWrap/>
            <w:hideMark/>
          </w:tcPr>
          <w:p w14:paraId="1A3649C3" w14:textId="77777777" w:rsidR="004624FD" w:rsidRPr="002B59C5" w:rsidRDefault="004624FD" w:rsidP="00312E88">
            <w:pPr>
              <w:rPr>
                <w:sz w:val="16"/>
                <w:szCs w:val="16"/>
              </w:rPr>
            </w:pPr>
          </w:p>
        </w:tc>
        <w:tc>
          <w:tcPr>
            <w:tcW w:w="658" w:type="pct"/>
            <w:tcBorders>
              <w:top w:val="nil"/>
              <w:left w:val="nil"/>
              <w:bottom w:val="nil"/>
              <w:right w:val="nil"/>
            </w:tcBorders>
            <w:shd w:val="clear" w:color="auto" w:fill="auto"/>
            <w:noWrap/>
            <w:hideMark/>
          </w:tcPr>
          <w:p w14:paraId="2FB88519" w14:textId="77777777" w:rsidR="004624FD" w:rsidRPr="002B59C5" w:rsidRDefault="004624FD" w:rsidP="00312E88">
            <w:pPr>
              <w:rPr>
                <w:sz w:val="16"/>
                <w:szCs w:val="16"/>
              </w:rPr>
            </w:pPr>
          </w:p>
        </w:tc>
        <w:tc>
          <w:tcPr>
            <w:tcW w:w="658" w:type="pct"/>
            <w:tcBorders>
              <w:top w:val="nil"/>
              <w:left w:val="nil"/>
              <w:bottom w:val="nil"/>
              <w:right w:val="nil"/>
            </w:tcBorders>
            <w:shd w:val="clear" w:color="auto" w:fill="auto"/>
            <w:noWrap/>
            <w:hideMark/>
          </w:tcPr>
          <w:p w14:paraId="54D6DFF4" w14:textId="77777777" w:rsidR="004624FD" w:rsidRPr="002B59C5" w:rsidRDefault="004624FD" w:rsidP="00312E88">
            <w:pPr>
              <w:rPr>
                <w:sz w:val="16"/>
                <w:szCs w:val="16"/>
              </w:rPr>
            </w:pPr>
          </w:p>
        </w:tc>
        <w:tc>
          <w:tcPr>
            <w:tcW w:w="658" w:type="pct"/>
            <w:tcBorders>
              <w:top w:val="nil"/>
              <w:left w:val="single" w:sz="4" w:space="0" w:color="auto"/>
              <w:bottom w:val="nil"/>
              <w:right w:val="single" w:sz="4" w:space="0" w:color="auto"/>
            </w:tcBorders>
            <w:shd w:val="clear" w:color="auto" w:fill="auto"/>
            <w:noWrap/>
            <w:hideMark/>
          </w:tcPr>
          <w:p w14:paraId="525A859B" w14:textId="77777777" w:rsidR="004624FD" w:rsidRPr="002B59C5" w:rsidRDefault="004624FD" w:rsidP="00312E88">
            <w:pPr>
              <w:rPr>
                <w:rFonts w:cs="Arial"/>
                <w:color w:val="000000"/>
                <w:sz w:val="16"/>
                <w:szCs w:val="16"/>
              </w:rPr>
            </w:pPr>
            <w:r w:rsidRPr="002B59C5">
              <w:rPr>
                <w:rFonts w:cs="Arial"/>
                <w:color w:val="000000"/>
                <w:sz w:val="16"/>
                <w:szCs w:val="16"/>
              </w:rPr>
              <w:t> </w:t>
            </w:r>
          </w:p>
        </w:tc>
      </w:tr>
      <w:tr w:rsidR="004624FD" w:rsidRPr="002B59C5" w14:paraId="674BB496"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0BFE823F"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Assistive Technology</w:t>
            </w:r>
          </w:p>
        </w:tc>
        <w:tc>
          <w:tcPr>
            <w:tcW w:w="658" w:type="pct"/>
            <w:tcBorders>
              <w:top w:val="nil"/>
              <w:left w:val="nil"/>
              <w:bottom w:val="nil"/>
              <w:right w:val="nil"/>
            </w:tcBorders>
            <w:shd w:val="clear" w:color="auto" w:fill="auto"/>
            <w:noWrap/>
            <w:hideMark/>
          </w:tcPr>
          <w:p w14:paraId="3DD7585E" w14:textId="77777777" w:rsidR="004624FD" w:rsidRPr="002B59C5" w:rsidRDefault="004624FD" w:rsidP="00312E88">
            <w:pPr>
              <w:jc w:val="right"/>
              <w:rPr>
                <w:rFonts w:cs="Arial"/>
                <w:color w:val="000000"/>
                <w:sz w:val="16"/>
                <w:szCs w:val="16"/>
              </w:rPr>
            </w:pPr>
            <w:r w:rsidRPr="002B59C5">
              <w:rPr>
                <w:rFonts w:cs="Arial"/>
                <w:color w:val="000000"/>
                <w:sz w:val="16"/>
                <w:szCs w:val="16"/>
              </w:rPr>
              <w:t>-17%</w:t>
            </w:r>
          </w:p>
        </w:tc>
        <w:tc>
          <w:tcPr>
            <w:tcW w:w="658" w:type="pct"/>
            <w:tcBorders>
              <w:top w:val="nil"/>
              <w:left w:val="nil"/>
              <w:bottom w:val="nil"/>
              <w:right w:val="nil"/>
            </w:tcBorders>
            <w:shd w:val="clear" w:color="auto" w:fill="auto"/>
            <w:noWrap/>
            <w:hideMark/>
          </w:tcPr>
          <w:p w14:paraId="0965F1CF" w14:textId="77777777" w:rsidR="004624FD" w:rsidRPr="002B59C5" w:rsidRDefault="004624FD" w:rsidP="00312E88">
            <w:pPr>
              <w:jc w:val="right"/>
              <w:rPr>
                <w:rFonts w:cs="Arial"/>
                <w:color w:val="000000"/>
                <w:sz w:val="16"/>
                <w:szCs w:val="16"/>
              </w:rPr>
            </w:pPr>
            <w:r w:rsidRPr="002B59C5">
              <w:rPr>
                <w:rFonts w:cs="Arial"/>
                <w:color w:val="000000"/>
                <w:sz w:val="16"/>
                <w:szCs w:val="16"/>
              </w:rPr>
              <w:t>-17%</w:t>
            </w:r>
          </w:p>
        </w:tc>
        <w:tc>
          <w:tcPr>
            <w:tcW w:w="658" w:type="pct"/>
            <w:tcBorders>
              <w:top w:val="nil"/>
              <w:left w:val="nil"/>
              <w:bottom w:val="nil"/>
              <w:right w:val="nil"/>
            </w:tcBorders>
            <w:shd w:val="clear" w:color="auto" w:fill="auto"/>
            <w:noWrap/>
            <w:hideMark/>
          </w:tcPr>
          <w:p w14:paraId="26FA35A4" w14:textId="77777777" w:rsidR="004624FD" w:rsidRPr="002B59C5" w:rsidRDefault="004624FD" w:rsidP="00312E88">
            <w:pPr>
              <w:jc w:val="right"/>
              <w:rPr>
                <w:rFonts w:cs="Arial"/>
                <w:color w:val="000000"/>
                <w:sz w:val="16"/>
                <w:szCs w:val="16"/>
              </w:rPr>
            </w:pPr>
            <w:r w:rsidRPr="002B59C5">
              <w:rPr>
                <w:rFonts w:cs="Arial"/>
                <w:color w:val="000000"/>
                <w:sz w:val="16"/>
                <w:szCs w:val="16"/>
              </w:rPr>
              <w:t>-17%</w:t>
            </w:r>
          </w:p>
        </w:tc>
        <w:tc>
          <w:tcPr>
            <w:tcW w:w="658" w:type="pct"/>
            <w:tcBorders>
              <w:top w:val="nil"/>
              <w:left w:val="nil"/>
              <w:bottom w:val="nil"/>
              <w:right w:val="nil"/>
            </w:tcBorders>
            <w:shd w:val="clear" w:color="auto" w:fill="auto"/>
            <w:noWrap/>
            <w:hideMark/>
          </w:tcPr>
          <w:p w14:paraId="67E8AB31" w14:textId="77777777" w:rsidR="004624FD" w:rsidRPr="002B59C5" w:rsidRDefault="004624FD" w:rsidP="00312E88">
            <w:pPr>
              <w:jc w:val="right"/>
              <w:rPr>
                <w:rFonts w:cs="Arial"/>
                <w:color w:val="000000"/>
                <w:sz w:val="16"/>
                <w:szCs w:val="16"/>
              </w:rPr>
            </w:pPr>
            <w:r w:rsidRPr="002B59C5">
              <w:rPr>
                <w:rFonts w:cs="Arial"/>
                <w:color w:val="000000"/>
                <w:sz w:val="16"/>
                <w:szCs w:val="16"/>
              </w:rPr>
              <w:t>-18%</w:t>
            </w:r>
          </w:p>
        </w:tc>
        <w:tc>
          <w:tcPr>
            <w:tcW w:w="658" w:type="pct"/>
            <w:tcBorders>
              <w:top w:val="nil"/>
              <w:left w:val="single" w:sz="4" w:space="0" w:color="auto"/>
              <w:bottom w:val="nil"/>
              <w:right w:val="single" w:sz="4" w:space="0" w:color="auto"/>
            </w:tcBorders>
            <w:shd w:val="clear" w:color="auto" w:fill="auto"/>
            <w:noWrap/>
            <w:hideMark/>
          </w:tcPr>
          <w:p w14:paraId="63FC761A" w14:textId="77777777" w:rsidR="004624FD" w:rsidRPr="002B59C5" w:rsidRDefault="004624FD" w:rsidP="00312E88">
            <w:pPr>
              <w:jc w:val="right"/>
              <w:rPr>
                <w:rFonts w:cs="Arial"/>
                <w:color w:val="000000"/>
                <w:sz w:val="16"/>
                <w:szCs w:val="16"/>
              </w:rPr>
            </w:pPr>
            <w:r w:rsidRPr="002B59C5">
              <w:rPr>
                <w:rFonts w:cs="Arial"/>
                <w:color w:val="000000"/>
                <w:sz w:val="16"/>
                <w:szCs w:val="16"/>
              </w:rPr>
              <w:t>-22%</w:t>
            </w:r>
          </w:p>
        </w:tc>
      </w:tr>
      <w:tr w:rsidR="004624FD" w:rsidRPr="002B59C5" w14:paraId="049461A5"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5E5BC2F8"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Home Modifications</w:t>
            </w:r>
          </w:p>
        </w:tc>
        <w:tc>
          <w:tcPr>
            <w:tcW w:w="658" w:type="pct"/>
            <w:tcBorders>
              <w:top w:val="nil"/>
              <w:left w:val="nil"/>
              <w:bottom w:val="nil"/>
              <w:right w:val="nil"/>
            </w:tcBorders>
            <w:shd w:val="clear" w:color="auto" w:fill="auto"/>
            <w:noWrap/>
            <w:hideMark/>
          </w:tcPr>
          <w:p w14:paraId="01539431" w14:textId="77777777" w:rsidR="004624FD" w:rsidRPr="002B59C5" w:rsidRDefault="004624FD" w:rsidP="00312E88">
            <w:pPr>
              <w:jc w:val="right"/>
              <w:rPr>
                <w:rFonts w:cs="Arial"/>
                <w:color w:val="000000"/>
                <w:sz w:val="16"/>
                <w:szCs w:val="16"/>
              </w:rPr>
            </w:pPr>
            <w:r w:rsidRPr="002B59C5">
              <w:rPr>
                <w:rFonts w:cs="Arial"/>
                <w:color w:val="000000"/>
                <w:sz w:val="16"/>
                <w:szCs w:val="16"/>
              </w:rPr>
              <w:t>10%</w:t>
            </w:r>
          </w:p>
        </w:tc>
        <w:tc>
          <w:tcPr>
            <w:tcW w:w="658" w:type="pct"/>
            <w:tcBorders>
              <w:top w:val="nil"/>
              <w:left w:val="nil"/>
              <w:bottom w:val="nil"/>
              <w:right w:val="nil"/>
            </w:tcBorders>
            <w:shd w:val="clear" w:color="auto" w:fill="auto"/>
            <w:noWrap/>
            <w:hideMark/>
          </w:tcPr>
          <w:p w14:paraId="7E68C515" w14:textId="77777777" w:rsidR="004624FD" w:rsidRPr="002B59C5" w:rsidRDefault="004624FD" w:rsidP="00312E88">
            <w:pPr>
              <w:jc w:val="right"/>
              <w:rPr>
                <w:rFonts w:cs="Arial"/>
                <w:color w:val="000000"/>
                <w:sz w:val="16"/>
                <w:szCs w:val="16"/>
              </w:rPr>
            </w:pPr>
            <w:r w:rsidRPr="002B59C5">
              <w:rPr>
                <w:rFonts w:cs="Arial"/>
                <w:color w:val="000000"/>
                <w:sz w:val="16"/>
                <w:szCs w:val="16"/>
              </w:rPr>
              <w:t>8%</w:t>
            </w:r>
          </w:p>
        </w:tc>
        <w:tc>
          <w:tcPr>
            <w:tcW w:w="658" w:type="pct"/>
            <w:tcBorders>
              <w:top w:val="nil"/>
              <w:left w:val="nil"/>
              <w:bottom w:val="nil"/>
              <w:right w:val="nil"/>
            </w:tcBorders>
            <w:shd w:val="clear" w:color="auto" w:fill="auto"/>
            <w:noWrap/>
            <w:hideMark/>
          </w:tcPr>
          <w:p w14:paraId="145DBA0F" w14:textId="77777777" w:rsidR="004624FD" w:rsidRPr="002B59C5" w:rsidRDefault="004624FD" w:rsidP="00312E88">
            <w:pPr>
              <w:jc w:val="right"/>
              <w:rPr>
                <w:rFonts w:cs="Arial"/>
                <w:color w:val="000000"/>
                <w:sz w:val="16"/>
                <w:szCs w:val="16"/>
              </w:rPr>
            </w:pPr>
            <w:r w:rsidRPr="002B59C5">
              <w:rPr>
                <w:rFonts w:cs="Arial"/>
                <w:color w:val="000000"/>
                <w:sz w:val="16"/>
                <w:szCs w:val="16"/>
              </w:rPr>
              <w:t>10%</w:t>
            </w:r>
          </w:p>
        </w:tc>
        <w:tc>
          <w:tcPr>
            <w:tcW w:w="658" w:type="pct"/>
            <w:tcBorders>
              <w:top w:val="nil"/>
              <w:left w:val="nil"/>
              <w:bottom w:val="nil"/>
              <w:right w:val="nil"/>
            </w:tcBorders>
            <w:shd w:val="clear" w:color="auto" w:fill="auto"/>
            <w:noWrap/>
            <w:hideMark/>
          </w:tcPr>
          <w:p w14:paraId="6AB78107" w14:textId="77777777" w:rsidR="004624FD" w:rsidRPr="002B59C5" w:rsidRDefault="004624FD" w:rsidP="00312E88">
            <w:pPr>
              <w:jc w:val="right"/>
              <w:rPr>
                <w:rFonts w:cs="Arial"/>
                <w:color w:val="000000"/>
                <w:sz w:val="16"/>
                <w:szCs w:val="16"/>
              </w:rPr>
            </w:pPr>
            <w:r w:rsidRPr="002B59C5">
              <w:rPr>
                <w:rFonts w:cs="Arial"/>
                <w:color w:val="000000"/>
                <w:sz w:val="16"/>
                <w:szCs w:val="16"/>
              </w:rPr>
              <w:t>7%</w:t>
            </w:r>
          </w:p>
        </w:tc>
        <w:tc>
          <w:tcPr>
            <w:tcW w:w="658" w:type="pct"/>
            <w:tcBorders>
              <w:top w:val="nil"/>
              <w:left w:val="single" w:sz="4" w:space="0" w:color="auto"/>
              <w:bottom w:val="nil"/>
              <w:right w:val="single" w:sz="4" w:space="0" w:color="auto"/>
            </w:tcBorders>
            <w:shd w:val="clear" w:color="auto" w:fill="auto"/>
            <w:noWrap/>
            <w:hideMark/>
          </w:tcPr>
          <w:p w14:paraId="1CDDD07F" w14:textId="77777777" w:rsidR="004624FD" w:rsidRPr="002B59C5" w:rsidRDefault="004624FD" w:rsidP="00312E88">
            <w:pPr>
              <w:jc w:val="right"/>
              <w:rPr>
                <w:rFonts w:cs="Arial"/>
                <w:color w:val="000000"/>
                <w:sz w:val="16"/>
                <w:szCs w:val="16"/>
              </w:rPr>
            </w:pPr>
            <w:r w:rsidRPr="002B59C5">
              <w:rPr>
                <w:rFonts w:cs="Arial"/>
                <w:color w:val="000000"/>
                <w:sz w:val="16"/>
                <w:szCs w:val="16"/>
              </w:rPr>
              <w:t>2%</w:t>
            </w:r>
          </w:p>
        </w:tc>
      </w:tr>
      <w:tr w:rsidR="004624FD" w:rsidRPr="002B59C5" w14:paraId="24F06BAE"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4B72B1AF" w14:textId="77777777" w:rsidR="004624FD" w:rsidRPr="002B59C5" w:rsidRDefault="004624FD" w:rsidP="00312E88">
            <w:pPr>
              <w:rPr>
                <w:rFonts w:cs="Arial"/>
                <w:b/>
                <w:bCs/>
                <w:color w:val="000000"/>
                <w:sz w:val="16"/>
                <w:szCs w:val="16"/>
              </w:rPr>
            </w:pPr>
            <w:r w:rsidRPr="002B59C5">
              <w:rPr>
                <w:rFonts w:cs="Arial"/>
                <w:b/>
                <w:bCs/>
                <w:color w:val="000000"/>
                <w:sz w:val="16"/>
                <w:szCs w:val="16"/>
              </w:rPr>
              <w:t>Capacity Building</w:t>
            </w:r>
          </w:p>
        </w:tc>
        <w:tc>
          <w:tcPr>
            <w:tcW w:w="658" w:type="pct"/>
            <w:tcBorders>
              <w:top w:val="nil"/>
              <w:left w:val="nil"/>
              <w:bottom w:val="nil"/>
              <w:right w:val="nil"/>
            </w:tcBorders>
            <w:shd w:val="clear" w:color="auto" w:fill="auto"/>
            <w:noWrap/>
            <w:hideMark/>
          </w:tcPr>
          <w:p w14:paraId="0A177000" w14:textId="77777777" w:rsidR="004624FD" w:rsidRPr="002B59C5" w:rsidRDefault="004624FD" w:rsidP="00312E88">
            <w:pPr>
              <w:rPr>
                <w:rFonts w:cs="Arial"/>
                <w:b/>
                <w:bCs/>
                <w:color w:val="000000"/>
                <w:sz w:val="16"/>
                <w:szCs w:val="16"/>
              </w:rPr>
            </w:pPr>
          </w:p>
        </w:tc>
        <w:tc>
          <w:tcPr>
            <w:tcW w:w="658" w:type="pct"/>
            <w:tcBorders>
              <w:top w:val="nil"/>
              <w:left w:val="nil"/>
              <w:bottom w:val="nil"/>
              <w:right w:val="nil"/>
            </w:tcBorders>
            <w:shd w:val="clear" w:color="auto" w:fill="auto"/>
            <w:noWrap/>
            <w:hideMark/>
          </w:tcPr>
          <w:p w14:paraId="40307948" w14:textId="77777777" w:rsidR="004624FD" w:rsidRPr="002B59C5" w:rsidRDefault="004624FD" w:rsidP="00312E88">
            <w:pPr>
              <w:rPr>
                <w:sz w:val="16"/>
                <w:szCs w:val="16"/>
              </w:rPr>
            </w:pPr>
          </w:p>
        </w:tc>
        <w:tc>
          <w:tcPr>
            <w:tcW w:w="658" w:type="pct"/>
            <w:tcBorders>
              <w:top w:val="nil"/>
              <w:left w:val="nil"/>
              <w:bottom w:val="nil"/>
              <w:right w:val="nil"/>
            </w:tcBorders>
            <w:shd w:val="clear" w:color="auto" w:fill="auto"/>
            <w:noWrap/>
            <w:hideMark/>
          </w:tcPr>
          <w:p w14:paraId="1EA98B5C" w14:textId="77777777" w:rsidR="004624FD" w:rsidRPr="002B59C5" w:rsidRDefault="004624FD" w:rsidP="00312E88">
            <w:pPr>
              <w:rPr>
                <w:sz w:val="16"/>
                <w:szCs w:val="16"/>
              </w:rPr>
            </w:pPr>
          </w:p>
        </w:tc>
        <w:tc>
          <w:tcPr>
            <w:tcW w:w="658" w:type="pct"/>
            <w:tcBorders>
              <w:top w:val="nil"/>
              <w:left w:val="nil"/>
              <w:bottom w:val="nil"/>
              <w:right w:val="nil"/>
            </w:tcBorders>
            <w:shd w:val="clear" w:color="auto" w:fill="auto"/>
            <w:noWrap/>
            <w:hideMark/>
          </w:tcPr>
          <w:p w14:paraId="695417D8" w14:textId="77777777" w:rsidR="004624FD" w:rsidRPr="002B59C5" w:rsidRDefault="004624FD" w:rsidP="00312E88">
            <w:pPr>
              <w:rPr>
                <w:sz w:val="16"/>
                <w:szCs w:val="16"/>
              </w:rPr>
            </w:pPr>
          </w:p>
        </w:tc>
        <w:tc>
          <w:tcPr>
            <w:tcW w:w="658" w:type="pct"/>
            <w:tcBorders>
              <w:top w:val="nil"/>
              <w:left w:val="single" w:sz="4" w:space="0" w:color="auto"/>
              <w:bottom w:val="nil"/>
              <w:right w:val="single" w:sz="4" w:space="0" w:color="auto"/>
            </w:tcBorders>
            <w:shd w:val="clear" w:color="auto" w:fill="auto"/>
            <w:noWrap/>
            <w:hideMark/>
          </w:tcPr>
          <w:p w14:paraId="5A23A7FD" w14:textId="77777777" w:rsidR="004624FD" w:rsidRPr="002B59C5" w:rsidRDefault="004624FD" w:rsidP="00312E88">
            <w:pPr>
              <w:rPr>
                <w:rFonts w:cs="Arial"/>
                <w:color w:val="000000"/>
                <w:sz w:val="16"/>
                <w:szCs w:val="16"/>
              </w:rPr>
            </w:pPr>
            <w:r w:rsidRPr="002B59C5">
              <w:rPr>
                <w:rFonts w:cs="Arial"/>
                <w:color w:val="000000"/>
                <w:sz w:val="16"/>
                <w:szCs w:val="16"/>
              </w:rPr>
              <w:t> </w:t>
            </w:r>
          </w:p>
        </w:tc>
      </w:tr>
      <w:tr w:rsidR="004624FD" w:rsidRPr="002B59C5" w14:paraId="2E53D14F"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365FB2BA"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CB Daily Activities</w:t>
            </w:r>
          </w:p>
        </w:tc>
        <w:tc>
          <w:tcPr>
            <w:tcW w:w="658" w:type="pct"/>
            <w:tcBorders>
              <w:top w:val="nil"/>
              <w:left w:val="nil"/>
              <w:bottom w:val="nil"/>
              <w:right w:val="nil"/>
            </w:tcBorders>
            <w:shd w:val="clear" w:color="auto" w:fill="auto"/>
            <w:noWrap/>
            <w:hideMark/>
          </w:tcPr>
          <w:p w14:paraId="10584C1C" w14:textId="77777777" w:rsidR="004624FD" w:rsidRPr="002B59C5" w:rsidRDefault="004624FD" w:rsidP="00312E88">
            <w:pPr>
              <w:jc w:val="right"/>
              <w:rPr>
                <w:rFonts w:cs="Arial"/>
                <w:color w:val="000000"/>
                <w:sz w:val="16"/>
                <w:szCs w:val="16"/>
              </w:rPr>
            </w:pPr>
            <w:r w:rsidRPr="002B59C5">
              <w:rPr>
                <w:rFonts w:cs="Arial"/>
                <w:color w:val="000000"/>
                <w:sz w:val="16"/>
                <w:szCs w:val="16"/>
              </w:rPr>
              <w:t>6%</w:t>
            </w:r>
          </w:p>
        </w:tc>
        <w:tc>
          <w:tcPr>
            <w:tcW w:w="658" w:type="pct"/>
            <w:tcBorders>
              <w:top w:val="nil"/>
              <w:left w:val="nil"/>
              <w:bottom w:val="nil"/>
              <w:right w:val="nil"/>
            </w:tcBorders>
            <w:shd w:val="clear" w:color="auto" w:fill="auto"/>
            <w:noWrap/>
            <w:hideMark/>
          </w:tcPr>
          <w:p w14:paraId="266C8D0A" w14:textId="77777777" w:rsidR="004624FD" w:rsidRPr="002B59C5" w:rsidRDefault="004624FD" w:rsidP="00312E88">
            <w:pPr>
              <w:jc w:val="right"/>
              <w:rPr>
                <w:rFonts w:cs="Arial"/>
                <w:color w:val="000000"/>
                <w:sz w:val="16"/>
                <w:szCs w:val="16"/>
              </w:rPr>
            </w:pPr>
            <w:r w:rsidRPr="002B59C5">
              <w:rPr>
                <w:rFonts w:cs="Arial"/>
                <w:color w:val="000000"/>
                <w:sz w:val="16"/>
                <w:szCs w:val="16"/>
              </w:rPr>
              <w:t>7%</w:t>
            </w:r>
          </w:p>
        </w:tc>
        <w:tc>
          <w:tcPr>
            <w:tcW w:w="658" w:type="pct"/>
            <w:tcBorders>
              <w:top w:val="nil"/>
              <w:left w:val="nil"/>
              <w:bottom w:val="nil"/>
              <w:right w:val="nil"/>
            </w:tcBorders>
            <w:shd w:val="clear" w:color="auto" w:fill="auto"/>
            <w:noWrap/>
            <w:hideMark/>
          </w:tcPr>
          <w:p w14:paraId="2D6B7B52" w14:textId="77777777" w:rsidR="004624FD" w:rsidRPr="002B59C5" w:rsidRDefault="004624FD" w:rsidP="00312E88">
            <w:pPr>
              <w:jc w:val="right"/>
              <w:rPr>
                <w:rFonts w:cs="Arial"/>
                <w:color w:val="000000"/>
                <w:sz w:val="16"/>
                <w:szCs w:val="16"/>
              </w:rPr>
            </w:pPr>
            <w:r w:rsidRPr="002B59C5">
              <w:rPr>
                <w:rFonts w:cs="Arial"/>
                <w:color w:val="000000"/>
                <w:sz w:val="16"/>
                <w:szCs w:val="16"/>
              </w:rPr>
              <w:t>7%</w:t>
            </w:r>
          </w:p>
        </w:tc>
        <w:tc>
          <w:tcPr>
            <w:tcW w:w="658" w:type="pct"/>
            <w:tcBorders>
              <w:top w:val="nil"/>
              <w:left w:val="nil"/>
              <w:bottom w:val="nil"/>
              <w:right w:val="nil"/>
            </w:tcBorders>
            <w:shd w:val="clear" w:color="auto" w:fill="auto"/>
            <w:noWrap/>
            <w:hideMark/>
          </w:tcPr>
          <w:p w14:paraId="0F66C598" w14:textId="77777777" w:rsidR="004624FD" w:rsidRPr="002B59C5" w:rsidRDefault="004624FD" w:rsidP="00312E88">
            <w:pPr>
              <w:jc w:val="right"/>
              <w:rPr>
                <w:rFonts w:cs="Arial"/>
                <w:color w:val="000000"/>
                <w:sz w:val="16"/>
                <w:szCs w:val="16"/>
              </w:rPr>
            </w:pPr>
            <w:r w:rsidRPr="002B59C5">
              <w:rPr>
                <w:rFonts w:cs="Arial"/>
                <w:color w:val="000000"/>
                <w:sz w:val="16"/>
                <w:szCs w:val="16"/>
              </w:rPr>
              <w:t>6%</w:t>
            </w:r>
          </w:p>
        </w:tc>
        <w:tc>
          <w:tcPr>
            <w:tcW w:w="658" w:type="pct"/>
            <w:tcBorders>
              <w:top w:val="nil"/>
              <w:left w:val="single" w:sz="4" w:space="0" w:color="auto"/>
              <w:bottom w:val="nil"/>
              <w:right w:val="single" w:sz="4" w:space="0" w:color="auto"/>
            </w:tcBorders>
            <w:shd w:val="clear" w:color="auto" w:fill="auto"/>
            <w:noWrap/>
            <w:hideMark/>
          </w:tcPr>
          <w:p w14:paraId="74B712A9" w14:textId="77777777" w:rsidR="004624FD" w:rsidRPr="002B59C5" w:rsidRDefault="004624FD" w:rsidP="00312E88">
            <w:pPr>
              <w:jc w:val="right"/>
              <w:rPr>
                <w:rFonts w:cs="Arial"/>
                <w:color w:val="000000"/>
                <w:sz w:val="16"/>
                <w:szCs w:val="16"/>
              </w:rPr>
            </w:pPr>
            <w:r w:rsidRPr="002B59C5">
              <w:rPr>
                <w:rFonts w:cs="Arial"/>
                <w:color w:val="000000"/>
                <w:sz w:val="16"/>
                <w:szCs w:val="16"/>
              </w:rPr>
              <w:t>1%</w:t>
            </w:r>
          </w:p>
        </w:tc>
      </w:tr>
      <w:tr w:rsidR="004624FD" w:rsidRPr="002B59C5" w14:paraId="3ABD8ADF"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60919D89"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Support Coordination</w:t>
            </w:r>
          </w:p>
        </w:tc>
        <w:tc>
          <w:tcPr>
            <w:tcW w:w="658" w:type="pct"/>
            <w:tcBorders>
              <w:top w:val="nil"/>
              <w:left w:val="nil"/>
              <w:bottom w:val="nil"/>
              <w:right w:val="nil"/>
            </w:tcBorders>
            <w:shd w:val="clear" w:color="auto" w:fill="auto"/>
            <w:noWrap/>
            <w:hideMark/>
          </w:tcPr>
          <w:p w14:paraId="4D5588CE" w14:textId="77777777" w:rsidR="004624FD" w:rsidRPr="002B59C5" w:rsidRDefault="004624FD" w:rsidP="00312E88">
            <w:pPr>
              <w:jc w:val="right"/>
              <w:rPr>
                <w:rFonts w:cs="Arial"/>
                <w:color w:val="000000"/>
                <w:sz w:val="16"/>
                <w:szCs w:val="16"/>
              </w:rPr>
            </w:pPr>
            <w:r w:rsidRPr="002B59C5">
              <w:rPr>
                <w:rFonts w:cs="Arial"/>
                <w:color w:val="000000"/>
                <w:sz w:val="16"/>
                <w:szCs w:val="16"/>
              </w:rPr>
              <w:t>12%</w:t>
            </w:r>
          </w:p>
        </w:tc>
        <w:tc>
          <w:tcPr>
            <w:tcW w:w="658" w:type="pct"/>
            <w:tcBorders>
              <w:top w:val="nil"/>
              <w:left w:val="nil"/>
              <w:bottom w:val="nil"/>
              <w:right w:val="nil"/>
            </w:tcBorders>
            <w:shd w:val="clear" w:color="auto" w:fill="auto"/>
            <w:noWrap/>
            <w:hideMark/>
          </w:tcPr>
          <w:p w14:paraId="656E2039" w14:textId="77777777" w:rsidR="004624FD" w:rsidRPr="002B59C5" w:rsidRDefault="004624FD" w:rsidP="00312E88">
            <w:pPr>
              <w:jc w:val="right"/>
              <w:rPr>
                <w:rFonts w:cs="Arial"/>
                <w:color w:val="000000"/>
                <w:sz w:val="16"/>
                <w:szCs w:val="16"/>
              </w:rPr>
            </w:pPr>
            <w:r w:rsidRPr="002B59C5">
              <w:rPr>
                <w:rFonts w:cs="Arial"/>
                <w:color w:val="000000"/>
                <w:sz w:val="16"/>
                <w:szCs w:val="16"/>
              </w:rPr>
              <w:t>11%</w:t>
            </w:r>
          </w:p>
        </w:tc>
        <w:tc>
          <w:tcPr>
            <w:tcW w:w="658" w:type="pct"/>
            <w:tcBorders>
              <w:top w:val="nil"/>
              <w:left w:val="nil"/>
              <w:bottom w:val="nil"/>
              <w:right w:val="nil"/>
            </w:tcBorders>
            <w:shd w:val="clear" w:color="auto" w:fill="auto"/>
            <w:noWrap/>
            <w:hideMark/>
          </w:tcPr>
          <w:p w14:paraId="4CD71F4C" w14:textId="77777777" w:rsidR="004624FD" w:rsidRPr="002B59C5" w:rsidRDefault="004624FD" w:rsidP="00312E88">
            <w:pPr>
              <w:jc w:val="right"/>
              <w:rPr>
                <w:rFonts w:cs="Arial"/>
                <w:color w:val="000000"/>
                <w:sz w:val="16"/>
                <w:szCs w:val="16"/>
              </w:rPr>
            </w:pPr>
            <w:r w:rsidRPr="002B59C5">
              <w:rPr>
                <w:rFonts w:cs="Arial"/>
                <w:color w:val="000000"/>
                <w:sz w:val="16"/>
                <w:szCs w:val="16"/>
              </w:rPr>
              <w:t>11%</w:t>
            </w:r>
          </w:p>
        </w:tc>
        <w:tc>
          <w:tcPr>
            <w:tcW w:w="658" w:type="pct"/>
            <w:tcBorders>
              <w:top w:val="nil"/>
              <w:left w:val="nil"/>
              <w:bottom w:val="nil"/>
              <w:right w:val="nil"/>
            </w:tcBorders>
            <w:shd w:val="clear" w:color="auto" w:fill="auto"/>
            <w:noWrap/>
            <w:hideMark/>
          </w:tcPr>
          <w:p w14:paraId="73D8725C" w14:textId="77777777" w:rsidR="004624FD" w:rsidRPr="002B59C5" w:rsidRDefault="004624FD" w:rsidP="00312E88">
            <w:pPr>
              <w:jc w:val="right"/>
              <w:rPr>
                <w:rFonts w:cs="Arial"/>
                <w:color w:val="000000"/>
                <w:sz w:val="16"/>
                <w:szCs w:val="16"/>
              </w:rPr>
            </w:pPr>
            <w:r w:rsidRPr="002B59C5">
              <w:rPr>
                <w:rFonts w:cs="Arial"/>
                <w:color w:val="000000"/>
                <w:sz w:val="16"/>
                <w:szCs w:val="16"/>
              </w:rPr>
              <w:t>10%</w:t>
            </w:r>
          </w:p>
        </w:tc>
        <w:tc>
          <w:tcPr>
            <w:tcW w:w="658" w:type="pct"/>
            <w:tcBorders>
              <w:top w:val="nil"/>
              <w:left w:val="single" w:sz="4" w:space="0" w:color="auto"/>
              <w:bottom w:val="nil"/>
              <w:right w:val="single" w:sz="4" w:space="0" w:color="auto"/>
            </w:tcBorders>
            <w:shd w:val="clear" w:color="auto" w:fill="auto"/>
            <w:noWrap/>
            <w:hideMark/>
          </w:tcPr>
          <w:p w14:paraId="51A825C3" w14:textId="77777777" w:rsidR="004624FD" w:rsidRPr="002B59C5" w:rsidRDefault="004624FD" w:rsidP="00312E88">
            <w:pPr>
              <w:jc w:val="right"/>
              <w:rPr>
                <w:rFonts w:cs="Arial"/>
                <w:color w:val="000000"/>
                <w:sz w:val="16"/>
                <w:szCs w:val="16"/>
              </w:rPr>
            </w:pPr>
            <w:r w:rsidRPr="002B59C5">
              <w:rPr>
                <w:rFonts w:cs="Arial"/>
                <w:color w:val="000000"/>
                <w:sz w:val="16"/>
                <w:szCs w:val="16"/>
              </w:rPr>
              <w:t>7%</w:t>
            </w:r>
          </w:p>
        </w:tc>
      </w:tr>
      <w:tr w:rsidR="004624FD" w:rsidRPr="002B59C5" w14:paraId="7048CF0E"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14856F78"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CB Employment</w:t>
            </w:r>
          </w:p>
        </w:tc>
        <w:tc>
          <w:tcPr>
            <w:tcW w:w="658" w:type="pct"/>
            <w:tcBorders>
              <w:top w:val="nil"/>
              <w:left w:val="nil"/>
              <w:bottom w:val="nil"/>
              <w:right w:val="nil"/>
            </w:tcBorders>
            <w:shd w:val="clear" w:color="auto" w:fill="auto"/>
            <w:noWrap/>
            <w:hideMark/>
          </w:tcPr>
          <w:p w14:paraId="5E121BFE" w14:textId="77777777" w:rsidR="004624FD" w:rsidRPr="002B59C5" w:rsidRDefault="004624FD" w:rsidP="00312E88">
            <w:pPr>
              <w:jc w:val="right"/>
              <w:rPr>
                <w:rFonts w:cs="Arial"/>
                <w:color w:val="000000"/>
                <w:sz w:val="16"/>
                <w:szCs w:val="16"/>
              </w:rPr>
            </w:pPr>
            <w:r w:rsidRPr="002B59C5">
              <w:rPr>
                <w:rFonts w:cs="Arial"/>
                <w:color w:val="000000"/>
                <w:sz w:val="16"/>
                <w:szCs w:val="16"/>
              </w:rPr>
              <w:t>-35%</w:t>
            </w:r>
          </w:p>
        </w:tc>
        <w:tc>
          <w:tcPr>
            <w:tcW w:w="658" w:type="pct"/>
            <w:tcBorders>
              <w:top w:val="nil"/>
              <w:left w:val="nil"/>
              <w:bottom w:val="nil"/>
              <w:right w:val="nil"/>
            </w:tcBorders>
            <w:shd w:val="clear" w:color="auto" w:fill="auto"/>
            <w:noWrap/>
            <w:hideMark/>
          </w:tcPr>
          <w:p w14:paraId="77C8D176" w14:textId="77777777" w:rsidR="004624FD" w:rsidRPr="002B59C5" w:rsidRDefault="004624FD" w:rsidP="00312E88">
            <w:pPr>
              <w:jc w:val="right"/>
              <w:rPr>
                <w:rFonts w:cs="Arial"/>
                <w:color w:val="000000"/>
                <w:sz w:val="16"/>
                <w:szCs w:val="16"/>
              </w:rPr>
            </w:pPr>
            <w:r w:rsidRPr="002B59C5">
              <w:rPr>
                <w:rFonts w:cs="Arial"/>
                <w:color w:val="000000"/>
                <w:sz w:val="16"/>
                <w:szCs w:val="16"/>
              </w:rPr>
              <w:t>-33%</w:t>
            </w:r>
          </w:p>
        </w:tc>
        <w:tc>
          <w:tcPr>
            <w:tcW w:w="658" w:type="pct"/>
            <w:tcBorders>
              <w:top w:val="nil"/>
              <w:left w:val="nil"/>
              <w:bottom w:val="nil"/>
              <w:right w:val="nil"/>
            </w:tcBorders>
            <w:shd w:val="clear" w:color="auto" w:fill="auto"/>
            <w:noWrap/>
            <w:hideMark/>
          </w:tcPr>
          <w:p w14:paraId="6E18952C" w14:textId="77777777" w:rsidR="004624FD" w:rsidRPr="002B59C5" w:rsidRDefault="004624FD" w:rsidP="00312E88">
            <w:pPr>
              <w:jc w:val="right"/>
              <w:rPr>
                <w:rFonts w:cs="Arial"/>
                <w:color w:val="000000"/>
                <w:sz w:val="16"/>
                <w:szCs w:val="16"/>
              </w:rPr>
            </w:pPr>
            <w:r w:rsidRPr="002B59C5">
              <w:rPr>
                <w:rFonts w:cs="Arial"/>
                <w:color w:val="000000"/>
                <w:sz w:val="16"/>
                <w:szCs w:val="16"/>
              </w:rPr>
              <w:t>-32%</w:t>
            </w:r>
          </w:p>
        </w:tc>
        <w:tc>
          <w:tcPr>
            <w:tcW w:w="658" w:type="pct"/>
            <w:tcBorders>
              <w:top w:val="nil"/>
              <w:left w:val="nil"/>
              <w:bottom w:val="nil"/>
              <w:right w:val="nil"/>
            </w:tcBorders>
            <w:shd w:val="clear" w:color="auto" w:fill="auto"/>
            <w:noWrap/>
            <w:hideMark/>
          </w:tcPr>
          <w:p w14:paraId="401FBC2F" w14:textId="77777777" w:rsidR="004624FD" w:rsidRPr="002B59C5" w:rsidRDefault="004624FD" w:rsidP="00312E88">
            <w:pPr>
              <w:jc w:val="right"/>
              <w:rPr>
                <w:rFonts w:cs="Arial"/>
                <w:color w:val="000000"/>
                <w:sz w:val="16"/>
                <w:szCs w:val="16"/>
              </w:rPr>
            </w:pPr>
            <w:r w:rsidRPr="002B59C5">
              <w:rPr>
                <w:rFonts w:cs="Arial"/>
                <w:color w:val="000000"/>
                <w:sz w:val="16"/>
                <w:szCs w:val="16"/>
              </w:rPr>
              <w:t>-32%</w:t>
            </w:r>
          </w:p>
        </w:tc>
        <w:tc>
          <w:tcPr>
            <w:tcW w:w="658" w:type="pct"/>
            <w:tcBorders>
              <w:top w:val="nil"/>
              <w:left w:val="single" w:sz="4" w:space="0" w:color="auto"/>
              <w:bottom w:val="nil"/>
              <w:right w:val="single" w:sz="4" w:space="0" w:color="auto"/>
            </w:tcBorders>
            <w:shd w:val="clear" w:color="auto" w:fill="auto"/>
            <w:noWrap/>
            <w:hideMark/>
          </w:tcPr>
          <w:p w14:paraId="1C833304" w14:textId="77777777" w:rsidR="004624FD" w:rsidRPr="002B59C5" w:rsidRDefault="004624FD" w:rsidP="00312E88">
            <w:pPr>
              <w:jc w:val="right"/>
              <w:rPr>
                <w:rFonts w:cs="Arial"/>
                <w:color w:val="000000"/>
                <w:sz w:val="16"/>
                <w:szCs w:val="16"/>
              </w:rPr>
            </w:pPr>
            <w:r w:rsidRPr="002B59C5">
              <w:rPr>
                <w:rFonts w:cs="Arial"/>
                <w:color w:val="000000"/>
                <w:sz w:val="16"/>
                <w:szCs w:val="16"/>
              </w:rPr>
              <w:t>-31%</w:t>
            </w:r>
          </w:p>
        </w:tc>
      </w:tr>
      <w:tr w:rsidR="004624FD" w:rsidRPr="002B59C5" w14:paraId="4601C6BA"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343C4B8A"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CB Choice and Control</w:t>
            </w:r>
          </w:p>
        </w:tc>
        <w:tc>
          <w:tcPr>
            <w:tcW w:w="658" w:type="pct"/>
            <w:tcBorders>
              <w:top w:val="nil"/>
              <w:left w:val="nil"/>
              <w:bottom w:val="nil"/>
              <w:right w:val="nil"/>
            </w:tcBorders>
            <w:shd w:val="clear" w:color="auto" w:fill="auto"/>
            <w:noWrap/>
            <w:hideMark/>
          </w:tcPr>
          <w:p w14:paraId="082AC5ED" w14:textId="77777777" w:rsidR="004624FD" w:rsidRPr="002B59C5" w:rsidRDefault="004624FD" w:rsidP="00312E88">
            <w:pPr>
              <w:jc w:val="right"/>
              <w:rPr>
                <w:rFonts w:cs="Arial"/>
                <w:color w:val="000000"/>
                <w:sz w:val="16"/>
                <w:szCs w:val="16"/>
              </w:rPr>
            </w:pPr>
            <w:r w:rsidRPr="002B59C5">
              <w:rPr>
                <w:rFonts w:cs="Arial"/>
                <w:color w:val="000000"/>
                <w:sz w:val="16"/>
                <w:szCs w:val="16"/>
              </w:rPr>
              <w:t>11%</w:t>
            </w:r>
          </w:p>
        </w:tc>
        <w:tc>
          <w:tcPr>
            <w:tcW w:w="658" w:type="pct"/>
            <w:tcBorders>
              <w:top w:val="nil"/>
              <w:left w:val="nil"/>
              <w:bottom w:val="nil"/>
              <w:right w:val="nil"/>
            </w:tcBorders>
            <w:shd w:val="clear" w:color="auto" w:fill="auto"/>
            <w:noWrap/>
            <w:hideMark/>
          </w:tcPr>
          <w:p w14:paraId="6BF7D1F0" w14:textId="77777777" w:rsidR="004624FD" w:rsidRPr="002B59C5" w:rsidRDefault="004624FD" w:rsidP="00312E88">
            <w:pPr>
              <w:jc w:val="right"/>
              <w:rPr>
                <w:rFonts w:cs="Arial"/>
                <w:color w:val="000000"/>
                <w:sz w:val="16"/>
                <w:szCs w:val="16"/>
              </w:rPr>
            </w:pPr>
            <w:r w:rsidRPr="002B59C5">
              <w:rPr>
                <w:rFonts w:cs="Arial"/>
                <w:color w:val="000000"/>
                <w:sz w:val="16"/>
                <w:szCs w:val="16"/>
              </w:rPr>
              <w:t>12%</w:t>
            </w:r>
          </w:p>
        </w:tc>
        <w:tc>
          <w:tcPr>
            <w:tcW w:w="658" w:type="pct"/>
            <w:tcBorders>
              <w:top w:val="nil"/>
              <w:left w:val="nil"/>
              <w:bottom w:val="nil"/>
              <w:right w:val="nil"/>
            </w:tcBorders>
            <w:shd w:val="clear" w:color="auto" w:fill="auto"/>
            <w:noWrap/>
            <w:hideMark/>
          </w:tcPr>
          <w:p w14:paraId="1D3DD0E9" w14:textId="77777777" w:rsidR="004624FD" w:rsidRPr="002B59C5" w:rsidRDefault="004624FD" w:rsidP="00312E88">
            <w:pPr>
              <w:jc w:val="right"/>
              <w:rPr>
                <w:rFonts w:cs="Arial"/>
                <w:color w:val="000000"/>
                <w:sz w:val="16"/>
                <w:szCs w:val="16"/>
              </w:rPr>
            </w:pPr>
            <w:r w:rsidRPr="002B59C5">
              <w:rPr>
                <w:rFonts w:cs="Arial"/>
                <w:color w:val="000000"/>
                <w:sz w:val="16"/>
                <w:szCs w:val="16"/>
              </w:rPr>
              <w:t>12%</w:t>
            </w:r>
          </w:p>
        </w:tc>
        <w:tc>
          <w:tcPr>
            <w:tcW w:w="658" w:type="pct"/>
            <w:tcBorders>
              <w:top w:val="nil"/>
              <w:left w:val="nil"/>
              <w:bottom w:val="nil"/>
              <w:right w:val="nil"/>
            </w:tcBorders>
            <w:shd w:val="clear" w:color="auto" w:fill="auto"/>
            <w:noWrap/>
            <w:hideMark/>
          </w:tcPr>
          <w:p w14:paraId="678443B3" w14:textId="77777777" w:rsidR="004624FD" w:rsidRPr="002B59C5" w:rsidRDefault="004624FD" w:rsidP="00312E88">
            <w:pPr>
              <w:jc w:val="right"/>
              <w:rPr>
                <w:rFonts w:cs="Arial"/>
                <w:color w:val="000000"/>
                <w:sz w:val="16"/>
                <w:szCs w:val="16"/>
              </w:rPr>
            </w:pPr>
            <w:r w:rsidRPr="002B59C5">
              <w:rPr>
                <w:rFonts w:cs="Arial"/>
                <w:color w:val="000000"/>
                <w:sz w:val="16"/>
                <w:szCs w:val="16"/>
              </w:rPr>
              <w:t>11%</w:t>
            </w:r>
          </w:p>
        </w:tc>
        <w:tc>
          <w:tcPr>
            <w:tcW w:w="658" w:type="pct"/>
            <w:tcBorders>
              <w:top w:val="nil"/>
              <w:left w:val="single" w:sz="4" w:space="0" w:color="auto"/>
              <w:bottom w:val="nil"/>
              <w:right w:val="single" w:sz="4" w:space="0" w:color="auto"/>
            </w:tcBorders>
            <w:shd w:val="clear" w:color="auto" w:fill="auto"/>
            <w:noWrap/>
            <w:hideMark/>
          </w:tcPr>
          <w:p w14:paraId="582607B0" w14:textId="77777777" w:rsidR="004624FD" w:rsidRPr="002B59C5" w:rsidRDefault="004624FD" w:rsidP="00312E88">
            <w:pPr>
              <w:jc w:val="right"/>
              <w:rPr>
                <w:rFonts w:cs="Arial"/>
                <w:color w:val="000000"/>
                <w:sz w:val="16"/>
                <w:szCs w:val="16"/>
              </w:rPr>
            </w:pPr>
            <w:r w:rsidRPr="002B59C5">
              <w:rPr>
                <w:rFonts w:cs="Arial"/>
                <w:color w:val="000000"/>
                <w:sz w:val="16"/>
                <w:szCs w:val="16"/>
              </w:rPr>
              <w:t>7%</w:t>
            </w:r>
          </w:p>
        </w:tc>
      </w:tr>
      <w:tr w:rsidR="004624FD" w:rsidRPr="002B59C5" w14:paraId="4457472A" w14:textId="77777777" w:rsidTr="004624FD">
        <w:trPr>
          <w:trHeight w:hRule="exact" w:val="284"/>
        </w:trPr>
        <w:tc>
          <w:tcPr>
            <w:tcW w:w="1708" w:type="pct"/>
            <w:tcBorders>
              <w:top w:val="nil"/>
              <w:left w:val="single" w:sz="4" w:space="0" w:color="auto"/>
              <w:bottom w:val="nil"/>
              <w:right w:val="single" w:sz="4" w:space="0" w:color="auto"/>
            </w:tcBorders>
            <w:shd w:val="clear" w:color="auto" w:fill="auto"/>
            <w:noWrap/>
            <w:hideMark/>
          </w:tcPr>
          <w:p w14:paraId="4D31949A" w14:textId="77777777" w:rsidR="004624FD" w:rsidRPr="002B59C5" w:rsidRDefault="004624FD" w:rsidP="00312E88">
            <w:pPr>
              <w:ind w:firstLineChars="100" w:firstLine="160"/>
              <w:rPr>
                <w:rFonts w:cs="Arial"/>
                <w:i/>
                <w:iCs/>
                <w:color w:val="000000"/>
                <w:sz w:val="16"/>
                <w:szCs w:val="16"/>
              </w:rPr>
            </w:pPr>
            <w:r w:rsidRPr="002B59C5">
              <w:rPr>
                <w:rFonts w:cs="Arial"/>
                <w:i/>
                <w:iCs/>
                <w:color w:val="000000"/>
                <w:sz w:val="16"/>
                <w:szCs w:val="16"/>
              </w:rPr>
              <w:t>Other CB supports</w:t>
            </w:r>
          </w:p>
        </w:tc>
        <w:tc>
          <w:tcPr>
            <w:tcW w:w="658" w:type="pct"/>
            <w:tcBorders>
              <w:top w:val="nil"/>
              <w:left w:val="nil"/>
              <w:bottom w:val="nil"/>
              <w:right w:val="nil"/>
            </w:tcBorders>
            <w:shd w:val="clear" w:color="auto" w:fill="auto"/>
            <w:noWrap/>
            <w:hideMark/>
          </w:tcPr>
          <w:p w14:paraId="021EB948" w14:textId="77777777" w:rsidR="004624FD" w:rsidRPr="002B59C5" w:rsidRDefault="004624FD" w:rsidP="00312E88">
            <w:pPr>
              <w:jc w:val="right"/>
              <w:rPr>
                <w:rFonts w:cs="Arial"/>
                <w:color w:val="000000"/>
                <w:sz w:val="16"/>
                <w:szCs w:val="16"/>
              </w:rPr>
            </w:pPr>
            <w:r w:rsidRPr="002B59C5">
              <w:rPr>
                <w:rFonts w:cs="Arial"/>
                <w:color w:val="000000"/>
                <w:sz w:val="16"/>
                <w:szCs w:val="16"/>
              </w:rPr>
              <w:t>3%</w:t>
            </w:r>
          </w:p>
        </w:tc>
        <w:tc>
          <w:tcPr>
            <w:tcW w:w="658" w:type="pct"/>
            <w:tcBorders>
              <w:top w:val="nil"/>
              <w:left w:val="nil"/>
              <w:bottom w:val="nil"/>
              <w:right w:val="nil"/>
            </w:tcBorders>
            <w:shd w:val="clear" w:color="auto" w:fill="auto"/>
            <w:noWrap/>
            <w:hideMark/>
          </w:tcPr>
          <w:p w14:paraId="6FB6B0C2" w14:textId="77777777" w:rsidR="004624FD" w:rsidRPr="002B59C5" w:rsidRDefault="004624FD" w:rsidP="00312E88">
            <w:pPr>
              <w:jc w:val="right"/>
              <w:rPr>
                <w:rFonts w:cs="Arial"/>
                <w:color w:val="000000"/>
                <w:sz w:val="16"/>
                <w:szCs w:val="16"/>
              </w:rPr>
            </w:pPr>
            <w:r w:rsidRPr="002B59C5">
              <w:rPr>
                <w:rFonts w:cs="Arial"/>
                <w:color w:val="000000"/>
                <w:sz w:val="16"/>
                <w:szCs w:val="16"/>
              </w:rPr>
              <w:t>2%</w:t>
            </w:r>
          </w:p>
        </w:tc>
        <w:tc>
          <w:tcPr>
            <w:tcW w:w="658" w:type="pct"/>
            <w:tcBorders>
              <w:top w:val="nil"/>
              <w:left w:val="nil"/>
              <w:bottom w:val="nil"/>
              <w:right w:val="nil"/>
            </w:tcBorders>
            <w:shd w:val="clear" w:color="auto" w:fill="auto"/>
            <w:noWrap/>
            <w:hideMark/>
          </w:tcPr>
          <w:p w14:paraId="4EA7E5C2" w14:textId="77777777" w:rsidR="004624FD" w:rsidRPr="002B59C5" w:rsidRDefault="004624FD" w:rsidP="00312E88">
            <w:pPr>
              <w:jc w:val="right"/>
              <w:rPr>
                <w:rFonts w:cs="Arial"/>
                <w:color w:val="000000"/>
                <w:sz w:val="16"/>
                <w:szCs w:val="16"/>
              </w:rPr>
            </w:pPr>
            <w:r w:rsidRPr="002B59C5">
              <w:rPr>
                <w:rFonts w:cs="Arial"/>
                <w:color w:val="000000"/>
                <w:sz w:val="16"/>
                <w:szCs w:val="16"/>
              </w:rPr>
              <w:t>2%</w:t>
            </w:r>
          </w:p>
        </w:tc>
        <w:tc>
          <w:tcPr>
            <w:tcW w:w="658" w:type="pct"/>
            <w:tcBorders>
              <w:top w:val="nil"/>
              <w:left w:val="nil"/>
              <w:bottom w:val="nil"/>
              <w:right w:val="nil"/>
            </w:tcBorders>
            <w:shd w:val="clear" w:color="auto" w:fill="auto"/>
            <w:noWrap/>
            <w:hideMark/>
          </w:tcPr>
          <w:p w14:paraId="1A2627CF" w14:textId="77777777" w:rsidR="004624FD" w:rsidRPr="002B59C5" w:rsidRDefault="004624FD" w:rsidP="00312E88">
            <w:pPr>
              <w:jc w:val="right"/>
              <w:rPr>
                <w:rFonts w:cs="Arial"/>
                <w:color w:val="000000"/>
                <w:sz w:val="16"/>
                <w:szCs w:val="16"/>
              </w:rPr>
            </w:pPr>
            <w:r w:rsidRPr="002B59C5">
              <w:rPr>
                <w:rFonts w:cs="Arial"/>
                <w:color w:val="000000"/>
                <w:sz w:val="16"/>
                <w:szCs w:val="16"/>
              </w:rPr>
              <w:t>1%</w:t>
            </w:r>
          </w:p>
        </w:tc>
        <w:tc>
          <w:tcPr>
            <w:tcW w:w="658" w:type="pct"/>
            <w:tcBorders>
              <w:top w:val="nil"/>
              <w:left w:val="single" w:sz="4" w:space="0" w:color="auto"/>
              <w:bottom w:val="nil"/>
              <w:right w:val="single" w:sz="4" w:space="0" w:color="auto"/>
            </w:tcBorders>
            <w:shd w:val="clear" w:color="auto" w:fill="auto"/>
            <w:noWrap/>
            <w:hideMark/>
          </w:tcPr>
          <w:p w14:paraId="44D1EBFE" w14:textId="77777777" w:rsidR="004624FD" w:rsidRPr="002B59C5" w:rsidRDefault="004624FD" w:rsidP="00312E88">
            <w:pPr>
              <w:jc w:val="right"/>
              <w:rPr>
                <w:rFonts w:cs="Arial"/>
                <w:color w:val="000000"/>
                <w:sz w:val="16"/>
                <w:szCs w:val="16"/>
              </w:rPr>
            </w:pPr>
            <w:r w:rsidRPr="002B59C5">
              <w:rPr>
                <w:rFonts w:cs="Arial"/>
                <w:color w:val="000000"/>
                <w:sz w:val="16"/>
                <w:szCs w:val="16"/>
              </w:rPr>
              <w:t>-3%</w:t>
            </w:r>
          </w:p>
        </w:tc>
      </w:tr>
      <w:tr w:rsidR="004624FD" w:rsidRPr="002B59C5" w14:paraId="78918FDB" w14:textId="77777777" w:rsidTr="004624FD">
        <w:trPr>
          <w:trHeight w:hRule="exact" w:val="284"/>
        </w:trPr>
        <w:tc>
          <w:tcPr>
            <w:tcW w:w="1708" w:type="pct"/>
            <w:tcBorders>
              <w:top w:val="single" w:sz="4" w:space="0" w:color="auto"/>
              <w:left w:val="single" w:sz="4" w:space="0" w:color="auto"/>
              <w:bottom w:val="single" w:sz="4" w:space="0" w:color="auto"/>
              <w:right w:val="nil"/>
            </w:tcBorders>
            <w:shd w:val="clear" w:color="auto" w:fill="auto"/>
            <w:noWrap/>
            <w:hideMark/>
          </w:tcPr>
          <w:p w14:paraId="6351F291" w14:textId="77777777" w:rsidR="004624FD" w:rsidRPr="002B59C5" w:rsidRDefault="004624FD" w:rsidP="00312E88">
            <w:pPr>
              <w:rPr>
                <w:rFonts w:cs="Arial"/>
                <w:b/>
                <w:bCs/>
                <w:color w:val="000000"/>
                <w:sz w:val="16"/>
                <w:szCs w:val="16"/>
              </w:rPr>
            </w:pPr>
            <w:r w:rsidRPr="002B59C5">
              <w:rPr>
                <w:rFonts w:cs="Arial"/>
                <w:b/>
                <w:bCs/>
                <w:color w:val="000000"/>
                <w:sz w:val="16"/>
                <w:szCs w:val="16"/>
              </w:rPr>
              <w:t>Total</w:t>
            </w:r>
          </w:p>
        </w:tc>
        <w:tc>
          <w:tcPr>
            <w:tcW w:w="658" w:type="pct"/>
            <w:tcBorders>
              <w:top w:val="single" w:sz="4" w:space="0" w:color="auto"/>
              <w:left w:val="single" w:sz="4" w:space="0" w:color="auto"/>
              <w:bottom w:val="single" w:sz="4" w:space="0" w:color="auto"/>
              <w:right w:val="nil"/>
            </w:tcBorders>
            <w:shd w:val="clear" w:color="auto" w:fill="auto"/>
            <w:noWrap/>
            <w:hideMark/>
          </w:tcPr>
          <w:p w14:paraId="59D39C7C" w14:textId="77777777" w:rsidR="004624FD" w:rsidRPr="002B59C5" w:rsidRDefault="004624FD" w:rsidP="00312E88">
            <w:pPr>
              <w:jc w:val="right"/>
              <w:rPr>
                <w:rFonts w:cs="Arial"/>
                <w:b/>
                <w:bCs/>
                <w:color w:val="000000"/>
                <w:sz w:val="16"/>
                <w:szCs w:val="16"/>
              </w:rPr>
            </w:pPr>
            <w:r w:rsidRPr="002B59C5">
              <w:rPr>
                <w:rFonts w:cs="Arial"/>
                <w:b/>
                <w:bCs/>
                <w:color w:val="000000"/>
                <w:sz w:val="16"/>
                <w:szCs w:val="16"/>
              </w:rPr>
              <w:t>4%</w:t>
            </w:r>
          </w:p>
        </w:tc>
        <w:tc>
          <w:tcPr>
            <w:tcW w:w="658" w:type="pct"/>
            <w:tcBorders>
              <w:top w:val="single" w:sz="4" w:space="0" w:color="auto"/>
              <w:left w:val="nil"/>
              <w:bottom w:val="single" w:sz="4" w:space="0" w:color="auto"/>
              <w:right w:val="nil"/>
            </w:tcBorders>
            <w:shd w:val="clear" w:color="auto" w:fill="auto"/>
            <w:noWrap/>
            <w:hideMark/>
          </w:tcPr>
          <w:p w14:paraId="26272BE6" w14:textId="77777777" w:rsidR="004624FD" w:rsidRPr="002B59C5" w:rsidRDefault="004624FD" w:rsidP="00312E88">
            <w:pPr>
              <w:jc w:val="right"/>
              <w:rPr>
                <w:rFonts w:cs="Arial"/>
                <w:b/>
                <w:bCs/>
                <w:color w:val="000000"/>
                <w:sz w:val="16"/>
                <w:szCs w:val="16"/>
              </w:rPr>
            </w:pPr>
            <w:r w:rsidRPr="002B59C5">
              <w:rPr>
                <w:rFonts w:cs="Arial"/>
                <w:b/>
                <w:bCs/>
                <w:color w:val="000000"/>
                <w:sz w:val="16"/>
                <w:szCs w:val="16"/>
              </w:rPr>
              <w:t>3%</w:t>
            </w:r>
          </w:p>
        </w:tc>
        <w:tc>
          <w:tcPr>
            <w:tcW w:w="658" w:type="pct"/>
            <w:tcBorders>
              <w:top w:val="single" w:sz="4" w:space="0" w:color="auto"/>
              <w:left w:val="nil"/>
              <w:bottom w:val="single" w:sz="4" w:space="0" w:color="auto"/>
              <w:right w:val="nil"/>
            </w:tcBorders>
            <w:shd w:val="clear" w:color="auto" w:fill="auto"/>
            <w:noWrap/>
            <w:hideMark/>
          </w:tcPr>
          <w:p w14:paraId="47CBCAC8" w14:textId="77777777" w:rsidR="004624FD" w:rsidRPr="002B59C5" w:rsidRDefault="004624FD" w:rsidP="00312E88">
            <w:pPr>
              <w:jc w:val="right"/>
              <w:rPr>
                <w:rFonts w:cs="Arial"/>
                <w:b/>
                <w:bCs/>
                <w:color w:val="000000"/>
                <w:sz w:val="16"/>
                <w:szCs w:val="16"/>
              </w:rPr>
            </w:pPr>
            <w:r w:rsidRPr="002B59C5">
              <w:rPr>
                <w:rFonts w:cs="Arial"/>
                <w:b/>
                <w:bCs/>
                <w:color w:val="000000"/>
                <w:sz w:val="16"/>
                <w:szCs w:val="16"/>
              </w:rPr>
              <w:t>2%</w:t>
            </w:r>
          </w:p>
        </w:tc>
        <w:tc>
          <w:tcPr>
            <w:tcW w:w="658" w:type="pct"/>
            <w:tcBorders>
              <w:top w:val="single" w:sz="4" w:space="0" w:color="auto"/>
              <w:left w:val="nil"/>
              <w:bottom w:val="single" w:sz="4" w:space="0" w:color="auto"/>
              <w:right w:val="nil"/>
            </w:tcBorders>
            <w:shd w:val="clear" w:color="auto" w:fill="auto"/>
            <w:noWrap/>
            <w:hideMark/>
          </w:tcPr>
          <w:p w14:paraId="702F2548" w14:textId="77777777" w:rsidR="004624FD" w:rsidRPr="002B59C5" w:rsidRDefault="004624FD" w:rsidP="00312E88">
            <w:pPr>
              <w:jc w:val="right"/>
              <w:rPr>
                <w:rFonts w:cs="Arial"/>
                <w:b/>
                <w:bCs/>
                <w:color w:val="000000"/>
                <w:sz w:val="16"/>
                <w:szCs w:val="16"/>
              </w:rPr>
            </w:pPr>
            <w:r w:rsidRPr="002B59C5">
              <w:rPr>
                <w:rFonts w:cs="Arial"/>
                <w:b/>
                <w:bCs/>
                <w:color w:val="000000"/>
                <w:sz w:val="16"/>
                <w:szCs w:val="16"/>
              </w:rPr>
              <w:t>1%</w:t>
            </w:r>
          </w:p>
        </w:tc>
        <w:tc>
          <w:tcPr>
            <w:tcW w:w="658" w:type="pct"/>
            <w:tcBorders>
              <w:top w:val="single" w:sz="4" w:space="0" w:color="auto"/>
              <w:left w:val="single" w:sz="4" w:space="0" w:color="auto"/>
              <w:bottom w:val="single" w:sz="4" w:space="0" w:color="auto"/>
              <w:right w:val="single" w:sz="4" w:space="0" w:color="auto"/>
            </w:tcBorders>
            <w:shd w:val="clear" w:color="auto" w:fill="auto"/>
            <w:noWrap/>
            <w:hideMark/>
          </w:tcPr>
          <w:p w14:paraId="5BB6380F" w14:textId="77777777" w:rsidR="004624FD" w:rsidRPr="002B59C5" w:rsidRDefault="004624FD" w:rsidP="00312E88">
            <w:pPr>
              <w:jc w:val="right"/>
              <w:rPr>
                <w:rFonts w:cs="Arial"/>
                <w:b/>
                <w:bCs/>
                <w:color w:val="000000"/>
                <w:sz w:val="16"/>
                <w:szCs w:val="16"/>
              </w:rPr>
            </w:pPr>
            <w:r w:rsidRPr="002B59C5">
              <w:rPr>
                <w:rFonts w:cs="Arial"/>
                <w:b/>
                <w:bCs/>
                <w:color w:val="000000"/>
                <w:sz w:val="16"/>
                <w:szCs w:val="16"/>
              </w:rPr>
              <w:t>-2%</w:t>
            </w:r>
          </w:p>
        </w:tc>
      </w:tr>
    </w:tbl>
    <w:p w14:paraId="3D57AB38" w14:textId="3B409938" w:rsidR="00826B75" w:rsidRDefault="00826B75" w:rsidP="00826B75">
      <w:pPr>
        <w:spacing w:after="160" w:line="259" w:lineRule="auto"/>
      </w:pPr>
    </w:p>
    <w:p w14:paraId="61701DEF" w14:textId="196F1F18" w:rsidR="00826B75" w:rsidRPr="00BC1282" w:rsidRDefault="00BF5987" w:rsidP="00826B75">
      <w:pPr>
        <w:pStyle w:val="FSRHeading4"/>
        <w:rPr>
          <w:i w:val="0"/>
        </w:rPr>
      </w:pPr>
      <w:r>
        <w:t xml:space="preserve">Participant </w:t>
      </w:r>
      <w:r w:rsidR="00826B75" w:rsidRPr="00BC1282">
        <w:t>Costs as proportion of Gross Domestic Product (GDP)</w:t>
      </w:r>
    </w:p>
    <w:p w14:paraId="478C7882" w14:textId="04D18816" w:rsidR="00BF5987" w:rsidRPr="00400B97" w:rsidRDefault="00BF5987" w:rsidP="00BF5987">
      <w:pPr>
        <w:pStyle w:val="FSRnormal"/>
        <w:rPr>
          <w:rFonts w:cs="Arial"/>
        </w:rPr>
      </w:pPr>
      <w:r w:rsidRPr="00400B97">
        <w:t xml:space="preserve">Total participant costs (accrual basis) are estimated to represent 1.37% of GDP in 2021-22, increasing to 1.78% in 2025-26 and 1.95% in 2029-30. For ages 0 to 64, this is 1.28% of GDP in 2021-22, 1.60% of GDP in 2025-26 and 1.72% of GDP in 2029-30. Scheme costs as a proportion of GDP are projected to be </w:t>
      </w:r>
      <w:r w:rsidR="000E6147">
        <w:t xml:space="preserve">slightly higher than </w:t>
      </w:r>
      <w:r w:rsidRPr="00400B97">
        <w:t>the previous review</w:t>
      </w:r>
      <w:r w:rsidR="000E6147">
        <w:t xml:space="preserve"> (Figure 49)</w:t>
      </w:r>
      <w:r w:rsidRPr="00400B97">
        <w:t>.</w:t>
      </w:r>
    </w:p>
    <w:p w14:paraId="4BAF5724" w14:textId="3974ACB6" w:rsidR="00826B75" w:rsidRPr="00BC1282" w:rsidRDefault="00C967DA" w:rsidP="00826B75">
      <w:pPr>
        <w:pStyle w:val="Figures"/>
      </w:pPr>
      <w:r w:rsidRPr="00392A9A">
        <w:lastRenderedPageBreak/>
        <w:t xml:space="preserve">Figure </w:t>
      </w:r>
      <w:fldSimple w:instr=" SEQ Figure \* ARABIC ">
        <w:r w:rsidR="00E50032">
          <w:rPr>
            <w:noProof/>
          </w:rPr>
          <w:t>48</w:t>
        </w:r>
      </w:fldSimple>
      <w:r w:rsidRPr="00392A9A">
        <w:t xml:space="preserve"> </w:t>
      </w:r>
      <w:r w:rsidR="00BF5987">
        <w:t>Comparison of P</w:t>
      </w:r>
      <w:r w:rsidR="00BF5987" w:rsidRPr="00BC1282">
        <w:t>articipant</w:t>
      </w:r>
      <w:r w:rsidR="00826B75" w:rsidRPr="00BC1282">
        <w:t xml:space="preserve"> </w:t>
      </w:r>
      <w:r w:rsidR="00BF5987">
        <w:t>C</w:t>
      </w:r>
      <w:r w:rsidR="00826B75" w:rsidRPr="00BC1282">
        <w:t xml:space="preserve">osts (accrual basis) as a proportion of GDP </w:t>
      </w:r>
    </w:p>
    <w:p w14:paraId="575F4124" w14:textId="0E3C42A7" w:rsidR="00BF5987" w:rsidRPr="00174189" w:rsidRDefault="00EC601B" w:rsidP="00826B75">
      <w:pPr>
        <w:pStyle w:val="Figures"/>
        <w:rPr>
          <w:highlight w:val="yellow"/>
        </w:rPr>
      </w:pPr>
      <w:r w:rsidRPr="00217FF9">
        <w:rPr>
          <w:noProof/>
          <w:lang w:eastAsia="en-AU"/>
        </w:rPr>
        <w:drawing>
          <wp:inline distT="0" distB="0" distL="0" distR="0" wp14:anchorId="2CCE0863" wp14:editId="7ECB9CD5">
            <wp:extent cx="5715000" cy="3129280"/>
            <wp:effectExtent l="0" t="0" r="0" b="0"/>
            <wp:docPr id="235" name="Picture 235" descr="Bar chart showing total participant costs (accrual basis) based on 2020-2021 AFSR cost projections are estimated to represent 1.37% of GDP in 2021-22, increasing to 1.78% in 2025-26 and 1.95% in 20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Bar chart showing total participant costs (accrual basis) based on 2020-2021 AFSR cost projections are estimated to represent 1.37% of GDP in 2021-22, increasing to 1.78% in 2025-26 and 1.95% in 2029-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0" cy="3129280"/>
                    </a:xfrm>
                    <a:prstGeom prst="rect">
                      <a:avLst/>
                    </a:prstGeom>
                    <a:noFill/>
                    <a:ln>
                      <a:noFill/>
                    </a:ln>
                  </pic:spPr>
                </pic:pic>
              </a:graphicData>
            </a:graphic>
          </wp:inline>
        </w:drawing>
      </w:r>
    </w:p>
    <w:p w14:paraId="20AEE23D" w14:textId="4185EAB2" w:rsidR="00826B75" w:rsidRPr="00CA035D" w:rsidRDefault="00EC601B" w:rsidP="00826B75">
      <w:pPr>
        <w:pStyle w:val="FSRnormal"/>
      </w:pPr>
      <w:r w:rsidRPr="00EC601B">
        <w:rPr>
          <w:noProof/>
          <w:lang w:eastAsia="en-AU"/>
        </w:rPr>
        <w:drawing>
          <wp:inline distT="0" distB="0" distL="0" distR="0" wp14:anchorId="1D10B853" wp14:editId="10E2A783">
            <wp:extent cx="5731510" cy="3214019"/>
            <wp:effectExtent l="0" t="0" r="2540" b="5715"/>
            <wp:docPr id="236" name="Picture 236" descr="Bar chart showing a comparison of participant Costs (accrual basis) as a proportion of GDP for ages 0 to 64. Based on 2020-2021 AFSR cost projections this is 1.28% of GDP in 2021-22, 1.60% of GDP in 2025-26 and 1.72% of GDP in 20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Bar chart showing a comparison of participant Costs (accrual basis) as a proportion of GDP for ages 0 to 64. Based on 2020-2021 AFSR cost projections this is 1.28% of GDP in 2021-22, 1.60% of GDP in 2025-26 and 1.72% of GDP in 2029-3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3214019"/>
                    </a:xfrm>
                    <a:prstGeom prst="rect">
                      <a:avLst/>
                    </a:prstGeom>
                    <a:noFill/>
                    <a:ln>
                      <a:noFill/>
                    </a:ln>
                  </pic:spPr>
                </pic:pic>
              </a:graphicData>
            </a:graphic>
          </wp:inline>
        </w:drawing>
      </w:r>
    </w:p>
    <w:p w14:paraId="5D36864E" w14:textId="77777777" w:rsidR="00826B75" w:rsidRPr="00826B75" w:rsidRDefault="00826B75" w:rsidP="00826B75"/>
    <w:p w14:paraId="520D0C53" w14:textId="709B0EA7" w:rsidR="00833DDD" w:rsidRDefault="00833DDD" w:rsidP="007B2293">
      <w:pPr>
        <w:pStyle w:val="Heading2"/>
        <w:numPr>
          <w:ilvl w:val="0"/>
          <w:numId w:val="0"/>
        </w:numPr>
        <w:ind w:left="720" w:hanging="720"/>
      </w:pPr>
      <w:bookmarkStart w:id="378" w:name="_Toc83220868"/>
      <w:bookmarkStart w:id="379" w:name="_Toc85031279"/>
      <w:r>
        <w:lastRenderedPageBreak/>
        <w:t xml:space="preserve">Appendix </w:t>
      </w:r>
      <w:r w:rsidR="000A0D48">
        <w:t>C</w:t>
      </w:r>
      <w:r>
        <w:t xml:space="preserve">: </w:t>
      </w:r>
      <w:bookmarkEnd w:id="378"/>
      <w:r w:rsidR="007051A5">
        <w:t>Reconciliation</w:t>
      </w:r>
      <w:r w:rsidR="00843242">
        <w:t xml:space="preserve"> to previous review</w:t>
      </w:r>
      <w:bookmarkEnd w:id="379"/>
    </w:p>
    <w:p w14:paraId="1FDEB04F" w14:textId="268DAA6F" w:rsidR="00F90118" w:rsidRPr="009F4F8D" w:rsidRDefault="0044635E" w:rsidP="00F90118">
      <w:pPr>
        <w:pStyle w:val="FSRnormal"/>
        <w:rPr>
          <w:b/>
          <w:iCs/>
          <w:color w:val="000000" w:themeColor="text1"/>
          <w:szCs w:val="18"/>
        </w:rPr>
      </w:pPr>
      <w:r>
        <w:rPr>
          <w:b/>
          <w:i/>
          <w:color w:val="6B2976"/>
          <w:sz w:val="25"/>
        </w:rPr>
        <w:fldChar w:fldCharType="begin"/>
      </w:r>
      <w:r>
        <w:rPr>
          <w:b/>
          <w:i/>
          <w:color w:val="6B2976"/>
          <w:sz w:val="25"/>
        </w:rPr>
        <w:instrText xml:space="preserve"> REF _Ref82778858 \h </w:instrText>
      </w:r>
      <w:r>
        <w:rPr>
          <w:b/>
          <w:i/>
          <w:color w:val="6B2976"/>
          <w:sz w:val="25"/>
        </w:rPr>
      </w:r>
      <w:r>
        <w:rPr>
          <w:b/>
          <w:i/>
          <w:color w:val="6B2976"/>
          <w:sz w:val="25"/>
        </w:rPr>
        <w:fldChar w:fldCharType="separate"/>
      </w:r>
      <w:r w:rsidR="00E50032" w:rsidRPr="009F4F8D">
        <w:t xml:space="preserve">Table </w:t>
      </w:r>
      <w:r w:rsidR="00E50032">
        <w:rPr>
          <w:noProof/>
        </w:rPr>
        <w:t>64</w:t>
      </w:r>
      <w:r>
        <w:rPr>
          <w:b/>
          <w:i/>
          <w:color w:val="6B2976"/>
          <w:sz w:val="25"/>
        </w:rPr>
        <w:fldChar w:fldCharType="end"/>
      </w:r>
      <w:r w:rsidR="00F90118" w:rsidRPr="009F4F8D">
        <w:t xml:space="preserve"> shows the main drivers of movements in participant numbers as well as the</w:t>
      </w:r>
      <w:r w:rsidR="00F90118">
        <w:t xml:space="preserve"> total movement from </w:t>
      </w:r>
      <w:r>
        <w:t xml:space="preserve">the previous review. </w:t>
      </w:r>
      <w:bookmarkStart w:id="380" w:name="_Ref17119957"/>
    </w:p>
    <w:p w14:paraId="52B4370C" w14:textId="62103F92" w:rsidR="0044635E" w:rsidRPr="009F4F8D" w:rsidRDefault="0044635E" w:rsidP="0044635E">
      <w:pPr>
        <w:pStyle w:val="Caption"/>
        <w:keepNext/>
      </w:pPr>
      <w:bookmarkStart w:id="381" w:name="_Ref82778858"/>
      <w:bookmarkStart w:id="382" w:name="_Ref48225628"/>
      <w:r w:rsidRPr="009F4F8D">
        <w:t xml:space="preserve">Table </w:t>
      </w:r>
      <w:fldSimple w:instr=" SEQ Table \* ARABIC ">
        <w:r w:rsidR="00E50032">
          <w:rPr>
            <w:noProof/>
          </w:rPr>
          <w:t>64</w:t>
        </w:r>
      </w:fldSimple>
      <w:bookmarkEnd w:id="381"/>
      <w:r w:rsidRPr="009F4F8D">
        <w:t xml:space="preserve"> Change in projected participant numbers from </w:t>
      </w:r>
      <w:r>
        <w:t>previous review (31 December 2020)</w:t>
      </w:r>
    </w:p>
    <w:tbl>
      <w:tblPr>
        <w:tblW w:w="0" w:type="auto"/>
        <w:tblLook w:val="04A0" w:firstRow="1" w:lastRow="0" w:firstColumn="1" w:lastColumn="0" w:noHBand="0" w:noVBand="1"/>
      </w:tblPr>
      <w:tblGrid>
        <w:gridCol w:w="5041"/>
        <w:gridCol w:w="795"/>
        <w:gridCol w:w="795"/>
        <w:gridCol w:w="795"/>
        <w:gridCol w:w="795"/>
        <w:gridCol w:w="795"/>
      </w:tblGrid>
      <w:tr w:rsidR="005117C2" w:rsidRPr="002935C2" w14:paraId="74DFDF95" w14:textId="77777777" w:rsidTr="00312E88">
        <w:trPr>
          <w:trHeight w:val="330"/>
          <w:tblHeader/>
        </w:trPr>
        <w:tc>
          <w:tcPr>
            <w:tcW w:w="0" w:type="auto"/>
            <w:tcBorders>
              <w:top w:val="single" w:sz="4" w:space="0" w:color="auto"/>
              <w:left w:val="single" w:sz="4" w:space="0" w:color="auto"/>
              <w:bottom w:val="single" w:sz="4" w:space="0" w:color="000000"/>
              <w:right w:val="single" w:sz="4" w:space="0" w:color="auto"/>
            </w:tcBorders>
            <w:shd w:val="clear" w:color="000000" w:fill="6B2976"/>
            <w:vAlign w:val="center"/>
            <w:hideMark/>
          </w:tcPr>
          <w:bookmarkEnd w:id="380"/>
          <w:bookmarkEnd w:id="382"/>
          <w:p w14:paraId="27F542E0" w14:textId="77777777" w:rsidR="005117C2" w:rsidRPr="002935C2" w:rsidRDefault="005117C2" w:rsidP="00312E88">
            <w:pPr>
              <w:rPr>
                <w:rFonts w:cs="Arial"/>
                <w:b/>
                <w:bCs/>
                <w:color w:val="FFFFFF"/>
                <w:sz w:val="16"/>
                <w:szCs w:val="16"/>
              </w:rPr>
            </w:pPr>
            <w:r w:rsidRPr="002935C2">
              <w:rPr>
                <w:rFonts w:cs="Arial"/>
                <w:b/>
                <w:bCs/>
                <w:color w:val="FFFFFF"/>
                <w:sz w:val="16"/>
                <w:szCs w:val="16"/>
              </w:rPr>
              <w:t>Change in projected participant numbers</w:t>
            </w:r>
            <w:r>
              <w:rPr>
                <w:rFonts w:cs="Arial"/>
                <w:b/>
                <w:bCs/>
                <w:color w:val="FFFFFF"/>
                <w:sz w:val="16"/>
                <w:szCs w:val="16"/>
              </w:rPr>
              <w:t xml:space="preserve"> As at June 30</w:t>
            </w:r>
          </w:p>
        </w:tc>
        <w:tc>
          <w:tcPr>
            <w:tcW w:w="0" w:type="auto"/>
            <w:tcBorders>
              <w:top w:val="nil"/>
              <w:left w:val="nil"/>
              <w:bottom w:val="single" w:sz="4" w:space="0" w:color="auto"/>
              <w:right w:val="single" w:sz="4" w:space="0" w:color="auto"/>
            </w:tcBorders>
            <w:shd w:val="clear" w:color="000000" w:fill="6B2976"/>
            <w:noWrap/>
            <w:hideMark/>
          </w:tcPr>
          <w:p w14:paraId="0713430D" w14:textId="77777777" w:rsidR="005117C2" w:rsidRPr="002935C2" w:rsidRDefault="005117C2" w:rsidP="00312E88">
            <w:pPr>
              <w:jc w:val="right"/>
              <w:rPr>
                <w:rFonts w:cs="Arial"/>
                <w:b/>
                <w:bCs/>
                <w:color w:val="FFFFFF"/>
                <w:sz w:val="16"/>
                <w:szCs w:val="16"/>
              </w:rPr>
            </w:pPr>
            <w:r w:rsidRPr="002935C2">
              <w:rPr>
                <w:rFonts w:cs="Arial"/>
                <w:b/>
                <w:bCs/>
                <w:color w:val="FFFFFF"/>
                <w:sz w:val="16"/>
                <w:szCs w:val="16"/>
              </w:rPr>
              <w:t>2022</w:t>
            </w:r>
          </w:p>
        </w:tc>
        <w:tc>
          <w:tcPr>
            <w:tcW w:w="0" w:type="auto"/>
            <w:tcBorders>
              <w:top w:val="nil"/>
              <w:left w:val="nil"/>
              <w:bottom w:val="single" w:sz="4" w:space="0" w:color="auto"/>
              <w:right w:val="single" w:sz="4" w:space="0" w:color="auto"/>
            </w:tcBorders>
            <w:shd w:val="clear" w:color="000000" w:fill="6B2976"/>
            <w:noWrap/>
            <w:hideMark/>
          </w:tcPr>
          <w:p w14:paraId="08FFFBA1" w14:textId="77777777" w:rsidR="005117C2" w:rsidRPr="002935C2" w:rsidRDefault="005117C2" w:rsidP="00312E88">
            <w:pPr>
              <w:jc w:val="right"/>
              <w:rPr>
                <w:rFonts w:cs="Arial"/>
                <w:b/>
                <w:bCs/>
                <w:color w:val="FFFFFF"/>
                <w:sz w:val="16"/>
                <w:szCs w:val="16"/>
              </w:rPr>
            </w:pPr>
            <w:r w:rsidRPr="002935C2">
              <w:rPr>
                <w:rFonts w:cs="Arial"/>
                <w:b/>
                <w:bCs/>
                <w:color w:val="FFFFFF"/>
                <w:sz w:val="16"/>
                <w:szCs w:val="16"/>
              </w:rPr>
              <w:t>2023</w:t>
            </w:r>
          </w:p>
        </w:tc>
        <w:tc>
          <w:tcPr>
            <w:tcW w:w="0" w:type="auto"/>
            <w:tcBorders>
              <w:top w:val="nil"/>
              <w:left w:val="nil"/>
              <w:bottom w:val="single" w:sz="4" w:space="0" w:color="auto"/>
              <w:right w:val="single" w:sz="4" w:space="0" w:color="auto"/>
            </w:tcBorders>
            <w:shd w:val="clear" w:color="000000" w:fill="6B2976"/>
            <w:noWrap/>
            <w:hideMark/>
          </w:tcPr>
          <w:p w14:paraId="5F6501EA" w14:textId="77777777" w:rsidR="005117C2" w:rsidRPr="002935C2" w:rsidRDefault="005117C2" w:rsidP="00312E88">
            <w:pPr>
              <w:jc w:val="right"/>
              <w:rPr>
                <w:rFonts w:cs="Arial"/>
                <w:b/>
                <w:bCs/>
                <w:color w:val="FFFFFF"/>
                <w:sz w:val="16"/>
                <w:szCs w:val="16"/>
              </w:rPr>
            </w:pPr>
            <w:r w:rsidRPr="002935C2">
              <w:rPr>
                <w:rFonts w:cs="Arial"/>
                <w:b/>
                <w:bCs/>
                <w:color w:val="FFFFFF"/>
                <w:sz w:val="16"/>
                <w:szCs w:val="16"/>
              </w:rPr>
              <w:t>2024</w:t>
            </w:r>
          </w:p>
        </w:tc>
        <w:tc>
          <w:tcPr>
            <w:tcW w:w="0" w:type="auto"/>
            <w:tcBorders>
              <w:top w:val="nil"/>
              <w:left w:val="nil"/>
              <w:bottom w:val="single" w:sz="4" w:space="0" w:color="auto"/>
              <w:right w:val="single" w:sz="4" w:space="0" w:color="auto"/>
            </w:tcBorders>
            <w:shd w:val="clear" w:color="000000" w:fill="6B2976"/>
            <w:noWrap/>
            <w:hideMark/>
          </w:tcPr>
          <w:p w14:paraId="41075137" w14:textId="77777777" w:rsidR="005117C2" w:rsidRPr="002935C2" w:rsidRDefault="005117C2" w:rsidP="00312E88">
            <w:pPr>
              <w:jc w:val="right"/>
              <w:rPr>
                <w:rFonts w:cs="Arial"/>
                <w:b/>
                <w:bCs/>
                <w:color w:val="FFFFFF"/>
                <w:sz w:val="16"/>
                <w:szCs w:val="16"/>
              </w:rPr>
            </w:pPr>
            <w:r w:rsidRPr="002935C2">
              <w:rPr>
                <w:rFonts w:cs="Arial"/>
                <w:b/>
                <w:bCs/>
                <w:color w:val="FFFFFF"/>
                <w:sz w:val="16"/>
                <w:szCs w:val="16"/>
              </w:rPr>
              <w:t>2025</w:t>
            </w:r>
          </w:p>
        </w:tc>
        <w:tc>
          <w:tcPr>
            <w:tcW w:w="0" w:type="auto"/>
            <w:tcBorders>
              <w:top w:val="nil"/>
              <w:left w:val="nil"/>
              <w:bottom w:val="single" w:sz="4" w:space="0" w:color="auto"/>
              <w:right w:val="single" w:sz="4" w:space="0" w:color="auto"/>
            </w:tcBorders>
            <w:shd w:val="clear" w:color="000000" w:fill="6B2976"/>
            <w:noWrap/>
            <w:hideMark/>
          </w:tcPr>
          <w:p w14:paraId="50C37156" w14:textId="77777777" w:rsidR="005117C2" w:rsidRPr="002935C2" w:rsidRDefault="005117C2" w:rsidP="00312E88">
            <w:pPr>
              <w:jc w:val="right"/>
              <w:rPr>
                <w:rFonts w:cs="Arial"/>
                <w:b/>
                <w:bCs/>
                <w:color w:val="FFFFFF"/>
                <w:sz w:val="16"/>
                <w:szCs w:val="16"/>
              </w:rPr>
            </w:pPr>
            <w:r w:rsidRPr="002935C2">
              <w:rPr>
                <w:rFonts w:cs="Arial"/>
                <w:b/>
                <w:bCs/>
                <w:color w:val="FFFFFF"/>
                <w:sz w:val="16"/>
                <w:szCs w:val="16"/>
              </w:rPr>
              <w:t>2030</w:t>
            </w:r>
          </w:p>
        </w:tc>
      </w:tr>
      <w:tr w:rsidR="005117C2" w:rsidRPr="002935C2" w14:paraId="56215BF7" w14:textId="77777777" w:rsidTr="00312E88">
        <w:trPr>
          <w:trHeight w:val="560"/>
        </w:trPr>
        <w:tc>
          <w:tcPr>
            <w:tcW w:w="0" w:type="auto"/>
            <w:tcBorders>
              <w:top w:val="nil"/>
              <w:left w:val="single" w:sz="4" w:space="0" w:color="auto"/>
              <w:bottom w:val="single" w:sz="4" w:space="0" w:color="auto"/>
              <w:right w:val="single" w:sz="4" w:space="0" w:color="auto"/>
            </w:tcBorders>
            <w:shd w:val="clear" w:color="auto" w:fill="auto"/>
            <w:hideMark/>
          </w:tcPr>
          <w:p w14:paraId="4B91542F" w14:textId="77777777" w:rsidR="005117C2" w:rsidRPr="002935C2" w:rsidRDefault="005117C2" w:rsidP="00312E88">
            <w:pPr>
              <w:rPr>
                <w:rFonts w:cs="Arial"/>
                <w:b/>
                <w:bCs/>
                <w:color w:val="000000"/>
                <w:sz w:val="16"/>
                <w:szCs w:val="16"/>
              </w:rPr>
            </w:pPr>
            <w:r w:rsidRPr="002935C2">
              <w:rPr>
                <w:rFonts w:cs="Arial"/>
                <w:b/>
                <w:bCs/>
                <w:color w:val="000000"/>
                <w:sz w:val="16"/>
                <w:szCs w:val="16"/>
              </w:rPr>
              <w:t>Dec20 FSR</w:t>
            </w:r>
            <w:r w:rsidRPr="002935C2">
              <w:rPr>
                <w:rFonts w:cs="Arial"/>
                <w:b/>
                <w:bCs/>
                <w:color w:val="000000"/>
                <w:sz w:val="16"/>
                <w:szCs w:val="16"/>
              </w:rPr>
              <w:br/>
            </w:r>
            <w:r w:rsidRPr="002935C2">
              <w:rPr>
                <w:rFonts w:cs="Arial"/>
                <w:i/>
                <w:iCs/>
                <w:color w:val="000000"/>
                <w:sz w:val="16"/>
                <w:szCs w:val="16"/>
              </w:rPr>
              <w:t>FSR model as at 31 December 2020</w:t>
            </w:r>
          </w:p>
        </w:tc>
        <w:tc>
          <w:tcPr>
            <w:tcW w:w="0" w:type="auto"/>
            <w:tcBorders>
              <w:top w:val="nil"/>
              <w:left w:val="nil"/>
              <w:bottom w:val="single" w:sz="4" w:space="0" w:color="auto"/>
              <w:right w:val="single" w:sz="4" w:space="0" w:color="auto"/>
            </w:tcBorders>
            <w:shd w:val="clear" w:color="auto" w:fill="auto"/>
            <w:noWrap/>
            <w:hideMark/>
          </w:tcPr>
          <w:p w14:paraId="21576F0F"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537,900</w:t>
            </w:r>
          </w:p>
        </w:tc>
        <w:tc>
          <w:tcPr>
            <w:tcW w:w="0" w:type="auto"/>
            <w:tcBorders>
              <w:top w:val="nil"/>
              <w:left w:val="nil"/>
              <w:bottom w:val="single" w:sz="4" w:space="0" w:color="auto"/>
              <w:right w:val="single" w:sz="4" w:space="0" w:color="auto"/>
            </w:tcBorders>
            <w:shd w:val="clear" w:color="auto" w:fill="auto"/>
            <w:noWrap/>
            <w:hideMark/>
          </w:tcPr>
          <w:p w14:paraId="324C6013"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596,647</w:t>
            </w:r>
          </w:p>
        </w:tc>
        <w:tc>
          <w:tcPr>
            <w:tcW w:w="0" w:type="auto"/>
            <w:tcBorders>
              <w:top w:val="nil"/>
              <w:left w:val="nil"/>
              <w:bottom w:val="single" w:sz="4" w:space="0" w:color="auto"/>
              <w:right w:val="single" w:sz="4" w:space="0" w:color="auto"/>
            </w:tcBorders>
            <w:shd w:val="clear" w:color="auto" w:fill="auto"/>
            <w:noWrap/>
            <w:hideMark/>
          </w:tcPr>
          <w:p w14:paraId="370E99A3"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643,229</w:t>
            </w:r>
          </w:p>
        </w:tc>
        <w:tc>
          <w:tcPr>
            <w:tcW w:w="0" w:type="auto"/>
            <w:tcBorders>
              <w:top w:val="nil"/>
              <w:left w:val="nil"/>
              <w:bottom w:val="single" w:sz="4" w:space="0" w:color="auto"/>
              <w:right w:val="single" w:sz="4" w:space="0" w:color="auto"/>
            </w:tcBorders>
            <w:shd w:val="clear" w:color="auto" w:fill="auto"/>
            <w:noWrap/>
            <w:hideMark/>
          </w:tcPr>
          <w:p w14:paraId="4628C8CC"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682,760</w:t>
            </w:r>
          </w:p>
        </w:tc>
        <w:tc>
          <w:tcPr>
            <w:tcW w:w="0" w:type="auto"/>
            <w:tcBorders>
              <w:top w:val="nil"/>
              <w:left w:val="nil"/>
              <w:bottom w:val="single" w:sz="4" w:space="0" w:color="auto"/>
              <w:right w:val="single" w:sz="4" w:space="0" w:color="auto"/>
            </w:tcBorders>
            <w:shd w:val="clear" w:color="auto" w:fill="auto"/>
            <w:noWrap/>
            <w:hideMark/>
          </w:tcPr>
          <w:p w14:paraId="25AC17FF"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870,761</w:t>
            </w:r>
          </w:p>
        </w:tc>
      </w:tr>
      <w:tr w:rsidR="005117C2" w:rsidRPr="002935C2" w14:paraId="502BD155" w14:textId="77777777" w:rsidTr="00312E88">
        <w:trPr>
          <w:trHeight w:val="539"/>
        </w:trPr>
        <w:tc>
          <w:tcPr>
            <w:tcW w:w="0" w:type="auto"/>
            <w:tcBorders>
              <w:top w:val="nil"/>
              <w:left w:val="single" w:sz="4" w:space="0" w:color="auto"/>
              <w:bottom w:val="single" w:sz="4" w:space="0" w:color="auto"/>
              <w:right w:val="single" w:sz="4" w:space="0" w:color="auto"/>
            </w:tcBorders>
            <w:shd w:val="clear" w:color="auto" w:fill="auto"/>
            <w:hideMark/>
          </w:tcPr>
          <w:p w14:paraId="58D1F3C3" w14:textId="77777777" w:rsidR="005117C2" w:rsidRPr="002935C2" w:rsidRDefault="005117C2" w:rsidP="00312E88">
            <w:pPr>
              <w:rPr>
                <w:rFonts w:cs="Arial"/>
                <w:b/>
                <w:bCs/>
                <w:color w:val="000000"/>
                <w:sz w:val="16"/>
                <w:szCs w:val="16"/>
              </w:rPr>
            </w:pPr>
            <w:r w:rsidRPr="002935C2">
              <w:rPr>
                <w:rFonts w:cs="Arial"/>
                <w:b/>
                <w:bCs/>
                <w:color w:val="000000"/>
                <w:sz w:val="16"/>
                <w:szCs w:val="16"/>
              </w:rPr>
              <w:t>a) Dec20 FSR, with 6 months of experience</w:t>
            </w:r>
            <w:r w:rsidRPr="002935C2">
              <w:rPr>
                <w:rFonts w:cs="Arial"/>
                <w:b/>
                <w:bCs/>
                <w:color w:val="000000"/>
                <w:sz w:val="16"/>
                <w:szCs w:val="16"/>
              </w:rPr>
              <w:br/>
            </w:r>
            <w:r w:rsidRPr="002935C2">
              <w:rPr>
                <w:rFonts w:cs="Arial"/>
                <w:i/>
                <w:iCs/>
                <w:color w:val="000000"/>
                <w:sz w:val="16"/>
                <w:szCs w:val="16"/>
              </w:rPr>
              <w:t>Dec20 FSR model with 1 Jan 2021 to 30 June 2021 experience</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981624D" w14:textId="77777777" w:rsidR="005117C2" w:rsidRPr="002935C2" w:rsidRDefault="005117C2" w:rsidP="00312E88">
            <w:pPr>
              <w:jc w:val="right"/>
              <w:rPr>
                <w:rFonts w:cs="Arial"/>
                <w:color w:val="6B2976"/>
                <w:sz w:val="16"/>
                <w:szCs w:val="16"/>
              </w:rPr>
            </w:pPr>
            <w:r w:rsidRPr="002935C2">
              <w:rPr>
                <w:rFonts w:cs="Arial"/>
                <w:color w:val="6B2976"/>
                <w:sz w:val="16"/>
                <w:szCs w:val="16"/>
              </w:rPr>
              <w:t>-1,402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3A4CB03" w14:textId="77777777" w:rsidR="005117C2" w:rsidRPr="002935C2" w:rsidRDefault="005117C2" w:rsidP="00312E88">
            <w:pPr>
              <w:jc w:val="right"/>
              <w:rPr>
                <w:rFonts w:cs="Arial"/>
                <w:color w:val="6B2976"/>
                <w:sz w:val="16"/>
                <w:szCs w:val="16"/>
              </w:rPr>
            </w:pPr>
            <w:r w:rsidRPr="002935C2">
              <w:rPr>
                <w:rFonts w:cs="Arial"/>
                <w:color w:val="6B2976"/>
                <w:sz w:val="16"/>
                <w:szCs w:val="16"/>
              </w:rPr>
              <w:t>-687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40CFDEB" w14:textId="77777777" w:rsidR="005117C2" w:rsidRPr="002935C2" w:rsidRDefault="005117C2" w:rsidP="00312E88">
            <w:pPr>
              <w:jc w:val="right"/>
              <w:rPr>
                <w:rFonts w:cs="Arial"/>
                <w:color w:val="6B2976"/>
                <w:sz w:val="16"/>
                <w:szCs w:val="16"/>
              </w:rPr>
            </w:pPr>
            <w:r w:rsidRPr="002935C2">
              <w:rPr>
                <w:rFonts w:cs="Arial"/>
                <w:color w:val="6B2976"/>
                <w:sz w:val="16"/>
                <w:szCs w:val="16"/>
              </w:rPr>
              <w:t>-3</w:t>
            </w:r>
          </w:p>
        </w:tc>
        <w:tc>
          <w:tcPr>
            <w:tcW w:w="0" w:type="auto"/>
            <w:tcBorders>
              <w:top w:val="nil"/>
              <w:left w:val="nil"/>
              <w:bottom w:val="single" w:sz="4" w:space="0" w:color="auto"/>
              <w:right w:val="single" w:sz="4" w:space="0" w:color="auto"/>
            </w:tcBorders>
            <w:shd w:val="clear" w:color="auto" w:fill="auto"/>
            <w:noWrap/>
            <w:hideMark/>
          </w:tcPr>
          <w:p w14:paraId="2175F352" w14:textId="77777777" w:rsidR="005117C2" w:rsidRPr="002935C2" w:rsidRDefault="005117C2" w:rsidP="00312E88">
            <w:pPr>
              <w:jc w:val="right"/>
              <w:rPr>
                <w:rFonts w:cs="Arial"/>
                <w:color w:val="000000"/>
                <w:sz w:val="16"/>
                <w:szCs w:val="16"/>
              </w:rPr>
            </w:pPr>
            <w:r w:rsidRPr="002935C2">
              <w:rPr>
                <w:rFonts w:cs="Arial"/>
                <w:color w:val="000000"/>
                <w:sz w:val="16"/>
                <w:szCs w:val="16"/>
              </w:rPr>
              <w:t>+555</w:t>
            </w:r>
          </w:p>
        </w:tc>
        <w:tc>
          <w:tcPr>
            <w:tcW w:w="0" w:type="auto"/>
            <w:tcBorders>
              <w:top w:val="nil"/>
              <w:left w:val="nil"/>
              <w:bottom w:val="single" w:sz="4" w:space="0" w:color="auto"/>
              <w:right w:val="single" w:sz="4" w:space="0" w:color="auto"/>
            </w:tcBorders>
            <w:shd w:val="clear" w:color="auto" w:fill="auto"/>
            <w:noWrap/>
            <w:hideMark/>
          </w:tcPr>
          <w:p w14:paraId="45044730" w14:textId="77777777" w:rsidR="005117C2" w:rsidRPr="002935C2" w:rsidRDefault="005117C2" w:rsidP="00312E88">
            <w:pPr>
              <w:jc w:val="right"/>
              <w:rPr>
                <w:rFonts w:cs="Arial"/>
                <w:color w:val="000000"/>
                <w:sz w:val="16"/>
                <w:szCs w:val="16"/>
              </w:rPr>
            </w:pPr>
            <w:r w:rsidRPr="002935C2">
              <w:rPr>
                <w:rFonts w:cs="Arial"/>
                <w:color w:val="000000"/>
                <w:sz w:val="16"/>
                <w:szCs w:val="16"/>
              </w:rPr>
              <w:t>+1,484</w:t>
            </w:r>
          </w:p>
        </w:tc>
      </w:tr>
      <w:tr w:rsidR="005117C2" w:rsidRPr="002935C2" w14:paraId="23B6B5B6" w14:textId="77777777" w:rsidTr="00312E88">
        <w:trPr>
          <w:trHeight w:val="533"/>
        </w:trPr>
        <w:tc>
          <w:tcPr>
            <w:tcW w:w="0" w:type="auto"/>
            <w:tcBorders>
              <w:top w:val="nil"/>
              <w:left w:val="single" w:sz="4" w:space="0" w:color="auto"/>
              <w:bottom w:val="single" w:sz="4" w:space="0" w:color="auto"/>
              <w:right w:val="single" w:sz="4" w:space="0" w:color="auto"/>
            </w:tcBorders>
            <w:shd w:val="clear" w:color="auto" w:fill="auto"/>
            <w:hideMark/>
          </w:tcPr>
          <w:p w14:paraId="3C0A7C00" w14:textId="77777777" w:rsidR="005117C2" w:rsidRPr="002935C2" w:rsidRDefault="005117C2" w:rsidP="00312E88">
            <w:pPr>
              <w:rPr>
                <w:rFonts w:cs="Arial"/>
                <w:b/>
                <w:bCs/>
                <w:color w:val="000000"/>
                <w:sz w:val="16"/>
                <w:szCs w:val="16"/>
              </w:rPr>
            </w:pPr>
            <w:r w:rsidRPr="002935C2">
              <w:rPr>
                <w:rFonts w:cs="Arial"/>
                <w:b/>
                <w:bCs/>
                <w:color w:val="000000"/>
                <w:sz w:val="16"/>
                <w:szCs w:val="16"/>
              </w:rPr>
              <w:t>b) Population growth and life table</w:t>
            </w:r>
            <w:r w:rsidRPr="002935C2">
              <w:rPr>
                <w:rFonts w:cs="Arial"/>
                <w:b/>
                <w:bCs/>
                <w:color w:val="000000"/>
                <w:sz w:val="16"/>
                <w:szCs w:val="16"/>
              </w:rPr>
              <w:br/>
            </w:r>
            <w:r w:rsidRPr="002935C2">
              <w:rPr>
                <w:rFonts w:cs="Arial"/>
                <w:i/>
                <w:iCs/>
                <w:color w:val="000000"/>
                <w:sz w:val="16"/>
                <w:szCs w:val="16"/>
              </w:rPr>
              <w:t>Impact of updated population growth assumptions and life table assumptions</w:t>
            </w:r>
          </w:p>
        </w:tc>
        <w:tc>
          <w:tcPr>
            <w:tcW w:w="0" w:type="auto"/>
            <w:tcBorders>
              <w:top w:val="nil"/>
              <w:left w:val="nil"/>
              <w:bottom w:val="single" w:sz="4" w:space="0" w:color="auto"/>
              <w:right w:val="single" w:sz="4" w:space="0" w:color="auto"/>
            </w:tcBorders>
            <w:shd w:val="clear" w:color="auto" w:fill="auto"/>
            <w:noWrap/>
            <w:hideMark/>
          </w:tcPr>
          <w:p w14:paraId="7943E8D5" w14:textId="77777777" w:rsidR="005117C2" w:rsidRPr="002935C2" w:rsidRDefault="005117C2" w:rsidP="00312E88">
            <w:pPr>
              <w:jc w:val="right"/>
              <w:rPr>
                <w:rFonts w:cs="Arial"/>
                <w:sz w:val="16"/>
                <w:szCs w:val="16"/>
              </w:rPr>
            </w:pPr>
            <w:r w:rsidRPr="002935C2">
              <w:rPr>
                <w:rFonts w:cs="Arial"/>
                <w:sz w:val="16"/>
                <w:szCs w:val="16"/>
              </w:rPr>
              <w:t>+73</w:t>
            </w:r>
          </w:p>
        </w:tc>
        <w:tc>
          <w:tcPr>
            <w:tcW w:w="0" w:type="auto"/>
            <w:tcBorders>
              <w:top w:val="nil"/>
              <w:left w:val="nil"/>
              <w:bottom w:val="single" w:sz="4" w:space="0" w:color="auto"/>
              <w:right w:val="single" w:sz="4" w:space="0" w:color="auto"/>
            </w:tcBorders>
            <w:shd w:val="clear" w:color="auto" w:fill="auto"/>
            <w:noWrap/>
            <w:hideMark/>
          </w:tcPr>
          <w:p w14:paraId="3D48359B" w14:textId="77777777" w:rsidR="005117C2" w:rsidRPr="002935C2" w:rsidRDefault="005117C2" w:rsidP="00312E88">
            <w:pPr>
              <w:jc w:val="right"/>
              <w:rPr>
                <w:rFonts w:cs="Arial"/>
                <w:sz w:val="16"/>
                <w:szCs w:val="16"/>
              </w:rPr>
            </w:pPr>
            <w:r w:rsidRPr="002935C2">
              <w:rPr>
                <w:rFonts w:cs="Arial"/>
                <w:sz w:val="16"/>
                <w:szCs w:val="16"/>
              </w:rPr>
              <w:t>+127</w:t>
            </w:r>
          </w:p>
        </w:tc>
        <w:tc>
          <w:tcPr>
            <w:tcW w:w="0" w:type="auto"/>
            <w:tcBorders>
              <w:top w:val="nil"/>
              <w:left w:val="nil"/>
              <w:bottom w:val="single" w:sz="4" w:space="0" w:color="auto"/>
              <w:right w:val="single" w:sz="4" w:space="0" w:color="auto"/>
            </w:tcBorders>
            <w:shd w:val="clear" w:color="auto" w:fill="auto"/>
            <w:noWrap/>
            <w:hideMark/>
          </w:tcPr>
          <w:p w14:paraId="163D4976" w14:textId="77777777" w:rsidR="005117C2" w:rsidRPr="002935C2" w:rsidRDefault="005117C2" w:rsidP="00312E88">
            <w:pPr>
              <w:jc w:val="right"/>
              <w:rPr>
                <w:rFonts w:cs="Arial"/>
                <w:sz w:val="16"/>
                <w:szCs w:val="16"/>
              </w:rPr>
            </w:pPr>
            <w:r w:rsidRPr="002935C2">
              <w:rPr>
                <w:rFonts w:cs="Arial"/>
                <w:sz w:val="16"/>
                <w:szCs w:val="16"/>
              </w:rPr>
              <w:t>+155</w:t>
            </w:r>
          </w:p>
        </w:tc>
        <w:tc>
          <w:tcPr>
            <w:tcW w:w="0" w:type="auto"/>
            <w:tcBorders>
              <w:top w:val="nil"/>
              <w:left w:val="nil"/>
              <w:bottom w:val="single" w:sz="4" w:space="0" w:color="auto"/>
              <w:right w:val="single" w:sz="4" w:space="0" w:color="auto"/>
            </w:tcBorders>
            <w:shd w:val="clear" w:color="auto" w:fill="auto"/>
            <w:noWrap/>
            <w:hideMark/>
          </w:tcPr>
          <w:p w14:paraId="4837F8A7" w14:textId="77777777" w:rsidR="005117C2" w:rsidRPr="002935C2" w:rsidRDefault="005117C2" w:rsidP="00312E88">
            <w:pPr>
              <w:jc w:val="right"/>
              <w:rPr>
                <w:rFonts w:cs="Arial"/>
                <w:color w:val="000000"/>
                <w:sz w:val="16"/>
                <w:szCs w:val="16"/>
              </w:rPr>
            </w:pPr>
            <w:r w:rsidRPr="002935C2">
              <w:rPr>
                <w:rFonts w:cs="Arial"/>
                <w:color w:val="000000"/>
                <w:sz w:val="16"/>
                <w:szCs w:val="16"/>
              </w:rPr>
              <w:t>+226</w:t>
            </w:r>
          </w:p>
        </w:tc>
        <w:tc>
          <w:tcPr>
            <w:tcW w:w="0" w:type="auto"/>
            <w:tcBorders>
              <w:top w:val="nil"/>
              <w:left w:val="nil"/>
              <w:bottom w:val="single" w:sz="4" w:space="0" w:color="auto"/>
              <w:right w:val="single" w:sz="4" w:space="0" w:color="auto"/>
            </w:tcBorders>
            <w:shd w:val="clear" w:color="auto" w:fill="auto"/>
            <w:noWrap/>
            <w:hideMark/>
          </w:tcPr>
          <w:p w14:paraId="264AEEC5" w14:textId="77777777" w:rsidR="005117C2" w:rsidRPr="002935C2" w:rsidRDefault="005117C2" w:rsidP="00312E88">
            <w:pPr>
              <w:jc w:val="right"/>
              <w:rPr>
                <w:rFonts w:cs="Arial"/>
                <w:color w:val="000000"/>
                <w:sz w:val="16"/>
                <w:szCs w:val="16"/>
              </w:rPr>
            </w:pPr>
            <w:r w:rsidRPr="002935C2">
              <w:rPr>
                <w:rFonts w:cs="Arial"/>
                <w:color w:val="000000"/>
                <w:sz w:val="16"/>
                <w:szCs w:val="16"/>
              </w:rPr>
              <w:t>+366</w:t>
            </w:r>
          </w:p>
        </w:tc>
      </w:tr>
      <w:tr w:rsidR="005117C2" w:rsidRPr="002935C2" w14:paraId="08E40C78" w14:textId="77777777" w:rsidTr="00312E88">
        <w:trPr>
          <w:trHeight w:val="474"/>
        </w:trPr>
        <w:tc>
          <w:tcPr>
            <w:tcW w:w="0" w:type="auto"/>
            <w:tcBorders>
              <w:top w:val="nil"/>
              <w:left w:val="single" w:sz="4" w:space="0" w:color="auto"/>
              <w:bottom w:val="single" w:sz="4" w:space="0" w:color="auto"/>
              <w:right w:val="single" w:sz="4" w:space="0" w:color="auto"/>
            </w:tcBorders>
            <w:shd w:val="clear" w:color="auto" w:fill="auto"/>
            <w:hideMark/>
          </w:tcPr>
          <w:p w14:paraId="3365DF29" w14:textId="77777777" w:rsidR="005117C2" w:rsidRPr="002935C2" w:rsidRDefault="005117C2" w:rsidP="00312E88">
            <w:pPr>
              <w:rPr>
                <w:rFonts w:cs="Arial"/>
                <w:b/>
                <w:bCs/>
                <w:color w:val="000000"/>
                <w:sz w:val="16"/>
                <w:szCs w:val="16"/>
              </w:rPr>
            </w:pPr>
            <w:r w:rsidRPr="002935C2">
              <w:rPr>
                <w:rFonts w:cs="Arial"/>
                <w:b/>
                <w:bCs/>
                <w:color w:val="000000"/>
                <w:sz w:val="16"/>
                <w:szCs w:val="16"/>
              </w:rPr>
              <w:t>c) Participant projection</w:t>
            </w:r>
            <w:r w:rsidRPr="002935C2">
              <w:rPr>
                <w:rFonts w:cs="Arial"/>
                <w:b/>
                <w:bCs/>
                <w:color w:val="000000"/>
                <w:sz w:val="16"/>
                <w:szCs w:val="16"/>
              </w:rPr>
              <w:br/>
            </w:r>
            <w:r w:rsidRPr="002935C2">
              <w:rPr>
                <w:rFonts w:cs="Arial"/>
                <w:i/>
                <w:iCs/>
                <w:color w:val="000000"/>
                <w:sz w:val="16"/>
                <w:szCs w:val="16"/>
              </w:rPr>
              <w:t>Impact of new population assumptions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62EEBC7" w14:textId="77777777" w:rsidR="005117C2" w:rsidRPr="002935C2" w:rsidRDefault="005117C2" w:rsidP="00312E88">
            <w:pPr>
              <w:jc w:val="right"/>
              <w:rPr>
                <w:rFonts w:cs="Arial"/>
                <w:color w:val="6B2976"/>
                <w:sz w:val="16"/>
                <w:szCs w:val="16"/>
              </w:rPr>
            </w:pPr>
            <w:r w:rsidRPr="002935C2">
              <w:rPr>
                <w:rFonts w:cs="Arial"/>
                <w:color w:val="6B2976"/>
                <w:sz w:val="16"/>
                <w:szCs w:val="16"/>
              </w:rPr>
              <w:t>-6,182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11820DD" w14:textId="77777777" w:rsidR="005117C2" w:rsidRPr="002935C2" w:rsidRDefault="005117C2" w:rsidP="00312E88">
            <w:pPr>
              <w:jc w:val="right"/>
              <w:rPr>
                <w:rFonts w:cs="Arial"/>
                <w:color w:val="6B2976"/>
                <w:sz w:val="16"/>
                <w:szCs w:val="16"/>
              </w:rPr>
            </w:pPr>
            <w:r w:rsidRPr="002935C2">
              <w:rPr>
                <w:rFonts w:cs="Arial"/>
                <w:color w:val="6B2976"/>
                <w:sz w:val="16"/>
                <w:szCs w:val="16"/>
              </w:rPr>
              <w:t>-9,694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5B18386" w14:textId="77777777" w:rsidR="005117C2" w:rsidRPr="002935C2" w:rsidRDefault="005117C2" w:rsidP="00312E88">
            <w:pPr>
              <w:jc w:val="right"/>
              <w:rPr>
                <w:rFonts w:cs="Arial"/>
                <w:color w:val="6B2976"/>
                <w:sz w:val="16"/>
                <w:szCs w:val="16"/>
              </w:rPr>
            </w:pPr>
            <w:r w:rsidRPr="002935C2">
              <w:rPr>
                <w:rFonts w:cs="Arial"/>
                <w:color w:val="6B2976"/>
                <w:sz w:val="16"/>
                <w:szCs w:val="16"/>
              </w:rPr>
              <w:t>-12,921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60F58DE" w14:textId="77777777" w:rsidR="005117C2" w:rsidRPr="002935C2" w:rsidRDefault="005117C2" w:rsidP="00312E88">
            <w:pPr>
              <w:jc w:val="right"/>
              <w:rPr>
                <w:rFonts w:cs="Arial"/>
                <w:color w:val="6B2976"/>
                <w:sz w:val="16"/>
                <w:szCs w:val="16"/>
              </w:rPr>
            </w:pPr>
            <w:r w:rsidRPr="002935C2">
              <w:rPr>
                <w:rFonts w:cs="Arial"/>
                <w:color w:val="6B2976"/>
                <w:sz w:val="16"/>
                <w:szCs w:val="16"/>
              </w:rPr>
              <w:t>-12,691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5D0DE12" w14:textId="77777777" w:rsidR="005117C2" w:rsidRPr="002935C2" w:rsidRDefault="005117C2" w:rsidP="00312E88">
            <w:pPr>
              <w:jc w:val="right"/>
              <w:rPr>
                <w:rFonts w:cs="Arial"/>
                <w:color w:val="6B2976"/>
                <w:sz w:val="16"/>
                <w:szCs w:val="16"/>
              </w:rPr>
            </w:pPr>
            <w:r w:rsidRPr="002935C2">
              <w:rPr>
                <w:rFonts w:cs="Arial"/>
                <w:color w:val="6B2976"/>
                <w:sz w:val="16"/>
                <w:szCs w:val="16"/>
              </w:rPr>
              <w:t>-11,407</w:t>
            </w:r>
          </w:p>
        </w:tc>
      </w:tr>
      <w:tr w:rsidR="005117C2" w:rsidRPr="002935C2" w14:paraId="5CB87359" w14:textId="77777777" w:rsidTr="00312E88">
        <w:trPr>
          <w:trHeight w:val="443"/>
        </w:trPr>
        <w:tc>
          <w:tcPr>
            <w:tcW w:w="0" w:type="auto"/>
            <w:tcBorders>
              <w:top w:val="nil"/>
              <w:left w:val="single" w:sz="4" w:space="0" w:color="auto"/>
              <w:bottom w:val="single" w:sz="4" w:space="0" w:color="auto"/>
              <w:right w:val="single" w:sz="4" w:space="0" w:color="auto"/>
            </w:tcBorders>
            <w:shd w:val="clear" w:color="auto" w:fill="auto"/>
            <w:hideMark/>
          </w:tcPr>
          <w:p w14:paraId="2FBF065A" w14:textId="77777777" w:rsidR="005117C2" w:rsidRPr="002935C2" w:rsidRDefault="005117C2" w:rsidP="00312E88">
            <w:pPr>
              <w:rPr>
                <w:rFonts w:cs="Arial"/>
                <w:b/>
                <w:bCs/>
                <w:color w:val="000000"/>
                <w:sz w:val="16"/>
                <w:szCs w:val="16"/>
              </w:rPr>
            </w:pPr>
            <w:r w:rsidRPr="002935C2">
              <w:rPr>
                <w:rFonts w:cs="Arial"/>
                <w:b/>
                <w:bCs/>
                <w:color w:val="000000"/>
                <w:sz w:val="16"/>
                <w:szCs w:val="16"/>
              </w:rPr>
              <w:t>d) Lower New Incidence assumptions</w:t>
            </w:r>
            <w:r w:rsidRPr="002935C2">
              <w:rPr>
                <w:rFonts w:cs="Arial"/>
                <w:b/>
                <w:bCs/>
                <w:color w:val="000000"/>
                <w:sz w:val="16"/>
                <w:szCs w:val="16"/>
              </w:rPr>
              <w:br/>
            </w:r>
            <w:r w:rsidRPr="002935C2">
              <w:rPr>
                <w:rFonts w:cs="Arial"/>
                <w:i/>
                <w:iCs/>
                <w:color w:val="000000"/>
                <w:sz w:val="16"/>
                <w:szCs w:val="16"/>
              </w:rPr>
              <w:t>Impact of updated new incidence assumptions for over 65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E636B5C" w14:textId="77777777" w:rsidR="005117C2" w:rsidRPr="002935C2" w:rsidRDefault="005117C2" w:rsidP="00312E88">
            <w:pPr>
              <w:jc w:val="right"/>
              <w:rPr>
                <w:rFonts w:cs="Arial"/>
                <w:color w:val="6B2976"/>
                <w:sz w:val="16"/>
                <w:szCs w:val="16"/>
              </w:rPr>
            </w:pPr>
            <w:r w:rsidRPr="002935C2">
              <w:rPr>
                <w:rFonts w:cs="Arial"/>
                <w:color w:val="6B2976"/>
                <w:sz w:val="16"/>
                <w:szCs w:val="16"/>
              </w:rPr>
              <w:t>-51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71A78E5" w14:textId="77777777" w:rsidR="005117C2" w:rsidRPr="002935C2" w:rsidRDefault="005117C2" w:rsidP="00312E88">
            <w:pPr>
              <w:jc w:val="right"/>
              <w:rPr>
                <w:rFonts w:cs="Arial"/>
                <w:color w:val="6B2976"/>
                <w:sz w:val="16"/>
                <w:szCs w:val="16"/>
              </w:rPr>
            </w:pPr>
            <w:r w:rsidRPr="002935C2">
              <w:rPr>
                <w:rFonts w:cs="Arial"/>
                <w:color w:val="6B2976"/>
                <w:sz w:val="16"/>
                <w:szCs w:val="16"/>
              </w:rPr>
              <w:t>-101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D9CC62E" w14:textId="77777777" w:rsidR="005117C2" w:rsidRPr="002935C2" w:rsidRDefault="005117C2" w:rsidP="00312E88">
            <w:pPr>
              <w:jc w:val="right"/>
              <w:rPr>
                <w:rFonts w:cs="Arial"/>
                <w:color w:val="6B2976"/>
                <w:sz w:val="16"/>
                <w:szCs w:val="16"/>
              </w:rPr>
            </w:pPr>
            <w:r w:rsidRPr="002935C2">
              <w:rPr>
                <w:rFonts w:cs="Arial"/>
                <w:color w:val="6B2976"/>
                <w:sz w:val="16"/>
                <w:szCs w:val="16"/>
              </w:rPr>
              <w:t>-147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26B9625" w14:textId="77777777" w:rsidR="005117C2" w:rsidRPr="002935C2" w:rsidRDefault="005117C2" w:rsidP="00312E88">
            <w:pPr>
              <w:jc w:val="right"/>
              <w:rPr>
                <w:rFonts w:cs="Arial"/>
                <w:color w:val="6B2976"/>
                <w:sz w:val="16"/>
                <w:szCs w:val="16"/>
              </w:rPr>
            </w:pPr>
            <w:r w:rsidRPr="002935C2">
              <w:rPr>
                <w:rFonts w:cs="Arial"/>
                <w:color w:val="6B2976"/>
                <w:sz w:val="16"/>
                <w:szCs w:val="16"/>
              </w:rPr>
              <w:t>-191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46BF591" w14:textId="77777777" w:rsidR="005117C2" w:rsidRPr="002935C2" w:rsidRDefault="005117C2" w:rsidP="00312E88">
            <w:pPr>
              <w:jc w:val="right"/>
              <w:rPr>
                <w:rFonts w:cs="Arial"/>
                <w:color w:val="6B2976"/>
                <w:sz w:val="16"/>
                <w:szCs w:val="16"/>
              </w:rPr>
            </w:pPr>
            <w:r w:rsidRPr="002935C2">
              <w:rPr>
                <w:rFonts w:cs="Arial"/>
                <w:color w:val="6B2976"/>
                <w:sz w:val="16"/>
                <w:szCs w:val="16"/>
              </w:rPr>
              <w:t>-375</w:t>
            </w:r>
          </w:p>
        </w:tc>
      </w:tr>
      <w:tr w:rsidR="005117C2" w:rsidRPr="002935C2" w14:paraId="1D4C2860" w14:textId="77777777" w:rsidTr="00312E88">
        <w:trPr>
          <w:trHeight w:val="539"/>
        </w:trPr>
        <w:tc>
          <w:tcPr>
            <w:tcW w:w="0" w:type="auto"/>
            <w:tcBorders>
              <w:top w:val="nil"/>
              <w:left w:val="single" w:sz="4" w:space="0" w:color="auto"/>
              <w:bottom w:val="single" w:sz="4" w:space="0" w:color="auto"/>
              <w:right w:val="single" w:sz="4" w:space="0" w:color="auto"/>
            </w:tcBorders>
            <w:shd w:val="clear" w:color="auto" w:fill="auto"/>
            <w:hideMark/>
          </w:tcPr>
          <w:p w14:paraId="2B2DF599" w14:textId="77777777" w:rsidR="005117C2" w:rsidRPr="002935C2" w:rsidRDefault="005117C2" w:rsidP="00312E88">
            <w:pPr>
              <w:rPr>
                <w:rFonts w:cs="Arial"/>
                <w:b/>
                <w:bCs/>
                <w:color w:val="000000"/>
                <w:sz w:val="16"/>
                <w:szCs w:val="16"/>
              </w:rPr>
            </w:pPr>
            <w:r w:rsidRPr="002935C2">
              <w:rPr>
                <w:rFonts w:cs="Arial"/>
                <w:b/>
                <w:bCs/>
                <w:color w:val="000000"/>
                <w:sz w:val="16"/>
                <w:szCs w:val="16"/>
              </w:rPr>
              <w:t>e) Change in exits assumptions</w:t>
            </w:r>
            <w:r w:rsidRPr="002935C2">
              <w:rPr>
                <w:rFonts w:cs="Arial"/>
                <w:b/>
                <w:bCs/>
                <w:color w:val="000000"/>
                <w:sz w:val="16"/>
                <w:szCs w:val="16"/>
              </w:rPr>
              <w:br/>
            </w:r>
            <w:r w:rsidRPr="002935C2">
              <w:rPr>
                <w:rFonts w:cs="Arial"/>
                <w:i/>
                <w:iCs/>
                <w:color w:val="000000"/>
                <w:sz w:val="16"/>
                <w:szCs w:val="16"/>
              </w:rPr>
              <w:t>Impact of lower non-mortality experience and higher mortality assumptions</w:t>
            </w:r>
          </w:p>
        </w:tc>
        <w:tc>
          <w:tcPr>
            <w:tcW w:w="0" w:type="auto"/>
            <w:tcBorders>
              <w:top w:val="nil"/>
              <w:left w:val="nil"/>
              <w:bottom w:val="single" w:sz="4" w:space="0" w:color="auto"/>
              <w:right w:val="single" w:sz="4" w:space="0" w:color="auto"/>
            </w:tcBorders>
            <w:shd w:val="clear" w:color="auto" w:fill="auto"/>
            <w:noWrap/>
            <w:hideMark/>
          </w:tcPr>
          <w:p w14:paraId="1D33C760" w14:textId="77777777" w:rsidR="005117C2" w:rsidRPr="002935C2" w:rsidRDefault="005117C2" w:rsidP="00312E88">
            <w:pPr>
              <w:jc w:val="right"/>
              <w:rPr>
                <w:rFonts w:cs="Arial"/>
                <w:color w:val="000000"/>
                <w:sz w:val="16"/>
                <w:szCs w:val="16"/>
              </w:rPr>
            </w:pPr>
            <w:r w:rsidRPr="002935C2">
              <w:rPr>
                <w:rFonts w:cs="Arial"/>
                <w:color w:val="000000"/>
                <w:sz w:val="16"/>
                <w:szCs w:val="16"/>
              </w:rPr>
              <w:t>+120</w:t>
            </w:r>
          </w:p>
        </w:tc>
        <w:tc>
          <w:tcPr>
            <w:tcW w:w="0" w:type="auto"/>
            <w:tcBorders>
              <w:top w:val="nil"/>
              <w:left w:val="nil"/>
              <w:bottom w:val="single" w:sz="4" w:space="0" w:color="auto"/>
              <w:right w:val="single" w:sz="4" w:space="0" w:color="auto"/>
            </w:tcBorders>
            <w:shd w:val="clear" w:color="auto" w:fill="auto"/>
            <w:noWrap/>
            <w:hideMark/>
          </w:tcPr>
          <w:p w14:paraId="66746AB7" w14:textId="77777777" w:rsidR="005117C2" w:rsidRPr="002935C2" w:rsidRDefault="005117C2" w:rsidP="00312E88">
            <w:pPr>
              <w:jc w:val="right"/>
              <w:rPr>
                <w:rFonts w:cs="Arial"/>
                <w:color w:val="000000"/>
                <w:sz w:val="16"/>
                <w:szCs w:val="16"/>
              </w:rPr>
            </w:pPr>
            <w:r w:rsidRPr="002935C2">
              <w:rPr>
                <w:rFonts w:cs="Arial"/>
                <w:color w:val="000000"/>
                <w:sz w:val="16"/>
                <w:szCs w:val="16"/>
              </w:rPr>
              <w:t>+141</w:t>
            </w:r>
          </w:p>
        </w:tc>
        <w:tc>
          <w:tcPr>
            <w:tcW w:w="0" w:type="auto"/>
            <w:tcBorders>
              <w:top w:val="nil"/>
              <w:left w:val="nil"/>
              <w:bottom w:val="single" w:sz="4" w:space="0" w:color="auto"/>
              <w:right w:val="single" w:sz="4" w:space="0" w:color="auto"/>
            </w:tcBorders>
            <w:shd w:val="clear" w:color="auto" w:fill="auto"/>
            <w:noWrap/>
            <w:hideMark/>
          </w:tcPr>
          <w:p w14:paraId="1B2EDB34" w14:textId="77777777" w:rsidR="005117C2" w:rsidRPr="002935C2" w:rsidRDefault="005117C2" w:rsidP="00312E88">
            <w:pPr>
              <w:jc w:val="right"/>
              <w:rPr>
                <w:rFonts w:cs="Arial"/>
                <w:color w:val="000000"/>
                <w:sz w:val="16"/>
                <w:szCs w:val="16"/>
              </w:rPr>
            </w:pPr>
            <w:r w:rsidRPr="002935C2">
              <w:rPr>
                <w:rFonts w:cs="Arial"/>
                <w:color w:val="000000"/>
                <w:sz w:val="16"/>
                <w:szCs w:val="16"/>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F9C22DE" w14:textId="77777777" w:rsidR="005117C2" w:rsidRPr="002935C2" w:rsidRDefault="005117C2" w:rsidP="00312E88">
            <w:pPr>
              <w:jc w:val="right"/>
              <w:rPr>
                <w:rFonts w:cs="Arial"/>
                <w:color w:val="6B2976"/>
                <w:sz w:val="16"/>
                <w:szCs w:val="16"/>
              </w:rPr>
            </w:pPr>
            <w:r w:rsidRPr="002935C2">
              <w:rPr>
                <w:rFonts w:cs="Arial"/>
                <w:color w:val="6B2976"/>
                <w:sz w:val="16"/>
                <w:szCs w:val="16"/>
              </w:rPr>
              <w:t>-258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3F29BB4" w14:textId="77777777" w:rsidR="005117C2" w:rsidRPr="002935C2" w:rsidRDefault="005117C2" w:rsidP="00312E88">
            <w:pPr>
              <w:jc w:val="right"/>
              <w:rPr>
                <w:rFonts w:cs="Arial"/>
                <w:color w:val="6B2976"/>
                <w:sz w:val="16"/>
                <w:szCs w:val="16"/>
              </w:rPr>
            </w:pPr>
            <w:r w:rsidRPr="002935C2">
              <w:rPr>
                <w:rFonts w:cs="Arial"/>
                <w:color w:val="6B2976"/>
                <w:sz w:val="16"/>
                <w:szCs w:val="16"/>
              </w:rPr>
              <w:t>-1,501</w:t>
            </w:r>
          </w:p>
        </w:tc>
      </w:tr>
      <w:tr w:rsidR="005117C2" w:rsidRPr="002935C2" w14:paraId="498AFED5" w14:textId="77777777" w:rsidTr="00312E88">
        <w:trPr>
          <w:trHeight w:val="495"/>
        </w:trPr>
        <w:tc>
          <w:tcPr>
            <w:tcW w:w="0" w:type="auto"/>
            <w:tcBorders>
              <w:top w:val="nil"/>
              <w:left w:val="single" w:sz="4" w:space="0" w:color="auto"/>
              <w:bottom w:val="single" w:sz="4" w:space="0" w:color="auto"/>
              <w:right w:val="single" w:sz="4" w:space="0" w:color="auto"/>
            </w:tcBorders>
            <w:shd w:val="clear" w:color="auto" w:fill="auto"/>
            <w:hideMark/>
          </w:tcPr>
          <w:p w14:paraId="0DB5B881" w14:textId="77777777" w:rsidR="005117C2" w:rsidRPr="002935C2" w:rsidRDefault="005117C2" w:rsidP="00312E88">
            <w:pPr>
              <w:rPr>
                <w:rFonts w:cs="Arial"/>
                <w:b/>
                <w:bCs/>
                <w:color w:val="000000"/>
                <w:sz w:val="16"/>
                <w:szCs w:val="16"/>
              </w:rPr>
            </w:pPr>
            <w:r w:rsidRPr="002935C2">
              <w:rPr>
                <w:rFonts w:cs="Arial"/>
                <w:b/>
                <w:bCs/>
                <w:color w:val="000000"/>
                <w:sz w:val="16"/>
                <w:szCs w:val="16"/>
              </w:rPr>
              <w:t>2020-21 FSR model</w:t>
            </w:r>
            <w:r w:rsidRPr="002935C2">
              <w:rPr>
                <w:rFonts w:cs="Arial"/>
                <w:b/>
                <w:bCs/>
                <w:color w:val="000000"/>
                <w:sz w:val="16"/>
                <w:szCs w:val="16"/>
              </w:rPr>
              <w:br/>
            </w:r>
            <w:r w:rsidRPr="002935C2">
              <w:rPr>
                <w:rFonts w:cs="Arial"/>
                <w:i/>
                <w:iCs/>
                <w:color w:val="000000"/>
                <w:sz w:val="16"/>
                <w:szCs w:val="16"/>
              </w:rPr>
              <w:t>Projections based on assumptions in this report</w:t>
            </w:r>
          </w:p>
        </w:tc>
        <w:tc>
          <w:tcPr>
            <w:tcW w:w="0" w:type="auto"/>
            <w:tcBorders>
              <w:top w:val="nil"/>
              <w:left w:val="nil"/>
              <w:bottom w:val="single" w:sz="4" w:space="0" w:color="auto"/>
              <w:right w:val="single" w:sz="4" w:space="0" w:color="auto"/>
            </w:tcBorders>
            <w:shd w:val="clear" w:color="auto" w:fill="auto"/>
            <w:noWrap/>
            <w:hideMark/>
          </w:tcPr>
          <w:p w14:paraId="0F73E73C"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530,457</w:t>
            </w:r>
          </w:p>
        </w:tc>
        <w:tc>
          <w:tcPr>
            <w:tcW w:w="0" w:type="auto"/>
            <w:tcBorders>
              <w:top w:val="nil"/>
              <w:left w:val="nil"/>
              <w:bottom w:val="single" w:sz="4" w:space="0" w:color="auto"/>
              <w:right w:val="single" w:sz="4" w:space="0" w:color="auto"/>
            </w:tcBorders>
            <w:shd w:val="clear" w:color="auto" w:fill="auto"/>
            <w:noWrap/>
            <w:hideMark/>
          </w:tcPr>
          <w:p w14:paraId="6C7AAF60"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586,433</w:t>
            </w:r>
          </w:p>
        </w:tc>
        <w:tc>
          <w:tcPr>
            <w:tcW w:w="0" w:type="auto"/>
            <w:tcBorders>
              <w:top w:val="nil"/>
              <w:left w:val="nil"/>
              <w:bottom w:val="single" w:sz="4" w:space="0" w:color="auto"/>
              <w:right w:val="single" w:sz="4" w:space="0" w:color="auto"/>
            </w:tcBorders>
            <w:shd w:val="clear" w:color="auto" w:fill="auto"/>
            <w:noWrap/>
            <w:hideMark/>
          </w:tcPr>
          <w:p w14:paraId="39A6FA20"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630,327</w:t>
            </w:r>
          </w:p>
        </w:tc>
        <w:tc>
          <w:tcPr>
            <w:tcW w:w="0" w:type="auto"/>
            <w:tcBorders>
              <w:top w:val="nil"/>
              <w:left w:val="nil"/>
              <w:bottom w:val="single" w:sz="4" w:space="0" w:color="auto"/>
              <w:right w:val="single" w:sz="4" w:space="0" w:color="auto"/>
            </w:tcBorders>
            <w:shd w:val="clear" w:color="auto" w:fill="auto"/>
            <w:noWrap/>
            <w:hideMark/>
          </w:tcPr>
          <w:p w14:paraId="55D66807"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670,400</w:t>
            </w:r>
          </w:p>
        </w:tc>
        <w:tc>
          <w:tcPr>
            <w:tcW w:w="0" w:type="auto"/>
            <w:tcBorders>
              <w:top w:val="nil"/>
              <w:left w:val="nil"/>
              <w:bottom w:val="single" w:sz="4" w:space="0" w:color="auto"/>
              <w:right w:val="single" w:sz="4" w:space="0" w:color="auto"/>
            </w:tcBorders>
            <w:shd w:val="clear" w:color="auto" w:fill="auto"/>
            <w:noWrap/>
            <w:hideMark/>
          </w:tcPr>
          <w:p w14:paraId="1D61BC8C"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859,328</w:t>
            </w:r>
          </w:p>
        </w:tc>
      </w:tr>
      <w:tr w:rsidR="005117C2" w:rsidRPr="002935C2" w14:paraId="4677594F" w14:textId="77777777" w:rsidTr="00195F7D">
        <w:trPr>
          <w:trHeight w:val="379"/>
        </w:trPr>
        <w:tc>
          <w:tcPr>
            <w:tcW w:w="0" w:type="auto"/>
            <w:tcBorders>
              <w:top w:val="nil"/>
              <w:left w:val="single" w:sz="4" w:space="0" w:color="auto"/>
              <w:bottom w:val="single" w:sz="4" w:space="0" w:color="auto"/>
              <w:right w:val="single" w:sz="4" w:space="0" w:color="auto"/>
            </w:tcBorders>
            <w:shd w:val="clear" w:color="000000" w:fill="F7EEF7"/>
            <w:vAlign w:val="center"/>
            <w:hideMark/>
          </w:tcPr>
          <w:p w14:paraId="745EFF27" w14:textId="77777777" w:rsidR="005117C2" w:rsidRPr="002935C2" w:rsidRDefault="005117C2" w:rsidP="00312E88">
            <w:pPr>
              <w:rPr>
                <w:rFonts w:cs="Arial"/>
                <w:b/>
                <w:bCs/>
                <w:color w:val="000000"/>
                <w:sz w:val="16"/>
                <w:szCs w:val="16"/>
              </w:rPr>
            </w:pPr>
            <w:r w:rsidRPr="002935C2">
              <w:rPr>
                <w:rFonts w:cs="Arial"/>
                <w:b/>
                <w:bCs/>
                <w:color w:val="000000"/>
                <w:sz w:val="16"/>
                <w:szCs w:val="16"/>
              </w:rPr>
              <w:t>Total movement from Dec20 FSR to 2020-21 FSR model</w:t>
            </w:r>
          </w:p>
        </w:tc>
        <w:tc>
          <w:tcPr>
            <w:tcW w:w="0" w:type="auto"/>
            <w:tcBorders>
              <w:top w:val="nil"/>
              <w:left w:val="nil"/>
              <w:bottom w:val="single" w:sz="4" w:space="0" w:color="auto"/>
              <w:right w:val="single" w:sz="4" w:space="0" w:color="auto"/>
            </w:tcBorders>
            <w:shd w:val="clear" w:color="000000" w:fill="F7EEF7"/>
            <w:vAlign w:val="center"/>
            <w:hideMark/>
          </w:tcPr>
          <w:p w14:paraId="7B6F69D5"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-7,443</w:t>
            </w:r>
            <w:r w:rsidRPr="002935C2">
              <w:rPr>
                <w:rFonts w:cs="Arial"/>
                <w:b/>
                <w:bCs/>
                <w:color w:val="000000"/>
                <w:sz w:val="16"/>
                <w:szCs w:val="16"/>
              </w:rPr>
              <w:br/>
              <w:t xml:space="preserve"> (-1.4%)</w:t>
            </w:r>
          </w:p>
        </w:tc>
        <w:tc>
          <w:tcPr>
            <w:tcW w:w="0" w:type="auto"/>
            <w:tcBorders>
              <w:top w:val="nil"/>
              <w:left w:val="nil"/>
              <w:bottom w:val="single" w:sz="4" w:space="0" w:color="auto"/>
              <w:right w:val="single" w:sz="4" w:space="0" w:color="auto"/>
            </w:tcBorders>
            <w:shd w:val="clear" w:color="000000" w:fill="F7EEF7"/>
            <w:vAlign w:val="center"/>
            <w:hideMark/>
          </w:tcPr>
          <w:p w14:paraId="7C3C1B84"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-10,214</w:t>
            </w:r>
            <w:r w:rsidRPr="002935C2">
              <w:rPr>
                <w:rFonts w:cs="Arial"/>
                <w:b/>
                <w:bCs/>
                <w:color w:val="000000"/>
                <w:sz w:val="16"/>
                <w:szCs w:val="16"/>
              </w:rPr>
              <w:br/>
              <w:t xml:space="preserve"> (-1.7%)</w:t>
            </w:r>
          </w:p>
        </w:tc>
        <w:tc>
          <w:tcPr>
            <w:tcW w:w="0" w:type="auto"/>
            <w:tcBorders>
              <w:top w:val="nil"/>
              <w:left w:val="nil"/>
              <w:bottom w:val="single" w:sz="4" w:space="0" w:color="auto"/>
              <w:right w:val="single" w:sz="4" w:space="0" w:color="auto"/>
            </w:tcBorders>
            <w:shd w:val="clear" w:color="000000" w:fill="F7EEF7"/>
            <w:vAlign w:val="center"/>
            <w:hideMark/>
          </w:tcPr>
          <w:p w14:paraId="28F8A2FF"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-12,902</w:t>
            </w:r>
            <w:r w:rsidRPr="002935C2">
              <w:rPr>
                <w:rFonts w:cs="Arial"/>
                <w:b/>
                <w:bCs/>
                <w:color w:val="000000"/>
                <w:sz w:val="16"/>
                <w:szCs w:val="16"/>
              </w:rPr>
              <w:br/>
              <w:t xml:space="preserve"> (-2.0%)</w:t>
            </w:r>
          </w:p>
        </w:tc>
        <w:tc>
          <w:tcPr>
            <w:tcW w:w="0" w:type="auto"/>
            <w:tcBorders>
              <w:top w:val="nil"/>
              <w:left w:val="nil"/>
              <w:bottom w:val="single" w:sz="4" w:space="0" w:color="auto"/>
              <w:right w:val="single" w:sz="4" w:space="0" w:color="auto"/>
            </w:tcBorders>
            <w:shd w:val="clear" w:color="000000" w:fill="F7EEF7"/>
            <w:vAlign w:val="center"/>
            <w:hideMark/>
          </w:tcPr>
          <w:p w14:paraId="6591D6D8"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-12,360</w:t>
            </w:r>
            <w:r w:rsidRPr="002935C2">
              <w:rPr>
                <w:rFonts w:cs="Arial"/>
                <w:b/>
                <w:bCs/>
                <w:color w:val="000000"/>
                <w:sz w:val="16"/>
                <w:szCs w:val="16"/>
              </w:rPr>
              <w:br/>
              <w:t xml:space="preserve"> (-1.8%)</w:t>
            </w:r>
          </w:p>
        </w:tc>
        <w:tc>
          <w:tcPr>
            <w:tcW w:w="0" w:type="auto"/>
            <w:tcBorders>
              <w:top w:val="nil"/>
              <w:left w:val="nil"/>
              <w:bottom w:val="single" w:sz="4" w:space="0" w:color="auto"/>
              <w:right w:val="single" w:sz="4" w:space="0" w:color="auto"/>
            </w:tcBorders>
            <w:shd w:val="clear" w:color="000000" w:fill="F7EEF7"/>
            <w:vAlign w:val="center"/>
            <w:hideMark/>
          </w:tcPr>
          <w:p w14:paraId="26EBFDE1" w14:textId="77777777" w:rsidR="005117C2" w:rsidRPr="002935C2" w:rsidRDefault="005117C2" w:rsidP="00312E88">
            <w:pPr>
              <w:jc w:val="right"/>
              <w:rPr>
                <w:rFonts w:cs="Arial"/>
                <w:b/>
                <w:bCs/>
                <w:color w:val="000000"/>
                <w:sz w:val="16"/>
                <w:szCs w:val="16"/>
              </w:rPr>
            </w:pPr>
            <w:r w:rsidRPr="002935C2">
              <w:rPr>
                <w:rFonts w:cs="Arial"/>
                <w:b/>
                <w:bCs/>
                <w:color w:val="000000"/>
                <w:sz w:val="16"/>
                <w:szCs w:val="16"/>
              </w:rPr>
              <w:t>-11,433</w:t>
            </w:r>
            <w:r w:rsidRPr="002935C2">
              <w:rPr>
                <w:rFonts w:cs="Arial"/>
                <w:b/>
                <w:bCs/>
                <w:color w:val="000000"/>
                <w:sz w:val="16"/>
                <w:szCs w:val="16"/>
              </w:rPr>
              <w:br/>
              <w:t xml:space="preserve"> (-1.3%)</w:t>
            </w:r>
          </w:p>
        </w:tc>
      </w:tr>
    </w:tbl>
    <w:p w14:paraId="58330023" w14:textId="0F28B6B0" w:rsidR="00F90118" w:rsidRPr="009F4F8D" w:rsidRDefault="00F90118" w:rsidP="00F90118">
      <w:pPr>
        <w:pStyle w:val="FSRnormal"/>
      </w:pPr>
    </w:p>
    <w:p w14:paraId="3799128F" w14:textId="51704FAB" w:rsidR="00F90118" w:rsidRPr="009F4F8D" w:rsidRDefault="00F90118" w:rsidP="00F90118">
      <w:r w:rsidRPr="009F4F8D">
        <w:t xml:space="preserve">The projected number of participants at 30 June 2022 has reduced by about 7,400 compared to the Dec20 FSR, mainly driven by a downward adjustment of the population assumptions </w:t>
      </w:r>
      <w:r w:rsidR="009738F2">
        <w:t>reflecting lower than expected</w:t>
      </w:r>
      <w:r w:rsidRPr="009F4F8D">
        <w:t xml:space="preserve"> active participants as at 30 June 2021. </w:t>
      </w:r>
    </w:p>
    <w:p w14:paraId="796D6CB0" w14:textId="77777777" w:rsidR="00E50032" w:rsidRPr="00E50032" w:rsidRDefault="00F90118" w:rsidP="00F90118">
      <w:r w:rsidRPr="009F4F8D">
        <w:t xml:space="preserve">While there are less active participants in the Scheme, there are more young participants in the Scheme, in particular age 7 to 14, increasing the number of active participants </w:t>
      </w:r>
      <w:proofErr w:type="gramStart"/>
      <w:r w:rsidRPr="009F4F8D">
        <w:t>projected.</w:t>
      </w:r>
      <w:proofErr w:type="gramEnd"/>
      <w:r w:rsidRPr="009F4F8D">
        <w:t xml:space="preserve"> </w:t>
      </w:r>
      <w:r w:rsidRPr="009F4F8D">
        <w:fldChar w:fldCharType="begin"/>
      </w:r>
      <w:r w:rsidRPr="009F4F8D">
        <w:instrText xml:space="preserve"> REF _Ref17120259 \h  \* MERGEFORMAT </w:instrText>
      </w:r>
      <w:r w:rsidRPr="009F4F8D">
        <w:fldChar w:fldCharType="separate"/>
      </w:r>
    </w:p>
    <w:p w14:paraId="261A931D" w14:textId="04430308" w:rsidR="00F90118" w:rsidRPr="009F4F8D" w:rsidRDefault="00E50032" w:rsidP="00F90118">
      <w:pPr>
        <w:rPr>
          <w:b/>
          <w:iCs/>
          <w:color w:val="000000" w:themeColor="text1"/>
          <w:szCs w:val="18"/>
        </w:rPr>
      </w:pPr>
      <w:r w:rsidRPr="00E50032">
        <w:rPr>
          <w:u w:val="single"/>
        </w:rPr>
        <w:t>Table</w:t>
      </w:r>
      <w:r w:rsidRPr="00E50032">
        <w:rPr>
          <w:noProof/>
          <w:u w:val="single"/>
        </w:rPr>
        <w:t xml:space="preserve"> </w:t>
      </w:r>
      <w:r w:rsidRPr="00E50032">
        <w:rPr>
          <w:u w:val="single"/>
        </w:rPr>
        <w:t>65</w:t>
      </w:r>
      <w:r w:rsidR="00F90118" w:rsidRPr="009F4F8D">
        <w:fldChar w:fldCharType="end"/>
      </w:r>
      <w:r w:rsidR="00F90118" w:rsidRPr="009F4F8D">
        <w:t xml:space="preserve"> shows the main drivers of movements in participant costs</w:t>
      </w:r>
      <w:r w:rsidR="00F90118">
        <w:t xml:space="preserve"> </w:t>
      </w:r>
      <w:r w:rsidR="00F90118" w:rsidRPr="009F4F8D">
        <w:t>as well as the total movement from the</w:t>
      </w:r>
      <w:r w:rsidR="0044635E">
        <w:t xml:space="preserve"> previous review. </w:t>
      </w:r>
      <w:bookmarkStart w:id="383" w:name="_Ref17120259"/>
    </w:p>
    <w:p w14:paraId="648A9626" w14:textId="6E1FD82D" w:rsidR="00F90118" w:rsidRPr="009F4F8D" w:rsidRDefault="00F90118" w:rsidP="00F90118">
      <w:pPr>
        <w:pStyle w:val="Caption"/>
        <w:keepNext/>
      </w:pPr>
      <w:bookmarkStart w:id="384" w:name="_Ref80714631"/>
      <w:r w:rsidRPr="009F4F8D">
        <w:lastRenderedPageBreak/>
        <w:t xml:space="preserve">Table </w:t>
      </w:r>
      <w:fldSimple w:instr=" SEQ Table \* ARABIC ">
        <w:r w:rsidR="00E50032">
          <w:rPr>
            <w:noProof/>
          </w:rPr>
          <w:t>65</w:t>
        </w:r>
      </w:fldSimple>
      <w:bookmarkEnd w:id="383"/>
      <w:bookmarkEnd w:id="384"/>
      <w:r w:rsidRPr="009F4F8D">
        <w:t xml:space="preserve"> Change in projected participant costs </w:t>
      </w:r>
      <w:r w:rsidR="00A00723">
        <w:t>(cash</w:t>
      </w:r>
      <w:r w:rsidR="008E35BB">
        <w:t xml:space="preserve"> </w:t>
      </w:r>
      <w:r w:rsidR="00A00723">
        <w:t xml:space="preserve">basis) </w:t>
      </w:r>
      <w:r w:rsidRPr="009F4F8D">
        <w:t xml:space="preserve">from </w:t>
      </w:r>
      <w:r w:rsidR="00A00723">
        <w:t>previous review (31 December 2020)</w:t>
      </w:r>
    </w:p>
    <w:tbl>
      <w:tblPr>
        <w:tblW w:w="0" w:type="auto"/>
        <w:tblLook w:val="04A0" w:firstRow="1" w:lastRow="0" w:firstColumn="1" w:lastColumn="0" w:noHBand="0" w:noVBand="1"/>
      </w:tblPr>
      <w:tblGrid>
        <w:gridCol w:w="4631"/>
        <w:gridCol w:w="877"/>
        <w:gridCol w:w="877"/>
        <w:gridCol w:w="877"/>
        <w:gridCol w:w="877"/>
        <w:gridCol w:w="877"/>
      </w:tblGrid>
      <w:tr w:rsidR="00354DA3" w:rsidRPr="002935C2" w14:paraId="484C20F3" w14:textId="77777777" w:rsidTr="00312E88">
        <w:trPr>
          <w:trHeight w:val="405"/>
          <w:tblHeader/>
        </w:trPr>
        <w:tc>
          <w:tcPr>
            <w:tcW w:w="0" w:type="auto"/>
            <w:tcBorders>
              <w:top w:val="single" w:sz="4" w:space="0" w:color="auto"/>
              <w:left w:val="single" w:sz="4" w:space="0" w:color="auto"/>
              <w:bottom w:val="single" w:sz="4" w:space="0" w:color="000000"/>
              <w:right w:val="single" w:sz="4" w:space="0" w:color="auto"/>
            </w:tcBorders>
            <w:shd w:val="clear" w:color="000000" w:fill="6B2976"/>
            <w:vAlign w:val="center"/>
            <w:hideMark/>
          </w:tcPr>
          <w:p w14:paraId="2947B28E" w14:textId="77777777" w:rsidR="00354DA3" w:rsidRPr="002935C2" w:rsidRDefault="00354DA3" w:rsidP="00312E88">
            <w:pPr>
              <w:rPr>
                <w:rFonts w:cs="Arial"/>
                <w:b/>
                <w:bCs/>
                <w:color w:val="FFFFFF"/>
                <w:sz w:val="18"/>
                <w:szCs w:val="18"/>
              </w:rPr>
            </w:pPr>
            <w:r w:rsidRPr="002935C2">
              <w:rPr>
                <w:rFonts w:cs="Arial"/>
                <w:b/>
                <w:bCs/>
                <w:color w:val="FFFFFF"/>
                <w:sz w:val="18"/>
                <w:szCs w:val="18"/>
              </w:rPr>
              <w:t>Change in projected participant costs (cash basis)</w:t>
            </w:r>
          </w:p>
        </w:tc>
        <w:tc>
          <w:tcPr>
            <w:tcW w:w="0" w:type="auto"/>
            <w:tcBorders>
              <w:top w:val="nil"/>
              <w:left w:val="nil"/>
              <w:bottom w:val="single" w:sz="4" w:space="0" w:color="auto"/>
              <w:right w:val="single" w:sz="4" w:space="0" w:color="auto"/>
            </w:tcBorders>
            <w:shd w:val="clear" w:color="000000" w:fill="6B2976"/>
            <w:noWrap/>
            <w:vAlign w:val="bottom"/>
            <w:hideMark/>
          </w:tcPr>
          <w:p w14:paraId="3E99C030" w14:textId="77777777" w:rsidR="00354DA3" w:rsidRPr="002935C2" w:rsidRDefault="00354DA3" w:rsidP="00312E88">
            <w:pPr>
              <w:jc w:val="right"/>
              <w:rPr>
                <w:rFonts w:cs="Arial"/>
                <w:b/>
                <w:bCs/>
                <w:color w:val="FFFFFF"/>
                <w:sz w:val="18"/>
                <w:szCs w:val="18"/>
              </w:rPr>
            </w:pPr>
            <w:r w:rsidRPr="002935C2">
              <w:rPr>
                <w:rFonts w:cs="Arial"/>
                <w:b/>
                <w:bCs/>
                <w:color w:val="FFFFFF"/>
                <w:sz w:val="18"/>
                <w:szCs w:val="18"/>
              </w:rPr>
              <w:t>2021-22</w:t>
            </w:r>
          </w:p>
        </w:tc>
        <w:tc>
          <w:tcPr>
            <w:tcW w:w="0" w:type="auto"/>
            <w:tcBorders>
              <w:top w:val="nil"/>
              <w:left w:val="nil"/>
              <w:bottom w:val="single" w:sz="4" w:space="0" w:color="auto"/>
              <w:right w:val="single" w:sz="4" w:space="0" w:color="auto"/>
            </w:tcBorders>
            <w:shd w:val="clear" w:color="000000" w:fill="6B2976"/>
            <w:noWrap/>
            <w:vAlign w:val="bottom"/>
            <w:hideMark/>
          </w:tcPr>
          <w:p w14:paraId="2B6EB9AC" w14:textId="77777777" w:rsidR="00354DA3" w:rsidRPr="002935C2" w:rsidRDefault="00354DA3" w:rsidP="00312E88">
            <w:pPr>
              <w:jc w:val="right"/>
              <w:rPr>
                <w:rFonts w:cs="Arial"/>
                <w:b/>
                <w:bCs/>
                <w:color w:val="FFFFFF"/>
                <w:sz w:val="18"/>
                <w:szCs w:val="18"/>
              </w:rPr>
            </w:pPr>
            <w:r w:rsidRPr="002935C2">
              <w:rPr>
                <w:rFonts w:cs="Arial"/>
                <w:b/>
                <w:bCs/>
                <w:color w:val="FFFFFF"/>
                <w:sz w:val="18"/>
                <w:szCs w:val="18"/>
              </w:rPr>
              <w:t>2022-23</w:t>
            </w:r>
          </w:p>
        </w:tc>
        <w:tc>
          <w:tcPr>
            <w:tcW w:w="0" w:type="auto"/>
            <w:tcBorders>
              <w:top w:val="nil"/>
              <w:left w:val="nil"/>
              <w:bottom w:val="single" w:sz="4" w:space="0" w:color="auto"/>
              <w:right w:val="single" w:sz="4" w:space="0" w:color="auto"/>
            </w:tcBorders>
            <w:shd w:val="clear" w:color="000000" w:fill="6B2976"/>
            <w:noWrap/>
            <w:vAlign w:val="bottom"/>
            <w:hideMark/>
          </w:tcPr>
          <w:p w14:paraId="51D5B2DB" w14:textId="77777777" w:rsidR="00354DA3" w:rsidRPr="002935C2" w:rsidRDefault="00354DA3" w:rsidP="00312E88">
            <w:pPr>
              <w:jc w:val="right"/>
              <w:rPr>
                <w:rFonts w:cs="Arial"/>
                <w:b/>
                <w:bCs/>
                <w:color w:val="FFFFFF"/>
                <w:sz w:val="18"/>
                <w:szCs w:val="18"/>
              </w:rPr>
            </w:pPr>
            <w:r w:rsidRPr="002935C2">
              <w:rPr>
                <w:rFonts w:cs="Arial"/>
                <w:b/>
                <w:bCs/>
                <w:color w:val="FFFFFF"/>
                <w:sz w:val="18"/>
                <w:szCs w:val="18"/>
              </w:rPr>
              <w:t>2023-24</w:t>
            </w:r>
          </w:p>
        </w:tc>
        <w:tc>
          <w:tcPr>
            <w:tcW w:w="0" w:type="auto"/>
            <w:tcBorders>
              <w:top w:val="nil"/>
              <w:left w:val="nil"/>
              <w:bottom w:val="single" w:sz="4" w:space="0" w:color="auto"/>
              <w:right w:val="single" w:sz="4" w:space="0" w:color="auto"/>
            </w:tcBorders>
            <w:shd w:val="clear" w:color="000000" w:fill="6B2976"/>
            <w:noWrap/>
            <w:vAlign w:val="bottom"/>
            <w:hideMark/>
          </w:tcPr>
          <w:p w14:paraId="0E3B5E51" w14:textId="77777777" w:rsidR="00354DA3" w:rsidRPr="002935C2" w:rsidRDefault="00354DA3" w:rsidP="00312E88">
            <w:pPr>
              <w:jc w:val="right"/>
              <w:rPr>
                <w:rFonts w:cs="Arial"/>
                <w:b/>
                <w:bCs/>
                <w:color w:val="FFFFFF"/>
                <w:sz w:val="18"/>
                <w:szCs w:val="18"/>
              </w:rPr>
            </w:pPr>
            <w:r w:rsidRPr="002935C2">
              <w:rPr>
                <w:rFonts w:cs="Arial"/>
                <w:b/>
                <w:bCs/>
                <w:color w:val="FFFFFF"/>
                <w:sz w:val="18"/>
                <w:szCs w:val="18"/>
              </w:rPr>
              <w:t>2024-25</w:t>
            </w:r>
          </w:p>
        </w:tc>
        <w:tc>
          <w:tcPr>
            <w:tcW w:w="0" w:type="auto"/>
            <w:tcBorders>
              <w:top w:val="nil"/>
              <w:left w:val="nil"/>
              <w:bottom w:val="single" w:sz="4" w:space="0" w:color="auto"/>
              <w:right w:val="single" w:sz="4" w:space="0" w:color="auto"/>
            </w:tcBorders>
            <w:shd w:val="clear" w:color="000000" w:fill="6B2976"/>
            <w:noWrap/>
            <w:vAlign w:val="bottom"/>
            <w:hideMark/>
          </w:tcPr>
          <w:p w14:paraId="169E0C57" w14:textId="77777777" w:rsidR="00354DA3" w:rsidRPr="002935C2" w:rsidRDefault="00354DA3" w:rsidP="00312E88">
            <w:pPr>
              <w:jc w:val="right"/>
              <w:rPr>
                <w:rFonts w:cs="Arial"/>
                <w:b/>
                <w:bCs/>
                <w:color w:val="FFFFFF"/>
                <w:sz w:val="18"/>
                <w:szCs w:val="18"/>
              </w:rPr>
            </w:pPr>
            <w:r w:rsidRPr="002935C2">
              <w:rPr>
                <w:rFonts w:cs="Arial"/>
                <w:b/>
                <w:bCs/>
                <w:color w:val="FFFFFF"/>
                <w:sz w:val="18"/>
                <w:szCs w:val="18"/>
              </w:rPr>
              <w:t>2029-30</w:t>
            </w:r>
          </w:p>
        </w:tc>
      </w:tr>
      <w:tr w:rsidR="00354DA3" w:rsidRPr="002935C2" w14:paraId="74D9A40D" w14:textId="77777777" w:rsidTr="00312E88">
        <w:trPr>
          <w:trHeight w:hRule="exact" w:val="510"/>
        </w:trPr>
        <w:tc>
          <w:tcPr>
            <w:tcW w:w="0" w:type="auto"/>
            <w:tcBorders>
              <w:top w:val="nil"/>
              <w:left w:val="single" w:sz="4" w:space="0" w:color="auto"/>
              <w:bottom w:val="single" w:sz="4" w:space="0" w:color="auto"/>
              <w:right w:val="single" w:sz="4" w:space="0" w:color="auto"/>
            </w:tcBorders>
            <w:shd w:val="clear" w:color="auto" w:fill="auto"/>
            <w:hideMark/>
          </w:tcPr>
          <w:p w14:paraId="2B98DEB9" w14:textId="77777777" w:rsidR="00354DA3" w:rsidRPr="002935C2" w:rsidRDefault="00354DA3" w:rsidP="00312E88">
            <w:pPr>
              <w:rPr>
                <w:rFonts w:cs="Arial"/>
                <w:b/>
                <w:bCs/>
                <w:color w:val="000000"/>
                <w:sz w:val="18"/>
                <w:szCs w:val="18"/>
              </w:rPr>
            </w:pPr>
            <w:r w:rsidRPr="002935C2">
              <w:rPr>
                <w:rFonts w:cs="Arial"/>
                <w:b/>
                <w:bCs/>
                <w:color w:val="000000"/>
                <w:sz w:val="18"/>
                <w:szCs w:val="18"/>
              </w:rPr>
              <w:t>Dec20 FSR</w:t>
            </w:r>
            <w:r w:rsidRPr="002935C2">
              <w:rPr>
                <w:rFonts w:cs="Arial"/>
                <w:b/>
                <w:bCs/>
                <w:color w:val="000000"/>
                <w:sz w:val="18"/>
                <w:szCs w:val="18"/>
              </w:rPr>
              <w:br/>
            </w:r>
            <w:r w:rsidRPr="002935C2">
              <w:rPr>
                <w:rFonts w:cs="Arial"/>
                <w:i/>
                <w:iCs/>
                <w:color w:val="000000"/>
                <w:sz w:val="18"/>
                <w:szCs w:val="18"/>
              </w:rPr>
              <w:t>FSR model as at 31 December 2021</w:t>
            </w:r>
          </w:p>
        </w:tc>
        <w:tc>
          <w:tcPr>
            <w:tcW w:w="0" w:type="auto"/>
            <w:tcBorders>
              <w:top w:val="nil"/>
              <w:left w:val="nil"/>
              <w:bottom w:val="single" w:sz="4" w:space="0" w:color="auto"/>
              <w:right w:val="single" w:sz="4" w:space="0" w:color="auto"/>
            </w:tcBorders>
            <w:shd w:val="clear" w:color="auto" w:fill="auto"/>
            <w:noWrap/>
            <w:hideMark/>
          </w:tcPr>
          <w:p w14:paraId="22A52DE2"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$27.7b</w:t>
            </w:r>
          </w:p>
        </w:tc>
        <w:tc>
          <w:tcPr>
            <w:tcW w:w="0" w:type="auto"/>
            <w:tcBorders>
              <w:top w:val="nil"/>
              <w:left w:val="nil"/>
              <w:bottom w:val="single" w:sz="4" w:space="0" w:color="auto"/>
              <w:right w:val="single" w:sz="4" w:space="0" w:color="auto"/>
            </w:tcBorders>
            <w:shd w:val="clear" w:color="auto" w:fill="auto"/>
            <w:noWrap/>
            <w:hideMark/>
          </w:tcPr>
          <w:p w14:paraId="35DE064D"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$32.4b</w:t>
            </w:r>
          </w:p>
        </w:tc>
        <w:tc>
          <w:tcPr>
            <w:tcW w:w="0" w:type="auto"/>
            <w:tcBorders>
              <w:top w:val="nil"/>
              <w:left w:val="nil"/>
              <w:bottom w:val="single" w:sz="4" w:space="0" w:color="auto"/>
              <w:right w:val="single" w:sz="4" w:space="0" w:color="auto"/>
            </w:tcBorders>
            <w:shd w:val="clear" w:color="auto" w:fill="auto"/>
            <w:noWrap/>
            <w:hideMark/>
          </w:tcPr>
          <w:p w14:paraId="21A49197"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$36.6b</w:t>
            </w:r>
          </w:p>
        </w:tc>
        <w:tc>
          <w:tcPr>
            <w:tcW w:w="0" w:type="auto"/>
            <w:tcBorders>
              <w:top w:val="nil"/>
              <w:left w:val="nil"/>
              <w:bottom w:val="single" w:sz="4" w:space="0" w:color="auto"/>
              <w:right w:val="single" w:sz="4" w:space="0" w:color="auto"/>
            </w:tcBorders>
            <w:shd w:val="clear" w:color="auto" w:fill="auto"/>
            <w:noWrap/>
            <w:hideMark/>
          </w:tcPr>
          <w:p w14:paraId="41720A9F"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$40.4b</w:t>
            </w:r>
          </w:p>
        </w:tc>
        <w:tc>
          <w:tcPr>
            <w:tcW w:w="0" w:type="auto"/>
            <w:tcBorders>
              <w:top w:val="nil"/>
              <w:left w:val="nil"/>
              <w:bottom w:val="single" w:sz="4" w:space="0" w:color="auto"/>
              <w:right w:val="single" w:sz="4" w:space="0" w:color="auto"/>
            </w:tcBorders>
            <w:shd w:val="clear" w:color="auto" w:fill="auto"/>
            <w:noWrap/>
            <w:hideMark/>
          </w:tcPr>
          <w:p w14:paraId="4F0E5B84"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$59.9b</w:t>
            </w:r>
          </w:p>
        </w:tc>
      </w:tr>
      <w:tr w:rsidR="00354DA3" w:rsidRPr="002935C2" w14:paraId="340A1E8A" w14:textId="77777777" w:rsidTr="00496FBB">
        <w:trPr>
          <w:trHeight w:hRule="exact" w:val="737"/>
        </w:trPr>
        <w:tc>
          <w:tcPr>
            <w:tcW w:w="0" w:type="auto"/>
            <w:tcBorders>
              <w:top w:val="nil"/>
              <w:left w:val="single" w:sz="4" w:space="0" w:color="auto"/>
              <w:bottom w:val="single" w:sz="4" w:space="0" w:color="auto"/>
              <w:right w:val="single" w:sz="4" w:space="0" w:color="auto"/>
            </w:tcBorders>
            <w:shd w:val="clear" w:color="auto" w:fill="auto"/>
            <w:hideMark/>
          </w:tcPr>
          <w:p w14:paraId="5C778367" w14:textId="77777777" w:rsidR="00354DA3" w:rsidRPr="002935C2" w:rsidRDefault="00354DA3" w:rsidP="00312E88">
            <w:pPr>
              <w:rPr>
                <w:rFonts w:cs="Arial"/>
                <w:b/>
                <w:bCs/>
                <w:color w:val="000000"/>
                <w:sz w:val="18"/>
                <w:szCs w:val="18"/>
              </w:rPr>
            </w:pPr>
            <w:r w:rsidRPr="002935C2">
              <w:rPr>
                <w:rFonts w:cs="Arial"/>
                <w:b/>
                <w:bCs/>
                <w:color w:val="000000"/>
                <w:sz w:val="18"/>
                <w:szCs w:val="18"/>
              </w:rPr>
              <w:t>a) Dec20 FSR, with 6 months of experience</w:t>
            </w:r>
            <w:r w:rsidRPr="002935C2">
              <w:rPr>
                <w:rFonts w:cs="Arial"/>
                <w:i/>
                <w:iCs/>
                <w:color w:val="000000"/>
                <w:sz w:val="18"/>
                <w:szCs w:val="18"/>
              </w:rPr>
              <w:br/>
              <w:t>Dec20 FSR model with 1 January 2021 to 30 June 2021 experience</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FF8E9D8" w14:textId="77777777" w:rsidR="00354DA3" w:rsidRPr="002935C2" w:rsidRDefault="00354DA3" w:rsidP="00312E88">
            <w:pPr>
              <w:jc w:val="right"/>
              <w:rPr>
                <w:rFonts w:cs="Arial"/>
                <w:color w:val="6B2976"/>
                <w:sz w:val="18"/>
                <w:szCs w:val="18"/>
              </w:rPr>
            </w:pPr>
            <w:r w:rsidRPr="002935C2">
              <w:rPr>
                <w:rFonts w:cs="Arial"/>
                <w:color w:val="6B2976"/>
                <w:sz w:val="18"/>
                <w:szCs w:val="18"/>
              </w:rPr>
              <w:t>-$0.1b</w:t>
            </w:r>
          </w:p>
        </w:tc>
        <w:tc>
          <w:tcPr>
            <w:tcW w:w="0" w:type="auto"/>
            <w:tcBorders>
              <w:top w:val="nil"/>
              <w:left w:val="nil"/>
              <w:bottom w:val="single" w:sz="4" w:space="0" w:color="auto"/>
              <w:right w:val="single" w:sz="4" w:space="0" w:color="auto"/>
            </w:tcBorders>
            <w:shd w:val="clear" w:color="auto" w:fill="auto"/>
            <w:noWrap/>
            <w:hideMark/>
          </w:tcPr>
          <w:p w14:paraId="3B300518" w14:textId="77777777" w:rsidR="00354DA3" w:rsidRPr="002935C2" w:rsidRDefault="00354DA3" w:rsidP="00312E88">
            <w:pPr>
              <w:jc w:val="right"/>
              <w:rPr>
                <w:rFonts w:cs="Arial"/>
                <w:color w:val="000000"/>
                <w:sz w:val="18"/>
                <w:szCs w:val="18"/>
              </w:rPr>
            </w:pPr>
            <w:r w:rsidRPr="002935C2">
              <w:rPr>
                <w:rFonts w:cs="Arial"/>
                <w:color w:val="000000"/>
                <w:sz w:val="18"/>
                <w:szCs w:val="18"/>
              </w:rPr>
              <w:t>+$0.2b</w:t>
            </w:r>
          </w:p>
        </w:tc>
        <w:tc>
          <w:tcPr>
            <w:tcW w:w="0" w:type="auto"/>
            <w:tcBorders>
              <w:top w:val="nil"/>
              <w:left w:val="nil"/>
              <w:bottom w:val="single" w:sz="4" w:space="0" w:color="auto"/>
              <w:right w:val="single" w:sz="4" w:space="0" w:color="auto"/>
            </w:tcBorders>
            <w:shd w:val="clear" w:color="auto" w:fill="auto"/>
            <w:noWrap/>
            <w:hideMark/>
          </w:tcPr>
          <w:p w14:paraId="3C404CD9" w14:textId="77777777" w:rsidR="00354DA3" w:rsidRPr="002935C2" w:rsidRDefault="00354DA3" w:rsidP="00312E88">
            <w:pPr>
              <w:jc w:val="right"/>
              <w:rPr>
                <w:rFonts w:cs="Arial"/>
                <w:color w:val="000000"/>
                <w:sz w:val="18"/>
                <w:szCs w:val="18"/>
              </w:rPr>
            </w:pPr>
            <w:r w:rsidRPr="002935C2">
              <w:rPr>
                <w:rFonts w:cs="Arial"/>
                <w:color w:val="000000"/>
                <w:sz w:val="18"/>
                <w:szCs w:val="18"/>
              </w:rPr>
              <w:t>+$0.2b</w:t>
            </w:r>
          </w:p>
        </w:tc>
        <w:tc>
          <w:tcPr>
            <w:tcW w:w="0" w:type="auto"/>
            <w:tcBorders>
              <w:top w:val="nil"/>
              <w:left w:val="nil"/>
              <w:bottom w:val="single" w:sz="4" w:space="0" w:color="auto"/>
              <w:right w:val="single" w:sz="4" w:space="0" w:color="auto"/>
            </w:tcBorders>
            <w:shd w:val="clear" w:color="auto" w:fill="auto"/>
            <w:noWrap/>
            <w:hideMark/>
          </w:tcPr>
          <w:p w14:paraId="09D10697" w14:textId="77777777" w:rsidR="00354DA3" w:rsidRPr="002935C2" w:rsidRDefault="00354DA3" w:rsidP="00312E88">
            <w:pPr>
              <w:jc w:val="right"/>
              <w:rPr>
                <w:rFonts w:cs="Arial"/>
                <w:color w:val="000000"/>
                <w:sz w:val="18"/>
                <w:szCs w:val="18"/>
              </w:rPr>
            </w:pPr>
            <w:r w:rsidRPr="002935C2">
              <w:rPr>
                <w:rFonts w:cs="Arial"/>
                <w:color w:val="000000"/>
                <w:sz w:val="18"/>
                <w:szCs w:val="18"/>
              </w:rPr>
              <w:t>+$0.1b</w:t>
            </w:r>
          </w:p>
        </w:tc>
        <w:tc>
          <w:tcPr>
            <w:tcW w:w="0" w:type="auto"/>
            <w:tcBorders>
              <w:top w:val="nil"/>
              <w:left w:val="nil"/>
              <w:bottom w:val="single" w:sz="4" w:space="0" w:color="auto"/>
              <w:right w:val="single" w:sz="4" w:space="0" w:color="auto"/>
            </w:tcBorders>
            <w:shd w:val="clear" w:color="auto" w:fill="auto"/>
            <w:noWrap/>
            <w:hideMark/>
          </w:tcPr>
          <w:p w14:paraId="32F67598" w14:textId="77777777" w:rsidR="00354DA3" w:rsidRPr="002935C2" w:rsidRDefault="00354DA3" w:rsidP="00312E88">
            <w:pPr>
              <w:jc w:val="right"/>
              <w:rPr>
                <w:rFonts w:cs="Arial"/>
                <w:color w:val="000000"/>
                <w:sz w:val="18"/>
                <w:szCs w:val="18"/>
              </w:rPr>
            </w:pPr>
            <w:r w:rsidRPr="002935C2">
              <w:rPr>
                <w:rFonts w:cs="Arial"/>
                <w:color w:val="000000"/>
                <w:sz w:val="18"/>
                <w:szCs w:val="18"/>
              </w:rPr>
              <w:t>+$0.2b</w:t>
            </w:r>
          </w:p>
        </w:tc>
      </w:tr>
      <w:tr w:rsidR="00354DA3" w:rsidRPr="002935C2" w14:paraId="48B17264" w14:textId="77777777" w:rsidTr="00496FBB">
        <w:trPr>
          <w:trHeight w:hRule="exact" w:val="737"/>
        </w:trPr>
        <w:tc>
          <w:tcPr>
            <w:tcW w:w="0" w:type="auto"/>
            <w:tcBorders>
              <w:top w:val="nil"/>
              <w:left w:val="single" w:sz="4" w:space="0" w:color="auto"/>
              <w:bottom w:val="single" w:sz="4" w:space="0" w:color="auto"/>
              <w:right w:val="single" w:sz="4" w:space="0" w:color="auto"/>
            </w:tcBorders>
            <w:shd w:val="clear" w:color="auto" w:fill="auto"/>
            <w:hideMark/>
          </w:tcPr>
          <w:p w14:paraId="03425134" w14:textId="77777777" w:rsidR="00354DA3" w:rsidRPr="002935C2" w:rsidRDefault="00354DA3" w:rsidP="00312E88">
            <w:pPr>
              <w:rPr>
                <w:rFonts w:cs="Arial"/>
                <w:b/>
                <w:bCs/>
                <w:color w:val="000000"/>
                <w:sz w:val="18"/>
                <w:szCs w:val="18"/>
              </w:rPr>
            </w:pPr>
            <w:r w:rsidRPr="002935C2">
              <w:rPr>
                <w:rFonts w:cs="Arial"/>
                <w:b/>
                <w:bCs/>
                <w:color w:val="000000"/>
                <w:sz w:val="18"/>
                <w:szCs w:val="18"/>
              </w:rPr>
              <w:t>b) Population growth and life table</w:t>
            </w:r>
            <w:r w:rsidRPr="002935C2">
              <w:rPr>
                <w:rFonts w:cs="Arial"/>
                <w:b/>
                <w:bCs/>
                <w:color w:val="000000"/>
                <w:sz w:val="18"/>
                <w:szCs w:val="18"/>
              </w:rPr>
              <w:br/>
            </w:r>
            <w:r w:rsidRPr="002935C2">
              <w:rPr>
                <w:rFonts w:cs="Arial"/>
                <w:i/>
                <w:iCs/>
                <w:color w:val="000000"/>
                <w:sz w:val="18"/>
                <w:szCs w:val="18"/>
              </w:rPr>
              <w:t>Impact of updated population growth assumptions and life table assumptions</w:t>
            </w:r>
          </w:p>
        </w:tc>
        <w:tc>
          <w:tcPr>
            <w:tcW w:w="0" w:type="auto"/>
            <w:tcBorders>
              <w:top w:val="nil"/>
              <w:left w:val="nil"/>
              <w:bottom w:val="single" w:sz="4" w:space="0" w:color="auto"/>
              <w:right w:val="single" w:sz="4" w:space="0" w:color="auto"/>
            </w:tcBorders>
            <w:shd w:val="clear" w:color="auto" w:fill="auto"/>
            <w:noWrap/>
            <w:hideMark/>
          </w:tcPr>
          <w:p w14:paraId="2231ECCB" w14:textId="77777777" w:rsidR="00354DA3" w:rsidRPr="002935C2" w:rsidRDefault="00354DA3" w:rsidP="00312E88">
            <w:pPr>
              <w:jc w:val="right"/>
              <w:rPr>
                <w:rFonts w:cs="Arial"/>
                <w:color w:val="000000"/>
                <w:sz w:val="18"/>
                <w:szCs w:val="18"/>
              </w:rPr>
            </w:pPr>
            <w:r w:rsidRPr="002935C2">
              <w:rPr>
                <w:rFonts w:cs="Arial"/>
                <w:color w:val="000000"/>
                <w:sz w:val="18"/>
                <w:szCs w:val="18"/>
              </w:rPr>
              <w:t>+$0.0b</w:t>
            </w:r>
          </w:p>
        </w:tc>
        <w:tc>
          <w:tcPr>
            <w:tcW w:w="0" w:type="auto"/>
            <w:tcBorders>
              <w:top w:val="nil"/>
              <w:left w:val="nil"/>
              <w:bottom w:val="single" w:sz="4" w:space="0" w:color="auto"/>
              <w:right w:val="single" w:sz="4" w:space="0" w:color="auto"/>
            </w:tcBorders>
            <w:shd w:val="clear" w:color="auto" w:fill="auto"/>
            <w:noWrap/>
            <w:hideMark/>
          </w:tcPr>
          <w:p w14:paraId="7055E45D" w14:textId="77777777" w:rsidR="00354DA3" w:rsidRPr="002935C2" w:rsidRDefault="00354DA3" w:rsidP="00312E88">
            <w:pPr>
              <w:jc w:val="right"/>
              <w:rPr>
                <w:rFonts w:cs="Arial"/>
                <w:color w:val="000000"/>
                <w:sz w:val="18"/>
                <w:szCs w:val="18"/>
              </w:rPr>
            </w:pPr>
            <w:r w:rsidRPr="002935C2">
              <w:rPr>
                <w:rFonts w:cs="Arial"/>
                <w:color w:val="000000"/>
                <w:sz w:val="18"/>
                <w:szCs w:val="18"/>
              </w:rPr>
              <w:t>+$0.0b</w:t>
            </w:r>
          </w:p>
        </w:tc>
        <w:tc>
          <w:tcPr>
            <w:tcW w:w="0" w:type="auto"/>
            <w:tcBorders>
              <w:top w:val="nil"/>
              <w:left w:val="nil"/>
              <w:bottom w:val="single" w:sz="4" w:space="0" w:color="auto"/>
              <w:right w:val="single" w:sz="4" w:space="0" w:color="auto"/>
            </w:tcBorders>
            <w:shd w:val="clear" w:color="auto" w:fill="auto"/>
            <w:noWrap/>
            <w:hideMark/>
          </w:tcPr>
          <w:p w14:paraId="2A26B29B" w14:textId="77777777" w:rsidR="00354DA3" w:rsidRPr="002935C2" w:rsidRDefault="00354DA3" w:rsidP="00312E88">
            <w:pPr>
              <w:jc w:val="right"/>
              <w:rPr>
                <w:rFonts w:cs="Arial"/>
                <w:color w:val="000000"/>
                <w:sz w:val="18"/>
                <w:szCs w:val="18"/>
              </w:rPr>
            </w:pPr>
            <w:r w:rsidRPr="002935C2">
              <w:rPr>
                <w:rFonts w:cs="Arial"/>
                <w:color w:val="000000"/>
                <w:sz w:val="18"/>
                <w:szCs w:val="18"/>
              </w:rPr>
              <w:t>+$0.0b</w:t>
            </w:r>
          </w:p>
        </w:tc>
        <w:tc>
          <w:tcPr>
            <w:tcW w:w="0" w:type="auto"/>
            <w:tcBorders>
              <w:top w:val="nil"/>
              <w:left w:val="nil"/>
              <w:bottom w:val="single" w:sz="4" w:space="0" w:color="auto"/>
              <w:right w:val="single" w:sz="4" w:space="0" w:color="auto"/>
            </w:tcBorders>
            <w:shd w:val="clear" w:color="auto" w:fill="auto"/>
            <w:noWrap/>
            <w:hideMark/>
          </w:tcPr>
          <w:p w14:paraId="299EB0AA" w14:textId="77777777" w:rsidR="00354DA3" w:rsidRPr="002935C2" w:rsidRDefault="00354DA3" w:rsidP="00312E88">
            <w:pPr>
              <w:jc w:val="right"/>
              <w:rPr>
                <w:rFonts w:cs="Arial"/>
                <w:color w:val="000000"/>
                <w:sz w:val="18"/>
                <w:szCs w:val="18"/>
              </w:rPr>
            </w:pPr>
            <w:r w:rsidRPr="002935C2">
              <w:rPr>
                <w:rFonts w:cs="Arial"/>
                <w:color w:val="000000"/>
                <w:sz w:val="18"/>
                <w:szCs w:val="18"/>
              </w:rPr>
              <w:t>+$0.0b</w:t>
            </w:r>
          </w:p>
        </w:tc>
        <w:tc>
          <w:tcPr>
            <w:tcW w:w="0" w:type="auto"/>
            <w:tcBorders>
              <w:top w:val="nil"/>
              <w:left w:val="nil"/>
              <w:bottom w:val="single" w:sz="4" w:space="0" w:color="auto"/>
              <w:right w:val="single" w:sz="4" w:space="0" w:color="auto"/>
            </w:tcBorders>
            <w:shd w:val="clear" w:color="auto" w:fill="auto"/>
            <w:noWrap/>
            <w:hideMark/>
          </w:tcPr>
          <w:p w14:paraId="47EC20C1" w14:textId="77777777" w:rsidR="00354DA3" w:rsidRPr="002935C2" w:rsidRDefault="00354DA3" w:rsidP="00312E88">
            <w:pPr>
              <w:jc w:val="right"/>
              <w:rPr>
                <w:rFonts w:cs="Arial"/>
                <w:color w:val="000000"/>
                <w:sz w:val="18"/>
                <w:szCs w:val="18"/>
              </w:rPr>
            </w:pPr>
            <w:r w:rsidRPr="002935C2">
              <w:rPr>
                <w:rFonts w:cs="Arial"/>
                <w:color w:val="000000"/>
                <w:sz w:val="18"/>
                <w:szCs w:val="18"/>
              </w:rPr>
              <w:t>+$0.1b</w:t>
            </w:r>
          </w:p>
        </w:tc>
      </w:tr>
      <w:tr w:rsidR="00354DA3" w:rsidRPr="002935C2" w14:paraId="3764618C" w14:textId="77777777" w:rsidTr="00496FBB">
        <w:trPr>
          <w:trHeight w:hRule="exact" w:val="567"/>
        </w:trPr>
        <w:tc>
          <w:tcPr>
            <w:tcW w:w="0" w:type="auto"/>
            <w:tcBorders>
              <w:top w:val="nil"/>
              <w:left w:val="single" w:sz="4" w:space="0" w:color="auto"/>
              <w:bottom w:val="single" w:sz="4" w:space="0" w:color="auto"/>
              <w:right w:val="single" w:sz="4" w:space="0" w:color="auto"/>
            </w:tcBorders>
            <w:shd w:val="clear" w:color="auto" w:fill="auto"/>
            <w:hideMark/>
          </w:tcPr>
          <w:p w14:paraId="5A7E3DD8" w14:textId="77777777" w:rsidR="00354DA3" w:rsidRPr="002935C2" w:rsidRDefault="00354DA3" w:rsidP="00312E88">
            <w:pPr>
              <w:rPr>
                <w:rFonts w:cs="Arial"/>
                <w:b/>
                <w:bCs/>
                <w:color w:val="000000"/>
                <w:sz w:val="18"/>
                <w:szCs w:val="18"/>
              </w:rPr>
            </w:pPr>
            <w:r w:rsidRPr="002935C2">
              <w:rPr>
                <w:rFonts w:cs="Arial"/>
                <w:b/>
                <w:bCs/>
                <w:color w:val="000000"/>
                <w:sz w:val="18"/>
                <w:szCs w:val="18"/>
              </w:rPr>
              <w:t>c) Participant projection</w:t>
            </w:r>
            <w:r w:rsidRPr="002935C2">
              <w:rPr>
                <w:rFonts w:cs="Arial"/>
                <w:b/>
                <w:bCs/>
                <w:color w:val="000000"/>
                <w:sz w:val="18"/>
                <w:szCs w:val="18"/>
              </w:rPr>
              <w:br/>
            </w:r>
            <w:r w:rsidRPr="002935C2">
              <w:rPr>
                <w:rFonts w:cs="Arial"/>
                <w:i/>
                <w:iCs/>
                <w:color w:val="000000"/>
                <w:sz w:val="18"/>
                <w:szCs w:val="18"/>
              </w:rPr>
              <w:t>Impact of new population assumptions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17674E" w14:textId="77777777" w:rsidR="00354DA3" w:rsidRPr="002935C2" w:rsidRDefault="00354DA3" w:rsidP="00312E88">
            <w:pPr>
              <w:jc w:val="right"/>
              <w:rPr>
                <w:rFonts w:cs="Arial"/>
                <w:color w:val="6B2976"/>
                <w:sz w:val="18"/>
                <w:szCs w:val="18"/>
              </w:rPr>
            </w:pPr>
            <w:r w:rsidRPr="002935C2">
              <w:rPr>
                <w:rFonts w:cs="Arial"/>
                <w:color w:val="6B2976"/>
                <w:sz w:val="18"/>
                <w:szCs w:val="18"/>
              </w:rPr>
              <w:t>-$0.1b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4E2DB06" w14:textId="77777777" w:rsidR="00354DA3" w:rsidRPr="002935C2" w:rsidRDefault="00354DA3" w:rsidP="00312E88">
            <w:pPr>
              <w:jc w:val="right"/>
              <w:rPr>
                <w:rFonts w:cs="Arial"/>
                <w:color w:val="6B2976"/>
                <w:sz w:val="18"/>
                <w:szCs w:val="18"/>
              </w:rPr>
            </w:pPr>
            <w:r w:rsidRPr="002935C2">
              <w:rPr>
                <w:rFonts w:cs="Arial"/>
                <w:color w:val="6B2976"/>
                <w:sz w:val="18"/>
                <w:szCs w:val="18"/>
              </w:rPr>
              <w:t>-$0.3b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DF95E28" w14:textId="77777777" w:rsidR="00354DA3" w:rsidRPr="002935C2" w:rsidRDefault="00354DA3" w:rsidP="00312E88">
            <w:pPr>
              <w:jc w:val="right"/>
              <w:rPr>
                <w:rFonts w:cs="Arial"/>
                <w:color w:val="6B2976"/>
                <w:sz w:val="18"/>
                <w:szCs w:val="18"/>
              </w:rPr>
            </w:pPr>
            <w:r w:rsidRPr="002935C2">
              <w:rPr>
                <w:rFonts w:cs="Arial"/>
                <w:color w:val="6B2976"/>
                <w:sz w:val="18"/>
                <w:szCs w:val="18"/>
              </w:rPr>
              <w:t>-$0.5b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9DEA71" w14:textId="77777777" w:rsidR="00354DA3" w:rsidRPr="002935C2" w:rsidRDefault="00354DA3" w:rsidP="00312E88">
            <w:pPr>
              <w:jc w:val="right"/>
              <w:rPr>
                <w:rFonts w:cs="Arial"/>
                <w:color w:val="6B2976"/>
                <w:sz w:val="18"/>
                <w:szCs w:val="18"/>
              </w:rPr>
            </w:pPr>
            <w:r w:rsidRPr="002935C2">
              <w:rPr>
                <w:rFonts w:cs="Arial"/>
                <w:color w:val="6B2976"/>
                <w:sz w:val="18"/>
                <w:szCs w:val="18"/>
              </w:rPr>
              <w:t>-$0.6b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F37B696" w14:textId="77777777" w:rsidR="00354DA3" w:rsidRPr="002935C2" w:rsidRDefault="00354DA3" w:rsidP="00312E88">
            <w:pPr>
              <w:jc w:val="right"/>
              <w:rPr>
                <w:rFonts w:cs="Arial"/>
                <w:color w:val="6B2976"/>
                <w:sz w:val="18"/>
                <w:szCs w:val="18"/>
              </w:rPr>
            </w:pPr>
            <w:r w:rsidRPr="002935C2">
              <w:rPr>
                <w:rFonts w:cs="Arial"/>
                <w:color w:val="6B2976"/>
                <w:sz w:val="18"/>
                <w:szCs w:val="18"/>
              </w:rPr>
              <w:t>-$0.6b</w:t>
            </w:r>
          </w:p>
        </w:tc>
      </w:tr>
      <w:tr w:rsidR="00354DA3" w:rsidRPr="002935C2" w14:paraId="7E3E7A9A" w14:textId="77777777" w:rsidTr="00496FBB">
        <w:trPr>
          <w:trHeight w:hRule="exact" w:val="737"/>
        </w:trPr>
        <w:tc>
          <w:tcPr>
            <w:tcW w:w="0" w:type="auto"/>
            <w:tcBorders>
              <w:top w:val="nil"/>
              <w:left w:val="single" w:sz="4" w:space="0" w:color="auto"/>
              <w:bottom w:val="single" w:sz="4" w:space="0" w:color="auto"/>
              <w:right w:val="single" w:sz="4" w:space="0" w:color="auto"/>
            </w:tcBorders>
            <w:shd w:val="clear" w:color="auto" w:fill="auto"/>
            <w:hideMark/>
          </w:tcPr>
          <w:p w14:paraId="20FF1586" w14:textId="77777777" w:rsidR="00354DA3" w:rsidRPr="002935C2" w:rsidRDefault="00354DA3" w:rsidP="00312E88">
            <w:pPr>
              <w:rPr>
                <w:rFonts w:cs="Arial"/>
                <w:b/>
                <w:bCs/>
                <w:color w:val="000000"/>
                <w:sz w:val="18"/>
                <w:szCs w:val="18"/>
              </w:rPr>
            </w:pPr>
            <w:r w:rsidRPr="002935C2">
              <w:rPr>
                <w:rFonts w:cs="Arial"/>
                <w:b/>
                <w:bCs/>
                <w:color w:val="000000"/>
                <w:sz w:val="18"/>
                <w:szCs w:val="18"/>
              </w:rPr>
              <w:t>d) Lower New Incidence assumptions</w:t>
            </w:r>
            <w:r w:rsidRPr="002935C2">
              <w:rPr>
                <w:rFonts w:cs="Arial"/>
                <w:b/>
                <w:bCs/>
                <w:color w:val="000000"/>
                <w:sz w:val="18"/>
                <w:szCs w:val="18"/>
              </w:rPr>
              <w:br/>
            </w:r>
            <w:r w:rsidRPr="002935C2">
              <w:rPr>
                <w:rFonts w:cs="Arial"/>
                <w:i/>
                <w:iCs/>
                <w:color w:val="000000"/>
                <w:sz w:val="18"/>
                <w:szCs w:val="18"/>
              </w:rPr>
              <w:t>Impact of updated new incidence assumptions for over 65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4E96B1A" w14:textId="77777777" w:rsidR="00354DA3" w:rsidRPr="002935C2" w:rsidRDefault="00354DA3" w:rsidP="00312E88">
            <w:pPr>
              <w:jc w:val="right"/>
              <w:rPr>
                <w:rFonts w:cs="Arial"/>
                <w:color w:val="6B2976"/>
                <w:sz w:val="18"/>
                <w:szCs w:val="18"/>
              </w:rPr>
            </w:pPr>
            <w:r w:rsidRPr="002935C2">
              <w:rPr>
                <w:rFonts w:cs="Arial"/>
                <w:color w:val="6B2976"/>
                <w:sz w:val="18"/>
                <w:szCs w:val="18"/>
              </w:rPr>
              <w:t>-$0.0b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9BEB1D7" w14:textId="77777777" w:rsidR="00354DA3" w:rsidRPr="002935C2" w:rsidRDefault="00354DA3" w:rsidP="00312E88">
            <w:pPr>
              <w:jc w:val="right"/>
              <w:rPr>
                <w:rFonts w:cs="Arial"/>
                <w:color w:val="6B2976"/>
                <w:sz w:val="18"/>
                <w:szCs w:val="18"/>
              </w:rPr>
            </w:pPr>
            <w:r w:rsidRPr="002935C2">
              <w:rPr>
                <w:rFonts w:cs="Arial"/>
                <w:color w:val="6B2976"/>
                <w:sz w:val="18"/>
                <w:szCs w:val="18"/>
              </w:rPr>
              <w:t>-$0.0b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3B9666F" w14:textId="77777777" w:rsidR="00354DA3" w:rsidRPr="002935C2" w:rsidRDefault="00354DA3" w:rsidP="00312E88">
            <w:pPr>
              <w:jc w:val="right"/>
              <w:rPr>
                <w:rFonts w:cs="Arial"/>
                <w:color w:val="6B2976"/>
                <w:sz w:val="18"/>
                <w:szCs w:val="18"/>
              </w:rPr>
            </w:pPr>
            <w:r w:rsidRPr="002935C2">
              <w:rPr>
                <w:rFonts w:cs="Arial"/>
                <w:color w:val="6B2976"/>
                <w:sz w:val="18"/>
                <w:szCs w:val="18"/>
              </w:rPr>
              <w:t>-$0.0b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A9BAEA7" w14:textId="77777777" w:rsidR="00354DA3" w:rsidRPr="002935C2" w:rsidRDefault="00354DA3" w:rsidP="00312E88">
            <w:pPr>
              <w:jc w:val="right"/>
              <w:rPr>
                <w:rFonts w:cs="Arial"/>
                <w:color w:val="6B2976"/>
                <w:sz w:val="18"/>
                <w:szCs w:val="18"/>
              </w:rPr>
            </w:pPr>
            <w:r w:rsidRPr="002935C2">
              <w:rPr>
                <w:rFonts w:cs="Arial"/>
                <w:color w:val="6B2976"/>
                <w:sz w:val="18"/>
                <w:szCs w:val="18"/>
              </w:rPr>
              <w:t>-$0.0b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1881FF3" w14:textId="77777777" w:rsidR="00354DA3" w:rsidRPr="002935C2" w:rsidRDefault="00354DA3" w:rsidP="00312E88">
            <w:pPr>
              <w:jc w:val="right"/>
              <w:rPr>
                <w:rFonts w:cs="Arial"/>
                <w:color w:val="6B2976"/>
                <w:sz w:val="18"/>
                <w:szCs w:val="18"/>
              </w:rPr>
            </w:pPr>
            <w:r w:rsidRPr="002935C2">
              <w:rPr>
                <w:rFonts w:cs="Arial"/>
                <w:color w:val="6B2976"/>
                <w:sz w:val="18"/>
                <w:szCs w:val="18"/>
              </w:rPr>
              <w:t>-$0.0b</w:t>
            </w:r>
          </w:p>
        </w:tc>
      </w:tr>
      <w:tr w:rsidR="00354DA3" w:rsidRPr="002935C2" w14:paraId="2EEFF99E" w14:textId="77777777" w:rsidTr="00496FBB">
        <w:trPr>
          <w:trHeight w:hRule="exact" w:val="737"/>
        </w:trPr>
        <w:tc>
          <w:tcPr>
            <w:tcW w:w="0" w:type="auto"/>
            <w:tcBorders>
              <w:top w:val="nil"/>
              <w:left w:val="single" w:sz="4" w:space="0" w:color="auto"/>
              <w:bottom w:val="single" w:sz="4" w:space="0" w:color="auto"/>
              <w:right w:val="single" w:sz="4" w:space="0" w:color="auto"/>
            </w:tcBorders>
            <w:shd w:val="clear" w:color="auto" w:fill="auto"/>
            <w:hideMark/>
          </w:tcPr>
          <w:p w14:paraId="3DF2512B" w14:textId="77777777" w:rsidR="00354DA3" w:rsidRPr="002935C2" w:rsidRDefault="00354DA3" w:rsidP="00312E88">
            <w:pPr>
              <w:rPr>
                <w:rFonts w:cs="Arial"/>
                <w:b/>
                <w:bCs/>
                <w:color w:val="000000"/>
                <w:sz w:val="18"/>
                <w:szCs w:val="18"/>
              </w:rPr>
            </w:pPr>
            <w:r w:rsidRPr="002935C2">
              <w:rPr>
                <w:rFonts w:cs="Arial"/>
                <w:b/>
                <w:bCs/>
                <w:color w:val="000000"/>
                <w:sz w:val="18"/>
                <w:szCs w:val="18"/>
              </w:rPr>
              <w:t>e) Change in exits assumptions</w:t>
            </w:r>
            <w:r w:rsidRPr="002935C2">
              <w:rPr>
                <w:rFonts w:cs="Arial"/>
                <w:b/>
                <w:bCs/>
                <w:color w:val="000000"/>
                <w:sz w:val="18"/>
                <w:szCs w:val="18"/>
              </w:rPr>
              <w:br/>
            </w:r>
            <w:r w:rsidRPr="002935C2">
              <w:rPr>
                <w:rFonts w:cs="Arial"/>
                <w:i/>
                <w:iCs/>
                <w:color w:val="000000"/>
                <w:sz w:val="18"/>
                <w:szCs w:val="18"/>
              </w:rPr>
              <w:t>Impact of lower non-mortality experience and higher mortality assumptions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420B5C4" w14:textId="77777777" w:rsidR="00354DA3" w:rsidRPr="002935C2" w:rsidRDefault="00354DA3" w:rsidP="00312E88">
            <w:pPr>
              <w:jc w:val="right"/>
              <w:rPr>
                <w:rFonts w:cs="Arial"/>
                <w:color w:val="6B2976"/>
                <w:sz w:val="18"/>
                <w:szCs w:val="18"/>
              </w:rPr>
            </w:pPr>
            <w:r w:rsidRPr="002935C2">
              <w:rPr>
                <w:rFonts w:cs="Arial"/>
                <w:color w:val="6B2976"/>
                <w:sz w:val="18"/>
                <w:szCs w:val="18"/>
              </w:rPr>
              <w:t>-$0.0b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5E9DD32" w14:textId="77777777" w:rsidR="00354DA3" w:rsidRPr="002935C2" w:rsidRDefault="00354DA3" w:rsidP="00312E88">
            <w:pPr>
              <w:jc w:val="right"/>
              <w:rPr>
                <w:rFonts w:cs="Arial"/>
                <w:color w:val="6B2976"/>
                <w:sz w:val="18"/>
                <w:szCs w:val="18"/>
              </w:rPr>
            </w:pPr>
            <w:r w:rsidRPr="002935C2">
              <w:rPr>
                <w:rFonts w:cs="Arial"/>
                <w:color w:val="6B2976"/>
                <w:sz w:val="18"/>
                <w:szCs w:val="18"/>
              </w:rPr>
              <w:t>-$0.0b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7D79B76" w14:textId="77777777" w:rsidR="00354DA3" w:rsidRPr="002935C2" w:rsidRDefault="00354DA3" w:rsidP="00312E88">
            <w:pPr>
              <w:jc w:val="right"/>
              <w:rPr>
                <w:rFonts w:cs="Arial"/>
                <w:color w:val="6B2976"/>
                <w:sz w:val="18"/>
                <w:szCs w:val="18"/>
              </w:rPr>
            </w:pPr>
            <w:r w:rsidRPr="002935C2">
              <w:rPr>
                <w:rFonts w:cs="Arial"/>
                <w:color w:val="6B2976"/>
                <w:sz w:val="18"/>
                <w:szCs w:val="18"/>
              </w:rPr>
              <w:t>-$0.0b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573BE9A" w14:textId="77777777" w:rsidR="00354DA3" w:rsidRPr="002935C2" w:rsidRDefault="00354DA3" w:rsidP="00312E88">
            <w:pPr>
              <w:jc w:val="right"/>
              <w:rPr>
                <w:rFonts w:cs="Arial"/>
                <w:color w:val="6B2976"/>
                <w:sz w:val="18"/>
                <w:szCs w:val="18"/>
              </w:rPr>
            </w:pPr>
            <w:r w:rsidRPr="002935C2">
              <w:rPr>
                <w:rFonts w:cs="Arial"/>
                <w:color w:val="6B2976"/>
                <w:sz w:val="18"/>
                <w:szCs w:val="18"/>
              </w:rPr>
              <w:t>-$0.0b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46417C0" w14:textId="77777777" w:rsidR="00354DA3" w:rsidRPr="002935C2" w:rsidRDefault="00354DA3" w:rsidP="00312E88">
            <w:pPr>
              <w:jc w:val="right"/>
              <w:rPr>
                <w:rFonts w:cs="Arial"/>
                <w:color w:val="6B2976"/>
                <w:sz w:val="18"/>
                <w:szCs w:val="18"/>
              </w:rPr>
            </w:pPr>
            <w:r w:rsidRPr="002935C2">
              <w:rPr>
                <w:rFonts w:cs="Arial"/>
                <w:color w:val="6B2976"/>
                <w:sz w:val="18"/>
                <w:szCs w:val="18"/>
              </w:rPr>
              <w:t>-$0.1b</w:t>
            </w:r>
          </w:p>
        </w:tc>
      </w:tr>
      <w:tr w:rsidR="00354DA3" w:rsidRPr="002935C2" w14:paraId="6CAB6CA9" w14:textId="77777777" w:rsidTr="00496FBB">
        <w:trPr>
          <w:trHeight w:hRule="exact" w:val="567"/>
        </w:trPr>
        <w:tc>
          <w:tcPr>
            <w:tcW w:w="0" w:type="auto"/>
            <w:tcBorders>
              <w:top w:val="nil"/>
              <w:left w:val="single" w:sz="4" w:space="0" w:color="auto"/>
              <w:bottom w:val="single" w:sz="4" w:space="0" w:color="auto"/>
              <w:right w:val="single" w:sz="4" w:space="0" w:color="auto"/>
            </w:tcBorders>
            <w:shd w:val="clear" w:color="auto" w:fill="auto"/>
            <w:hideMark/>
          </w:tcPr>
          <w:p w14:paraId="4747E635" w14:textId="77777777" w:rsidR="00354DA3" w:rsidRPr="002935C2" w:rsidRDefault="00354DA3" w:rsidP="00312E88">
            <w:pPr>
              <w:rPr>
                <w:rFonts w:cs="Arial"/>
                <w:b/>
                <w:bCs/>
                <w:color w:val="000000"/>
                <w:sz w:val="18"/>
                <w:szCs w:val="18"/>
              </w:rPr>
            </w:pPr>
            <w:r w:rsidRPr="002935C2">
              <w:rPr>
                <w:rFonts w:cs="Arial"/>
                <w:b/>
                <w:bCs/>
                <w:color w:val="000000"/>
                <w:sz w:val="18"/>
                <w:szCs w:val="18"/>
              </w:rPr>
              <w:t>f) Change in SIL Assumptions</w:t>
            </w:r>
            <w:r w:rsidRPr="002935C2">
              <w:rPr>
                <w:rFonts w:cs="Arial"/>
                <w:b/>
                <w:bCs/>
                <w:color w:val="000000"/>
                <w:sz w:val="18"/>
                <w:szCs w:val="18"/>
              </w:rPr>
              <w:br/>
            </w:r>
            <w:r w:rsidRPr="002935C2">
              <w:rPr>
                <w:rFonts w:cs="Arial"/>
                <w:i/>
                <w:iCs/>
                <w:color w:val="000000"/>
                <w:sz w:val="18"/>
                <w:szCs w:val="18"/>
              </w:rPr>
              <w:t>Impact of updated SIL propensity assumptions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C5767DB" w14:textId="77777777" w:rsidR="00354DA3" w:rsidRPr="002935C2" w:rsidRDefault="00354DA3" w:rsidP="00312E88">
            <w:pPr>
              <w:jc w:val="right"/>
              <w:rPr>
                <w:rFonts w:cs="Arial"/>
                <w:color w:val="6B2976"/>
                <w:sz w:val="18"/>
                <w:szCs w:val="18"/>
              </w:rPr>
            </w:pPr>
            <w:r w:rsidRPr="002935C2">
              <w:rPr>
                <w:rFonts w:cs="Arial"/>
                <w:color w:val="6B2976"/>
                <w:sz w:val="18"/>
                <w:szCs w:val="18"/>
              </w:rPr>
              <w:t>-$0.3b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03805EA" w14:textId="77777777" w:rsidR="00354DA3" w:rsidRPr="002935C2" w:rsidRDefault="00354DA3" w:rsidP="00312E88">
            <w:pPr>
              <w:jc w:val="right"/>
              <w:rPr>
                <w:rFonts w:cs="Arial"/>
                <w:color w:val="6B2976"/>
                <w:sz w:val="18"/>
                <w:szCs w:val="18"/>
              </w:rPr>
            </w:pPr>
            <w:r w:rsidRPr="002935C2">
              <w:rPr>
                <w:rFonts w:cs="Arial"/>
                <w:color w:val="6B2976"/>
                <w:sz w:val="18"/>
                <w:szCs w:val="18"/>
              </w:rPr>
              <w:t>-$1.0b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047B52D" w14:textId="77777777" w:rsidR="00354DA3" w:rsidRPr="002935C2" w:rsidRDefault="00354DA3" w:rsidP="00312E88">
            <w:pPr>
              <w:jc w:val="right"/>
              <w:rPr>
                <w:rFonts w:cs="Arial"/>
                <w:color w:val="6B2976"/>
                <w:sz w:val="18"/>
                <w:szCs w:val="18"/>
              </w:rPr>
            </w:pPr>
            <w:r w:rsidRPr="002935C2">
              <w:rPr>
                <w:rFonts w:cs="Arial"/>
                <w:color w:val="6B2976"/>
                <w:sz w:val="18"/>
                <w:szCs w:val="18"/>
              </w:rPr>
              <w:t>-$1.5b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9FE7104" w14:textId="77777777" w:rsidR="00354DA3" w:rsidRPr="002935C2" w:rsidRDefault="00354DA3" w:rsidP="00312E88">
            <w:pPr>
              <w:jc w:val="right"/>
              <w:rPr>
                <w:rFonts w:cs="Arial"/>
                <w:color w:val="6B2976"/>
                <w:sz w:val="18"/>
                <w:szCs w:val="18"/>
              </w:rPr>
            </w:pPr>
            <w:r w:rsidRPr="002935C2">
              <w:rPr>
                <w:rFonts w:cs="Arial"/>
                <w:color w:val="6B2976"/>
                <w:sz w:val="18"/>
                <w:szCs w:val="18"/>
              </w:rPr>
              <w:t>-$1.7b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1426F10" w14:textId="77777777" w:rsidR="00354DA3" w:rsidRPr="002935C2" w:rsidRDefault="00354DA3" w:rsidP="00312E88">
            <w:pPr>
              <w:jc w:val="right"/>
              <w:rPr>
                <w:rFonts w:cs="Arial"/>
                <w:color w:val="6B2976"/>
                <w:sz w:val="18"/>
                <w:szCs w:val="18"/>
              </w:rPr>
            </w:pPr>
            <w:r w:rsidRPr="002935C2">
              <w:rPr>
                <w:rFonts w:cs="Arial"/>
                <w:color w:val="6B2976"/>
                <w:sz w:val="18"/>
                <w:szCs w:val="18"/>
              </w:rPr>
              <w:t>-$3.0b</w:t>
            </w:r>
          </w:p>
        </w:tc>
      </w:tr>
      <w:tr w:rsidR="00354DA3" w:rsidRPr="002935C2" w14:paraId="76A3C896" w14:textId="77777777" w:rsidTr="00496FBB">
        <w:trPr>
          <w:trHeight w:hRule="exact" w:val="567"/>
        </w:trPr>
        <w:tc>
          <w:tcPr>
            <w:tcW w:w="0" w:type="auto"/>
            <w:tcBorders>
              <w:top w:val="nil"/>
              <w:left w:val="single" w:sz="4" w:space="0" w:color="auto"/>
              <w:bottom w:val="single" w:sz="4" w:space="0" w:color="auto"/>
              <w:right w:val="single" w:sz="4" w:space="0" w:color="auto"/>
            </w:tcBorders>
            <w:shd w:val="clear" w:color="auto" w:fill="auto"/>
            <w:hideMark/>
          </w:tcPr>
          <w:p w14:paraId="077483EA" w14:textId="77777777" w:rsidR="00354DA3" w:rsidRPr="002935C2" w:rsidRDefault="00354DA3" w:rsidP="00312E88">
            <w:pPr>
              <w:rPr>
                <w:rFonts w:cs="Arial"/>
                <w:b/>
                <w:bCs/>
                <w:color w:val="000000"/>
                <w:sz w:val="18"/>
                <w:szCs w:val="18"/>
              </w:rPr>
            </w:pPr>
            <w:r w:rsidRPr="002935C2">
              <w:rPr>
                <w:rFonts w:cs="Arial"/>
                <w:b/>
                <w:bCs/>
                <w:color w:val="000000"/>
                <w:sz w:val="18"/>
                <w:szCs w:val="18"/>
              </w:rPr>
              <w:t>g) SIL base payments assumptions</w:t>
            </w:r>
            <w:r w:rsidRPr="002935C2">
              <w:rPr>
                <w:rFonts w:cs="Arial"/>
                <w:b/>
                <w:bCs/>
                <w:color w:val="000000"/>
                <w:sz w:val="18"/>
                <w:szCs w:val="18"/>
              </w:rPr>
              <w:br/>
            </w:r>
            <w:r w:rsidRPr="002935C2">
              <w:rPr>
                <w:rFonts w:cs="Arial"/>
                <w:i/>
                <w:iCs/>
                <w:color w:val="000000"/>
                <w:sz w:val="18"/>
                <w:szCs w:val="18"/>
              </w:rPr>
              <w:t>Impact of updated payment assumptions for SIL only</w:t>
            </w:r>
          </w:p>
        </w:tc>
        <w:tc>
          <w:tcPr>
            <w:tcW w:w="0" w:type="auto"/>
            <w:tcBorders>
              <w:top w:val="nil"/>
              <w:left w:val="nil"/>
              <w:bottom w:val="single" w:sz="4" w:space="0" w:color="auto"/>
              <w:right w:val="single" w:sz="4" w:space="0" w:color="auto"/>
            </w:tcBorders>
            <w:shd w:val="clear" w:color="auto" w:fill="auto"/>
            <w:noWrap/>
            <w:hideMark/>
          </w:tcPr>
          <w:p w14:paraId="1BF5520C" w14:textId="77777777" w:rsidR="00354DA3" w:rsidRPr="002935C2" w:rsidRDefault="00354DA3" w:rsidP="00312E88">
            <w:pPr>
              <w:jc w:val="right"/>
              <w:rPr>
                <w:rFonts w:cs="Arial"/>
                <w:color w:val="000000"/>
                <w:sz w:val="18"/>
                <w:szCs w:val="18"/>
              </w:rPr>
            </w:pPr>
            <w:r w:rsidRPr="002935C2">
              <w:rPr>
                <w:rFonts w:cs="Arial"/>
                <w:color w:val="000000"/>
                <w:sz w:val="18"/>
                <w:szCs w:val="18"/>
              </w:rPr>
              <w:t>+$0.5b</w:t>
            </w:r>
          </w:p>
        </w:tc>
        <w:tc>
          <w:tcPr>
            <w:tcW w:w="0" w:type="auto"/>
            <w:tcBorders>
              <w:top w:val="nil"/>
              <w:left w:val="nil"/>
              <w:bottom w:val="single" w:sz="4" w:space="0" w:color="auto"/>
              <w:right w:val="single" w:sz="4" w:space="0" w:color="auto"/>
            </w:tcBorders>
            <w:shd w:val="clear" w:color="auto" w:fill="auto"/>
            <w:noWrap/>
            <w:hideMark/>
          </w:tcPr>
          <w:p w14:paraId="2D594604" w14:textId="77777777" w:rsidR="00354DA3" w:rsidRPr="002935C2" w:rsidRDefault="00354DA3" w:rsidP="00312E88">
            <w:pPr>
              <w:jc w:val="right"/>
              <w:rPr>
                <w:rFonts w:cs="Arial"/>
                <w:color w:val="000000"/>
                <w:sz w:val="18"/>
                <w:szCs w:val="18"/>
              </w:rPr>
            </w:pPr>
            <w:r w:rsidRPr="002935C2">
              <w:rPr>
                <w:rFonts w:cs="Arial"/>
                <w:color w:val="000000"/>
                <w:sz w:val="18"/>
                <w:szCs w:val="18"/>
              </w:rPr>
              <w:t>+$0.6b</w:t>
            </w:r>
          </w:p>
        </w:tc>
        <w:tc>
          <w:tcPr>
            <w:tcW w:w="0" w:type="auto"/>
            <w:tcBorders>
              <w:top w:val="nil"/>
              <w:left w:val="nil"/>
              <w:bottom w:val="single" w:sz="4" w:space="0" w:color="auto"/>
              <w:right w:val="single" w:sz="4" w:space="0" w:color="auto"/>
            </w:tcBorders>
            <w:shd w:val="clear" w:color="auto" w:fill="auto"/>
            <w:noWrap/>
            <w:hideMark/>
          </w:tcPr>
          <w:p w14:paraId="54DFCF02" w14:textId="77777777" w:rsidR="00354DA3" w:rsidRPr="002935C2" w:rsidRDefault="00354DA3" w:rsidP="00312E88">
            <w:pPr>
              <w:jc w:val="right"/>
              <w:rPr>
                <w:rFonts w:cs="Arial"/>
                <w:color w:val="000000"/>
                <w:sz w:val="18"/>
                <w:szCs w:val="18"/>
              </w:rPr>
            </w:pPr>
            <w:r w:rsidRPr="002935C2">
              <w:rPr>
                <w:rFonts w:cs="Arial"/>
                <w:color w:val="000000"/>
                <w:sz w:val="18"/>
                <w:szCs w:val="18"/>
              </w:rPr>
              <w:t>+$0.6b</w:t>
            </w:r>
          </w:p>
        </w:tc>
        <w:tc>
          <w:tcPr>
            <w:tcW w:w="0" w:type="auto"/>
            <w:tcBorders>
              <w:top w:val="nil"/>
              <w:left w:val="nil"/>
              <w:bottom w:val="single" w:sz="4" w:space="0" w:color="auto"/>
              <w:right w:val="single" w:sz="4" w:space="0" w:color="auto"/>
            </w:tcBorders>
            <w:shd w:val="clear" w:color="auto" w:fill="auto"/>
            <w:noWrap/>
            <w:hideMark/>
          </w:tcPr>
          <w:p w14:paraId="29156B7A" w14:textId="77777777" w:rsidR="00354DA3" w:rsidRPr="002935C2" w:rsidRDefault="00354DA3" w:rsidP="00312E88">
            <w:pPr>
              <w:jc w:val="right"/>
              <w:rPr>
                <w:rFonts w:cs="Arial"/>
                <w:color w:val="000000"/>
                <w:sz w:val="18"/>
                <w:szCs w:val="18"/>
              </w:rPr>
            </w:pPr>
            <w:r w:rsidRPr="002935C2">
              <w:rPr>
                <w:rFonts w:cs="Arial"/>
                <w:color w:val="000000"/>
                <w:sz w:val="18"/>
                <w:szCs w:val="18"/>
              </w:rPr>
              <w:t>+$0.7b</w:t>
            </w:r>
          </w:p>
        </w:tc>
        <w:tc>
          <w:tcPr>
            <w:tcW w:w="0" w:type="auto"/>
            <w:tcBorders>
              <w:top w:val="nil"/>
              <w:left w:val="nil"/>
              <w:bottom w:val="single" w:sz="4" w:space="0" w:color="auto"/>
              <w:right w:val="single" w:sz="4" w:space="0" w:color="auto"/>
            </w:tcBorders>
            <w:shd w:val="clear" w:color="auto" w:fill="auto"/>
            <w:noWrap/>
            <w:hideMark/>
          </w:tcPr>
          <w:p w14:paraId="35C8E271" w14:textId="77777777" w:rsidR="00354DA3" w:rsidRPr="002935C2" w:rsidRDefault="00354DA3" w:rsidP="00312E88">
            <w:pPr>
              <w:jc w:val="right"/>
              <w:rPr>
                <w:rFonts w:cs="Arial"/>
                <w:color w:val="000000"/>
                <w:sz w:val="18"/>
                <w:szCs w:val="18"/>
              </w:rPr>
            </w:pPr>
            <w:r w:rsidRPr="002935C2">
              <w:rPr>
                <w:rFonts w:cs="Arial"/>
                <w:color w:val="000000"/>
                <w:sz w:val="18"/>
                <w:szCs w:val="18"/>
              </w:rPr>
              <w:t>+$1.0b</w:t>
            </w:r>
          </w:p>
        </w:tc>
      </w:tr>
      <w:tr w:rsidR="00354DA3" w:rsidRPr="002935C2" w14:paraId="7C4E5101" w14:textId="77777777" w:rsidTr="00496FBB">
        <w:trPr>
          <w:trHeight w:hRule="exact" w:val="737"/>
        </w:trPr>
        <w:tc>
          <w:tcPr>
            <w:tcW w:w="0" w:type="auto"/>
            <w:tcBorders>
              <w:top w:val="nil"/>
              <w:left w:val="single" w:sz="4" w:space="0" w:color="auto"/>
              <w:bottom w:val="single" w:sz="4" w:space="0" w:color="auto"/>
              <w:right w:val="single" w:sz="4" w:space="0" w:color="auto"/>
            </w:tcBorders>
            <w:shd w:val="clear" w:color="auto" w:fill="auto"/>
            <w:hideMark/>
          </w:tcPr>
          <w:p w14:paraId="045323E6" w14:textId="77777777" w:rsidR="00354DA3" w:rsidRPr="002935C2" w:rsidRDefault="00354DA3" w:rsidP="00312E88">
            <w:pPr>
              <w:rPr>
                <w:rFonts w:cs="Arial"/>
                <w:b/>
                <w:bCs/>
                <w:color w:val="000000"/>
                <w:sz w:val="18"/>
                <w:szCs w:val="18"/>
              </w:rPr>
            </w:pPr>
            <w:r w:rsidRPr="002935C2">
              <w:rPr>
                <w:rFonts w:cs="Arial"/>
                <w:b/>
                <w:bCs/>
                <w:color w:val="000000"/>
                <w:sz w:val="18"/>
                <w:szCs w:val="18"/>
              </w:rPr>
              <w:t>h) Non-SIL base payments assumptions</w:t>
            </w:r>
            <w:r w:rsidRPr="002935C2">
              <w:rPr>
                <w:rFonts w:cs="Arial"/>
                <w:b/>
                <w:bCs/>
                <w:color w:val="000000"/>
                <w:sz w:val="18"/>
                <w:szCs w:val="18"/>
              </w:rPr>
              <w:br/>
            </w:r>
            <w:r w:rsidRPr="002935C2">
              <w:rPr>
                <w:rFonts w:cs="Arial"/>
                <w:i/>
                <w:iCs/>
                <w:color w:val="000000"/>
                <w:sz w:val="18"/>
                <w:szCs w:val="18"/>
              </w:rPr>
              <w:t>Impact of updated payment assumptions for all participants</w:t>
            </w:r>
          </w:p>
        </w:tc>
        <w:tc>
          <w:tcPr>
            <w:tcW w:w="0" w:type="auto"/>
            <w:tcBorders>
              <w:top w:val="nil"/>
              <w:left w:val="nil"/>
              <w:bottom w:val="single" w:sz="4" w:space="0" w:color="auto"/>
              <w:right w:val="single" w:sz="4" w:space="0" w:color="auto"/>
            </w:tcBorders>
            <w:shd w:val="clear" w:color="auto" w:fill="auto"/>
            <w:noWrap/>
            <w:hideMark/>
          </w:tcPr>
          <w:p w14:paraId="0494D658" w14:textId="77777777" w:rsidR="00354DA3" w:rsidRPr="002935C2" w:rsidRDefault="00354DA3" w:rsidP="00312E88">
            <w:pPr>
              <w:jc w:val="right"/>
              <w:rPr>
                <w:rFonts w:cs="Arial"/>
                <w:color w:val="000000"/>
                <w:sz w:val="18"/>
                <w:szCs w:val="18"/>
              </w:rPr>
            </w:pPr>
            <w:r w:rsidRPr="002935C2">
              <w:rPr>
                <w:rFonts w:cs="Arial"/>
                <w:color w:val="000000"/>
                <w:sz w:val="18"/>
                <w:szCs w:val="18"/>
              </w:rPr>
              <w:t>+$0.3b</w:t>
            </w:r>
          </w:p>
        </w:tc>
        <w:tc>
          <w:tcPr>
            <w:tcW w:w="0" w:type="auto"/>
            <w:tcBorders>
              <w:top w:val="nil"/>
              <w:left w:val="nil"/>
              <w:bottom w:val="single" w:sz="4" w:space="0" w:color="auto"/>
              <w:right w:val="single" w:sz="4" w:space="0" w:color="auto"/>
            </w:tcBorders>
            <w:shd w:val="clear" w:color="auto" w:fill="auto"/>
            <w:noWrap/>
            <w:hideMark/>
          </w:tcPr>
          <w:p w14:paraId="5CEFB2C0" w14:textId="77777777" w:rsidR="00354DA3" w:rsidRPr="002935C2" w:rsidRDefault="00354DA3" w:rsidP="00312E88">
            <w:pPr>
              <w:jc w:val="right"/>
              <w:rPr>
                <w:rFonts w:cs="Arial"/>
                <w:color w:val="000000"/>
                <w:sz w:val="18"/>
                <w:szCs w:val="18"/>
              </w:rPr>
            </w:pPr>
            <w:r w:rsidRPr="002935C2">
              <w:rPr>
                <w:rFonts w:cs="Arial"/>
                <w:color w:val="000000"/>
                <w:sz w:val="18"/>
                <w:szCs w:val="18"/>
              </w:rPr>
              <w:t>+$0.3b</w:t>
            </w:r>
          </w:p>
        </w:tc>
        <w:tc>
          <w:tcPr>
            <w:tcW w:w="0" w:type="auto"/>
            <w:tcBorders>
              <w:top w:val="nil"/>
              <w:left w:val="nil"/>
              <w:bottom w:val="single" w:sz="4" w:space="0" w:color="auto"/>
              <w:right w:val="single" w:sz="4" w:space="0" w:color="auto"/>
            </w:tcBorders>
            <w:shd w:val="clear" w:color="auto" w:fill="auto"/>
            <w:noWrap/>
            <w:hideMark/>
          </w:tcPr>
          <w:p w14:paraId="72A96635" w14:textId="77777777" w:rsidR="00354DA3" w:rsidRPr="002935C2" w:rsidRDefault="00354DA3" w:rsidP="00312E88">
            <w:pPr>
              <w:jc w:val="right"/>
              <w:rPr>
                <w:rFonts w:cs="Arial"/>
                <w:color w:val="000000"/>
                <w:sz w:val="18"/>
                <w:szCs w:val="18"/>
              </w:rPr>
            </w:pPr>
            <w:r w:rsidRPr="002935C2">
              <w:rPr>
                <w:rFonts w:cs="Arial"/>
                <w:color w:val="000000"/>
                <w:sz w:val="18"/>
                <w:szCs w:val="18"/>
              </w:rPr>
              <w:t>+$0.3b</w:t>
            </w:r>
          </w:p>
        </w:tc>
        <w:tc>
          <w:tcPr>
            <w:tcW w:w="0" w:type="auto"/>
            <w:tcBorders>
              <w:top w:val="nil"/>
              <w:left w:val="nil"/>
              <w:bottom w:val="single" w:sz="4" w:space="0" w:color="auto"/>
              <w:right w:val="single" w:sz="4" w:space="0" w:color="auto"/>
            </w:tcBorders>
            <w:shd w:val="clear" w:color="auto" w:fill="auto"/>
            <w:noWrap/>
            <w:hideMark/>
          </w:tcPr>
          <w:p w14:paraId="67C3061F" w14:textId="77777777" w:rsidR="00354DA3" w:rsidRPr="002935C2" w:rsidRDefault="00354DA3" w:rsidP="00312E88">
            <w:pPr>
              <w:jc w:val="right"/>
              <w:rPr>
                <w:rFonts w:cs="Arial"/>
                <w:color w:val="000000"/>
                <w:sz w:val="18"/>
                <w:szCs w:val="18"/>
              </w:rPr>
            </w:pPr>
            <w:r w:rsidRPr="002935C2">
              <w:rPr>
                <w:rFonts w:cs="Arial"/>
                <w:color w:val="000000"/>
                <w:sz w:val="18"/>
                <w:szCs w:val="18"/>
              </w:rPr>
              <w:t>+$0.3b</w:t>
            </w:r>
          </w:p>
        </w:tc>
        <w:tc>
          <w:tcPr>
            <w:tcW w:w="0" w:type="auto"/>
            <w:tcBorders>
              <w:top w:val="nil"/>
              <w:left w:val="nil"/>
              <w:bottom w:val="single" w:sz="4" w:space="0" w:color="auto"/>
              <w:right w:val="single" w:sz="4" w:space="0" w:color="auto"/>
            </w:tcBorders>
            <w:shd w:val="clear" w:color="auto" w:fill="auto"/>
            <w:noWrap/>
            <w:hideMark/>
          </w:tcPr>
          <w:p w14:paraId="3FCED1AB" w14:textId="77777777" w:rsidR="00354DA3" w:rsidRPr="002935C2" w:rsidRDefault="00354DA3" w:rsidP="00312E88">
            <w:pPr>
              <w:jc w:val="right"/>
              <w:rPr>
                <w:rFonts w:cs="Arial"/>
                <w:color w:val="000000"/>
                <w:sz w:val="18"/>
                <w:szCs w:val="18"/>
              </w:rPr>
            </w:pPr>
            <w:r w:rsidRPr="002935C2">
              <w:rPr>
                <w:rFonts w:cs="Arial"/>
                <w:color w:val="000000"/>
                <w:sz w:val="18"/>
                <w:szCs w:val="18"/>
              </w:rPr>
              <w:t>+$0.4b</w:t>
            </w:r>
          </w:p>
        </w:tc>
      </w:tr>
      <w:tr w:rsidR="00354DA3" w:rsidRPr="002935C2" w14:paraId="7E99E205" w14:textId="77777777" w:rsidTr="00496FBB">
        <w:trPr>
          <w:trHeight w:hRule="exact" w:val="567"/>
        </w:trPr>
        <w:tc>
          <w:tcPr>
            <w:tcW w:w="0" w:type="auto"/>
            <w:tcBorders>
              <w:top w:val="nil"/>
              <w:left w:val="single" w:sz="4" w:space="0" w:color="auto"/>
              <w:bottom w:val="single" w:sz="4" w:space="0" w:color="auto"/>
              <w:right w:val="single" w:sz="4" w:space="0" w:color="auto"/>
            </w:tcBorders>
            <w:shd w:val="clear" w:color="auto" w:fill="auto"/>
            <w:hideMark/>
          </w:tcPr>
          <w:p w14:paraId="638682EE" w14:textId="77777777" w:rsidR="00354DA3" w:rsidRPr="002935C2" w:rsidRDefault="00354DA3" w:rsidP="00312E88">
            <w:pPr>
              <w:rPr>
                <w:rFonts w:cs="Arial"/>
                <w:b/>
                <w:bCs/>
                <w:color w:val="000000"/>
                <w:sz w:val="18"/>
                <w:szCs w:val="18"/>
              </w:rPr>
            </w:pPr>
            <w:r w:rsidRPr="002935C2">
              <w:rPr>
                <w:rFonts w:cs="Arial"/>
                <w:b/>
                <w:bCs/>
                <w:color w:val="000000"/>
                <w:sz w:val="18"/>
                <w:szCs w:val="18"/>
              </w:rPr>
              <w:t>i) Normal inflation</w:t>
            </w:r>
            <w:r w:rsidRPr="002935C2">
              <w:rPr>
                <w:rFonts w:cs="Arial"/>
                <w:b/>
                <w:bCs/>
                <w:color w:val="000000"/>
                <w:sz w:val="18"/>
                <w:szCs w:val="18"/>
              </w:rPr>
              <w:br/>
            </w:r>
            <w:r w:rsidRPr="002935C2">
              <w:rPr>
                <w:rFonts w:cs="Arial"/>
                <w:i/>
                <w:iCs/>
                <w:color w:val="000000"/>
                <w:sz w:val="18"/>
                <w:szCs w:val="18"/>
              </w:rPr>
              <w:t>Impact of higher normal inflation assumptions</w:t>
            </w:r>
          </w:p>
        </w:tc>
        <w:tc>
          <w:tcPr>
            <w:tcW w:w="0" w:type="auto"/>
            <w:tcBorders>
              <w:top w:val="nil"/>
              <w:left w:val="nil"/>
              <w:bottom w:val="single" w:sz="4" w:space="0" w:color="auto"/>
              <w:right w:val="single" w:sz="4" w:space="0" w:color="auto"/>
            </w:tcBorders>
            <w:shd w:val="clear" w:color="auto" w:fill="auto"/>
            <w:noWrap/>
            <w:hideMark/>
          </w:tcPr>
          <w:p w14:paraId="3A59D022" w14:textId="77777777" w:rsidR="00354DA3" w:rsidRPr="002935C2" w:rsidRDefault="00354DA3" w:rsidP="00312E88">
            <w:pPr>
              <w:jc w:val="right"/>
              <w:rPr>
                <w:rFonts w:cs="Arial"/>
                <w:color w:val="000000"/>
                <w:sz w:val="18"/>
                <w:szCs w:val="18"/>
              </w:rPr>
            </w:pPr>
            <w:r w:rsidRPr="002935C2">
              <w:rPr>
                <w:rFonts w:cs="Arial"/>
                <w:color w:val="000000"/>
                <w:sz w:val="18"/>
                <w:szCs w:val="18"/>
              </w:rPr>
              <w:t>+$0.1b</w:t>
            </w:r>
          </w:p>
        </w:tc>
        <w:tc>
          <w:tcPr>
            <w:tcW w:w="0" w:type="auto"/>
            <w:tcBorders>
              <w:top w:val="nil"/>
              <w:left w:val="nil"/>
              <w:bottom w:val="single" w:sz="4" w:space="0" w:color="auto"/>
              <w:right w:val="single" w:sz="4" w:space="0" w:color="auto"/>
            </w:tcBorders>
            <w:shd w:val="clear" w:color="auto" w:fill="auto"/>
            <w:noWrap/>
            <w:hideMark/>
          </w:tcPr>
          <w:p w14:paraId="229282DE" w14:textId="77777777" w:rsidR="00354DA3" w:rsidRPr="002935C2" w:rsidRDefault="00354DA3" w:rsidP="00312E88">
            <w:pPr>
              <w:jc w:val="right"/>
              <w:rPr>
                <w:rFonts w:cs="Arial"/>
                <w:color w:val="000000"/>
                <w:sz w:val="18"/>
                <w:szCs w:val="18"/>
              </w:rPr>
            </w:pPr>
            <w:r w:rsidRPr="002935C2">
              <w:rPr>
                <w:rFonts w:cs="Arial"/>
                <w:color w:val="000000"/>
                <w:sz w:val="18"/>
                <w:szCs w:val="18"/>
              </w:rPr>
              <w:t>+$0.3b</w:t>
            </w:r>
          </w:p>
        </w:tc>
        <w:tc>
          <w:tcPr>
            <w:tcW w:w="0" w:type="auto"/>
            <w:tcBorders>
              <w:top w:val="nil"/>
              <w:left w:val="nil"/>
              <w:bottom w:val="single" w:sz="4" w:space="0" w:color="auto"/>
              <w:right w:val="single" w:sz="4" w:space="0" w:color="auto"/>
            </w:tcBorders>
            <w:shd w:val="clear" w:color="auto" w:fill="auto"/>
            <w:noWrap/>
            <w:hideMark/>
          </w:tcPr>
          <w:p w14:paraId="69B3424E" w14:textId="77777777" w:rsidR="00354DA3" w:rsidRPr="002935C2" w:rsidRDefault="00354DA3" w:rsidP="00312E88">
            <w:pPr>
              <w:jc w:val="right"/>
              <w:rPr>
                <w:rFonts w:cs="Arial"/>
                <w:color w:val="000000"/>
                <w:sz w:val="18"/>
                <w:szCs w:val="18"/>
              </w:rPr>
            </w:pPr>
            <w:r w:rsidRPr="002935C2">
              <w:rPr>
                <w:rFonts w:cs="Arial"/>
                <w:color w:val="000000"/>
                <w:sz w:val="18"/>
                <w:szCs w:val="18"/>
              </w:rPr>
              <w:t>+$0.5b</w:t>
            </w:r>
          </w:p>
        </w:tc>
        <w:tc>
          <w:tcPr>
            <w:tcW w:w="0" w:type="auto"/>
            <w:tcBorders>
              <w:top w:val="nil"/>
              <w:left w:val="nil"/>
              <w:bottom w:val="single" w:sz="4" w:space="0" w:color="auto"/>
              <w:right w:val="single" w:sz="4" w:space="0" w:color="auto"/>
            </w:tcBorders>
            <w:shd w:val="clear" w:color="auto" w:fill="auto"/>
            <w:noWrap/>
            <w:hideMark/>
          </w:tcPr>
          <w:p w14:paraId="1D03AB5D" w14:textId="77777777" w:rsidR="00354DA3" w:rsidRPr="002935C2" w:rsidRDefault="00354DA3" w:rsidP="00312E88">
            <w:pPr>
              <w:jc w:val="right"/>
              <w:rPr>
                <w:rFonts w:cs="Arial"/>
                <w:color w:val="000000"/>
                <w:sz w:val="18"/>
                <w:szCs w:val="18"/>
              </w:rPr>
            </w:pPr>
            <w:r w:rsidRPr="002935C2">
              <w:rPr>
                <w:rFonts w:cs="Arial"/>
                <w:color w:val="000000"/>
                <w:sz w:val="18"/>
                <w:szCs w:val="18"/>
              </w:rPr>
              <w:t>+$0.7b</w:t>
            </w:r>
          </w:p>
        </w:tc>
        <w:tc>
          <w:tcPr>
            <w:tcW w:w="0" w:type="auto"/>
            <w:tcBorders>
              <w:top w:val="nil"/>
              <w:left w:val="nil"/>
              <w:bottom w:val="single" w:sz="4" w:space="0" w:color="auto"/>
              <w:right w:val="single" w:sz="4" w:space="0" w:color="auto"/>
            </w:tcBorders>
            <w:shd w:val="clear" w:color="auto" w:fill="auto"/>
            <w:noWrap/>
            <w:hideMark/>
          </w:tcPr>
          <w:p w14:paraId="30D1E062" w14:textId="77777777" w:rsidR="00354DA3" w:rsidRPr="002935C2" w:rsidRDefault="00354DA3" w:rsidP="00312E88">
            <w:pPr>
              <w:jc w:val="right"/>
              <w:rPr>
                <w:rFonts w:cs="Arial"/>
                <w:color w:val="000000"/>
                <w:sz w:val="18"/>
                <w:szCs w:val="18"/>
              </w:rPr>
            </w:pPr>
            <w:r w:rsidRPr="002935C2">
              <w:rPr>
                <w:rFonts w:cs="Arial"/>
                <w:color w:val="000000"/>
                <w:sz w:val="18"/>
                <w:szCs w:val="18"/>
              </w:rPr>
              <w:t>+$1.3b</w:t>
            </w:r>
          </w:p>
        </w:tc>
      </w:tr>
      <w:tr w:rsidR="00354DA3" w:rsidRPr="002935C2" w14:paraId="319E4159" w14:textId="77777777" w:rsidTr="00496FBB">
        <w:trPr>
          <w:trHeight w:hRule="exact" w:val="567"/>
        </w:trPr>
        <w:tc>
          <w:tcPr>
            <w:tcW w:w="0" w:type="auto"/>
            <w:tcBorders>
              <w:top w:val="nil"/>
              <w:left w:val="single" w:sz="4" w:space="0" w:color="auto"/>
              <w:bottom w:val="single" w:sz="4" w:space="0" w:color="auto"/>
              <w:right w:val="single" w:sz="4" w:space="0" w:color="auto"/>
            </w:tcBorders>
            <w:shd w:val="clear" w:color="auto" w:fill="auto"/>
            <w:hideMark/>
          </w:tcPr>
          <w:p w14:paraId="7080D286" w14:textId="77777777" w:rsidR="00354DA3" w:rsidRPr="002935C2" w:rsidRDefault="00354DA3" w:rsidP="00312E88">
            <w:pPr>
              <w:rPr>
                <w:rFonts w:cs="Arial"/>
                <w:b/>
                <w:bCs/>
                <w:color w:val="000000"/>
                <w:sz w:val="18"/>
                <w:szCs w:val="18"/>
              </w:rPr>
            </w:pPr>
            <w:r w:rsidRPr="002935C2">
              <w:rPr>
                <w:rFonts w:cs="Arial"/>
                <w:b/>
                <w:bCs/>
                <w:color w:val="000000"/>
                <w:sz w:val="18"/>
                <w:szCs w:val="18"/>
              </w:rPr>
              <w:t>j) Payment adjustment - RAC</w:t>
            </w:r>
            <w:r w:rsidRPr="002935C2">
              <w:rPr>
                <w:rFonts w:cs="Arial"/>
                <w:b/>
                <w:bCs/>
                <w:color w:val="000000"/>
                <w:sz w:val="18"/>
                <w:szCs w:val="18"/>
              </w:rPr>
              <w:br/>
            </w:r>
            <w:r w:rsidRPr="002935C2">
              <w:rPr>
                <w:rFonts w:cs="Arial"/>
                <w:i/>
                <w:iCs/>
                <w:color w:val="000000"/>
                <w:sz w:val="18"/>
                <w:szCs w:val="18"/>
              </w:rPr>
              <w:t>Impact of allowing for Residential Aged Care supports</w:t>
            </w:r>
          </w:p>
        </w:tc>
        <w:tc>
          <w:tcPr>
            <w:tcW w:w="0" w:type="auto"/>
            <w:tcBorders>
              <w:top w:val="nil"/>
              <w:left w:val="nil"/>
              <w:bottom w:val="single" w:sz="4" w:space="0" w:color="auto"/>
              <w:right w:val="single" w:sz="4" w:space="0" w:color="auto"/>
            </w:tcBorders>
            <w:shd w:val="clear" w:color="auto" w:fill="auto"/>
            <w:noWrap/>
            <w:hideMark/>
          </w:tcPr>
          <w:p w14:paraId="19195080" w14:textId="77777777" w:rsidR="00354DA3" w:rsidRPr="002935C2" w:rsidRDefault="00354DA3" w:rsidP="00312E88">
            <w:pPr>
              <w:jc w:val="right"/>
              <w:rPr>
                <w:rFonts w:cs="Arial"/>
                <w:color w:val="000000"/>
                <w:sz w:val="18"/>
                <w:szCs w:val="18"/>
              </w:rPr>
            </w:pPr>
            <w:r w:rsidRPr="002935C2">
              <w:rPr>
                <w:rFonts w:cs="Arial"/>
                <w:color w:val="000000"/>
                <w:sz w:val="18"/>
                <w:szCs w:val="18"/>
              </w:rPr>
              <w:t>+$0.5b</w:t>
            </w:r>
          </w:p>
        </w:tc>
        <w:tc>
          <w:tcPr>
            <w:tcW w:w="0" w:type="auto"/>
            <w:tcBorders>
              <w:top w:val="nil"/>
              <w:left w:val="nil"/>
              <w:bottom w:val="single" w:sz="4" w:space="0" w:color="auto"/>
              <w:right w:val="single" w:sz="4" w:space="0" w:color="auto"/>
            </w:tcBorders>
            <w:shd w:val="clear" w:color="auto" w:fill="auto"/>
            <w:noWrap/>
            <w:hideMark/>
          </w:tcPr>
          <w:p w14:paraId="7B31EEAD" w14:textId="77777777" w:rsidR="00354DA3" w:rsidRPr="002935C2" w:rsidRDefault="00354DA3" w:rsidP="00312E88">
            <w:pPr>
              <w:jc w:val="right"/>
              <w:rPr>
                <w:rFonts w:cs="Arial"/>
                <w:color w:val="000000"/>
                <w:sz w:val="18"/>
                <w:szCs w:val="18"/>
              </w:rPr>
            </w:pPr>
            <w:r w:rsidRPr="002935C2">
              <w:rPr>
                <w:rFonts w:cs="Arial"/>
                <w:color w:val="000000"/>
                <w:sz w:val="18"/>
                <w:szCs w:val="18"/>
              </w:rPr>
              <w:t>+$0.5b</w:t>
            </w:r>
          </w:p>
        </w:tc>
        <w:tc>
          <w:tcPr>
            <w:tcW w:w="0" w:type="auto"/>
            <w:tcBorders>
              <w:top w:val="nil"/>
              <w:left w:val="nil"/>
              <w:bottom w:val="single" w:sz="4" w:space="0" w:color="auto"/>
              <w:right w:val="single" w:sz="4" w:space="0" w:color="auto"/>
            </w:tcBorders>
            <w:shd w:val="clear" w:color="auto" w:fill="auto"/>
            <w:noWrap/>
            <w:hideMark/>
          </w:tcPr>
          <w:p w14:paraId="459E5B2F" w14:textId="77777777" w:rsidR="00354DA3" w:rsidRPr="002935C2" w:rsidRDefault="00354DA3" w:rsidP="00312E88">
            <w:pPr>
              <w:jc w:val="right"/>
              <w:rPr>
                <w:rFonts w:cs="Arial"/>
                <w:color w:val="000000"/>
                <w:sz w:val="18"/>
                <w:szCs w:val="18"/>
              </w:rPr>
            </w:pPr>
            <w:r w:rsidRPr="002935C2">
              <w:rPr>
                <w:rFonts w:cs="Arial"/>
                <w:color w:val="000000"/>
                <w:sz w:val="18"/>
                <w:szCs w:val="18"/>
              </w:rPr>
              <w:t>+$0.5b</w:t>
            </w:r>
          </w:p>
        </w:tc>
        <w:tc>
          <w:tcPr>
            <w:tcW w:w="0" w:type="auto"/>
            <w:tcBorders>
              <w:top w:val="nil"/>
              <w:left w:val="nil"/>
              <w:bottom w:val="single" w:sz="4" w:space="0" w:color="auto"/>
              <w:right w:val="single" w:sz="4" w:space="0" w:color="auto"/>
            </w:tcBorders>
            <w:shd w:val="clear" w:color="auto" w:fill="auto"/>
            <w:noWrap/>
            <w:hideMark/>
          </w:tcPr>
          <w:p w14:paraId="671CE91F" w14:textId="77777777" w:rsidR="00354DA3" w:rsidRPr="002935C2" w:rsidRDefault="00354DA3" w:rsidP="00312E88">
            <w:pPr>
              <w:jc w:val="right"/>
              <w:rPr>
                <w:rFonts w:cs="Arial"/>
                <w:color w:val="000000"/>
                <w:sz w:val="18"/>
                <w:szCs w:val="18"/>
              </w:rPr>
            </w:pPr>
            <w:r w:rsidRPr="002935C2">
              <w:rPr>
                <w:rFonts w:cs="Arial"/>
                <w:color w:val="000000"/>
                <w:sz w:val="18"/>
                <w:szCs w:val="18"/>
              </w:rPr>
              <w:t>+$0.5b</w:t>
            </w:r>
          </w:p>
        </w:tc>
        <w:tc>
          <w:tcPr>
            <w:tcW w:w="0" w:type="auto"/>
            <w:tcBorders>
              <w:top w:val="nil"/>
              <w:left w:val="nil"/>
              <w:bottom w:val="single" w:sz="4" w:space="0" w:color="auto"/>
              <w:right w:val="single" w:sz="4" w:space="0" w:color="auto"/>
            </w:tcBorders>
            <w:shd w:val="clear" w:color="auto" w:fill="auto"/>
            <w:noWrap/>
            <w:hideMark/>
          </w:tcPr>
          <w:p w14:paraId="5B283C4D" w14:textId="77777777" w:rsidR="00354DA3" w:rsidRPr="002935C2" w:rsidRDefault="00354DA3" w:rsidP="00312E88">
            <w:pPr>
              <w:jc w:val="right"/>
              <w:rPr>
                <w:rFonts w:cs="Arial"/>
                <w:color w:val="000000"/>
                <w:sz w:val="18"/>
                <w:szCs w:val="18"/>
              </w:rPr>
            </w:pPr>
            <w:r w:rsidRPr="002935C2">
              <w:rPr>
                <w:rFonts w:cs="Arial"/>
                <w:color w:val="000000"/>
                <w:sz w:val="18"/>
                <w:szCs w:val="18"/>
              </w:rPr>
              <w:t>+$0.5b</w:t>
            </w:r>
          </w:p>
        </w:tc>
      </w:tr>
      <w:tr w:rsidR="00354DA3" w:rsidRPr="002935C2" w14:paraId="10FF598D" w14:textId="77777777" w:rsidTr="00496FBB">
        <w:trPr>
          <w:trHeight w:hRule="exact" w:val="567"/>
        </w:trPr>
        <w:tc>
          <w:tcPr>
            <w:tcW w:w="0" w:type="auto"/>
            <w:tcBorders>
              <w:top w:val="nil"/>
              <w:left w:val="single" w:sz="4" w:space="0" w:color="auto"/>
              <w:bottom w:val="single" w:sz="4" w:space="0" w:color="auto"/>
              <w:right w:val="single" w:sz="4" w:space="0" w:color="auto"/>
            </w:tcBorders>
            <w:shd w:val="clear" w:color="auto" w:fill="auto"/>
            <w:hideMark/>
          </w:tcPr>
          <w:p w14:paraId="1F3DB1F9" w14:textId="77777777" w:rsidR="00354DA3" w:rsidRPr="002935C2" w:rsidRDefault="00354DA3" w:rsidP="00312E88">
            <w:pPr>
              <w:rPr>
                <w:rFonts w:cs="Arial"/>
                <w:b/>
                <w:bCs/>
                <w:color w:val="000000"/>
                <w:sz w:val="18"/>
                <w:szCs w:val="18"/>
              </w:rPr>
            </w:pPr>
            <w:r w:rsidRPr="002935C2">
              <w:rPr>
                <w:rFonts w:cs="Arial"/>
                <w:b/>
                <w:bCs/>
                <w:color w:val="000000"/>
                <w:sz w:val="18"/>
                <w:szCs w:val="18"/>
              </w:rPr>
              <w:t>k) Superimposed inflation</w:t>
            </w:r>
            <w:r w:rsidRPr="002935C2">
              <w:rPr>
                <w:rFonts w:cs="Arial"/>
                <w:b/>
                <w:bCs/>
                <w:color w:val="000000"/>
                <w:sz w:val="18"/>
                <w:szCs w:val="18"/>
              </w:rPr>
              <w:br/>
            </w:r>
            <w:r w:rsidRPr="002935C2">
              <w:rPr>
                <w:rFonts w:cs="Arial"/>
                <w:i/>
                <w:iCs/>
                <w:color w:val="000000"/>
                <w:sz w:val="18"/>
                <w:szCs w:val="18"/>
              </w:rPr>
              <w:t>Impact of updated superimposed inflation assumptions</w:t>
            </w:r>
          </w:p>
        </w:tc>
        <w:tc>
          <w:tcPr>
            <w:tcW w:w="0" w:type="auto"/>
            <w:tcBorders>
              <w:top w:val="nil"/>
              <w:left w:val="nil"/>
              <w:bottom w:val="single" w:sz="4" w:space="0" w:color="auto"/>
              <w:right w:val="single" w:sz="4" w:space="0" w:color="auto"/>
            </w:tcBorders>
            <w:shd w:val="clear" w:color="auto" w:fill="auto"/>
            <w:noWrap/>
            <w:hideMark/>
          </w:tcPr>
          <w:p w14:paraId="1CE1719B" w14:textId="77777777" w:rsidR="00354DA3" w:rsidRPr="002935C2" w:rsidRDefault="00354DA3" w:rsidP="00312E88">
            <w:pPr>
              <w:jc w:val="right"/>
              <w:rPr>
                <w:rFonts w:cs="Arial"/>
                <w:color w:val="000000"/>
                <w:sz w:val="18"/>
                <w:szCs w:val="18"/>
              </w:rPr>
            </w:pPr>
            <w:r w:rsidRPr="002935C2">
              <w:rPr>
                <w:rFonts w:cs="Arial"/>
                <w:color w:val="000000"/>
                <w:sz w:val="18"/>
                <w:szCs w:val="18"/>
              </w:rPr>
              <w:t>+$0.2b</w:t>
            </w:r>
          </w:p>
        </w:tc>
        <w:tc>
          <w:tcPr>
            <w:tcW w:w="0" w:type="auto"/>
            <w:tcBorders>
              <w:top w:val="nil"/>
              <w:left w:val="nil"/>
              <w:bottom w:val="single" w:sz="4" w:space="0" w:color="auto"/>
              <w:right w:val="single" w:sz="4" w:space="0" w:color="auto"/>
            </w:tcBorders>
            <w:shd w:val="clear" w:color="auto" w:fill="auto"/>
            <w:noWrap/>
            <w:hideMark/>
          </w:tcPr>
          <w:p w14:paraId="0FCFFA1D" w14:textId="77777777" w:rsidR="00354DA3" w:rsidRPr="002935C2" w:rsidRDefault="00354DA3" w:rsidP="00312E88">
            <w:pPr>
              <w:jc w:val="right"/>
              <w:rPr>
                <w:rFonts w:cs="Arial"/>
                <w:color w:val="000000"/>
                <w:sz w:val="18"/>
                <w:szCs w:val="18"/>
              </w:rPr>
            </w:pPr>
            <w:r w:rsidRPr="002935C2">
              <w:rPr>
                <w:rFonts w:cs="Arial"/>
                <w:color w:val="000000"/>
                <w:sz w:val="18"/>
                <w:szCs w:val="18"/>
              </w:rPr>
              <w:t>+$0.8b</w:t>
            </w:r>
          </w:p>
        </w:tc>
        <w:tc>
          <w:tcPr>
            <w:tcW w:w="0" w:type="auto"/>
            <w:tcBorders>
              <w:top w:val="nil"/>
              <w:left w:val="nil"/>
              <w:bottom w:val="single" w:sz="4" w:space="0" w:color="auto"/>
              <w:right w:val="single" w:sz="4" w:space="0" w:color="auto"/>
            </w:tcBorders>
            <w:shd w:val="clear" w:color="auto" w:fill="auto"/>
            <w:noWrap/>
            <w:hideMark/>
          </w:tcPr>
          <w:p w14:paraId="38BAE3DB" w14:textId="77777777" w:rsidR="00354DA3" w:rsidRPr="002935C2" w:rsidRDefault="00354DA3" w:rsidP="00312E88">
            <w:pPr>
              <w:jc w:val="right"/>
              <w:rPr>
                <w:rFonts w:cs="Arial"/>
                <w:color w:val="000000"/>
                <w:sz w:val="18"/>
                <w:szCs w:val="18"/>
              </w:rPr>
            </w:pPr>
            <w:r w:rsidRPr="002935C2">
              <w:rPr>
                <w:rFonts w:cs="Arial"/>
                <w:color w:val="000000"/>
                <w:sz w:val="18"/>
                <w:szCs w:val="18"/>
              </w:rPr>
              <w:t>+$1.2b</w:t>
            </w:r>
          </w:p>
        </w:tc>
        <w:tc>
          <w:tcPr>
            <w:tcW w:w="0" w:type="auto"/>
            <w:tcBorders>
              <w:top w:val="nil"/>
              <w:left w:val="nil"/>
              <w:bottom w:val="single" w:sz="4" w:space="0" w:color="auto"/>
              <w:right w:val="single" w:sz="4" w:space="0" w:color="auto"/>
            </w:tcBorders>
            <w:shd w:val="clear" w:color="auto" w:fill="auto"/>
            <w:noWrap/>
            <w:hideMark/>
          </w:tcPr>
          <w:p w14:paraId="74C420AC" w14:textId="77777777" w:rsidR="00354DA3" w:rsidRPr="002935C2" w:rsidRDefault="00354DA3" w:rsidP="00312E88">
            <w:pPr>
              <w:jc w:val="right"/>
              <w:rPr>
                <w:rFonts w:cs="Arial"/>
                <w:color w:val="000000"/>
                <w:sz w:val="18"/>
                <w:szCs w:val="18"/>
              </w:rPr>
            </w:pPr>
            <w:r w:rsidRPr="002935C2">
              <w:rPr>
                <w:rFonts w:cs="Arial"/>
                <w:color w:val="000000"/>
                <w:sz w:val="18"/>
                <w:szCs w:val="18"/>
              </w:rPr>
              <w:t>+$1.2b</w:t>
            </w:r>
          </w:p>
        </w:tc>
        <w:tc>
          <w:tcPr>
            <w:tcW w:w="0" w:type="auto"/>
            <w:tcBorders>
              <w:top w:val="nil"/>
              <w:left w:val="nil"/>
              <w:bottom w:val="single" w:sz="4" w:space="0" w:color="auto"/>
              <w:right w:val="single" w:sz="4" w:space="0" w:color="auto"/>
            </w:tcBorders>
            <w:shd w:val="clear" w:color="auto" w:fill="auto"/>
            <w:noWrap/>
            <w:hideMark/>
          </w:tcPr>
          <w:p w14:paraId="232657B4" w14:textId="77777777" w:rsidR="00354DA3" w:rsidRPr="002935C2" w:rsidRDefault="00354DA3" w:rsidP="00312E88">
            <w:pPr>
              <w:jc w:val="right"/>
              <w:rPr>
                <w:rFonts w:cs="Arial"/>
                <w:color w:val="000000"/>
                <w:sz w:val="18"/>
                <w:szCs w:val="18"/>
              </w:rPr>
            </w:pPr>
            <w:r w:rsidRPr="002935C2">
              <w:rPr>
                <w:rFonts w:cs="Arial"/>
                <w:color w:val="000000"/>
                <w:sz w:val="18"/>
                <w:szCs w:val="18"/>
              </w:rPr>
              <w:t>+$0.8b</w:t>
            </w:r>
          </w:p>
        </w:tc>
      </w:tr>
      <w:tr w:rsidR="00354DA3" w:rsidRPr="002935C2" w14:paraId="3581FE78" w14:textId="77777777" w:rsidTr="00496FBB">
        <w:trPr>
          <w:trHeight w:hRule="exact" w:val="737"/>
        </w:trPr>
        <w:tc>
          <w:tcPr>
            <w:tcW w:w="0" w:type="auto"/>
            <w:tcBorders>
              <w:top w:val="nil"/>
              <w:left w:val="single" w:sz="4" w:space="0" w:color="auto"/>
              <w:bottom w:val="single" w:sz="4" w:space="0" w:color="auto"/>
              <w:right w:val="single" w:sz="4" w:space="0" w:color="auto"/>
            </w:tcBorders>
            <w:shd w:val="clear" w:color="auto" w:fill="auto"/>
            <w:hideMark/>
          </w:tcPr>
          <w:p w14:paraId="2F1B42CD" w14:textId="77777777" w:rsidR="00354DA3" w:rsidRPr="002935C2" w:rsidRDefault="00354DA3" w:rsidP="00312E88">
            <w:pPr>
              <w:rPr>
                <w:rFonts w:cs="Arial"/>
                <w:b/>
                <w:bCs/>
                <w:color w:val="000000"/>
                <w:sz w:val="18"/>
                <w:szCs w:val="18"/>
              </w:rPr>
            </w:pPr>
            <w:r w:rsidRPr="002935C2">
              <w:rPr>
                <w:rFonts w:cs="Arial"/>
                <w:b/>
                <w:bCs/>
                <w:color w:val="000000"/>
                <w:sz w:val="18"/>
                <w:szCs w:val="18"/>
              </w:rPr>
              <w:t xml:space="preserve">l) Lower average costs of New Entrants </w:t>
            </w:r>
            <w:r w:rsidRPr="002935C2">
              <w:rPr>
                <w:rFonts w:cs="Arial"/>
                <w:b/>
                <w:bCs/>
                <w:color w:val="000000"/>
                <w:sz w:val="18"/>
                <w:szCs w:val="18"/>
              </w:rPr>
              <w:br/>
            </w:r>
            <w:r w:rsidRPr="002935C2">
              <w:rPr>
                <w:rFonts w:cs="Arial"/>
                <w:i/>
                <w:iCs/>
                <w:color w:val="000000"/>
                <w:sz w:val="18"/>
                <w:szCs w:val="18"/>
              </w:rPr>
              <w:t>Impact of allowing for lower average costs of New Entrants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3DE7E60" w14:textId="77777777" w:rsidR="00354DA3" w:rsidRPr="002935C2" w:rsidRDefault="00354DA3" w:rsidP="00312E88">
            <w:pPr>
              <w:jc w:val="right"/>
              <w:rPr>
                <w:rFonts w:cs="Arial"/>
                <w:color w:val="6B2976"/>
                <w:sz w:val="18"/>
                <w:szCs w:val="18"/>
              </w:rPr>
            </w:pPr>
            <w:r w:rsidRPr="002935C2">
              <w:rPr>
                <w:rFonts w:cs="Arial"/>
                <w:color w:val="6B2976"/>
                <w:sz w:val="18"/>
                <w:szCs w:val="18"/>
              </w:rPr>
              <w:t>-$0.1b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9A302CA" w14:textId="77777777" w:rsidR="00354DA3" w:rsidRPr="002935C2" w:rsidRDefault="00354DA3" w:rsidP="00312E88">
            <w:pPr>
              <w:jc w:val="right"/>
              <w:rPr>
                <w:rFonts w:cs="Arial"/>
                <w:color w:val="6B2976"/>
                <w:sz w:val="18"/>
                <w:szCs w:val="18"/>
              </w:rPr>
            </w:pPr>
            <w:r w:rsidRPr="002935C2">
              <w:rPr>
                <w:rFonts w:cs="Arial"/>
                <w:color w:val="6B2976"/>
                <w:sz w:val="18"/>
                <w:szCs w:val="18"/>
              </w:rPr>
              <w:t>-$0.3b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DAED807" w14:textId="77777777" w:rsidR="00354DA3" w:rsidRPr="002935C2" w:rsidRDefault="00354DA3" w:rsidP="00312E88">
            <w:pPr>
              <w:jc w:val="right"/>
              <w:rPr>
                <w:rFonts w:cs="Arial"/>
                <w:color w:val="6B2976"/>
                <w:sz w:val="18"/>
                <w:szCs w:val="18"/>
              </w:rPr>
            </w:pPr>
            <w:r w:rsidRPr="002935C2">
              <w:rPr>
                <w:rFonts w:cs="Arial"/>
                <w:color w:val="6B2976"/>
                <w:sz w:val="18"/>
                <w:szCs w:val="18"/>
              </w:rPr>
              <w:t>-$0.6b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7A23374" w14:textId="77777777" w:rsidR="00354DA3" w:rsidRPr="002935C2" w:rsidRDefault="00354DA3" w:rsidP="00312E88">
            <w:pPr>
              <w:jc w:val="right"/>
              <w:rPr>
                <w:rFonts w:cs="Arial"/>
                <w:color w:val="6B2976"/>
                <w:sz w:val="18"/>
                <w:szCs w:val="18"/>
              </w:rPr>
            </w:pPr>
            <w:r w:rsidRPr="002935C2">
              <w:rPr>
                <w:rFonts w:cs="Arial"/>
                <w:color w:val="6B2976"/>
                <w:sz w:val="18"/>
                <w:szCs w:val="18"/>
              </w:rPr>
              <w:t>-$0.8b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49C9160" w14:textId="77777777" w:rsidR="00354DA3" w:rsidRPr="002935C2" w:rsidRDefault="00354DA3" w:rsidP="00312E88">
            <w:pPr>
              <w:jc w:val="right"/>
              <w:rPr>
                <w:rFonts w:cs="Arial"/>
                <w:color w:val="6B2976"/>
                <w:sz w:val="18"/>
                <w:szCs w:val="18"/>
              </w:rPr>
            </w:pPr>
            <w:r w:rsidRPr="002935C2">
              <w:rPr>
                <w:rFonts w:cs="Arial"/>
                <w:color w:val="6B2976"/>
                <w:sz w:val="18"/>
                <w:szCs w:val="18"/>
              </w:rPr>
              <w:t>-$1.9b</w:t>
            </w:r>
          </w:p>
        </w:tc>
      </w:tr>
      <w:tr w:rsidR="00354DA3" w:rsidRPr="002935C2" w14:paraId="3730CE10" w14:textId="77777777" w:rsidTr="00496FBB">
        <w:trPr>
          <w:trHeight w:hRule="exact" w:val="567"/>
        </w:trPr>
        <w:tc>
          <w:tcPr>
            <w:tcW w:w="0" w:type="auto"/>
            <w:tcBorders>
              <w:top w:val="nil"/>
              <w:left w:val="single" w:sz="4" w:space="0" w:color="auto"/>
              <w:bottom w:val="single" w:sz="4" w:space="0" w:color="auto"/>
              <w:right w:val="single" w:sz="4" w:space="0" w:color="auto"/>
            </w:tcBorders>
            <w:shd w:val="clear" w:color="auto" w:fill="auto"/>
            <w:hideMark/>
          </w:tcPr>
          <w:p w14:paraId="570C1F54" w14:textId="77777777" w:rsidR="00354DA3" w:rsidRPr="002935C2" w:rsidRDefault="00354DA3" w:rsidP="00312E88">
            <w:pPr>
              <w:rPr>
                <w:rFonts w:cs="Arial"/>
                <w:b/>
                <w:bCs/>
                <w:color w:val="000000"/>
                <w:sz w:val="18"/>
                <w:szCs w:val="18"/>
              </w:rPr>
            </w:pPr>
            <w:r w:rsidRPr="002935C2">
              <w:rPr>
                <w:rFonts w:cs="Arial"/>
                <w:b/>
                <w:bCs/>
                <w:color w:val="000000"/>
                <w:sz w:val="18"/>
                <w:szCs w:val="18"/>
              </w:rPr>
              <w:t>2020-21 FSR model</w:t>
            </w:r>
            <w:r w:rsidRPr="002935C2">
              <w:rPr>
                <w:rFonts w:cs="Arial"/>
                <w:b/>
                <w:bCs/>
                <w:color w:val="000000"/>
                <w:sz w:val="18"/>
                <w:szCs w:val="18"/>
              </w:rPr>
              <w:br/>
            </w:r>
            <w:r w:rsidRPr="002935C2">
              <w:rPr>
                <w:rFonts w:cs="Arial"/>
                <w:i/>
                <w:iCs/>
                <w:color w:val="000000"/>
                <w:sz w:val="18"/>
                <w:szCs w:val="18"/>
              </w:rPr>
              <w:t>Projections based on assumptions in this report</w:t>
            </w:r>
          </w:p>
        </w:tc>
        <w:tc>
          <w:tcPr>
            <w:tcW w:w="0" w:type="auto"/>
            <w:tcBorders>
              <w:top w:val="nil"/>
              <w:left w:val="nil"/>
              <w:bottom w:val="single" w:sz="4" w:space="0" w:color="auto"/>
              <w:right w:val="single" w:sz="4" w:space="0" w:color="auto"/>
            </w:tcBorders>
            <w:shd w:val="clear" w:color="auto" w:fill="auto"/>
            <w:noWrap/>
            <w:hideMark/>
          </w:tcPr>
          <w:p w14:paraId="071ABC46"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$28.8b</w:t>
            </w:r>
          </w:p>
        </w:tc>
        <w:tc>
          <w:tcPr>
            <w:tcW w:w="0" w:type="auto"/>
            <w:tcBorders>
              <w:top w:val="nil"/>
              <w:left w:val="nil"/>
              <w:bottom w:val="single" w:sz="4" w:space="0" w:color="auto"/>
              <w:right w:val="single" w:sz="4" w:space="0" w:color="auto"/>
            </w:tcBorders>
            <w:shd w:val="clear" w:color="auto" w:fill="auto"/>
            <w:noWrap/>
            <w:hideMark/>
          </w:tcPr>
          <w:p w14:paraId="27B58C58"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$33.4b</w:t>
            </w:r>
          </w:p>
        </w:tc>
        <w:tc>
          <w:tcPr>
            <w:tcW w:w="0" w:type="auto"/>
            <w:tcBorders>
              <w:top w:val="nil"/>
              <w:left w:val="nil"/>
              <w:bottom w:val="single" w:sz="4" w:space="0" w:color="auto"/>
              <w:right w:val="single" w:sz="4" w:space="0" w:color="auto"/>
            </w:tcBorders>
            <w:shd w:val="clear" w:color="auto" w:fill="auto"/>
            <w:noWrap/>
            <w:hideMark/>
          </w:tcPr>
          <w:p w14:paraId="7AD5C74F"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$37.5b</w:t>
            </w:r>
          </w:p>
        </w:tc>
        <w:tc>
          <w:tcPr>
            <w:tcW w:w="0" w:type="auto"/>
            <w:tcBorders>
              <w:top w:val="nil"/>
              <w:left w:val="nil"/>
              <w:bottom w:val="single" w:sz="4" w:space="0" w:color="auto"/>
              <w:right w:val="single" w:sz="4" w:space="0" w:color="auto"/>
            </w:tcBorders>
            <w:shd w:val="clear" w:color="auto" w:fill="auto"/>
            <w:noWrap/>
            <w:hideMark/>
          </w:tcPr>
          <w:p w14:paraId="764C1C81"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$40.8b</w:t>
            </w:r>
          </w:p>
        </w:tc>
        <w:tc>
          <w:tcPr>
            <w:tcW w:w="0" w:type="auto"/>
            <w:tcBorders>
              <w:top w:val="nil"/>
              <w:left w:val="nil"/>
              <w:bottom w:val="single" w:sz="4" w:space="0" w:color="auto"/>
              <w:right w:val="single" w:sz="4" w:space="0" w:color="auto"/>
            </w:tcBorders>
            <w:shd w:val="clear" w:color="auto" w:fill="auto"/>
            <w:noWrap/>
            <w:hideMark/>
          </w:tcPr>
          <w:p w14:paraId="60EE75F9"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$58.5b</w:t>
            </w:r>
          </w:p>
        </w:tc>
      </w:tr>
      <w:tr w:rsidR="00354DA3" w:rsidRPr="002935C2" w14:paraId="4439DAB4" w14:textId="77777777" w:rsidTr="00312E88">
        <w:trPr>
          <w:trHeight w:hRule="exact" w:val="567"/>
        </w:trPr>
        <w:tc>
          <w:tcPr>
            <w:tcW w:w="0" w:type="auto"/>
            <w:tcBorders>
              <w:top w:val="nil"/>
              <w:left w:val="single" w:sz="4" w:space="0" w:color="auto"/>
              <w:bottom w:val="single" w:sz="4" w:space="0" w:color="auto"/>
              <w:right w:val="single" w:sz="4" w:space="0" w:color="auto"/>
            </w:tcBorders>
            <w:shd w:val="clear" w:color="000000" w:fill="F7EEF7"/>
            <w:hideMark/>
          </w:tcPr>
          <w:p w14:paraId="665E1846" w14:textId="77777777" w:rsidR="00354DA3" w:rsidRPr="002935C2" w:rsidRDefault="00354DA3" w:rsidP="00312E88">
            <w:pPr>
              <w:rPr>
                <w:rFonts w:cs="Arial"/>
                <w:b/>
                <w:bCs/>
                <w:color w:val="000000"/>
                <w:sz w:val="18"/>
                <w:szCs w:val="18"/>
              </w:rPr>
            </w:pPr>
            <w:r w:rsidRPr="002935C2">
              <w:rPr>
                <w:rFonts w:cs="Arial"/>
                <w:b/>
                <w:bCs/>
                <w:color w:val="000000"/>
                <w:sz w:val="18"/>
                <w:szCs w:val="18"/>
              </w:rPr>
              <w:t>Total movement from Dec20 FSR to 2020-21 FSR model</w:t>
            </w:r>
          </w:p>
        </w:tc>
        <w:tc>
          <w:tcPr>
            <w:tcW w:w="0" w:type="auto"/>
            <w:tcBorders>
              <w:top w:val="nil"/>
              <w:left w:val="nil"/>
              <w:bottom w:val="single" w:sz="4" w:space="0" w:color="auto"/>
              <w:right w:val="single" w:sz="4" w:space="0" w:color="auto"/>
            </w:tcBorders>
            <w:shd w:val="clear" w:color="000000" w:fill="F7EEF7"/>
            <w:hideMark/>
          </w:tcPr>
          <w:p w14:paraId="42D614D0"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 xml:space="preserve">+$1.1b </w:t>
            </w:r>
            <w:r w:rsidRPr="002935C2">
              <w:rPr>
                <w:rFonts w:cs="Arial"/>
                <w:b/>
                <w:bCs/>
                <w:color w:val="000000"/>
                <w:sz w:val="18"/>
                <w:szCs w:val="18"/>
              </w:rPr>
              <w:br/>
              <w:t>(+4.1%)</w:t>
            </w:r>
          </w:p>
        </w:tc>
        <w:tc>
          <w:tcPr>
            <w:tcW w:w="0" w:type="auto"/>
            <w:tcBorders>
              <w:top w:val="nil"/>
              <w:left w:val="nil"/>
              <w:bottom w:val="single" w:sz="4" w:space="0" w:color="auto"/>
              <w:right w:val="single" w:sz="4" w:space="0" w:color="auto"/>
            </w:tcBorders>
            <w:shd w:val="clear" w:color="000000" w:fill="F7EEF7"/>
            <w:hideMark/>
          </w:tcPr>
          <w:p w14:paraId="29E9522B"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 xml:space="preserve">+$1.0b </w:t>
            </w:r>
            <w:r w:rsidRPr="002935C2">
              <w:rPr>
                <w:rFonts w:cs="Arial"/>
                <w:b/>
                <w:bCs/>
                <w:color w:val="000000"/>
                <w:sz w:val="18"/>
                <w:szCs w:val="18"/>
              </w:rPr>
              <w:br/>
              <w:t>(+3.1%)</w:t>
            </w:r>
          </w:p>
        </w:tc>
        <w:tc>
          <w:tcPr>
            <w:tcW w:w="0" w:type="auto"/>
            <w:tcBorders>
              <w:top w:val="nil"/>
              <w:left w:val="nil"/>
              <w:bottom w:val="single" w:sz="4" w:space="0" w:color="auto"/>
              <w:right w:val="single" w:sz="4" w:space="0" w:color="auto"/>
            </w:tcBorders>
            <w:shd w:val="clear" w:color="000000" w:fill="F7EEF7"/>
            <w:hideMark/>
          </w:tcPr>
          <w:p w14:paraId="770216F5"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 xml:space="preserve">+$0.8b </w:t>
            </w:r>
            <w:r w:rsidRPr="002935C2">
              <w:rPr>
                <w:rFonts w:cs="Arial"/>
                <w:b/>
                <w:bCs/>
                <w:color w:val="000000"/>
                <w:sz w:val="18"/>
                <w:szCs w:val="18"/>
              </w:rPr>
              <w:br/>
              <w:t>(+2.3%)</w:t>
            </w:r>
          </w:p>
        </w:tc>
        <w:tc>
          <w:tcPr>
            <w:tcW w:w="0" w:type="auto"/>
            <w:tcBorders>
              <w:top w:val="nil"/>
              <w:left w:val="nil"/>
              <w:bottom w:val="single" w:sz="4" w:space="0" w:color="auto"/>
              <w:right w:val="single" w:sz="4" w:space="0" w:color="auto"/>
            </w:tcBorders>
            <w:shd w:val="clear" w:color="000000" w:fill="F7EEF7"/>
            <w:hideMark/>
          </w:tcPr>
          <w:p w14:paraId="26379EF4"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 xml:space="preserve">+$0.4b </w:t>
            </w:r>
            <w:r w:rsidRPr="002935C2">
              <w:rPr>
                <w:rFonts w:cs="Arial"/>
                <w:b/>
                <w:bCs/>
                <w:color w:val="000000"/>
                <w:sz w:val="18"/>
                <w:szCs w:val="18"/>
              </w:rPr>
              <w:br/>
              <w:t>(+1.1%)</w:t>
            </w:r>
          </w:p>
        </w:tc>
        <w:tc>
          <w:tcPr>
            <w:tcW w:w="0" w:type="auto"/>
            <w:tcBorders>
              <w:top w:val="nil"/>
              <w:left w:val="nil"/>
              <w:bottom w:val="single" w:sz="4" w:space="0" w:color="auto"/>
              <w:right w:val="single" w:sz="4" w:space="0" w:color="auto"/>
            </w:tcBorders>
            <w:shd w:val="clear" w:color="000000" w:fill="F7EEF7"/>
            <w:hideMark/>
          </w:tcPr>
          <w:p w14:paraId="3ED9CA7C" w14:textId="77777777" w:rsidR="00354DA3" w:rsidRPr="002935C2" w:rsidRDefault="00354DA3" w:rsidP="00312E88">
            <w:pPr>
              <w:jc w:val="right"/>
              <w:rPr>
                <w:rFonts w:cs="Arial"/>
                <w:b/>
                <w:bCs/>
                <w:color w:val="000000"/>
                <w:sz w:val="18"/>
                <w:szCs w:val="18"/>
              </w:rPr>
            </w:pPr>
            <w:r w:rsidRPr="002935C2">
              <w:rPr>
                <w:rFonts w:cs="Arial"/>
                <w:b/>
                <w:bCs/>
                <w:color w:val="000000"/>
                <w:sz w:val="18"/>
                <w:szCs w:val="18"/>
              </w:rPr>
              <w:t xml:space="preserve">-$1.4b </w:t>
            </w:r>
            <w:r w:rsidRPr="002935C2">
              <w:rPr>
                <w:rFonts w:cs="Arial"/>
                <w:b/>
                <w:bCs/>
                <w:color w:val="000000"/>
                <w:sz w:val="18"/>
                <w:szCs w:val="18"/>
              </w:rPr>
              <w:br/>
              <w:t>(-2.4%)</w:t>
            </w:r>
          </w:p>
        </w:tc>
      </w:tr>
    </w:tbl>
    <w:p w14:paraId="62AF0FF3" w14:textId="116C46CF" w:rsidR="00F90118" w:rsidRPr="009F4F8D" w:rsidRDefault="00F90118" w:rsidP="00F90118">
      <w:r w:rsidRPr="009F4F8D">
        <w:t xml:space="preserve">In 2021-22, the projected participant cost is about $1.1 billion higher than the </w:t>
      </w:r>
      <w:r w:rsidR="00FE3D83">
        <w:t>previous review</w:t>
      </w:r>
      <w:r w:rsidRPr="009F4F8D">
        <w:t xml:space="preserve">, </w:t>
      </w:r>
      <w:r>
        <w:t>mainly attributable to increase</w:t>
      </w:r>
      <w:r w:rsidR="00B37567">
        <w:t>s</w:t>
      </w:r>
      <w:r>
        <w:t xml:space="preserve"> in</w:t>
      </w:r>
      <w:r w:rsidRPr="009F4F8D">
        <w:t xml:space="preserve"> </w:t>
      </w:r>
      <w:r w:rsidR="00FE3D83">
        <w:t xml:space="preserve">base </w:t>
      </w:r>
      <w:r w:rsidRPr="009F4F8D">
        <w:t xml:space="preserve">payment </w:t>
      </w:r>
      <w:r w:rsidR="00562ADB">
        <w:t xml:space="preserve">and inflation </w:t>
      </w:r>
      <w:r w:rsidRPr="009F4F8D">
        <w:t xml:space="preserve">assumptions by support category, which reflect the higher than expected average payments experience over the past 12 months. </w:t>
      </w:r>
    </w:p>
    <w:p w14:paraId="7103C1C1" w14:textId="38039A6B" w:rsidR="00F90118" w:rsidRPr="009F4F8D" w:rsidRDefault="00F90118" w:rsidP="00F90118">
      <w:r w:rsidRPr="009F4F8D">
        <w:t xml:space="preserve">While participant cost is projected to continue to </w:t>
      </w:r>
      <w:r>
        <w:t xml:space="preserve">be higher than </w:t>
      </w:r>
      <w:r w:rsidR="00FE3D83">
        <w:t>previous review</w:t>
      </w:r>
      <w:r w:rsidRPr="009F4F8D">
        <w:t>, the difference is projected to be smaller over</w:t>
      </w:r>
      <w:r w:rsidR="00735DCA">
        <w:t xml:space="preserve"> </w:t>
      </w:r>
      <w:r w:rsidRPr="009F4F8D">
        <w:t xml:space="preserve">time and, in 2029-30, the projected cost is lower than </w:t>
      </w:r>
      <w:r w:rsidR="00FE3D83">
        <w:t>previous review</w:t>
      </w:r>
      <w:r w:rsidRPr="009F4F8D">
        <w:t xml:space="preserve"> by 2.4% ($1.4</w:t>
      </w:r>
      <w:r w:rsidR="00735DCA">
        <w:t xml:space="preserve"> </w:t>
      </w:r>
      <w:r w:rsidRPr="009F4F8D">
        <w:t xml:space="preserve">billion). The reduction is mainly driven by </w:t>
      </w:r>
      <w:r>
        <w:t>the lower</w:t>
      </w:r>
      <w:r w:rsidRPr="009F4F8D">
        <w:t xml:space="preserve"> SIL </w:t>
      </w:r>
      <w:r>
        <w:t>assumptions</w:t>
      </w:r>
      <w:r w:rsidRPr="009F4F8D">
        <w:t xml:space="preserve"> as well as the lower average costs for new entrants.</w:t>
      </w:r>
    </w:p>
    <w:p w14:paraId="2A59CEB6" w14:textId="77777777" w:rsidR="00F90118" w:rsidRPr="00F90118" w:rsidRDefault="00F90118" w:rsidP="00BC1282"/>
    <w:p w14:paraId="46EBE833" w14:textId="60625C69" w:rsidR="00833DDD" w:rsidRDefault="00833DDD" w:rsidP="007B2293">
      <w:pPr>
        <w:pStyle w:val="Heading2"/>
        <w:numPr>
          <w:ilvl w:val="0"/>
          <w:numId w:val="0"/>
        </w:numPr>
        <w:ind w:left="720" w:hanging="720"/>
      </w:pPr>
      <w:bookmarkStart w:id="385" w:name="_Toc83220869"/>
      <w:bookmarkStart w:id="386" w:name="_Toc85031280"/>
      <w:r>
        <w:lastRenderedPageBreak/>
        <w:t xml:space="preserve">Appendix </w:t>
      </w:r>
      <w:r w:rsidR="000A0D48">
        <w:t>D</w:t>
      </w:r>
      <w:r>
        <w:t>: State and Territory Breakdown</w:t>
      </w:r>
      <w:bookmarkEnd w:id="385"/>
      <w:bookmarkEnd w:id="386"/>
      <w:r>
        <w:t xml:space="preserve"> </w:t>
      </w:r>
    </w:p>
    <w:p w14:paraId="39A9801F" w14:textId="339C8CDD" w:rsidR="00C967DA" w:rsidRPr="00C578EB" w:rsidRDefault="00C967DA" w:rsidP="00C967DA">
      <w:r>
        <w:t>T</w:t>
      </w:r>
      <w:r w:rsidRPr="00C578EB">
        <w:t xml:space="preserve">he projection model adopts a national view on its assumptions, and therefore its projected participant numbers and costs. A separate model has been developed to allocate projected national participant numbers and costs by State and Territory. The resulting participant numbers and costs by jurisdiction can be seen below in </w:t>
      </w:r>
      <w:r>
        <w:fldChar w:fldCharType="begin"/>
      </w:r>
      <w:r>
        <w:instrText xml:space="preserve"> REF _Ref80434606 \h </w:instrText>
      </w:r>
      <w:r>
        <w:fldChar w:fldCharType="separate"/>
      </w:r>
      <w:r w:rsidR="00E50032" w:rsidRPr="002735DF">
        <w:t xml:space="preserve">Table </w:t>
      </w:r>
      <w:r w:rsidR="00E50032">
        <w:rPr>
          <w:noProof/>
        </w:rPr>
        <w:t>66</w:t>
      </w:r>
      <w:r>
        <w:fldChar w:fldCharType="end"/>
      </w:r>
      <w:r>
        <w:t xml:space="preserve"> and </w:t>
      </w:r>
      <w:r>
        <w:fldChar w:fldCharType="begin"/>
      </w:r>
      <w:r>
        <w:instrText xml:space="preserve"> REF _Ref80434616 \h </w:instrText>
      </w:r>
      <w:r>
        <w:fldChar w:fldCharType="separate"/>
      </w:r>
      <w:r w:rsidR="00E50032" w:rsidRPr="002735DF">
        <w:t xml:space="preserve">Table </w:t>
      </w:r>
      <w:r w:rsidR="00E50032">
        <w:rPr>
          <w:noProof/>
        </w:rPr>
        <w:t>67</w:t>
      </w:r>
      <w:r>
        <w:fldChar w:fldCharType="end"/>
      </w:r>
      <w:r w:rsidRPr="00C578EB">
        <w:t>.</w:t>
      </w:r>
    </w:p>
    <w:p w14:paraId="36A4FC54" w14:textId="748FD742" w:rsidR="00C967DA" w:rsidRPr="00665A06" w:rsidRDefault="00C967DA" w:rsidP="00C967DA">
      <w:pPr>
        <w:pStyle w:val="Tables"/>
      </w:pPr>
      <w:bookmarkStart w:id="387" w:name="_Ref80434606"/>
      <w:r w:rsidRPr="002735DF">
        <w:t xml:space="preserve">Table </w:t>
      </w:r>
      <w:fldSimple w:instr=" SEQ Table \* ARABIC ">
        <w:r w:rsidR="00E50032">
          <w:rPr>
            <w:noProof/>
          </w:rPr>
          <w:t>66</w:t>
        </w:r>
      </w:fldSimple>
      <w:bookmarkEnd w:id="387"/>
      <w:r w:rsidRPr="002735DF">
        <w:t xml:space="preserve"> </w:t>
      </w:r>
      <w:r w:rsidRPr="00665A06">
        <w:t>Projected participant numbers by jurisdiction</w:t>
      </w:r>
    </w:p>
    <w:tbl>
      <w:tblPr>
        <w:tblW w:w="5003" w:type="pct"/>
        <w:tblLook w:val="04A0" w:firstRow="1" w:lastRow="0" w:firstColumn="1" w:lastColumn="0" w:noHBand="0" w:noVBand="1"/>
      </w:tblPr>
      <w:tblGrid>
        <w:gridCol w:w="1499"/>
        <w:gridCol w:w="1507"/>
        <w:gridCol w:w="1497"/>
        <w:gridCol w:w="1497"/>
        <w:gridCol w:w="1507"/>
        <w:gridCol w:w="1514"/>
      </w:tblGrid>
      <w:tr w:rsidR="00541BAB" w:rsidRPr="00B65E7C" w14:paraId="5EE02ADB" w14:textId="77777777" w:rsidTr="00312E88">
        <w:trPr>
          <w:trHeight w:val="300"/>
          <w:tblHeader/>
        </w:trPr>
        <w:tc>
          <w:tcPr>
            <w:tcW w:w="831" w:type="pct"/>
            <w:tcBorders>
              <w:top w:val="single" w:sz="4" w:space="0" w:color="auto"/>
              <w:left w:val="single" w:sz="4" w:space="0" w:color="auto"/>
              <w:bottom w:val="single" w:sz="4" w:space="0" w:color="000000"/>
              <w:right w:val="single" w:sz="4" w:space="0" w:color="auto"/>
            </w:tcBorders>
            <w:shd w:val="clear" w:color="000000" w:fill="6B2976"/>
            <w:vAlign w:val="center"/>
            <w:hideMark/>
          </w:tcPr>
          <w:p w14:paraId="42712637" w14:textId="77777777" w:rsidR="00541BAB" w:rsidRPr="00B65E7C" w:rsidRDefault="00541BAB" w:rsidP="00312E88">
            <w:pPr>
              <w:rPr>
                <w:rFonts w:cs="Arial"/>
                <w:b/>
                <w:bCs/>
                <w:color w:val="FFFFFF"/>
                <w:szCs w:val="22"/>
              </w:rPr>
            </w:pPr>
            <w:r w:rsidRPr="00B65E7C">
              <w:rPr>
                <w:rFonts w:cs="Arial"/>
                <w:b/>
                <w:bCs/>
                <w:color w:val="FFFFFF"/>
                <w:szCs w:val="22"/>
              </w:rPr>
              <w:t>Participant numbers</w:t>
            </w:r>
          </w:p>
        </w:tc>
        <w:tc>
          <w:tcPr>
            <w:tcW w:w="835" w:type="pct"/>
            <w:tcBorders>
              <w:top w:val="nil"/>
              <w:left w:val="nil"/>
              <w:bottom w:val="single" w:sz="4" w:space="0" w:color="auto"/>
              <w:right w:val="nil"/>
            </w:tcBorders>
            <w:shd w:val="clear" w:color="000000" w:fill="6B2976"/>
            <w:noWrap/>
            <w:vAlign w:val="bottom"/>
            <w:hideMark/>
          </w:tcPr>
          <w:p w14:paraId="09D3E0BA" w14:textId="77777777" w:rsidR="00541BAB" w:rsidRPr="00B65E7C" w:rsidRDefault="00541BAB" w:rsidP="00312E88">
            <w:pPr>
              <w:jc w:val="right"/>
              <w:rPr>
                <w:rFonts w:cs="Arial"/>
                <w:b/>
                <w:bCs/>
                <w:color w:val="FFFFFF"/>
                <w:szCs w:val="22"/>
              </w:rPr>
            </w:pPr>
            <w:r w:rsidRPr="00B65E7C">
              <w:rPr>
                <w:rFonts w:cs="Arial"/>
                <w:b/>
                <w:bCs/>
                <w:color w:val="FFFFFF"/>
                <w:szCs w:val="22"/>
              </w:rPr>
              <w:t>2021-22</w:t>
            </w:r>
          </w:p>
        </w:tc>
        <w:tc>
          <w:tcPr>
            <w:tcW w:w="830" w:type="pct"/>
            <w:tcBorders>
              <w:top w:val="nil"/>
              <w:left w:val="nil"/>
              <w:bottom w:val="single" w:sz="4" w:space="0" w:color="auto"/>
              <w:right w:val="nil"/>
            </w:tcBorders>
            <w:shd w:val="clear" w:color="000000" w:fill="6B2976"/>
            <w:noWrap/>
            <w:vAlign w:val="bottom"/>
            <w:hideMark/>
          </w:tcPr>
          <w:p w14:paraId="206103C2" w14:textId="77777777" w:rsidR="00541BAB" w:rsidRPr="00B65E7C" w:rsidRDefault="00541BAB" w:rsidP="00312E88">
            <w:pPr>
              <w:jc w:val="right"/>
              <w:rPr>
                <w:rFonts w:cs="Arial"/>
                <w:b/>
                <w:bCs/>
                <w:color w:val="FFFFFF"/>
                <w:szCs w:val="22"/>
              </w:rPr>
            </w:pPr>
            <w:r w:rsidRPr="00B65E7C">
              <w:rPr>
                <w:rFonts w:cs="Arial"/>
                <w:b/>
                <w:bCs/>
                <w:color w:val="FFFFFF"/>
                <w:szCs w:val="22"/>
              </w:rPr>
              <w:t>2022-23</w:t>
            </w:r>
          </w:p>
        </w:tc>
        <w:tc>
          <w:tcPr>
            <w:tcW w:w="830" w:type="pct"/>
            <w:tcBorders>
              <w:top w:val="nil"/>
              <w:left w:val="nil"/>
              <w:bottom w:val="single" w:sz="4" w:space="0" w:color="auto"/>
              <w:right w:val="nil"/>
            </w:tcBorders>
            <w:shd w:val="clear" w:color="000000" w:fill="6B2976"/>
            <w:noWrap/>
            <w:vAlign w:val="bottom"/>
            <w:hideMark/>
          </w:tcPr>
          <w:p w14:paraId="44D9E831" w14:textId="77777777" w:rsidR="00541BAB" w:rsidRPr="00B65E7C" w:rsidRDefault="00541BAB" w:rsidP="00312E88">
            <w:pPr>
              <w:jc w:val="right"/>
              <w:rPr>
                <w:rFonts w:cs="Arial"/>
                <w:b/>
                <w:bCs/>
                <w:color w:val="FFFFFF"/>
                <w:szCs w:val="22"/>
              </w:rPr>
            </w:pPr>
            <w:r w:rsidRPr="00B65E7C">
              <w:rPr>
                <w:rFonts w:cs="Arial"/>
                <w:b/>
                <w:bCs/>
                <w:color w:val="FFFFFF"/>
                <w:szCs w:val="22"/>
              </w:rPr>
              <w:t>2023-24</w:t>
            </w:r>
          </w:p>
        </w:tc>
        <w:tc>
          <w:tcPr>
            <w:tcW w:w="835" w:type="pct"/>
            <w:tcBorders>
              <w:top w:val="nil"/>
              <w:left w:val="nil"/>
              <w:bottom w:val="single" w:sz="4" w:space="0" w:color="auto"/>
              <w:right w:val="nil"/>
            </w:tcBorders>
            <w:shd w:val="clear" w:color="000000" w:fill="6B2976"/>
            <w:noWrap/>
            <w:vAlign w:val="bottom"/>
            <w:hideMark/>
          </w:tcPr>
          <w:p w14:paraId="76AD7AE9" w14:textId="77777777" w:rsidR="00541BAB" w:rsidRPr="00B65E7C" w:rsidRDefault="00541BAB" w:rsidP="00312E88">
            <w:pPr>
              <w:jc w:val="right"/>
              <w:rPr>
                <w:rFonts w:cs="Arial"/>
                <w:b/>
                <w:bCs/>
                <w:color w:val="FFFFFF"/>
                <w:szCs w:val="22"/>
              </w:rPr>
            </w:pPr>
            <w:r w:rsidRPr="00B65E7C">
              <w:rPr>
                <w:rFonts w:cs="Arial"/>
                <w:b/>
                <w:bCs/>
                <w:color w:val="FFFFFF"/>
                <w:szCs w:val="22"/>
              </w:rPr>
              <w:t>2024-25</w:t>
            </w:r>
          </w:p>
        </w:tc>
        <w:tc>
          <w:tcPr>
            <w:tcW w:w="839" w:type="pct"/>
            <w:tcBorders>
              <w:top w:val="single" w:sz="4" w:space="0" w:color="auto"/>
              <w:left w:val="dotted" w:sz="4" w:space="0" w:color="auto"/>
              <w:bottom w:val="single" w:sz="4" w:space="0" w:color="auto"/>
              <w:right w:val="single" w:sz="4" w:space="0" w:color="auto"/>
            </w:tcBorders>
            <w:shd w:val="clear" w:color="000000" w:fill="6B2976"/>
            <w:noWrap/>
            <w:vAlign w:val="bottom"/>
            <w:hideMark/>
          </w:tcPr>
          <w:p w14:paraId="7851380C" w14:textId="77777777" w:rsidR="00541BAB" w:rsidRPr="00B65E7C" w:rsidRDefault="00541BAB" w:rsidP="00312E88">
            <w:pPr>
              <w:jc w:val="right"/>
              <w:rPr>
                <w:rFonts w:cs="Arial"/>
                <w:b/>
                <w:bCs/>
                <w:color w:val="FFFFFF"/>
                <w:szCs w:val="22"/>
              </w:rPr>
            </w:pPr>
            <w:r w:rsidRPr="00B65E7C">
              <w:rPr>
                <w:rFonts w:cs="Arial"/>
                <w:b/>
                <w:bCs/>
                <w:color w:val="FFFFFF"/>
                <w:szCs w:val="22"/>
              </w:rPr>
              <w:t>2029-30</w:t>
            </w:r>
          </w:p>
        </w:tc>
      </w:tr>
      <w:tr w:rsidR="00541BAB" w:rsidRPr="00B65E7C" w14:paraId="41D51B10" w14:textId="77777777" w:rsidTr="00541BAB">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58D8EF32" w14:textId="77777777" w:rsidR="00541BAB" w:rsidRPr="00B65E7C" w:rsidRDefault="00541BAB" w:rsidP="00312E88">
            <w:pPr>
              <w:rPr>
                <w:rFonts w:cs="Arial"/>
                <w:color w:val="000000"/>
                <w:szCs w:val="22"/>
              </w:rPr>
            </w:pPr>
            <w:r w:rsidRPr="00B65E7C">
              <w:rPr>
                <w:rFonts w:cs="Arial"/>
                <w:color w:val="000000"/>
                <w:szCs w:val="22"/>
              </w:rPr>
              <w:t>NSW</w:t>
            </w:r>
          </w:p>
        </w:tc>
        <w:tc>
          <w:tcPr>
            <w:tcW w:w="835" w:type="pct"/>
            <w:tcBorders>
              <w:top w:val="nil"/>
              <w:left w:val="nil"/>
              <w:bottom w:val="nil"/>
              <w:right w:val="nil"/>
            </w:tcBorders>
            <w:shd w:val="clear" w:color="auto" w:fill="auto"/>
            <w:noWrap/>
            <w:vAlign w:val="bottom"/>
            <w:hideMark/>
          </w:tcPr>
          <w:p w14:paraId="155D30A0" w14:textId="77777777" w:rsidR="00541BAB" w:rsidRPr="00B65E7C" w:rsidRDefault="00541BAB" w:rsidP="00312E88">
            <w:pPr>
              <w:jc w:val="right"/>
              <w:rPr>
                <w:rFonts w:cs="Arial"/>
                <w:color w:val="000000"/>
                <w:szCs w:val="22"/>
              </w:rPr>
            </w:pPr>
            <w:r w:rsidRPr="00B65E7C">
              <w:rPr>
                <w:rFonts w:cs="Arial"/>
                <w:color w:val="000000"/>
                <w:szCs w:val="22"/>
              </w:rPr>
              <w:t>165,955</w:t>
            </w:r>
          </w:p>
        </w:tc>
        <w:tc>
          <w:tcPr>
            <w:tcW w:w="830" w:type="pct"/>
            <w:tcBorders>
              <w:top w:val="nil"/>
              <w:left w:val="nil"/>
              <w:bottom w:val="nil"/>
              <w:right w:val="nil"/>
            </w:tcBorders>
            <w:shd w:val="clear" w:color="auto" w:fill="auto"/>
            <w:noWrap/>
            <w:vAlign w:val="bottom"/>
            <w:hideMark/>
          </w:tcPr>
          <w:p w14:paraId="331F2D56" w14:textId="77777777" w:rsidR="00541BAB" w:rsidRPr="00B65E7C" w:rsidRDefault="00541BAB" w:rsidP="00312E88">
            <w:pPr>
              <w:jc w:val="right"/>
              <w:rPr>
                <w:rFonts w:cs="Arial"/>
                <w:color w:val="000000"/>
                <w:szCs w:val="22"/>
              </w:rPr>
            </w:pPr>
            <w:r w:rsidRPr="00B65E7C">
              <w:rPr>
                <w:rFonts w:cs="Arial"/>
                <w:color w:val="000000"/>
                <w:szCs w:val="22"/>
              </w:rPr>
              <w:t>183,194</w:t>
            </w:r>
          </w:p>
        </w:tc>
        <w:tc>
          <w:tcPr>
            <w:tcW w:w="830" w:type="pct"/>
            <w:tcBorders>
              <w:top w:val="nil"/>
              <w:left w:val="nil"/>
              <w:bottom w:val="nil"/>
              <w:right w:val="nil"/>
            </w:tcBorders>
            <w:shd w:val="clear" w:color="auto" w:fill="auto"/>
            <w:noWrap/>
            <w:vAlign w:val="bottom"/>
            <w:hideMark/>
          </w:tcPr>
          <w:p w14:paraId="4E1B1375" w14:textId="77777777" w:rsidR="00541BAB" w:rsidRPr="00B65E7C" w:rsidRDefault="00541BAB" w:rsidP="00312E88">
            <w:pPr>
              <w:jc w:val="right"/>
              <w:rPr>
                <w:rFonts w:cs="Arial"/>
                <w:color w:val="000000"/>
                <w:szCs w:val="22"/>
              </w:rPr>
            </w:pPr>
            <w:r w:rsidRPr="00B65E7C">
              <w:rPr>
                <w:rFonts w:cs="Arial"/>
                <w:color w:val="000000"/>
                <w:szCs w:val="22"/>
              </w:rPr>
              <w:t>193,967</w:t>
            </w:r>
          </w:p>
        </w:tc>
        <w:tc>
          <w:tcPr>
            <w:tcW w:w="835" w:type="pct"/>
            <w:tcBorders>
              <w:top w:val="nil"/>
              <w:left w:val="nil"/>
              <w:bottom w:val="nil"/>
              <w:right w:val="nil"/>
            </w:tcBorders>
            <w:shd w:val="clear" w:color="auto" w:fill="auto"/>
            <w:noWrap/>
            <w:vAlign w:val="bottom"/>
            <w:hideMark/>
          </w:tcPr>
          <w:p w14:paraId="7FC659D3" w14:textId="77777777" w:rsidR="00541BAB" w:rsidRPr="00B65E7C" w:rsidRDefault="00541BAB" w:rsidP="00312E88">
            <w:pPr>
              <w:jc w:val="right"/>
              <w:rPr>
                <w:rFonts w:cs="Arial"/>
                <w:color w:val="000000"/>
                <w:szCs w:val="22"/>
              </w:rPr>
            </w:pPr>
            <w:r w:rsidRPr="00B65E7C">
              <w:rPr>
                <w:rFonts w:cs="Arial"/>
                <w:color w:val="000000"/>
                <w:szCs w:val="22"/>
              </w:rPr>
              <w:t>206,298</w:t>
            </w:r>
          </w:p>
        </w:tc>
        <w:tc>
          <w:tcPr>
            <w:tcW w:w="839" w:type="pct"/>
            <w:tcBorders>
              <w:top w:val="nil"/>
              <w:left w:val="dotted" w:sz="4" w:space="0" w:color="auto"/>
              <w:bottom w:val="nil"/>
              <w:right w:val="single" w:sz="4" w:space="0" w:color="auto"/>
            </w:tcBorders>
            <w:shd w:val="clear" w:color="auto" w:fill="auto"/>
            <w:noWrap/>
            <w:vAlign w:val="bottom"/>
            <w:hideMark/>
          </w:tcPr>
          <w:p w14:paraId="7770EA30" w14:textId="77777777" w:rsidR="00541BAB" w:rsidRPr="00B65E7C" w:rsidRDefault="00541BAB" w:rsidP="00312E88">
            <w:pPr>
              <w:jc w:val="right"/>
              <w:rPr>
                <w:rFonts w:cs="Arial"/>
                <w:color w:val="000000"/>
                <w:szCs w:val="22"/>
              </w:rPr>
            </w:pPr>
            <w:r w:rsidRPr="00B65E7C">
              <w:rPr>
                <w:rFonts w:cs="Arial"/>
                <w:color w:val="000000"/>
                <w:szCs w:val="22"/>
              </w:rPr>
              <w:t>264,436</w:t>
            </w:r>
          </w:p>
        </w:tc>
      </w:tr>
      <w:tr w:rsidR="00541BAB" w:rsidRPr="00B65E7C" w14:paraId="705C373C" w14:textId="77777777" w:rsidTr="00541BAB">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277C16BF" w14:textId="77777777" w:rsidR="00541BAB" w:rsidRPr="00B65E7C" w:rsidRDefault="00541BAB" w:rsidP="00312E88">
            <w:pPr>
              <w:rPr>
                <w:rFonts w:cs="Arial"/>
                <w:color w:val="000000"/>
                <w:szCs w:val="22"/>
              </w:rPr>
            </w:pPr>
            <w:r w:rsidRPr="00B65E7C">
              <w:rPr>
                <w:rFonts w:cs="Arial"/>
                <w:color w:val="000000"/>
                <w:szCs w:val="22"/>
              </w:rPr>
              <w:t>VIC</w:t>
            </w:r>
          </w:p>
        </w:tc>
        <w:tc>
          <w:tcPr>
            <w:tcW w:w="835" w:type="pct"/>
            <w:tcBorders>
              <w:top w:val="nil"/>
              <w:left w:val="nil"/>
              <w:bottom w:val="nil"/>
              <w:right w:val="nil"/>
            </w:tcBorders>
            <w:shd w:val="clear" w:color="auto" w:fill="auto"/>
            <w:noWrap/>
            <w:vAlign w:val="bottom"/>
            <w:hideMark/>
          </w:tcPr>
          <w:p w14:paraId="5E81605F" w14:textId="77777777" w:rsidR="00541BAB" w:rsidRPr="00B65E7C" w:rsidRDefault="00541BAB" w:rsidP="00312E88">
            <w:pPr>
              <w:jc w:val="right"/>
              <w:rPr>
                <w:rFonts w:cs="Arial"/>
                <w:color w:val="000000"/>
                <w:szCs w:val="22"/>
              </w:rPr>
            </w:pPr>
            <w:r w:rsidRPr="00B65E7C">
              <w:rPr>
                <w:rFonts w:cs="Arial"/>
                <w:color w:val="000000"/>
                <w:szCs w:val="22"/>
              </w:rPr>
              <w:t>141,074</w:t>
            </w:r>
          </w:p>
        </w:tc>
        <w:tc>
          <w:tcPr>
            <w:tcW w:w="830" w:type="pct"/>
            <w:tcBorders>
              <w:top w:val="nil"/>
              <w:left w:val="nil"/>
              <w:bottom w:val="nil"/>
              <w:right w:val="nil"/>
            </w:tcBorders>
            <w:shd w:val="clear" w:color="auto" w:fill="auto"/>
            <w:noWrap/>
            <w:vAlign w:val="bottom"/>
            <w:hideMark/>
          </w:tcPr>
          <w:p w14:paraId="245B0530" w14:textId="77777777" w:rsidR="00541BAB" w:rsidRPr="00B65E7C" w:rsidRDefault="00541BAB" w:rsidP="00312E88">
            <w:pPr>
              <w:jc w:val="right"/>
              <w:rPr>
                <w:rFonts w:cs="Arial"/>
                <w:color w:val="000000"/>
                <w:szCs w:val="22"/>
              </w:rPr>
            </w:pPr>
            <w:r w:rsidRPr="00B65E7C">
              <w:rPr>
                <w:rFonts w:cs="Arial"/>
                <w:color w:val="000000"/>
                <w:szCs w:val="22"/>
              </w:rPr>
              <w:t>155,937</w:t>
            </w:r>
          </w:p>
        </w:tc>
        <w:tc>
          <w:tcPr>
            <w:tcW w:w="830" w:type="pct"/>
            <w:tcBorders>
              <w:top w:val="nil"/>
              <w:left w:val="nil"/>
              <w:bottom w:val="nil"/>
              <w:right w:val="nil"/>
            </w:tcBorders>
            <w:shd w:val="clear" w:color="auto" w:fill="auto"/>
            <w:noWrap/>
            <w:vAlign w:val="bottom"/>
            <w:hideMark/>
          </w:tcPr>
          <w:p w14:paraId="52E2D2C3" w14:textId="77777777" w:rsidR="00541BAB" w:rsidRPr="00B65E7C" w:rsidRDefault="00541BAB" w:rsidP="00312E88">
            <w:pPr>
              <w:jc w:val="right"/>
              <w:rPr>
                <w:rFonts w:cs="Arial"/>
                <w:color w:val="000000"/>
                <w:szCs w:val="22"/>
              </w:rPr>
            </w:pPr>
            <w:r w:rsidRPr="00B65E7C">
              <w:rPr>
                <w:rFonts w:cs="Arial"/>
                <w:color w:val="000000"/>
                <w:szCs w:val="22"/>
              </w:rPr>
              <w:t>168,487</w:t>
            </w:r>
          </w:p>
        </w:tc>
        <w:tc>
          <w:tcPr>
            <w:tcW w:w="835" w:type="pct"/>
            <w:tcBorders>
              <w:top w:val="nil"/>
              <w:left w:val="nil"/>
              <w:bottom w:val="nil"/>
              <w:right w:val="nil"/>
            </w:tcBorders>
            <w:shd w:val="clear" w:color="auto" w:fill="auto"/>
            <w:noWrap/>
            <w:vAlign w:val="bottom"/>
            <w:hideMark/>
          </w:tcPr>
          <w:p w14:paraId="62BC51E3" w14:textId="77777777" w:rsidR="00541BAB" w:rsidRPr="00B65E7C" w:rsidRDefault="00541BAB" w:rsidP="00312E88">
            <w:pPr>
              <w:jc w:val="right"/>
              <w:rPr>
                <w:rFonts w:cs="Arial"/>
                <w:color w:val="000000"/>
                <w:szCs w:val="22"/>
              </w:rPr>
            </w:pPr>
            <w:r w:rsidRPr="00B65E7C">
              <w:rPr>
                <w:rFonts w:cs="Arial"/>
                <w:color w:val="000000"/>
                <w:szCs w:val="22"/>
              </w:rPr>
              <w:t>179,199</w:t>
            </w:r>
          </w:p>
        </w:tc>
        <w:tc>
          <w:tcPr>
            <w:tcW w:w="839" w:type="pct"/>
            <w:tcBorders>
              <w:top w:val="nil"/>
              <w:left w:val="dotted" w:sz="4" w:space="0" w:color="auto"/>
              <w:bottom w:val="nil"/>
              <w:right w:val="single" w:sz="4" w:space="0" w:color="auto"/>
            </w:tcBorders>
            <w:shd w:val="clear" w:color="auto" w:fill="auto"/>
            <w:noWrap/>
            <w:vAlign w:val="bottom"/>
            <w:hideMark/>
          </w:tcPr>
          <w:p w14:paraId="6D9E6381" w14:textId="77777777" w:rsidR="00541BAB" w:rsidRPr="00B65E7C" w:rsidRDefault="00541BAB" w:rsidP="00312E88">
            <w:pPr>
              <w:jc w:val="right"/>
              <w:rPr>
                <w:rFonts w:cs="Arial"/>
                <w:color w:val="000000"/>
                <w:szCs w:val="22"/>
              </w:rPr>
            </w:pPr>
            <w:r w:rsidRPr="00B65E7C">
              <w:rPr>
                <w:rFonts w:cs="Arial"/>
                <w:color w:val="000000"/>
                <w:szCs w:val="22"/>
              </w:rPr>
              <w:t>229,700</w:t>
            </w:r>
          </w:p>
        </w:tc>
      </w:tr>
      <w:tr w:rsidR="00541BAB" w:rsidRPr="00B65E7C" w14:paraId="7D374E20" w14:textId="77777777" w:rsidTr="00541BAB">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1CBFDDE1" w14:textId="77777777" w:rsidR="00541BAB" w:rsidRPr="00B65E7C" w:rsidRDefault="00541BAB" w:rsidP="00312E88">
            <w:pPr>
              <w:rPr>
                <w:rFonts w:cs="Arial"/>
                <w:color w:val="000000"/>
                <w:szCs w:val="22"/>
              </w:rPr>
            </w:pPr>
            <w:r w:rsidRPr="00B65E7C">
              <w:rPr>
                <w:rFonts w:cs="Arial"/>
                <w:color w:val="000000"/>
                <w:szCs w:val="22"/>
              </w:rPr>
              <w:t>QLD</w:t>
            </w:r>
          </w:p>
        </w:tc>
        <w:tc>
          <w:tcPr>
            <w:tcW w:w="835" w:type="pct"/>
            <w:tcBorders>
              <w:top w:val="nil"/>
              <w:left w:val="nil"/>
              <w:bottom w:val="nil"/>
              <w:right w:val="nil"/>
            </w:tcBorders>
            <w:shd w:val="clear" w:color="auto" w:fill="auto"/>
            <w:noWrap/>
            <w:vAlign w:val="bottom"/>
            <w:hideMark/>
          </w:tcPr>
          <w:p w14:paraId="07AFB591" w14:textId="77777777" w:rsidR="00541BAB" w:rsidRPr="00B65E7C" w:rsidRDefault="00541BAB" w:rsidP="00312E88">
            <w:pPr>
              <w:jc w:val="right"/>
              <w:rPr>
                <w:rFonts w:cs="Arial"/>
                <w:color w:val="000000"/>
                <w:szCs w:val="22"/>
              </w:rPr>
            </w:pPr>
            <w:r w:rsidRPr="00B65E7C">
              <w:rPr>
                <w:rFonts w:cs="Arial"/>
                <w:color w:val="000000"/>
                <w:szCs w:val="22"/>
              </w:rPr>
              <w:t>108,648</w:t>
            </w:r>
          </w:p>
        </w:tc>
        <w:tc>
          <w:tcPr>
            <w:tcW w:w="830" w:type="pct"/>
            <w:tcBorders>
              <w:top w:val="nil"/>
              <w:left w:val="nil"/>
              <w:bottom w:val="nil"/>
              <w:right w:val="nil"/>
            </w:tcBorders>
            <w:shd w:val="clear" w:color="auto" w:fill="auto"/>
            <w:noWrap/>
            <w:vAlign w:val="bottom"/>
            <w:hideMark/>
          </w:tcPr>
          <w:p w14:paraId="7AD53152" w14:textId="77777777" w:rsidR="00541BAB" w:rsidRPr="00B65E7C" w:rsidRDefault="00541BAB" w:rsidP="00312E88">
            <w:pPr>
              <w:jc w:val="right"/>
              <w:rPr>
                <w:rFonts w:cs="Arial"/>
                <w:color w:val="000000"/>
                <w:szCs w:val="22"/>
              </w:rPr>
            </w:pPr>
            <w:r w:rsidRPr="00B65E7C">
              <w:rPr>
                <w:rFonts w:cs="Arial"/>
                <w:color w:val="000000"/>
                <w:szCs w:val="22"/>
              </w:rPr>
              <w:t>123,084</w:t>
            </w:r>
          </w:p>
        </w:tc>
        <w:tc>
          <w:tcPr>
            <w:tcW w:w="830" w:type="pct"/>
            <w:tcBorders>
              <w:top w:val="nil"/>
              <w:left w:val="nil"/>
              <w:bottom w:val="nil"/>
              <w:right w:val="nil"/>
            </w:tcBorders>
            <w:shd w:val="clear" w:color="auto" w:fill="auto"/>
            <w:noWrap/>
            <w:vAlign w:val="bottom"/>
            <w:hideMark/>
          </w:tcPr>
          <w:p w14:paraId="5FD21916" w14:textId="77777777" w:rsidR="00541BAB" w:rsidRPr="00B65E7C" w:rsidRDefault="00541BAB" w:rsidP="00312E88">
            <w:pPr>
              <w:jc w:val="right"/>
              <w:rPr>
                <w:rFonts w:cs="Arial"/>
                <w:color w:val="000000"/>
                <w:szCs w:val="22"/>
              </w:rPr>
            </w:pPr>
            <w:r w:rsidRPr="00B65E7C">
              <w:rPr>
                <w:rFonts w:cs="Arial"/>
                <w:color w:val="000000"/>
                <w:szCs w:val="22"/>
              </w:rPr>
              <w:t>135,275</w:t>
            </w:r>
          </w:p>
        </w:tc>
        <w:tc>
          <w:tcPr>
            <w:tcW w:w="835" w:type="pct"/>
            <w:tcBorders>
              <w:top w:val="nil"/>
              <w:left w:val="nil"/>
              <w:bottom w:val="nil"/>
              <w:right w:val="nil"/>
            </w:tcBorders>
            <w:shd w:val="clear" w:color="auto" w:fill="auto"/>
            <w:noWrap/>
            <w:vAlign w:val="bottom"/>
            <w:hideMark/>
          </w:tcPr>
          <w:p w14:paraId="1A195C67" w14:textId="77777777" w:rsidR="00541BAB" w:rsidRPr="00B65E7C" w:rsidRDefault="00541BAB" w:rsidP="00312E88">
            <w:pPr>
              <w:jc w:val="right"/>
              <w:rPr>
                <w:rFonts w:cs="Arial"/>
                <w:color w:val="000000"/>
                <w:szCs w:val="22"/>
              </w:rPr>
            </w:pPr>
            <w:r w:rsidRPr="00B65E7C">
              <w:rPr>
                <w:rFonts w:cs="Arial"/>
                <w:color w:val="000000"/>
                <w:szCs w:val="22"/>
              </w:rPr>
              <w:t>143,875</w:t>
            </w:r>
          </w:p>
        </w:tc>
        <w:tc>
          <w:tcPr>
            <w:tcW w:w="839" w:type="pct"/>
            <w:tcBorders>
              <w:top w:val="nil"/>
              <w:left w:val="dotted" w:sz="4" w:space="0" w:color="auto"/>
              <w:bottom w:val="nil"/>
              <w:right w:val="single" w:sz="4" w:space="0" w:color="auto"/>
            </w:tcBorders>
            <w:shd w:val="clear" w:color="auto" w:fill="auto"/>
            <w:noWrap/>
            <w:vAlign w:val="bottom"/>
            <w:hideMark/>
          </w:tcPr>
          <w:p w14:paraId="59FA951D" w14:textId="77777777" w:rsidR="00541BAB" w:rsidRPr="00B65E7C" w:rsidRDefault="00541BAB" w:rsidP="00312E88">
            <w:pPr>
              <w:jc w:val="right"/>
              <w:rPr>
                <w:rFonts w:cs="Arial"/>
                <w:color w:val="000000"/>
                <w:szCs w:val="22"/>
              </w:rPr>
            </w:pPr>
            <w:r w:rsidRPr="00B65E7C">
              <w:rPr>
                <w:rFonts w:cs="Arial"/>
                <w:color w:val="000000"/>
                <w:szCs w:val="22"/>
              </w:rPr>
              <w:t>184,421</w:t>
            </w:r>
          </w:p>
        </w:tc>
      </w:tr>
      <w:tr w:rsidR="00541BAB" w:rsidRPr="00B65E7C" w14:paraId="4283FC12" w14:textId="77777777" w:rsidTr="00541BAB">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4DBD2499" w14:textId="77777777" w:rsidR="00541BAB" w:rsidRPr="00B65E7C" w:rsidRDefault="00541BAB" w:rsidP="00312E88">
            <w:pPr>
              <w:rPr>
                <w:rFonts w:cs="Arial"/>
                <w:color w:val="000000"/>
                <w:szCs w:val="22"/>
              </w:rPr>
            </w:pPr>
            <w:r w:rsidRPr="00B65E7C">
              <w:rPr>
                <w:rFonts w:cs="Arial"/>
                <w:color w:val="000000"/>
                <w:szCs w:val="22"/>
              </w:rPr>
              <w:t>SA</w:t>
            </w:r>
          </w:p>
        </w:tc>
        <w:tc>
          <w:tcPr>
            <w:tcW w:w="835" w:type="pct"/>
            <w:tcBorders>
              <w:top w:val="nil"/>
              <w:left w:val="nil"/>
              <w:bottom w:val="nil"/>
              <w:right w:val="nil"/>
            </w:tcBorders>
            <w:shd w:val="clear" w:color="auto" w:fill="auto"/>
            <w:noWrap/>
            <w:vAlign w:val="bottom"/>
            <w:hideMark/>
          </w:tcPr>
          <w:p w14:paraId="6C31EEE6" w14:textId="77777777" w:rsidR="00541BAB" w:rsidRPr="00B65E7C" w:rsidRDefault="00541BAB" w:rsidP="00312E88">
            <w:pPr>
              <w:jc w:val="right"/>
              <w:rPr>
                <w:rFonts w:cs="Arial"/>
                <w:color w:val="000000"/>
                <w:szCs w:val="22"/>
              </w:rPr>
            </w:pPr>
            <w:r w:rsidRPr="00B65E7C">
              <w:rPr>
                <w:rFonts w:cs="Arial"/>
                <w:color w:val="000000"/>
                <w:szCs w:val="22"/>
              </w:rPr>
              <w:t>43,226</w:t>
            </w:r>
          </w:p>
        </w:tc>
        <w:tc>
          <w:tcPr>
            <w:tcW w:w="830" w:type="pct"/>
            <w:tcBorders>
              <w:top w:val="nil"/>
              <w:left w:val="nil"/>
              <w:bottom w:val="nil"/>
              <w:right w:val="nil"/>
            </w:tcBorders>
            <w:shd w:val="clear" w:color="auto" w:fill="auto"/>
            <w:noWrap/>
            <w:vAlign w:val="bottom"/>
            <w:hideMark/>
          </w:tcPr>
          <w:p w14:paraId="52A6EE48" w14:textId="77777777" w:rsidR="00541BAB" w:rsidRPr="00B65E7C" w:rsidRDefault="00541BAB" w:rsidP="00312E88">
            <w:pPr>
              <w:jc w:val="right"/>
              <w:rPr>
                <w:rFonts w:cs="Arial"/>
                <w:color w:val="000000"/>
                <w:szCs w:val="22"/>
              </w:rPr>
            </w:pPr>
            <w:r w:rsidRPr="00B65E7C">
              <w:rPr>
                <w:rFonts w:cs="Arial"/>
                <w:color w:val="000000"/>
                <w:szCs w:val="22"/>
              </w:rPr>
              <w:t>46,083</w:t>
            </w:r>
          </w:p>
        </w:tc>
        <w:tc>
          <w:tcPr>
            <w:tcW w:w="830" w:type="pct"/>
            <w:tcBorders>
              <w:top w:val="nil"/>
              <w:left w:val="nil"/>
              <w:bottom w:val="nil"/>
              <w:right w:val="nil"/>
            </w:tcBorders>
            <w:shd w:val="clear" w:color="auto" w:fill="auto"/>
            <w:noWrap/>
            <w:vAlign w:val="bottom"/>
            <w:hideMark/>
          </w:tcPr>
          <w:p w14:paraId="69101C64" w14:textId="77777777" w:rsidR="00541BAB" w:rsidRPr="00B65E7C" w:rsidRDefault="00541BAB" w:rsidP="00312E88">
            <w:pPr>
              <w:jc w:val="right"/>
              <w:rPr>
                <w:rFonts w:cs="Arial"/>
                <w:color w:val="000000"/>
                <w:szCs w:val="22"/>
              </w:rPr>
            </w:pPr>
            <w:r w:rsidRPr="00B65E7C">
              <w:rPr>
                <w:rFonts w:cs="Arial"/>
                <w:color w:val="000000"/>
                <w:szCs w:val="22"/>
              </w:rPr>
              <w:t>48,659</w:t>
            </w:r>
          </w:p>
        </w:tc>
        <w:tc>
          <w:tcPr>
            <w:tcW w:w="835" w:type="pct"/>
            <w:tcBorders>
              <w:top w:val="nil"/>
              <w:left w:val="nil"/>
              <w:bottom w:val="nil"/>
              <w:right w:val="nil"/>
            </w:tcBorders>
            <w:shd w:val="clear" w:color="auto" w:fill="auto"/>
            <w:noWrap/>
            <w:vAlign w:val="bottom"/>
            <w:hideMark/>
          </w:tcPr>
          <w:p w14:paraId="2A1E192C" w14:textId="77777777" w:rsidR="00541BAB" w:rsidRPr="00B65E7C" w:rsidRDefault="00541BAB" w:rsidP="00312E88">
            <w:pPr>
              <w:jc w:val="right"/>
              <w:rPr>
                <w:rFonts w:cs="Arial"/>
                <w:color w:val="000000"/>
                <w:szCs w:val="22"/>
              </w:rPr>
            </w:pPr>
            <w:r w:rsidRPr="00B65E7C">
              <w:rPr>
                <w:rFonts w:cs="Arial"/>
                <w:color w:val="000000"/>
                <w:szCs w:val="22"/>
              </w:rPr>
              <w:t>51,753</w:t>
            </w:r>
          </w:p>
        </w:tc>
        <w:tc>
          <w:tcPr>
            <w:tcW w:w="839" w:type="pct"/>
            <w:tcBorders>
              <w:top w:val="nil"/>
              <w:left w:val="dotted" w:sz="4" w:space="0" w:color="auto"/>
              <w:bottom w:val="nil"/>
              <w:right w:val="single" w:sz="4" w:space="0" w:color="auto"/>
            </w:tcBorders>
            <w:shd w:val="clear" w:color="auto" w:fill="auto"/>
            <w:noWrap/>
            <w:vAlign w:val="bottom"/>
            <w:hideMark/>
          </w:tcPr>
          <w:p w14:paraId="5FB87597" w14:textId="77777777" w:rsidR="00541BAB" w:rsidRPr="00B65E7C" w:rsidRDefault="00541BAB" w:rsidP="00312E88">
            <w:pPr>
              <w:jc w:val="right"/>
              <w:rPr>
                <w:rFonts w:cs="Arial"/>
                <w:color w:val="000000"/>
                <w:szCs w:val="22"/>
              </w:rPr>
            </w:pPr>
            <w:r w:rsidRPr="00B65E7C">
              <w:rPr>
                <w:rFonts w:cs="Arial"/>
                <w:color w:val="000000"/>
                <w:szCs w:val="22"/>
              </w:rPr>
              <w:t>66,337</w:t>
            </w:r>
          </w:p>
        </w:tc>
      </w:tr>
      <w:tr w:rsidR="00541BAB" w:rsidRPr="00B65E7C" w14:paraId="5F0A71D3" w14:textId="77777777" w:rsidTr="00541BAB">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5C6A0CB0" w14:textId="77777777" w:rsidR="00541BAB" w:rsidRPr="00B65E7C" w:rsidRDefault="00541BAB" w:rsidP="00312E88">
            <w:pPr>
              <w:rPr>
                <w:rFonts w:cs="Arial"/>
                <w:color w:val="000000"/>
                <w:szCs w:val="22"/>
              </w:rPr>
            </w:pPr>
            <w:r w:rsidRPr="00B65E7C">
              <w:rPr>
                <w:rFonts w:cs="Arial"/>
                <w:color w:val="000000"/>
                <w:szCs w:val="22"/>
              </w:rPr>
              <w:t>WA</w:t>
            </w:r>
          </w:p>
        </w:tc>
        <w:tc>
          <w:tcPr>
            <w:tcW w:w="835" w:type="pct"/>
            <w:tcBorders>
              <w:top w:val="nil"/>
              <w:left w:val="nil"/>
              <w:bottom w:val="nil"/>
              <w:right w:val="nil"/>
            </w:tcBorders>
            <w:shd w:val="clear" w:color="auto" w:fill="auto"/>
            <w:noWrap/>
            <w:vAlign w:val="bottom"/>
            <w:hideMark/>
          </w:tcPr>
          <w:p w14:paraId="6B75A715" w14:textId="77777777" w:rsidR="00541BAB" w:rsidRPr="00B65E7C" w:rsidRDefault="00541BAB" w:rsidP="00312E88">
            <w:pPr>
              <w:jc w:val="right"/>
              <w:rPr>
                <w:rFonts w:cs="Arial"/>
                <w:color w:val="000000"/>
                <w:szCs w:val="22"/>
              </w:rPr>
            </w:pPr>
            <w:r w:rsidRPr="00B65E7C">
              <w:rPr>
                <w:rFonts w:cs="Arial"/>
                <w:color w:val="000000"/>
                <w:szCs w:val="22"/>
              </w:rPr>
              <w:t>45,707</w:t>
            </w:r>
          </w:p>
        </w:tc>
        <w:tc>
          <w:tcPr>
            <w:tcW w:w="830" w:type="pct"/>
            <w:tcBorders>
              <w:top w:val="nil"/>
              <w:left w:val="nil"/>
              <w:bottom w:val="nil"/>
              <w:right w:val="nil"/>
            </w:tcBorders>
            <w:shd w:val="clear" w:color="auto" w:fill="auto"/>
            <w:noWrap/>
            <w:vAlign w:val="bottom"/>
            <w:hideMark/>
          </w:tcPr>
          <w:p w14:paraId="1B97C718" w14:textId="77777777" w:rsidR="00541BAB" w:rsidRPr="00B65E7C" w:rsidRDefault="00541BAB" w:rsidP="00312E88">
            <w:pPr>
              <w:jc w:val="right"/>
              <w:rPr>
                <w:rFonts w:cs="Arial"/>
                <w:color w:val="000000"/>
                <w:szCs w:val="22"/>
              </w:rPr>
            </w:pPr>
            <w:r w:rsidRPr="00B65E7C">
              <w:rPr>
                <w:rFonts w:cs="Arial"/>
                <w:color w:val="000000"/>
                <w:szCs w:val="22"/>
              </w:rPr>
              <w:t>50,453</w:t>
            </w:r>
          </w:p>
        </w:tc>
        <w:tc>
          <w:tcPr>
            <w:tcW w:w="830" w:type="pct"/>
            <w:tcBorders>
              <w:top w:val="nil"/>
              <w:left w:val="nil"/>
              <w:bottom w:val="nil"/>
              <w:right w:val="nil"/>
            </w:tcBorders>
            <w:shd w:val="clear" w:color="auto" w:fill="auto"/>
            <w:noWrap/>
            <w:vAlign w:val="bottom"/>
            <w:hideMark/>
          </w:tcPr>
          <w:p w14:paraId="28BD9DF1" w14:textId="77777777" w:rsidR="00541BAB" w:rsidRPr="00B65E7C" w:rsidRDefault="00541BAB" w:rsidP="00312E88">
            <w:pPr>
              <w:jc w:val="right"/>
              <w:rPr>
                <w:rFonts w:cs="Arial"/>
                <w:color w:val="000000"/>
                <w:szCs w:val="22"/>
              </w:rPr>
            </w:pPr>
            <w:r w:rsidRPr="00B65E7C">
              <w:rPr>
                <w:rFonts w:cs="Arial"/>
                <w:color w:val="000000"/>
                <w:szCs w:val="22"/>
              </w:rPr>
              <w:t>54,727</w:t>
            </w:r>
          </w:p>
        </w:tc>
        <w:tc>
          <w:tcPr>
            <w:tcW w:w="835" w:type="pct"/>
            <w:tcBorders>
              <w:top w:val="nil"/>
              <w:left w:val="nil"/>
              <w:bottom w:val="nil"/>
              <w:right w:val="nil"/>
            </w:tcBorders>
            <w:shd w:val="clear" w:color="auto" w:fill="auto"/>
            <w:noWrap/>
            <w:vAlign w:val="bottom"/>
            <w:hideMark/>
          </w:tcPr>
          <w:p w14:paraId="0D60DF33" w14:textId="77777777" w:rsidR="00541BAB" w:rsidRPr="00B65E7C" w:rsidRDefault="00541BAB" w:rsidP="00312E88">
            <w:pPr>
              <w:jc w:val="right"/>
              <w:rPr>
                <w:rFonts w:cs="Arial"/>
                <w:color w:val="000000"/>
                <w:szCs w:val="22"/>
              </w:rPr>
            </w:pPr>
            <w:r w:rsidRPr="00B65E7C">
              <w:rPr>
                <w:rFonts w:cs="Arial"/>
                <w:color w:val="000000"/>
                <w:szCs w:val="22"/>
              </w:rPr>
              <w:t>58,207</w:t>
            </w:r>
          </w:p>
        </w:tc>
        <w:tc>
          <w:tcPr>
            <w:tcW w:w="839" w:type="pct"/>
            <w:tcBorders>
              <w:top w:val="nil"/>
              <w:left w:val="dotted" w:sz="4" w:space="0" w:color="auto"/>
              <w:bottom w:val="nil"/>
              <w:right w:val="single" w:sz="4" w:space="0" w:color="auto"/>
            </w:tcBorders>
            <w:shd w:val="clear" w:color="auto" w:fill="auto"/>
            <w:noWrap/>
            <w:vAlign w:val="bottom"/>
            <w:hideMark/>
          </w:tcPr>
          <w:p w14:paraId="585F674A" w14:textId="77777777" w:rsidR="00541BAB" w:rsidRPr="00B65E7C" w:rsidRDefault="00541BAB" w:rsidP="00312E88">
            <w:pPr>
              <w:jc w:val="right"/>
              <w:rPr>
                <w:rFonts w:cs="Arial"/>
                <w:color w:val="000000"/>
                <w:szCs w:val="22"/>
              </w:rPr>
            </w:pPr>
            <w:r w:rsidRPr="00B65E7C">
              <w:rPr>
                <w:rFonts w:cs="Arial"/>
                <w:color w:val="000000"/>
                <w:szCs w:val="22"/>
              </w:rPr>
              <w:t>74,610</w:t>
            </w:r>
          </w:p>
        </w:tc>
      </w:tr>
      <w:tr w:rsidR="00541BAB" w:rsidRPr="00B65E7C" w14:paraId="54A80EE5" w14:textId="77777777" w:rsidTr="00541BAB">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2EBD93BB" w14:textId="77777777" w:rsidR="00541BAB" w:rsidRPr="00B65E7C" w:rsidRDefault="00541BAB" w:rsidP="00312E88">
            <w:pPr>
              <w:rPr>
                <w:rFonts w:cs="Arial"/>
                <w:color w:val="000000"/>
                <w:szCs w:val="22"/>
              </w:rPr>
            </w:pPr>
            <w:r w:rsidRPr="00B65E7C">
              <w:rPr>
                <w:rFonts w:cs="Arial"/>
                <w:color w:val="000000"/>
                <w:szCs w:val="22"/>
              </w:rPr>
              <w:t>TAS</w:t>
            </w:r>
          </w:p>
        </w:tc>
        <w:tc>
          <w:tcPr>
            <w:tcW w:w="835" w:type="pct"/>
            <w:tcBorders>
              <w:top w:val="nil"/>
              <w:left w:val="nil"/>
              <w:bottom w:val="nil"/>
              <w:right w:val="nil"/>
            </w:tcBorders>
            <w:shd w:val="clear" w:color="auto" w:fill="auto"/>
            <w:noWrap/>
            <w:vAlign w:val="bottom"/>
            <w:hideMark/>
          </w:tcPr>
          <w:p w14:paraId="39D92BE0" w14:textId="77777777" w:rsidR="00541BAB" w:rsidRPr="00B65E7C" w:rsidRDefault="00541BAB" w:rsidP="00312E88">
            <w:pPr>
              <w:jc w:val="right"/>
              <w:rPr>
                <w:rFonts w:cs="Arial"/>
                <w:color w:val="000000"/>
                <w:szCs w:val="22"/>
              </w:rPr>
            </w:pPr>
            <w:r w:rsidRPr="00B65E7C">
              <w:rPr>
                <w:rFonts w:cs="Arial"/>
                <w:color w:val="000000"/>
                <w:szCs w:val="22"/>
              </w:rPr>
              <w:t>12,245</w:t>
            </w:r>
          </w:p>
        </w:tc>
        <w:tc>
          <w:tcPr>
            <w:tcW w:w="830" w:type="pct"/>
            <w:tcBorders>
              <w:top w:val="nil"/>
              <w:left w:val="nil"/>
              <w:bottom w:val="nil"/>
              <w:right w:val="nil"/>
            </w:tcBorders>
            <w:shd w:val="clear" w:color="auto" w:fill="auto"/>
            <w:noWrap/>
            <w:vAlign w:val="bottom"/>
            <w:hideMark/>
          </w:tcPr>
          <w:p w14:paraId="5B74FA07" w14:textId="77777777" w:rsidR="00541BAB" w:rsidRPr="00B65E7C" w:rsidRDefault="00541BAB" w:rsidP="00312E88">
            <w:pPr>
              <w:jc w:val="right"/>
              <w:rPr>
                <w:rFonts w:cs="Arial"/>
                <w:color w:val="000000"/>
                <w:szCs w:val="22"/>
              </w:rPr>
            </w:pPr>
            <w:r w:rsidRPr="00B65E7C">
              <w:rPr>
                <w:rFonts w:cs="Arial"/>
                <w:color w:val="000000"/>
                <w:szCs w:val="22"/>
              </w:rPr>
              <w:t>13,509</w:t>
            </w:r>
          </w:p>
        </w:tc>
        <w:tc>
          <w:tcPr>
            <w:tcW w:w="830" w:type="pct"/>
            <w:tcBorders>
              <w:top w:val="nil"/>
              <w:left w:val="nil"/>
              <w:bottom w:val="nil"/>
              <w:right w:val="nil"/>
            </w:tcBorders>
            <w:shd w:val="clear" w:color="auto" w:fill="auto"/>
            <w:noWrap/>
            <w:vAlign w:val="bottom"/>
            <w:hideMark/>
          </w:tcPr>
          <w:p w14:paraId="31A8CD97" w14:textId="77777777" w:rsidR="00541BAB" w:rsidRPr="00B65E7C" w:rsidRDefault="00541BAB" w:rsidP="00312E88">
            <w:pPr>
              <w:jc w:val="right"/>
              <w:rPr>
                <w:rFonts w:cs="Arial"/>
                <w:color w:val="000000"/>
                <w:szCs w:val="22"/>
              </w:rPr>
            </w:pPr>
            <w:r w:rsidRPr="00B65E7C">
              <w:rPr>
                <w:rFonts w:cs="Arial"/>
                <w:color w:val="000000"/>
                <w:szCs w:val="22"/>
              </w:rPr>
              <w:t>14,500</w:t>
            </w:r>
          </w:p>
        </w:tc>
        <w:tc>
          <w:tcPr>
            <w:tcW w:w="835" w:type="pct"/>
            <w:tcBorders>
              <w:top w:val="nil"/>
              <w:left w:val="nil"/>
              <w:bottom w:val="nil"/>
              <w:right w:val="nil"/>
            </w:tcBorders>
            <w:shd w:val="clear" w:color="auto" w:fill="auto"/>
            <w:noWrap/>
            <w:vAlign w:val="bottom"/>
            <w:hideMark/>
          </w:tcPr>
          <w:p w14:paraId="33E3D4AD" w14:textId="77777777" w:rsidR="00541BAB" w:rsidRPr="00B65E7C" w:rsidRDefault="00541BAB" w:rsidP="00312E88">
            <w:pPr>
              <w:jc w:val="right"/>
              <w:rPr>
                <w:rFonts w:cs="Arial"/>
                <w:color w:val="000000"/>
                <w:szCs w:val="22"/>
              </w:rPr>
            </w:pPr>
            <w:r w:rsidRPr="00B65E7C">
              <w:rPr>
                <w:rFonts w:cs="Arial"/>
                <w:color w:val="000000"/>
                <w:szCs w:val="22"/>
              </w:rPr>
              <w:t>15,422</w:t>
            </w:r>
          </w:p>
        </w:tc>
        <w:tc>
          <w:tcPr>
            <w:tcW w:w="839" w:type="pct"/>
            <w:tcBorders>
              <w:top w:val="nil"/>
              <w:left w:val="dotted" w:sz="4" w:space="0" w:color="auto"/>
              <w:bottom w:val="nil"/>
              <w:right w:val="single" w:sz="4" w:space="0" w:color="auto"/>
            </w:tcBorders>
            <w:shd w:val="clear" w:color="auto" w:fill="auto"/>
            <w:noWrap/>
            <w:vAlign w:val="bottom"/>
            <w:hideMark/>
          </w:tcPr>
          <w:p w14:paraId="4662BAE0" w14:textId="77777777" w:rsidR="00541BAB" w:rsidRPr="00B65E7C" w:rsidRDefault="00541BAB" w:rsidP="00312E88">
            <w:pPr>
              <w:jc w:val="right"/>
              <w:rPr>
                <w:rFonts w:cs="Arial"/>
                <w:color w:val="000000"/>
                <w:szCs w:val="22"/>
              </w:rPr>
            </w:pPr>
            <w:r w:rsidRPr="00B65E7C">
              <w:rPr>
                <w:rFonts w:cs="Arial"/>
                <w:color w:val="000000"/>
                <w:szCs w:val="22"/>
              </w:rPr>
              <w:t>19,768</w:t>
            </w:r>
          </w:p>
        </w:tc>
      </w:tr>
      <w:tr w:rsidR="00541BAB" w:rsidRPr="00B65E7C" w14:paraId="3FCF55D8" w14:textId="77777777" w:rsidTr="00541BAB">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4E505A21" w14:textId="77777777" w:rsidR="00541BAB" w:rsidRPr="00B65E7C" w:rsidRDefault="00541BAB" w:rsidP="00312E88">
            <w:pPr>
              <w:rPr>
                <w:rFonts w:cs="Arial"/>
                <w:color w:val="000000"/>
                <w:szCs w:val="22"/>
              </w:rPr>
            </w:pPr>
            <w:r w:rsidRPr="00B65E7C">
              <w:rPr>
                <w:rFonts w:cs="Arial"/>
                <w:color w:val="000000"/>
                <w:szCs w:val="22"/>
              </w:rPr>
              <w:t>ACT</w:t>
            </w:r>
          </w:p>
        </w:tc>
        <w:tc>
          <w:tcPr>
            <w:tcW w:w="835" w:type="pct"/>
            <w:tcBorders>
              <w:top w:val="nil"/>
              <w:left w:val="nil"/>
              <w:bottom w:val="nil"/>
              <w:right w:val="nil"/>
            </w:tcBorders>
            <w:shd w:val="clear" w:color="auto" w:fill="auto"/>
            <w:noWrap/>
            <w:vAlign w:val="bottom"/>
            <w:hideMark/>
          </w:tcPr>
          <w:p w14:paraId="7B9E9640" w14:textId="77777777" w:rsidR="00541BAB" w:rsidRPr="00B65E7C" w:rsidRDefault="00541BAB" w:rsidP="00312E88">
            <w:pPr>
              <w:jc w:val="right"/>
              <w:rPr>
                <w:rFonts w:cs="Arial"/>
                <w:color w:val="000000"/>
                <w:szCs w:val="22"/>
              </w:rPr>
            </w:pPr>
            <w:r w:rsidRPr="00B65E7C">
              <w:rPr>
                <w:rFonts w:cs="Arial"/>
                <w:color w:val="000000"/>
                <w:szCs w:val="22"/>
              </w:rPr>
              <w:t>8,985</w:t>
            </w:r>
          </w:p>
        </w:tc>
        <w:tc>
          <w:tcPr>
            <w:tcW w:w="830" w:type="pct"/>
            <w:tcBorders>
              <w:top w:val="nil"/>
              <w:left w:val="nil"/>
              <w:bottom w:val="nil"/>
              <w:right w:val="nil"/>
            </w:tcBorders>
            <w:shd w:val="clear" w:color="auto" w:fill="auto"/>
            <w:noWrap/>
            <w:vAlign w:val="bottom"/>
            <w:hideMark/>
          </w:tcPr>
          <w:p w14:paraId="0DF71588" w14:textId="77777777" w:rsidR="00541BAB" w:rsidRPr="00B65E7C" w:rsidRDefault="00541BAB" w:rsidP="00312E88">
            <w:pPr>
              <w:jc w:val="right"/>
              <w:rPr>
                <w:rFonts w:cs="Arial"/>
                <w:color w:val="000000"/>
                <w:szCs w:val="22"/>
              </w:rPr>
            </w:pPr>
            <w:r w:rsidRPr="00B65E7C">
              <w:rPr>
                <w:rFonts w:cs="Arial"/>
                <w:color w:val="000000"/>
                <w:szCs w:val="22"/>
              </w:rPr>
              <w:t>9,090</w:t>
            </w:r>
          </w:p>
        </w:tc>
        <w:tc>
          <w:tcPr>
            <w:tcW w:w="830" w:type="pct"/>
            <w:tcBorders>
              <w:top w:val="nil"/>
              <w:left w:val="nil"/>
              <w:bottom w:val="nil"/>
              <w:right w:val="nil"/>
            </w:tcBorders>
            <w:shd w:val="clear" w:color="auto" w:fill="auto"/>
            <w:noWrap/>
            <w:vAlign w:val="bottom"/>
            <w:hideMark/>
          </w:tcPr>
          <w:p w14:paraId="5B01B4AF" w14:textId="77777777" w:rsidR="00541BAB" w:rsidRPr="00B65E7C" w:rsidRDefault="00541BAB" w:rsidP="00312E88">
            <w:pPr>
              <w:jc w:val="right"/>
              <w:rPr>
                <w:rFonts w:cs="Arial"/>
                <w:color w:val="000000"/>
                <w:szCs w:val="22"/>
              </w:rPr>
            </w:pPr>
            <w:r w:rsidRPr="00B65E7C">
              <w:rPr>
                <w:rFonts w:cs="Arial"/>
                <w:color w:val="000000"/>
                <w:szCs w:val="22"/>
              </w:rPr>
              <w:t>9,212</w:t>
            </w:r>
          </w:p>
        </w:tc>
        <w:tc>
          <w:tcPr>
            <w:tcW w:w="835" w:type="pct"/>
            <w:tcBorders>
              <w:top w:val="nil"/>
              <w:left w:val="nil"/>
              <w:bottom w:val="nil"/>
              <w:right w:val="nil"/>
            </w:tcBorders>
            <w:shd w:val="clear" w:color="auto" w:fill="auto"/>
            <w:noWrap/>
            <w:vAlign w:val="bottom"/>
            <w:hideMark/>
          </w:tcPr>
          <w:p w14:paraId="6B7D72D7" w14:textId="77777777" w:rsidR="00541BAB" w:rsidRPr="00B65E7C" w:rsidRDefault="00541BAB" w:rsidP="00312E88">
            <w:pPr>
              <w:jc w:val="right"/>
              <w:rPr>
                <w:rFonts w:cs="Arial"/>
                <w:color w:val="000000"/>
                <w:szCs w:val="22"/>
              </w:rPr>
            </w:pPr>
            <w:r w:rsidRPr="00B65E7C">
              <w:rPr>
                <w:rFonts w:cs="Arial"/>
                <w:color w:val="000000"/>
                <w:szCs w:val="22"/>
              </w:rPr>
              <w:t>9,797</w:t>
            </w:r>
          </w:p>
        </w:tc>
        <w:tc>
          <w:tcPr>
            <w:tcW w:w="839" w:type="pct"/>
            <w:tcBorders>
              <w:top w:val="nil"/>
              <w:left w:val="dotted" w:sz="4" w:space="0" w:color="auto"/>
              <w:bottom w:val="nil"/>
              <w:right w:val="single" w:sz="4" w:space="0" w:color="auto"/>
            </w:tcBorders>
            <w:shd w:val="clear" w:color="auto" w:fill="auto"/>
            <w:noWrap/>
            <w:vAlign w:val="bottom"/>
            <w:hideMark/>
          </w:tcPr>
          <w:p w14:paraId="46AB9712" w14:textId="77777777" w:rsidR="00541BAB" w:rsidRPr="00B65E7C" w:rsidRDefault="00541BAB" w:rsidP="00312E88">
            <w:pPr>
              <w:jc w:val="right"/>
              <w:rPr>
                <w:rFonts w:cs="Arial"/>
                <w:color w:val="000000"/>
                <w:szCs w:val="22"/>
              </w:rPr>
            </w:pPr>
            <w:r w:rsidRPr="00B65E7C">
              <w:rPr>
                <w:rFonts w:cs="Arial"/>
                <w:color w:val="000000"/>
                <w:szCs w:val="22"/>
              </w:rPr>
              <w:t>12,559</w:t>
            </w:r>
          </w:p>
        </w:tc>
      </w:tr>
      <w:tr w:rsidR="00541BAB" w:rsidRPr="00B65E7C" w14:paraId="3406876F" w14:textId="77777777" w:rsidTr="00541BAB">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101D242D" w14:textId="77777777" w:rsidR="00541BAB" w:rsidRPr="00B65E7C" w:rsidRDefault="00541BAB" w:rsidP="00312E88">
            <w:pPr>
              <w:rPr>
                <w:rFonts w:cs="Arial"/>
                <w:color w:val="000000"/>
                <w:szCs w:val="22"/>
              </w:rPr>
            </w:pPr>
            <w:r w:rsidRPr="00B65E7C">
              <w:rPr>
                <w:rFonts w:cs="Arial"/>
                <w:color w:val="000000"/>
                <w:szCs w:val="22"/>
              </w:rPr>
              <w:t>NT</w:t>
            </w:r>
          </w:p>
        </w:tc>
        <w:tc>
          <w:tcPr>
            <w:tcW w:w="835" w:type="pct"/>
            <w:tcBorders>
              <w:top w:val="nil"/>
              <w:left w:val="nil"/>
              <w:bottom w:val="nil"/>
              <w:right w:val="nil"/>
            </w:tcBorders>
            <w:shd w:val="clear" w:color="auto" w:fill="auto"/>
            <w:noWrap/>
            <w:vAlign w:val="bottom"/>
            <w:hideMark/>
          </w:tcPr>
          <w:p w14:paraId="49018A9E" w14:textId="77777777" w:rsidR="00541BAB" w:rsidRPr="00B65E7C" w:rsidRDefault="00541BAB" w:rsidP="00312E88">
            <w:pPr>
              <w:jc w:val="right"/>
              <w:rPr>
                <w:rFonts w:cs="Arial"/>
                <w:color w:val="000000"/>
                <w:szCs w:val="22"/>
              </w:rPr>
            </w:pPr>
            <w:r w:rsidRPr="00B65E7C">
              <w:rPr>
                <w:rFonts w:cs="Arial"/>
                <w:color w:val="000000"/>
                <w:szCs w:val="22"/>
              </w:rPr>
              <w:t>4,616</w:t>
            </w:r>
          </w:p>
        </w:tc>
        <w:tc>
          <w:tcPr>
            <w:tcW w:w="830" w:type="pct"/>
            <w:tcBorders>
              <w:top w:val="nil"/>
              <w:left w:val="nil"/>
              <w:bottom w:val="nil"/>
              <w:right w:val="nil"/>
            </w:tcBorders>
            <w:shd w:val="clear" w:color="auto" w:fill="auto"/>
            <w:noWrap/>
            <w:vAlign w:val="bottom"/>
            <w:hideMark/>
          </w:tcPr>
          <w:p w14:paraId="5B2FB90C" w14:textId="77777777" w:rsidR="00541BAB" w:rsidRPr="00B65E7C" w:rsidRDefault="00541BAB" w:rsidP="00312E88">
            <w:pPr>
              <w:jc w:val="right"/>
              <w:rPr>
                <w:rFonts w:cs="Arial"/>
                <w:color w:val="000000"/>
                <w:szCs w:val="22"/>
              </w:rPr>
            </w:pPr>
            <w:r w:rsidRPr="00B65E7C">
              <w:rPr>
                <w:rFonts w:cs="Arial"/>
                <w:color w:val="000000"/>
                <w:szCs w:val="22"/>
              </w:rPr>
              <w:t>5,085</w:t>
            </w:r>
          </w:p>
        </w:tc>
        <w:tc>
          <w:tcPr>
            <w:tcW w:w="830" w:type="pct"/>
            <w:tcBorders>
              <w:top w:val="nil"/>
              <w:left w:val="nil"/>
              <w:bottom w:val="nil"/>
              <w:right w:val="nil"/>
            </w:tcBorders>
            <w:shd w:val="clear" w:color="auto" w:fill="auto"/>
            <w:noWrap/>
            <w:vAlign w:val="bottom"/>
            <w:hideMark/>
          </w:tcPr>
          <w:p w14:paraId="50DADF8B" w14:textId="77777777" w:rsidR="00541BAB" w:rsidRPr="00B65E7C" w:rsidRDefault="00541BAB" w:rsidP="00312E88">
            <w:pPr>
              <w:jc w:val="right"/>
              <w:rPr>
                <w:rFonts w:cs="Arial"/>
                <w:color w:val="000000"/>
                <w:szCs w:val="22"/>
              </w:rPr>
            </w:pPr>
            <w:r w:rsidRPr="00B65E7C">
              <w:rPr>
                <w:rFonts w:cs="Arial"/>
                <w:color w:val="000000"/>
                <w:szCs w:val="22"/>
              </w:rPr>
              <w:t>5,499</w:t>
            </w:r>
          </w:p>
        </w:tc>
        <w:tc>
          <w:tcPr>
            <w:tcW w:w="835" w:type="pct"/>
            <w:tcBorders>
              <w:top w:val="nil"/>
              <w:left w:val="nil"/>
              <w:bottom w:val="nil"/>
              <w:right w:val="nil"/>
            </w:tcBorders>
            <w:shd w:val="clear" w:color="auto" w:fill="auto"/>
            <w:noWrap/>
            <w:vAlign w:val="bottom"/>
            <w:hideMark/>
          </w:tcPr>
          <w:p w14:paraId="77BEBDB2" w14:textId="77777777" w:rsidR="00541BAB" w:rsidRPr="00B65E7C" w:rsidRDefault="00541BAB" w:rsidP="00312E88">
            <w:pPr>
              <w:jc w:val="right"/>
              <w:rPr>
                <w:rFonts w:cs="Arial"/>
                <w:color w:val="000000"/>
                <w:szCs w:val="22"/>
              </w:rPr>
            </w:pPr>
            <w:r w:rsidRPr="00B65E7C">
              <w:rPr>
                <w:rFonts w:cs="Arial"/>
                <w:color w:val="000000"/>
                <w:szCs w:val="22"/>
              </w:rPr>
              <w:t>5,849</w:t>
            </w:r>
          </w:p>
        </w:tc>
        <w:tc>
          <w:tcPr>
            <w:tcW w:w="839" w:type="pct"/>
            <w:tcBorders>
              <w:top w:val="nil"/>
              <w:left w:val="dotted" w:sz="4" w:space="0" w:color="auto"/>
              <w:bottom w:val="nil"/>
              <w:right w:val="single" w:sz="4" w:space="0" w:color="auto"/>
            </w:tcBorders>
            <w:shd w:val="clear" w:color="auto" w:fill="auto"/>
            <w:noWrap/>
            <w:vAlign w:val="bottom"/>
            <w:hideMark/>
          </w:tcPr>
          <w:p w14:paraId="6B804C93" w14:textId="77777777" w:rsidR="00541BAB" w:rsidRPr="00B65E7C" w:rsidRDefault="00541BAB" w:rsidP="00312E88">
            <w:pPr>
              <w:jc w:val="right"/>
              <w:rPr>
                <w:rFonts w:cs="Arial"/>
                <w:color w:val="000000"/>
                <w:szCs w:val="22"/>
              </w:rPr>
            </w:pPr>
            <w:r w:rsidRPr="00B65E7C">
              <w:rPr>
                <w:rFonts w:cs="Arial"/>
                <w:color w:val="000000"/>
                <w:szCs w:val="22"/>
              </w:rPr>
              <w:t>7,497</w:t>
            </w:r>
          </w:p>
        </w:tc>
      </w:tr>
      <w:tr w:rsidR="00541BAB" w:rsidRPr="00B65E7C" w14:paraId="14C8E1EE" w14:textId="77777777" w:rsidTr="00541BAB">
        <w:trPr>
          <w:trHeight w:hRule="exact" w:val="284"/>
        </w:trPr>
        <w:tc>
          <w:tcPr>
            <w:tcW w:w="831" w:type="pct"/>
            <w:tcBorders>
              <w:top w:val="single" w:sz="4" w:space="0" w:color="auto"/>
              <w:left w:val="single" w:sz="4" w:space="0" w:color="auto"/>
              <w:bottom w:val="single" w:sz="4" w:space="0" w:color="auto"/>
              <w:right w:val="single" w:sz="4" w:space="0" w:color="auto"/>
            </w:tcBorders>
            <w:shd w:val="clear" w:color="000000" w:fill="F7EEF7"/>
            <w:noWrap/>
            <w:vAlign w:val="bottom"/>
            <w:hideMark/>
          </w:tcPr>
          <w:p w14:paraId="798673AE" w14:textId="77777777" w:rsidR="00541BAB" w:rsidRPr="00B65E7C" w:rsidRDefault="00541BAB" w:rsidP="00312E88">
            <w:pPr>
              <w:rPr>
                <w:rFonts w:cs="Arial"/>
                <w:b/>
                <w:bCs/>
                <w:color w:val="000000"/>
                <w:szCs w:val="22"/>
              </w:rPr>
            </w:pPr>
            <w:r w:rsidRPr="00B65E7C">
              <w:rPr>
                <w:rFonts w:cs="Arial"/>
                <w:b/>
                <w:bCs/>
                <w:color w:val="000000"/>
                <w:szCs w:val="22"/>
              </w:rPr>
              <w:t>Total</w:t>
            </w:r>
          </w:p>
        </w:tc>
        <w:tc>
          <w:tcPr>
            <w:tcW w:w="835" w:type="pct"/>
            <w:tcBorders>
              <w:top w:val="single" w:sz="4" w:space="0" w:color="auto"/>
              <w:left w:val="nil"/>
              <w:bottom w:val="single" w:sz="4" w:space="0" w:color="auto"/>
              <w:right w:val="nil"/>
            </w:tcBorders>
            <w:shd w:val="clear" w:color="000000" w:fill="F7EEF7"/>
            <w:noWrap/>
            <w:vAlign w:val="bottom"/>
            <w:hideMark/>
          </w:tcPr>
          <w:p w14:paraId="3610C98E" w14:textId="77777777" w:rsidR="00541BAB" w:rsidRPr="00B65E7C" w:rsidRDefault="00541BAB" w:rsidP="00312E88">
            <w:pPr>
              <w:jc w:val="right"/>
              <w:rPr>
                <w:rFonts w:cs="Arial"/>
                <w:b/>
                <w:bCs/>
                <w:color w:val="000000"/>
                <w:szCs w:val="22"/>
              </w:rPr>
            </w:pPr>
            <w:r w:rsidRPr="00B65E7C">
              <w:rPr>
                <w:rFonts w:cs="Arial"/>
                <w:b/>
                <w:bCs/>
                <w:color w:val="000000"/>
                <w:szCs w:val="22"/>
              </w:rPr>
              <w:t>530,457</w:t>
            </w:r>
          </w:p>
        </w:tc>
        <w:tc>
          <w:tcPr>
            <w:tcW w:w="830" w:type="pct"/>
            <w:tcBorders>
              <w:top w:val="single" w:sz="4" w:space="0" w:color="auto"/>
              <w:left w:val="nil"/>
              <w:bottom w:val="single" w:sz="4" w:space="0" w:color="auto"/>
              <w:right w:val="nil"/>
            </w:tcBorders>
            <w:shd w:val="clear" w:color="000000" w:fill="F7EEF7"/>
            <w:noWrap/>
            <w:vAlign w:val="bottom"/>
            <w:hideMark/>
          </w:tcPr>
          <w:p w14:paraId="3D11236E" w14:textId="77777777" w:rsidR="00541BAB" w:rsidRPr="00B65E7C" w:rsidRDefault="00541BAB" w:rsidP="00312E88">
            <w:pPr>
              <w:jc w:val="right"/>
              <w:rPr>
                <w:rFonts w:cs="Arial"/>
                <w:b/>
                <w:bCs/>
                <w:color w:val="000000"/>
                <w:szCs w:val="22"/>
              </w:rPr>
            </w:pPr>
            <w:r w:rsidRPr="00B65E7C">
              <w:rPr>
                <w:rFonts w:cs="Arial"/>
                <w:b/>
                <w:bCs/>
                <w:color w:val="000000"/>
                <w:szCs w:val="22"/>
              </w:rPr>
              <w:t>586,433</w:t>
            </w:r>
          </w:p>
        </w:tc>
        <w:tc>
          <w:tcPr>
            <w:tcW w:w="830" w:type="pct"/>
            <w:tcBorders>
              <w:top w:val="single" w:sz="4" w:space="0" w:color="auto"/>
              <w:left w:val="nil"/>
              <w:bottom w:val="single" w:sz="4" w:space="0" w:color="auto"/>
              <w:right w:val="nil"/>
            </w:tcBorders>
            <w:shd w:val="clear" w:color="000000" w:fill="F7EEF7"/>
            <w:noWrap/>
            <w:vAlign w:val="bottom"/>
            <w:hideMark/>
          </w:tcPr>
          <w:p w14:paraId="5588FA71" w14:textId="77777777" w:rsidR="00541BAB" w:rsidRPr="00B65E7C" w:rsidRDefault="00541BAB" w:rsidP="00312E88">
            <w:pPr>
              <w:jc w:val="right"/>
              <w:rPr>
                <w:rFonts w:cs="Arial"/>
                <w:b/>
                <w:bCs/>
                <w:color w:val="000000"/>
                <w:szCs w:val="22"/>
              </w:rPr>
            </w:pPr>
            <w:r w:rsidRPr="00B65E7C">
              <w:rPr>
                <w:rFonts w:cs="Arial"/>
                <w:b/>
                <w:bCs/>
                <w:color w:val="000000"/>
                <w:szCs w:val="22"/>
              </w:rPr>
              <w:t>630,327</w:t>
            </w:r>
          </w:p>
        </w:tc>
        <w:tc>
          <w:tcPr>
            <w:tcW w:w="835" w:type="pct"/>
            <w:tcBorders>
              <w:top w:val="single" w:sz="4" w:space="0" w:color="auto"/>
              <w:left w:val="nil"/>
              <w:bottom w:val="single" w:sz="4" w:space="0" w:color="auto"/>
              <w:right w:val="nil"/>
            </w:tcBorders>
            <w:shd w:val="clear" w:color="000000" w:fill="F7EEF7"/>
            <w:noWrap/>
            <w:vAlign w:val="bottom"/>
            <w:hideMark/>
          </w:tcPr>
          <w:p w14:paraId="02FCA5D5" w14:textId="77777777" w:rsidR="00541BAB" w:rsidRPr="00B65E7C" w:rsidRDefault="00541BAB" w:rsidP="00312E88">
            <w:pPr>
              <w:jc w:val="right"/>
              <w:rPr>
                <w:rFonts w:cs="Arial"/>
                <w:b/>
                <w:bCs/>
                <w:color w:val="000000"/>
                <w:szCs w:val="22"/>
              </w:rPr>
            </w:pPr>
            <w:r w:rsidRPr="00B65E7C">
              <w:rPr>
                <w:rFonts w:cs="Arial"/>
                <w:b/>
                <w:bCs/>
                <w:color w:val="000000"/>
                <w:szCs w:val="22"/>
              </w:rPr>
              <w:t>670,400</w:t>
            </w:r>
          </w:p>
        </w:tc>
        <w:tc>
          <w:tcPr>
            <w:tcW w:w="839" w:type="pct"/>
            <w:tcBorders>
              <w:top w:val="single" w:sz="4" w:space="0" w:color="auto"/>
              <w:left w:val="dotted" w:sz="4" w:space="0" w:color="auto"/>
              <w:bottom w:val="single" w:sz="4" w:space="0" w:color="auto"/>
              <w:right w:val="single" w:sz="4" w:space="0" w:color="auto"/>
            </w:tcBorders>
            <w:shd w:val="clear" w:color="000000" w:fill="F7EEF7"/>
            <w:noWrap/>
            <w:vAlign w:val="bottom"/>
            <w:hideMark/>
          </w:tcPr>
          <w:p w14:paraId="31729B9F" w14:textId="77777777" w:rsidR="00541BAB" w:rsidRPr="00B65E7C" w:rsidRDefault="00541BAB" w:rsidP="00312E88">
            <w:pPr>
              <w:jc w:val="right"/>
              <w:rPr>
                <w:rFonts w:cs="Arial"/>
                <w:b/>
                <w:bCs/>
                <w:color w:val="000000"/>
                <w:szCs w:val="22"/>
              </w:rPr>
            </w:pPr>
            <w:r w:rsidRPr="00B65E7C">
              <w:rPr>
                <w:rFonts w:cs="Arial"/>
                <w:b/>
                <w:bCs/>
                <w:color w:val="000000"/>
                <w:szCs w:val="22"/>
              </w:rPr>
              <w:t>859,328</w:t>
            </w:r>
          </w:p>
        </w:tc>
      </w:tr>
    </w:tbl>
    <w:p w14:paraId="7270FEE6" w14:textId="2B038E27" w:rsidR="00C967DA" w:rsidRPr="00C578EB" w:rsidRDefault="00C967DA" w:rsidP="00C967DA">
      <w:pPr>
        <w:pStyle w:val="FSRnormal"/>
      </w:pPr>
    </w:p>
    <w:p w14:paraId="73EFBC55" w14:textId="5D8994D2" w:rsidR="00C967DA" w:rsidRPr="00665A06" w:rsidRDefault="00C967DA" w:rsidP="00C967DA">
      <w:pPr>
        <w:pStyle w:val="Tables"/>
      </w:pPr>
      <w:bookmarkStart w:id="388" w:name="_Ref80434616"/>
      <w:r w:rsidRPr="002735DF">
        <w:t xml:space="preserve">Table </w:t>
      </w:r>
      <w:fldSimple w:instr=" SEQ Table \* ARABIC ">
        <w:r w:rsidR="00E50032">
          <w:rPr>
            <w:noProof/>
          </w:rPr>
          <w:t>67</w:t>
        </w:r>
      </w:fldSimple>
      <w:bookmarkEnd w:id="388"/>
      <w:r w:rsidRPr="002735DF">
        <w:t xml:space="preserve"> </w:t>
      </w:r>
      <w:r w:rsidRPr="00665A06">
        <w:t>Projected participant costs by jurisdiction</w:t>
      </w:r>
      <w:r w:rsidR="000D0CA3">
        <w:t xml:space="preserve"> </w:t>
      </w:r>
    </w:p>
    <w:tbl>
      <w:tblPr>
        <w:tblW w:w="5003" w:type="pct"/>
        <w:tblLook w:val="04A0" w:firstRow="1" w:lastRow="0" w:firstColumn="1" w:lastColumn="0" w:noHBand="0" w:noVBand="1"/>
      </w:tblPr>
      <w:tblGrid>
        <w:gridCol w:w="1499"/>
        <w:gridCol w:w="1507"/>
        <w:gridCol w:w="1497"/>
        <w:gridCol w:w="1497"/>
        <w:gridCol w:w="1507"/>
        <w:gridCol w:w="1514"/>
      </w:tblGrid>
      <w:tr w:rsidR="00C60273" w:rsidRPr="004139BF" w14:paraId="7E419CE3" w14:textId="77777777" w:rsidTr="00312E88">
        <w:trPr>
          <w:trHeight w:val="300"/>
          <w:tblHeader/>
        </w:trPr>
        <w:tc>
          <w:tcPr>
            <w:tcW w:w="831" w:type="pct"/>
            <w:tcBorders>
              <w:top w:val="single" w:sz="4" w:space="0" w:color="auto"/>
              <w:left w:val="single" w:sz="4" w:space="0" w:color="auto"/>
              <w:bottom w:val="single" w:sz="4" w:space="0" w:color="000000"/>
              <w:right w:val="single" w:sz="4" w:space="0" w:color="auto"/>
            </w:tcBorders>
            <w:shd w:val="clear" w:color="000000" w:fill="6B2976"/>
            <w:vAlign w:val="center"/>
            <w:hideMark/>
          </w:tcPr>
          <w:p w14:paraId="5964A656" w14:textId="77777777" w:rsidR="00C60273" w:rsidRPr="004139BF" w:rsidRDefault="00C60273" w:rsidP="00312E88">
            <w:pPr>
              <w:rPr>
                <w:rFonts w:cs="Arial"/>
                <w:b/>
                <w:bCs/>
                <w:color w:val="FFFFFF"/>
                <w:szCs w:val="22"/>
              </w:rPr>
            </w:pPr>
            <w:r w:rsidRPr="004139BF">
              <w:rPr>
                <w:rFonts w:cs="Arial"/>
                <w:b/>
                <w:bCs/>
                <w:color w:val="FFFFFF"/>
                <w:szCs w:val="22"/>
              </w:rPr>
              <w:t>Participant costs ($m)</w:t>
            </w:r>
          </w:p>
        </w:tc>
        <w:tc>
          <w:tcPr>
            <w:tcW w:w="835" w:type="pct"/>
            <w:tcBorders>
              <w:top w:val="nil"/>
              <w:left w:val="nil"/>
              <w:bottom w:val="single" w:sz="4" w:space="0" w:color="auto"/>
              <w:right w:val="nil"/>
            </w:tcBorders>
            <w:shd w:val="clear" w:color="000000" w:fill="6B2976"/>
            <w:noWrap/>
            <w:vAlign w:val="bottom"/>
            <w:hideMark/>
          </w:tcPr>
          <w:p w14:paraId="054E2203" w14:textId="77777777" w:rsidR="00C60273" w:rsidRPr="004139BF" w:rsidRDefault="00C60273" w:rsidP="00312E88">
            <w:pPr>
              <w:jc w:val="right"/>
              <w:rPr>
                <w:rFonts w:cs="Arial"/>
                <w:b/>
                <w:bCs/>
                <w:color w:val="FFFFFF"/>
                <w:szCs w:val="22"/>
              </w:rPr>
            </w:pPr>
            <w:r w:rsidRPr="004139BF">
              <w:rPr>
                <w:rFonts w:cs="Arial"/>
                <w:b/>
                <w:bCs/>
                <w:color w:val="FFFFFF"/>
                <w:szCs w:val="22"/>
              </w:rPr>
              <w:t>2021-22</w:t>
            </w:r>
          </w:p>
        </w:tc>
        <w:tc>
          <w:tcPr>
            <w:tcW w:w="830" w:type="pct"/>
            <w:tcBorders>
              <w:top w:val="nil"/>
              <w:left w:val="nil"/>
              <w:bottom w:val="single" w:sz="4" w:space="0" w:color="auto"/>
              <w:right w:val="nil"/>
            </w:tcBorders>
            <w:shd w:val="clear" w:color="000000" w:fill="6B2976"/>
            <w:noWrap/>
            <w:vAlign w:val="bottom"/>
            <w:hideMark/>
          </w:tcPr>
          <w:p w14:paraId="217B8EBB" w14:textId="77777777" w:rsidR="00C60273" w:rsidRPr="004139BF" w:rsidRDefault="00C60273" w:rsidP="00312E88">
            <w:pPr>
              <w:jc w:val="right"/>
              <w:rPr>
                <w:rFonts w:cs="Arial"/>
                <w:b/>
                <w:bCs/>
                <w:color w:val="FFFFFF"/>
                <w:szCs w:val="22"/>
              </w:rPr>
            </w:pPr>
            <w:r w:rsidRPr="004139BF">
              <w:rPr>
                <w:rFonts w:cs="Arial"/>
                <w:b/>
                <w:bCs/>
                <w:color w:val="FFFFFF"/>
                <w:szCs w:val="22"/>
              </w:rPr>
              <w:t>2022-23</w:t>
            </w:r>
          </w:p>
        </w:tc>
        <w:tc>
          <w:tcPr>
            <w:tcW w:w="830" w:type="pct"/>
            <w:tcBorders>
              <w:top w:val="nil"/>
              <w:left w:val="nil"/>
              <w:bottom w:val="single" w:sz="4" w:space="0" w:color="auto"/>
              <w:right w:val="nil"/>
            </w:tcBorders>
            <w:shd w:val="clear" w:color="000000" w:fill="6B2976"/>
            <w:noWrap/>
            <w:vAlign w:val="bottom"/>
            <w:hideMark/>
          </w:tcPr>
          <w:p w14:paraId="1C1F53E8" w14:textId="77777777" w:rsidR="00C60273" w:rsidRPr="004139BF" w:rsidRDefault="00C60273" w:rsidP="00312E88">
            <w:pPr>
              <w:jc w:val="right"/>
              <w:rPr>
                <w:rFonts w:cs="Arial"/>
                <w:b/>
                <w:bCs/>
                <w:color w:val="FFFFFF"/>
                <w:szCs w:val="22"/>
              </w:rPr>
            </w:pPr>
            <w:r w:rsidRPr="004139BF">
              <w:rPr>
                <w:rFonts w:cs="Arial"/>
                <w:b/>
                <w:bCs/>
                <w:color w:val="FFFFFF"/>
                <w:szCs w:val="22"/>
              </w:rPr>
              <w:t>2023-24</w:t>
            </w:r>
          </w:p>
        </w:tc>
        <w:tc>
          <w:tcPr>
            <w:tcW w:w="835" w:type="pct"/>
            <w:tcBorders>
              <w:top w:val="nil"/>
              <w:left w:val="nil"/>
              <w:bottom w:val="single" w:sz="4" w:space="0" w:color="auto"/>
              <w:right w:val="nil"/>
            </w:tcBorders>
            <w:shd w:val="clear" w:color="000000" w:fill="6B2976"/>
            <w:noWrap/>
            <w:vAlign w:val="bottom"/>
            <w:hideMark/>
          </w:tcPr>
          <w:p w14:paraId="78E2B90E" w14:textId="77777777" w:rsidR="00C60273" w:rsidRPr="004139BF" w:rsidRDefault="00C60273" w:rsidP="00312E88">
            <w:pPr>
              <w:jc w:val="right"/>
              <w:rPr>
                <w:rFonts w:cs="Arial"/>
                <w:b/>
                <w:bCs/>
                <w:color w:val="FFFFFF"/>
                <w:szCs w:val="22"/>
              </w:rPr>
            </w:pPr>
            <w:r w:rsidRPr="004139BF">
              <w:rPr>
                <w:rFonts w:cs="Arial"/>
                <w:b/>
                <w:bCs/>
                <w:color w:val="FFFFFF"/>
                <w:szCs w:val="22"/>
              </w:rPr>
              <w:t>2024-25</w:t>
            </w:r>
          </w:p>
        </w:tc>
        <w:tc>
          <w:tcPr>
            <w:tcW w:w="839" w:type="pct"/>
            <w:tcBorders>
              <w:top w:val="single" w:sz="4" w:space="0" w:color="auto"/>
              <w:left w:val="dotted" w:sz="4" w:space="0" w:color="auto"/>
              <w:bottom w:val="single" w:sz="4" w:space="0" w:color="auto"/>
              <w:right w:val="single" w:sz="4" w:space="0" w:color="auto"/>
            </w:tcBorders>
            <w:shd w:val="clear" w:color="000000" w:fill="6B2976"/>
            <w:noWrap/>
            <w:vAlign w:val="bottom"/>
            <w:hideMark/>
          </w:tcPr>
          <w:p w14:paraId="2CE23CC2" w14:textId="77777777" w:rsidR="00C60273" w:rsidRPr="004139BF" w:rsidRDefault="00C60273" w:rsidP="00312E88">
            <w:pPr>
              <w:jc w:val="right"/>
              <w:rPr>
                <w:rFonts w:cs="Arial"/>
                <w:b/>
                <w:bCs/>
                <w:color w:val="FFFFFF"/>
                <w:szCs w:val="22"/>
              </w:rPr>
            </w:pPr>
            <w:r w:rsidRPr="004139BF">
              <w:rPr>
                <w:rFonts w:cs="Arial"/>
                <w:b/>
                <w:bCs/>
                <w:color w:val="FFFFFF"/>
                <w:szCs w:val="22"/>
              </w:rPr>
              <w:t>2029-30</w:t>
            </w:r>
          </w:p>
        </w:tc>
      </w:tr>
      <w:tr w:rsidR="00C60273" w:rsidRPr="004139BF" w14:paraId="54EA7157" w14:textId="77777777" w:rsidTr="00C60273">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362CBC6F" w14:textId="77777777" w:rsidR="00C60273" w:rsidRPr="004139BF" w:rsidRDefault="00C60273" w:rsidP="00312E88">
            <w:pPr>
              <w:rPr>
                <w:rFonts w:cs="Arial"/>
                <w:color w:val="000000"/>
                <w:szCs w:val="22"/>
              </w:rPr>
            </w:pPr>
            <w:r w:rsidRPr="004139BF">
              <w:rPr>
                <w:rFonts w:cs="Arial"/>
                <w:color w:val="000000"/>
                <w:szCs w:val="22"/>
              </w:rPr>
              <w:t>NSW</w:t>
            </w:r>
          </w:p>
        </w:tc>
        <w:tc>
          <w:tcPr>
            <w:tcW w:w="835" w:type="pct"/>
            <w:tcBorders>
              <w:top w:val="nil"/>
              <w:left w:val="nil"/>
              <w:bottom w:val="nil"/>
              <w:right w:val="nil"/>
            </w:tcBorders>
            <w:shd w:val="clear" w:color="auto" w:fill="auto"/>
            <w:noWrap/>
            <w:vAlign w:val="bottom"/>
            <w:hideMark/>
          </w:tcPr>
          <w:p w14:paraId="6D45AD7D" w14:textId="77777777" w:rsidR="00C60273" w:rsidRPr="004139BF" w:rsidRDefault="00C60273" w:rsidP="00312E88">
            <w:pPr>
              <w:jc w:val="right"/>
              <w:rPr>
                <w:rFonts w:cs="Arial"/>
                <w:color w:val="000000"/>
                <w:szCs w:val="22"/>
              </w:rPr>
            </w:pPr>
            <w:r w:rsidRPr="004139BF">
              <w:rPr>
                <w:rFonts w:cs="Arial"/>
                <w:color w:val="000000"/>
                <w:szCs w:val="22"/>
              </w:rPr>
              <w:t>9,270</w:t>
            </w:r>
          </w:p>
        </w:tc>
        <w:tc>
          <w:tcPr>
            <w:tcW w:w="830" w:type="pct"/>
            <w:tcBorders>
              <w:top w:val="nil"/>
              <w:left w:val="nil"/>
              <w:bottom w:val="nil"/>
              <w:right w:val="nil"/>
            </w:tcBorders>
            <w:shd w:val="clear" w:color="auto" w:fill="auto"/>
            <w:noWrap/>
            <w:vAlign w:val="bottom"/>
            <w:hideMark/>
          </w:tcPr>
          <w:p w14:paraId="251D72F9" w14:textId="77777777" w:rsidR="00C60273" w:rsidRPr="004139BF" w:rsidRDefault="00C60273" w:rsidP="00312E88">
            <w:pPr>
              <w:jc w:val="right"/>
              <w:rPr>
                <w:rFonts w:cs="Arial"/>
                <w:color w:val="000000"/>
                <w:szCs w:val="22"/>
              </w:rPr>
            </w:pPr>
            <w:r w:rsidRPr="004139BF">
              <w:rPr>
                <w:rFonts w:cs="Arial"/>
                <w:color w:val="000000"/>
                <w:szCs w:val="22"/>
              </w:rPr>
              <w:t>10,724</w:t>
            </w:r>
          </w:p>
        </w:tc>
        <w:tc>
          <w:tcPr>
            <w:tcW w:w="830" w:type="pct"/>
            <w:tcBorders>
              <w:top w:val="nil"/>
              <w:left w:val="nil"/>
              <w:bottom w:val="nil"/>
              <w:right w:val="nil"/>
            </w:tcBorders>
            <w:shd w:val="clear" w:color="auto" w:fill="auto"/>
            <w:noWrap/>
            <w:vAlign w:val="bottom"/>
            <w:hideMark/>
          </w:tcPr>
          <w:p w14:paraId="75D076EC" w14:textId="77777777" w:rsidR="00C60273" w:rsidRPr="004139BF" w:rsidRDefault="00C60273" w:rsidP="00312E88">
            <w:pPr>
              <w:jc w:val="right"/>
              <w:rPr>
                <w:rFonts w:cs="Arial"/>
                <w:color w:val="000000"/>
                <w:szCs w:val="22"/>
              </w:rPr>
            </w:pPr>
            <w:r w:rsidRPr="004139BF">
              <w:rPr>
                <w:rFonts w:cs="Arial"/>
                <w:color w:val="000000"/>
                <w:szCs w:val="22"/>
              </w:rPr>
              <w:t>12,005</w:t>
            </w:r>
          </w:p>
        </w:tc>
        <w:tc>
          <w:tcPr>
            <w:tcW w:w="835" w:type="pct"/>
            <w:tcBorders>
              <w:top w:val="nil"/>
              <w:left w:val="nil"/>
              <w:bottom w:val="nil"/>
              <w:right w:val="nil"/>
            </w:tcBorders>
            <w:shd w:val="clear" w:color="auto" w:fill="auto"/>
            <w:noWrap/>
            <w:vAlign w:val="bottom"/>
            <w:hideMark/>
          </w:tcPr>
          <w:p w14:paraId="596F2BFA" w14:textId="77777777" w:rsidR="00C60273" w:rsidRPr="004139BF" w:rsidRDefault="00C60273" w:rsidP="00312E88">
            <w:pPr>
              <w:jc w:val="right"/>
              <w:rPr>
                <w:rFonts w:cs="Arial"/>
                <w:color w:val="000000"/>
                <w:szCs w:val="22"/>
              </w:rPr>
            </w:pPr>
            <w:r w:rsidRPr="004139BF">
              <w:rPr>
                <w:rFonts w:cs="Arial"/>
                <w:color w:val="000000"/>
                <w:szCs w:val="22"/>
              </w:rPr>
              <w:t>13,079</w:t>
            </w:r>
          </w:p>
        </w:tc>
        <w:tc>
          <w:tcPr>
            <w:tcW w:w="839" w:type="pct"/>
            <w:tcBorders>
              <w:top w:val="nil"/>
              <w:left w:val="dotted" w:sz="4" w:space="0" w:color="auto"/>
              <w:bottom w:val="nil"/>
              <w:right w:val="single" w:sz="4" w:space="0" w:color="auto"/>
            </w:tcBorders>
            <w:shd w:val="clear" w:color="auto" w:fill="auto"/>
            <w:noWrap/>
            <w:vAlign w:val="bottom"/>
            <w:hideMark/>
          </w:tcPr>
          <w:p w14:paraId="18F6F38F" w14:textId="77777777" w:rsidR="00C60273" w:rsidRPr="004139BF" w:rsidRDefault="00C60273" w:rsidP="00312E88">
            <w:pPr>
              <w:jc w:val="right"/>
              <w:rPr>
                <w:rFonts w:cs="Arial"/>
                <w:color w:val="000000"/>
                <w:szCs w:val="22"/>
              </w:rPr>
            </w:pPr>
            <w:r w:rsidRPr="004139BF">
              <w:rPr>
                <w:rFonts w:cs="Arial"/>
                <w:color w:val="000000"/>
                <w:szCs w:val="22"/>
              </w:rPr>
              <w:t>18,742</w:t>
            </w:r>
          </w:p>
        </w:tc>
      </w:tr>
      <w:tr w:rsidR="00C60273" w:rsidRPr="004139BF" w14:paraId="372DC333" w14:textId="77777777" w:rsidTr="00C60273">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410AFFE1" w14:textId="77777777" w:rsidR="00C60273" w:rsidRPr="004139BF" w:rsidRDefault="00C60273" w:rsidP="00312E88">
            <w:pPr>
              <w:rPr>
                <w:rFonts w:cs="Arial"/>
                <w:color w:val="000000"/>
                <w:szCs w:val="22"/>
              </w:rPr>
            </w:pPr>
            <w:r w:rsidRPr="004139BF">
              <w:rPr>
                <w:rFonts w:cs="Arial"/>
                <w:color w:val="000000"/>
                <w:szCs w:val="22"/>
              </w:rPr>
              <w:t>VIC</w:t>
            </w:r>
          </w:p>
        </w:tc>
        <w:tc>
          <w:tcPr>
            <w:tcW w:w="835" w:type="pct"/>
            <w:tcBorders>
              <w:top w:val="nil"/>
              <w:left w:val="nil"/>
              <w:bottom w:val="nil"/>
              <w:right w:val="nil"/>
            </w:tcBorders>
            <w:shd w:val="clear" w:color="auto" w:fill="auto"/>
            <w:noWrap/>
            <w:vAlign w:val="bottom"/>
            <w:hideMark/>
          </w:tcPr>
          <w:p w14:paraId="5E073C71" w14:textId="77777777" w:rsidR="00C60273" w:rsidRPr="004139BF" w:rsidRDefault="00C60273" w:rsidP="00312E88">
            <w:pPr>
              <w:jc w:val="right"/>
              <w:rPr>
                <w:rFonts w:cs="Arial"/>
                <w:color w:val="000000"/>
                <w:szCs w:val="22"/>
              </w:rPr>
            </w:pPr>
            <w:r w:rsidRPr="004139BF">
              <w:rPr>
                <w:rFonts w:cs="Arial"/>
                <w:color w:val="000000"/>
                <w:szCs w:val="22"/>
              </w:rPr>
              <w:t>6,808</w:t>
            </w:r>
          </w:p>
        </w:tc>
        <w:tc>
          <w:tcPr>
            <w:tcW w:w="830" w:type="pct"/>
            <w:tcBorders>
              <w:top w:val="nil"/>
              <w:left w:val="nil"/>
              <w:bottom w:val="nil"/>
              <w:right w:val="nil"/>
            </w:tcBorders>
            <w:shd w:val="clear" w:color="auto" w:fill="auto"/>
            <w:noWrap/>
            <w:vAlign w:val="bottom"/>
            <w:hideMark/>
          </w:tcPr>
          <w:p w14:paraId="56A6B5DB" w14:textId="77777777" w:rsidR="00C60273" w:rsidRPr="004139BF" w:rsidRDefault="00C60273" w:rsidP="00312E88">
            <w:pPr>
              <w:jc w:val="right"/>
              <w:rPr>
                <w:rFonts w:cs="Arial"/>
                <w:color w:val="000000"/>
                <w:szCs w:val="22"/>
              </w:rPr>
            </w:pPr>
            <w:r w:rsidRPr="004139BF">
              <w:rPr>
                <w:rFonts w:cs="Arial"/>
                <w:color w:val="000000"/>
                <w:szCs w:val="22"/>
              </w:rPr>
              <w:t>7,855</w:t>
            </w:r>
          </w:p>
        </w:tc>
        <w:tc>
          <w:tcPr>
            <w:tcW w:w="830" w:type="pct"/>
            <w:tcBorders>
              <w:top w:val="nil"/>
              <w:left w:val="nil"/>
              <w:bottom w:val="nil"/>
              <w:right w:val="nil"/>
            </w:tcBorders>
            <w:shd w:val="clear" w:color="auto" w:fill="auto"/>
            <w:noWrap/>
            <w:vAlign w:val="bottom"/>
            <w:hideMark/>
          </w:tcPr>
          <w:p w14:paraId="549B8798" w14:textId="77777777" w:rsidR="00C60273" w:rsidRPr="004139BF" w:rsidRDefault="00C60273" w:rsidP="00312E88">
            <w:pPr>
              <w:jc w:val="right"/>
              <w:rPr>
                <w:rFonts w:cs="Arial"/>
                <w:color w:val="000000"/>
                <w:szCs w:val="22"/>
              </w:rPr>
            </w:pPr>
            <w:r w:rsidRPr="004139BF">
              <w:rPr>
                <w:rFonts w:cs="Arial"/>
                <w:color w:val="000000"/>
                <w:szCs w:val="22"/>
              </w:rPr>
              <w:t>8,720</w:t>
            </w:r>
          </w:p>
        </w:tc>
        <w:tc>
          <w:tcPr>
            <w:tcW w:w="835" w:type="pct"/>
            <w:tcBorders>
              <w:top w:val="nil"/>
              <w:left w:val="nil"/>
              <w:bottom w:val="nil"/>
              <w:right w:val="nil"/>
            </w:tcBorders>
            <w:shd w:val="clear" w:color="auto" w:fill="auto"/>
            <w:noWrap/>
            <w:vAlign w:val="bottom"/>
            <w:hideMark/>
          </w:tcPr>
          <w:p w14:paraId="6DADC7C7" w14:textId="77777777" w:rsidR="00C60273" w:rsidRPr="004139BF" w:rsidRDefault="00C60273" w:rsidP="00312E88">
            <w:pPr>
              <w:jc w:val="right"/>
              <w:rPr>
                <w:rFonts w:cs="Arial"/>
                <w:color w:val="000000"/>
                <w:szCs w:val="22"/>
              </w:rPr>
            </w:pPr>
            <w:r w:rsidRPr="004139BF">
              <w:rPr>
                <w:rFonts w:cs="Arial"/>
                <w:color w:val="000000"/>
                <w:szCs w:val="22"/>
              </w:rPr>
              <w:t>9,501</w:t>
            </w:r>
          </w:p>
        </w:tc>
        <w:tc>
          <w:tcPr>
            <w:tcW w:w="839" w:type="pct"/>
            <w:tcBorders>
              <w:top w:val="nil"/>
              <w:left w:val="dotted" w:sz="4" w:space="0" w:color="auto"/>
              <w:bottom w:val="nil"/>
              <w:right w:val="single" w:sz="4" w:space="0" w:color="auto"/>
            </w:tcBorders>
            <w:shd w:val="clear" w:color="auto" w:fill="auto"/>
            <w:noWrap/>
            <w:vAlign w:val="bottom"/>
            <w:hideMark/>
          </w:tcPr>
          <w:p w14:paraId="3ED61D45" w14:textId="77777777" w:rsidR="00C60273" w:rsidRPr="004139BF" w:rsidRDefault="00C60273" w:rsidP="00312E88">
            <w:pPr>
              <w:jc w:val="right"/>
              <w:rPr>
                <w:rFonts w:cs="Arial"/>
                <w:color w:val="000000"/>
                <w:szCs w:val="22"/>
              </w:rPr>
            </w:pPr>
            <w:r w:rsidRPr="004139BF">
              <w:rPr>
                <w:rFonts w:cs="Arial"/>
                <w:color w:val="000000"/>
                <w:szCs w:val="22"/>
              </w:rPr>
              <w:t>13,614</w:t>
            </w:r>
          </w:p>
        </w:tc>
      </w:tr>
      <w:tr w:rsidR="00C60273" w:rsidRPr="004139BF" w14:paraId="7B479F45" w14:textId="77777777" w:rsidTr="00C60273">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71A63AEA" w14:textId="77777777" w:rsidR="00C60273" w:rsidRPr="004139BF" w:rsidRDefault="00C60273" w:rsidP="00312E88">
            <w:pPr>
              <w:rPr>
                <w:rFonts w:cs="Arial"/>
                <w:color w:val="000000"/>
                <w:szCs w:val="22"/>
              </w:rPr>
            </w:pPr>
            <w:r w:rsidRPr="004139BF">
              <w:rPr>
                <w:rFonts w:cs="Arial"/>
                <w:color w:val="000000"/>
                <w:szCs w:val="22"/>
              </w:rPr>
              <w:t>QLD</w:t>
            </w:r>
          </w:p>
        </w:tc>
        <w:tc>
          <w:tcPr>
            <w:tcW w:w="835" w:type="pct"/>
            <w:tcBorders>
              <w:top w:val="nil"/>
              <w:left w:val="nil"/>
              <w:bottom w:val="nil"/>
              <w:right w:val="nil"/>
            </w:tcBorders>
            <w:shd w:val="clear" w:color="auto" w:fill="auto"/>
            <w:noWrap/>
            <w:vAlign w:val="bottom"/>
            <w:hideMark/>
          </w:tcPr>
          <w:p w14:paraId="112F167A" w14:textId="77777777" w:rsidR="00C60273" w:rsidRPr="004139BF" w:rsidRDefault="00C60273" w:rsidP="00312E88">
            <w:pPr>
              <w:jc w:val="right"/>
              <w:rPr>
                <w:rFonts w:cs="Arial"/>
                <w:color w:val="000000"/>
                <w:szCs w:val="22"/>
              </w:rPr>
            </w:pPr>
            <w:r w:rsidRPr="004139BF">
              <w:rPr>
                <w:rFonts w:cs="Arial"/>
                <w:color w:val="000000"/>
                <w:szCs w:val="22"/>
              </w:rPr>
              <w:t>6,502</w:t>
            </w:r>
          </w:p>
        </w:tc>
        <w:tc>
          <w:tcPr>
            <w:tcW w:w="830" w:type="pct"/>
            <w:tcBorders>
              <w:top w:val="nil"/>
              <w:left w:val="nil"/>
              <w:bottom w:val="nil"/>
              <w:right w:val="nil"/>
            </w:tcBorders>
            <w:shd w:val="clear" w:color="auto" w:fill="auto"/>
            <w:noWrap/>
            <w:vAlign w:val="bottom"/>
            <w:hideMark/>
          </w:tcPr>
          <w:p w14:paraId="567DF659" w14:textId="77777777" w:rsidR="00C60273" w:rsidRPr="004139BF" w:rsidRDefault="00C60273" w:rsidP="00312E88">
            <w:pPr>
              <w:jc w:val="right"/>
              <w:rPr>
                <w:rFonts w:cs="Arial"/>
                <w:color w:val="000000"/>
                <w:szCs w:val="22"/>
              </w:rPr>
            </w:pPr>
            <w:r w:rsidRPr="004139BF">
              <w:rPr>
                <w:rFonts w:cs="Arial"/>
                <w:color w:val="000000"/>
                <w:szCs w:val="22"/>
              </w:rPr>
              <w:t>7,695</w:t>
            </w:r>
          </w:p>
        </w:tc>
        <w:tc>
          <w:tcPr>
            <w:tcW w:w="830" w:type="pct"/>
            <w:tcBorders>
              <w:top w:val="nil"/>
              <w:left w:val="nil"/>
              <w:bottom w:val="nil"/>
              <w:right w:val="nil"/>
            </w:tcBorders>
            <w:shd w:val="clear" w:color="auto" w:fill="auto"/>
            <w:noWrap/>
            <w:vAlign w:val="bottom"/>
            <w:hideMark/>
          </w:tcPr>
          <w:p w14:paraId="39609EBB" w14:textId="77777777" w:rsidR="00C60273" w:rsidRPr="004139BF" w:rsidRDefault="00C60273" w:rsidP="00312E88">
            <w:pPr>
              <w:jc w:val="right"/>
              <w:rPr>
                <w:rFonts w:cs="Arial"/>
                <w:color w:val="000000"/>
                <w:szCs w:val="22"/>
              </w:rPr>
            </w:pPr>
            <w:r w:rsidRPr="004139BF">
              <w:rPr>
                <w:rFonts w:cs="Arial"/>
                <w:color w:val="000000"/>
                <w:szCs w:val="22"/>
              </w:rPr>
              <w:t>8,780</w:t>
            </w:r>
          </w:p>
        </w:tc>
        <w:tc>
          <w:tcPr>
            <w:tcW w:w="835" w:type="pct"/>
            <w:tcBorders>
              <w:top w:val="nil"/>
              <w:left w:val="nil"/>
              <w:bottom w:val="nil"/>
              <w:right w:val="nil"/>
            </w:tcBorders>
            <w:shd w:val="clear" w:color="auto" w:fill="auto"/>
            <w:noWrap/>
            <w:vAlign w:val="bottom"/>
            <w:hideMark/>
          </w:tcPr>
          <w:p w14:paraId="4AB64313" w14:textId="77777777" w:rsidR="00C60273" w:rsidRPr="004139BF" w:rsidRDefault="00C60273" w:rsidP="00312E88">
            <w:pPr>
              <w:jc w:val="right"/>
              <w:rPr>
                <w:rFonts w:cs="Arial"/>
                <w:color w:val="000000"/>
                <w:szCs w:val="22"/>
              </w:rPr>
            </w:pPr>
            <w:r w:rsidRPr="004139BF">
              <w:rPr>
                <w:rFonts w:cs="Arial"/>
                <w:color w:val="000000"/>
                <w:szCs w:val="22"/>
              </w:rPr>
              <w:t>9,566</w:t>
            </w:r>
          </w:p>
        </w:tc>
        <w:tc>
          <w:tcPr>
            <w:tcW w:w="839" w:type="pct"/>
            <w:tcBorders>
              <w:top w:val="nil"/>
              <w:left w:val="dotted" w:sz="4" w:space="0" w:color="auto"/>
              <w:bottom w:val="nil"/>
              <w:right w:val="single" w:sz="4" w:space="0" w:color="auto"/>
            </w:tcBorders>
            <w:shd w:val="clear" w:color="auto" w:fill="auto"/>
            <w:noWrap/>
            <w:vAlign w:val="bottom"/>
            <w:hideMark/>
          </w:tcPr>
          <w:p w14:paraId="4D381342" w14:textId="77777777" w:rsidR="00C60273" w:rsidRPr="004139BF" w:rsidRDefault="00C60273" w:rsidP="00312E88">
            <w:pPr>
              <w:jc w:val="right"/>
              <w:rPr>
                <w:rFonts w:cs="Arial"/>
                <w:color w:val="000000"/>
                <w:szCs w:val="22"/>
              </w:rPr>
            </w:pPr>
            <w:r w:rsidRPr="004139BF">
              <w:rPr>
                <w:rFonts w:cs="Arial"/>
                <w:color w:val="000000"/>
                <w:szCs w:val="22"/>
              </w:rPr>
              <w:t>13,708</w:t>
            </w:r>
          </w:p>
        </w:tc>
      </w:tr>
      <w:tr w:rsidR="00C60273" w:rsidRPr="004139BF" w14:paraId="41A5353E" w14:textId="77777777" w:rsidTr="00C60273">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05B6012C" w14:textId="77777777" w:rsidR="00C60273" w:rsidRPr="004139BF" w:rsidRDefault="00C60273" w:rsidP="00312E88">
            <w:pPr>
              <w:rPr>
                <w:rFonts w:cs="Arial"/>
                <w:color w:val="000000"/>
                <w:szCs w:val="22"/>
              </w:rPr>
            </w:pPr>
            <w:r w:rsidRPr="004139BF">
              <w:rPr>
                <w:rFonts w:cs="Arial"/>
                <w:color w:val="000000"/>
                <w:szCs w:val="22"/>
              </w:rPr>
              <w:t>SA</w:t>
            </w:r>
          </w:p>
        </w:tc>
        <w:tc>
          <w:tcPr>
            <w:tcW w:w="835" w:type="pct"/>
            <w:tcBorders>
              <w:top w:val="nil"/>
              <w:left w:val="nil"/>
              <w:bottom w:val="nil"/>
              <w:right w:val="nil"/>
            </w:tcBorders>
            <w:shd w:val="clear" w:color="auto" w:fill="auto"/>
            <w:noWrap/>
            <w:vAlign w:val="bottom"/>
            <w:hideMark/>
          </w:tcPr>
          <w:p w14:paraId="3257A610" w14:textId="77777777" w:rsidR="00C60273" w:rsidRPr="004139BF" w:rsidRDefault="00C60273" w:rsidP="00312E88">
            <w:pPr>
              <w:jc w:val="right"/>
              <w:rPr>
                <w:rFonts w:cs="Arial"/>
                <w:color w:val="000000"/>
                <w:szCs w:val="22"/>
              </w:rPr>
            </w:pPr>
            <w:r w:rsidRPr="004139BF">
              <w:rPr>
                <w:rFonts w:cs="Arial"/>
                <w:color w:val="000000"/>
                <w:szCs w:val="22"/>
              </w:rPr>
              <w:t>2,380</w:t>
            </w:r>
          </w:p>
        </w:tc>
        <w:tc>
          <w:tcPr>
            <w:tcW w:w="830" w:type="pct"/>
            <w:tcBorders>
              <w:top w:val="nil"/>
              <w:left w:val="nil"/>
              <w:bottom w:val="nil"/>
              <w:right w:val="nil"/>
            </w:tcBorders>
            <w:shd w:val="clear" w:color="auto" w:fill="auto"/>
            <w:noWrap/>
            <w:vAlign w:val="bottom"/>
            <w:hideMark/>
          </w:tcPr>
          <w:p w14:paraId="678A8CAD" w14:textId="77777777" w:rsidR="00C60273" w:rsidRPr="004139BF" w:rsidRDefault="00C60273" w:rsidP="00312E88">
            <w:pPr>
              <w:jc w:val="right"/>
              <w:rPr>
                <w:rFonts w:cs="Arial"/>
                <w:color w:val="000000"/>
                <w:szCs w:val="22"/>
              </w:rPr>
            </w:pPr>
            <w:r w:rsidRPr="004139BF">
              <w:rPr>
                <w:rFonts w:cs="Arial"/>
                <w:color w:val="000000"/>
                <w:szCs w:val="22"/>
              </w:rPr>
              <w:t>2,725</w:t>
            </w:r>
          </w:p>
        </w:tc>
        <w:tc>
          <w:tcPr>
            <w:tcW w:w="830" w:type="pct"/>
            <w:tcBorders>
              <w:top w:val="nil"/>
              <w:left w:val="nil"/>
              <w:bottom w:val="nil"/>
              <w:right w:val="nil"/>
            </w:tcBorders>
            <w:shd w:val="clear" w:color="auto" w:fill="auto"/>
            <w:noWrap/>
            <w:vAlign w:val="bottom"/>
            <w:hideMark/>
          </w:tcPr>
          <w:p w14:paraId="4943B305" w14:textId="77777777" w:rsidR="00C60273" w:rsidRPr="004139BF" w:rsidRDefault="00C60273" w:rsidP="00312E88">
            <w:pPr>
              <w:jc w:val="right"/>
              <w:rPr>
                <w:rFonts w:cs="Arial"/>
                <w:color w:val="000000"/>
                <w:szCs w:val="22"/>
              </w:rPr>
            </w:pPr>
            <w:r w:rsidRPr="004139BF">
              <w:rPr>
                <w:rFonts w:cs="Arial"/>
                <w:color w:val="000000"/>
                <w:szCs w:val="22"/>
              </w:rPr>
              <w:t>3,044</w:t>
            </w:r>
          </w:p>
        </w:tc>
        <w:tc>
          <w:tcPr>
            <w:tcW w:w="835" w:type="pct"/>
            <w:tcBorders>
              <w:top w:val="nil"/>
              <w:left w:val="nil"/>
              <w:bottom w:val="nil"/>
              <w:right w:val="nil"/>
            </w:tcBorders>
            <w:shd w:val="clear" w:color="auto" w:fill="auto"/>
            <w:noWrap/>
            <w:vAlign w:val="bottom"/>
            <w:hideMark/>
          </w:tcPr>
          <w:p w14:paraId="4537AF6B" w14:textId="77777777" w:rsidR="00C60273" w:rsidRPr="004139BF" w:rsidRDefault="00C60273" w:rsidP="00312E88">
            <w:pPr>
              <w:jc w:val="right"/>
              <w:rPr>
                <w:rFonts w:cs="Arial"/>
                <w:color w:val="000000"/>
                <w:szCs w:val="22"/>
              </w:rPr>
            </w:pPr>
            <w:r w:rsidRPr="004139BF">
              <w:rPr>
                <w:rFonts w:cs="Arial"/>
                <w:color w:val="000000"/>
                <w:szCs w:val="22"/>
              </w:rPr>
              <w:t>3,316</w:t>
            </w:r>
          </w:p>
        </w:tc>
        <w:tc>
          <w:tcPr>
            <w:tcW w:w="839" w:type="pct"/>
            <w:tcBorders>
              <w:top w:val="nil"/>
              <w:left w:val="dotted" w:sz="4" w:space="0" w:color="auto"/>
              <w:bottom w:val="nil"/>
              <w:right w:val="single" w:sz="4" w:space="0" w:color="auto"/>
            </w:tcBorders>
            <w:shd w:val="clear" w:color="auto" w:fill="auto"/>
            <w:noWrap/>
            <w:vAlign w:val="bottom"/>
            <w:hideMark/>
          </w:tcPr>
          <w:p w14:paraId="0451653B" w14:textId="77777777" w:rsidR="00C60273" w:rsidRPr="004139BF" w:rsidRDefault="00C60273" w:rsidP="00312E88">
            <w:pPr>
              <w:jc w:val="right"/>
              <w:rPr>
                <w:rFonts w:cs="Arial"/>
                <w:color w:val="000000"/>
                <w:szCs w:val="22"/>
              </w:rPr>
            </w:pPr>
            <w:r w:rsidRPr="004139BF">
              <w:rPr>
                <w:rFonts w:cs="Arial"/>
                <w:color w:val="000000"/>
                <w:szCs w:val="22"/>
              </w:rPr>
              <w:t>4,752</w:t>
            </w:r>
          </w:p>
        </w:tc>
      </w:tr>
      <w:tr w:rsidR="00C60273" w:rsidRPr="004139BF" w14:paraId="6707E05C" w14:textId="77777777" w:rsidTr="00C60273">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79F856D3" w14:textId="77777777" w:rsidR="00C60273" w:rsidRPr="004139BF" w:rsidRDefault="00C60273" w:rsidP="00312E88">
            <w:pPr>
              <w:rPr>
                <w:rFonts w:cs="Arial"/>
                <w:color w:val="000000"/>
                <w:szCs w:val="22"/>
              </w:rPr>
            </w:pPr>
            <w:r w:rsidRPr="004139BF">
              <w:rPr>
                <w:rFonts w:cs="Arial"/>
                <w:color w:val="000000"/>
                <w:szCs w:val="22"/>
              </w:rPr>
              <w:t>WA</w:t>
            </w:r>
          </w:p>
        </w:tc>
        <w:tc>
          <w:tcPr>
            <w:tcW w:w="835" w:type="pct"/>
            <w:tcBorders>
              <w:top w:val="nil"/>
              <w:left w:val="nil"/>
              <w:bottom w:val="nil"/>
              <w:right w:val="nil"/>
            </w:tcBorders>
            <w:shd w:val="clear" w:color="auto" w:fill="auto"/>
            <w:noWrap/>
            <w:vAlign w:val="bottom"/>
            <w:hideMark/>
          </w:tcPr>
          <w:p w14:paraId="4727CB8C" w14:textId="77777777" w:rsidR="00C60273" w:rsidRPr="004139BF" w:rsidRDefault="00C60273" w:rsidP="00312E88">
            <w:pPr>
              <w:jc w:val="right"/>
              <w:rPr>
                <w:rFonts w:cs="Arial"/>
                <w:color w:val="000000"/>
                <w:szCs w:val="22"/>
              </w:rPr>
            </w:pPr>
            <w:r w:rsidRPr="004139BF">
              <w:rPr>
                <w:rFonts w:cs="Arial"/>
                <w:color w:val="000000"/>
                <w:szCs w:val="22"/>
              </w:rPr>
              <w:t>2,543</w:t>
            </w:r>
          </w:p>
        </w:tc>
        <w:tc>
          <w:tcPr>
            <w:tcW w:w="830" w:type="pct"/>
            <w:tcBorders>
              <w:top w:val="nil"/>
              <w:left w:val="nil"/>
              <w:bottom w:val="nil"/>
              <w:right w:val="nil"/>
            </w:tcBorders>
            <w:shd w:val="clear" w:color="auto" w:fill="auto"/>
            <w:noWrap/>
            <w:vAlign w:val="bottom"/>
            <w:hideMark/>
          </w:tcPr>
          <w:p w14:paraId="5CB88D1A" w14:textId="77777777" w:rsidR="00C60273" w:rsidRPr="004139BF" w:rsidRDefault="00C60273" w:rsidP="00312E88">
            <w:pPr>
              <w:jc w:val="right"/>
              <w:rPr>
                <w:rFonts w:cs="Arial"/>
                <w:color w:val="000000"/>
                <w:szCs w:val="22"/>
              </w:rPr>
            </w:pPr>
            <w:r w:rsidRPr="004139BF">
              <w:rPr>
                <w:rFonts w:cs="Arial"/>
                <w:color w:val="000000"/>
                <w:szCs w:val="22"/>
              </w:rPr>
              <w:t>2,934</w:t>
            </w:r>
          </w:p>
        </w:tc>
        <w:tc>
          <w:tcPr>
            <w:tcW w:w="830" w:type="pct"/>
            <w:tcBorders>
              <w:top w:val="nil"/>
              <w:left w:val="nil"/>
              <w:bottom w:val="nil"/>
              <w:right w:val="nil"/>
            </w:tcBorders>
            <w:shd w:val="clear" w:color="auto" w:fill="auto"/>
            <w:noWrap/>
            <w:vAlign w:val="bottom"/>
            <w:hideMark/>
          </w:tcPr>
          <w:p w14:paraId="2F0A1715" w14:textId="77777777" w:rsidR="00C60273" w:rsidRPr="004139BF" w:rsidRDefault="00C60273" w:rsidP="00312E88">
            <w:pPr>
              <w:jc w:val="right"/>
              <w:rPr>
                <w:rFonts w:cs="Arial"/>
                <w:color w:val="000000"/>
                <w:szCs w:val="22"/>
              </w:rPr>
            </w:pPr>
            <w:r w:rsidRPr="004139BF">
              <w:rPr>
                <w:rFonts w:cs="Arial"/>
                <w:color w:val="000000"/>
                <w:szCs w:val="22"/>
              </w:rPr>
              <w:t>3,284</w:t>
            </w:r>
          </w:p>
        </w:tc>
        <w:tc>
          <w:tcPr>
            <w:tcW w:w="835" w:type="pct"/>
            <w:tcBorders>
              <w:top w:val="nil"/>
              <w:left w:val="nil"/>
              <w:bottom w:val="nil"/>
              <w:right w:val="nil"/>
            </w:tcBorders>
            <w:shd w:val="clear" w:color="auto" w:fill="auto"/>
            <w:noWrap/>
            <w:vAlign w:val="bottom"/>
            <w:hideMark/>
          </w:tcPr>
          <w:p w14:paraId="3124450A" w14:textId="77777777" w:rsidR="00C60273" w:rsidRPr="004139BF" w:rsidRDefault="00C60273" w:rsidP="00312E88">
            <w:pPr>
              <w:jc w:val="right"/>
              <w:rPr>
                <w:rFonts w:cs="Arial"/>
                <w:color w:val="000000"/>
                <w:szCs w:val="22"/>
              </w:rPr>
            </w:pPr>
            <w:r w:rsidRPr="004139BF">
              <w:rPr>
                <w:rFonts w:cs="Arial"/>
                <w:color w:val="000000"/>
                <w:szCs w:val="22"/>
              </w:rPr>
              <w:t>3,578</w:t>
            </w:r>
          </w:p>
        </w:tc>
        <w:tc>
          <w:tcPr>
            <w:tcW w:w="839" w:type="pct"/>
            <w:tcBorders>
              <w:top w:val="nil"/>
              <w:left w:val="dotted" w:sz="4" w:space="0" w:color="auto"/>
              <w:bottom w:val="nil"/>
              <w:right w:val="single" w:sz="4" w:space="0" w:color="auto"/>
            </w:tcBorders>
            <w:shd w:val="clear" w:color="auto" w:fill="auto"/>
            <w:noWrap/>
            <w:vAlign w:val="bottom"/>
            <w:hideMark/>
          </w:tcPr>
          <w:p w14:paraId="57796440" w14:textId="77777777" w:rsidR="00C60273" w:rsidRPr="004139BF" w:rsidRDefault="00C60273" w:rsidP="00312E88">
            <w:pPr>
              <w:jc w:val="right"/>
              <w:rPr>
                <w:rFonts w:cs="Arial"/>
                <w:color w:val="000000"/>
                <w:szCs w:val="22"/>
              </w:rPr>
            </w:pPr>
            <w:r w:rsidRPr="004139BF">
              <w:rPr>
                <w:rFonts w:cs="Arial"/>
                <w:color w:val="000000"/>
                <w:szCs w:val="22"/>
              </w:rPr>
              <w:t>5,127</w:t>
            </w:r>
          </w:p>
        </w:tc>
      </w:tr>
      <w:tr w:rsidR="00C60273" w:rsidRPr="004139BF" w14:paraId="282F514E" w14:textId="77777777" w:rsidTr="00C60273">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343725F4" w14:textId="77777777" w:rsidR="00C60273" w:rsidRPr="004139BF" w:rsidRDefault="00C60273" w:rsidP="00312E88">
            <w:pPr>
              <w:rPr>
                <w:rFonts w:cs="Arial"/>
                <w:color w:val="000000"/>
                <w:szCs w:val="22"/>
              </w:rPr>
            </w:pPr>
            <w:r w:rsidRPr="004139BF">
              <w:rPr>
                <w:rFonts w:cs="Arial"/>
                <w:color w:val="000000"/>
                <w:szCs w:val="22"/>
              </w:rPr>
              <w:t>TAS</w:t>
            </w:r>
          </w:p>
        </w:tc>
        <w:tc>
          <w:tcPr>
            <w:tcW w:w="835" w:type="pct"/>
            <w:tcBorders>
              <w:top w:val="nil"/>
              <w:left w:val="nil"/>
              <w:bottom w:val="nil"/>
              <w:right w:val="nil"/>
            </w:tcBorders>
            <w:shd w:val="clear" w:color="auto" w:fill="auto"/>
            <w:noWrap/>
            <w:vAlign w:val="bottom"/>
            <w:hideMark/>
          </w:tcPr>
          <w:p w14:paraId="42B7D722" w14:textId="77777777" w:rsidR="00C60273" w:rsidRPr="004139BF" w:rsidRDefault="00C60273" w:rsidP="00312E88">
            <w:pPr>
              <w:jc w:val="right"/>
              <w:rPr>
                <w:rFonts w:cs="Arial"/>
                <w:color w:val="000000"/>
                <w:szCs w:val="22"/>
              </w:rPr>
            </w:pPr>
            <w:r w:rsidRPr="004139BF">
              <w:rPr>
                <w:rFonts w:cs="Arial"/>
                <w:color w:val="000000"/>
                <w:szCs w:val="22"/>
              </w:rPr>
              <w:t>765</w:t>
            </w:r>
          </w:p>
        </w:tc>
        <w:tc>
          <w:tcPr>
            <w:tcW w:w="830" w:type="pct"/>
            <w:tcBorders>
              <w:top w:val="nil"/>
              <w:left w:val="nil"/>
              <w:bottom w:val="nil"/>
              <w:right w:val="nil"/>
            </w:tcBorders>
            <w:shd w:val="clear" w:color="auto" w:fill="auto"/>
            <w:noWrap/>
            <w:vAlign w:val="bottom"/>
            <w:hideMark/>
          </w:tcPr>
          <w:p w14:paraId="21C516DC" w14:textId="77777777" w:rsidR="00C60273" w:rsidRPr="004139BF" w:rsidRDefault="00C60273" w:rsidP="00312E88">
            <w:pPr>
              <w:jc w:val="right"/>
              <w:rPr>
                <w:rFonts w:cs="Arial"/>
                <w:color w:val="000000"/>
                <w:szCs w:val="22"/>
              </w:rPr>
            </w:pPr>
            <w:r w:rsidRPr="004139BF">
              <w:rPr>
                <w:rFonts w:cs="Arial"/>
                <w:color w:val="000000"/>
                <w:szCs w:val="22"/>
              </w:rPr>
              <w:t>896</w:t>
            </w:r>
          </w:p>
        </w:tc>
        <w:tc>
          <w:tcPr>
            <w:tcW w:w="830" w:type="pct"/>
            <w:tcBorders>
              <w:top w:val="nil"/>
              <w:left w:val="nil"/>
              <w:bottom w:val="nil"/>
              <w:right w:val="nil"/>
            </w:tcBorders>
            <w:shd w:val="clear" w:color="auto" w:fill="auto"/>
            <w:noWrap/>
            <w:vAlign w:val="bottom"/>
            <w:hideMark/>
          </w:tcPr>
          <w:p w14:paraId="210AB1CB" w14:textId="77777777" w:rsidR="00C60273" w:rsidRPr="004139BF" w:rsidRDefault="00C60273" w:rsidP="00312E88">
            <w:pPr>
              <w:jc w:val="right"/>
              <w:rPr>
                <w:rFonts w:cs="Arial"/>
                <w:color w:val="000000"/>
                <w:szCs w:val="22"/>
              </w:rPr>
            </w:pPr>
            <w:r w:rsidRPr="004139BF">
              <w:rPr>
                <w:rFonts w:cs="Arial"/>
                <w:color w:val="000000"/>
                <w:szCs w:val="22"/>
              </w:rPr>
              <w:t>1,016</w:t>
            </w:r>
          </w:p>
        </w:tc>
        <w:tc>
          <w:tcPr>
            <w:tcW w:w="835" w:type="pct"/>
            <w:tcBorders>
              <w:top w:val="nil"/>
              <w:left w:val="nil"/>
              <w:bottom w:val="nil"/>
              <w:right w:val="nil"/>
            </w:tcBorders>
            <w:shd w:val="clear" w:color="auto" w:fill="auto"/>
            <w:noWrap/>
            <w:vAlign w:val="bottom"/>
            <w:hideMark/>
          </w:tcPr>
          <w:p w14:paraId="3253713E" w14:textId="77777777" w:rsidR="00C60273" w:rsidRPr="004139BF" w:rsidRDefault="00C60273" w:rsidP="00312E88">
            <w:pPr>
              <w:jc w:val="right"/>
              <w:rPr>
                <w:rFonts w:cs="Arial"/>
                <w:color w:val="000000"/>
                <w:szCs w:val="22"/>
              </w:rPr>
            </w:pPr>
            <w:r w:rsidRPr="004139BF">
              <w:rPr>
                <w:rFonts w:cs="Arial"/>
                <w:color w:val="000000"/>
                <w:szCs w:val="22"/>
              </w:rPr>
              <w:t>1,107</w:t>
            </w:r>
          </w:p>
        </w:tc>
        <w:tc>
          <w:tcPr>
            <w:tcW w:w="839" w:type="pct"/>
            <w:tcBorders>
              <w:top w:val="nil"/>
              <w:left w:val="dotted" w:sz="4" w:space="0" w:color="auto"/>
              <w:bottom w:val="nil"/>
              <w:right w:val="single" w:sz="4" w:space="0" w:color="auto"/>
            </w:tcBorders>
            <w:shd w:val="clear" w:color="auto" w:fill="auto"/>
            <w:noWrap/>
            <w:vAlign w:val="bottom"/>
            <w:hideMark/>
          </w:tcPr>
          <w:p w14:paraId="462C2FB7" w14:textId="77777777" w:rsidR="00C60273" w:rsidRPr="004139BF" w:rsidRDefault="00C60273" w:rsidP="00312E88">
            <w:pPr>
              <w:jc w:val="right"/>
              <w:rPr>
                <w:rFonts w:cs="Arial"/>
                <w:color w:val="000000"/>
                <w:szCs w:val="22"/>
              </w:rPr>
            </w:pPr>
            <w:r w:rsidRPr="004139BF">
              <w:rPr>
                <w:rFonts w:cs="Arial"/>
                <w:color w:val="000000"/>
                <w:szCs w:val="22"/>
              </w:rPr>
              <w:t>1,586</w:t>
            </w:r>
          </w:p>
        </w:tc>
      </w:tr>
      <w:tr w:rsidR="00C60273" w:rsidRPr="004139BF" w14:paraId="3121D890" w14:textId="77777777" w:rsidTr="00C60273">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3A4EDE4D" w14:textId="77777777" w:rsidR="00C60273" w:rsidRPr="004139BF" w:rsidRDefault="00C60273" w:rsidP="00312E88">
            <w:pPr>
              <w:rPr>
                <w:rFonts w:cs="Arial"/>
                <w:color w:val="000000"/>
                <w:szCs w:val="22"/>
              </w:rPr>
            </w:pPr>
            <w:r w:rsidRPr="004139BF">
              <w:rPr>
                <w:rFonts w:cs="Arial"/>
                <w:color w:val="000000"/>
                <w:szCs w:val="22"/>
              </w:rPr>
              <w:t>ACT</w:t>
            </w:r>
          </w:p>
        </w:tc>
        <w:tc>
          <w:tcPr>
            <w:tcW w:w="835" w:type="pct"/>
            <w:tcBorders>
              <w:top w:val="nil"/>
              <w:left w:val="nil"/>
              <w:bottom w:val="nil"/>
              <w:right w:val="nil"/>
            </w:tcBorders>
            <w:shd w:val="clear" w:color="auto" w:fill="auto"/>
            <w:noWrap/>
            <w:vAlign w:val="bottom"/>
            <w:hideMark/>
          </w:tcPr>
          <w:p w14:paraId="7EB2F5F4" w14:textId="77777777" w:rsidR="00C60273" w:rsidRPr="004139BF" w:rsidRDefault="00C60273" w:rsidP="00312E88">
            <w:pPr>
              <w:jc w:val="right"/>
              <w:rPr>
                <w:rFonts w:cs="Arial"/>
                <w:color w:val="000000"/>
                <w:szCs w:val="22"/>
              </w:rPr>
            </w:pPr>
            <w:r w:rsidRPr="004139BF">
              <w:rPr>
                <w:rFonts w:cs="Arial"/>
                <w:color w:val="000000"/>
                <w:szCs w:val="22"/>
              </w:rPr>
              <w:t>463</w:t>
            </w:r>
          </w:p>
        </w:tc>
        <w:tc>
          <w:tcPr>
            <w:tcW w:w="830" w:type="pct"/>
            <w:tcBorders>
              <w:top w:val="nil"/>
              <w:left w:val="nil"/>
              <w:bottom w:val="nil"/>
              <w:right w:val="nil"/>
            </w:tcBorders>
            <w:shd w:val="clear" w:color="auto" w:fill="auto"/>
            <w:noWrap/>
            <w:vAlign w:val="bottom"/>
            <w:hideMark/>
          </w:tcPr>
          <w:p w14:paraId="32928482" w14:textId="77777777" w:rsidR="00C60273" w:rsidRPr="004139BF" w:rsidRDefault="00C60273" w:rsidP="00312E88">
            <w:pPr>
              <w:jc w:val="right"/>
              <w:rPr>
                <w:rFonts w:cs="Arial"/>
                <w:color w:val="000000"/>
                <w:szCs w:val="22"/>
              </w:rPr>
            </w:pPr>
            <w:r w:rsidRPr="004139BF">
              <w:rPr>
                <w:rFonts w:cs="Arial"/>
                <w:color w:val="000000"/>
                <w:szCs w:val="22"/>
              </w:rPr>
              <w:t>498</w:t>
            </w:r>
          </w:p>
        </w:tc>
        <w:tc>
          <w:tcPr>
            <w:tcW w:w="830" w:type="pct"/>
            <w:tcBorders>
              <w:top w:val="nil"/>
              <w:left w:val="nil"/>
              <w:bottom w:val="nil"/>
              <w:right w:val="nil"/>
            </w:tcBorders>
            <w:shd w:val="clear" w:color="auto" w:fill="auto"/>
            <w:noWrap/>
            <w:vAlign w:val="bottom"/>
            <w:hideMark/>
          </w:tcPr>
          <w:p w14:paraId="39F2343C" w14:textId="77777777" w:rsidR="00C60273" w:rsidRPr="004139BF" w:rsidRDefault="00C60273" w:rsidP="00312E88">
            <w:pPr>
              <w:jc w:val="right"/>
              <w:rPr>
                <w:rFonts w:cs="Arial"/>
                <w:color w:val="000000"/>
                <w:szCs w:val="22"/>
              </w:rPr>
            </w:pPr>
            <w:r w:rsidRPr="004139BF">
              <w:rPr>
                <w:rFonts w:cs="Arial"/>
                <w:color w:val="000000"/>
                <w:szCs w:val="22"/>
              </w:rPr>
              <w:t>524</w:t>
            </w:r>
          </w:p>
        </w:tc>
        <w:tc>
          <w:tcPr>
            <w:tcW w:w="835" w:type="pct"/>
            <w:tcBorders>
              <w:top w:val="nil"/>
              <w:left w:val="nil"/>
              <w:bottom w:val="nil"/>
              <w:right w:val="nil"/>
            </w:tcBorders>
            <w:shd w:val="clear" w:color="auto" w:fill="auto"/>
            <w:noWrap/>
            <w:vAlign w:val="bottom"/>
            <w:hideMark/>
          </w:tcPr>
          <w:p w14:paraId="1BCAC6CE" w14:textId="77777777" w:rsidR="00C60273" w:rsidRPr="004139BF" w:rsidRDefault="00C60273" w:rsidP="00312E88">
            <w:pPr>
              <w:jc w:val="right"/>
              <w:rPr>
                <w:rFonts w:cs="Arial"/>
                <w:color w:val="000000"/>
                <w:szCs w:val="22"/>
              </w:rPr>
            </w:pPr>
            <w:r w:rsidRPr="004139BF">
              <w:rPr>
                <w:rFonts w:cs="Arial"/>
                <w:color w:val="000000"/>
                <w:szCs w:val="22"/>
              </w:rPr>
              <w:t>570</w:t>
            </w:r>
          </w:p>
        </w:tc>
        <w:tc>
          <w:tcPr>
            <w:tcW w:w="839" w:type="pct"/>
            <w:tcBorders>
              <w:top w:val="nil"/>
              <w:left w:val="dotted" w:sz="4" w:space="0" w:color="auto"/>
              <w:bottom w:val="nil"/>
              <w:right w:val="single" w:sz="4" w:space="0" w:color="auto"/>
            </w:tcBorders>
            <w:shd w:val="clear" w:color="auto" w:fill="auto"/>
            <w:noWrap/>
            <w:vAlign w:val="bottom"/>
            <w:hideMark/>
          </w:tcPr>
          <w:p w14:paraId="4D397A9E" w14:textId="77777777" w:rsidR="00C60273" w:rsidRPr="004139BF" w:rsidRDefault="00C60273" w:rsidP="00312E88">
            <w:pPr>
              <w:jc w:val="right"/>
              <w:rPr>
                <w:rFonts w:cs="Arial"/>
                <w:color w:val="000000"/>
                <w:szCs w:val="22"/>
              </w:rPr>
            </w:pPr>
            <w:r w:rsidRPr="004139BF">
              <w:rPr>
                <w:rFonts w:cs="Arial"/>
                <w:color w:val="000000"/>
                <w:szCs w:val="22"/>
              </w:rPr>
              <w:t>817</w:t>
            </w:r>
          </w:p>
        </w:tc>
      </w:tr>
      <w:tr w:rsidR="00C60273" w:rsidRPr="004139BF" w14:paraId="13B3BE1B" w14:textId="77777777" w:rsidTr="00C60273">
        <w:trPr>
          <w:trHeight w:hRule="exact" w:val="284"/>
        </w:trPr>
        <w:tc>
          <w:tcPr>
            <w:tcW w:w="831" w:type="pct"/>
            <w:tcBorders>
              <w:top w:val="nil"/>
              <w:left w:val="single" w:sz="4" w:space="0" w:color="auto"/>
              <w:bottom w:val="nil"/>
              <w:right w:val="single" w:sz="4" w:space="0" w:color="auto"/>
            </w:tcBorders>
            <w:shd w:val="clear" w:color="auto" w:fill="auto"/>
            <w:noWrap/>
            <w:vAlign w:val="bottom"/>
            <w:hideMark/>
          </w:tcPr>
          <w:p w14:paraId="7A7DEBFE" w14:textId="77777777" w:rsidR="00C60273" w:rsidRPr="004139BF" w:rsidRDefault="00C60273" w:rsidP="00312E88">
            <w:pPr>
              <w:rPr>
                <w:rFonts w:cs="Arial"/>
                <w:color w:val="000000"/>
                <w:szCs w:val="22"/>
              </w:rPr>
            </w:pPr>
            <w:r w:rsidRPr="004139BF">
              <w:rPr>
                <w:rFonts w:cs="Arial"/>
                <w:color w:val="000000"/>
                <w:szCs w:val="22"/>
              </w:rPr>
              <w:t>NT</w:t>
            </w:r>
          </w:p>
        </w:tc>
        <w:tc>
          <w:tcPr>
            <w:tcW w:w="835" w:type="pct"/>
            <w:tcBorders>
              <w:top w:val="nil"/>
              <w:left w:val="nil"/>
              <w:bottom w:val="nil"/>
              <w:right w:val="nil"/>
            </w:tcBorders>
            <w:shd w:val="clear" w:color="auto" w:fill="auto"/>
            <w:noWrap/>
            <w:vAlign w:val="bottom"/>
            <w:hideMark/>
          </w:tcPr>
          <w:p w14:paraId="4BD36DC1" w14:textId="77777777" w:rsidR="00C60273" w:rsidRPr="004139BF" w:rsidRDefault="00C60273" w:rsidP="00312E88">
            <w:pPr>
              <w:jc w:val="right"/>
              <w:rPr>
                <w:rFonts w:cs="Arial"/>
                <w:color w:val="000000"/>
                <w:szCs w:val="22"/>
              </w:rPr>
            </w:pPr>
            <w:r w:rsidRPr="004139BF">
              <w:rPr>
                <w:rFonts w:cs="Arial"/>
                <w:color w:val="000000"/>
                <w:szCs w:val="22"/>
              </w:rPr>
              <w:t>492</w:t>
            </w:r>
          </w:p>
        </w:tc>
        <w:tc>
          <w:tcPr>
            <w:tcW w:w="830" w:type="pct"/>
            <w:tcBorders>
              <w:top w:val="nil"/>
              <w:left w:val="nil"/>
              <w:bottom w:val="nil"/>
              <w:right w:val="nil"/>
            </w:tcBorders>
            <w:shd w:val="clear" w:color="auto" w:fill="auto"/>
            <w:noWrap/>
            <w:vAlign w:val="bottom"/>
            <w:hideMark/>
          </w:tcPr>
          <w:p w14:paraId="09264FF8" w14:textId="77777777" w:rsidR="00C60273" w:rsidRPr="004139BF" w:rsidRDefault="00C60273" w:rsidP="00312E88">
            <w:pPr>
              <w:jc w:val="right"/>
              <w:rPr>
                <w:rFonts w:cs="Arial"/>
                <w:color w:val="000000"/>
                <w:szCs w:val="22"/>
              </w:rPr>
            </w:pPr>
            <w:r w:rsidRPr="004139BF">
              <w:rPr>
                <w:rFonts w:cs="Arial"/>
                <w:color w:val="000000"/>
                <w:szCs w:val="22"/>
              </w:rPr>
              <w:t>559</w:t>
            </w:r>
          </w:p>
        </w:tc>
        <w:tc>
          <w:tcPr>
            <w:tcW w:w="830" w:type="pct"/>
            <w:tcBorders>
              <w:top w:val="nil"/>
              <w:left w:val="nil"/>
              <w:bottom w:val="nil"/>
              <w:right w:val="nil"/>
            </w:tcBorders>
            <w:shd w:val="clear" w:color="auto" w:fill="auto"/>
            <w:noWrap/>
            <w:vAlign w:val="bottom"/>
            <w:hideMark/>
          </w:tcPr>
          <w:p w14:paraId="1DD6A22E" w14:textId="77777777" w:rsidR="00C60273" w:rsidRPr="004139BF" w:rsidRDefault="00C60273" w:rsidP="00312E88">
            <w:pPr>
              <w:jc w:val="right"/>
              <w:rPr>
                <w:rFonts w:cs="Arial"/>
                <w:color w:val="000000"/>
                <w:szCs w:val="22"/>
              </w:rPr>
            </w:pPr>
            <w:r w:rsidRPr="004139BF">
              <w:rPr>
                <w:rFonts w:cs="Arial"/>
                <w:color w:val="000000"/>
                <w:szCs w:val="22"/>
              </w:rPr>
              <w:t>601</w:t>
            </w:r>
          </w:p>
        </w:tc>
        <w:tc>
          <w:tcPr>
            <w:tcW w:w="835" w:type="pct"/>
            <w:tcBorders>
              <w:top w:val="nil"/>
              <w:left w:val="nil"/>
              <w:bottom w:val="nil"/>
              <w:right w:val="nil"/>
            </w:tcBorders>
            <w:shd w:val="clear" w:color="auto" w:fill="auto"/>
            <w:noWrap/>
            <w:vAlign w:val="bottom"/>
            <w:hideMark/>
          </w:tcPr>
          <w:p w14:paraId="4E188452" w14:textId="77777777" w:rsidR="00C60273" w:rsidRPr="004139BF" w:rsidRDefault="00C60273" w:rsidP="00312E88">
            <w:pPr>
              <w:jc w:val="right"/>
              <w:rPr>
                <w:rFonts w:cs="Arial"/>
                <w:color w:val="000000"/>
                <w:szCs w:val="22"/>
              </w:rPr>
            </w:pPr>
            <w:r w:rsidRPr="004139BF">
              <w:rPr>
                <w:rFonts w:cs="Arial"/>
                <w:color w:val="000000"/>
                <w:szCs w:val="22"/>
              </w:rPr>
              <w:t>654</w:t>
            </w:r>
          </w:p>
        </w:tc>
        <w:tc>
          <w:tcPr>
            <w:tcW w:w="839" w:type="pct"/>
            <w:tcBorders>
              <w:top w:val="nil"/>
              <w:left w:val="dotted" w:sz="4" w:space="0" w:color="auto"/>
              <w:bottom w:val="nil"/>
              <w:right w:val="single" w:sz="4" w:space="0" w:color="auto"/>
            </w:tcBorders>
            <w:shd w:val="clear" w:color="auto" w:fill="auto"/>
            <w:noWrap/>
            <w:vAlign w:val="bottom"/>
            <w:hideMark/>
          </w:tcPr>
          <w:p w14:paraId="1D990DD1" w14:textId="77777777" w:rsidR="00C60273" w:rsidRPr="004139BF" w:rsidRDefault="00C60273" w:rsidP="00312E88">
            <w:pPr>
              <w:jc w:val="right"/>
              <w:rPr>
                <w:rFonts w:cs="Arial"/>
                <w:color w:val="000000"/>
                <w:szCs w:val="22"/>
              </w:rPr>
            </w:pPr>
            <w:r w:rsidRPr="004139BF">
              <w:rPr>
                <w:rFonts w:cs="Arial"/>
                <w:color w:val="000000"/>
                <w:szCs w:val="22"/>
              </w:rPr>
              <w:t>938</w:t>
            </w:r>
          </w:p>
        </w:tc>
      </w:tr>
      <w:tr w:rsidR="00C60273" w:rsidRPr="004139BF" w14:paraId="7C52B8AE" w14:textId="77777777" w:rsidTr="00C60273">
        <w:trPr>
          <w:trHeight w:hRule="exact" w:val="284"/>
        </w:trPr>
        <w:tc>
          <w:tcPr>
            <w:tcW w:w="831" w:type="pct"/>
            <w:tcBorders>
              <w:top w:val="single" w:sz="4" w:space="0" w:color="auto"/>
              <w:left w:val="single" w:sz="4" w:space="0" w:color="auto"/>
              <w:bottom w:val="single" w:sz="4" w:space="0" w:color="auto"/>
              <w:right w:val="single" w:sz="4" w:space="0" w:color="auto"/>
            </w:tcBorders>
            <w:shd w:val="clear" w:color="000000" w:fill="F7EEF7"/>
            <w:noWrap/>
            <w:vAlign w:val="bottom"/>
            <w:hideMark/>
          </w:tcPr>
          <w:p w14:paraId="7190C79B" w14:textId="77777777" w:rsidR="00C60273" w:rsidRPr="004139BF" w:rsidRDefault="00C60273" w:rsidP="00312E88">
            <w:pPr>
              <w:rPr>
                <w:rFonts w:cs="Arial"/>
                <w:b/>
                <w:bCs/>
                <w:color w:val="000000"/>
                <w:szCs w:val="22"/>
              </w:rPr>
            </w:pPr>
            <w:r w:rsidRPr="004139BF">
              <w:rPr>
                <w:rFonts w:cs="Arial"/>
                <w:b/>
                <w:bCs/>
                <w:color w:val="000000"/>
                <w:szCs w:val="22"/>
              </w:rPr>
              <w:t>Total</w:t>
            </w:r>
          </w:p>
        </w:tc>
        <w:tc>
          <w:tcPr>
            <w:tcW w:w="835" w:type="pct"/>
            <w:tcBorders>
              <w:top w:val="single" w:sz="4" w:space="0" w:color="auto"/>
              <w:left w:val="nil"/>
              <w:bottom w:val="single" w:sz="4" w:space="0" w:color="auto"/>
              <w:right w:val="nil"/>
            </w:tcBorders>
            <w:shd w:val="clear" w:color="000000" w:fill="F7EEF7"/>
            <w:noWrap/>
            <w:vAlign w:val="bottom"/>
            <w:hideMark/>
          </w:tcPr>
          <w:p w14:paraId="5A466F2E" w14:textId="77777777" w:rsidR="00C60273" w:rsidRPr="004139BF" w:rsidRDefault="00C60273" w:rsidP="00312E88">
            <w:pPr>
              <w:jc w:val="right"/>
              <w:rPr>
                <w:rFonts w:cs="Arial"/>
                <w:b/>
                <w:bCs/>
                <w:color w:val="000000"/>
                <w:szCs w:val="22"/>
              </w:rPr>
            </w:pPr>
            <w:r w:rsidRPr="004139BF">
              <w:rPr>
                <w:rFonts w:cs="Arial"/>
                <w:b/>
                <w:bCs/>
                <w:color w:val="000000"/>
                <w:szCs w:val="22"/>
              </w:rPr>
              <w:t>29,223</w:t>
            </w:r>
          </w:p>
        </w:tc>
        <w:tc>
          <w:tcPr>
            <w:tcW w:w="830" w:type="pct"/>
            <w:tcBorders>
              <w:top w:val="single" w:sz="4" w:space="0" w:color="auto"/>
              <w:left w:val="nil"/>
              <w:bottom w:val="single" w:sz="4" w:space="0" w:color="auto"/>
              <w:right w:val="nil"/>
            </w:tcBorders>
            <w:shd w:val="clear" w:color="000000" w:fill="F7EEF7"/>
            <w:noWrap/>
            <w:vAlign w:val="bottom"/>
            <w:hideMark/>
          </w:tcPr>
          <w:p w14:paraId="5B242AE0" w14:textId="77777777" w:rsidR="00C60273" w:rsidRPr="004139BF" w:rsidRDefault="00C60273" w:rsidP="00312E88">
            <w:pPr>
              <w:jc w:val="right"/>
              <w:rPr>
                <w:rFonts w:cs="Arial"/>
                <w:b/>
                <w:bCs/>
                <w:color w:val="000000"/>
                <w:szCs w:val="22"/>
              </w:rPr>
            </w:pPr>
            <w:r w:rsidRPr="004139BF">
              <w:rPr>
                <w:rFonts w:cs="Arial"/>
                <w:b/>
                <w:bCs/>
                <w:color w:val="000000"/>
                <w:szCs w:val="22"/>
              </w:rPr>
              <w:t>33,886</w:t>
            </w:r>
          </w:p>
        </w:tc>
        <w:tc>
          <w:tcPr>
            <w:tcW w:w="830" w:type="pct"/>
            <w:tcBorders>
              <w:top w:val="single" w:sz="4" w:space="0" w:color="auto"/>
              <w:left w:val="nil"/>
              <w:bottom w:val="single" w:sz="4" w:space="0" w:color="auto"/>
              <w:right w:val="nil"/>
            </w:tcBorders>
            <w:shd w:val="clear" w:color="000000" w:fill="F7EEF7"/>
            <w:noWrap/>
            <w:vAlign w:val="bottom"/>
            <w:hideMark/>
          </w:tcPr>
          <w:p w14:paraId="158DB42F" w14:textId="77777777" w:rsidR="00C60273" w:rsidRPr="004139BF" w:rsidRDefault="00C60273" w:rsidP="00312E88">
            <w:pPr>
              <w:jc w:val="right"/>
              <w:rPr>
                <w:rFonts w:cs="Arial"/>
                <w:b/>
                <w:bCs/>
                <w:color w:val="000000"/>
                <w:szCs w:val="22"/>
              </w:rPr>
            </w:pPr>
            <w:r w:rsidRPr="004139BF">
              <w:rPr>
                <w:rFonts w:cs="Arial"/>
                <w:b/>
                <w:bCs/>
                <w:color w:val="000000"/>
                <w:szCs w:val="22"/>
              </w:rPr>
              <w:t>37,973</w:t>
            </w:r>
          </w:p>
        </w:tc>
        <w:tc>
          <w:tcPr>
            <w:tcW w:w="835" w:type="pct"/>
            <w:tcBorders>
              <w:top w:val="single" w:sz="4" w:space="0" w:color="auto"/>
              <w:left w:val="nil"/>
              <w:bottom w:val="single" w:sz="4" w:space="0" w:color="auto"/>
              <w:right w:val="nil"/>
            </w:tcBorders>
            <w:shd w:val="clear" w:color="000000" w:fill="F7EEF7"/>
            <w:noWrap/>
            <w:vAlign w:val="bottom"/>
            <w:hideMark/>
          </w:tcPr>
          <w:p w14:paraId="78463C9F" w14:textId="77777777" w:rsidR="00C60273" w:rsidRPr="004139BF" w:rsidRDefault="00C60273" w:rsidP="00312E88">
            <w:pPr>
              <w:jc w:val="right"/>
              <w:rPr>
                <w:rFonts w:cs="Arial"/>
                <w:b/>
                <w:bCs/>
                <w:color w:val="000000"/>
                <w:szCs w:val="22"/>
              </w:rPr>
            </w:pPr>
            <w:r w:rsidRPr="004139BF">
              <w:rPr>
                <w:rFonts w:cs="Arial"/>
                <w:b/>
                <w:bCs/>
                <w:color w:val="000000"/>
                <w:szCs w:val="22"/>
              </w:rPr>
              <w:t>41,373</w:t>
            </w:r>
          </w:p>
        </w:tc>
        <w:tc>
          <w:tcPr>
            <w:tcW w:w="839" w:type="pct"/>
            <w:tcBorders>
              <w:top w:val="single" w:sz="4" w:space="0" w:color="auto"/>
              <w:left w:val="dotted" w:sz="4" w:space="0" w:color="auto"/>
              <w:bottom w:val="single" w:sz="4" w:space="0" w:color="auto"/>
              <w:right w:val="single" w:sz="4" w:space="0" w:color="auto"/>
            </w:tcBorders>
            <w:shd w:val="clear" w:color="000000" w:fill="F7EEF7"/>
            <w:noWrap/>
            <w:vAlign w:val="bottom"/>
            <w:hideMark/>
          </w:tcPr>
          <w:p w14:paraId="39909FE4" w14:textId="77777777" w:rsidR="00C60273" w:rsidRPr="004139BF" w:rsidRDefault="00C60273" w:rsidP="00312E88">
            <w:pPr>
              <w:jc w:val="right"/>
              <w:rPr>
                <w:rFonts w:cs="Arial"/>
                <w:b/>
                <w:bCs/>
                <w:color w:val="000000"/>
                <w:szCs w:val="22"/>
              </w:rPr>
            </w:pPr>
            <w:r w:rsidRPr="004139BF">
              <w:rPr>
                <w:rFonts w:cs="Arial"/>
                <w:b/>
                <w:bCs/>
                <w:color w:val="000000"/>
                <w:szCs w:val="22"/>
              </w:rPr>
              <w:t>59,284</w:t>
            </w:r>
          </w:p>
        </w:tc>
      </w:tr>
    </w:tbl>
    <w:p w14:paraId="4F18EF9B" w14:textId="33E0FD5D" w:rsidR="00C967DA" w:rsidRPr="00226AF5" w:rsidRDefault="00C967DA" w:rsidP="00C967DA">
      <w:pPr>
        <w:pStyle w:val="FSRnormal"/>
      </w:pPr>
    </w:p>
    <w:p w14:paraId="0AACE85A" w14:textId="77777777" w:rsidR="00C967DA" w:rsidRDefault="00C967DA" w:rsidP="00C967DA"/>
    <w:p w14:paraId="0F5F286B" w14:textId="77777777" w:rsidR="00833DDD" w:rsidRPr="00833DDD" w:rsidRDefault="00833DDD" w:rsidP="00833DDD"/>
    <w:p w14:paraId="04A117BA" w14:textId="2CAC210B" w:rsidR="00211344" w:rsidRDefault="00211344">
      <w:pPr>
        <w:spacing w:after="160" w:line="259" w:lineRule="auto"/>
      </w:pPr>
      <w:bookmarkStart w:id="389" w:name="_Appendix_D:_Utilisation"/>
      <w:bookmarkStart w:id="390" w:name="_Appendix_E:_State/Territory"/>
      <w:bookmarkEnd w:id="389"/>
      <w:bookmarkEnd w:id="390"/>
      <w:r>
        <w:br w:type="page"/>
      </w:r>
    </w:p>
    <w:p w14:paraId="627C6FA5" w14:textId="2A6EED47" w:rsidR="00CB6A88" w:rsidRDefault="00211344" w:rsidP="00BC1282">
      <w:pPr>
        <w:pStyle w:val="Heading2"/>
        <w:numPr>
          <w:ilvl w:val="0"/>
          <w:numId w:val="0"/>
        </w:numPr>
        <w:ind w:left="720" w:hanging="720"/>
      </w:pPr>
      <w:bookmarkStart w:id="391" w:name="_Appendix_E:_Historical"/>
      <w:bookmarkStart w:id="392" w:name="_Toc83220870"/>
      <w:bookmarkStart w:id="393" w:name="_Toc85031281"/>
      <w:bookmarkEnd w:id="391"/>
      <w:r>
        <w:lastRenderedPageBreak/>
        <w:t xml:space="preserve">Appendix E: </w:t>
      </w:r>
      <w:r w:rsidR="00A2569E">
        <w:t>Historic</w:t>
      </w:r>
      <w:r>
        <w:t xml:space="preserve"> average participant payments by </w:t>
      </w:r>
      <w:r w:rsidR="001A5ECE">
        <w:t>SIL type</w:t>
      </w:r>
      <w:bookmarkEnd w:id="392"/>
      <w:bookmarkEnd w:id="393"/>
    </w:p>
    <w:p w14:paraId="06AADA58" w14:textId="6C81A0A9" w:rsidR="00211344" w:rsidRPr="00361CA7" w:rsidRDefault="00211344" w:rsidP="00BC1282">
      <w:pPr>
        <w:pStyle w:val="Tables"/>
      </w:pPr>
      <w:r w:rsidRPr="002735DF">
        <w:t xml:space="preserve">Table </w:t>
      </w:r>
      <w:fldSimple w:instr=" SEQ Table \* ARABIC ">
        <w:r w:rsidR="00E50032">
          <w:rPr>
            <w:noProof/>
          </w:rPr>
          <w:t>68</w:t>
        </w:r>
      </w:fldSimple>
      <w:r w:rsidRPr="002735DF">
        <w:t xml:space="preserve"> </w:t>
      </w:r>
      <w:r>
        <w:t>Previous AFSR projections – average participant payments (non-SIL)</w:t>
      </w:r>
    </w:p>
    <w:tbl>
      <w:tblPr>
        <w:tblW w:w="5000" w:type="pct"/>
        <w:tblLook w:val="04A0" w:firstRow="1" w:lastRow="0" w:firstColumn="1" w:lastColumn="0" w:noHBand="0" w:noVBand="1"/>
      </w:tblPr>
      <w:tblGrid>
        <w:gridCol w:w="3109"/>
        <w:gridCol w:w="739"/>
        <w:gridCol w:w="739"/>
        <w:gridCol w:w="739"/>
        <w:gridCol w:w="738"/>
        <w:gridCol w:w="738"/>
        <w:gridCol w:w="738"/>
        <w:gridCol w:w="738"/>
        <w:gridCol w:w="738"/>
      </w:tblGrid>
      <w:tr w:rsidR="0057778C" w:rsidRPr="00127DCE" w14:paraId="6492B94A" w14:textId="77777777" w:rsidTr="00312E88">
        <w:trPr>
          <w:trHeight w:val="450"/>
          <w:tblHeader/>
        </w:trPr>
        <w:tc>
          <w:tcPr>
            <w:tcW w:w="1952" w:type="pct"/>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6E75A3CB" w14:textId="77777777" w:rsidR="0057778C" w:rsidRPr="00127DCE" w:rsidRDefault="0057778C" w:rsidP="00312E88">
            <w:pPr>
              <w:rPr>
                <w:rFonts w:cs="Arial"/>
                <w:b/>
                <w:bCs/>
                <w:color w:val="FFFFFF"/>
                <w:sz w:val="16"/>
                <w:szCs w:val="16"/>
              </w:rPr>
            </w:pPr>
            <w:r w:rsidRPr="00127DCE">
              <w:rPr>
                <w:rFonts w:cs="Arial"/>
                <w:b/>
                <w:bCs/>
                <w:color w:val="FFFFFF"/>
                <w:sz w:val="16"/>
                <w:szCs w:val="16"/>
              </w:rPr>
              <w:t>Average participant payments (non-SIL)</w:t>
            </w:r>
          </w:p>
        </w:tc>
        <w:tc>
          <w:tcPr>
            <w:tcW w:w="380" w:type="pct"/>
            <w:tcBorders>
              <w:top w:val="single" w:sz="4" w:space="0" w:color="auto"/>
              <w:left w:val="nil"/>
              <w:bottom w:val="single" w:sz="4" w:space="0" w:color="auto"/>
              <w:right w:val="nil"/>
            </w:tcBorders>
            <w:shd w:val="clear" w:color="000000" w:fill="6B2976"/>
            <w:noWrap/>
            <w:vAlign w:val="center"/>
            <w:hideMark/>
          </w:tcPr>
          <w:p w14:paraId="32198BB9" w14:textId="77777777" w:rsidR="0057778C" w:rsidRPr="00127DCE" w:rsidRDefault="0057778C" w:rsidP="00312E88">
            <w:pPr>
              <w:jc w:val="center"/>
              <w:rPr>
                <w:rFonts w:cs="Arial"/>
                <w:b/>
                <w:bCs/>
                <w:color w:val="FFFFFF"/>
                <w:sz w:val="16"/>
                <w:szCs w:val="16"/>
              </w:rPr>
            </w:pPr>
            <w:r w:rsidRPr="00127DCE">
              <w:rPr>
                <w:rFonts w:cs="Arial"/>
                <w:b/>
                <w:bCs/>
                <w:color w:val="FFFFFF"/>
                <w:sz w:val="16"/>
                <w:szCs w:val="16"/>
              </w:rPr>
              <w:t>2017-18</w:t>
            </w:r>
          </w:p>
        </w:tc>
        <w:tc>
          <w:tcPr>
            <w:tcW w:w="383" w:type="pct"/>
            <w:tcBorders>
              <w:top w:val="single" w:sz="4" w:space="0" w:color="auto"/>
              <w:left w:val="nil"/>
              <w:bottom w:val="single" w:sz="4" w:space="0" w:color="auto"/>
              <w:right w:val="nil"/>
            </w:tcBorders>
            <w:shd w:val="clear" w:color="000000" w:fill="6B2976"/>
            <w:noWrap/>
            <w:vAlign w:val="center"/>
            <w:hideMark/>
          </w:tcPr>
          <w:p w14:paraId="1911FE1E" w14:textId="77777777" w:rsidR="0057778C" w:rsidRPr="00127DCE" w:rsidRDefault="0057778C" w:rsidP="00312E88">
            <w:pPr>
              <w:jc w:val="center"/>
              <w:rPr>
                <w:rFonts w:cs="Arial"/>
                <w:b/>
                <w:bCs/>
                <w:color w:val="FFFFFF"/>
                <w:sz w:val="16"/>
                <w:szCs w:val="16"/>
              </w:rPr>
            </w:pPr>
            <w:r w:rsidRPr="00127DCE">
              <w:rPr>
                <w:rFonts w:cs="Arial"/>
                <w:b/>
                <w:bCs/>
                <w:color w:val="FFFFFF"/>
                <w:sz w:val="16"/>
                <w:szCs w:val="16"/>
              </w:rPr>
              <w:t>2018-19</w:t>
            </w:r>
          </w:p>
        </w:tc>
        <w:tc>
          <w:tcPr>
            <w:tcW w:w="380" w:type="pct"/>
            <w:tcBorders>
              <w:top w:val="single" w:sz="4" w:space="0" w:color="auto"/>
              <w:left w:val="nil"/>
              <w:bottom w:val="single" w:sz="4" w:space="0" w:color="auto"/>
              <w:right w:val="nil"/>
            </w:tcBorders>
            <w:shd w:val="clear" w:color="000000" w:fill="6B2976"/>
            <w:noWrap/>
            <w:vAlign w:val="center"/>
            <w:hideMark/>
          </w:tcPr>
          <w:p w14:paraId="624E8A6E" w14:textId="77777777" w:rsidR="0057778C" w:rsidRPr="00127DCE" w:rsidRDefault="0057778C" w:rsidP="00312E88">
            <w:pPr>
              <w:jc w:val="center"/>
              <w:rPr>
                <w:rFonts w:cs="Arial"/>
                <w:b/>
                <w:bCs/>
                <w:color w:val="FFFFFF"/>
                <w:sz w:val="16"/>
                <w:szCs w:val="16"/>
              </w:rPr>
            </w:pPr>
            <w:r w:rsidRPr="00127DCE">
              <w:rPr>
                <w:rFonts w:cs="Arial"/>
                <w:b/>
                <w:bCs/>
                <w:color w:val="FFFFFF"/>
                <w:sz w:val="16"/>
                <w:szCs w:val="16"/>
              </w:rPr>
              <w:t>2019-20</w:t>
            </w:r>
          </w:p>
        </w:tc>
        <w:tc>
          <w:tcPr>
            <w:tcW w:w="378" w:type="pct"/>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7A218D60" w14:textId="77777777" w:rsidR="0057778C" w:rsidRPr="00127DCE" w:rsidRDefault="0057778C" w:rsidP="00312E88">
            <w:pPr>
              <w:jc w:val="center"/>
              <w:rPr>
                <w:rFonts w:cs="Arial"/>
                <w:b/>
                <w:bCs/>
                <w:color w:val="FFFFFF"/>
                <w:sz w:val="16"/>
                <w:szCs w:val="16"/>
              </w:rPr>
            </w:pPr>
            <w:r w:rsidRPr="00127DCE">
              <w:rPr>
                <w:rFonts w:cs="Arial"/>
                <w:b/>
                <w:bCs/>
                <w:color w:val="FFFFFF"/>
                <w:sz w:val="16"/>
                <w:szCs w:val="16"/>
              </w:rPr>
              <w:t>2020-21</w:t>
            </w:r>
          </w:p>
        </w:tc>
        <w:tc>
          <w:tcPr>
            <w:tcW w:w="380" w:type="pct"/>
            <w:tcBorders>
              <w:top w:val="single" w:sz="4" w:space="0" w:color="auto"/>
              <w:left w:val="nil"/>
              <w:bottom w:val="single" w:sz="4" w:space="0" w:color="auto"/>
              <w:right w:val="nil"/>
            </w:tcBorders>
            <w:shd w:val="clear" w:color="000000" w:fill="6B2976"/>
            <w:noWrap/>
            <w:vAlign w:val="center"/>
            <w:hideMark/>
          </w:tcPr>
          <w:p w14:paraId="74399FE5" w14:textId="77777777" w:rsidR="0057778C" w:rsidRPr="00127DCE" w:rsidRDefault="0057778C" w:rsidP="00312E88">
            <w:pPr>
              <w:jc w:val="center"/>
              <w:rPr>
                <w:rFonts w:cs="Arial"/>
                <w:b/>
                <w:bCs/>
                <w:color w:val="FFFFFF"/>
                <w:sz w:val="16"/>
                <w:szCs w:val="16"/>
              </w:rPr>
            </w:pPr>
            <w:r w:rsidRPr="00127DCE">
              <w:rPr>
                <w:rFonts w:cs="Arial"/>
                <w:b/>
                <w:bCs/>
                <w:color w:val="FFFFFF"/>
                <w:sz w:val="16"/>
                <w:szCs w:val="16"/>
              </w:rPr>
              <w:t>2021-22</w:t>
            </w:r>
          </w:p>
        </w:tc>
        <w:tc>
          <w:tcPr>
            <w:tcW w:w="383" w:type="pct"/>
            <w:tcBorders>
              <w:top w:val="single" w:sz="4" w:space="0" w:color="auto"/>
              <w:left w:val="nil"/>
              <w:bottom w:val="single" w:sz="4" w:space="0" w:color="auto"/>
              <w:right w:val="nil"/>
            </w:tcBorders>
            <w:shd w:val="clear" w:color="000000" w:fill="6B2976"/>
            <w:noWrap/>
            <w:vAlign w:val="center"/>
            <w:hideMark/>
          </w:tcPr>
          <w:p w14:paraId="61B8167D" w14:textId="77777777" w:rsidR="0057778C" w:rsidRPr="00127DCE" w:rsidRDefault="0057778C" w:rsidP="00312E88">
            <w:pPr>
              <w:jc w:val="center"/>
              <w:rPr>
                <w:rFonts w:cs="Arial"/>
                <w:b/>
                <w:bCs/>
                <w:color w:val="FFFFFF"/>
                <w:sz w:val="16"/>
                <w:szCs w:val="16"/>
              </w:rPr>
            </w:pPr>
            <w:r w:rsidRPr="00127DCE">
              <w:rPr>
                <w:rFonts w:cs="Arial"/>
                <w:b/>
                <w:bCs/>
                <w:color w:val="FFFFFF"/>
                <w:sz w:val="16"/>
                <w:szCs w:val="16"/>
              </w:rPr>
              <w:t>2022-23</w:t>
            </w:r>
          </w:p>
        </w:tc>
        <w:tc>
          <w:tcPr>
            <w:tcW w:w="383" w:type="pct"/>
            <w:tcBorders>
              <w:top w:val="single" w:sz="4" w:space="0" w:color="auto"/>
              <w:left w:val="nil"/>
              <w:bottom w:val="single" w:sz="4" w:space="0" w:color="auto"/>
              <w:right w:val="nil"/>
            </w:tcBorders>
            <w:shd w:val="clear" w:color="000000" w:fill="6B2976"/>
            <w:noWrap/>
            <w:vAlign w:val="center"/>
            <w:hideMark/>
          </w:tcPr>
          <w:p w14:paraId="6E43B4D1" w14:textId="77777777" w:rsidR="0057778C" w:rsidRPr="00127DCE" w:rsidRDefault="0057778C" w:rsidP="00312E88">
            <w:pPr>
              <w:jc w:val="center"/>
              <w:rPr>
                <w:rFonts w:cs="Arial"/>
                <w:b/>
                <w:bCs/>
                <w:color w:val="FFFFFF"/>
                <w:sz w:val="16"/>
                <w:szCs w:val="16"/>
              </w:rPr>
            </w:pPr>
            <w:r w:rsidRPr="00127DCE">
              <w:rPr>
                <w:rFonts w:cs="Arial"/>
                <w:b/>
                <w:bCs/>
                <w:color w:val="FFFFFF"/>
                <w:sz w:val="16"/>
                <w:szCs w:val="16"/>
              </w:rPr>
              <w:t>2023-24</w:t>
            </w:r>
          </w:p>
        </w:tc>
        <w:tc>
          <w:tcPr>
            <w:tcW w:w="380" w:type="pct"/>
            <w:tcBorders>
              <w:top w:val="single" w:sz="4" w:space="0" w:color="auto"/>
              <w:left w:val="nil"/>
              <w:bottom w:val="single" w:sz="4" w:space="0" w:color="auto"/>
              <w:right w:val="single" w:sz="4" w:space="0" w:color="auto"/>
            </w:tcBorders>
            <w:shd w:val="clear" w:color="000000" w:fill="6B2976"/>
            <w:noWrap/>
            <w:vAlign w:val="center"/>
            <w:hideMark/>
          </w:tcPr>
          <w:p w14:paraId="367C95FC" w14:textId="77777777" w:rsidR="0057778C" w:rsidRPr="00127DCE" w:rsidRDefault="0057778C" w:rsidP="00312E88">
            <w:pPr>
              <w:jc w:val="center"/>
              <w:rPr>
                <w:rFonts w:cs="Arial"/>
                <w:b/>
                <w:bCs/>
                <w:color w:val="FFFFFF"/>
                <w:sz w:val="16"/>
                <w:szCs w:val="16"/>
              </w:rPr>
            </w:pPr>
            <w:r w:rsidRPr="00127DCE">
              <w:rPr>
                <w:rFonts w:cs="Arial"/>
                <w:b/>
                <w:bCs/>
                <w:color w:val="FFFFFF"/>
                <w:sz w:val="16"/>
                <w:szCs w:val="16"/>
              </w:rPr>
              <w:t>2024-25</w:t>
            </w:r>
          </w:p>
        </w:tc>
      </w:tr>
      <w:tr w:rsidR="0057778C" w:rsidRPr="00127DCE" w14:paraId="1F58036E" w14:textId="77777777" w:rsidTr="00312E88">
        <w:trPr>
          <w:trHeight w:val="400"/>
        </w:trPr>
        <w:tc>
          <w:tcPr>
            <w:tcW w:w="1952" w:type="pct"/>
            <w:tcBorders>
              <w:top w:val="nil"/>
              <w:left w:val="single" w:sz="4" w:space="0" w:color="auto"/>
              <w:bottom w:val="single" w:sz="4" w:space="0" w:color="auto"/>
              <w:right w:val="nil"/>
            </w:tcBorders>
            <w:shd w:val="clear" w:color="000000" w:fill="D3C5D7"/>
            <w:noWrap/>
            <w:vAlign w:val="center"/>
            <w:hideMark/>
          </w:tcPr>
          <w:p w14:paraId="6BDB366E" w14:textId="77777777" w:rsidR="0057778C" w:rsidRPr="00127DCE" w:rsidRDefault="0057778C" w:rsidP="00312E88">
            <w:pPr>
              <w:rPr>
                <w:rFonts w:cs="Arial"/>
                <w:b/>
                <w:bCs/>
                <w:color w:val="000000"/>
                <w:sz w:val="16"/>
                <w:szCs w:val="16"/>
              </w:rPr>
            </w:pPr>
            <w:r w:rsidRPr="00127DCE">
              <w:rPr>
                <w:rFonts w:cs="Arial"/>
                <w:b/>
                <w:bCs/>
                <w:color w:val="000000"/>
                <w:sz w:val="16"/>
                <w:szCs w:val="16"/>
              </w:rPr>
              <w:t>PBS</w:t>
            </w:r>
          </w:p>
        </w:tc>
        <w:tc>
          <w:tcPr>
            <w:tcW w:w="380" w:type="pct"/>
            <w:tcBorders>
              <w:top w:val="nil"/>
              <w:left w:val="nil"/>
              <w:bottom w:val="single" w:sz="4" w:space="0" w:color="auto"/>
              <w:right w:val="nil"/>
            </w:tcBorders>
            <w:shd w:val="clear" w:color="000000" w:fill="D3C5D7"/>
            <w:noWrap/>
            <w:vAlign w:val="center"/>
            <w:hideMark/>
          </w:tcPr>
          <w:p w14:paraId="53C3FF0A"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3" w:type="pct"/>
            <w:tcBorders>
              <w:top w:val="nil"/>
              <w:left w:val="nil"/>
              <w:bottom w:val="single" w:sz="4" w:space="0" w:color="auto"/>
              <w:right w:val="nil"/>
            </w:tcBorders>
            <w:shd w:val="clear" w:color="000000" w:fill="D3C5D7"/>
            <w:noWrap/>
            <w:vAlign w:val="center"/>
            <w:hideMark/>
          </w:tcPr>
          <w:p w14:paraId="211BFDD3"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0" w:type="pct"/>
            <w:tcBorders>
              <w:top w:val="nil"/>
              <w:left w:val="nil"/>
              <w:bottom w:val="single" w:sz="4" w:space="0" w:color="auto"/>
              <w:right w:val="nil"/>
            </w:tcBorders>
            <w:shd w:val="clear" w:color="000000" w:fill="D3C5D7"/>
            <w:noWrap/>
            <w:vAlign w:val="center"/>
            <w:hideMark/>
          </w:tcPr>
          <w:p w14:paraId="49E53D4D"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78" w:type="pct"/>
            <w:tcBorders>
              <w:top w:val="nil"/>
              <w:left w:val="nil"/>
              <w:bottom w:val="single" w:sz="4" w:space="0" w:color="auto"/>
              <w:right w:val="nil"/>
            </w:tcBorders>
            <w:shd w:val="clear" w:color="000000" w:fill="D3C5D7"/>
            <w:noWrap/>
            <w:vAlign w:val="center"/>
            <w:hideMark/>
          </w:tcPr>
          <w:p w14:paraId="7A6D8EE8"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0" w:type="pct"/>
            <w:tcBorders>
              <w:top w:val="nil"/>
              <w:left w:val="nil"/>
              <w:bottom w:val="single" w:sz="4" w:space="0" w:color="auto"/>
              <w:right w:val="nil"/>
            </w:tcBorders>
            <w:shd w:val="clear" w:color="000000" w:fill="D3C5D7"/>
            <w:noWrap/>
            <w:vAlign w:val="center"/>
            <w:hideMark/>
          </w:tcPr>
          <w:p w14:paraId="5810559D"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3" w:type="pct"/>
            <w:tcBorders>
              <w:top w:val="nil"/>
              <w:left w:val="nil"/>
              <w:bottom w:val="single" w:sz="4" w:space="0" w:color="auto"/>
              <w:right w:val="nil"/>
            </w:tcBorders>
            <w:shd w:val="clear" w:color="000000" w:fill="D3C5D7"/>
            <w:noWrap/>
            <w:vAlign w:val="center"/>
            <w:hideMark/>
          </w:tcPr>
          <w:p w14:paraId="05B14147"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3" w:type="pct"/>
            <w:tcBorders>
              <w:top w:val="nil"/>
              <w:left w:val="nil"/>
              <w:bottom w:val="single" w:sz="4" w:space="0" w:color="auto"/>
              <w:right w:val="nil"/>
            </w:tcBorders>
            <w:shd w:val="clear" w:color="000000" w:fill="D3C5D7"/>
            <w:noWrap/>
            <w:vAlign w:val="center"/>
            <w:hideMark/>
          </w:tcPr>
          <w:p w14:paraId="7C220114"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0" w:type="pct"/>
            <w:tcBorders>
              <w:top w:val="nil"/>
              <w:left w:val="nil"/>
              <w:bottom w:val="single" w:sz="4" w:space="0" w:color="auto"/>
              <w:right w:val="single" w:sz="4" w:space="0" w:color="auto"/>
            </w:tcBorders>
            <w:shd w:val="clear" w:color="000000" w:fill="D3C5D7"/>
            <w:noWrap/>
            <w:vAlign w:val="center"/>
            <w:hideMark/>
          </w:tcPr>
          <w:p w14:paraId="3F9056A0"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r>
      <w:tr w:rsidR="0057778C" w:rsidRPr="00127DCE" w14:paraId="4C12D934" w14:textId="77777777" w:rsidTr="0057778C">
        <w:trPr>
          <w:trHeight w:hRule="exact" w:val="45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0E885B7F" w14:textId="77777777" w:rsidR="0057778C" w:rsidRPr="00127DCE" w:rsidRDefault="0057778C" w:rsidP="00312E88">
            <w:pPr>
              <w:rPr>
                <w:rFonts w:cs="Arial"/>
                <w:color w:val="000000"/>
                <w:sz w:val="16"/>
                <w:szCs w:val="16"/>
              </w:rPr>
            </w:pPr>
            <w:r w:rsidRPr="00127DCE">
              <w:rPr>
                <w:rFonts w:cs="Arial"/>
                <w:color w:val="000000"/>
                <w:sz w:val="16"/>
                <w:szCs w:val="16"/>
              </w:rPr>
              <w:t>Portfolio Budget Statements 2021-22</w:t>
            </w:r>
          </w:p>
        </w:tc>
        <w:tc>
          <w:tcPr>
            <w:tcW w:w="380" w:type="pct"/>
            <w:tcBorders>
              <w:top w:val="nil"/>
              <w:left w:val="nil"/>
              <w:bottom w:val="single" w:sz="4" w:space="0" w:color="auto"/>
              <w:right w:val="nil"/>
            </w:tcBorders>
            <w:shd w:val="clear" w:color="000000" w:fill="BFBFBF"/>
            <w:noWrap/>
            <w:vAlign w:val="center"/>
            <w:hideMark/>
          </w:tcPr>
          <w:p w14:paraId="202AC405"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BFBFBF"/>
            <w:noWrap/>
            <w:vAlign w:val="center"/>
            <w:hideMark/>
          </w:tcPr>
          <w:p w14:paraId="23AEC617"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0" w:type="pct"/>
            <w:tcBorders>
              <w:top w:val="nil"/>
              <w:left w:val="nil"/>
              <w:bottom w:val="single" w:sz="4" w:space="0" w:color="auto"/>
              <w:right w:val="nil"/>
            </w:tcBorders>
            <w:shd w:val="clear" w:color="000000" w:fill="BFBFBF"/>
            <w:noWrap/>
            <w:vAlign w:val="center"/>
            <w:hideMark/>
          </w:tcPr>
          <w:p w14:paraId="02F224C5"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78" w:type="pct"/>
            <w:tcBorders>
              <w:top w:val="nil"/>
              <w:left w:val="single" w:sz="4" w:space="0" w:color="auto"/>
              <w:bottom w:val="single" w:sz="4" w:space="0" w:color="auto"/>
              <w:right w:val="single" w:sz="4" w:space="0" w:color="auto"/>
            </w:tcBorders>
            <w:shd w:val="clear" w:color="000000" w:fill="BFBFBF"/>
            <w:noWrap/>
            <w:vAlign w:val="center"/>
            <w:hideMark/>
          </w:tcPr>
          <w:p w14:paraId="1E7946D3"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0" w:type="pct"/>
            <w:tcBorders>
              <w:top w:val="nil"/>
              <w:left w:val="nil"/>
              <w:bottom w:val="single" w:sz="4" w:space="0" w:color="auto"/>
              <w:right w:val="nil"/>
            </w:tcBorders>
            <w:shd w:val="clear" w:color="auto" w:fill="auto"/>
            <w:noWrap/>
            <w:vAlign w:val="center"/>
            <w:hideMark/>
          </w:tcPr>
          <w:p w14:paraId="2D9EDB68" w14:textId="77777777" w:rsidR="0057778C" w:rsidRPr="00127DCE" w:rsidRDefault="0057778C" w:rsidP="00312E88">
            <w:pPr>
              <w:jc w:val="center"/>
              <w:rPr>
                <w:rFonts w:cs="Arial"/>
                <w:color w:val="000000"/>
                <w:sz w:val="16"/>
                <w:szCs w:val="16"/>
              </w:rPr>
            </w:pPr>
            <w:r w:rsidRPr="00127DCE">
              <w:rPr>
                <w:rFonts w:cs="Arial"/>
                <w:color w:val="000000"/>
                <w:sz w:val="16"/>
                <w:szCs w:val="16"/>
              </w:rPr>
              <w:t>37,500</w:t>
            </w:r>
          </w:p>
        </w:tc>
        <w:tc>
          <w:tcPr>
            <w:tcW w:w="383" w:type="pct"/>
            <w:tcBorders>
              <w:top w:val="nil"/>
              <w:left w:val="nil"/>
              <w:bottom w:val="single" w:sz="4" w:space="0" w:color="auto"/>
              <w:right w:val="nil"/>
            </w:tcBorders>
            <w:shd w:val="clear" w:color="auto" w:fill="auto"/>
            <w:noWrap/>
            <w:vAlign w:val="center"/>
            <w:hideMark/>
          </w:tcPr>
          <w:p w14:paraId="4253EB97" w14:textId="77777777" w:rsidR="0057778C" w:rsidRPr="00127DCE" w:rsidRDefault="0057778C" w:rsidP="00312E88">
            <w:pPr>
              <w:jc w:val="center"/>
              <w:rPr>
                <w:rFonts w:cs="Arial"/>
                <w:color w:val="000000"/>
                <w:sz w:val="16"/>
                <w:szCs w:val="16"/>
              </w:rPr>
            </w:pPr>
            <w:r w:rsidRPr="00127DCE">
              <w:rPr>
                <w:rFonts w:cs="Arial"/>
                <w:color w:val="000000"/>
                <w:sz w:val="16"/>
                <w:szCs w:val="16"/>
              </w:rPr>
              <w:t>37,600</w:t>
            </w:r>
          </w:p>
        </w:tc>
        <w:tc>
          <w:tcPr>
            <w:tcW w:w="383" w:type="pct"/>
            <w:tcBorders>
              <w:top w:val="nil"/>
              <w:left w:val="nil"/>
              <w:bottom w:val="single" w:sz="4" w:space="0" w:color="auto"/>
              <w:right w:val="nil"/>
            </w:tcBorders>
            <w:shd w:val="clear" w:color="auto" w:fill="auto"/>
            <w:noWrap/>
            <w:vAlign w:val="center"/>
            <w:hideMark/>
          </w:tcPr>
          <w:p w14:paraId="2881CC49" w14:textId="77777777" w:rsidR="0057778C" w:rsidRPr="00127DCE" w:rsidRDefault="0057778C" w:rsidP="00312E88">
            <w:pPr>
              <w:jc w:val="center"/>
              <w:rPr>
                <w:rFonts w:cs="Arial"/>
                <w:color w:val="000000"/>
                <w:sz w:val="16"/>
                <w:szCs w:val="16"/>
              </w:rPr>
            </w:pPr>
            <w:r w:rsidRPr="00127DCE">
              <w:rPr>
                <w:rFonts w:cs="Arial"/>
                <w:color w:val="000000"/>
                <w:sz w:val="16"/>
                <w:szCs w:val="16"/>
              </w:rPr>
              <w:t>39,500</w:t>
            </w:r>
          </w:p>
        </w:tc>
        <w:tc>
          <w:tcPr>
            <w:tcW w:w="380" w:type="pct"/>
            <w:tcBorders>
              <w:top w:val="nil"/>
              <w:left w:val="nil"/>
              <w:bottom w:val="single" w:sz="4" w:space="0" w:color="auto"/>
              <w:right w:val="single" w:sz="4" w:space="0" w:color="auto"/>
            </w:tcBorders>
            <w:shd w:val="clear" w:color="auto" w:fill="auto"/>
            <w:noWrap/>
            <w:vAlign w:val="center"/>
            <w:hideMark/>
          </w:tcPr>
          <w:p w14:paraId="1686CA7D" w14:textId="77777777" w:rsidR="0057778C" w:rsidRPr="00127DCE" w:rsidRDefault="0057778C" w:rsidP="00312E88">
            <w:pPr>
              <w:jc w:val="center"/>
              <w:rPr>
                <w:rFonts w:cs="Arial"/>
                <w:color w:val="000000"/>
                <w:sz w:val="16"/>
                <w:szCs w:val="16"/>
              </w:rPr>
            </w:pPr>
            <w:r w:rsidRPr="00127DCE">
              <w:rPr>
                <w:rFonts w:cs="Arial"/>
                <w:color w:val="000000"/>
                <w:sz w:val="16"/>
                <w:szCs w:val="16"/>
              </w:rPr>
              <w:t>42,200</w:t>
            </w:r>
          </w:p>
        </w:tc>
      </w:tr>
      <w:tr w:rsidR="0057778C" w:rsidRPr="00127DCE" w14:paraId="37AE08A0" w14:textId="77777777" w:rsidTr="0057778C">
        <w:trPr>
          <w:trHeight w:hRule="exact" w:val="454"/>
        </w:trPr>
        <w:tc>
          <w:tcPr>
            <w:tcW w:w="1952" w:type="pct"/>
            <w:tcBorders>
              <w:top w:val="nil"/>
              <w:left w:val="single" w:sz="4" w:space="0" w:color="auto"/>
              <w:bottom w:val="single" w:sz="4" w:space="0" w:color="auto"/>
              <w:right w:val="nil"/>
            </w:tcBorders>
            <w:shd w:val="clear" w:color="000000" w:fill="D3C5D7"/>
            <w:noWrap/>
            <w:vAlign w:val="center"/>
            <w:hideMark/>
          </w:tcPr>
          <w:p w14:paraId="0A2377C9" w14:textId="77777777" w:rsidR="0057778C" w:rsidRPr="00127DCE" w:rsidRDefault="0057778C" w:rsidP="00312E88">
            <w:pPr>
              <w:rPr>
                <w:rFonts w:cs="Arial"/>
                <w:b/>
                <w:bCs/>
                <w:color w:val="000000"/>
                <w:sz w:val="16"/>
                <w:szCs w:val="16"/>
              </w:rPr>
            </w:pPr>
            <w:r w:rsidRPr="00127DCE">
              <w:rPr>
                <w:rFonts w:cs="Arial"/>
                <w:b/>
                <w:bCs/>
                <w:color w:val="000000"/>
                <w:sz w:val="16"/>
                <w:szCs w:val="16"/>
              </w:rPr>
              <w:t>AFSR</w:t>
            </w:r>
          </w:p>
        </w:tc>
        <w:tc>
          <w:tcPr>
            <w:tcW w:w="380" w:type="pct"/>
            <w:tcBorders>
              <w:top w:val="nil"/>
              <w:left w:val="nil"/>
              <w:bottom w:val="single" w:sz="4" w:space="0" w:color="auto"/>
              <w:right w:val="nil"/>
            </w:tcBorders>
            <w:shd w:val="clear" w:color="000000" w:fill="D3C5D7"/>
            <w:noWrap/>
            <w:vAlign w:val="center"/>
            <w:hideMark/>
          </w:tcPr>
          <w:p w14:paraId="0DB70FF9"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3" w:type="pct"/>
            <w:tcBorders>
              <w:top w:val="nil"/>
              <w:left w:val="nil"/>
              <w:bottom w:val="single" w:sz="4" w:space="0" w:color="auto"/>
              <w:right w:val="nil"/>
            </w:tcBorders>
            <w:shd w:val="clear" w:color="000000" w:fill="D3C5D7"/>
            <w:noWrap/>
            <w:vAlign w:val="center"/>
            <w:hideMark/>
          </w:tcPr>
          <w:p w14:paraId="42EC6E8A"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0" w:type="pct"/>
            <w:tcBorders>
              <w:top w:val="nil"/>
              <w:left w:val="nil"/>
              <w:bottom w:val="single" w:sz="4" w:space="0" w:color="auto"/>
              <w:right w:val="nil"/>
            </w:tcBorders>
            <w:shd w:val="clear" w:color="000000" w:fill="D3C5D7"/>
            <w:noWrap/>
            <w:vAlign w:val="center"/>
            <w:hideMark/>
          </w:tcPr>
          <w:p w14:paraId="03598EFC"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78" w:type="pct"/>
            <w:tcBorders>
              <w:top w:val="nil"/>
              <w:left w:val="nil"/>
              <w:bottom w:val="single" w:sz="4" w:space="0" w:color="auto"/>
              <w:right w:val="nil"/>
            </w:tcBorders>
            <w:shd w:val="clear" w:color="000000" w:fill="D3C5D7"/>
            <w:noWrap/>
            <w:vAlign w:val="center"/>
            <w:hideMark/>
          </w:tcPr>
          <w:p w14:paraId="1DCF0DC6"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0" w:type="pct"/>
            <w:tcBorders>
              <w:top w:val="nil"/>
              <w:left w:val="nil"/>
              <w:bottom w:val="single" w:sz="4" w:space="0" w:color="auto"/>
              <w:right w:val="nil"/>
            </w:tcBorders>
            <w:shd w:val="clear" w:color="000000" w:fill="D3C5D7"/>
            <w:noWrap/>
            <w:vAlign w:val="center"/>
            <w:hideMark/>
          </w:tcPr>
          <w:p w14:paraId="2B502F8F"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3" w:type="pct"/>
            <w:tcBorders>
              <w:top w:val="nil"/>
              <w:left w:val="nil"/>
              <w:bottom w:val="single" w:sz="4" w:space="0" w:color="auto"/>
              <w:right w:val="nil"/>
            </w:tcBorders>
            <w:shd w:val="clear" w:color="000000" w:fill="D3C5D7"/>
            <w:noWrap/>
            <w:vAlign w:val="center"/>
            <w:hideMark/>
          </w:tcPr>
          <w:p w14:paraId="3E3D577E"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3" w:type="pct"/>
            <w:tcBorders>
              <w:top w:val="nil"/>
              <w:left w:val="nil"/>
              <w:bottom w:val="single" w:sz="4" w:space="0" w:color="auto"/>
              <w:right w:val="nil"/>
            </w:tcBorders>
            <w:shd w:val="clear" w:color="000000" w:fill="D3C5D7"/>
            <w:noWrap/>
            <w:vAlign w:val="center"/>
            <w:hideMark/>
          </w:tcPr>
          <w:p w14:paraId="52524EBF"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0" w:type="pct"/>
            <w:tcBorders>
              <w:top w:val="nil"/>
              <w:left w:val="nil"/>
              <w:bottom w:val="single" w:sz="4" w:space="0" w:color="auto"/>
              <w:right w:val="single" w:sz="4" w:space="0" w:color="auto"/>
            </w:tcBorders>
            <w:shd w:val="clear" w:color="000000" w:fill="D3C5D7"/>
            <w:noWrap/>
            <w:vAlign w:val="center"/>
            <w:hideMark/>
          </w:tcPr>
          <w:p w14:paraId="3AA3C449"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r>
      <w:tr w:rsidR="0057778C" w:rsidRPr="00127DCE" w14:paraId="208C946A" w14:textId="77777777" w:rsidTr="0057778C">
        <w:trPr>
          <w:trHeight w:hRule="exact" w:val="45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2A8DAF61" w14:textId="77777777" w:rsidR="0057778C" w:rsidRPr="00127DCE" w:rsidRDefault="0057778C" w:rsidP="00312E88">
            <w:pPr>
              <w:rPr>
                <w:rFonts w:cs="Arial"/>
                <w:color w:val="000000"/>
                <w:sz w:val="16"/>
                <w:szCs w:val="16"/>
              </w:rPr>
            </w:pPr>
            <w:r w:rsidRPr="00127DCE">
              <w:rPr>
                <w:rFonts w:cs="Arial"/>
                <w:color w:val="000000"/>
                <w:sz w:val="16"/>
                <w:szCs w:val="16"/>
              </w:rPr>
              <w:t>30 June 2021 AFSR projection</w:t>
            </w:r>
          </w:p>
        </w:tc>
        <w:tc>
          <w:tcPr>
            <w:tcW w:w="380" w:type="pct"/>
            <w:tcBorders>
              <w:top w:val="nil"/>
              <w:left w:val="nil"/>
              <w:bottom w:val="single" w:sz="4" w:space="0" w:color="auto"/>
              <w:right w:val="nil"/>
            </w:tcBorders>
            <w:shd w:val="clear" w:color="000000" w:fill="BFBFBF"/>
            <w:noWrap/>
            <w:vAlign w:val="center"/>
            <w:hideMark/>
          </w:tcPr>
          <w:p w14:paraId="188DDA22"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BFBFBF"/>
            <w:noWrap/>
            <w:vAlign w:val="center"/>
            <w:hideMark/>
          </w:tcPr>
          <w:p w14:paraId="14F5FF2E"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0" w:type="pct"/>
            <w:tcBorders>
              <w:top w:val="nil"/>
              <w:left w:val="nil"/>
              <w:bottom w:val="single" w:sz="4" w:space="0" w:color="auto"/>
              <w:right w:val="nil"/>
            </w:tcBorders>
            <w:shd w:val="clear" w:color="000000" w:fill="BFBFBF"/>
            <w:noWrap/>
            <w:vAlign w:val="center"/>
            <w:hideMark/>
          </w:tcPr>
          <w:p w14:paraId="3C4B3D5C"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78" w:type="pct"/>
            <w:tcBorders>
              <w:top w:val="nil"/>
              <w:left w:val="single" w:sz="4" w:space="0" w:color="auto"/>
              <w:bottom w:val="single" w:sz="4" w:space="0" w:color="auto"/>
              <w:right w:val="single" w:sz="4" w:space="0" w:color="auto"/>
            </w:tcBorders>
            <w:shd w:val="clear" w:color="000000" w:fill="BFBFBF"/>
            <w:noWrap/>
            <w:vAlign w:val="center"/>
            <w:hideMark/>
          </w:tcPr>
          <w:p w14:paraId="2D7DCE5C"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0" w:type="pct"/>
            <w:tcBorders>
              <w:top w:val="nil"/>
              <w:left w:val="nil"/>
              <w:bottom w:val="single" w:sz="4" w:space="0" w:color="auto"/>
              <w:right w:val="nil"/>
            </w:tcBorders>
            <w:shd w:val="clear" w:color="auto" w:fill="auto"/>
            <w:noWrap/>
            <w:vAlign w:val="center"/>
            <w:hideMark/>
          </w:tcPr>
          <w:p w14:paraId="4E627464" w14:textId="77777777" w:rsidR="0057778C" w:rsidRPr="00127DCE" w:rsidRDefault="0057778C" w:rsidP="00312E88">
            <w:pPr>
              <w:jc w:val="center"/>
              <w:rPr>
                <w:rFonts w:cs="Arial"/>
                <w:color w:val="000000"/>
                <w:sz w:val="16"/>
                <w:szCs w:val="16"/>
              </w:rPr>
            </w:pPr>
            <w:r w:rsidRPr="00127DCE">
              <w:rPr>
                <w:rFonts w:cs="Arial"/>
                <w:color w:val="000000"/>
                <w:sz w:val="16"/>
                <w:szCs w:val="16"/>
              </w:rPr>
              <w:t>42,800</w:t>
            </w:r>
          </w:p>
        </w:tc>
        <w:tc>
          <w:tcPr>
            <w:tcW w:w="383" w:type="pct"/>
            <w:tcBorders>
              <w:top w:val="nil"/>
              <w:left w:val="nil"/>
              <w:bottom w:val="single" w:sz="4" w:space="0" w:color="auto"/>
              <w:right w:val="nil"/>
            </w:tcBorders>
            <w:shd w:val="clear" w:color="auto" w:fill="auto"/>
            <w:noWrap/>
            <w:vAlign w:val="center"/>
            <w:hideMark/>
          </w:tcPr>
          <w:p w14:paraId="3217F96B" w14:textId="77777777" w:rsidR="0057778C" w:rsidRPr="00127DCE" w:rsidRDefault="0057778C" w:rsidP="00312E88">
            <w:pPr>
              <w:jc w:val="center"/>
              <w:rPr>
                <w:rFonts w:cs="Arial"/>
                <w:color w:val="000000"/>
                <w:sz w:val="16"/>
                <w:szCs w:val="16"/>
              </w:rPr>
            </w:pPr>
            <w:r w:rsidRPr="00127DCE">
              <w:rPr>
                <w:rFonts w:cs="Arial"/>
                <w:color w:val="000000"/>
                <w:sz w:val="16"/>
                <w:szCs w:val="16"/>
              </w:rPr>
              <w:t>45,500</w:t>
            </w:r>
          </w:p>
        </w:tc>
        <w:tc>
          <w:tcPr>
            <w:tcW w:w="383" w:type="pct"/>
            <w:tcBorders>
              <w:top w:val="nil"/>
              <w:left w:val="nil"/>
              <w:bottom w:val="single" w:sz="4" w:space="0" w:color="auto"/>
              <w:right w:val="nil"/>
            </w:tcBorders>
            <w:shd w:val="clear" w:color="auto" w:fill="auto"/>
            <w:noWrap/>
            <w:vAlign w:val="center"/>
            <w:hideMark/>
          </w:tcPr>
          <w:p w14:paraId="5CC85696" w14:textId="77777777" w:rsidR="0057778C" w:rsidRPr="00127DCE" w:rsidRDefault="0057778C" w:rsidP="00312E88">
            <w:pPr>
              <w:jc w:val="center"/>
              <w:rPr>
                <w:rFonts w:cs="Arial"/>
                <w:color w:val="000000"/>
                <w:sz w:val="16"/>
                <w:szCs w:val="16"/>
              </w:rPr>
            </w:pPr>
            <w:r w:rsidRPr="00127DCE">
              <w:rPr>
                <w:rFonts w:cs="Arial"/>
                <w:color w:val="000000"/>
                <w:sz w:val="16"/>
                <w:szCs w:val="16"/>
              </w:rPr>
              <w:t>47,500</w:t>
            </w:r>
          </w:p>
        </w:tc>
        <w:tc>
          <w:tcPr>
            <w:tcW w:w="380" w:type="pct"/>
            <w:tcBorders>
              <w:top w:val="nil"/>
              <w:left w:val="nil"/>
              <w:bottom w:val="single" w:sz="4" w:space="0" w:color="auto"/>
              <w:right w:val="single" w:sz="4" w:space="0" w:color="auto"/>
            </w:tcBorders>
            <w:shd w:val="clear" w:color="auto" w:fill="auto"/>
            <w:noWrap/>
            <w:vAlign w:val="center"/>
            <w:hideMark/>
          </w:tcPr>
          <w:p w14:paraId="0CAE94BB" w14:textId="77777777" w:rsidR="0057778C" w:rsidRPr="00127DCE" w:rsidRDefault="0057778C" w:rsidP="00312E88">
            <w:pPr>
              <w:jc w:val="center"/>
              <w:rPr>
                <w:rFonts w:cs="Arial"/>
                <w:color w:val="000000"/>
                <w:sz w:val="16"/>
                <w:szCs w:val="16"/>
              </w:rPr>
            </w:pPr>
            <w:r w:rsidRPr="00127DCE">
              <w:rPr>
                <w:rFonts w:cs="Arial"/>
                <w:color w:val="000000"/>
                <w:sz w:val="16"/>
                <w:szCs w:val="16"/>
              </w:rPr>
              <w:t>48,600</w:t>
            </w:r>
          </w:p>
        </w:tc>
      </w:tr>
      <w:tr w:rsidR="0057778C" w:rsidRPr="00127DCE" w14:paraId="5CB425DA" w14:textId="77777777" w:rsidTr="0057778C">
        <w:trPr>
          <w:trHeight w:hRule="exact" w:val="45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4C266F1D" w14:textId="77777777" w:rsidR="0057778C" w:rsidRPr="00127DCE" w:rsidRDefault="0057778C" w:rsidP="00312E88">
            <w:pPr>
              <w:rPr>
                <w:rFonts w:cs="Arial"/>
                <w:color w:val="000000"/>
                <w:sz w:val="16"/>
                <w:szCs w:val="16"/>
              </w:rPr>
            </w:pPr>
            <w:r w:rsidRPr="00127DCE">
              <w:rPr>
                <w:rFonts w:cs="Arial"/>
                <w:color w:val="000000"/>
                <w:sz w:val="16"/>
                <w:szCs w:val="16"/>
              </w:rPr>
              <w:t>31 December 2020 AFSR projection</w:t>
            </w:r>
          </w:p>
        </w:tc>
        <w:tc>
          <w:tcPr>
            <w:tcW w:w="380" w:type="pct"/>
            <w:tcBorders>
              <w:top w:val="nil"/>
              <w:left w:val="nil"/>
              <w:bottom w:val="single" w:sz="4" w:space="0" w:color="auto"/>
              <w:right w:val="nil"/>
            </w:tcBorders>
            <w:shd w:val="clear" w:color="000000" w:fill="BFBFBF"/>
            <w:noWrap/>
            <w:vAlign w:val="center"/>
            <w:hideMark/>
          </w:tcPr>
          <w:p w14:paraId="798185BF"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BFBFBF"/>
            <w:noWrap/>
            <w:vAlign w:val="center"/>
            <w:hideMark/>
          </w:tcPr>
          <w:p w14:paraId="78F4E4E6"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0" w:type="pct"/>
            <w:tcBorders>
              <w:top w:val="nil"/>
              <w:left w:val="nil"/>
              <w:bottom w:val="single" w:sz="4" w:space="0" w:color="auto"/>
              <w:right w:val="nil"/>
            </w:tcBorders>
            <w:shd w:val="clear" w:color="000000" w:fill="BFBFBF"/>
            <w:noWrap/>
            <w:vAlign w:val="center"/>
            <w:hideMark/>
          </w:tcPr>
          <w:p w14:paraId="65FE36C6"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78" w:type="pct"/>
            <w:tcBorders>
              <w:top w:val="nil"/>
              <w:left w:val="single" w:sz="4" w:space="0" w:color="auto"/>
              <w:bottom w:val="single" w:sz="4" w:space="0" w:color="auto"/>
              <w:right w:val="single" w:sz="4" w:space="0" w:color="auto"/>
            </w:tcBorders>
            <w:shd w:val="clear" w:color="000000" w:fill="BFBFBF"/>
            <w:noWrap/>
            <w:vAlign w:val="center"/>
            <w:hideMark/>
          </w:tcPr>
          <w:p w14:paraId="6488476F"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0" w:type="pct"/>
            <w:tcBorders>
              <w:top w:val="nil"/>
              <w:left w:val="nil"/>
              <w:bottom w:val="single" w:sz="4" w:space="0" w:color="auto"/>
              <w:right w:val="nil"/>
            </w:tcBorders>
            <w:shd w:val="clear" w:color="auto" w:fill="auto"/>
            <w:noWrap/>
            <w:vAlign w:val="center"/>
            <w:hideMark/>
          </w:tcPr>
          <w:p w14:paraId="5B2950AE" w14:textId="77777777" w:rsidR="0057778C" w:rsidRPr="00127DCE" w:rsidRDefault="0057778C" w:rsidP="00312E88">
            <w:pPr>
              <w:jc w:val="center"/>
              <w:rPr>
                <w:rFonts w:cs="Arial"/>
                <w:color w:val="000000"/>
                <w:sz w:val="16"/>
                <w:szCs w:val="16"/>
              </w:rPr>
            </w:pPr>
            <w:r w:rsidRPr="00127DCE">
              <w:rPr>
                <w:rFonts w:cs="Arial"/>
                <w:color w:val="000000"/>
                <w:sz w:val="16"/>
                <w:szCs w:val="16"/>
              </w:rPr>
              <w:t>41,900</w:t>
            </w:r>
          </w:p>
        </w:tc>
        <w:tc>
          <w:tcPr>
            <w:tcW w:w="383" w:type="pct"/>
            <w:tcBorders>
              <w:top w:val="nil"/>
              <w:left w:val="nil"/>
              <w:bottom w:val="single" w:sz="4" w:space="0" w:color="auto"/>
              <w:right w:val="nil"/>
            </w:tcBorders>
            <w:shd w:val="clear" w:color="auto" w:fill="auto"/>
            <w:noWrap/>
            <w:vAlign w:val="center"/>
            <w:hideMark/>
          </w:tcPr>
          <w:p w14:paraId="5B08F781" w14:textId="77777777" w:rsidR="0057778C" w:rsidRPr="00127DCE" w:rsidRDefault="0057778C" w:rsidP="00312E88">
            <w:pPr>
              <w:jc w:val="center"/>
              <w:rPr>
                <w:rFonts w:cs="Arial"/>
                <w:color w:val="000000"/>
                <w:sz w:val="16"/>
                <w:szCs w:val="16"/>
              </w:rPr>
            </w:pPr>
            <w:r w:rsidRPr="00127DCE">
              <w:rPr>
                <w:rFonts w:cs="Arial"/>
                <w:color w:val="000000"/>
                <w:sz w:val="16"/>
                <w:szCs w:val="16"/>
              </w:rPr>
              <w:t>43,200</w:t>
            </w:r>
          </w:p>
        </w:tc>
        <w:tc>
          <w:tcPr>
            <w:tcW w:w="383" w:type="pct"/>
            <w:tcBorders>
              <w:top w:val="nil"/>
              <w:left w:val="nil"/>
              <w:bottom w:val="single" w:sz="4" w:space="0" w:color="auto"/>
              <w:right w:val="nil"/>
            </w:tcBorders>
            <w:shd w:val="clear" w:color="auto" w:fill="auto"/>
            <w:noWrap/>
            <w:vAlign w:val="center"/>
            <w:hideMark/>
          </w:tcPr>
          <w:p w14:paraId="020BF6F8" w14:textId="77777777" w:rsidR="0057778C" w:rsidRPr="00127DCE" w:rsidRDefault="0057778C" w:rsidP="00312E88">
            <w:pPr>
              <w:jc w:val="center"/>
              <w:rPr>
                <w:rFonts w:cs="Arial"/>
                <w:color w:val="000000"/>
                <w:sz w:val="16"/>
                <w:szCs w:val="16"/>
              </w:rPr>
            </w:pPr>
            <w:r w:rsidRPr="00127DCE">
              <w:rPr>
                <w:rFonts w:cs="Arial"/>
                <w:color w:val="000000"/>
                <w:sz w:val="16"/>
                <w:szCs w:val="16"/>
              </w:rPr>
              <w:t>44,200</w:t>
            </w:r>
          </w:p>
        </w:tc>
        <w:tc>
          <w:tcPr>
            <w:tcW w:w="380" w:type="pct"/>
            <w:tcBorders>
              <w:top w:val="nil"/>
              <w:left w:val="nil"/>
              <w:bottom w:val="single" w:sz="4" w:space="0" w:color="auto"/>
              <w:right w:val="single" w:sz="4" w:space="0" w:color="auto"/>
            </w:tcBorders>
            <w:shd w:val="clear" w:color="auto" w:fill="auto"/>
            <w:noWrap/>
            <w:vAlign w:val="center"/>
            <w:hideMark/>
          </w:tcPr>
          <w:p w14:paraId="200E392D" w14:textId="77777777" w:rsidR="0057778C" w:rsidRPr="00127DCE" w:rsidRDefault="0057778C" w:rsidP="00312E88">
            <w:pPr>
              <w:jc w:val="center"/>
              <w:rPr>
                <w:rFonts w:cs="Arial"/>
                <w:color w:val="000000"/>
                <w:sz w:val="16"/>
                <w:szCs w:val="16"/>
              </w:rPr>
            </w:pPr>
            <w:r w:rsidRPr="00127DCE">
              <w:rPr>
                <w:rFonts w:cs="Arial"/>
                <w:color w:val="000000"/>
                <w:sz w:val="16"/>
                <w:szCs w:val="16"/>
              </w:rPr>
              <w:t>45,400</w:t>
            </w:r>
          </w:p>
        </w:tc>
      </w:tr>
      <w:tr w:rsidR="0057778C" w:rsidRPr="00127DCE" w14:paraId="25310509" w14:textId="77777777" w:rsidTr="0057778C">
        <w:trPr>
          <w:trHeight w:hRule="exact" w:val="45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061CF703" w14:textId="77777777" w:rsidR="0057778C" w:rsidRPr="00127DCE" w:rsidRDefault="0057778C" w:rsidP="00312E88">
            <w:pPr>
              <w:rPr>
                <w:rFonts w:cs="Arial"/>
                <w:color w:val="000000"/>
                <w:sz w:val="16"/>
                <w:szCs w:val="16"/>
              </w:rPr>
            </w:pPr>
            <w:r w:rsidRPr="00127DCE">
              <w:rPr>
                <w:rFonts w:cs="Arial"/>
                <w:color w:val="000000"/>
                <w:sz w:val="16"/>
                <w:szCs w:val="16"/>
              </w:rPr>
              <w:t>30 June 2020 AFSR projection</w:t>
            </w:r>
          </w:p>
        </w:tc>
        <w:tc>
          <w:tcPr>
            <w:tcW w:w="380" w:type="pct"/>
            <w:tcBorders>
              <w:top w:val="nil"/>
              <w:left w:val="nil"/>
              <w:bottom w:val="single" w:sz="4" w:space="0" w:color="auto"/>
              <w:right w:val="nil"/>
            </w:tcBorders>
            <w:shd w:val="clear" w:color="000000" w:fill="BFBFBF"/>
            <w:noWrap/>
            <w:vAlign w:val="center"/>
            <w:hideMark/>
          </w:tcPr>
          <w:p w14:paraId="203CE743"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BFBFBF"/>
            <w:noWrap/>
            <w:vAlign w:val="center"/>
            <w:hideMark/>
          </w:tcPr>
          <w:p w14:paraId="5B80BF84"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0" w:type="pct"/>
            <w:tcBorders>
              <w:top w:val="nil"/>
              <w:left w:val="nil"/>
              <w:bottom w:val="single" w:sz="4" w:space="0" w:color="auto"/>
              <w:right w:val="nil"/>
            </w:tcBorders>
            <w:shd w:val="clear" w:color="000000" w:fill="BFBFBF"/>
            <w:noWrap/>
            <w:vAlign w:val="center"/>
            <w:hideMark/>
          </w:tcPr>
          <w:p w14:paraId="75402469"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78" w:type="pct"/>
            <w:tcBorders>
              <w:top w:val="nil"/>
              <w:left w:val="single" w:sz="4" w:space="0" w:color="auto"/>
              <w:bottom w:val="single" w:sz="4" w:space="0" w:color="auto"/>
              <w:right w:val="single" w:sz="4" w:space="0" w:color="auto"/>
            </w:tcBorders>
            <w:shd w:val="clear" w:color="000000" w:fill="FFE699"/>
            <w:noWrap/>
            <w:vAlign w:val="center"/>
            <w:hideMark/>
          </w:tcPr>
          <w:p w14:paraId="38C1BAD8" w14:textId="77777777" w:rsidR="0057778C" w:rsidRPr="00127DCE" w:rsidRDefault="0057778C" w:rsidP="00312E88">
            <w:pPr>
              <w:jc w:val="center"/>
              <w:rPr>
                <w:rFonts w:cs="Arial"/>
                <w:color w:val="000000"/>
                <w:sz w:val="16"/>
                <w:szCs w:val="16"/>
              </w:rPr>
            </w:pPr>
            <w:r w:rsidRPr="00127DCE">
              <w:rPr>
                <w:rFonts w:cs="Arial"/>
                <w:color w:val="000000"/>
                <w:sz w:val="16"/>
                <w:szCs w:val="16"/>
              </w:rPr>
              <w:t>35,200</w:t>
            </w:r>
          </w:p>
        </w:tc>
        <w:tc>
          <w:tcPr>
            <w:tcW w:w="380" w:type="pct"/>
            <w:tcBorders>
              <w:top w:val="nil"/>
              <w:left w:val="nil"/>
              <w:bottom w:val="single" w:sz="4" w:space="0" w:color="auto"/>
              <w:right w:val="nil"/>
            </w:tcBorders>
            <w:shd w:val="clear" w:color="auto" w:fill="auto"/>
            <w:noWrap/>
            <w:vAlign w:val="center"/>
            <w:hideMark/>
          </w:tcPr>
          <w:p w14:paraId="7B29BD1E" w14:textId="77777777" w:rsidR="0057778C" w:rsidRPr="00127DCE" w:rsidRDefault="0057778C" w:rsidP="00312E88">
            <w:pPr>
              <w:jc w:val="center"/>
              <w:rPr>
                <w:rFonts w:cs="Arial"/>
                <w:color w:val="000000"/>
                <w:sz w:val="16"/>
                <w:szCs w:val="16"/>
              </w:rPr>
            </w:pPr>
            <w:r w:rsidRPr="00127DCE">
              <w:rPr>
                <w:rFonts w:cs="Arial"/>
                <w:color w:val="000000"/>
                <w:sz w:val="16"/>
                <w:szCs w:val="16"/>
              </w:rPr>
              <w:t>36,700</w:t>
            </w:r>
          </w:p>
        </w:tc>
        <w:tc>
          <w:tcPr>
            <w:tcW w:w="383" w:type="pct"/>
            <w:tcBorders>
              <w:top w:val="nil"/>
              <w:left w:val="nil"/>
              <w:bottom w:val="single" w:sz="4" w:space="0" w:color="auto"/>
              <w:right w:val="nil"/>
            </w:tcBorders>
            <w:shd w:val="clear" w:color="auto" w:fill="auto"/>
            <w:noWrap/>
            <w:vAlign w:val="center"/>
            <w:hideMark/>
          </w:tcPr>
          <w:p w14:paraId="0B492123" w14:textId="77777777" w:rsidR="0057778C" w:rsidRPr="00127DCE" w:rsidRDefault="0057778C" w:rsidP="00312E88">
            <w:pPr>
              <w:jc w:val="center"/>
              <w:rPr>
                <w:rFonts w:cs="Arial"/>
                <w:color w:val="000000"/>
                <w:sz w:val="16"/>
                <w:szCs w:val="16"/>
              </w:rPr>
            </w:pPr>
            <w:r w:rsidRPr="00127DCE">
              <w:rPr>
                <w:rFonts w:cs="Arial"/>
                <w:color w:val="000000"/>
                <w:sz w:val="16"/>
                <w:szCs w:val="16"/>
              </w:rPr>
              <w:t>37,500</w:t>
            </w:r>
          </w:p>
        </w:tc>
        <w:tc>
          <w:tcPr>
            <w:tcW w:w="383" w:type="pct"/>
            <w:tcBorders>
              <w:top w:val="nil"/>
              <w:left w:val="nil"/>
              <w:bottom w:val="single" w:sz="4" w:space="0" w:color="auto"/>
              <w:right w:val="nil"/>
            </w:tcBorders>
            <w:shd w:val="clear" w:color="auto" w:fill="auto"/>
            <w:noWrap/>
            <w:vAlign w:val="center"/>
            <w:hideMark/>
          </w:tcPr>
          <w:p w14:paraId="0F88EB4C" w14:textId="77777777" w:rsidR="0057778C" w:rsidRPr="00127DCE" w:rsidRDefault="0057778C" w:rsidP="00312E88">
            <w:pPr>
              <w:jc w:val="center"/>
              <w:rPr>
                <w:rFonts w:cs="Arial"/>
                <w:color w:val="000000"/>
                <w:sz w:val="16"/>
                <w:szCs w:val="16"/>
              </w:rPr>
            </w:pPr>
            <w:r w:rsidRPr="00127DCE">
              <w:rPr>
                <w:rFonts w:cs="Arial"/>
                <w:color w:val="000000"/>
                <w:sz w:val="16"/>
                <w:szCs w:val="16"/>
              </w:rPr>
              <w:t>38,500</w:t>
            </w:r>
          </w:p>
        </w:tc>
        <w:tc>
          <w:tcPr>
            <w:tcW w:w="380" w:type="pct"/>
            <w:tcBorders>
              <w:top w:val="nil"/>
              <w:left w:val="nil"/>
              <w:bottom w:val="single" w:sz="4" w:space="0" w:color="auto"/>
              <w:right w:val="single" w:sz="4" w:space="0" w:color="auto"/>
            </w:tcBorders>
            <w:shd w:val="clear" w:color="auto" w:fill="auto"/>
            <w:noWrap/>
            <w:vAlign w:val="center"/>
            <w:hideMark/>
          </w:tcPr>
          <w:p w14:paraId="12B78333" w14:textId="77777777" w:rsidR="0057778C" w:rsidRPr="00127DCE" w:rsidRDefault="0057778C" w:rsidP="00312E88">
            <w:pPr>
              <w:jc w:val="center"/>
              <w:rPr>
                <w:rFonts w:cs="Arial"/>
                <w:color w:val="000000"/>
                <w:sz w:val="16"/>
                <w:szCs w:val="16"/>
              </w:rPr>
            </w:pPr>
            <w:r w:rsidRPr="00127DCE">
              <w:rPr>
                <w:rFonts w:cs="Arial"/>
                <w:color w:val="000000"/>
                <w:sz w:val="16"/>
                <w:szCs w:val="16"/>
              </w:rPr>
              <w:t>40,000</w:t>
            </w:r>
          </w:p>
        </w:tc>
      </w:tr>
      <w:tr w:rsidR="0057778C" w:rsidRPr="00127DCE" w14:paraId="35237D0E" w14:textId="77777777" w:rsidTr="0057778C">
        <w:trPr>
          <w:trHeight w:hRule="exact" w:val="45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649AE503" w14:textId="77777777" w:rsidR="0057778C" w:rsidRPr="00127DCE" w:rsidRDefault="0057778C" w:rsidP="00312E88">
            <w:pPr>
              <w:rPr>
                <w:rFonts w:cs="Arial"/>
                <w:color w:val="000000"/>
                <w:sz w:val="16"/>
                <w:szCs w:val="16"/>
              </w:rPr>
            </w:pPr>
            <w:r w:rsidRPr="00127DCE">
              <w:rPr>
                <w:rFonts w:cs="Arial"/>
                <w:color w:val="000000"/>
                <w:sz w:val="16"/>
                <w:szCs w:val="16"/>
              </w:rPr>
              <w:t>31 December 2019 AFSR projection</w:t>
            </w:r>
          </w:p>
        </w:tc>
        <w:tc>
          <w:tcPr>
            <w:tcW w:w="380" w:type="pct"/>
            <w:tcBorders>
              <w:top w:val="nil"/>
              <w:left w:val="nil"/>
              <w:bottom w:val="single" w:sz="4" w:space="0" w:color="auto"/>
              <w:right w:val="nil"/>
            </w:tcBorders>
            <w:shd w:val="clear" w:color="000000" w:fill="BFBFBF"/>
            <w:noWrap/>
            <w:vAlign w:val="center"/>
            <w:hideMark/>
          </w:tcPr>
          <w:p w14:paraId="25508D84"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BFBFBF"/>
            <w:noWrap/>
            <w:vAlign w:val="center"/>
            <w:hideMark/>
          </w:tcPr>
          <w:p w14:paraId="1E51CA3C"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0" w:type="pct"/>
            <w:tcBorders>
              <w:top w:val="nil"/>
              <w:left w:val="nil"/>
              <w:bottom w:val="single" w:sz="4" w:space="0" w:color="auto"/>
              <w:right w:val="nil"/>
            </w:tcBorders>
            <w:shd w:val="clear" w:color="000000" w:fill="BFBFBF"/>
            <w:noWrap/>
            <w:vAlign w:val="center"/>
            <w:hideMark/>
          </w:tcPr>
          <w:p w14:paraId="42C82C00"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78" w:type="pct"/>
            <w:tcBorders>
              <w:top w:val="nil"/>
              <w:left w:val="single" w:sz="4" w:space="0" w:color="auto"/>
              <w:bottom w:val="single" w:sz="4" w:space="0" w:color="auto"/>
              <w:right w:val="single" w:sz="4" w:space="0" w:color="auto"/>
            </w:tcBorders>
            <w:shd w:val="clear" w:color="auto" w:fill="auto"/>
            <w:noWrap/>
            <w:vAlign w:val="center"/>
            <w:hideMark/>
          </w:tcPr>
          <w:p w14:paraId="144CCB6D" w14:textId="77777777" w:rsidR="0057778C" w:rsidRPr="00127DCE" w:rsidRDefault="0057778C" w:rsidP="00312E88">
            <w:pPr>
              <w:jc w:val="center"/>
              <w:rPr>
                <w:rFonts w:cs="Arial"/>
                <w:color w:val="000000"/>
                <w:sz w:val="16"/>
                <w:szCs w:val="16"/>
              </w:rPr>
            </w:pPr>
            <w:r w:rsidRPr="00127DCE">
              <w:rPr>
                <w:rFonts w:cs="Arial"/>
                <w:color w:val="000000"/>
                <w:sz w:val="16"/>
                <w:szCs w:val="16"/>
              </w:rPr>
              <w:t>35,900</w:t>
            </w:r>
          </w:p>
        </w:tc>
        <w:tc>
          <w:tcPr>
            <w:tcW w:w="380" w:type="pct"/>
            <w:tcBorders>
              <w:top w:val="nil"/>
              <w:left w:val="nil"/>
              <w:bottom w:val="single" w:sz="4" w:space="0" w:color="auto"/>
              <w:right w:val="nil"/>
            </w:tcBorders>
            <w:shd w:val="clear" w:color="auto" w:fill="auto"/>
            <w:noWrap/>
            <w:vAlign w:val="center"/>
            <w:hideMark/>
          </w:tcPr>
          <w:p w14:paraId="6124DCC0" w14:textId="77777777" w:rsidR="0057778C" w:rsidRPr="00127DCE" w:rsidRDefault="0057778C" w:rsidP="00312E88">
            <w:pPr>
              <w:jc w:val="center"/>
              <w:rPr>
                <w:rFonts w:cs="Arial"/>
                <w:color w:val="000000"/>
                <w:sz w:val="16"/>
                <w:szCs w:val="16"/>
              </w:rPr>
            </w:pPr>
            <w:r w:rsidRPr="00127DCE">
              <w:rPr>
                <w:rFonts w:cs="Arial"/>
                <w:color w:val="000000"/>
                <w:sz w:val="16"/>
                <w:szCs w:val="16"/>
              </w:rPr>
              <w:t>36,800</w:t>
            </w:r>
          </w:p>
        </w:tc>
        <w:tc>
          <w:tcPr>
            <w:tcW w:w="383" w:type="pct"/>
            <w:tcBorders>
              <w:top w:val="nil"/>
              <w:left w:val="nil"/>
              <w:bottom w:val="single" w:sz="4" w:space="0" w:color="auto"/>
              <w:right w:val="nil"/>
            </w:tcBorders>
            <w:shd w:val="clear" w:color="auto" w:fill="auto"/>
            <w:noWrap/>
            <w:vAlign w:val="center"/>
            <w:hideMark/>
          </w:tcPr>
          <w:p w14:paraId="5E35AEE1" w14:textId="77777777" w:rsidR="0057778C" w:rsidRPr="00127DCE" w:rsidRDefault="0057778C" w:rsidP="00312E88">
            <w:pPr>
              <w:jc w:val="center"/>
              <w:rPr>
                <w:rFonts w:cs="Arial"/>
                <w:color w:val="000000"/>
                <w:sz w:val="16"/>
                <w:szCs w:val="16"/>
              </w:rPr>
            </w:pPr>
            <w:r w:rsidRPr="00127DCE">
              <w:rPr>
                <w:rFonts w:cs="Arial"/>
                <w:color w:val="000000"/>
                <w:sz w:val="16"/>
                <w:szCs w:val="16"/>
              </w:rPr>
              <w:t>37,500</w:t>
            </w:r>
          </w:p>
        </w:tc>
        <w:tc>
          <w:tcPr>
            <w:tcW w:w="383" w:type="pct"/>
            <w:tcBorders>
              <w:top w:val="nil"/>
              <w:left w:val="nil"/>
              <w:bottom w:val="single" w:sz="4" w:space="0" w:color="auto"/>
              <w:right w:val="nil"/>
            </w:tcBorders>
            <w:shd w:val="clear" w:color="auto" w:fill="auto"/>
            <w:noWrap/>
            <w:vAlign w:val="center"/>
            <w:hideMark/>
          </w:tcPr>
          <w:p w14:paraId="4C82D49D" w14:textId="77777777" w:rsidR="0057778C" w:rsidRPr="00127DCE" w:rsidRDefault="0057778C" w:rsidP="00312E88">
            <w:pPr>
              <w:jc w:val="center"/>
              <w:rPr>
                <w:rFonts w:cs="Arial"/>
                <w:color w:val="000000"/>
                <w:sz w:val="16"/>
                <w:szCs w:val="16"/>
              </w:rPr>
            </w:pPr>
            <w:r w:rsidRPr="00127DCE">
              <w:rPr>
                <w:rFonts w:cs="Arial"/>
                <w:color w:val="000000"/>
                <w:sz w:val="16"/>
                <w:szCs w:val="16"/>
              </w:rPr>
              <w:t>38,400</w:t>
            </w:r>
          </w:p>
        </w:tc>
        <w:tc>
          <w:tcPr>
            <w:tcW w:w="380" w:type="pct"/>
            <w:tcBorders>
              <w:top w:val="nil"/>
              <w:left w:val="nil"/>
              <w:bottom w:val="single" w:sz="4" w:space="0" w:color="auto"/>
              <w:right w:val="single" w:sz="4" w:space="0" w:color="auto"/>
            </w:tcBorders>
            <w:shd w:val="clear" w:color="auto" w:fill="auto"/>
            <w:noWrap/>
            <w:vAlign w:val="center"/>
            <w:hideMark/>
          </w:tcPr>
          <w:p w14:paraId="522373EF" w14:textId="77777777" w:rsidR="0057778C" w:rsidRPr="00127DCE" w:rsidRDefault="0057778C" w:rsidP="00312E88">
            <w:pPr>
              <w:jc w:val="center"/>
              <w:rPr>
                <w:rFonts w:cs="Arial"/>
                <w:color w:val="000000"/>
                <w:sz w:val="16"/>
                <w:szCs w:val="16"/>
              </w:rPr>
            </w:pPr>
            <w:r w:rsidRPr="00127DCE">
              <w:rPr>
                <w:rFonts w:cs="Arial"/>
                <w:color w:val="000000"/>
                <w:sz w:val="16"/>
                <w:szCs w:val="16"/>
              </w:rPr>
              <w:t>39,500</w:t>
            </w:r>
          </w:p>
        </w:tc>
      </w:tr>
      <w:tr w:rsidR="0057778C" w:rsidRPr="00127DCE" w14:paraId="19CA70B4" w14:textId="77777777" w:rsidTr="0057778C">
        <w:trPr>
          <w:trHeight w:hRule="exact" w:val="45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2D8144C6" w14:textId="77777777" w:rsidR="0057778C" w:rsidRPr="00127DCE" w:rsidRDefault="0057778C" w:rsidP="00312E88">
            <w:pPr>
              <w:rPr>
                <w:rFonts w:cs="Arial"/>
                <w:color w:val="000000"/>
                <w:sz w:val="16"/>
                <w:szCs w:val="16"/>
              </w:rPr>
            </w:pPr>
            <w:r w:rsidRPr="00127DCE">
              <w:rPr>
                <w:rFonts w:cs="Arial"/>
                <w:color w:val="000000"/>
                <w:sz w:val="16"/>
                <w:szCs w:val="16"/>
              </w:rPr>
              <w:t>30 June 2019 AFSR projection</w:t>
            </w:r>
          </w:p>
        </w:tc>
        <w:tc>
          <w:tcPr>
            <w:tcW w:w="380" w:type="pct"/>
            <w:tcBorders>
              <w:top w:val="nil"/>
              <w:left w:val="nil"/>
              <w:bottom w:val="single" w:sz="4" w:space="0" w:color="auto"/>
              <w:right w:val="nil"/>
            </w:tcBorders>
            <w:shd w:val="clear" w:color="000000" w:fill="BFBFBF"/>
            <w:noWrap/>
            <w:vAlign w:val="center"/>
            <w:hideMark/>
          </w:tcPr>
          <w:p w14:paraId="53382CBB"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BFBFBF"/>
            <w:noWrap/>
            <w:vAlign w:val="center"/>
            <w:hideMark/>
          </w:tcPr>
          <w:p w14:paraId="2D18E2BE"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0" w:type="pct"/>
            <w:tcBorders>
              <w:top w:val="nil"/>
              <w:left w:val="nil"/>
              <w:bottom w:val="single" w:sz="4" w:space="0" w:color="auto"/>
              <w:right w:val="nil"/>
            </w:tcBorders>
            <w:shd w:val="clear" w:color="000000" w:fill="FFE699"/>
            <w:noWrap/>
            <w:vAlign w:val="center"/>
            <w:hideMark/>
          </w:tcPr>
          <w:p w14:paraId="2EBF6093" w14:textId="77777777" w:rsidR="0057778C" w:rsidRPr="00127DCE" w:rsidRDefault="0057778C" w:rsidP="00312E88">
            <w:pPr>
              <w:jc w:val="center"/>
              <w:rPr>
                <w:rFonts w:cs="Arial"/>
                <w:color w:val="000000"/>
                <w:sz w:val="16"/>
                <w:szCs w:val="16"/>
              </w:rPr>
            </w:pPr>
            <w:r w:rsidRPr="00127DCE">
              <w:rPr>
                <w:rFonts w:cs="Arial"/>
                <w:color w:val="000000"/>
                <w:sz w:val="16"/>
                <w:szCs w:val="16"/>
              </w:rPr>
              <w:t>34,300</w:t>
            </w:r>
          </w:p>
        </w:tc>
        <w:tc>
          <w:tcPr>
            <w:tcW w:w="378" w:type="pct"/>
            <w:tcBorders>
              <w:top w:val="nil"/>
              <w:left w:val="single" w:sz="4" w:space="0" w:color="auto"/>
              <w:bottom w:val="single" w:sz="4" w:space="0" w:color="auto"/>
              <w:right w:val="single" w:sz="4" w:space="0" w:color="auto"/>
            </w:tcBorders>
            <w:shd w:val="clear" w:color="auto" w:fill="auto"/>
            <w:noWrap/>
            <w:vAlign w:val="center"/>
            <w:hideMark/>
          </w:tcPr>
          <w:p w14:paraId="7EE8C12A" w14:textId="77777777" w:rsidR="0057778C" w:rsidRPr="00127DCE" w:rsidRDefault="0057778C" w:rsidP="00312E88">
            <w:pPr>
              <w:jc w:val="center"/>
              <w:rPr>
                <w:rFonts w:cs="Arial"/>
                <w:color w:val="000000"/>
                <w:sz w:val="16"/>
                <w:szCs w:val="16"/>
              </w:rPr>
            </w:pPr>
            <w:r w:rsidRPr="00127DCE">
              <w:rPr>
                <w:rFonts w:cs="Arial"/>
                <w:color w:val="000000"/>
                <w:sz w:val="16"/>
                <w:szCs w:val="16"/>
              </w:rPr>
              <w:t>35,800</w:t>
            </w:r>
          </w:p>
        </w:tc>
        <w:tc>
          <w:tcPr>
            <w:tcW w:w="380" w:type="pct"/>
            <w:tcBorders>
              <w:top w:val="nil"/>
              <w:left w:val="nil"/>
              <w:bottom w:val="single" w:sz="4" w:space="0" w:color="auto"/>
              <w:right w:val="nil"/>
            </w:tcBorders>
            <w:shd w:val="clear" w:color="auto" w:fill="auto"/>
            <w:noWrap/>
            <w:vAlign w:val="center"/>
            <w:hideMark/>
          </w:tcPr>
          <w:p w14:paraId="42475953" w14:textId="77777777" w:rsidR="0057778C" w:rsidRPr="00127DCE" w:rsidRDefault="0057778C" w:rsidP="00312E88">
            <w:pPr>
              <w:jc w:val="center"/>
              <w:rPr>
                <w:rFonts w:cs="Arial"/>
                <w:color w:val="000000"/>
                <w:sz w:val="16"/>
                <w:szCs w:val="16"/>
              </w:rPr>
            </w:pPr>
            <w:r w:rsidRPr="00127DCE">
              <w:rPr>
                <w:rFonts w:cs="Arial"/>
                <w:color w:val="000000"/>
                <w:sz w:val="16"/>
                <w:szCs w:val="16"/>
              </w:rPr>
              <w:t>36,600</w:t>
            </w:r>
          </w:p>
        </w:tc>
        <w:tc>
          <w:tcPr>
            <w:tcW w:w="383" w:type="pct"/>
            <w:tcBorders>
              <w:top w:val="nil"/>
              <w:left w:val="nil"/>
              <w:bottom w:val="single" w:sz="4" w:space="0" w:color="auto"/>
              <w:right w:val="nil"/>
            </w:tcBorders>
            <w:shd w:val="clear" w:color="auto" w:fill="auto"/>
            <w:noWrap/>
            <w:vAlign w:val="center"/>
            <w:hideMark/>
          </w:tcPr>
          <w:p w14:paraId="463AA2BD" w14:textId="77777777" w:rsidR="0057778C" w:rsidRPr="00127DCE" w:rsidRDefault="0057778C" w:rsidP="00312E88">
            <w:pPr>
              <w:jc w:val="center"/>
              <w:rPr>
                <w:rFonts w:cs="Arial"/>
                <w:color w:val="000000"/>
                <w:sz w:val="16"/>
                <w:szCs w:val="16"/>
              </w:rPr>
            </w:pPr>
            <w:r w:rsidRPr="00127DCE">
              <w:rPr>
                <w:rFonts w:cs="Arial"/>
                <w:color w:val="000000"/>
                <w:sz w:val="16"/>
                <w:szCs w:val="16"/>
              </w:rPr>
              <w:t>37,300</w:t>
            </w:r>
          </w:p>
        </w:tc>
        <w:tc>
          <w:tcPr>
            <w:tcW w:w="383" w:type="pct"/>
            <w:tcBorders>
              <w:top w:val="nil"/>
              <w:left w:val="nil"/>
              <w:bottom w:val="single" w:sz="4" w:space="0" w:color="auto"/>
              <w:right w:val="nil"/>
            </w:tcBorders>
            <w:shd w:val="clear" w:color="auto" w:fill="auto"/>
            <w:noWrap/>
            <w:vAlign w:val="center"/>
            <w:hideMark/>
          </w:tcPr>
          <w:p w14:paraId="5282017A" w14:textId="77777777" w:rsidR="0057778C" w:rsidRPr="00127DCE" w:rsidRDefault="0057778C" w:rsidP="00312E88">
            <w:pPr>
              <w:jc w:val="center"/>
              <w:rPr>
                <w:rFonts w:cs="Arial"/>
                <w:color w:val="000000"/>
                <w:sz w:val="16"/>
                <w:szCs w:val="16"/>
              </w:rPr>
            </w:pPr>
            <w:r w:rsidRPr="00127DCE">
              <w:rPr>
                <w:rFonts w:cs="Arial"/>
                <w:color w:val="000000"/>
                <w:sz w:val="16"/>
                <w:szCs w:val="16"/>
              </w:rPr>
              <w:t>37,700</w:t>
            </w:r>
          </w:p>
        </w:tc>
        <w:tc>
          <w:tcPr>
            <w:tcW w:w="380" w:type="pct"/>
            <w:tcBorders>
              <w:top w:val="nil"/>
              <w:left w:val="nil"/>
              <w:bottom w:val="single" w:sz="4" w:space="0" w:color="auto"/>
              <w:right w:val="single" w:sz="4" w:space="0" w:color="auto"/>
            </w:tcBorders>
            <w:shd w:val="clear" w:color="auto" w:fill="auto"/>
            <w:noWrap/>
            <w:vAlign w:val="center"/>
            <w:hideMark/>
          </w:tcPr>
          <w:p w14:paraId="607F96D6" w14:textId="77777777" w:rsidR="0057778C" w:rsidRPr="00127DCE" w:rsidRDefault="0057778C" w:rsidP="00312E88">
            <w:pPr>
              <w:jc w:val="center"/>
              <w:rPr>
                <w:rFonts w:cs="Arial"/>
                <w:color w:val="000000"/>
                <w:sz w:val="16"/>
                <w:szCs w:val="16"/>
              </w:rPr>
            </w:pPr>
            <w:r w:rsidRPr="00127DCE">
              <w:rPr>
                <w:rFonts w:cs="Arial"/>
                <w:color w:val="000000"/>
                <w:sz w:val="16"/>
                <w:szCs w:val="16"/>
              </w:rPr>
              <w:t>38,200</w:t>
            </w:r>
          </w:p>
        </w:tc>
      </w:tr>
      <w:tr w:rsidR="0057778C" w:rsidRPr="00127DCE" w14:paraId="526CCF46" w14:textId="77777777" w:rsidTr="0057778C">
        <w:trPr>
          <w:trHeight w:hRule="exact" w:val="45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06525E85" w14:textId="77777777" w:rsidR="0057778C" w:rsidRPr="00127DCE" w:rsidRDefault="0057778C" w:rsidP="00312E88">
            <w:pPr>
              <w:rPr>
                <w:rFonts w:cs="Arial"/>
                <w:color w:val="000000"/>
                <w:sz w:val="16"/>
                <w:szCs w:val="16"/>
              </w:rPr>
            </w:pPr>
            <w:r w:rsidRPr="00127DCE">
              <w:rPr>
                <w:rFonts w:cs="Arial"/>
                <w:color w:val="000000"/>
                <w:sz w:val="16"/>
                <w:szCs w:val="16"/>
              </w:rPr>
              <w:t>30 June 2018 AFSR projection</w:t>
            </w:r>
          </w:p>
        </w:tc>
        <w:tc>
          <w:tcPr>
            <w:tcW w:w="380" w:type="pct"/>
            <w:tcBorders>
              <w:top w:val="nil"/>
              <w:left w:val="nil"/>
              <w:bottom w:val="single" w:sz="4" w:space="0" w:color="auto"/>
              <w:right w:val="nil"/>
            </w:tcBorders>
            <w:shd w:val="clear" w:color="000000" w:fill="BFBFBF"/>
            <w:noWrap/>
            <w:vAlign w:val="center"/>
            <w:hideMark/>
          </w:tcPr>
          <w:p w14:paraId="2100BF7A"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FFE699"/>
            <w:noWrap/>
            <w:vAlign w:val="center"/>
            <w:hideMark/>
          </w:tcPr>
          <w:p w14:paraId="34BE76C6" w14:textId="77777777" w:rsidR="0057778C" w:rsidRPr="00127DCE" w:rsidRDefault="0057778C" w:rsidP="00312E88">
            <w:pPr>
              <w:jc w:val="center"/>
              <w:rPr>
                <w:rFonts w:cs="Arial"/>
                <w:color w:val="000000"/>
                <w:sz w:val="16"/>
                <w:szCs w:val="16"/>
              </w:rPr>
            </w:pPr>
            <w:r w:rsidRPr="00127DCE">
              <w:rPr>
                <w:rFonts w:cs="Arial"/>
                <w:color w:val="000000"/>
                <w:sz w:val="16"/>
                <w:szCs w:val="16"/>
              </w:rPr>
              <w:t>23,900</w:t>
            </w:r>
          </w:p>
        </w:tc>
        <w:tc>
          <w:tcPr>
            <w:tcW w:w="380" w:type="pct"/>
            <w:tcBorders>
              <w:top w:val="nil"/>
              <w:left w:val="nil"/>
              <w:bottom w:val="single" w:sz="4" w:space="0" w:color="auto"/>
              <w:right w:val="nil"/>
            </w:tcBorders>
            <w:shd w:val="clear" w:color="auto" w:fill="auto"/>
            <w:noWrap/>
            <w:vAlign w:val="center"/>
            <w:hideMark/>
          </w:tcPr>
          <w:p w14:paraId="09DF6067" w14:textId="77777777" w:rsidR="0057778C" w:rsidRPr="00127DCE" w:rsidRDefault="0057778C" w:rsidP="00312E88">
            <w:pPr>
              <w:jc w:val="center"/>
              <w:rPr>
                <w:rFonts w:cs="Arial"/>
                <w:color w:val="000000"/>
                <w:sz w:val="16"/>
                <w:szCs w:val="16"/>
              </w:rPr>
            </w:pPr>
            <w:r w:rsidRPr="00127DCE">
              <w:rPr>
                <w:rFonts w:cs="Arial"/>
                <w:color w:val="000000"/>
                <w:sz w:val="16"/>
                <w:szCs w:val="16"/>
              </w:rPr>
              <w:t>30,000</w:t>
            </w:r>
          </w:p>
        </w:tc>
        <w:tc>
          <w:tcPr>
            <w:tcW w:w="378" w:type="pct"/>
            <w:tcBorders>
              <w:top w:val="nil"/>
              <w:left w:val="single" w:sz="4" w:space="0" w:color="auto"/>
              <w:bottom w:val="single" w:sz="4" w:space="0" w:color="auto"/>
              <w:right w:val="single" w:sz="4" w:space="0" w:color="auto"/>
            </w:tcBorders>
            <w:shd w:val="clear" w:color="auto" w:fill="auto"/>
            <w:noWrap/>
            <w:vAlign w:val="center"/>
            <w:hideMark/>
          </w:tcPr>
          <w:p w14:paraId="5981F40F" w14:textId="77777777" w:rsidR="0057778C" w:rsidRPr="00127DCE" w:rsidRDefault="0057778C" w:rsidP="00312E88">
            <w:pPr>
              <w:jc w:val="center"/>
              <w:rPr>
                <w:rFonts w:cs="Arial"/>
                <w:color w:val="000000"/>
                <w:sz w:val="16"/>
                <w:szCs w:val="16"/>
              </w:rPr>
            </w:pPr>
            <w:r w:rsidRPr="00127DCE">
              <w:rPr>
                <w:rFonts w:cs="Arial"/>
                <w:color w:val="000000"/>
                <w:sz w:val="16"/>
                <w:szCs w:val="16"/>
              </w:rPr>
              <w:t>32,700</w:t>
            </w:r>
          </w:p>
        </w:tc>
        <w:tc>
          <w:tcPr>
            <w:tcW w:w="380" w:type="pct"/>
            <w:tcBorders>
              <w:top w:val="nil"/>
              <w:left w:val="nil"/>
              <w:bottom w:val="single" w:sz="4" w:space="0" w:color="auto"/>
              <w:right w:val="nil"/>
            </w:tcBorders>
            <w:shd w:val="clear" w:color="auto" w:fill="auto"/>
            <w:noWrap/>
            <w:vAlign w:val="center"/>
            <w:hideMark/>
          </w:tcPr>
          <w:p w14:paraId="697CB678" w14:textId="77777777" w:rsidR="0057778C" w:rsidRPr="00127DCE" w:rsidRDefault="0057778C" w:rsidP="00312E88">
            <w:pPr>
              <w:jc w:val="center"/>
              <w:rPr>
                <w:rFonts w:cs="Arial"/>
                <w:color w:val="000000"/>
                <w:sz w:val="16"/>
                <w:szCs w:val="16"/>
              </w:rPr>
            </w:pPr>
            <w:r w:rsidRPr="00127DCE">
              <w:rPr>
                <w:rFonts w:cs="Arial"/>
                <w:color w:val="000000"/>
                <w:sz w:val="16"/>
                <w:szCs w:val="16"/>
              </w:rPr>
              <w:t>34,400</w:t>
            </w:r>
          </w:p>
        </w:tc>
        <w:tc>
          <w:tcPr>
            <w:tcW w:w="383" w:type="pct"/>
            <w:tcBorders>
              <w:top w:val="nil"/>
              <w:left w:val="nil"/>
              <w:bottom w:val="single" w:sz="4" w:space="0" w:color="auto"/>
              <w:right w:val="nil"/>
            </w:tcBorders>
            <w:shd w:val="clear" w:color="auto" w:fill="auto"/>
            <w:noWrap/>
            <w:vAlign w:val="center"/>
            <w:hideMark/>
          </w:tcPr>
          <w:p w14:paraId="7070FD52" w14:textId="77777777" w:rsidR="0057778C" w:rsidRPr="00127DCE" w:rsidRDefault="0057778C" w:rsidP="00312E88">
            <w:pPr>
              <w:jc w:val="center"/>
              <w:rPr>
                <w:rFonts w:cs="Arial"/>
                <w:color w:val="000000"/>
                <w:sz w:val="16"/>
                <w:szCs w:val="16"/>
              </w:rPr>
            </w:pPr>
            <w:r w:rsidRPr="00127DCE">
              <w:rPr>
                <w:rFonts w:cs="Arial"/>
                <w:color w:val="000000"/>
                <w:sz w:val="16"/>
                <w:szCs w:val="16"/>
              </w:rPr>
              <w:t>35,700</w:t>
            </w:r>
          </w:p>
        </w:tc>
        <w:tc>
          <w:tcPr>
            <w:tcW w:w="383" w:type="pct"/>
            <w:tcBorders>
              <w:top w:val="nil"/>
              <w:left w:val="nil"/>
              <w:bottom w:val="single" w:sz="4" w:space="0" w:color="auto"/>
              <w:right w:val="nil"/>
            </w:tcBorders>
            <w:shd w:val="clear" w:color="auto" w:fill="auto"/>
            <w:noWrap/>
            <w:vAlign w:val="center"/>
            <w:hideMark/>
          </w:tcPr>
          <w:p w14:paraId="39B329ED" w14:textId="77777777" w:rsidR="0057778C" w:rsidRPr="00127DCE" w:rsidRDefault="0057778C" w:rsidP="00312E88">
            <w:pPr>
              <w:jc w:val="center"/>
              <w:rPr>
                <w:rFonts w:cs="Arial"/>
                <w:color w:val="000000"/>
                <w:sz w:val="16"/>
                <w:szCs w:val="16"/>
              </w:rPr>
            </w:pPr>
            <w:r w:rsidRPr="00127DCE">
              <w:rPr>
                <w:rFonts w:cs="Arial"/>
                <w:color w:val="000000"/>
                <w:sz w:val="16"/>
                <w:szCs w:val="16"/>
              </w:rPr>
              <w:t>37,500</w:t>
            </w:r>
          </w:p>
        </w:tc>
        <w:tc>
          <w:tcPr>
            <w:tcW w:w="380" w:type="pct"/>
            <w:tcBorders>
              <w:top w:val="nil"/>
              <w:left w:val="nil"/>
              <w:bottom w:val="single" w:sz="4" w:space="0" w:color="auto"/>
              <w:right w:val="single" w:sz="4" w:space="0" w:color="auto"/>
            </w:tcBorders>
            <w:shd w:val="clear" w:color="auto" w:fill="auto"/>
            <w:noWrap/>
            <w:vAlign w:val="center"/>
            <w:hideMark/>
          </w:tcPr>
          <w:p w14:paraId="295C3BBF" w14:textId="77777777" w:rsidR="0057778C" w:rsidRPr="00127DCE" w:rsidRDefault="0057778C" w:rsidP="00312E88">
            <w:pPr>
              <w:jc w:val="center"/>
              <w:rPr>
                <w:rFonts w:cs="Arial"/>
                <w:color w:val="000000"/>
                <w:sz w:val="16"/>
                <w:szCs w:val="16"/>
              </w:rPr>
            </w:pPr>
            <w:r w:rsidRPr="00127DCE">
              <w:rPr>
                <w:rFonts w:cs="Arial"/>
                <w:color w:val="000000"/>
                <w:sz w:val="16"/>
                <w:szCs w:val="16"/>
              </w:rPr>
              <w:t>38,700</w:t>
            </w:r>
          </w:p>
        </w:tc>
      </w:tr>
      <w:tr w:rsidR="0057778C" w:rsidRPr="00127DCE" w14:paraId="54AC1B57" w14:textId="77777777" w:rsidTr="00312E88">
        <w:trPr>
          <w:trHeight w:val="400"/>
        </w:trPr>
        <w:tc>
          <w:tcPr>
            <w:tcW w:w="1952" w:type="pct"/>
            <w:tcBorders>
              <w:top w:val="nil"/>
              <w:left w:val="single" w:sz="4" w:space="0" w:color="auto"/>
              <w:bottom w:val="single" w:sz="4" w:space="0" w:color="auto"/>
              <w:right w:val="nil"/>
            </w:tcBorders>
            <w:shd w:val="clear" w:color="000000" w:fill="D3C5D7"/>
            <w:noWrap/>
            <w:vAlign w:val="center"/>
            <w:hideMark/>
          </w:tcPr>
          <w:p w14:paraId="335895CF" w14:textId="77777777" w:rsidR="0057778C" w:rsidRPr="00127DCE" w:rsidRDefault="0057778C" w:rsidP="00312E88">
            <w:pPr>
              <w:rPr>
                <w:rFonts w:cs="Arial"/>
                <w:b/>
                <w:bCs/>
                <w:color w:val="000000"/>
                <w:sz w:val="16"/>
                <w:szCs w:val="16"/>
              </w:rPr>
            </w:pPr>
            <w:r w:rsidRPr="00127DCE">
              <w:rPr>
                <w:rFonts w:cs="Arial"/>
                <w:b/>
                <w:bCs/>
                <w:color w:val="000000"/>
                <w:sz w:val="16"/>
                <w:szCs w:val="16"/>
              </w:rPr>
              <w:t>Comparison with actuals</w:t>
            </w:r>
          </w:p>
        </w:tc>
        <w:tc>
          <w:tcPr>
            <w:tcW w:w="380" w:type="pct"/>
            <w:tcBorders>
              <w:top w:val="nil"/>
              <w:left w:val="nil"/>
              <w:bottom w:val="single" w:sz="4" w:space="0" w:color="auto"/>
              <w:right w:val="nil"/>
            </w:tcBorders>
            <w:shd w:val="clear" w:color="000000" w:fill="D3C5D7"/>
            <w:noWrap/>
            <w:vAlign w:val="center"/>
            <w:hideMark/>
          </w:tcPr>
          <w:p w14:paraId="6877F6D2"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3" w:type="pct"/>
            <w:tcBorders>
              <w:top w:val="nil"/>
              <w:left w:val="nil"/>
              <w:bottom w:val="single" w:sz="4" w:space="0" w:color="auto"/>
              <w:right w:val="nil"/>
            </w:tcBorders>
            <w:shd w:val="clear" w:color="000000" w:fill="D3C5D7"/>
            <w:noWrap/>
            <w:vAlign w:val="center"/>
            <w:hideMark/>
          </w:tcPr>
          <w:p w14:paraId="5D44C136"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0" w:type="pct"/>
            <w:tcBorders>
              <w:top w:val="nil"/>
              <w:left w:val="nil"/>
              <w:bottom w:val="single" w:sz="4" w:space="0" w:color="auto"/>
              <w:right w:val="nil"/>
            </w:tcBorders>
            <w:shd w:val="clear" w:color="000000" w:fill="D3C5D7"/>
            <w:noWrap/>
            <w:vAlign w:val="center"/>
            <w:hideMark/>
          </w:tcPr>
          <w:p w14:paraId="31B5162D"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78" w:type="pct"/>
            <w:tcBorders>
              <w:top w:val="nil"/>
              <w:left w:val="nil"/>
              <w:bottom w:val="single" w:sz="4" w:space="0" w:color="auto"/>
              <w:right w:val="nil"/>
            </w:tcBorders>
            <w:shd w:val="clear" w:color="000000" w:fill="D3C5D7"/>
            <w:noWrap/>
            <w:vAlign w:val="center"/>
            <w:hideMark/>
          </w:tcPr>
          <w:p w14:paraId="0B2082DC"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0" w:type="pct"/>
            <w:tcBorders>
              <w:top w:val="nil"/>
              <w:left w:val="nil"/>
              <w:bottom w:val="single" w:sz="4" w:space="0" w:color="auto"/>
              <w:right w:val="nil"/>
            </w:tcBorders>
            <w:shd w:val="clear" w:color="000000" w:fill="D3C5D7"/>
            <w:noWrap/>
            <w:vAlign w:val="center"/>
            <w:hideMark/>
          </w:tcPr>
          <w:p w14:paraId="7948E279"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3" w:type="pct"/>
            <w:tcBorders>
              <w:top w:val="nil"/>
              <w:left w:val="nil"/>
              <w:bottom w:val="single" w:sz="4" w:space="0" w:color="auto"/>
              <w:right w:val="nil"/>
            </w:tcBorders>
            <w:shd w:val="clear" w:color="000000" w:fill="D3C5D7"/>
            <w:noWrap/>
            <w:vAlign w:val="center"/>
            <w:hideMark/>
          </w:tcPr>
          <w:p w14:paraId="7C2530C4"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3" w:type="pct"/>
            <w:tcBorders>
              <w:top w:val="nil"/>
              <w:left w:val="nil"/>
              <w:bottom w:val="single" w:sz="4" w:space="0" w:color="auto"/>
              <w:right w:val="nil"/>
            </w:tcBorders>
            <w:shd w:val="clear" w:color="000000" w:fill="D3C5D7"/>
            <w:noWrap/>
            <w:vAlign w:val="center"/>
            <w:hideMark/>
          </w:tcPr>
          <w:p w14:paraId="39CCD64D"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c>
          <w:tcPr>
            <w:tcW w:w="380" w:type="pct"/>
            <w:tcBorders>
              <w:top w:val="nil"/>
              <w:left w:val="nil"/>
              <w:bottom w:val="single" w:sz="4" w:space="0" w:color="auto"/>
              <w:right w:val="single" w:sz="4" w:space="0" w:color="auto"/>
            </w:tcBorders>
            <w:shd w:val="clear" w:color="000000" w:fill="D3C5D7"/>
            <w:noWrap/>
            <w:vAlign w:val="center"/>
            <w:hideMark/>
          </w:tcPr>
          <w:p w14:paraId="02460EA2" w14:textId="77777777" w:rsidR="0057778C" w:rsidRPr="00127DCE" w:rsidRDefault="0057778C" w:rsidP="00312E88">
            <w:pPr>
              <w:jc w:val="center"/>
              <w:rPr>
                <w:rFonts w:cs="Arial"/>
                <w:b/>
                <w:bCs/>
                <w:color w:val="000000"/>
                <w:sz w:val="16"/>
                <w:szCs w:val="16"/>
              </w:rPr>
            </w:pPr>
            <w:r w:rsidRPr="00127DCE">
              <w:rPr>
                <w:rFonts w:cs="Arial"/>
                <w:b/>
                <w:bCs/>
                <w:color w:val="000000"/>
                <w:sz w:val="16"/>
                <w:szCs w:val="16"/>
              </w:rPr>
              <w:t> </w:t>
            </w:r>
          </w:p>
        </w:tc>
      </w:tr>
      <w:tr w:rsidR="0057778C" w:rsidRPr="00127DCE" w14:paraId="58A5C94E" w14:textId="77777777" w:rsidTr="0057778C">
        <w:trPr>
          <w:trHeight w:hRule="exact" w:val="45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69A1C52D" w14:textId="77777777" w:rsidR="0057778C" w:rsidRPr="00127DCE" w:rsidRDefault="0057778C" w:rsidP="00312E88">
            <w:pPr>
              <w:rPr>
                <w:rFonts w:cs="Arial"/>
                <w:color w:val="000000"/>
                <w:sz w:val="16"/>
                <w:szCs w:val="16"/>
              </w:rPr>
            </w:pPr>
            <w:r w:rsidRPr="00127DCE">
              <w:rPr>
                <w:rFonts w:cs="Arial"/>
                <w:color w:val="000000"/>
                <w:sz w:val="16"/>
                <w:szCs w:val="16"/>
              </w:rPr>
              <w:t>Actual average participant payments (accrual)</w:t>
            </w:r>
          </w:p>
        </w:tc>
        <w:tc>
          <w:tcPr>
            <w:tcW w:w="380" w:type="pct"/>
            <w:tcBorders>
              <w:top w:val="nil"/>
              <w:left w:val="nil"/>
              <w:bottom w:val="single" w:sz="4" w:space="0" w:color="auto"/>
              <w:right w:val="nil"/>
            </w:tcBorders>
            <w:shd w:val="clear" w:color="auto" w:fill="auto"/>
            <w:noWrap/>
            <w:vAlign w:val="center"/>
            <w:hideMark/>
          </w:tcPr>
          <w:p w14:paraId="7E1647C1" w14:textId="77777777" w:rsidR="0057778C" w:rsidRPr="00127DCE" w:rsidRDefault="0057778C" w:rsidP="00312E88">
            <w:pPr>
              <w:jc w:val="center"/>
              <w:rPr>
                <w:rFonts w:cs="Arial"/>
                <w:color w:val="000000"/>
                <w:sz w:val="16"/>
                <w:szCs w:val="16"/>
              </w:rPr>
            </w:pPr>
            <w:r w:rsidRPr="00127DCE">
              <w:rPr>
                <w:rFonts w:cs="Arial"/>
                <w:color w:val="000000"/>
                <w:sz w:val="16"/>
                <w:szCs w:val="16"/>
              </w:rPr>
              <w:t>24,300</w:t>
            </w:r>
          </w:p>
        </w:tc>
        <w:tc>
          <w:tcPr>
            <w:tcW w:w="383" w:type="pct"/>
            <w:tcBorders>
              <w:top w:val="nil"/>
              <w:left w:val="nil"/>
              <w:bottom w:val="single" w:sz="4" w:space="0" w:color="auto"/>
              <w:right w:val="nil"/>
            </w:tcBorders>
            <w:shd w:val="clear" w:color="000000" w:fill="FFE699"/>
            <w:noWrap/>
            <w:vAlign w:val="center"/>
            <w:hideMark/>
          </w:tcPr>
          <w:p w14:paraId="37CBB358" w14:textId="77777777" w:rsidR="0057778C" w:rsidRPr="00127DCE" w:rsidRDefault="0057778C" w:rsidP="00312E88">
            <w:pPr>
              <w:jc w:val="center"/>
              <w:rPr>
                <w:rFonts w:cs="Arial"/>
                <w:color w:val="000000"/>
                <w:sz w:val="16"/>
                <w:szCs w:val="16"/>
              </w:rPr>
            </w:pPr>
            <w:r w:rsidRPr="00127DCE">
              <w:rPr>
                <w:rFonts w:cs="Arial"/>
                <w:color w:val="000000"/>
                <w:sz w:val="16"/>
                <w:szCs w:val="16"/>
              </w:rPr>
              <w:t>27,100</w:t>
            </w:r>
          </w:p>
        </w:tc>
        <w:tc>
          <w:tcPr>
            <w:tcW w:w="380" w:type="pct"/>
            <w:tcBorders>
              <w:top w:val="nil"/>
              <w:left w:val="nil"/>
              <w:bottom w:val="single" w:sz="4" w:space="0" w:color="auto"/>
              <w:right w:val="nil"/>
            </w:tcBorders>
            <w:shd w:val="clear" w:color="000000" w:fill="FFE699"/>
            <w:noWrap/>
            <w:vAlign w:val="center"/>
            <w:hideMark/>
          </w:tcPr>
          <w:p w14:paraId="1CAC171B" w14:textId="77777777" w:rsidR="0057778C" w:rsidRPr="00127DCE" w:rsidRDefault="0057778C" w:rsidP="00312E88">
            <w:pPr>
              <w:jc w:val="center"/>
              <w:rPr>
                <w:rFonts w:cs="Arial"/>
                <w:color w:val="000000"/>
                <w:sz w:val="16"/>
                <w:szCs w:val="16"/>
              </w:rPr>
            </w:pPr>
            <w:r w:rsidRPr="00127DCE">
              <w:rPr>
                <w:rFonts w:cs="Arial"/>
                <w:color w:val="000000"/>
                <w:sz w:val="16"/>
                <w:szCs w:val="16"/>
              </w:rPr>
              <w:t>34,100</w:t>
            </w:r>
          </w:p>
        </w:tc>
        <w:tc>
          <w:tcPr>
            <w:tcW w:w="378" w:type="pct"/>
            <w:tcBorders>
              <w:top w:val="nil"/>
              <w:left w:val="single" w:sz="4" w:space="0" w:color="auto"/>
              <w:bottom w:val="single" w:sz="4" w:space="0" w:color="auto"/>
              <w:right w:val="single" w:sz="4" w:space="0" w:color="auto"/>
            </w:tcBorders>
            <w:shd w:val="clear" w:color="000000" w:fill="FFE699"/>
            <w:noWrap/>
            <w:vAlign w:val="center"/>
            <w:hideMark/>
          </w:tcPr>
          <w:p w14:paraId="10FF1C03" w14:textId="77777777" w:rsidR="0057778C" w:rsidRPr="00127DCE" w:rsidRDefault="0057778C" w:rsidP="00312E88">
            <w:pPr>
              <w:jc w:val="center"/>
              <w:rPr>
                <w:rFonts w:cs="Arial"/>
                <w:color w:val="000000"/>
                <w:sz w:val="16"/>
                <w:szCs w:val="16"/>
              </w:rPr>
            </w:pPr>
            <w:r w:rsidRPr="00127DCE">
              <w:rPr>
                <w:rFonts w:cs="Arial"/>
                <w:color w:val="000000"/>
                <w:sz w:val="16"/>
                <w:szCs w:val="16"/>
              </w:rPr>
              <w:t>38,600</w:t>
            </w:r>
          </w:p>
        </w:tc>
        <w:tc>
          <w:tcPr>
            <w:tcW w:w="380" w:type="pct"/>
            <w:tcBorders>
              <w:top w:val="nil"/>
              <w:left w:val="nil"/>
              <w:bottom w:val="single" w:sz="4" w:space="0" w:color="auto"/>
              <w:right w:val="nil"/>
            </w:tcBorders>
            <w:shd w:val="clear" w:color="000000" w:fill="BFBFBF"/>
            <w:noWrap/>
            <w:vAlign w:val="center"/>
            <w:hideMark/>
          </w:tcPr>
          <w:p w14:paraId="25E25138"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BFBFBF"/>
            <w:noWrap/>
            <w:vAlign w:val="center"/>
            <w:hideMark/>
          </w:tcPr>
          <w:p w14:paraId="765298AC"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BFBFBF"/>
            <w:noWrap/>
            <w:vAlign w:val="center"/>
            <w:hideMark/>
          </w:tcPr>
          <w:p w14:paraId="59B7FBB0" w14:textId="77777777" w:rsidR="0057778C" w:rsidRPr="00127DCE" w:rsidRDefault="0057778C" w:rsidP="00312E88">
            <w:pPr>
              <w:jc w:val="center"/>
              <w:rPr>
                <w:rFonts w:cs="Arial"/>
                <w:i/>
                <w:iCs/>
                <w:color w:val="000000"/>
                <w:sz w:val="16"/>
                <w:szCs w:val="16"/>
              </w:rPr>
            </w:pPr>
            <w:r w:rsidRPr="00127DCE">
              <w:rPr>
                <w:rFonts w:cs="Arial"/>
                <w:i/>
                <w:iCs/>
                <w:color w:val="000000"/>
                <w:sz w:val="16"/>
                <w:szCs w:val="16"/>
              </w:rPr>
              <w:t> </w:t>
            </w:r>
          </w:p>
        </w:tc>
        <w:tc>
          <w:tcPr>
            <w:tcW w:w="380" w:type="pct"/>
            <w:tcBorders>
              <w:top w:val="nil"/>
              <w:left w:val="nil"/>
              <w:bottom w:val="single" w:sz="4" w:space="0" w:color="auto"/>
              <w:right w:val="single" w:sz="4" w:space="0" w:color="auto"/>
            </w:tcBorders>
            <w:shd w:val="clear" w:color="000000" w:fill="BFBFBF"/>
            <w:noWrap/>
            <w:vAlign w:val="center"/>
            <w:hideMark/>
          </w:tcPr>
          <w:p w14:paraId="023F7CDD" w14:textId="77777777" w:rsidR="0057778C" w:rsidRPr="00127DCE" w:rsidRDefault="0057778C" w:rsidP="00312E88">
            <w:pPr>
              <w:jc w:val="center"/>
              <w:rPr>
                <w:rFonts w:cs="Arial"/>
                <w:i/>
                <w:iCs/>
                <w:color w:val="000000"/>
                <w:sz w:val="16"/>
                <w:szCs w:val="16"/>
              </w:rPr>
            </w:pPr>
            <w:r w:rsidRPr="00127DCE">
              <w:rPr>
                <w:rFonts w:cs="Arial"/>
                <w:i/>
                <w:iCs/>
                <w:color w:val="000000"/>
                <w:sz w:val="16"/>
                <w:szCs w:val="16"/>
              </w:rPr>
              <w:t> </w:t>
            </w:r>
          </w:p>
        </w:tc>
      </w:tr>
      <w:tr w:rsidR="0057778C" w:rsidRPr="00127DCE" w14:paraId="6FA8AEFF" w14:textId="77777777" w:rsidTr="0057778C">
        <w:trPr>
          <w:trHeight w:hRule="exact" w:val="454"/>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6B2896D1" w14:textId="77777777" w:rsidR="0057778C" w:rsidRPr="00127DCE" w:rsidRDefault="0057778C" w:rsidP="00312E88">
            <w:pPr>
              <w:rPr>
                <w:rFonts w:cs="Arial"/>
                <w:color w:val="000000"/>
                <w:sz w:val="16"/>
                <w:szCs w:val="16"/>
              </w:rPr>
            </w:pPr>
            <w:r w:rsidRPr="00127DCE">
              <w:rPr>
                <w:rFonts w:cs="Arial"/>
                <w:color w:val="000000"/>
                <w:sz w:val="16"/>
                <w:szCs w:val="16"/>
              </w:rPr>
              <w:t>Actual average participant payments compared with AFSR</w:t>
            </w:r>
          </w:p>
        </w:tc>
        <w:tc>
          <w:tcPr>
            <w:tcW w:w="380" w:type="pct"/>
            <w:tcBorders>
              <w:top w:val="nil"/>
              <w:left w:val="nil"/>
              <w:bottom w:val="single" w:sz="4" w:space="0" w:color="auto"/>
              <w:right w:val="nil"/>
            </w:tcBorders>
            <w:shd w:val="clear" w:color="000000" w:fill="BFBFBF"/>
            <w:noWrap/>
            <w:vAlign w:val="center"/>
            <w:hideMark/>
          </w:tcPr>
          <w:p w14:paraId="0F2ECCD6"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FFE699"/>
            <w:noWrap/>
            <w:vAlign w:val="center"/>
            <w:hideMark/>
          </w:tcPr>
          <w:p w14:paraId="1174D96E" w14:textId="77777777" w:rsidR="0057778C" w:rsidRPr="00127DCE" w:rsidRDefault="0057778C" w:rsidP="00312E88">
            <w:pPr>
              <w:jc w:val="center"/>
              <w:rPr>
                <w:rFonts w:cs="Arial"/>
                <w:color w:val="000000"/>
                <w:sz w:val="16"/>
                <w:szCs w:val="16"/>
              </w:rPr>
            </w:pPr>
            <w:r w:rsidRPr="00127DCE">
              <w:rPr>
                <w:rFonts w:cs="Arial"/>
                <w:color w:val="000000"/>
                <w:sz w:val="16"/>
                <w:szCs w:val="16"/>
              </w:rPr>
              <w:t>3,200</w:t>
            </w:r>
          </w:p>
        </w:tc>
        <w:tc>
          <w:tcPr>
            <w:tcW w:w="380" w:type="pct"/>
            <w:tcBorders>
              <w:top w:val="nil"/>
              <w:left w:val="nil"/>
              <w:bottom w:val="single" w:sz="4" w:space="0" w:color="auto"/>
              <w:right w:val="nil"/>
            </w:tcBorders>
            <w:shd w:val="clear" w:color="000000" w:fill="FFE699"/>
            <w:noWrap/>
            <w:vAlign w:val="center"/>
            <w:hideMark/>
          </w:tcPr>
          <w:p w14:paraId="4AC60077" w14:textId="77777777" w:rsidR="0057778C" w:rsidRPr="00127DCE" w:rsidRDefault="0057778C" w:rsidP="00312E88">
            <w:pPr>
              <w:jc w:val="center"/>
              <w:rPr>
                <w:rFonts w:cs="Arial"/>
                <w:color w:val="000000"/>
                <w:sz w:val="16"/>
                <w:szCs w:val="16"/>
              </w:rPr>
            </w:pPr>
            <w:r w:rsidRPr="00127DCE">
              <w:rPr>
                <w:rFonts w:cs="Arial"/>
                <w:color w:val="000000"/>
                <w:sz w:val="16"/>
                <w:szCs w:val="16"/>
              </w:rPr>
              <w:t>-200</w:t>
            </w:r>
          </w:p>
        </w:tc>
        <w:tc>
          <w:tcPr>
            <w:tcW w:w="378" w:type="pct"/>
            <w:tcBorders>
              <w:top w:val="nil"/>
              <w:left w:val="single" w:sz="4" w:space="0" w:color="auto"/>
              <w:bottom w:val="single" w:sz="4" w:space="0" w:color="auto"/>
              <w:right w:val="single" w:sz="4" w:space="0" w:color="auto"/>
            </w:tcBorders>
            <w:shd w:val="clear" w:color="000000" w:fill="FFE699"/>
            <w:noWrap/>
            <w:vAlign w:val="center"/>
            <w:hideMark/>
          </w:tcPr>
          <w:p w14:paraId="290CB537" w14:textId="77777777" w:rsidR="0057778C" w:rsidRPr="00127DCE" w:rsidRDefault="0057778C" w:rsidP="00312E88">
            <w:pPr>
              <w:jc w:val="center"/>
              <w:rPr>
                <w:rFonts w:cs="Arial"/>
                <w:color w:val="000000"/>
                <w:sz w:val="16"/>
                <w:szCs w:val="16"/>
              </w:rPr>
            </w:pPr>
            <w:r w:rsidRPr="00127DCE">
              <w:rPr>
                <w:rFonts w:cs="Arial"/>
                <w:color w:val="000000"/>
                <w:sz w:val="16"/>
                <w:szCs w:val="16"/>
              </w:rPr>
              <w:t>3,400</w:t>
            </w:r>
          </w:p>
        </w:tc>
        <w:tc>
          <w:tcPr>
            <w:tcW w:w="380" w:type="pct"/>
            <w:tcBorders>
              <w:top w:val="nil"/>
              <w:left w:val="nil"/>
              <w:bottom w:val="single" w:sz="4" w:space="0" w:color="auto"/>
              <w:right w:val="nil"/>
            </w:tcBorders>
            <w:shd w:val="clear" w:color="000000" w:fill="BFBFBF"/>
            <w:noWrap/>
            <w:vAlign w:val="center"/>
            <w:hideMark/>
          </w:tcPr>
          <w:p w14:paraId="6790CC9B"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BFBFBF"/>
            <w:noWrap/>
            <w:vAlign w:val="center"/>
            <w:hideMark/>
          </w:tcPr>
          <w:p w14:paraId="3906370B"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3" w:type="pct"/>
            <w:tcBorders>
              <w:top w:val="nil"/>
              <w:left w:val="nil"/>
              <w:bottom w:val="single" w:sz="4" w:space="0" w:color="auto"/>
              <w:right w:val="nil"/>
            </w:tcBorders>
            <w:shd w:val="clear" w:color="000000" w:fill="BFBFBF"/>
            <w:noWrap/>
            <w:vAlign w:val="center"/>
            <w:hideMark/>
          </w:tcPr>
          <w:p w14:paraId="3E7A6794"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c>
          <w:tcPr>
            <w:tcW w:w="380" w:type="pct"/>
            <w:tcBorders>
              <w:top w:val="nil"/>
              <w:left w:val="nil"/>
              <w:bottom w:val="single" w:sz="4" w:space="0" w:color="auto"/>
              <w:right w:val="single" w:sz="4" w:space="0" w:color="auto"/>
            </w:tcBorders>
            <w:shd w:val="clear" w:color="000000" w:fill="BFBFBF"/>
            <w:noWrap/>
            <w:vAlign w:val="center"/>
            <w:hideMark/>
          </w:tcPr>
          <w:p w14:paraId="78E476A6" w14:textId="77777777" w:rsidR="0057778C" w:rsidRPr="00127DCE" w:rsidRDefault="0057778C" w:rsidP="00312E88">
            <w:pPr>
              <w:jc w:val="center"/>
              <w:rPr>
                <w:rFonts w:cs="Arial"/>
                <w:color w:val="000000"/>
                <w:sz w:val="16"/>
                <w:szCs w:val="16"/>
              </w:rPr>
            </w:pPr>
            <w:r w:rsidRPr="00127DCE">
              <w:rPr>
                <w:rFonts w:cs="Arial"/>
                <w:color w:val="000000"/>
                <w:sz w:val="16"/>
                <w:szCs w:val="16"/>
              </w:rPr>
              <w:t> </w:t>
            </w:r>
          </w:p>
        </w:tc>
      </w:tr>
    </w:tbl>
    <w:p w14:paraId="14F1E3BC" w14:textId="79DEABE7" w:rsidR="00211344" w:rsidRDefault="00211344" w:rsidP="00BC1282">
      <w:pPr>
        <w:pStyle w:val="FSRnormal"/>
      </w:pPr>
    </w:p>
    <w:p w14:paraId="51F5A7EF" w14:textId="2D87B71F" w:rsidR="00211344" w:rsidRDefault="00211344" w:rsidP="00BC1282">
      <w:pPr>
        <w:pStyle w:val="Tables"/>
      </w:pPr>
      <w:r w:rsidRPr="002735DF">
        <w:t xml:space="preserve">Table </w:t>
      </w:r>
      <w:fldSimple w:instr=" SEQ Table \* ARABIC ">
        <w:r w:rsidR="00E50032">
          <w:rPr>
            <w:noProof/>
          </w:rPr>
          <w:t>69</w:t>
        </w:r>
      </w:fldSimple>
      <w:r w:rsidRPr="002735DF">
        <w:t xml:space="preserve"> </w:t>
      </w:r>
      <w:r>
        <w:t>Previous AFSR projections – average participant payments (SIL)</w:t>
      </w:r>
    </w:p>
    <w:tbl>
      <w:tblPr>
        <w:tblW w:w="5000" w:type="pct"/>
        <w:tblLook w:val="04A0" w:firstRow="1" w:lastRow="0" w:firstColumn="1" w:lastColumn="0" w:noHBand="0" w:noVBand="1"/>
      </w:tblPr>
      <w:tblGrid>
        <w:gridCol w:w="3176"/>
        <w:gridCol w:w="730"/>
        <w:gridCol w:w="730"/>
        <w:gridCol w:w="730"/>
        <w:gridCol w:w="730"/>
        <w:gridCol w:w="730"/>
        <w:gridCol w:w="730"/>
        <w:gridCol w:w="730"/>
        <w:gridCol w:w="730"/>
      </w:tblGrid>
      <w:tr w:rsidR="006D054E" w:rsidRPr="00A95278" w14:paraId="44FAC102" w14:textId="77777777" w:rsidTr="00312E88">
        <w:trPr>
          <w:trHeight w:val="450"/>
          <w:tblHeader/>
        </w:trPr>
        <w:tc>
          <w:tcPr>
            <w:tcW w:w="1952" w:type="pct"/>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7A24D510" w14:textId="77777777" w:rsidR="006D054E" w:rsidRPr="00DC78FE" w:rsidRDefault="006D054E" w:rsidP="00312E88">
            <w:pPr>
              <w:rPr>
                <w:rFonts w:cs="Arial"/>
                <w:b/>
                <w:bCs/>
                <w:color w:val="FFFFFF"/>
                <w:sz w:val="14"/>
                <w:szCs w:val="14"/>
              </w:rPr>
            </w:pPr>
            <w:r w:rsidRPr="00DC78FE">
              <w:rPr>
                <w:rFonts w:cs="Arial"/>
                <w:b/>
                <w:bCs/>
                <w:color w:val="FFFFFF"/>
                <w:sz w:val="14"/>
                <w:szCs w:val="14"/>
              </w:rPr>
              <w:t>Average participant payments (SIL)</w:t>
            </w:r>
          </w:p>
        </w:tc>
        <w:tc>
          <w:tcPr>
            <w:tcW w:w="380" w:type="pct"/>
            <w:tcBorders>
              <w:top w:val="single" w:sz="4" w:space="0" w:color="auto"/>
              <w:left w:val="nil"/>
              <w:bottom w:val="single" w:sz="4" w:space="0" w:color="auto"/>
              <w:right w:val="nil"/>
            </w:tcBorders>
            <w:shd w:val="clear" w:color="000000" w:fill="6B2976"/>
            <w:noWrap/>
            <w:vAlign w:val="center"/>
            <w:hideMark/>
          </w:tcPr>
          <w:p w14:paraId="720EB315" w14:textId="77777777" w:rsidR="006D054E" w:rsidRPr="00DC78FE" w:rsidRDefault="006D054E" w:rsidP="00312E88">
            <w:pPr>
              <w:jc w:val="center"/>
              <w:rPr>
                <w:rFonts w:cs="Arial"/>
                <w:b/>
                <w:bCs/>
                <w:color w:val="FFFFFF"/>
                <w:sz w:val="14"/>
                <w:szCs w:val="14"/>
              </w:rPr>
            </w:pPr>
            <w:r w:rsidRPr="00DC78FE">
              <w:rPr>
                <w:rFonts w:cs="Arial"/>
                <w:b/>
                <w:bCs/>
                <w:color w:val="FFFFFF"/>
                <w:sz w:val="14"/>
                <w:szCs w:val="14"/>
              </w:rPr>
              <w:t>2017-18</w:t>
            </w:r>
          </w:p>
        </w:tc>
        <w:tc>
          <w:tcPr>
            <w:tcW w:w="383" w:type="pct"/>
            <w:tcBorders>
              <w:top w:val="single" w:sz="4" w:space="0" w:color="auto"/>
              <w:left w:val="nil"/>
              <w:bottom w:val="single" w:sz="4" w:space="0" w:color="auto"/>
              <w:right w:val="nil"/>
            </w:tcBorders>
            <w:shd w:val="clear" w:color="000000" w:fill="6B2976"/>
            <w:noWrap/>
            <w:vAlign w:val="center"/>
            <w:hideMark/>
          </w:tcPr>
          <w:p w14:paraId="38F9189A" w14:textId="77777777" w:rsidR="006D054E" w:rsidRPr="00DC78FE" w:rsidRDefault="006D054E" w:rsidP="00312E88">
            <w:pPr>
              <w:jc w:val="center"/>
              <w:rPr>
                <w:rFonts w:cs="Arial"/>
                <w:b/>
                <w:bCs/>
                <w:color w:val="FFFFFF"/>
                <w:sz w:val="14"/>
                <w:szCs w:val="14"/>
              </w:rPr>
            </w:pPr>
            <w:r w:rsidRPr="00DC78FE">
              <w:rPr>
                <w:rFonts w:cs="Arial"/>
                <w:b/>
                <w:bCs/>
                <w:color w:val="FFFFFF"/>
                <w:sz w:val="14"/>
                <w:szCs w:val="14"/>
              </w:rPr>
              <w:t>2018-19</w:t>
            </w:r>
          </w:p>
        </w:tc>
        <w:tc>
          <w:tcPr>
            <w:tcW w:w="380" w:type="pct"/>
            <w:tcBorders>
              <w:top w:val="single" w:sz="4" w:space="0" w:color="auto"/>
              <w:left w:val="nil"/>
              <w:bottom w:val="single" w:sz="4" w:space="0" w:color="auto"/>
              <w:right w:val="nil"/>
            </w:tcBorders>
            <w:shd w:val="clear" w:color="000000" w:fill="6B2976"/>
            <w:noWrap/>
            <w:vAlign w:val="center"/>
            <w:hideMark/>
          </w:tcPr>
          <w:p w14:paraId="47319C0B" w14:textId="77777777" w:rsidR="006D054E" w:rsidRPr="00DC78FE" w:rsidRDefault="006D054E" w:rsidP="00312E88">
            <w:pPr>
              <w:jc w:val="center"/>
              <w:rPr>
                <w:rFonts w:cs="Arial"/>
                <w:b/>
                <w:bCs/>
                <w:color w:val="FFFFFF"/>
                <w:sz w:val="14"/>
                <w:szCs w:val="14"/>
              </w:rPr>
            </w:pPr>
            <w:r w:rsidRPr="00DC78FE">
              <w:rPr>
                <w:rFonts w:cs="Arial"/>
                <w:b/>
                <w:bCs/>
                <w:color w:val="FFFFFF"/>
                <w:sz w:val="14"/>
                <w:szCs w:val="14"/>
              </w:rPr>
              <w:t>2019-20</w:t>
            </w:r>
          </w:p>
        </w:tc>
        <w:tc>
          <w:tcPr>
            <w:tcW w:w="378" w:type="pct"/>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553C3281" w14:textId="77777777" w:rsidR="006D054E" w:rsidRPr="00DC78FE" w:rsidRDefault="006D054E" w:rsidP="00312E88">
            <w:pPr>
              <w:jc w:val="center"/>
              <w:rPr>
                <w:rFonts w:cs="Arial"/>
                <w:b/>
                <w:bCs/>
                <w:color w:val="FFFFFF"/>
                <w:sz w:val="14"/>
                <w:szCs w:val="14"/>
              </w:rPr>
            </w:pPr>
            <w:r w:rsidRPr="00DC78FE">
              <w:rPr>
                <w:rFonts w:cs="Arial"/>
                <w:b/>
                <w:bCs/>
                <w:color w:val="FFFFFF"/>
                <w:sz w:val="14"/>
                <w:szCs w:val="14"/>
              </w:rPr>
              <w:t>2020-21</w:t>
            </w:r>
          </w:p>
        </w:tc>
        <w:tc>
          <w:tcPr>
            <w:tcW w:w="380" w:type="pct"/>
            <w:tcBorders>
              <w:top w:val="single" w:sz="4" w:space="0" w:color="auto"/>
              <w:left w:val="nil"/>
              <w:bottom w:val="single" w:sz="4" w:space="0" w:color="auto"/>
              <w:right w:val="nil"/>
            </w:tcBorders>
            <w:shd w:val="clear" w:color="000000" w:fill="6B2976"/>
            <w:noWrap/>
            <w:vAlign w:val="center"/>
            <w:hideMark/>
          </w:tcPr>
          <w:p w14:paraId="016A56E8" w14:textId="77777777" w:rsidR="006D054E" w:rsidRPr="00DC78FE" w:rsidRDefault="006D054E" w:rsidP="00312E88">
            <w:pPr>
              <w:jc w:val="center"/>
              <w:rPr>
                <w:rFonts w:cs="Arial"/>
                <w:b/>
                <w:bCs/>
                <w:color w:val="FFFFFF"/>
                <w:sz w:val="14"/>
                <w:szCs w:val="14"/>
              </w:rPr>
            </w:pPr>
            <w:r w:rsidRPr="00DC78FE">
              <w:rPr>
                <w:rFonts w:cs="Arial"/>
                <w:b/>
                <w:bCs/>
                <w:color w:val="FFFFFF"/>
                <w:sz w:val="14"/>
                <w:szCs w:val="14"/>
              </w:rPr>
              <w:t>2021-22</w:t>
            </w:r>
          </w:p>
        </w:tc>
        <w:tc>
          <w:tcPr>
            <w:tcW w:w="383" w:type="pct"/>
            <w:tcBorders>
              <w:top w:val="single" w:sz="4" w:space="0" w:color="auto"/>
              <w:left w:val="nil"/>
              <w:bottom w:val="single" w:sz="4" w:space="0" w:color="auto"/>
              <w:right w:val="nil"/>
            </w:tcBorders>
            <w:shd w:val="clear" w:color="000000" w:fill="6B2976"/>
            <w:noWrap/>
            <w:vAlign w:val="center"/>
            <w:hideMark/>
          </w:tcPr>
          <w:p w14:paraId="6794C62A" w14:textId="77777777" w:rsidR="006D054E" w:rsidRPr="00DC78FE" w:rsidRDefault="006D054E" w:rsidP="00312E88">
            <w:pPr>
              <w:jc w:val="center"/>
              <w:rPr>
                <w:rFonts w:cs="Arial"/>
                <w:b/>
                <w:bCs/>
                <w:color w:val="FFFFFF"/>
                <w:sz w:val="14"/>
                <w:szCs w:val="14"/>
              </w:rPr>
            </w:pPr>
            <w:r w:rsidRPr="00DC78FE">
              <w:rPr>
                <w:rFonts w:cs="Arial"/>
                <w:b/>
                <w:bCs/>
                <w:color w:val="FFFFFF"/>
                <w:sz w:val="14"/>
                <w:szCs w:val="14"/>
              </w:rPr>
              <w:t>2022-23</w:t>
            </w:r>
          </w:p>
        </w:tc>
        <w:tc>
          <w:tcPr>
            <w:tcW w:w="383" w:type="pct"/>
            <w:tcBorders>
              <w:top w:val="single" w:sz="4" w:space="0" w:color="auto"/>
              <w:left w:val="nil"/>
              <w:bottom w:val="single" w:sz="4" w:space="0" w:color="auto"/>
              <w:right w:val="nil"/>
            </w:tcBorders>
            <w:shd w:val="clear" w:color="000000" w:fill="6B2976"/>
            <w:noWrap/>
            <w:vAlign w:val="center"/>
            <w:hideMark/>
          </w:tcPr>
          <w:p w14:paraId="518328D4" w14:textId="77777777" w:rsidR="006D054E" w:rsidRPr="00DC78FE" w:rsidRDefault="006D054E" w:rsidP="00312E88">
            <w:pPr>
              <w:jc w:val="center"/>
              <w:rPr>
                <w:rFonts w:cs="Arial"/>
                <w:b/>
                <w:bCs/>
                <w:color w:val="FFFFFF"/>
                <w:sz w:val="14"/>
                <w:szCs w:val="14"/>
              </w:rPr>
            </w:pPr>
            <w:r w:rsidRPr="00DC78FE">
              <w:rPr>
                <w:rFonts w:cs="Arial"/>
                <w:b/>
                <w:bCs/>
                <w:color w:val="FFFFFF"/>
                <w:sz w:val="14"/>
                <w:szCs w:val="14"/>
              </w:rPr>
              <w:t>2023-24</w:t>
            </w:r>
          </w:p>
        </w:tc>
        <w:tc>
          <w:tcPr>
            <w:tcW w:w="380" w:type="pct"/>
            <w:tcBorders>
              <w:top w:val="single" w:sz="4" w:space="0" w:color="auto"/>
              <w:left w:val="nil"/>
              <w:bottom w:val="single" w:sz="4" w:space="0" w:color="auto"/>
              <w:right w:val="single" w:sz="4" w:space="0" w:color="auto"/>
            </w:tcBorders>
            <w:shd w:val="clear" w:color="000000" w:fill="6B2976"/>
            <w:noWrap/>
            <w:vAlign w:val="center"/>
            <w:hideMark/>
          </w:tcPr>
          <w:p w14:paraId="2FC21DB7" w14:textId="77777777" w:rsidR="006D054E" w:rsidRPr="00DC78FE" w:rsidRDefault="006D054E" w:rsidP="00312E88">
            <w:pPr>
              <w:jc w:val="center"/>
              <w:rPr>
                <w:rFonts w:cs="Arial"/>
                <w:b/>
                <w:bCs/>
                <w:color w:val="FFFFFF"/>
                <w:sz w:val="14"/>
                <w:szCs w:val="14"/>
              </w:rPr>
            </w:pPr>
            <w:r w:rsidRPr="00DC78FE">
              <w:rPr>
                <w:rFonts w:cs="Arial"/>
                <w:b/>
                <w:bCs/>
                <w:color w:val="FFFFFF"/>
                <w:sz w:val="14"/>
                <w:szCs w:val="14"/>
              </w:rPr>
              <w:t>2024-25</w:t>
            </w:r>
          </w:p>
        </w:tc>
      </w:tr>
      <w:tr w:rsidR="006D054E" w:rsidRPr="00A95278" w14:paraId="31ADC14C" w14:textId="77777777" w:rsidTr="006D054E">
        <w:trPr>
          <w:trHeight w:hRule="exact" w:val="284"/>
        </w:trPr>
        <w:tc>
          <w:tcPr>
            <w:tcW w:w="1952" w:type="pct"/>
            <w:tcBorders>
              <w:top w:val="nil"/>
              <w:left w:val="single" w:sz="4" w:space="0" w:color="auto"/>
              <w:bottom w:val="single" w:sz="4" w:space="0" w:color="auto"/>
              <w:right w:val="nil"/>
            </w:tcBorders>
            <w:shd w:val="clear" w:color="000000" w:fill="D3C5D7"/>
            <w:noWrap/>
            <w:vAlign w:val="center"/>
            <w:hideMark/>
          </w:tcPr>
          <w:p w14:paraId="62CB4729" w14:textId="77777777" w:rsidR="006D054E" w:rsidRPr="00DC78FE" w:rsidRDefault="006D054E" w:rsidP="00312E88">
            <w:pPr>
              <w:rPr>
                <w:rFonts w:cs="Arial"/>
                <w:b/>
                <w:bCs/>
                <w:color w:val="000000"/>
                <w:sz w:val="14"/>
                <w:szCs w:val="14"/>
              </w:rPr>
            </w:pPr>
            <w:r w:rsidRPr="00DC78FE">
              <w:rPr>
                <w:rFonts w:cs="Arial"/>
                <w:b/>
                <w:bCs/>
                <w:color w:val="000000"/>
                <w:sz w:val="14"/>
                <w:szCs w:val="14"/>
              </w:rPr>
              <w:t>PBS</w:t>
            </w:r>
          </w:p>
        </w:tc>
        <w:tc>
          <w:tcPr>
            <w:tcW w:w="380" w:type="pct"/>
            <w:tcBorders>
              <w:top w:val="nil"/>
              <w:left w:val="nil"/>
              <w:bottom w:val="single" w:sz="4" w:space="0" w:color="auto"/>
              <w:right w:val="nil"/>
            </w:tcBorders>
            <w:shd w:val="clear" w:color="000000" w:fill="D3C5D7"/>
            <w:noWrap/>
            <w:vAlign w:val="center"/>
            <w:hideMark/>
          </w:tcPr>
          <w:p w14:paraId="2B75DD24"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3" w:type="pct"/>
            <w:tcBorders>
              <w:top w:val="nil"/>
              <w:left w:val="nil"/>
              <w:bottom w:val="single" w:sz="4" w:space="0" w:color="auto"/>
              <w:right w:val="nil"/>
            </w:tcBorders>
            <w:shd w:val="clear" w:color="000000" w:fill="D3C5D7"/>
            <w:noWrap/>
            <w:vAlign w:val="center"/>
            <w:hideMark/>
          </w:tcPr>
          <w:p w14:paraId="63B18179"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0" w:type="pct"/>
            <w:tcBorders>
              <w:top w:val="nil"/>
              <w:left w:val="nil"/>
              <w:bottom w:val="single" w:sz="4" w:space="0" w:color="auto"/>
              <w:right w:val="nil"/>
            </w:tcBorders>
            <w:shd w:val="clear" w:color="000000" w:fill="D3C5D7"/>
            <w:noWrap/>
            <w:vAlign w:val="center"/>
            <w:hideMark/>
          </w:tcPr>
          <w:p w14:paraId="2BC0DF2B"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78" w:type="pct"/>
            <w:tcBorders>
              <w:top w:val="nil"/>
              <w:left w:val="nil"/>
              <w:bottom w:val="single" w:sz="4" w:space="0" w:color="auto"/>
              <w:right w:val="nil"/>
            </w:tcBorders>
            <w:shd w:val="clear" w:color="000000" w:fill="D3C5D7"/>
            <w:noWrap/>
            <w:vAlign w:val="center"/>
            <w:hideMark/>
          </w:tcPr>
          <w:p w14:paraId="213E30CA"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0" w:type="pct"/>
            <w:tcBorders>
              <w:top w:val="nil"/>
              <w:left w:val="nil"/>
              <w:bottom w:val="single" w:sz="4" w:space="0" w:color="auto"/>
              <w:right w:val="nil"/>
            </w:tcBorders>
            <w:shd w:val="clear" w:color="000000" w:fill="D3C5D7"/>
            <w:noWrap/>
            <w:vAlign w:val="center"/>
            <w:hideMark/>
          </w:tcPr>
          <w:p w14:paraId="69E289C0"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3" w:type="pct"/>
            <w:tcBorders>
              <w:top w:val="nil"/>
              <w:left w:val="nil"/>
              <w:bottom w:val="single" w:sz="4" w:space="0" w:color="auto"/>
              <w:right w:val="nil"/>
            </w:tcBorders>
            <w:shd w:val="clear" w:color="000000" w:fill="D3C5D7"/>
            <w:noWrap/>
            <w:vAlign w:val="center"/>
            <w:hideMark/>
          </w:tcPr>
          <w:p w14:paraId="32CB78D2"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3" w:type="pct"/>
            <w:tcBorders>
              <w:top w:val="nil"/>
              <w:left w:val="nil"/>
              <w:bottom w:val="single" w:sz="4" w:space="0" w:color="auto"/>
              <w:right w:val="nil"/>
            </w:tcBorders>
            <w:shd w:val="clear" w:color="000000" w:fill="D3C5D7"/>
            <w:noWrap/>
            <w:vAlign w:val="center"/>
            <w:hideMark/>
          </w:tcPr>
          <w:p w14:paraId="42E6E39C"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0" w:type="pct"/>
            <w:tcBorders>
              <w:top w:val="nil"/>
              <w:left w:val="nil"/>
              <w:bottom w:val="single" w:sz="4" w:space="0" w:color="auto"/>
              <w:right w:val="single" w:sz="4" w:space="0" w:color="auto"/>
            </w:tcBorders>
            <w:shd w:val="clear" w:color="000000" w:fill="D3C5D7"/>
            <w:noWrap/>
            <w:vAlign w:val="center"/>
            <w:hideMark/>
          </w:tcPr>
          <w:p w14:paraId="2EB6B0EA"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r>
      <w:tr w:rsidR="006D054E" w:rsidRPr="00A95278" w14:paraId="14540B36" w14:textId="77777777" w:rsidTr="006D054E">
        <w:trPr>
          <w:trHeight w:hRule="exact" w:val="28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71DD549A" w14:textId="77777777" w:rsidR="006D054E" w:rsidRPr="00DC78FE" w:rsidRDefault="006D054E" w:rsidP="00312E88">
            <w:pPr>
              <w:rPr>
                <w:rFonts w:cs="Arial"/>
                <w:color w:val="000000"/>
                <w:sz w:val="14"/>
                <w:szCs w:val="14"/>
              </w:rPr>
            </w:pPr>
            <w:r w:rsidRPr="00DC78FE">
              <w:rPr>
                <w:rFonts w:cs="Arial"/>
                <w:color w:val="000000"/>
                <w:sz w:val="14"/>
                <w:szCs w:val="14"/>
              </w:rPr>
              <w:t>Portfolio Budget Statements 2021-22</w:t>
            </w:r>
          </w:p>
        </w:tc>
        <w:tc>
          <w:tcPr>
            <w:tcW w:w="380" w:type="pct"/>
            <w:tcBorders>
              <w:top w:val="nil"/>
              <w:left w:val="nil"/>
              <w:bottom w:val="single" w:sz="4" w:space="0" w:color="auto"/>
              <w:right w:val="nil"/>
            </w:tcBorders>
            <w:shd w:val="clear" w:color="000000" w:fill="BFBFBF"/>
            <w:noWrap/>
            <w:vAlign w:val="center"/>
            <w:hideMark/>
          </w:tcPr>
          <w:p w14:paraId="53038989"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BFBFBF"/>
            <w:noWrap/>
            <w:vAlign w:val="center"/>
            <w:hideMark/>
          </w:tcPr>
          <w:p w14:paraId="49C034B2"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0" w:type="pct"/>
            <w:tcBorders>
              <w:top w:val="nil"/>
              <w:left w:val="nil"/>
              <w:bottom w:val="single" w:sz="4" w:space="0" w:color="auto"/>
              <w:right w:val="nil"/>
            </w:tcBorders>
            <w:shd w:val="clear" w:color="000000" w:fill="BFBFBF"/>
            <w:noWrap/>
            <w:vAlign w:val="center"/>
            <w:hideMark/>
          </w:tcPr>
          <w:p w14:paraId="6DB26807"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78" w:type="pct"/>
            <w:tcBorders>
              <w:top w:val="nil"/>
              <w:left w:val="single" w:sz="4" w:space="0" w:color="auto"/>
              <w:bottom w:val="single" w:sz="4" w:space="0" w:color="auto"/>
              <w:right w:val="single" w:sz="4" w:space="0" w:color="auto"/>
            </w:tcBorders>
            <w:shd w:val="clear" w:color="000000" w:fill="BFBFBF"/>
            <w:noWrap/>
            <w:vAlign w:val="center"/>
            <w:hideMark/>
          </w:tcPr>
          <w:p w14:paraId="704DCCCD"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0" w:type="pct"/>
            <w:tcBorders>
              <w:top w:val="nil"/>
              <w:left w:val="nil"/>
              <w:bottom w:val="single" w:sz="4" w:space="0" w:color="auto"/>
              <w:right w:val="nil"/>
            </w:tcBorders>
            <w:shd w:val="clear" w:color="auto" w:fill="auto"/>
            <w:noWrap/>
            <w:vAlign w:val="center"/>
            <w:hideMark/>
          </w:tcPr>
          <w:p w14:paraId="73B6C2D7" w14:textId="77777777" w:rsidR="006D054E" w:rsidRPr="00DC78FE" w:rsidRDefault="006D054E" w:rsidP="00312E88">
            <w:pPr>
              <w:jc w:val="center"/>
              <w:rPr>
                <w:rFonts w:cs="Arial"/>
                <w:color w:val="000000"/>
                <w:sz w:val="14"/>
                <w:szCs w:val="14"/>
              </w:rPr>
            </w:pPr>
            <w:r w:rsidRPr="00DC78FE">
              <w:rPr>
                <w:rFonts w:cs="Arial"/>
                <w:color w:val="000000"/>
                <w:sz w:val="14"/>
                <w:szCs w:val="14"/>
              </w:rPr>
              <w:t>292,700</w:t>
            </w:r>
          </w:p>
        </w:tc>
        <w:tc>
          <w:tcPr>
            <w:tcW w:w="383" w:type="pct"/>
            <w:tcBorders>
              <w:top w:val="nil"/>
              <w:left w:val="nil"/>
              <w:bottom w:val="single" w:sz="4" w:space="0" w:color="auto"/>
              <w:right w:val="nil"/>
            </w:tcBorders>
            <w:shd w:val="clear" w:color="auto" w:fill="auto"/>
            <w:noWrap/>
            <w:vAlign w:val="center"/>
            <w:hideMark/>
          </w:tcPr>
          <w:p w14:paraId="455DA160" w14:textId="77777777" w:rsidR="006D054E" w:rsidRPr="00DC78FE" w:rsidRDefault="006D054E" w:rsidP="00312E88">
            <w:pPr>
              <w:jc w:val="center"/>
              <w:rPr>
                <w:rFonts w:cs="Arial"/>
                <w:color w:val="000000"/>
                <w:sz w:val="14"/>
                <w:szCs w:val="14"/>
              </w:rPr>
            </w:pPr>
            <w:r w:rsidRPr="00DC78FE">
              <w:rPr>
                <w:rFonts w:cs="Arial"/>
                <w:color w:val="000000"/>
                <w:sz w:val="14"/>
                <w:szCs w:val="14"/>
              </w:rPr>
              <w:t>282,000</w:t>
            </w:r>
          </w:p>
        </w:tc>
        <w:tc>
          <w:tcPr>
            <w:tcW w:w="383" w:type="pct"/>
            <w:tcBorders>
              <w:top w:val="nil"/>
              <w:left w:val="nil"/>
              <w:bottom w:val="single" w:sz="4" w:space="0" w:color="auto"/>
              <w:right w:val="nil"/>
            </w:tcBorders>
            <w:shd w:val="clear" w:color="auto" w:fill="auto"/>
            <w:noWrap/>
            <w:vAlign w:val="center"/>
            <w:hideMark/>
          </w:tcPr>
          <w:p w14:paraId="3404AFAD" w14:textId="77777777" w:rsidR="006D054E" w:rsidRPr="00DC78FE" w:rsidRDefault="006D054E" w:rsidP="00312E88">
            <w:pPr>
              <w:jc w:val="center"/>
              <w:rPr>
                <w:rFonts w:cs="Arial"/>
                <w:color w:val="000000"/>
                <w:sz w:val="14"/>
                <w:szCs w:val="14"/>
              </w:rPr>
            </w:pPr>
            <w:r w:rsidRPr="00DC78FE">
              <w:rPr>
                <w:rFonts w:cs="Arial"/>
                <w:color w:val="000000"/>
                <w:sz w:val="14"/>
                <w:szCs w:val="14"/>
              </w:rPr>
              <w:t>290,000</w:t>
            </w:r>
          </w:p>
        </w:tc>
        <w:tc>
          <w:tcPr>
            <w:tcW w:w="380" w:type="pct"/>
            <w:tcBorders>
              <w:top w:val="nil"/>
              <w:left w:val="nil"/>
              <w:bottom w:val="single" w:sz="4" w:space="0" w:color="auto"/>
              <w:right w:val="single" w:sz="4" w:space="0" w:color="auto"/>
            </w:tcBorders>
            <w:shd w:val="clear" w:color="auto" w:fill="auto"/>
            <w:noWrap/>
            <w:vAlign w:val="center"/>
            <w:hideMark/>
          </w:tcPr>
          <w:p w14:paraId="32D4447C" w14:textId="77777777" w:rsidR="006D054E" w:rsidRPr="00DC78FE" w:rsidRDefault="006D054E" w:rsidP="00312E88">
            <w:pPr>
              <w:jc w:val="center"/>
              <w:rPr>
                <w:rFonts w:cs="Arial"/>
                <w:color w:val="000000"/>
                <w:sz w:val="14"/>
                <w:szCs w:val="14"/>
              </w:rPr>
            </w:pPr>
            <w:r w:rsidRPr="00DC78FE">
              <w:rPr>
                <w:rFonts w:cs="Arial"/>
                <w:color w:val="000000"/>
                <w:sz w:val="14"/>
                <w:szCs w:val="14"/>
              </w:rPr>
              <w:t>307,600</w:t>
            </w:r>
          </w:p>
        </w:tc>
      </w:tr>
      <w:tr w:rsidR="006D054E" w:rsidRPr="00A95278" w14:paraId="7A59B94A" w14:textId="77777777" w:rsidTr="006D054E">
        <w:trPr>
          <w:trHeight w:hRule="exact" w:val="284"/>
        </w:trPr>
        <w:tc>
          <w:tcPr>
            <w:tcW w:w="1952" w:type="pct"/>
            <w:tcBorders>
              <w:top w:val="nil"/>
              <w:left w:val="single" w:sz="4" w:space="0" w:color="auto"/>
              <w:bottom w:val="single" w:sz="4" w:space="0" w:color="auto"/>
              <w:right w:val="nil"/>
            </w:tcBorders>
            <w:shd w:val="clear" w:color="000000" w:fill="D3C5D7"/>
            <w:noWrap/>
            <w:vAlign w:val="center"/>
            <w:hideMark/>
          </w:tcPr>
          <w:p w14:paraId="773ED900" w14:textId="77777777" w:rsidR="006D054E" w:rsidRPr="00DC78FE" w:rsidRDefault="006D054E" w:rsidP="00312E88">
            <w:pPr>
              <w:rPr>
                <w:rFonts w:cs="Arial"/>
                <w:b/>
                <w:bCs/>
                <w:color w:val="000000"/>
                <w:sz w:val="14"/>
                <w:szCs w:val="14"/>
              </w:rPr>
            </w:pPr>
            <w:r w:rsidRPr="00DC78FE">
              <w:rPr>
                <w:rFonts w:cs="Arial"/>
                <w:b/>
                <w:bCs/>
                <w:color w:val="000000"/>
                <w:sz w:val="14"/>
                <w:szCs w:val="14"/>
              </w:rPr>
              <w:t>AFSR</w:t>
            </w:r>
          </w:p>
        </w:tc>
        <w:tc>
          <w:tcPr>
            <w:tcW w:w="380" w:type="pct"/>
            <w:tcBorders>
              <w:top w:val="nil"/>
              <w:left w:val="nil"/>
              <w:bottom w:val="single" w:sz="4" w:space="0" w:color="auto"/>
              <w:right w:val="nil"/>
            </w:tcBorders>
            <w:shd w:val="clear" w:color="000000" w:fill="D3C5D7"/>
            <w:noWrap/>
            <w:vAlign w:val="center"/>
            <w:hideMark/>
          </w:tcPr>
          <w:p w14:paraId="4117D2A8"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3" w:type="pct"/>
            <w:tcBorders>
              <w:top w:val="nil"/>
              <w:left w:val="nil"/>
              <w:bottom w:val="single" w:sz="4" w:space="0" w:color="auto"/>
              <w:right w:val="nil"/>
            </w:tcBorders>
            <w:shd w:val="clear" w:color="000000" w:fill="D3C5D7"/>
            <w:noWrap/>
            <w:vAlign w:val="center"/>
            <w:hideMark/>
          </w:tcPr>
          <w:p w14:paraId="49F94209"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0" w:type="pct"/>
            <w:tcBorders>
              <w:top w:val="nil"/>
              <w:left w:val="nil"/>
              <w:bottom w:val="single" w:sz="4" w:space="0" w:color="auto"/>
              <w:right w:val="nil"/>
            </w:tcBorders>
            <w:shd w:val="clear" w:color="000000" w:fill="D3C5D7"/>
            <w:noWrap/>
            <w:vAlign w:val="center"/>
            <w:hideMark/>
          </w:tcPr>
          <w:p w14:paraId="7A672649"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78" w:type="pct"/>
            <w:tcBorders>
              <w:top w:val="nil"/>
              <w:left w:val="nil"/>
              <w:bottom w:val="single" w:sz="4" w:space="0" w:color="auto"/>
              <w:right w:val="nil"/>
            </w:tcBorders>
            <w:shd w:val="clear" w:color="000000" w:fill="D3C5D7"/>
            <w:noWrap/>
            <w:vAlign w:val="center"/>
            <w:hideMark/>
          </w:tcPr>
          <w:p w14:paraId="6234C89C"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0" w:type="pct"/>
            <w:tcBorders>
              <w:top w:val="nil"/>
              <w:left w:val="nil"/>
              <w:bottom w:val="single" w:sz="4" w:space="0" w:color="auto"/>
              <w:right w:val="nil"/>
            </w:tcBorders>
            <w:shd w:val="clear" w:color="000000" w:fill="D3C5D7"/>
            <w:noWrap/>
            <w:vAlign w:val="center"/>
            <w:hideMark/>
          </w:tcPr>
          <w:p w14:paraId="1E00FFE3"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3" w:type="pct"/>
            <w:tcBorders>
              <w:top w:val="nil"/>
              <w:left w:val="nil"/>
              <w:bottom w:val="single" w:sz="4" w:space="0" w:color="auto"/>
              <w:right w:val="nil"/>
            </w:tcBorders>
            <w:shd w:val="clear" w:color="000000" w:fill="D3C5D7"/>
            <w:noWrap/>
            <w:vAlign w:val="center"/>
            <w:hideMark/>
          </w:tcPr>
          <w:p w14:paraId="27655A91"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3" w:type="pct"/>
            <w:tcBorders>
              <w:top w:val="nil"/>
              <w:left w:val="nil"/>
              <w:bottom w:val="single" w:sz="4" w:space="0" w:color="auto"/>
              <w:right w:val="nil"/>
            </w:tcBorders>
            <w:shd w:val="clear" w:color="000000" w:fill="D3C5D7"/>
            <w:noWrap/>
            <w:vAlign w:val="center"/>
            <w:hideMark/>
          </w:tcPr>
          <w:p w14:paraId="765041DE"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0" w:type="pct"/>
            <w:tcBorders>
              <w:top w:val="nil"/>
              <w:left w:val="nil"/>
              <w:bottom w:val="single" w:sz="4" w:space="0" w:color="auto"/>
              <w:right w:val="single" w:sz="4" w:space="0" w:color="auto"/>
            </w:tcBorders>
            <w:shd w:val="clear" w:color="000000" w:fill="D3C5D7"/>
            <w:noWrap/>
            <w:vAlign w:val="center"/>
            <w:hideMark/>
          </w:tcPr>
          <w:p w14:paraId="7FFBCFA4"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r>
      <w:tr w:rsidR="006D054E" w:rsidRPr="00A95278" w14:paraId="4A90AA2F" w14:textId="77777777" w:rsidTr="006D054E">
        <w:trPr>
          <w:trHeight w:hRule="exact" w:val="28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5F264FAE" w14:textId="77777777" w:rsidR="006D054E" w:rsidRPr="00DC78FE" w:rsidRDefault="006D054E" w:rsidP="00312E88">
            <w:pPr>
              <w:rPr>
                <w:rFonts w:cs="Arial"/>
                <w:color w:val="000000"/>
                <w:sz w:val="14"/>
                <w:szCs w:val="14"/>
              </w:rPr>
            </w:pPr>
            <w:r w:rsidRPr="00DC78FE">
              <w:rPr>
                <w:rFonts w:cs="Arial"/>
                <w:color w:val="000000"/>
                <w:sz w:val="14"/>
                <w:szCs w:val="14"/>
              </w:rPr>
              <w:t>30 June 2021 AFSR projection</w:t>
            </w:r>
          </w:p>
        </w:tc>
        <w:tc>
          <w:tcPr>
            <w:tcW w:w="380" w:type="pct"/>
            <w:tcBorders>
              <w:top w:val="nil"/>
              <w:left w:val="nil"/>
              <w:bottom w:val="single" w:sz="4" w:space="0" w:color="auto"/>
              <w:right w:val="nil"/>
            </w:tcBorders>
            <w:shd w:val="clear" w:color="000000" w:fill="BFBFBF"/>
            <w:noWrap/>
            <w:vAlign w:val="center"/>
            <w:hideMark/>
          </w:tcPr>
          <w:p w14:paraId="5BCBB388"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BFBFBF"/>
            <w:noWrap/>
            <w:vAlign w:val="center"/>
            <w:hideMark/>
          </w:tcPr>
          <w:p w14:paraId="30B342C5"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0" w:type="pct"/>
            <w:tcBorders>
              <w:top w:val="nil"/>
              <w:left w:val="nil"/>
              <w:bottom w:val="single" w:sz="4" w:space="0" w:color="auto"/>
              <w:right w:val="nil"/>
            </w:tcBorders>
            <w:shd w:val="clear" w:color="000000" w:fill="BFBFBF"/>
            <w:noWrap/>
            <w:vAlign w:val="center"/>
            <w:hideMark/>
          </w:tcPr>
          <w:p w14:paraId="68155BA7"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78" w:type="pct"/>
            <w:tcBorders>
              <w:top w:val="nil"/>
              <w:left w:val="single" w:sz="4" w:space="0" w:color="auto"/>
              <w:bottom w:val="single" w:sz="4" w:space="0" w:color="auto"/>
              <w:right w:val="single" w:sz="4" w:space="0" w:color="auto"/>
            </w:tcBorders>
            <w:shd w:val="clear" w:color="000000" w:fill="BFBFBF"/>
            <w:noWrap/>
            <w:vAlign w:val="center"/>
            <w:hideMark/>
          </w:tcPr>
          <w:p w14:paraId="1669F894"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0" w:type="pct"/>
            <w:tcBorders>
              <w:top w:val="nil"/>
              <w:left w:val="nil"/>
              <w:bottom w:val="single" w:sz="4" w:space="0" w:color="auto"/>
              <w:right w:val="nil"/>
            </w:tcBorders>
            <w:shd w:val="clear" w:color="auto" w:fill="auto"/>
            <w:noWrap/>
            <w:vAlign w:val="center"/>
            <w:hideMark/>
          </w:tcPr>
          <w:p w14:paraId="7A71F03F" w14:textId="77777777" w:rsidR="006D054E" w:rsidRPr="00DC78FE" w:rsidRDefault="006D054E" w:rsidP="00312E88">
            <w:pPr>
              <w:jc w:val="center"/>
              <w:rPr>
                <w:rFonts w:cs="Arial"/>
                <w:color w:val="000000"/>
                <w:sz w:val="14"/>
                <w:szCs w:val="14"/>
              </w:rPr>
            </w:pPr>
            <w:r w:rsidRPr="00DC78FE">
              <w:rPr>
                <w:rFonts w:cs="Arial"/>
                <w:color w:val="000000"/>
                <w:sz w:val="14"/>
                <w:szCs w:val="14"/>
              </w:rPr>
              <w:t>347,700</w:t>
            </w:r>
          </w:p>
        </w:tc>
        <w:tc>
          <w:tcPr>
            <w:tcW w:w="383" w:type="pct"/>
            <w:tcBorders>
              <w:top w:val="nil"/>
              <w:left w:val="nil"/>
              <w:bottom w:val="single" w:sz="4" w:space="0" w:color="auto"/>
              <w:right w:val="nil"/>
            </w:tcBorders>
            <w:shd w:val="clear" w:color="auto" w:fill="auto"/>
            <w:noWrap/>
            <w:vAlign w:val="center"/>
            <w:hideMark/>
          </w:tcPr>
          <w:p w14:paraId="001AA0B8" w14:textId="77777777" w:rsidR="006D054E" w:rsidRPr="00DC78FE" w:rsidRDefault="006D054E" w:rsidP="00312E88">
            <w:pPr>
              <w:jc w:val="center"/>
              <w:rPr>
                <w:rFonts w:cs="Arial"/>
                <w:color w:val="000000"/>
                <w:sz w:val="14"/>
                <w:szCs w:val="14"/>
              </w:rPr>
            </w:pPr>
            <w:r w:rsidRPr="00DC78FE">
              <w:rPr>
                <w:rFonts w:cs="Arial"/>
                <w:color w:val="000000"/>
                <w:sz w:val="14"/>
                <w:szCs w:val="14"/>
              </w:rPr>
              <w:t>360,800</w:t>
            </w:r>
          </w:p>
        </w:tc>
        <w:tc>
          <w:tcPr>
            <w:tcW w:w="383" w:type="pct"/>
            <w:tcBorders>
              <w:top w:val="nil"/>
              <w:left w:val="nil"/>
              <w:bottom w:val="single" w:sz="4" w:space="0" w:color="auto"/>
              <w:right w:val="nil"/>
            </w:tcBorders>
            <w:shd w:val="clear" w:color="auto" w:fill="auto"/>
            <w:noWrap/>
            <w:vAlign w:val="center"/>
            <w:hideMark/>
          </w:tcPr>
          <w:p w14:paraId="189461D4" w14:textId="77777777" w:rsidR="006D054E" w:rsidRPr="00DC78FE" w:rsidRDefault="006D054E" w:rsidP="00312E88">
            <w:pPr>
              <w:jc w:val="center"/>
              <w:rPr>
                <w:rFonts w:cs="Arial"/>
                <w:color w:val="000000"/>
                <w:sz w:val="14"/>
                <w:szCs w:val="14"/>
              </w:rPr>
            </w:pPr>
            <w:r w:rsidRPr="00DC78FE">
              <w:rPr>
                <w:rFonts w:cs="Arial"/>
                <w:color w:val="000000"/>
                <w:sz w:val="14"/>
                <w:szCs w:val="14"/>
              </w:rPr>
              <w:t>373,800</w:t>
            </w:r>
          </w:p>
        </w:tc>
        <w:tc>
          <w:tcPr>
            <w:tcW w:w="380" w:type="pct"/>
            <w:tcBorders>
              <w:top w:val="nil"/>
              <w:left w:val="nil"/>
              <w:bottom w:val="single" w:sz="4" w:space="0" w:color="auto"/>
              <w:right w:val="single" w:sz="4" w:space="0" w:color="auto"/>
            </w:tcBorders>
            <w:shd w:val="clear" w:color="auto" w:fill="auto"/>
            <w:noWrap/>
            <w:vAlign w:val="center"/>
            <w:hideMark/>
          </w:tcPr>
          <w:p w14:paraId="0F79B13A" w14:textId="77777777" w:rsidR="006D054E" w:rsidRPr="00DC78FE" w:rsidRDefault="006D054E" w:rsidP="00312E88">
            <w:pPr>
              <w:jc w:val="center"/>
              <w:rPr>
                <w:rFonts w:cs="Arial"/>
                <w:color w:val="000000"/>
                <w:sz w:val="14"/>
                <w:szCs w:val="14"/>
              </w:rPr>
            </w:pPr>
            <w:r w:rsidRPr="00DC78FE">
              <w:rPr>
                <w:rFonts w:cs="Arial"/>
                <w:color w:val="000000"/>
                <w:sz w:val="14"/>
                <w:szCs w:val="14"/>
              </w:rPr>
              <w:t>386,700</w:t>
            </w:r>
          </w:p>
        </w:tc>
      </w:tr>
      <w:tr w:rsidR="006D054E" w:rsidRPr="00A95278" w14:paraId="4792A20F" w14:textId="77777777" w:rsidTr="006D054E">
        <w:trPr>
          <w:trHeight w:hRule="exact" w:val="28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2ADDAE3D" w14:textId="77777777" w:rsidR="006D054E" w:rsidRPr="00DC78FE" w:rsidRDefault="006D054E" w:rsidP="00312E88">
            <w:pPr>
              <w:rPr>
                <w:rFonts w:cs="Arial"/>
                <w:color w:val="000000"/>
                <w:sz w:val="14"/>
                <w:szCs w:val="14"/>
              </w:rPr>
            </w:pPr>
            <w:r w:rsidRPr="00DC78FE">
              <w:rPr>
                <w:rFonts w:cs="Arial"/>
                <w:color w:val="000000"/>
                <w:sz w:val="14"/>
                <w:szCs w:val="14"/>
              </w:rPr>
              <w:t>31 December 2020 AFSR projection</w:t>
            </w:r>
          </w:p>
        </w:tc>
        <w:tc>
          <w:tcPr>
            <w:tcW w:w="380" w:type="pct"/>
            <w:tcBorders>
              <w:top w:val="nil"/>
              <w:left w:val="nil"/>
              <w:bottom w:val="single" w:sz="4" w:space="0" w:color="auto"/>
              <w:right w:val="nil"/>
            </w:tcBorders>
            <w:shd w:val="clear" w:color="000000" w:fill="BFBFBF"/>
            <w:noWrap/>
            <w:vAlign w:val="center"/>
            <w:hideMark/>
          </w:tcPr>
          <w:p w14:paraId="15722C0F"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BFBFBF"/>
            <w:noWrap/>
            <w:vAlign w:val="center"/>
            <w:hideMark/>
          </w:tcPr>
          <w:p w14:paraId="58110361"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0" w:type="pct"/>
            <w:tcBorders>
              <w:top w:val="nil"/>
              <w:left w:val="nil"/>
              <w:bottom w:val="single" w:sz="4" w:space="0" w:color="auto"/>
              <w:right w:val="nil"/>
            </w:tcBorders>
            <w:shd w:val="clear" w:color="000000" w:fill="BFBFBF"/>
            <w:noWrap/>
            <w:vAlign w:val="center"/>
            <w:hideMark/>
          </w:tcPr>
          <w:p w14:paraId="1FBB8877"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78" w:type="pct"/>
            <w:tcBorders>
              <w:top w:val="nil"/>
              <w:left w:val="single" w:sz="4" w:space="0" w:color="auto"/>
              <w:bottom w:val="single" w:sz="4" w:space="0" w:color="auto"/>
              <w:right w:val="single" w:sz="4" w:space="0" w:color="auto"/>
            </w:tcBorders>
            <w:shd w:val="clear" w:color="000000" w:fill="BFBFBF"/>
            <w:noWrap/>
            <w:vAlign w:val="center"/>
            <w:hideMark/>
          </w:tcPr>
          <w:p w14:paraId="786F0A1B"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0" w:type="pct"/>
            <w:tcBorders>
              <w:top w:val="nil"/>
              <w:left w:val="nil"/>
              <w:bottom w:val="single" w:sz="4" w:space="0" w:color="auto"/>
              <w:right w:val="nil"/>
            </w:tcBorders>
            <w:shd w:val="clear" w:color="auto" w:fill="auto"/>
            <w:noWrap/>
            <w:vAlign w:val="center"/>
            <w:hideMark/>
          </w:tcPr>
          <w:p w14:paraId="56E39595" w14:textId="77777777" w:rsidR="006D054E" w:rsidRPr="00DC78FE" w:rsidRDefault="006D054E" w:rsidP="00312E88">
            <w:pPr>
              <w:jc w:val="center"/>
              <w:rPr>
                <w:rFonts w:cs="Arial"/>
                <w:color w:val="000000"/>
                <w:sz w:val="14"/>
                <w:szCs w:val="14"/>
              </w:rPr>
            </w:pPr>
            <w:r w:rsidRPr="00DC78FE">
              <w:rPr>
                <w:rFonts w:cs="Arial"/>
                <w:color w:val="000000"/>
                <w:sz w:val="14"/>
                <w:szCs w:val="14"/>
              </w:rPr>
              <w:t>345,400</w:t>
            </w:r>
          </w:p>
        </w:tc>
        <w:tc>
          <w:tcPr>
            <w:tcW w:w="383" w:type="pct"/>
            <w:tcBorders>
              <w:top w:val="nil"/>
              <w:left w:val="nil"/>
              <w:bottom w:val="single" w:sz="4" w:space="0" w:color="auto"/>
              <w:right w:val="nil"/>
            </w:tcBorders>
            <w:shd w:val="clear" w:color="auto" w:fill="auto"/>
            <w:noWrap/>
            <w:vAlign w:val="center"/>
            <w:hideMark/>
          </w:tcPr>
          <w:p w14:paraId="73EE64FE" w14:textId="77777777" w:rsidR="006D054E" w:rsidRPr="00DC78FE" w:rsidRDefault="006D054E" w:rsidP="00312E88">
            <w:pPr>
              <w:jc w:val="center"/>
              <w:rPr>
                <w:rFonts w:cs="Arial"/>
                <w:color w:val="000000"/>
                <w:sz w:val="14"/>
                <w:szCs w:val="14"/>
              </w:rPr>
            </w:pPr>
            <w:r w:rsidRPr="00DC78FE">
              <w:rPr>
                <w:rFonts w:cs="Arial"/>
                <w:color w:val="000000"/>
                <w:sz w:val="14"/>
                <w:szCs w:val="14"/>
              </w:rPr>
              <w:t>359,400</w:t>
            </w:r>
          </w:p>
        </w:tc>
        <w:tc>
          <w:tcPr>
            <w:tcW w:w="383" w:type="pct"/>
            <w:tcBorders>
              <w:top w:val="nil"/>
              <w:left w:val="nil"/>
              <w:bottom w:val="single" w:sz="4" w:space="0" w:color="auto"/>
              <w:right w:val="nil"/>
            </w:tcBorders>
            <w:shd w:val="clear" w:color="auto" w:fill="auto"/>
            <w:noWrap/>
            <w:vAlign w:val="center"/>
            <w:hideMark/>
          </w:tcPr>
          <w:p w14:paraId="1BA56BBF" w14:textId="77777777" w:rsidR="006D054E" w:rsidRPr="00DC78FE" w:rsidRDefault="006D054E" w:rsidP="00312E88">
            <w:pPr>
              <w:jc w:val="center"/>
              <w:rPr>
                <w:rFonts w:cs="Arial"/>
                <w:color w:val="000000"/>
                <w:sz w:val="14"/>
                <w:szCs w:val="14"/>
              </w:rPr>
            </w:pPr>
            <w:r w:rsidRPr="00DC78FE">
              <w:rPr>
                <w:rFonts w:cs="Arial"/>
                <w:color w:val="000000"/>
                <w:sz w:val="14"/>
                <w:szCs w:val="14"/>
              </w:rPr>
              <w:t>372,600</w:t>
            </w:r>
          </w:p>
        </w:tc>
        <w:tc>
          <w:tcPr>
            <w:tcW w:w="380" w:type="pct"/>
            <w:tcBorders>
              <w:top w:val="nil"/>
              <w:left w:val="nil"/>
              <w:bottom w:val="single" w:sz="4" w:space="0" w:color="auto"/>
              <w:right w:val="single" w:sz="4" w:space="0" w:color="auto"/>
            </w:tcBorders>
            <w:shd w:val="clear" w:color="auto" w:fill="auto"/>
            <w:noWrap/>
            <w:vAlign w:val="center"/>
            <w:hideMark/>
          </w:tcPr>
          <w:p w14:paraId="34234173" w14:textId="77777777" w:rsidR="006D054E" w:rsidRPr="00DC78FE" w:rsidRDefault="006D054E" w:rsidP="00312E88">
            <w:pPr>
              <w:jc w:val="center"/>
              <w:rPr>
                <w:rFonts w:cs="Arial"/>
                <w:color w:val="000000"/>
                <w:sz w:val="14"/>
                <w:szCs w:val="14"/>
              </w:rPr>
            </w:pPr>
            <w:r w:rsidRPr="00DC78FE">
              <w:rPr>
                <w:rFonts w:cs="Arial"/>
                <w:color w:val="000000"/>
                <w:sz w:val="14"/>
                <w:szCs w:val="14"/>
              </w:rPr>
              <w:t>382,500</w:t>
            </w:r>
          </w:p>
        </w:tc>
      </w:tr>
      <w:tr w:rsidR="006D054E" w:rsidRPr="00A95278" w14:paraId="1AEB7197" w14:textId="77777777" w:rsidTr="006D054E">
        <w:trPr>
          <w:trHeight w:hRule="exact" w:val="28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5F5FE5A6" w14:textId="77777777" w:rsidR="006D054E" w:rsidRPr="00DC78FE" w:rsidRDefault="006D054E" w:rsidP="00312E88">
            <w:pPr>
              <w:rPr>
                <w:rFonts w:cs="Arial"/>
                <w:color w:val="000000"/>
                <w:sz w:val="14"/>
                <w:szCs w:val="14"/>
              </w:rPr>
            </w:pPr>
            <w:r w:rsidRPr="00DC78FE">
              <w:rPr>
                <w:rFonts w:cs="Arial"/>
                <w:color w:val="000000"/>
                <w:sz w:val="14"/>
                <w:szCs w:val="14"/>
              </w:rPr>
              <w:t>30 June 2020 AFSR projection</w:t>
            </w:r>
          </w:p>
        </w:tc>
        <w:tc>
          <w:tcPr>
            <w:tcW w:w="380" w:type="pct"/>
            <w:tcBorders>
              <w:top w:val="nil"/>
              <w:left w:val="nil"/>
              <w:bottom w:val="single" w:sz="4" w:space="0" w:color="auto"/>
              <w:right w:val="nil"/>
            </w:tcBorders>
            <w:shd w:val="clear" w:color="000000" w:fill="BFBFBF"/>
            <w:noWrap/>
            <w:vAlign w:val="center"/>
            <w:hideMark/>
          </w:tcPr>
          <w:p w14:paraId="7CFA0717"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BFBFBF"/>
            <w:noWrap/>
            <w:vAlign w:val="center"/>
            <w:hideMark/>
          </w:tcPr>
          <w:p w14:paraId="1EEEEBE1"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0" w:type="pct"/>
            <w:tcBorders>
              <w:top w:val="nil"/>
              <w:left w:val="nil"/>
              <w:bottom w:val="single" w:sz="4" w:space="0" w:color="auto"/>
              <w:right w:val="nil"/>
            </w:tcBorders>
            <w:shd w:val="clear" w:color="000000" w:fill="BFBFBF"/>
            <w:noWrap/>
            <w:vAlign w:val="center"/>
            <w:hideMark/>
          </w:tcPr>
          <w:p w14:paraId="4EDBC737"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78" w:type="pct"/>
            <w:tcBorders>
              <w:top w:val="nil"/>
              <w:left w:val="single" w:sz="4" w:space="0" w:color="auto"/>
              <w:bottom w:val="single" w:sz="4" w:space="0" w:color="auto"/>
              <w:right w:val="single" w:sz="4" w:space="0" w:color="auto"/>
            </w:tcBorders>
            <w:shd w:val="clear" w:color="000000" w:fill="FFE699"/>
            <w:noWrap/>
            <w:vAlign w:val="center"/>
            <w:hideMark/>
          </w:tcPr>
          <w:p w14:paraId="607676D3" w14:textId="77777777" w:rsidR="006D054E" w:rsidRPr="00DC78FE" w:rsidRDefault="006D054E" w:rsidP="00312E88">
            <w:pPr>
              <w:jc w:val="center"/>
              <w:rPr>
                <w:rFonts w:cs="Arial"/>
                <w:color w:val="000000"/>
                <w:sz w:val="14"/>
                <w:szCs w:val="14"/>
              </w:rPr>
            </w:pPr>
            <w:r w:rsidRPr="00DC78FE">
              <w:rPr>
                <w:rFonts w:cs="Arial"/>
                <w:color w:val="000000"/>
                <w:sz w:val="14"/>
                <w:szCs w:val="14"/>
              </w:rPr>
              <w:t>321,000</w:t>
            </w:r>
          </w:p>
        </w:tc>
        <w:tc>
          <w:tcPr>
            <w:tcW w:w="380" w:type="pct"/>
            <w:tcBorders>
              <w:top w:val="nil"/>
              <w:left w:val="nil"/>
              <w:bottom w:val="single" w:sz="4" w:space="0" w:color="auto"/>
              <w:right w:val="nil"/>
            </w:tcBorders>
            <w:shd w:val="clear" w:color="auto" w:fill="auto"/>
            <w:noWrap/>
            <w:vAlign w:val="center"/>
            <w:hideMark/>
          </w:tcPr>
          <w:p w14:paraId="3BB9616E" w14:textId="77777777" w:rsidR="006D054E" w:rsidRPr="00DC78FE" w:rsidRDefault="006D054E" w:rsidP="00312E88">
            <w:pPr>
              <w:jc w:val="center"/>
              <w:rPr>
                <w:rFonts w:cs="Arial"/>
                <w:color w:val="000000"/>
                <w:sz w:val="14"/>
                <w:szCs w:val="14"/>
              </w:rPr>
            </w:pPr>
            <w:r w:rsidRPr="00DC78FE">
              <w:rPr>
                <w:rFonts w:cs="Arial"/>
                <w:color w:val="000000"/>
                <w:sz w:val="14"/>
                <w:szCs w:val="14"/>
              </w:rPr>
              <w:t>343,900</w:t>
            </w:r>
          </w:p>
        </w:tc>
        <w:tc>
          <w:tcPr>
            <w:tcW w:w="383" w:type="pct"/>
            <w:tcBorders>
              <w:top w:val="nil"/>
              <w:left w:val="nil"/>
              <w:bottom w:val="single" w:sz="4" w:space="0" w:color="auto"/>
              <w:right w:val="nil"/>
            </w:tcBorders>
            <w:shd w:val="clear" w:color="auto" w:fill="auto"/>
            <w:noWrap/>
            <w:vAlign w:val="center"/>
            <w:hideMark/>
          </w:tcPr>
          <w:p w14:paraId="51DB9E90" w14:textId="77777777" w:rsidR="006D054E" w:rsidRPr="00DC78FE" w:rsidRDefault="006D054E" w:rsidP="00312E88">
            <w:pPr>
              <w:jc w:val="center"/>
              <w:rPr>
                <w:rFonts w:cs="Arial"/>
                <w:color w:val="000000"/>
                <w:sz w:val="14"/>
                <w:szCs w:val="14"/>
              </w:rPr>
            </w:pPr>
            <w:r w:rsidRPr="00DC78FE">
              <w:rPr>
                <w:rFonts w:cs="Arial"/>
                <w:color w:val="000000"/>
                <w:sz w:val="14"/>
                <w:szCs w:val="14"/>
              </w:rPr>
              <w:t>359,300</w:t>
            </w:r>
          </w:p>
        </w:tc>
        <w:tc>
          <w:tcPr>
            <w:tcW w:w="383" w:type="pct"/>
            <w:tcBorders>
              <w:top w:val="nil"/>
              <w:left w:val="nil"/>
              <w:bottom w:val="single" w:sz="4" w:space="0" w:color="auto"/>
              <w:right w:val="nil"/>
            </w:tcBorders>
            <w:shd w:val="clear" w:color="auto" w:fill="auto"/>
            <w:noWrap/>
            <w:vAlign w:val="center"/>
            <w:hideMark/>
          </w:tcPr>
          <w:p w14:paraId="715EDFD6" w14:textId="77777777" w:rsidR="006D054E" w:rsidRPr="00DC78FE" w:rsidRDefault="006D054E" w:rsidP="00312E88">
            <w:pPr>
              <w:jc w:val="center"/>
              <w:rPr>
                <w:rFonts w:cs="Arial"/>
                <w:color w:val="000000"/>
                <w:sz w:val="14"/>
                <w:szCs w:val="14"/>
              </w:rPr>
            </w:pPr>
            <w:r w:rsidRPr="00DC78FE">
              <w:rPr>
                <w:rFonts w:cs="Arial"/>
                <w:color w:val="000000"/>
                <w:sz w:val="14"/>
                <w:szCs w:val="14"/>
              </w:rPr>
              <w:t>373,400</w:t>
            </w:r>
          </w:p>
        </w:tc>
        <w:tc>
          <w:tcPr>
            <w:tcW w:w="380" w:type="pct"/>
            <w:tcBorders>
              <w:top w:val="nil"/>
              <w:left w:val="nil"/>
              <w:bottom w:val="single" w:sz="4" w:space="0" w:color="auto"/>
              <w:right w:val="single" w:sz="4" w:space="0" w:color="auto"/>
            </w:tcBorders>
            <w:shd w:val="clear" w:color="auto" w:fill="auto"/>
            <w:noWrap/>
            <w:vAlign w:val="center"/>
            <w:hideMark/>
          </w:tcPr>
          <w:p w14:paraId="5FBE19AA" w14:textId="77777777" w:rsidR="006D054E" w:rsidRPr="00DC78FE" w:rsidRDefault="006D054E" w:rsidP="00312E88">
            <w:pPr>
              <w:jc w:val="center"/>
              <w:rPr>
                <w:rFonts w:cs="Arial"/>
                <w:color w:val="000000"/>
                <w:sz w:val="14"/>
                <w:szCs w:val="14"/>
              </w:rPr>
            </w:pPr>
            <w:r w:rsidRPr="00DC78FE">
              <w:rPr>
                <w:rFonts w:cs="Arial"/>
                <w:color w:val="000000"/>
                <w:sz w:val="14"/>
                <w:szCs w:val="14"/>
              </w:rPr>
              <w:t>391,700</w:t>
            </w:r>
          </w:p>
        </w:tc>
      </w:tr>
      <w:tr w:rsidR="006D054E" w:rsidRPr="00A95278" w14:paraId="35642554" w14:textId="77777777" w:rsidTr="006D054E">
        <w:trPr>
          <w:trHeight w:hRule="exact" w:val="28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557177BC" w14:textId="77777777" w:rsidR="006D054E" w:rsidRPr="00DC78FE" w:rsidRDefault="006D054E" w:rsidP="00312E88">
            <w:pPr>
              <w:rPr>
                <w:rFonts w:cs="Arial"/>
                <w:color w:val="000000"/>
                <w:sz w:val="14"/>
                <w:szCs w:val="14"/>
              </w:rPr>
            </w:pPr>
            <w:r w:rsidRPr="00DC78FE">
              <w:rPr>
                <w:rFonts w:cs="Arial"/>
                <w:color w:val="000000"/>
                <w:sz w:val="14"/>
                <w:szCs w:val="14"/>
              </w:rPr>
              <w:t>31 December 2019 AFSR projection</w:t>
            </w:r>
          </w:p>
        </w:tc>
        <w:tc>
          <w:tcPr>
            <w:tcW w:w="380" w:type="pct"/>
            <w:tcBorders>
              <w:top w:val="nil"/>
              <w:left w:val="nil"/>
              <w:bottom w:val="single" w:sz="4" w:space="0" w:color="auto"/>
              <w:right w:val="nil"/>
            </w:tcBorders>
            <w:shd w:val="clear" w:color="000000" w:fill="BFBFBF"/>
            <w:noWrap/>
            <w:vAlign w:val="center"/>
            <w:hideMark/>
          </w:tcPr>
          <w:p w14:paraId="7D0B44E1"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BFBFBF"/>
            <w:noWrap/>
            <w:vAlign w:val="center"/>
            <w:hideMark/>
          </w:tcPr>
          <w:p w14:paraId="345E66EC"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0" w:type="pct"/>
            <w:tcBorders>
              <w:top w:val="nil"/>
              <w:left w:val="nil"/>
              <w:bottom w:val="single" w:sz="4" w:space="0" w:color="auto"/>
              <w:right w:val="nil"/>
            </w:tcBorders>
            <w:shd w:val="clear" w:color="000000" w:fill="BFBFBF"/>
            <w:noWrap/>
            <w:vAlign w:val="center"/>
            <w:hideMark/>
          </w:tcPr>
          <w:p w14:paraId="249F36E4"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78" w:type="pct"/>
            <w:tcBorders>
              <w:top w:val="nil"/>
              <w:left w:val="single" w:sz="4" w:space="0" w:color="auto"/>
              <w:bottom w:val="single" w:sz="4" w:space="0" w:color="auto"/>
              <w:right w:val="single" w:sz="4" w:space="0" w:color="auto"/>
            </w:tcBorders>
            <w:shd w:val="clear" w:color="auto" w:fill="auto"/>
            <w:noWrap/>
            <w:vAlign w:val="center"/>
            <w:hideMark/>
          </w:tcPr>
          <w:p w14:paraId="0B09836D" w14:textId="77777777" w:rsidR="006D054E" w:rsidRPr="00DC78FE" w:rsidRDefault="006D054E" w:rsidP="00312E88">
            <w:pPr>
              <w:jc w:val="center"/>
              <w:rPr>
                <w:rFonts w:cs="Arial"/>
                <w:color w:val="000000"/>
                <w:sz w:val="14"/>
                <w:szCs w:val="14"/>
              </w:rPr>
            </w:pPr>
            <w:r w:rsidRPr="00DC78FE">
              <w:rPr>
                <w:rFonts w:cs="Arial"/>
                <w:color w:val="000000"/>
                <w:sz w:val="14"/>
                <w:szCs w:val="14"/>
              </w:rPr>
              <w:t>320,300</w:t>
            </w:r>
          </w:p>
        </w:tc>
        <w:tc>
          <w:tcPr>
            <w:tcW w:w="380" w:type="pct"/>
            <w:tcBorders>
              <w:top w:val="nil"/>
              <w:left w:val="nil"/>
              <w:bottom w:val="single" w:sz="4" w:space="0" w:color="auto"/>
              <w:right w:val="nil"/>
            </w:tcBorders>
            <w:shd w:val="clear" w:color="auto" w:fill="auto"/>
            <w:noWrap/>
            <w:vAlign w:val="center"/>
            <w:hideMark/>
          </w:tcPr>
          <w:p w14:paraId="0703A1BA" w14:textId="77777777" w:rsidR="006D054E" w:rsidRPr="00DC78FE" w:rsidRDefault="006D054E" w:rsidP="00312E88">
            <w:pPr>
              <w:jc w:val="center"/>
              <w:rPr>
                <w:rFonts w:cs="Arial"/>
                <w:color w:val="000000"/>
                <w:sz w:val="14"/>
                <w:szCs w:val="14"/>
              </w:rPr>
            </w:pPr>
            <w:r w:rsidRPr="00DC78FE">
              <w:rPr>
                <w:rFonts w:cs="Arial"/>
                <w:color w:val="000000"/>
                <w:sz w:val="14"/>
                <w:szCs w:val="14"/>
              </w:rPr>
              <w:t>341,400</w:t>
            </w:r>
          </w:p>
        </w:tc>
        <w:tc>
          <w:tcPr>
            <w:tcW w:w="383" w:type="pct"/>
            <w:tcBorders>
              <w:top w:val="nil"/>
              <w:left w:val="nil"/>
              <w:bottom w:val="single" w:sz="4" w:space="0" w:color="auto"/>
              <w:right w:val="nil"/>
            </w:tcBorders>
            <w:shd w:val="clear" w:color="auto" w:fill="auto"/>
            <w:noWrap/>
            <w:vAlign w:val="center"/>
            <w:hideMark/>
          </w:tcPr>
          <w:p w14:paraId="316007BB" w14:textId="77777777" w:rsidR="006D054E" w:rsidRPr="00DC78FE" w:rsidRDefault="006D054E" w:rsidP="00312E88">
            <w:pPr>
              <w:jc w:val="center"/>
              <w:rPr>
                <w:rFonts w:cs="Arial"/>
                <w:color w:val="000000"/>
                <w:sz w:val="14"/>
                <w:szCs w:val="14"/>
              </w:rPr>
            </w:pPr>
            <w:r w:rsidRPr="00DC78FE">
              <w:rPr>
                <w:rFonts w:cs="Arial"/>
                <w:color w:val="000000"/>
                <w:sz w:val="14"/>
                <w:szCs w:val="14"/>
              </w:rPr>
              <w:t>361,300</w:t>
            </w:r>
          </w:p>
        </w:tc>
        <w:tc>
          <w:tcPr>
            <w:tcW w:w="383" w:type="pct"/>
            <w:tcBorders>
              <w:top w:val="nil"/>
              <w:left w:val="nil"/>
              <w:bottom w:val="single" w:sz="4" w:space="0" w:color="auto"/>
              <w:right w:val="nil"/>
            </w:tcBorders>
            <w:shd w:val="clear" w:color="auto" w:fill="auto"/>
            <w:noWrap/>
            <w:vAlign w:val="center"/>
            <w:hideMark/>
          </w:tcPr>
          <w:p w14:paraId="4C155C63" w14:textId="77777777" w:rsidR="006D054E" w:rsidRPr="00DC78FE" w:rsidRDefault="006D054E" w:rsidP="00312E88">
            <w:pPr>
              <w:jc w:val="center"/>
              <w:rPr>
                <w:rFonts w:cs="Arial"/>
                <w:color w:val="000000"/>
                <w:sz w:val="14"/>
                <w:szCs w:val="14"/>
              </w:rPr>
            </w:pPr>
            <w:r w:rsidRPr="00DC78FE">
              <w:rPr>
                <w:rFonts w:cs="Arial"/>
                <w:color w:val="000000"/>
                <w:sz w:val="14"/>
                <w:szCs w:val="14"/>
              </w:rPr>
              <w:t>382,100</w:t>
            </w:r>
          </w:p>
        </w:tc>
        <w:tc>
          <w:tcPr>
            <w:tcW w:w="380" w:type="pct"/>
            <w:tcBorders>
              <w:top w:val="nil"/>
              <w:left w:val="nil"/>
              <w:bottom w:val="single" w:sz="4" w:space="0" w:color="auto"/>
              <w:right w:val="single" w:sz="4" w:space="0" w:color="auto"/>
            </w:tcBorders>
            <w:shd w:val="clear" w:color="auto" w:fill="auto"/>
            <w:noWrap/>
            <w:vAlign w:val="center"/>
            <w:hideMark/>
          </w:tcPr>
          <w:p w14:paraId="6A86186E" w14:textId="77777777" w:rsidR="006D054E" w:rsidRPr="00DC78FE" w:rsidRDefault="006D054E" w:rsidP="00312E88">
            <w:pPr>
              <w:jc w:val="center"/>
              <w:rPr>
                <w:rFonts w:cs="Arial"/>
                <w:color w:val="000000"/>
                <w:sz w:val="14"/>
                <w:szCs w:val="14"/>
              </w:rPr>
            </w:pPr>
            <w:r w:rsidRPr="00DC78FE">
              <w:rPr>
                <w:rFonts w:cs="Arial"/>
                <w:color w:val="000000"/>
                <w:sz w:val="14"/>
                <w:szCs w:val="14"/>
              </w:rPr>
              <w:t>403,600</w:t>
            </w:r>
          </w:p>
        </w:tc>
      </w:tr>
      <w:tr w:rsidR="006D054E" w:rsidRPr="00A95278" w14:paraId="2CB3A500" w14:textId="77777777" w:rsidTr="006D054E">
        <w:trPr>
          <w:trHeight w:hRule="exact" w:val="28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5DF8DA89" w14:textId="77777777" w:rsidR="006D054E" w:rsidRPr="00DC78FE" w:rsidRDefault="006D054E" w:rsidP="00312E88">
            <w:pPr>
              <w:rPr>
                <w:rFonts w:cs="Arial"/>
                <w:color w:val="000000"/>
                <w:sz w:val="14"/>
                <w:szCs w:val="14"/>
              </w:rPr>
            </w:pPr>
            <w:r w:rsidRPr="00DC78FE">
              <w:rPr>
                <w:rFonts w:cs="Arial"/>
                <w:color w:val="000000"/>
                <w:sz w:val="14"/>
                <w:szCs w:val="14"/>
              </w:rPr>
              <w:t>30 June 2019 AFSR projection</w:t>
            </w:r>
          </w:p>
        </w:tc>
        <w:tc>
          <w:tcPr>
            <w:tcW w:w="380" w:type="pct"/>
            <w:tcBorders>
              <w:top w:val="nil"/>
              <w:left w:val="nil"/>
              <w:bottom w:val="single" w:sz="4" w:space="0" w:color="auto"/>
              <w:right w:val="nil"/>
            </w:tcBorders>
            <w:shd w:val="clear" w:color="000000" w:fill="BFBFBF"/>
            <w:noWrap/>
            <w:vAlign w:val="center"/>
            <w:hideMark/>
          </w:tcPr>
          <w:p w14:paraId="2EE49D80"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BFBFBF"/>
            <w:noWrap/>
            <w:vAlign w:val="center"/>
            <w:hideMark/>
          </w:tcPr>
          <w:p w14:paraId="137B0847"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0" w:type="pct"/>
            <w:tcBorders>
              <w:top w:val="nil"/>
              <w:left w:val="nil"/>
              <w:bottom w:val="single" w:sz="4" w:space="0" w:color="auto"/>
              <w:right w:val="nil"/>
            </w:tcBorders>
            <w:shd w:val="clear" w:color="000000" w:fill="FFE699"/>
            <w:noWrap/>
            <w:vAlign w:val="center"/>
            <w:hideMark/>
          </w:tcPr>
          <w:p w14:paraId="71F937EC" w14:textId="77777777" w:rsidR="006D054E" w:rsidRPr="00DC78FE" w:rsidRDefault="006D054E" w:rsidP="00312E88">
            <w:pPr>
              <w:jc w:val="center"/>
              <w:rPr>
                <w:rFonts w:cs="Arial"/>
                <w:color w:val="000000"/>
                <w:sz w:val="14"/>
                <w:szCs w:val="14"/>
              </w:rPr>
            </w:pPr>
            <w:r w:rsidRPr="00DC78FE">
              <w:rPr>
                <w:rFonts w:cs="Arial"/>
                <w:color w:val="000000"/>
                <w:sz w:val="14"/>
                <w:szCs w:val="14"/>
              </w:rPr>
              <w:t>269,400</w:t>
            </w:r>
          </w:p>
        </w:tc>
        <w:tc>
          <w:tcPr>
            <w:tcW w:w="378" w:type="pct"/>
            <w:tcBorders>
              <w:top w:val="nil"/>
              <w:left w:val="single" w:sz="4" w:space="0" w:color="auto"/>
              <w:bottom w:val="single" w:sz="4" w:space="0" w:color="auto"/>
              <w:right w:val="single" w:sz="4" w:space="0" w:color="auto"/>
            </w:tcBorders>
            <w:shd w:val="clear" w:color="auto" w:fill="auto"/>
            <w:noWrap/>
            <w:vAlign w:val="center"/>
            <w:hideMark/>
          </w:tcPr>
          <w:p w14:paraId="00E3586B" w14:textId="77777777" w:rsidR="006D054E" w:rsidRPr="00DC78FE" w:rsidRDefault="006D054E" w:rsidP="00312E88">
            <w:pPr>
              <w:jc w:val="center"/>
              <w:rPr>
                <w:rFonts w:cs="Arial"/>
                <w:color w:val="000000"/>
                <w:sz w:val="14"/>
                <w:szCs w:val="14"/>
              </w:rPr>
            </w:pPr>
            <w:r w:rsidRPr="00DC78FE">
              <w:rPr>
                <w:rFonts w:cs="Arial"/>
                <w:color w:val="000000"/>
                <w:sz w:val="14"/>
                <w:szCs w:val="14"/>
              </w:rPr>
              <w:t>286,200</w:t>
            </w:r>
          </w:p>
        </w:tc>
        <w:tc>
          <w:tcPr>
            <w:tcW w:w="380" w:type="pct"/>
            <w:tcBorders>
              <w:top w:val="nil"/>
              <w:left w:val="nil"/>
              <w:bottom w:val="single" w:sz="4" w:space="0" w:color="auto"/>
              <w:right w:val="nil"/>
            </w:tcBorders>
            <w:shd w:val="clear" w:color="auto" w:fill="auto"/>
            <w:noWrap/>
            <w:vAlign w:val="center"/>
            <w:hideMark/>
          </w:tcPr>
          <w:p w14:paraId="2CC3A1C4" w14:textId="77777777" w:rsidR="006D054E" w:rsidRPr="00DC78FE" w:rsidRDefault="006D054E" w:rsidP="00312E88">
            <w:pPr>
              <w:jc w:val="center"/>
              <w:rPr>
                <w:rFonts w:cs="Arial"/>
                <w:color w:val="000000"/>
                <w:sz w:val="14"/>
                <w:szCs w:val="14"/>
              </w:rPr>
            </w:pPr>
            <w:r w:rsidRPr="00DC78FE">
              <w:rPr>
                <w:rFonts w:cs="Arial"/>
                <w:color w:val="000000"/>
                <w:sz w:val="14"/>
                <w:szCs w:val="14"/>
              </w:rPr>
              <w:t>298,700</w:t>
            </w:r>
          </w:p>
        </w:tc>
        <w:tc>
          <w:tcPr>
            <w:tcW w:w="383" w:type="pct"/>
            <w:tcBorders>
              <w:top w:val="nil"/>
              <w:left w:val="nil"/>
              <w:bottom w:val="single" w:sz="4" w:space="0" w:color="auto"/>
              <w:right w:val="nil"/>
            </w:tcBorders>
            <w:shd w:val="clear" w:color="auto" w:fill="auto"/>
            <w:noWrap/>
            <w:vAlign w:val="center"/>
            <w:hideMark/>
          </w:tcPr>
          <w:p w14:paraId="6821AC13" w14:textId="77777777" w:rsidR="006D054E" w:rsidRPr="00DC78FE" w:rsidRDefault="006D054E" w:rsidP="00312E88">
            <w:pPr>
              <w:jc w:val="center"/>
              <w:rPr>
                <w:rFonts w:cs="Arial"/>
                <w:color w:val="000000"/>
                <w:sz w:val="14"/>
                <w:szCs w:val="14"/>
              </w:rPr>
            </w:pPr>
            <w:r w:rsidRPr="00DC78FE">
              <w:rPr>
                <w:rFonts w:cs="Arial"/>
                <w:color w:val="000000"/>
                <w:sz w:val="14"/>
                <w:szCs w:val="14"/>
              </w:rPr>
              <w:t>312,600</w:t>
            </w:r>
          </w:p>
        </w:tc>
        <w:tc>
          <w:tcPr>
            <w:tcW w:w="383" w:type="pct"/>
            <w:tcBorders>
              <w:top w:val="nil"/>
              <w:left w:val="nil"/>
              <w:bottom w:val="single" w:sz="4" w:space="0" w:color="auto"/>
              <w:right w:val="nil"/>
            </w:tcBorders>
            <w:shd w:val="clear" w:color="auto" w:fill="auto"/>
            <w:noWrap/>
            <w:vAlign w:val="center"/>
            <w:hideMark/>
          </w:tcPr>
          <w:p w14:paraId="6ED3525E" w14:textId="77777777" w:rsidR="006D054E" w:rsidRPr="00DC78FE" w:rsidRDefault="006D054E" w:rsidP="00312E88">
            <w:pPr>
              <w:jc w:val="center"/>
              <w:rPr>
                <w:rFonts w:cs="Arial"/>
                <w:color w:val="000000"/>
                <w:sz w:val="14"/>
                <w:szCs w:val="14"/>
              </w:rPr>
            </w:pPr>
            <w:r w:rsidRPr="00DC78FE">
              <w:rPr>
                <w:rFonts w:cs="Arial"/>
                <w:color w:val="000000"/>
                <w:sz w:val="14"/>
                <w:szCs w:val="14"/>
              </w:rPr>
              <w:t>326,100</w:t>
            </w:r>
          </w:p>
        </w:tc>
        <w:tc>
          <w:tcPr>
            <w:tcW w:w="380" w:type="pct"/>
            <w:tcBorders>
              <w:top w:val="nil"/>
              <w:left w:val="nil"/>
              <w:bottom w:val="single" w:sz="4" w:space="0" w:color="auto"/>
              <w:right w:val="single" w:sz="4" w:space="0" w:color="auto"/>
            </w:tcBorders>
            <w:shd w:val="clear" w:color="auto" w:fill="auto"/>
            <w:noWrap/>
            <w:vAlign w:val="center"/>
            <w:hideMark/>
          </w:tcPr>
          <w:p w14:paraId="3C0BD33D" w14:textId="77777777" w:rsidR="006D054E" w:rsidRPr="00DC78FE" w:rsidRDefault="006D054E" w:rsidP="00312E88">
            <w:pPr>
              <w:jc w:val="center"/>
              <w:rPr>
                <w:rFonts w:cs="Arial"/>
                <w:color w:val="000000"/>
                <w:sz w:val="14"/>
                <w:szCs w:val="14"/>
              </w:rPr>
            </w:pPr>
            <w:r w:rsidRPr="00DC78FE">
              <w:rPr>
                <w:rFonts w:cs="Arial"/>
                <w:color w:val="000000"/>
                <w:sz w:val="14"/>
                <w:szCs w:val="14"/>
              </w:rPr>
              <w:t>340,500</w:t>
            </w:r>
          </w:p>
        </w:tc>
      </w:tr>
      <w:tr w:rsidR="006D054E" w:rsidRPr="00A95278" w14:paraId="3819D14C" w14:textId="77777777" w:rsidTr="006D054E">
        <w:trPr>
          <w:trHeight w:hRule="exact" w:val="284"/>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02CDC2AD" w14:textId="77777777" w:rsidR="006D054E" w:rsidRPr="00DC78FE" w:rsidRDefault="006D054E" w:rsidP="00312E88">
            <w:pPr>
              <w:rPr>
                <w:rFonts w:cs="Arial"/>
                <w:color w:val="000000"/>
                <w:sz w:val="14"/>
                <w:szCs w:val="14"/>
              </w:rPr>
            </w:pPr>
            <w:r w:rsidRPr="00DC78FE">
              <w:rPr>
                <w:rFonts w:cs="Arial"/>
                <w:color w:val="000000"/>
                <w:sz w:val="14"/>
                <w:szCs w:val="14"/>
              </w:rPr>
              <w:t>30 June 2018 AFSR projection</w:t>
            </w:r>
          </w:p>
        </w:tc>
        <w:tc>
          <w:tcPr>
            <w:tcW w:w="380" w:type="pct"/>
            <w:tcBorders>
              <w:top w:val="nil"/>
              <w:left w:val="nil"/>
              <w:bottom w:val="single" w:sz="4" w:space="0" w:color="auto"/>
              <w:right w:val="nil"/>
            </w:tcBorders>
            <w:shd w:val="clear" w:color="000000" w:fill="BFBFBF"/>
            <w:noWrap/>
            <w:vAlign w:val="center"/>
            <w:hideMark/>
          </w:tcPr>
          <w:p w14:paraId="2AB219E0"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FFE699"/>
            <w:noWrap/>
            <w:vAlign w:val="center"/>
            <w:hideMark/>
          </w:tcPr>
          <w:p w14:paraId="0D97749B" w14:textId="77777777" w:rsidR="006D054E" w:rsidRPr="00DC78FE" w:rsidRDefault="006D054E" w:rsidP="00312E88">
            <w:pPr>
              <w:jc w:val="center"/>
              <w:rPr>
                <w:rFonts w:cs="Arial"/>
                <w:color w:val="000000"/>
                <w:sz w:val="14"/>
                <w:szCs w:val="14"/>
              </w:rPr>
            </w:pPr>
            <w:r w:rsidRPr="00DC78FE">
              <w:rPr>
                <w:rFonts w:cs="Arial"/>
                <w:color w:val="000000"/>
                <w:sz w:val="14"/>
                <w:szCs w:val="14"/>
              </w:rPr>
              <w:t>261,600</w:t>
            </w:r>
          </w:p>
        </w:tc>
        <w:tc>
          <w:tcPr>
            <w:tcW w:w="380" w:type="pct"/>
            <w:tcBorders>
              <w:top w:val="nil"/>
              <w:left w:val="nil"/>
              <w:bottom w:val="single" w:sz="4" w:space="0" w:color="auto"/>
              <w:right w:val="nil"/>
            </w:tcBorders>
            <w:shd w:val="clear" w:color="auto" w:fill="auto"/>
            <w:noWrap/>
            <w:vAlign w:val="center"/>
            <w:hideMark/>
          </w:tcPr>
          <w:p w14:paraId="06611AB4" w14:textId="77777777" w:rsidR="006D054E" w:rsidRPr="00DC78FE" w:rsidRDefault="006D054E" w:rsidP="00312E88">
            <w:pPr>
              <w:jc w:val="center"/>
              <w:rPr>
                <w:rFonts w:cs="Arial"/>
                <w:color w:val="000000"/>
                <w:sz w:val="14"/>
                <w:szCs w:val="14"/>
              </w:rPr>
            </w:pPr>
            <w:r w:rsidRPr="00DC78FE">
              <w:rPr>
                <w:rFonts w:cs="Arial"/>
                <w:color w:val="000000"/>
                <w:sz w:val="14"/>
                <w:szCs w:val="14"/>
              </w:rPr>
              <w:t>279,400</w:t>
            </w:r>
          </w:p>
        </w:tc>
        <w:tc>
          <w:tcPr>
            <w:tcW w:w="378" w:type="pct"/>
            <w:tcBorders>
              <w:top w:val="nil"/>
              <w:left w:val="single" w:sz="4" w:space="0" w:color="auto"/>
              <w:bottom w:val="single" w:sz="4" w:space="0" w:color="auto"/>
              <w:right w:val="single" w:sz="4" w:space="0" w:color="auto"/>
            </w:tcBorders>
            <w:shd w:val="clear" w:color="auto" w:fill="auto"/>
            <w:noWrap/>
            <w:vAlign w:val="center"/>
            <w:hideMark/>
          </w:tcPr>
          <w:p w14:paraId="564A2E4D" w14:textId="77777777" w:rsidR="006D054E" w:rsidRPr="00DC78FE" w:rsidRDefault="006D054E" w:rsidP="00312E88">
            <w:pPr>
              <w:jc w:val="center"/>
              <w:rPr>
                <w:rFonts w:cs="Arial"/>
                <w:color w:val="000000"/>
                <w:sz w:val="14"/>
                <w:szCs w:val="14"/>
              </w:rPr>
            </w:pPr>
            <w:r w:rsidRPr="00DC78FE">
              <w:rPr>
                <w:rFonts w:cs="Arial"/>
                <w:color w:val="000000"/>
                <w:sz w:val="14"/>
                <w:szCs w:val="14"/>
              </w:rPr>
              <w:t>292,900</w:t>
            </w:r>
          </w:p>
        </w:tc>
        <w:tc>
          <w:tcPr>
            <w:tcW w:w="380" w:type="pct"/>
            <w:tcBorders>
              <w:top w:val="nil"/>
              <w:left w:val="nil"/>
              <w:bottom w:val="single" w:sz="4" w:space="0" w:color="auto"/>
              <w:right w:val="nil"/>
            </w:tcBorders>
            <w:shd w:val="clear" w:color="auto" w:fill="auto"/>
            <w:noWrap/>
            <w:vAlign w:val="center"/>
            <w:hideMark/>
          </w:tcPr>
          <w:p w14:paraId="76DF21AD" w14:textId="77777777" w:rsidR="006D054E" w:rsidRPr="00DC78FE" w:rsidRDefault="006D054E" w:rsidP="00312E88">
            <w:pPr>
              <w:jc w:val="center"/>
              <w:rPr>
                <w:rFonts w:cs="Arial"/>
                <w:color w:val="000000"/>
                <w:sz w:val="14"/>
                <w:szCs w:val="14"/>
              </w:rPr>
            </w:pPr>
            <w:r w:rsidRPr="00DC78FE">
              <w:rPr>
                <w:rFonts w:cs="Arial"/>
                <w:color w:val="000000"/>
                <w:sz w:val="14"/>
                <w:szCs w:val="14"/>
              </w:rPr>
              <w:t>304,600</w:t>
            </w:r>
          </w:p>
        </w:tc>
        <w:tc>
          <w:tcPr>
            <w:tcW w:w="383" w:type="pct"/>
            <w:tcBorders>
              <w:top w:val="nil"/>
              <w:left w:val="nil"/>
              <w:bottom w:val="single" w:sz="4" w:space="0" w:color="auto"/>
              <w:right w:val="nil"/>
            </w:tcBorders>
            <w:shd w:val="clear" w:color="auto" w:fill="auto"/>
            <w:noWrap/>
            <w:vAlign w:val="center"/>
            <w:hideMark/>
          </w:tcPr>
          <w:p w14:paraId="691BE4A7" w14:textId="77777777" w:rsidR="006D054E" w:rsidRPr="00DC78FE" w:rsidRDefault="006D054E" w:rsidP="00312E88">
            <w:pPr>
              <w:jc w:val="center"/>
              <w:rPr>
                <w:rFonts w:cs="Arial"/>
                <w:color w:val="000000"/>
                <w:sz w:val="14"/>
                <w:szCs w:val="14"/>
              </w:rPr>
            </w:pPr>
            <w:r w:rsidRPr="00DC78FE">
              <w:rPr>
                <w:rFonts w:cs="Arial"/>
                <w:color w:val="000000"/>
                <w:sz w:val="14"/>
                <w:szCs w:val="14"/>
              </w:rPr>
              <w:t>314,600</w:t>
            </w:r>
          </w:p>
        </w:tc>
        <w:tc>
          <w:tcPr>
            <w:tcW w:w="383" w:type="pct"/>
            <w:tcBorders>
              <w:top w:val="nil"/>
              <w:left w:val="nil"/>
              <w:bottom w:val="single" w:sz="4" w:space="0" w:color="auto"/>
              <w:right w:val="nil"/>
            </w:tcBorders>
            <w:shd w:val="clear" w:color="auto" w:fill="auto"/>
            <w:noWrap/>
            <w:vAlign w:val="center"/>
            <w:hideMark/>
          </w:tcPr>
          <w:p w14:paraId="6E1FCFC7" w14:textId="77777777" w:rsidR="006D054E" w:rsidRPr="00DC78FE" w:rsidRDefault="006D054E" w:rsidP="00312E88">
            <w:pPr>
              <w:jc w:val="center"/>
              <w:rPr>
                <w:rFonts w:cs="Arial"/>
                <w:color w:val="000000"/>
                <w:sz w:val="14"/>
                <w:szCs w:val="14"/>
              </w:rPr>
            </w:pPr>
            <w:r w:rsidRPr="00DC78FE">
              <w:rPr>
                <w:rFonts w:cs="Arial"/>
                <w:color w:val="000000"/>
                <w:sz w:val="14"/>
                <w:szCs w:val="14"/>
              </w:rPr>
              <w:t>326,800</w:t>
            </w:r>
          </w:p>
        </w:tc>
        <w:tc>
          <w:tcPr>
            <w:tcW w:w="380" w:type="pct"/>
            <w:tcBorders>
              <w:top w:val="nil"/>
              <w:left w:val="nil"/>
              <w:bottom w:val="single" w:sz="4" w:space="0" w:color="auto"/>
              <w:right w:val="single" w:sz="4" w:space="0" w:color="auto"/>
            </w:tcBorders>
            <w:shd w:val="clear" w:color="auto" w:fill="auto"/>
            <w:noWrap/>
            <w:vAlign w:val="center"/>
            <w:hideMark/>
          </w:tcPr>
          <w:p w14:paraId="557301D3" w14:textId="77777777" w:rsidR="006D054E" w:rsidRPr="00DC78FE" w:rsidRDefault="006D054E" w:rsidP="00312E88">
            <w:pPr>
              <w:jc w:val="center"/>
              <w:rPr>
                <w:rFonts w:cs="Arial"/>
                <w:color w:val="000000"/>
                <w:sz w:val="14"/>
                <w:szCs w:val="14"/>
              </w:rPr>
            </w:pPr>
            <w:r w:rsidRPr="00DC78FE">
              <w:rPr>
                <w:rFonts w:cs="Arial"/>
                <w:color w:val="000000"/>
                <w:sz w:val="14"/>
                <w:szCs w:val="14"/>
              </w:rPr>
              <w:t>340,100</w:t>
            </w:r>
          </w:p>
        </w:tc>
      </w:tr>
      <w:tr w:rsidR="006D054E" w:rsidRPr="00A95278" w14:paraId="2679DD0B" w14:textId="77777777" w:rsidTr="006D054E">
        <w:trPr>
          <w:trHeight w:hRule="exact" w:val="284"/>
        </w:trPr>
        <w:tc>
          <w:tcPr>
            <w:tcW w:w="1952" w:type="pct"/>
            <w:tcBorders>
              <w:top w:val="nil"/>
              <w:left w:val="single" w:sz="4" w:space="0" w:color="auto"/>
              <w:bottom w:val="single" w:sz="4" w:space="0" w:color="auto"/>
              <w:right w:val="nil"/>
            </w:tcBorders>
            <w:shd w:val="clear" w:color="000000" w:fill="D3C5D7"/>
            <w:noWrap/>
            <w:vAlign w:val="center"/>
            <w:hideMark/>
          </w:tcPr>
          <w:p w14:paraId="517F1BB0" w14:textId="77777777" w:rsidR="006D054E" w:rsidRPr="00DC78FE" w:rsidRDefault="006D054E" w:rsidP="00312E88">
            <w:pPr>
              <w:rPr>
                <w:rFonts w:cs="Arial"/>
                <w:b/>
                <w:bCs/>
                <w:color w:val="000000"/>
                <w:sz w:val="14"/>
                <w:szCs w:val="14"/>
              </w:rPr>
            </w:pPr>
            <w:r w:rsidRPr="00DC78FE">
              <w:rPr>
                <w:rFonts w:cs="Arial"/>
                <w:b/>
                <w:bCs/>
                <w:color w:val="000000"/>
                <w:sz w:val="14"/>
                <w:szCs w:val="14"/>
              </w:rPr>
              <w:t>Comparison with actuals</w:t>
            </w:r>
          </w:p>
        </w:tc>
        <w:tc>
          <w:tcPr>
            <w:tcW w:w="380" w:type="pct"/>
            <w:tcBorders>
              <w:top w:val="nil"/>
              <w:left w:val="nil"/>
              <w:bottom w:val="single" w:sz="4" w:space="0" w:color="auto"/>
              <w:right w:val="nil"/>
            </w:tcBorders>
            <w:shd w:val="clear" w:color="000000" w:fill="D3C5D7"/>
            <w:noWrap/>
            <w:vAlign w:val="center"/>
            <w:hideMark/>
          </w:tcPr>
          <w:p w14:paraId="145608EE"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3" w:type="pct"/>
            <w:tcBorders>
              <w:top w:val="nil"/>
              <w:left w:val="nil"/>
              <w:bottom w:val="single" w:sz="4" w:space="0" w:color="auto"/>
              <w:right w:val="nil"/>
            </w:tcBorders>
            <w:shd w:val="clear" w:color="000000" w:fill="D3C5D7"/>
            <w:noWrap/>
            <w:vAlign w:val="center"/>
            <w:hideMark/>
          </w:tcPr>
          <w:p w14:paraId="43A14BB5"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0" w:type="pct"/>
            <w:tcBorders>
              <w:top w:val="nil"/>
              <w:left w:val="nil"/>
              <w:bottom w:val="single" w:sz="4" w:space="0" w:color="auto"/>
              <w:right w:val="nil"/>
            </w:tcBorders>
            <w:shd w:val="clear" w:color="000000" w:fill="D3C5D7"/>
            <w:noWrap/>
            <w:vAlign w:val="center"/>
            <w:hideMark/>
          </w:tcPr>
          <w:p w14:paraId="1DE22FE7"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78" w:type="pct"/>
            <w:tcBorders>
              <w:top w:val="nil"/>
              <w:left w:val="nil"/>
              <w:bottom w:val="single" w:sz="4" w:space="0" w:color="auto"/>
              <w:right w:val="nil"/>
            </w:tcBorders>
            <w:shd w:val="clear" w:color="000000" w:fill="D3C5D7"/>
            <w:noWrap/>
            <w:vAlign w:val="center"/>
            <w:hideMark/>
          </w:tcPr>
          <w:p w14:paraId="09547FE5"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0" w:type="pct"/>
            <w:tcBorders>
              <w:top w:val="nil"/>
              <w:left w:val="nil"/>
              <w:bottom w:val="single" w:sz="4" w:space="0" w:color="auto"/>
              <w:right w:val="nil"/>
            </w:tcBorders>
            <w:shd w:val="clear" w:color="000000" w:fill="D3C5D7"/>
            <w:noWrap/>
            <w:vAlign w:val="center"/>
            <w:hideMark/>
          </w:tcPr>
          <w:p w14:paraId="09BB38E7"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3" w:type="pct"/>
            <w:tcBorders>
              <w:top w:val="nil"/>
              <w:left w:val="nil"/>
              <w:bottom w:val="single" w:sz="4" w:space="0" w:color="auto"/>
              <w:right w:val="nil"/>
            </w:tcBorders>
            <w:shd w:val="clear" w:color="000000" w:fill="D3C5D7"/>
            <w:noWrap/>
            <w:vAlign w:val="center"/>
            <w:hideMark/>
          </w:tcPr>
          <w:p w14:paraId="6E82BF0C"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3" w:type="pct"/>
            <w:tcBorders>
              <w:top w:val="nil"/>
              <w:left w:val="nil"/>
              <w:bottom w:val="single" w:sz="4" w:space="0" w:color="auto"/>
              <w:right w:val="nil"/>
            </w:tcBorders>
            <w:shd w:val="clear" w:color="000000" w:fill="D3C5D7"/>
            <w:noWrap/>
            <w:vAlign w:val="center"/>
            <w:hideMark/>
          </w:tcPr>
          <w:p w14:paraId="28E813FD"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c>
          <w:tcPr>
            <w:tcW w:w="380" w:type="pct"/>
            <w:tcBorders>
              <w:top w:val="nil"/>
              <w:left w:val="nil"/>
              <w:bottom w:val="single" w:sz="4" w:space="0" w:color="auto"/>
              <w:right w:val="single" w:sz="4" w:space="0" w:color="auto"/>
            </w:tcBorders>
            <w:shd w:val="clear" w:color="000000" w:fill="D3C5D7"/>
            <w:noWrap/>
            <w:vAlign w:val="center"/>
            <w:hideMark/>
          </w:tcPr>
          <w:p w14:paraId="6A53A8A6" w14:textId="77777777" w:rsidR="006D054E" w:rsidRPr="00DC78FE" w:rsidRDefault="006D054E" w:rsidP="00312E88">
            <w:pPr>
              <w:jc w:val="center"/>
              <w:rPr>
                <w:rFonts w:cs="Arial"/>
                <w:b/>
                <w:bCs/>
                <w:color w:val="000000"/>
                <w:sz w:val="14"/>
                <w:szCs w:val="14"/>
              </w:rPr>
            </w:pPr>
            <w:r w:rsidRPr="00DC78FE">
              <w:rPr>
                <w:rFonts w:cs="Arial"/>
                <w:b/>
                <w:bCs/>
                <w:color w:val="000000"/>
                <w:sz w:val="14"/>
                <w:szCs w:val="14"/>
              </w:rPr>
              <w:t> </w:t>
            </w:r>
          </w:p>
        </w:tc>
      </w:tr>
      <w:tr w:rsidR="006D054E" w:rsidRPr="00A95278" w14:paraId="69D6DC37" w14:textId="77777777" w:rsidTr="006D054E">
        <w:trPr>
          <w:trHeight w:hRule="exact" w:val="397"/>
        </w:trPr>
        <w:tc>
          <w:tcPr>
            <w:tcW w:w="1952" w:type="pct"/>
            <w:tcBorders>
              <w:top w:val="nil"/>
              <w:left w:val="single" w:sz="4" w:space="0" w:color="auto"/>
              <w:bottom w:val="single" w:sz="4" w:space="0" w:color="auto"/>
              <w:right w:val="single" w:sz="4" w:space="0" w:color="auto"/>
            </w:tcBorders>
            <w:shd w:val="clear" w:color="auto" w:fill="auto"/>
            <w:noWrap/>
            <w:vAlign w:val="center"/>
            <w:hideMark/>
          </w:tcPr>
          <w:p w14:paraId="2C21C8B0" w14:textId="77777777" w:rsidR="006D054E" w:rsidRPr="00DC78FE" w:rsidRDefault="006D054E" w:rsidP="00312E88">
            <w:pPr>
              <w:rPr>
                <w:rFonts w:cs="Arial"/>
                <w:color w:val="000000"/>
                <w:sz w:val="14"/>
                <w:szCs w:val="14"/>
              </w:rPr>
            </w:pPr>
            <w:r w:rsidRPr="00DC78FE">
              <w:rPr>
                <w:rFonts w:cs="Arial"/>
                <w:color w:val="000000"/>
                <w:sz w:val="14"/>
                <w:szCs w:val="14"/>
              </w:rPr>
              <w:t>Actual average participant payments (accrual)</w:t>
            </w:r>
          </w:p>
        </w:tc>
        <w:tc>
          <w:tcPr>
            <w:tcW w:w="380" w:type="pct"/>
            <w:tcBorders>
              <w:top w:val="nil"/>
              <w:left w:val="nil"/>
              <w:bottom w:val="single" w:sz="4" w:space="0" w:color="auto"/>
              <w:right w:val="nil"/>
            </w:tcBorders>
            <w:shd w:val="clear" w:color="auto" w:fill="auto"/>
            <w:noWrap/>
            <w:vAlign w:val="center"/>
            <w:hideMark/>
          </w:tcPr>
          <w:p w14:paraId="271CCBAD" w14:textId="77777777" w:rsidR="006D054E" w:rsidRPr="00DC78FE" w:rsidRDefault="006D054E" w:rsidP="00312E88">
            <w:pPr>
              <w:jc w:val="center"/>
              <w:rPr>
                <w:rFonts w:cs="Arial"/>
                <w:color w:val="000000"/>
                <w:sz w:val="14"/>
                <w:szCs w:val="14"/>
              </w:rPr>
            </w:pPr>
            <w:r w:rsidRPr="00DC78FE">
              <w:rPr>
                <w:rFonts w:cs="Arial"/>
                <w:color w:val="000000"/>
                <w:sz w:val="14"/>
                <w:szCs w:val="14"/>
              </w:rPr>
              <w:t>234,000</w:t>
            </w:r>
          </w:p>
        </w:tc>
        <w:tc>
          <w:tcPr>
            <w:tcW w:w="383" w:type="pct"/>
            <w:tcBorders>
              <w:top w:val="nil"/>
              <w:left w:val="nil"/>
              <w:bottom w:val="single" w:sz="4" w:space="0" w:color="auto"/>
              <w:right w:val="nil"/>
            </w:tcBorders>
            <w:shd w:val="clear" w:color="000000" w:fill="FFE699"/>
            <w:noWrap/>
            <w:vAlign w:val="center"/>
            <w:hideMark/>
          </w:tcPr>
          <w:p w14:paraId="16BE671E" w14:textId="77777777" w:rsidR="006D054E" w:rsidRPr="00DC78FE" w:rsidRDefault="006D054E" w:rsidP="00312E88">
            <w:pPr>
              <w:jc w:val="center"/>
              <w:rPr>
                <w:rFonts w:cs="Arial"/>
                <w:color w:val="000000"/>
                <w:sz w:val="14"/>
                <w:szCs w:val="14"/>
              </w:rPr>
            </w:pPr>
            <w:r w:rsidRPr="00DC78FE">
              <w:rPr>
                <w:rFonts w:cs="Arial"/>
                <w:color w:val="000000"/>
                <w:sz w:val="14"/>
                <w:szCs w:val="14"/>
              </w:rPr>
              <w:t>249,600</w:t>
            </w:r>
          </w:p>
        </w:tc>
        <w:tc>
          <w:tcPr>
            <w:tcW w:w="380" w:type="pct"/>
            <w:tcBorders>
              <w:top w:val="nil"/>
              <w:left w:val="nil"/>
              <w:bottom w:val="single" w:sz="4" w:space="0" w:color="auto"/>
              <w:right w:val="nil"/>
            </w:tcBorders>
            <w:shd w:val="clear" w:color="000000" w:fill="FFE699"/>
            <w:noWrap/>
            <w:vAlign w:val="center"/>
            <w:hideMark/>
          </w:tcPr>
          <w:p w14:paraId="2186B760" w14:textId="77777777" w:rsidR="006D054E" w:rsidRPr="00DC78FE" w:rsidRDefault="006D054E" w:rsidP="00312E88">
            <w:pPr>
              <w:jc w:val="center"/>
              <w:rPr>
                <w:rFonts w:cs="Arial"/>
                <w:color w:val="000000"/>
                <w:sz w:val="14"/>
                <w:szCs w:val="14"/>
              </w:rPr>
            </w:pPr>
            <w:r w:rsidRPr="00DC78FE">
              <w:rPr>
                <w:rFonts w:cs="Arial"/>
                <w:color w:val="000000"/>
                <w:sz w:val="14"/>
                <w:szCs w:val="14"/>
              </w:rPr>
              <w:t>304,400</w:t>
            </w:r>
          </w:p>
        </w:tc>
        <w:tc>
          <w:tcPr>
            <w:tcW w:w="378" w:type="pct"/>
            <w:tcBorders>
              <w:top w:val="nil"/>
              <w:left w:val="single" w:sz="4" w:space="0" w:color="auto"/>
              <w:bottom w:val="single" w:sz="4" w:space="0" w:color="auto"/>
              <w:right w:val="single" w:sz="4" w:space="0" w:color="auto"/>
            </w:tcBorders>
            <w:shd w:val="clear" w:color="000000" w:fill="FFE699"/>
            <w:noWrap/>
            <w:vAlign w:val="center"/>
            <w:hideMark/>
          </w:tcPr>
          <w:p w14:paraId="4835B0AC" w14:textId="77777777" w:rsidR="006D054E" w:rsidRPr="00DC78FE" w:rsidRDefault="006D054E" w:rsidP="00312E88">
            <w:pPr>
              <w:jc w:val="center"/>
              <w:rPr>
                <w:rFonts w:cs="Arial"/>
                <w:color w:val="000000"/>
                <w:sz w:val="14"/>
                <w:szCs w:val="14"/>
              </w:rPr>
            </w:pPr>
            <w:r w:rsidRPr="00DC78FE">
              <w:rPr>
                <w:rFonts w:cs="Arial"/>
                <w:color w:val="000000"/>
                <w:sz w:val="14"/>
                <w:szCs w:val="14"/>
              </w:rPr>
              <w:t>325,500</w:t>
            </w:r>
          </w:p>
        </w:tc>
        <w:tc>
          <w:tcPr>
            <w:tcW w:w="380" w:type="pct"/>
            <w:tcBorders>
              <w:top w:val="nil"/>
              <w:left w:val="nil"/>
              <w:bottom w:val="single" w:sz="4" w:space="0" w:color="auto"/>
              <w:right w:val="nil"/>
            </w:tcBorders>
            <w:shd w:val="clear" w:color="000000" w:fill="BFBFBF"/>
            <w:noWrap/>
            <w:vAlign w:val="center"/>
            <w:hideMark/>
          </w:tcPr>
          <w:p w14:paraId="4EC7854F"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BFBFBF"/>
            <w:noWrap/>
            <w:vAlign w:val="center"/>
            <w:hideMark/>
          </w:tcPr>
          <w:p w14:paraId="575204D6"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BFBFBF"/>
            <w:noWrap/>
            <w:vAlign w:val="center"/>
            <w:hideMark/>
          </w:tcPr>
          <w:p w14:paraId="0090571E" w14:textId="77777777" w:rsidR="006D054E" w:rsidRPr="00DC78FE" w:rsidRDefault="006D054E" w:rsidP="00312E88">
            <w:pPr>
              <w:jc w:val="center"/>
              <w:rPr>
                <w:rFonts w:cs="Arial"/>
                <w:i/>
                <w:iCs/>
                <w:color w:val="000000"/>
                <w:sz w:val="14"/>
                <w:szCs w:val="14"/>
              </w:rPr>
            </w:pPr>
            <w:r w:rsidRPr="00DC78FE">
              <w:rPr>
                <w:rFonts w:cs="Arial"/>
                <w:i/>
                <w:iCs/>
                <w:color w:val="000000"/>
                <w:sz w:val="14"/>
                <w:szCs w:val="14"/>
              </w:rPr>
              <w:t> </w:t>
            </w:r>
          </w:p>
        </w:tc>
        <w:tc>
          <w:tcPr>
            <w:tcW w:w="380" w:type="pct"/>
            <w:tcBorders>
              <w:top w:val="nil"/>
              <w:left w:val="nil"/>
              <w:bottom w:val="single" w:sz="4" w:space="0" w:color="auto"/>
              <w:right w:val="single" w:sz="4" w:space="0" w:color="auto"/>
            </w:tcBorders>
            <w:shd w:val="clear" w:color="000000" w:fill="BFBFBF"/>
            <w:noWrap/>
            <w:vAlign w:val="center"/>
            <w:hideMark/>
          </w:tcPr>
          <w:p w14:paraId="3C6AD76A" w14:textId="77777777" w:rsidR="006D054E" w:rsidRPr="00DC78FE" w:rsidRDefault="006D054E" w:rsidP="00312E88">
            <w:pPr>
              <w:jc w:val="center"/>
              <w:rPr>
                <w:rFonts w:cs="Arial"/>
                <w:i/>
                <w:iCs/>
                <w:color w:val="000000"/>
                <w:sz w:val="14"/>
                <w:szCs w:val="14"/>
              </w:rPr>
            </w:pPr>
            <w:r w:rsidRPr="00DC78FE">
              <w:rPr>
                <w:rFonts w:cs="Arial"/>
                <w:i/>
                <w:iCs/>
                <w:color w:val="000000"/>
                <w:sz w:val="14"/>
                <w:szCs w:val="14"/>
              </w:rPr>
              <w:t> </w:t>
            </w:r>
          </w:p>
        </w:tc>
      </w:tr>
      <w:tr w:rsidR="006D054E" w:rsidRPr="00A95278" w14:paraId="5891346D" w14:textId="77777777" w:rsidTr="006D054E">
        <w:trPr>
          <w:trHeight w:hRule="exact" w:val="397"/>
        </w:trPr>
        <w:tc>
          <w:tcPr>
            <w:tcW w:w="1952" w:type="pct"/>
            <w:tcBorders>
              <w:top w:val="nil"/>
              <w:left w:val="single" w:sz="4" w:space="0" w:color="auto"/>
              <w:bottom w:val="single" w:sz="4" w:space="0" w:color="auto"/>
              <w:right w:val="single" w:sz="4" w:space="0" w:color="auto"/>
            </w:tcBorders>
            <w:shd w:val="clear" w:color="auto" w:fill="auto"/>
            <w:vAlign w:val="center"/>
            <w:hideMark/>
          </w:tcPr>
          <w:p w14:paraId="72CB260F" w14:textId="77777777" w:rsidR="006D054E" w:rsidRPr="00DC78FE" w:rsidRDefault="006D054E" w:rsidP="00312E88">
            <w:pPr>
              <w:rPr>
                <w:rFonts w:cs="Arial"/>
                <w:color w:val="000000"/>
                <w:sz w:val="14"/>
                <w:szCs w:val="14"/>
              </w:rPr>
            </w:pPr>
            <w:r w:rsidRPr="00DC78FE">
              <w:rPr>
                <w:rFonts w:cs="Arial"/>
                <w:color w:val="000000"/>
                <w:sz w:val="14"/>
                <w:szCs w:val="14"/>
              </w:rPr>
              <w:t>Actual average participant payments compared with AFSR</w:t>
            </w:r>
          </w:p>
        </w:tc>
        <w:tc>
          <w:tcPr>
            <w:tcW w:w="380" w:type="pct"/>
            <w:tcBorders>
              <w:top w:val="nil"/>
              <w:left w:val="nil"/>
              <w:bottom w:val="single" w:sz="4" w:space="0" w:color="auto"/>
              <w:right w:val="nil"/>
            </w:tcBorders>
            <w:shd w:val="clear" w:color="000000" w:fill="BFBFBF"/>
            <w:noWrap/>
            <w:vAlign w:val="center"/>
            <w:hideMark/>
          </w:tcPr>
          <w:p w14:paraId="768005DB"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FFE699"/>
            <w:noWrap/>
            <w:vAlign w:val="center"/>
            <w:hideMark/>
          </w:tcPr>
          <w:p w14:paraId="286D9EDE" w14:textId="77777777" w:rsidR="006D054E" w:rsidRPr="00DC78FE" w:rsidRDefault="006D054E" w:rsidP="00312E88">
            <w:pPr>
              <w:jc w:val="center"/>
              <w:rPr>
                <w:rFonts w:cs="Arial"/>
                <w:color w:val="000000"/>
                <w:sz w:val="14"/>
                <w:szCs w:val="14"/>
              </w:rPr>
            </w:pPr>
            <w:r w:rsidRPr="00DC78FE">
              <w:rPr>
                <w:rFonts w:cs="Arial"/>
                <w:color w:val="000000"/>
                <w:sz w:val="14"/>
                <w:szCs w:val="14"/>
              </w:rPr>
              <w:t>-12,000</w:t>
            </w:r>
          </w:p>
        </w:tc>
        <w:tc>
          <w:tcPr>
            <w:tcW w:w="380" w:type="pct"/>
            <w:tcBorders>
              <w:top w:val="nil"/>
              <w:left w:val="nil"/>
              <w:bottom w:val="single" w:sz="4" w:space="0" w:color="auto"/>
              <w:right w:val="nil"/>
            </w:tcBorders>
            <w:shd w:val="clear" w:color="000000" w:fill="FFE699"/>
            <w:noWrap/>
            <w:vAlign w:val="center"/>
            <w:hideMark/>
          </w:tcPr>
          <w:p w14:paraId="10746B51" w14:textId="77777777" w:rsidR="006D054E" w:rsidRPr="00DC78FE" w:rsidRDefault="006D054E" w:rsidP="00312E88">
            <w:pPr>
              <w:jc w:val="center"/>
              <w:rPr>
                <w:rFonts w:cs="Arial"/>
                <w:color w:val="000000"/>
                <w:sz w:val="14"/>
                <w:szCs w:val="14"/>
              </w:rPr>
            </w:pPr>
            <w:r w:rsidRPr="00DC78FE">
              <w:rPr>
                <w:rFonts w:cs="Arial"/>
                <w:color w:val="000000"/>
                <w:sz w:val="14"/>
                <w:szCs w:val="14"/>
              </w:rPr>
              <w:t>35,000</w:t>
            </w:r>
          </w:p>
        </w:tc>
        <w:tc>
          <w:tcPr>
            <w:tcW w:w="378" w:type="pct"/>
            <w:tcBorders>
              <w:top w:val="nil"/>
              <w:left w:val="single" w:sz="4" w:space="0" w:color="auto"/>
              <w:bottom w:val="single" w:sz="4" w:space="0" w:color="auto"/>
              <w:right w:val="single" w:sz="4" w:space="0" w:color="auto"/>
            </w:tcBorders>
            <w:shd w:val="clear" w:color="000000" w:fill="FFE699"/>
            <w:noWrap/>
            <w:vAlign w:val="center"/>
            <w:hideMark/>
          </w:tcPr>
          <w:p w14:paraId="5D45AC89" w14:textId="77777777" w:rsidR="006D054E" w:rsidRPr="00DC78FE" w:rsidRDefault="006D054E" w:rsidP="00312E88">
            <w:pPr>
              <w:jc w:val="center"/>
              <w:rPr>
                <w:rFonts w:cs="Arial"/>
                <w:color w:val="000000"/>
                <w:sz w:val="14"/>
                <w:szCs w:val="14"/>
              </w:rPr>
            </w:pPr>
            <w:r w:rsidRPr="00DC78FE">
              <w:rPr>
                <w:rFonts w:cs="Arial"/>
                <w:color w:val="000000"/>
                <w:sz w:val="14"/>
                <w:szCs w:val="14"/>
              </w:rPr>
              <w:t>4,500</w:t>
            </w:r>
          </w:p>
        </w:tc>
        <w:tc>
          <w:tcPr>
            <w:tcW w:w="380" w:type="pct"/>
            <w:tcBorders>
              <w:top w:val="nil"/>
              <w:left w:val="nil"/>
              <w:bottom w:val="single" w:sz="4" w:space="0" w:color="auto"/>
              <w:right w:val="nil"/>
            </w:tcBorders>
            <w:shd w:val="clear" w:color="000000" w:fill="BFBFBF"/>
            <w:noWrap/>
            <w:vAlign w:val="center"/>
            <w:hideMark/>
          </w:tcPr>
          <w:p w14:paraId="54F8E0C1"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BFBFBF"/>
            <w:noWrap/>
            <w:vAlign w:val="center"/>
            <w:hideMark/>
          </w:tcPr>
          <w:p w14:paraId="6AD335E9"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3" w:type="pct"/>
            <w:tcBorders>
              <w:top w:val="nil"/>
              <w:left w:val="nil"/>
              <w:bottom w:val="single" w:sz="4" w:space="0" w:color="auto"/>
              <w:right w:val="nil"/>
            </w:tcBorders>
            <w:shd w:val="clear" w:color="000000" w:fill="BFBFBF"/>
            <w:noWrap/>
            <w:vAlign w:val="center"/>
            <w:hideMark/>
          </w:tcPr>
          <w:p w14:paraId="43C817C4"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c>
          <w:tcPr>
            <w:tcW w:w="380" w:type="pct"/>
            <w:tcBorders>
              <w:top w:val="nil"/>
              <w:left w:val="nil"/>
              <w:bottom w:val="single" w:sz="4" w:space="0" w:color="auto"/>
              <w:right w:val="single" w:sz="4" w:space="0" w:color="auto"/>
            </w:tcBorders>
            <w:shd w:val="clear" w:color="000000" w:fill="BFBFBF"/>
            <w:noWrap/>
            <w:vAlign w:val="center"/>
            <w:hideMark/>
          </w:tcPr>
          <w:p w14:paraId="6E44983C" w14:textId="77777777" w:rsidR="006D054E" w:rsidRPr="00DC78FE" w:rsidRDefault="006D054E" w:rsidP="00312E88">
            <w:pPr>
              <w:jc w:val="center"/>
              <w:rPr>
                <w:rFonts w:cs="Arial"/>
                <w:color w:val="000000"/>
                <w:sz w:val="14"/>
                <w:szCs w:val="14"/>
              </w:rPr>
            </w:pPr>
            <w:r w:rsidRPr="00DC78FE">
              <w:rPr>
                <w:rFonts w:cs="Arial"/>
                <w:color w:val="000000"/>
                <w:sz w:val="14"/>
                <w:szCs w:val="14"/>
              </w:rPr>
              <w:t> </w:t>
            </w:r>
          </w:p>
        </w:tc>
      </w:tr>
    </w:tbl>
    <w:p w14:paraId="70D5EA08" w14:textId="66BE22BB" w:rsidR="00445290" w:rsidRDefault="00445290">
      <w:pPr>
        <w:spacing w:after="160" w:line="259" w:lineRule="auto"/>
      </w:pPr>
    </w:p>
    <w:p w14:paraId="056A0449" w14:textId="71A30476" w:rsidR="00445290" w:rsidRDefault="00445290" w:rsidP="00445290">
      <w:pPr>
        <w:pStyle w:val="Heading2"/>
        <w:numPr>
          <w:ilvl w:val="0"/>
          <w:numId w:val="0"/>
        </w:numPr>
        <w:ind w:left="720" w:hanging="720"/>
      </w:pPr>
      <w:bookmarkStart w:id="394" w:name="_Toc83220871"/>
      <w:bookmarkStart w:id="395" w:name="_Toc85031282"/>
      <w:r>
        <w:lastRenderedPageBreak/>
        <w:t xml:space="preserve">Appendix </w:t>
      </w:r>
      <w:r w:rsidR="00211344">
        <w:t>F</w:t>
      </w:r>
      <w:r>
        <w:t>: Scenario analysis from previous AFSRs</w:t>
      </w:r>
      <w:bookmarkEnd w:id="394"/>
      <w:bookmarkEnd w:id="395"/>
    </w:p>
    <w:p w14:paraId="3C494B2B" w14:textId="5F4FD101" w:rsidR="00766F41" w:rsidRPr="00766F41" w:rsidRDefault="00766F41" w:rsidP="00766F41">
      <w:pPr>
        <w:pStyle w:val="Tables"/>
        <w:rPr>
          <w:rFonts w:eastAsiaTheme="minorEastAsia"/>
          <w:b w:val="0"/>
          <w:bCs w:val="0"/>
          <w:szCs w:val="24"/>
          <w:lang w:eastAsia="ja-JP"/>
        </w:rPr>
      </w:pPr>
      <w:r w:rsidRPr="00766F41">
        <w:rPr>
          <w:rFonts w:eastAsiaTheme="minorEastAsia"/>
          <w:b w:val="0"/>
          <w:bCs w:val="0"/>
          <w:szCs w:val="24"/>
          <w:lang w:eastAsia="ja-JP"/>
        </w:rPr>
        <w:t xml:space="preserve">This </w:t>
      </w:r>
      <w:r>
        <w:rPr>
          <w:rFonts w:eastAsiaTheme="minorEastAsia"/>
          <w:b w:val="0"/>
          <w:bCs w:val="0"/>
          <w:szCs w:val="24"/>
          <w:lang w:eastAsia="ja-JP"/>
        </w:rPr>
        <w:t xml:space="preserve">section summarises the </w:t>
      </w:r>
      <w:r w:rsidR="00B15E9E">
        <w:rPr>
          <w:rFonts w:eastAsiaTheme="minorEastAsia"/>
          <w:b w:val="0"/>
          <w:bCs w:val="0"/>
          <w:szCs w:val="24"/>
          <w:lang w:eastAsia="ja-JP"/>
        </w:rPr>
        <w:t xml:space="preserve">cost projection </w:t>
      </w:r>
      <w:r>
        <w:rPr>
          <w:rFonts w:eastAsiaTheme="minorEastAsia"/>
          <w:b w:val="0"/>
          <w:bCs w:val="0"/>
          <w:szCs w:val="24"/>
          <w:lang w:eastAsia="ja-JP"/>
        </w:rPr>
        <w:t xml:space="preserve">scenarios considered in </w:t>
      </w:r>
      <w:r w:rsidR="00A2569E">
        <w:rPr>
          <w:rFonts w:eastAsiaTheme="minorEastAsia"/>
          <w:b w:val="0"/>
          <w:bCs w:val="0"/>
          <w:szCs w:val="24"/>
          <w:lang w:eastAsia="ja-JP"/>
        </w:rPr>
        <w:t>historic</w:t>
      </w:r>
      <w:r>
        <w:rPr>
          <w:rFonts w:eastAsiaTheme="minorEastAsia"/>
          <w:b w:val="0"/>
          <w:bCs w:val="0"/>
          <w:szCs w:val="24"/>
          <w:lang w:eastAsia="ja-JP"/>
        </w:rPr>
        <w:t xml:space="preserve"> </w:t>
      </w:r>
      <w:r w:rsidR="00735DCA">
        <w:rPr>
          <w:rFonts w:eastAsiaTheme="minorEastAsia"/>
          <w:b w:val="0"/>
          <w:bCs w:val="0"/>
          <w:szCs w:val="24"/>
          <w:lang w:eastAsia="ja-JP"/>
        </w:rPr>
        <w:t xml:space="preserve">Annual </w:t>
      </w:r>
      <w:r>
        <w:rPr>
          <w:rFonts w:eastAsiaTheme="minorEastAsia"/>
          <w:b w:val="0"/>
          <w:bCs w:val="0"/>
          <w:szCs w:val="24"/>
          <w:lang w:eastAsia="ja-JP"/>
        </w:rPr>
        <w:t>Financial Sustainability Report projections</w:t>
      </w:r>
      <w:r w:rsidR="00B15E9E">
        <w:rPr>
          <w:rFonts w:eastAsiaTheme="minorEastAsia"/>
          <w:b w:val="0"/>
          <w:bCs w:val="0"/>
          <w:szCs w:val="24"/>
          <w:lang w:eastAsia="ja-JP"/>
        </w:rPr>
        <w:t xml:space="preserve"> since 2016-17</w:t>
      </w:r>
      <w:r>
        <w:rPr>
          <w:rFonts w:eastAsiaTheme="minorEastAsia"/>
          <w:b w:val="0"/>
          <w:bCs w:val="0"/>
          <w:szCs w:val="24"/>
          <w:lang w:eastAsia="ja-JP"/>
        </w:rPr>
        <w:t xml:space="preserve">. </w:t>
      </w:r>
      <w:r w:rsidR="009C5687">
        <w:rPr>
          <w:rFonts w:eastAsiaTheme="minorEastAsia"/>
          <w:b w:val="0"/>
          <w:bCs w:val="0"/>
          <w:szCs w:val="24"/>
          <w:lang w:eastAsia="ja-JP"/>
        </w:rPr>
        <w:t xml:space="preserve">These scenarios </w:t>
      </w:r>
      <w:r w:rsidR="001A3915">
        <w:rPr>
          <w:rFonts w:eastAsiaTheme="minorEastAsia"/>
          <w:b w:val="0"/>
          <w:bCs w:val="0"/>
          <w:szCs w:val="24"/>
          <w:lang w:eastAsia="ja-JP"/>
        </w:rPr>
        <w:t xml:space="preserve">assist in understanding </w:t>
      </w:r>
      <w:r w:rsidR="009C5687">
        <w:rPr>
          <w:rFonts w:eastAsiaTheme="minorEastAsia"/>
          <w:b w:val="0"/>
          <w:bCs w:val="0"/>
          <w:szCs w:val="24"/>
          <w:lang w:eastAsia="ja-JP"/>
        </w:rPr>
        <w:t xml:space="preserve">the range of plausible </w:t>
      </w:r>
      <w:r w:rsidR="001A3915">
        <w:rPr>
          <w:rFonts w:eastAsiaTheme="minorEastAsia"/>
          <w:b w:val="0"/>
          <w:bCs w:val="0"/>
          <w:szCs w:val="24"/>
          <w:lang w:eastAsia="ja-JP"/>
        </w:rPr>
        <w:t xml:space="preserve">projections </w:t>
      </w:r>
      <w:r w:rsidR="009C5687">
        <w:rPr>
          <w:rFonts w:eastAsiaTheme="minorEastAsia"/>
          <w:b w:val="0"/>
          <w:bCs w:val="0"/>
          <w:szCs w:val="24"/>
          <w:lang w:eastAsia="ja-JP"/>
        </w:rPr>
        <w:t xml:space="preserve">based on </w:t>
      </w:r>
      <w:r w:rsidR="001070CE">
        <w:rPr>
          <w:rFonts w:eastAsiaTheme="minorEastAsia"/>
          <w:b w:val="0"/>
          <w:bCs w:val="0"/>
          <w:szCs w:val="24"/>
          <w:lang w:eastAsia="ja-JP"/>
        </w:rPr>
        <w:t xml:space="preserve">reasonable </w:t>
      </w:r>
      <w:r w:rsidR="009C5687">
        <w:rPr>
          <w:rFonts w:eastAsiaTheme="minorEastAsia"/>
          <w:b w:val="0"/>
          <w:bCs w:val="0"/>
          <w:szCs w:val="24"/>
          <w:lang w:eastAsia="ja-JP"/>
        </w:rPr>
        <w:t xml:space="preserve">alternative assumptions. </w:t>
      </w:r>
    </w:p>
    <w:p w14:paraId="6CB7923A" w14:textId="77777777" w:rsidR="002B3FBF" w:rsidRPr="004115D1" w:rsidRDefault="002B3FBF" w:rsidP="00B37567">
      <w:pPr>
        <w:pStyle w:val="FSRHeading4"/>
      </w:pPr>
      <w:r w:rsidRPr="004115D1">
        <w:t>2016-17 Scenarios</w:t>
      </w:r>
    </w:p>
    <w:tbl>
      <w:tblPr>
        <w:tblW w:w="5000" w:type="pct"/>
        <w:tblLook w:val="04A0" w:firstRow="1" w:lastRow="0" w:firstColumn="1" w:lastColumn="0" w:noHBand="0" w:noVBand="1"/>
      </w:tblPr>
      <w:tblGrid>
        <w:gridCol w:w="6205"/>
        <w:gridCol w:w="941"/>
        <w:gridCol w:w="941"/>
        <w:gridCol w:w="939"/>
      </w:tblGrid>
      <w:tr w:rsidR="00407B92" w:rsidRPr="0075559D" w14:paraId="17E7625E" w14:textId="77777777" w:rsidTr="00312E88">
        <w:trPr>
          <w:trHeight w:val="300"/>
          <w:tblHeader/>
        </w:trPr>
        <w:tc>
          <w:tcPr>
            <w:tcW w:w="3438" w:type="pct"/>
            <w:tcBorders>
              <w:top w:val="nil"/>
              <w:left w:val="nil"/>
              <w:bottom w:val="nil"/>
              <w:right w:val="nil"/>
            </w:tcBorders>
            <w:shd w:val="clear" w:color="000000" w:fill="6B2976"/>
            <w:noWrap/>
            <w:vAlign w:val="bottom"/>
            <w:hideMark/>
          </w:tcPr>
          <w:p w14:paraId="09A3960C" w14:textId="77777777" w:rsidR="00407B92" w:rsidRPr="0075559D" w:rsidRDefault="00407B92" w:rsidP="00312E88">
            <w:pPr>
              <w:rPr>
                <w:rFonts w:cs="Arial"/>
                <w:b/>
                <w:bCs/>
                <w:color w:val="FFFFFF"/>
                <w:sz w:val="16"/>
                <w:szCs w:val="16"/>
              </w:rPr>
            </w:pPr>
            <w:r w:rsidRPr="0075559D">
              <w:rPr>
                <w:rFonts w:cs="Arial"/>
                <w:b/>
                <w:bCs/>
                <w:color w:val="FFFFFF"/>
                <w:sz w:val="16"/>
                <w:szCs w:val="16"/>
              </w:rPr>
              <w:t>Total participant costs ($m)</w:t>
            </w:r>
          </w:p>
        </w:tc>
        <w:tc>
          <w:tcPr>
            <w:tcW w:w="521" w:type="pct"/>
            <w:tcBorders>
              <w:top w:val="nil"/>
              <w:left w:val="nil"/>
              <w:bottom w:val="nil"/>
              <w:right w:val="nil"/>
            </w:tcBorders>
            <w:shd w:val="clear" w:color="000000" w:fill="6B2976"/>
            <w:noWrap/>
            <w:vAlign w:val="bottom"/>
            <w:hideMark/>
          </w:tcPr>
          <w:p w14:paraId="63BFF298" w14:textId="77777777" w:rsidR="00407B92" w:rsidRPr="0075559D" w:rsidRDefault="00407B92" w:rsidP="00312E88">
            <w:pPr>
              <w:jc w:val="right"/>
              <w:rPr>
                <w:rFonts w:cs="Arial"/>
                <w:b/>
                <w:bCs/>
                <w:color w:val="FFFFFF"/>
                <w:sz w:val="16"/>
                <w:szCs w:val="16"/>
              </w:rPr>
            </w:pPr>
            <w:r w:rsidRPr="0075559D">
              <w:rPr>
                <w:rFonts w:cs="Arial"/>
                <w:b/>
                <w:bCs/>
                <w:color w:val="FFFFFF"/>
                <w:sz w:val="16"/>
                <w:szCs w:val="16"/>
              </w:rPr>
              <w:t>2020</w:t>
            </w:r>
          </w:p>
        </w:tc>
        <w:tc>
          <w:tcPr>
            <w:tcW w:w="521" w:type="pct"/>
            <w:tcBorders>
              <w:top w:val="nil"/>
              <w:left w:val="nil"/>
              <w:bottom w:val="nil"/>
              <w:right w:val="nil"/>
            </w:tcBorders>
            <w:shd w:val="clear" w:color="000000" w:fill="6B2976"/>
            <w:noWrap/>
            <w:vAlign w:val="bottom"/>
            <w:hideMark/>
          </w:tcPr>
          <w:p w14:paraId="55CA9FD0" w14:textId="77777777" w:rsidR="00407B92" w:rsidRPr="0075559D" w:rsidRDefault="00407B92" w:rsidP="00312E88">
            <w:pPr>
              <w:jc w:val="right"/>
              <w:rPr>
                <w:rFonts w:cs="Arial"/>
                <w:b/>
                <w:bCs/>
                <w:color w:val="FFFFFF"/>
                <w:sz w:val="16"/>
                <w:szCs w:val="16"/>
              </w:rPr>
            </w:pPr>
            <w:r w:rsidRPr="0075559D">
              <w:rPr>
                <w:rFonts w:cs="Arial"/>
                <w:b/>
                <w:bCs/>
                <w:color w:val="FFFFFF"/>
                <w:sz w:val="16"/>
                <w:szCs w:val="16"/>
              </w:rPr>
              <w:t>2025</w:t>
            </w:r>
          </w:p>
        </w:tc>
        <w:tc>
          <w:tcPr>
            <w:tcW w:w="521" w:type="pct"/>
            <w:tcBorders>
              <w:top w:val="nil"/>
              <w:left w:val="nil"/>
              <w:bottom w:val="nil"/>
              <w:right w:val="nil"/>
            </w:tcBorders>
            <w:shd w:val="clear" w:color="000000" w:fill="6B2976"/>
            <w:noWrap/>
            <w:vAlign w:val="bottom"/>
            <w:hideMark/>
          </w:tcPr>
          <w:p w14:paraId="5961CC4C" w14:textId="77777777" w:rsidR="00407B92" w:rsidRPr="0075559D" w:rsidRDefault="00407B92" w:rsidP="00312E88">
            <w:pPr>
              <w:jc w:val="right"/>
              <w:rPr>
                <w:rFonts w:cs="Arial"/>
                <w:b/>
                <w:bCs/>
                <w:color w:val="FFFFFF"/>
                <w:sz w:val="16"/>
                <w:szCs w:val="16"/>
              </w:rPr>
            </w:pPr>
            <w:r w:rsidRPr="0075559D">
              <w:rPr>
                <w:rFonts w:cs="Arial"/>
                <w:b/>
                <w:bCs/>
                <w:color w:val="FFFFFF"/>
                <w:sz w:val="16"/>
                <w:szCs w:val="16"/>
              </w:rPr>
              <w:t>2030</w:t>
            </w:r>
          </w:p>
        </w:tc>
      </w:tr>
      <w:tr w:rsidR="00407B92" w:rsidRPr="0075559D" w14:paraId="0AED5257" w14:textId="77777777" w:rsidTr="00407B92">
        <w:trPr>
          <w:trHeight w:hRule="exact" w:val="284"/>
        </w:trPr>
        <w:tc>
          <w:tcPr>
            <w:tcW w:w="3438" w:type="pct"/>
            <w:tcBorders>
              <w:top w:val="single" w:sz="4" w:space="0" w:color="auto"/>
              <w:left w:val="nil"/>
              <w:bottom w:val="single" w:sz="8" w:space="0" w:color="auto"/>
              <w:right w:val="nil"/>
            </w:tcBorders>
            <w:shd w:val="clear" w:color="auto" w:fill="auto"/>
            <w:noWrap/>
            <w:vAlign w:val="bottom"/>
            <w:hideMark/>
          </w:tcPr>
          <w:p w14:paraId="22B57310" w14:textId="77777777" w:rsidR="00407B92" w:rsidRPr="0075559D" w:rsidRDefault="00407B92" w:rsidP="00312E88">
            <w:pPr>
              <w:rPr>
                <w:rFonts w:cs="Arial"/>
                <w:color w:val="000000"/>
                <w:sz w:val="16"/>
                <w:szCs w:val="16"/>
              </w:rPr>
            </w:pPr>
            <w:r w:rsidRPr="0075559D">
              <w:rPr>
                <w:rFonts w:cs="Arial"/>
                <w:color w:val="000000"/>
                <w:sz w:val="16"/>
                <w:szCs w:val="16"/>
              </w:rPr>
              <w:t>2016-17 Baseline</w:t>
            </w:r>
          </w:p>
        </w:tc>
        <w:tc>
          <w:tcPr>
            <w:tcW w:w="521" w:type="pct"/>
            <w:tcBorders>
              <w:top w:val="single" w:sz="4" w:space="0" w:color="auto"/>
              <w:left w:val="nil"/>
              <w:bottom w:val="single" w:sz="8" w:space="0" w:color="auto"/>
              <w:right w:val="nil"/>
            </w:tcBorders>
            <w:shd w:val="clear" w:color="auto" w:fill="auto"/>
            <w:noWrap/>
            <w:vAlign w:val="bottom"/>
            <w:hideMark/>
          </w:tcPr>
          <w:p w14:paraId="260BE828" w14:textId="77777777" w:rsidR="00407B92" w:rsidRPr="0075559D" w:rsidRDefault="00407B92" w:rsidP="00312E88">
            <w:pPr>
              <w:jc w:val="right"/>
              <w:rPr>
                <w:rFonts w:cs="Arial"/>
                <w:color w:val="000000"/>
                <w:sz w:val="16"/>
                <w:szCs w:val="16"/>
              </w:rPr>
            </w:pPr>
            <w:r w:rsidRPr="0075559D">
              <w:rPr>
                <w:rFonts w:cs="Arial"/>
                <w:color w:val="000000"/>
                <w:sz w:val="16"/>
                <w:szCs w:val="16"/>
              </w:rPr>
              <w:t>21,240</w:t>
            </w:r>
          </w:p>
        </w:tc>
        <w:tc>
          <w:tcPr>
            <w:tcW w:w="521" w:type="pct"/>
            <w:tcBorders>
              <w:top w:val="single" w:sz="4" w:space="0" w:color="auto"/>
              <w:left w:val="nil"/>
              <w:bottom w:val="single" w:sz="8" w:space="0" w:color="auto"/>
              <w:right w:val="nil"/>
            </w:tcBorders>
            <w:shd w:val="clear" w:color="auto" w:fill="auto"/>
            <w:noWrap/>
            <w:vAlign w:val="bottom"/>
            <w:hideMark/>
          </w:tcPr>
          <w:p w14:paraId="31D61AFA" w14:textId="77777777" w:rsidR="00407B92" w:rsidRPr="0075559D" w:rsidRDefault="00407B92" w:rsidP="00312E88">
            <w:pPr>
              <w:jc w:val="right"/>
              <w:rPr>
                <w:rFonts w:cs="Arial"/>
                <w:color w:val="000000"/>
                <w:sz w:val="16"/>
                <w:szCs w:val="16"/>
              </w:rPr>
            </w:pPr>
            <w:r w:rsidRPr="0075559D">
              <w:rPr>
                <w:rFonts w:cs="Arial"/>
                <w:color w:val="000000"/>
                <w:sz w:val="16"/>
                <w:szCs w:val="16"/>
              </w:rPr>
              <w:t>30,492</w:t>
            </w:r>
          </w:p>
        </w:tc>
        <w:tc>
          <w:tcPr>
            <w:tcW w:w="521" w:type="pct"/>
            <w:tcBorders>
              <w:top w:val="single" w:sz="4" w:space="0" w:color="auto"/>
              <w:left w:val="nil"/>
              <w:bottom w:val="single" w:sz="8" w:space="0" w:color="auto"/>
              <w:right w:val="nil"/>
            </w:tcBorders>
            <w:shd w:val="clear" w:color="auto" w:fill="auto"/>
            <w:noWrap/>
            <w:vAlign w:val="bottom"/>
            <w:hideMark/>
          </w:tcPr>
          <w:p w14:paraId="7DD5B77E" w14:textId="77777777" w:rsidR="00407B92" w:rsidRPr="0075559D" w:rsidRDefault="00407B92" w:rsidP="00312E88">
            <w:pPr>
              <w:jc w:val="right"/>
              <w:rPr>
                <w:rFonts w:cs="Arial"/>
                <w:color w:val="000000"/>
                <w:sz w:val="16"/>
                <w:szCs w:val="16"/>
              </w:rPr>
            </w:pPr>
            <w:r w:rsidRPr="0075559D">
              <w:rPr>
                <w:rFonts w:cs="Arial"/>
                <w:color w:val="000000"/>
                <w:sz w:val="16"/>
                <w:szCs w:val="16"/>
              </w:rPr>
              <w:t>41,783</w:t>
            </w:r>
          </w:p>
        </w:tc>
      </w:tr>
      <w:tr w:rsidR="00407B92" w:rsidRPr="0075559D" w14:paraId="55365B41" w14:textId="77777777" w:rsidTr="00407B92">
        <w:trPr>
          <w:trHeight w:hRule="exact" w:val="284"/>
        </w:trPr>
        <w:tc>
          <w:tcPr>
            <w:tcW w:w="3438" w:type="pct"/>
            <w:tcBorders>
              <w:top w:val="nil"/>
              <w:left w:val="nil"/>
              <w:bottom w:val="nil"/>
              <w:right w:val="nil"/>
            </w:tcBorders>
            <w:shd w:val="clear" w:color="auto" w:fill="auto"/>
            <w:noWrap/>
            <w:vAlign w:val="bottom"/>
            <w:hideMark/>
          </w:tcPr>
          <w:p w14:paraId="4D7C86EE" w14:textId="77777777" w:rsidR="00407B92" w:rsidRPr="0075559D" w:rsidRDefault="00407B92" w:rsidP="00312E88">
            <w:pPr>
              <w:rPr>
                <w:rFonts w:cs="Arial"/>
                <w:color w:val="000000"/>
                <w:sz w:val="16"/>
                <w:szCs w:val="16"/>
              </w:rPr>
            </w:pPr>
            <w:r w:rsidRPr="0075559D">
              <w:rPr>
                <w:rFonts w:cs="Arial"/>
                <w:color w:val="000000"/>
                <w:sz w:val="16"/>
                <w:szCs w:val="16"/>
              </w:rPr>
              <w:t>Scenario 1a. Committed supports + utilisation of 85%</w:t>
            </w:r>
          </w:p>
        </w:tc>
        <w:tc>
          <w:tcPr>
            <w:tcW w:w="521" w:type="pct"/>
            <w:tcBorders>
              <w:top w:val="nil"/>
              <w:left w:val="nil"/>
              <w:bottom w:val="nil"/>
              <w:right w:val="nil"/>
            </w:tcBorders>
            <w:shd w:val="clear" w:color="auto" w:fill="auto"/>
            <w:noWrap/>
            <w:vAlign w:val="bottom"/>
            <w:hideMark/>
          </w:tcPr>
          <w:p w14:paraId="3D51428F" w14:textId="77777777" w:rsidR="00407B92" w:rsidRPr="0075559D" w:rsidRDefault="00407B92" w:rsidP="00312E88">
            <w:pPr>
              <w:jc w:val="right"/>
              <w:rPr>
                <w:rFonts w:cs="Arial"/>
                <w:color w:val="000000"/>
                <w:sz w:val="16"/>
                <w:szCs w:val="16"/>
              </w:rPr>
            </w:pPr>
            <w:r w:rsidRPr="0075559D">
              <w:rPr>
                <w:rFonts w:cs="Arial"/>
                <w:color w:val="000000"/>
                <w:sz w:val="16"/>
                <w:szCs w:val="16"/>
              </w:rPr>
              <w:t>20,436</w:t>
            </w:r>
          </w:p>
        </w:tc>
        <w:tc>
          <w:tcPr>
            <w:tcW w:w="521" w:type="pct"/>
            <w:tcBorders>
              <w:top w:val="nil"/>
              <w:left w:val="nil"/>
              <w:bottom w:val="nil"/>
              <w:right w:val="nil"/>
            </w:tcBorders>
            <w:shd w:val="clear" w:color="auto" w:fill="auto"/>
            <w:noWrap/>
            <w:vAlign w:val="bottom"/>
            <w:hideMark/>
          </w:tcPr>
          <w:p w14:paraId="71734994" w14:textId="77777777" w:rsidR="00407B92" w:rsidRPr="0075559D" w:rsidRDefault="00407B92" w:rsidP="00312E88">
            <w:pPr>
              <w:jc w:val="right"/>
              <w:rPr>
                <w:rFonts w:cs="Arial"/>
                <w:color w:val="000000"/>
                <w:sz w:val="16"/>
                <w:szCs w:val="16"/>
              </w:rPr>
            </w:pPr>
            <w:r w:rsidRPr="0075559D">
              <w:rPr>
                <w:rFonts w:cs="Arial"/>
                <w:color w:val="000000"/>
                <w:sz w:val="16"/>
                <w:szCs w:val="16"/>
              </w:rPr>
              <w:t>28,943</w:t>
            </w:r>
          </w:p>
        </w:tc>
        <w:tc>
          <w:tcPr>
            <w:tcW w:w="521" w:type="pct"/>
            <w:tcBorders>
              <w:top w:val="nil"/>
              <w:left w:val="nil"/>
              <w:bottom w:val="nil"/>
              <w:right w:val="nil"/>
            </w:tcBorders>
            <w:shd w:val="clear" w:color="auto" w:fill="auto"/>
            <w:noWrap/>
            <w:vAlign w:val="bottom"/>
            <w:hideMark/>
          </w:tcPr>
          <w:p w14:paraId="6EDAA69A" w14:textId="77777777" w:rsidR="00407B92" w:rsidRPr="0075559D" w:rsidRDefault="00407B92" w:rsidP="00312E88">
            <w:pPr>
              <w:jc w:val="right"/>
              <w:rPr>
                <w:rFonts w:cs="Arial"/>
                <w:color w:val="000000"/>
                <w:sz w:val="16"/>
                <w:szCs w:val="16"/>
              </w:rPr>
            </w:pPr>
            <w:r w:rsidRPr="0075559D">
              <w:rPr>
                <w:rFonts w:cs="Arial"/>
                <w:color w:val="000000"/>
                <w:sz w:val="16"/>
                <w:szCs w:val="16"/>
              </w:rPr>
              <w:t>38,863</w:t>
            </w:r>
          </w:p>
        </w:tc>
      </w:tr>
      <w:tr w:rsidR="00407B92" w:rsidRPr="0075559D" w14:paraId="0E7D862A" w14:textId="77777777" w:rsidTr="00407B92">
        <w:trPr>
          <w:trHeight w:hRule="exact" w:val="284"/>
        </w:trPr>
        <w:tc>
          <w:tcPr>
            <w:tcW w:w="3438" w:type="pct"/>
            <w:tcBorders>
              <w:top w:val="nil"/>
              <w:left w:val="nil"/>
              <w:bottom w:val="nil"/>
              <w:right w:val="nil"/>
            </w:tcBorders>
            <w:shd w:val="clear" w:color="auto" w:fill="auto"/>
            <w:noWrap/>
            <w:vAlign w:val="bottom"/>
            <w:hideMark/>
          </w:tcPr>
          <w:p w14:paraId="2157A974" w14:textId="77777777" w:rsidR="00407B92" w:rsidRPr="0075559D" w:rsidRDefault="00407B92" w:rsidP="00312E88">
            <w:pPr>
              <w:rPr>
                <w:rFonts w:cs="Arial"/>
                <w:color w:val="000000"/>
                <w:sz w:val="16"/>
                <w:szCs w:val="16"/>
              </w:rPr>
            </w:pPr>
            <w:r w:rsidRPr="0075559D">
              <w:rPr>
                <w:rFonts w:cs="Arial"/>
                <w:color w:val="000000"/>
                <w:sz w:val="16"/>
                <w:szCs w:val="16"/>
              </w:rPr>
              <w:t>Scenario 1b. Committed supports + utilisation of 90%</w:t>
            </w:r>
          </w:p>
        </w:tc>
        <w:tc>
          <w:tcPr>
            <w:tcW w:w="521" w:type="pct"/>
            <w:tcBorders>
              <w:top w:val="nil"/>
              <w:left w:val="nil"/>
              <w:bottom w:val="nil"/>
              <w:right w:val="nil"/>
            </w:tcBorders>
            <w:shd w:val="clear" w:color="auto" w:fill="auto"/>
            <w:noWrap/>
            <w:vAlign w:val="bottom"/>
            <w:hideMark/>
          </w:tcPr>
          <w:p w14:paraId="3B0C7CA4" w14:textId="77777777" w:rsidR="00407B92" w:rsidRPr="0075559D" w:rsidRDefault="00407B92" w:rsidP="00312E88">
            <w:pPr>
              <w:jc w:val="right"/>
              <w:rPr>
                <w:rFonts w:cs="Arial"/>
                <w:color w:val="000000"/>
                <w:sz w:val="16"/>
                <w:szCs w:val="16"/>
              </w:rPr>
            </w:pPr>
            <w:r w:rsidRPr="0075559D">
              <w:rPr>
                <w:rFonts w:cs="Arial"/>
                <w:color w:val="000000"/>
                <w:sz w:val="16"/>
                <w:szCs w:val="16"/>
              </w:rPr>
              <w:t>21,638</w:t>
            </w:r>
          </w:p>
        </w:tc>
        <w:tc>
          <w:tcPr>
            <w:tcW w:w="521" w:type="pct"/>
            <w:tcBorders>
              <w:top w:val="nil"/>
              <w:left w:val="nil"/>
              <w:bottom w:val="nil"/>
              <w:right w:val="nil"/>
            </w:tcBorders>
            <w:shd w:val="clear" w:color="auto" w:fill="auto"/>
            <w:noWrap/>
            <w:vAlign w:val="bottom"/>
            <w:hideMark/>
          </w:tcPr>
          <w:p w14:paraId="69166D94" w14:textId="77777777" w:rsidR="00407B92" w:rsidRPr="0075559D" w:rsidRDefault="00407B92" w:rsidP="00312E88">
            <w:pPr>
              <w:jc w:val="right"/>
              <w:rPr>
                <w:rFonts w:cs="Arial"/>
                <w:color w:val="000000"/>
                <w:sz w:val="16"/>
                <w:szCs w:val="16"/>
              </w:rPr>
            </w:pPr>
            <w:r w:rsidRPr="0075559D">
              <w:rPr>
                <w:rFonts w:cs="Arial"/>
                <w:color w:val="000000"/>
                <w:sz w:val="16"/>
                <w:szCs w:val="16"/>
              </w:rPr>
              <w:t>30,645</w:t>
            </w:r>
          </w:p>
        </w:tc>
        <w:tc>
          <w:tcPr>
            <w:tcW w:w="521" w:type="pct"/>
            <w:tcBorders>
              <w:top w:val="nil"/>
              <w:left w:val="nil"/>
              <w:bottom w:val="nil"/>
              <w:right w:val="nil"/>
            </w:tcBorders>
            <w:shd w:val="clear" w:color="auto" w:fill="auto"/>
            <w:noWrap/>
            <w:vAlign w:val="bottom"/>
            <w:hideMark/>
          </w:tcPr>
          <w:p w14:paraId="1C76A3FB" w14:textId="77777777" w:rsidR="00407B92" w:rsidRPr="0075559D" w:rsidRDefault="00407B92" w:rsidP="00312E88">
            <w:pPr>
              <w:jc w:val="right"/>
              <w:rPr>
                <w:rFonts w:cs="Arial"/>
                <w:color w:val="000000"/>
                <w:sz w:val="16"/>
                <w:szCs w:val="16"/>
              </w:rPr>
            </w:pPr>
            <w:r w:rsidRPr="0075559D">
              <w:rPr>
                <w:rFonts w:cs="Arial"/>
                <w:color w:val="000000"/>
                <w:sz w:val="16"/>
                <w:szCs w:val="16"/>
              </w:rPr>
              <w:t>41,149</w:t>
            </w:r>
          </w:p>
        </w:tc>
      </w:tr>
      <w:tr w:rsidR="00407B92" w:rsidRPr="0075559D" w14:paraId="6ECB3A8B" w14:textId="77777777" w:rsidTr="00407B92">
        <w:trPr>
          <w:trHeight w:hRule="exact" w:val="284"/>
        </w:trPr>
        <w:tc>
          <w:tcPr>
            <w:tcW w:w="3438" w:type="pct"/>
            <w:tcBorders>
              <w:top w:val="nil"/>
              <w:left w:val="nil"/>
              <w:bottom w:val="single" w:sz="4" w:space="0" w:color="auto"/>
              <w:right w:val="nil"/>
            </w:tcBorders>
            <w:shd w:val="clear" w:color="auto" w:fill="auto"/>
            <w:noWrap/>
            <w:vAlign w:val="bottom"/>
            <w:hideMark/>
          </w:tcPr>
          <w:p w14:paraId="0090B2A8" w14:textId="77777777" w:rsidR="00407B92" w:rsidRPr="0075559D" w:rsidRDefault="00407B92" w:rsidP="00312E88">
            <w:pPr>
              <w:rPr>
                <w:rFonts w:cs="Arial"/>
                <w:color w:val="000000"/>
                <w:sz w:val="16"/>
                <w:szCs w:val="16"/>
              </w:rPr>
            </w:pPr>
            <w:r w:rsidRPr="0075559D">
              <w:rPr>
                <w:rFonts w:cs="Arial"/>
                <w:color w:val="000000"/>
                <w:sz w:val="16"/>
                <w:szCs w:val="16"/>
              </w:rPr>
              <w:t>Scenario 1c. Committed supports + utilisation of 100%</w:t>
            </w:r>
          </w:p>
        </w:tc>
        <w:tc>
          <w:tcPr>
            <w:tcW w:w="521" w:type="pct"/>
            <w:tcBorders>
              <w:top w:val="nil"/>
              <w:left w:val="nil"/>
              <w:bottom w:val="single" w:sz="4" w:space="0" w:color="auto"/>
              <w:right w:val="nil"/>
            </w:tcBorders>
            <w:shd w:val="clear" w:color="auto" w:fill="auto"/>
            <w:noWrap/>
            <w:vAlign w:val="bottom"/>
            <w:hideMark/>
          </w:tcPr>
          <w:p w14:paraId="4A228FC0" w14:textId="77777777" w:rsidR="00407B92" w:rsidRPr="0075559D" w:rsidRDefault="00407B92" w:rsidP="00312E88">
            <w:pPr>
              <w:jc w:val="right"/>
              <w:rPr>
                <w:rFonts w:cs="Arial"/>
                <w:color w:val="000000"/>
                <w:sz w:val="16"/>
                <w:szCs w:val="16"/>
              </w:rPr>
            </w:pPr>
            <w:r w:rsidRPr="0075559D">
              <w:rPr>
                <w:rFonts w:cs="Arial"/>
                <w:color w:val="000000"/>
                <w:sz w:val="16"/>
                <w:szCs w:val="16"/>
              </w:rPr>
              <w:t>24,042</w:t>
            </w:r>
          </w:p>
        </w:tc>
        <w:tc>
          <w:tcPr>
            <w:tcW w:w="521" w:type="pct"/>
            <w:tcBorders>
              <w:top w:val="nil"/>
              <w:left w:val="nil"/>
              <w:bottom w:val="single" w:sz="4" w:space="0" w:color="auto"/>
              <w:right w:val="nil"/>
            </w:tcBorders>
            <w:shd w:val="clear" w:color="auto" w:fill="auto"/>
            <w:noWrap/>
            <w:vAlign w:val="bottom"/>
            <w:hideMark/>
          </w:tcPr>
          <w:p w14:paraId="2AF1A5D9" w14:textId="77777777" w:rsidR="00407B92" w:rsidRPr="0075559D" w:rsidRDefault="00407B92" w:rsidP="00312E88">
            <w:pPr>
              <w:jc w:val="right"/>
              <w:rPr>
                <w:rFonts w:cs="Arial"/>
                <w:color w:val="000000"/>
                <w:sz w:val="16"/>
                <w:szCs w:val="16"/>
              </w:rPr>
            </w:pPr>
            <w:r w:rsidRPr="0075559D">
              <w:rPr>
                <w:rFonts w:cs="Arial"/>
                <w:color w:val="000000"/>
                <w:sz w:val="16"/>
                <w:szCs w:val="16"/>
              </w:rPr>
              <w:t>34,050</w:t>
            </w:r>
          </w:p>
        </w:tc>
        <w:tc>
          <w:tcPr>
            <w:tcW w:w="521" w:type="pct"/>
            <w:tcBorders>
              <w:top w:val="nil"/>
              <w:left w:val="nil"/>
              <w:bottom w:val="single" w:sz="4" w:space="0" w:color="auto"/>
              <w:right w:val="nil"/>
            </w:tcBorders>
            <w:shd w:val="clear" w:color="auto" w:fill="auto"/>
            <w:noWrap/>
            <w:vAlign w:val="bottom"/>
            <w:hideMark/>
          </w:tcPr>
          <w:p w14:paraId="137446C2" w14:textId="77777777" w:rsidR="00407B92" w:rsidRPr="0075559D" w:rsidRDefault="00407B92" w:rsidP="00312E88">
            <w:pPr>
              <w:jc w:val="right"/>
              <w:rPr>
                <w:rFonts w:cs="Arial"/>
                <w:color w:val="000000"/>
                <w:sz w:val="16"/>
                <w:szCs w:val="16"/>
              </w:rPr>
            </w:pPr>
            <w:r w:rsidRPr="0075559D">
              <w:rPr>
                <w:rFonts w:cs="Arial"/>
                <w:color w:val="000000"/>
                <w:sz w:val="16"/>
                <w:szCs w:val="16"/>
              </w:rPr>
              <w:t>45,721</w:t>
            </w:r>
          </w:p>
        </w:tc>
      </w:tr>
      <w:tr w:rsidR="00407B92" w:rsidRPr="0075559D" w14:paraId="5739DE11" w14:textId="77777777" w:rsidTr="00407B92">
        <w:trPr>
          <w:trHeight w:hRule="exact" w:val="284"/>
        </w:trPr>
        <w:tc>
          <w:tcPr>
            <w:tcW w:w="3438" w:type="pct"/>
            <w:tcBorders>
              <w:top w:val="nil"/>
              <w:left w:val="nil"/>
              <w:bottom w:val="nil"/>
              <w:right w:val="nil"/>
            </w:tcBorders>
            <w:shd w:val="clear" w:color="auto" w:fill="auto"/>
            <w:noWrap/>
            <w:vAlign w:val="bottom"/>
            <w:hideMark/>
          </w:tcPr>
          <w:p w14:paraId="0591DDF0" w14:textId="77777777" w:rsidR="00407B92" w:rsidRPr="0075559D" w:rsidRDefault="00407B92" w:rsidP="00312E88">
            <w:pPr>
              <w:rPr>
                <w:rFonts w:cs="Arial"/>
                <w:color w:val="000000"/>
                <w:sz w:val="16"/>
                <w:szCs w:val="16"/>
              </w:rPr>
            </w:pPr>
            <w:r w:rsidRPr="0075559D">
              <w:rPr>
                <w:rFonts w:cs="Arial"/>
                <w:color w:val="000000"/>
                <w:sz w:val="16"/>
                <w:szCs w:val="16"/>
              </w:rPr>
              <w:t>Scenario 2a. 1% p.a. superimposed inflation</w:t>
            </w:r>
          </w:p>
        </w:tc>
        <w:tc>
          <w:tcPr>
            <w:tcW w:w="521" w:type="pct"/>
            <w:tcBorders>
              <w:top w:val="nil"/>
              <w:left w:val="nil"/>
              <w:bottom w:val="nil"/>
              <w:right w:val="nil"/>
            </w:tcBorders>
            <w:shd w:val="clear" w:color="auto" w:fill="auto"/>
            <w:noWrap/>
            <w:vAlign w:val="bottom"/>
            <w:hideMark/>
          </w:tcPr>
          <w:p w14:paraId="47FBE1FB" w14:textId="77777777" w:rsidR="00407B92" w:rsidRPr="0075559D" w:rsidRDefault="00407B92" w:rsidP="00312E88">
            <w:pPr>
              <w:jc w:val="right"/>
              <w:rPr>
                <w:rFonts w:cs="Arial"/>
                <w:color w:val="000000"/>
                <w:sz w:val="16"/>
                <w:szCs w:val="16"/>
              </w:rPr>
            </w:pPr>
            <w:r w:rsidRPr="0075559D">
              <w:rPr>
                <w:rFonts w:cs="Arial"/>
                <w:color w:val="000000"/>
                <w:sz w:val="16"/>
                <w:szCs w:val="16"/>
              </w:rPr>
              <w:t>21,756</w:t>
            </w:r>
          </w:p>
        </w:tc>
        <w:tc>
          <w:tcPr>
            <w:tcW w:w="521" w:type="pct"/>
            <w:tcBorders>
              <w:top w:val="nil"/>
              <w:left w:val="nil"/>
              <w:bottom w:val="nil"/>
              <w:right w:val="nil"/>
            </w:tcBorders>
            <w:shd w:val="clear" w:color="auto" w:fill="auto"/>
            <w:noWrap/>
            <w:vAlign w:val="bottom"/>
            <w:hideMark/>
          </w:tcPr>
          <w:p w14:paraId="251930F4" w14:textId="77777777" w:rsidR="00407B92" w:rsidRPr="0075559D" w:rsidRDefault="00407B92" w:rsidP="00312E88">
            <w:pPr>
              <w:jc w:val="right"/>
              <w:rPr>
                <w:rFonts w:cs="Arial"/>
                <w:color w:val="000000"/>
                <w:sz w:val="16"/>
                <w:szCs w:val="16"/>
              </w:rPr>
            </w:pPr>
            <w:r w:rsidRPr="0075559D">
              <w:rPr>
                <w:rFonts w:cs="Arial"/>
                <w:color w:val="000000"/>
                <w:sz w:val="16"/>
                <w:szCs w:val="16"/>
              </w:rPr>
              <w:t>32,762</w:t>
            </w:r>
          </w:p>
        </w:tc>
        <w:tc>
          <w:tcPr>
            <w:tcW w:w="521" w:type="pct"/>
            <w:tcBorders>
              <w:top w:val="nil"/>
              <w:left w:val="nil"/>
              <w:bottom w:val="nil"/>
              <w:right w:val="nil"/>
            </w:tcBorders>
            <w:shd w:val="clear" w:color="auto" w:fill="auto"/>
            <w:noWrap/>
            <w:vAlign w:val="bottom"/>
            <w:hideMark/>
          </w:tcPr>
          <w:p w14:paraId="5277C127" w14:textId="77777777" w:rsidR="00407B92" w:rsidRPr="0075559D" w:rsidRDefault="00407B92" w:rsidP="00312E88">
            <w:pPr>
              <w:jc w:val="right"/>
              <w:rPr>
                <w:rFonts w:cs="Arial"/>
                <w:color w:val="000000"/>
                <w:sz w:val="16"/>
                <w:szCs w:val="16"/>
              </w:rPr>
            </w:pPr>
            <w:r w:rsidRPr="0075559D">
              <w:rPr>
                <w:rFonts w:cs="Arial"/>
                <w:color w:val="000000"/>
                <w:sz w:val="16"/>
                <w:szCs w:val="16"/>
              </w:rPr>
              <w:t>47,095</w:t>
            </w:r>
          </w:p>
        </w:tc>
      </w:tr>
      <w:tr w:rsidR="00407B92" w:rsidRPr="0075559D" w14:paraId="1F8C9A0E" w14:textId="77777777" w:rsidTr="00407B92">
        <w:trPr>
          <w:trHeight w:hRule="exact" w:val="284"/>
        </w:trPr>
        <w:tc>
          <w:tcPr>
            <w:tcW w:w="3438" w:type="pct"/>
            <w:tcBorders>
              <w:top w:val="nil"/>
              <w:left w:val="nil"/>
              <w:bottom w:val="nil"/>
              <w:right w:val="nil"/>
            </w:tcBorders>
            <w:shd w:val="clear" w:color="auto" w:fill="auto"/>
            <w:noWrap/>
            <w:vAlign w:val="bottom"/>
            <w:hideMark/>
          </w:tcPr>
          <w:p w14:paraId="62091767" w14:textId="77777777" w:rsidR="00407B92" w:rsidRPr="0075559D" w:rsidRDefault="00407B92" w:rsidP="00312E88">
            <w:pPr>
              <w:rPr>
                <w:rFonts w:cs="Arial"/>
                <w:color w:val="000000"/>
                <w:sz w:val="16"/>
                <w:szCs w:val="16"/>
              </w:rPr>
            </w:pPr>
            <w:r w:rsidRPr="0075559D">
              <w:rPr>
                <w:rFonts w:cs="Arial"/>
                <w:color w:val="000000"/>
                <w:sz w:val="16"/>
                <w:szCs w:val="16"/>
              </w:rPr>
              <w:t>Scenario 2b. 2% p.a. superimposed inflation</w:t>
            </w:r>
          </w:p>
        </w:tc>
        <w:tc>
          <w:tcPr>
            <w:tcW w:w="521" w:type="pct"/>
            <w:tcBorders>
              <w:top w:val="nil"/>
              <w:left w:val="nil"/>
              <w:bottom w:val="nil"/>
              <w:right w:val="nil"/>
            </w:tcBorders>
            <w:shd w:val="clear" w:color="auto" w:fill="auto"/>
            <w:noWrap/>
            <w:vAlign w:val="bottom"/>
            <w:hideMark/>
          </w:tcPr>
          <w:p w14:paraId="11D3B378" w14:textId="77777777" w:rsidR="00407B92" w:rsidRPr="0075559D" w:rsidRDefault="00407B92" w:rsidP="00312E88">
            <w:pPr>
              <w:jc w:val="right"/>
              <w:rPr>
                <w:rFonts w:cs="Arial"/>
                <w:color w:val="000000"/>
                <w:sz w:val="16"/>
                <w:szCs w:val="16"/>
              </w:rPr>
            </w:pPr>
            <w:r w:rsidRPr="0075559D">
              <w:rPr>
                <w:rFonts w:cs="Arial"/>
                <w:color w:val="000000"/>
                <w:sz w:val="16"/>
                <w:szCs w:val="16"/>
              </w:rPr>
              <w:t>22,279</w:t>
            </w:r>
          </w:p>
        </w:tc>
        <w:tc>
          <w:tcPr>
            <w:tcW w:w="521" w:type="pct"/>
            <w:tcBorders>
              <w:top w:val="nil"/>
              <w:left w:val="nil"/>
              <w:bottom w:val="nil"/>
              <w:right w:val="nil"/>
            </w:tcBorders>
            <w:shd w:val="clear" w:color="auto" w:fill="auto"/>
            <w:noWrap/>
            <w:vAlign w:val="bottom"/>
            <w:hideMark/>
          </w:tcPr>
          <w:p w14:paraId="0198CF66" w14:textId="77777777" w:rsidR="00407B92" w:rsidRPr="0075559D" w:rsidRDefault="00407B92" w:rsidP="00312E88">
            <w:pPr>
              <w:jc w:val="right"/>
              <w:rPr>
                <w:rFonts w:cs="Arial"/>
                <w:color w:val="000000"/>
                <w:sz w:val="16"/>
                <w:szCs w:val="16"/>
              </w:rPr>
            </w:pPr>
            <w:r w:rsidRPr="0075559D">
              <w:rPr>
                <w:rFonts w:cs="Arial"/>
                <w:color w:val="000000"/>
                <w:sz w:val="16"/>
                <w:szCs w:val="16"/>
              </w:rPr>
              <w:t>35,179</w:t>
            </w:r>
          </w:p>
        </w:tc>
        <w:tc>
          <w:tcPr>
            <w:tcW w:w="521" w:type="pct"/>
            <w:tcBorders>
              <w:top w:val="nil"/>
              <w:left w:val="nil"/>
              <w:bottom w:val="nil"/>
              <w:right w:val="nil"/>
            </w:tcBorders>
            <w:shd w:val="clear" w:color="auto" w:fill="auto"/>
            <w:noWrap/>
            <w:vAlign w:val="bottom"/>
            <w:hideMark/>
          </w:tcPr>
          <w:p w14:paraId="5E59367F" w14:textId="77777777" w:rsidR="00407B92" w:rsidRPr="0075559D" w:rsidRDefault="00407B92" w:rsidP="00312E88">
            <w:pPr>
              <w:jc w:val="right"/>
              <w:rPr>
                <w:rFonts w:cs="Arial"/>
                <w:color w:val="000000"/>
                <w:sz w:val="16"/>
                <w:szCs w:val="16"/>
              </w:rPr>
            </w:pPr>
            <w:r w:rsidRPr="0075559D">
              <w:rPr>
                <w:rFonts w:cs="Arial"/>
                <w:color w:val="000000"/>
                <w:sz w:val="16"/>
                <w:szCs w:val="16"/>
              </w:rPr>
              <w:t>53,022</w:t>
            </w:r>
          </w:p>
        </w:tc>
      </w:tr>
      <w:tr w:rsidR="00407B92" w:rsidRPr="0075559D" w14:paraId="74068620" w14:textId="77777777" w:rsidTr="00407B92">
        <w:trPr>
          <w:trHeight w:hRule="exact" w:val="284"/>
        </w:trPr>
        <w:tc>
          <w:tcPr>
            <w:tcW w:w="3438" w:type="pct"/>
            <w:tcBorders>
              <w:top w:val="nil"/>
              <w:left w:val="nil"/>
              <w:bottom w:val="nil"/>
              <w:right w:val="nil"/>
            </w:tcBorders>
            <w:shd w:val="clear" w:color="auto" w:fill="auto"/>
            <w:noWrap/>
            <w:vAlign w:val="bottom"/>
            <w:hideMark/>
          </w:tcPr>
          <w:p w14:paraId="6FFEC9F3" w14:textId="77777777" w:rsidR="00407B92" w:rsidRPr="0075559D" w:rsidRDefault="00407B92" w:rsidP="00312E88">
            <w:pPr>
              <w:rPr>
                <w:rFonts w:cs="Arial"/>
                <w:color w:val="000000"/>
                <w:sz w:val="16"/>
                <w:szCs w:val="16"/>
              </w:rPr>
            </w:pPr>
            <w:r w:rsidRPr="0075559D">
              <w:rPr>
                <w:rFonts w:cs="Arial"/>
                <w:color w:val="000000"/>
                <w:sz w:val="16"/>
                <w:szCs w:val="16"/>
              </w:rPr>
              <w:t xml:space="preserve">Scenario 2c. 10% p.a. superimposed inflation for 2 years </w:t>
            </w:r>
          </w:p>
        </w:tc>
        <w:tc>
          <w:tcPr>
            <w:tcW w:w="521" w:type="pct"/>
            <w:tcBorders>
              <w:top w:val="nil"/>
              <w:left w:val="nil"/>
              <w:bottom w:val="nil"/>
              <w:right w:val="nil"/>
            </w:tcBorders>
            <w:shd w:val="clear" w:color="auto" w:fill="auto"/>
            <w:noWrap/>
            <w:vAlign w:val="bottom"/>
            <w:hideMark/>
          </w:tcPr>
          <w:p w14:paraId="1C965854" w14:textId="77777777" w:rsidR="00407B92" w:rsidRPr="0075559D" w:rsidRDefault="00407B92" w:rsidP="00312E88">
            <w:pPr>
              <w:jc w:val="right"/>
              <w:rPr>
                <w:rFonts w:cs="Arial"/>
                <w:color w:val="000000"/>
                <w:sz w:val="16"/>
                <w:szCs w:val="16"/>
              </w:rPr>
            </w:pPr>
            <w:r w:rsidRPr="0075559D">
              <w:rPr>
                <w:rFonts w:cs="Arial"/>
                <w:color w:val="000000"/>
                <w:sz w:val="16"/>
                <w:szCs w:val="16"/>
              </w:rPr>
              <w:t>25,509</w:t>
            </w:r>
          </w:p>
        </w:tc>
        <w:tc>
          <w:tcPr>
            <w:tcW w:w="521" w:type="pct"/>
            <w:tcBorders>
              <w:top w:val="nil"/>
              <w:left w:val="nil"/>
              <w:bottom w:val="nil"/>
              <w:right w:val="nil"/>
            </w:tcBorders>
            <w:shd w:val="clear" w:color="auto" w:fill="auto"/>
            <w:noWrap/>
            <w:vAlign w:val="bottom"/>
            <w:hideMark/>
          </w:tcPr>
          <w:p w14:paraId="4EC75B77" w14:textId="77777777" w:rsidR="00407B92" w:rsidRPr="0075559D" w:rsidRDefault="00407B92" w:rsidP="00312E88">
            <w:pPr>
              <w:jc w:val="right"/>
              <w:rPr>
                <w:rFonts w:cs="Arial"/>
                <w:color w:val="000000"/>
                <w:sz w:val="16"/>
                <w:szCs w:val="16"/>
              </w:rPr>
            </w:pPr>
            <w:r w:rsidRPr="0075559D">
              <w:rPr>
                <w:rFonts w:cs="Arial"/>
                <w:color w:val="000000"/>
                <w:sz w:val="16"/>
                <w:szCs w:val="16"/>
              </w:rPr>
              <w:t>36,619</w:t>
            </w:r>
          </w:p>
        </w:tc>
        <w:tc>
          <w:tcPr>
            <w:tcW w:w="521" w:type="pct"/>
            <w:tcBorders>
              <w:top w:val="nil"/>
              <w:left w:val="nil"/>
              <w:bottom w:val="nil"/>
              <w:right w:val="nil"/>
            </w:tcBorders>
            <w:shd w:val="clear" w:color="auto" w:fill="auto"/>
            <w:noWrap/>
            <w:vAlign w:val="bottom"/>
            <w:hideMark/>
          </w:tcPr>
          <w:p w14:paraId="510CD2F9" w14:textId="77777777" w:rsidR="00407B92" w:rsidRPr="0075559D" w:rsidRDefault="00407B92" w:rsidP="00312E88">
            <w:pPr>
              <w:jc w:val="right"/>
              <w:rPr>
                <w:rFonts w:cs="Arial"/>
                <w:color w:val="000000"/>
                <w:sz w:val="16"/>
                <w:szCs w:val="16"/>
              </w:rPr>
            </w:pPr>
            <w:r w:rsidRPr="0075559D">
              <w:rPr>
                <w:rFonts w:cs="Arial"/>
                <w:color w:val="000000"/>
                <w:sz w:val="16"/>
                <w:szCs w:val="16"/>
              </w:rPr>
              <w:t>50,179</w:t>
            </w:r>
          </w:p>
        </w:tc>
      </w:tr>
      <w:tr w:rsidR="00407B92" w:rsidRPr="0075559D" w14:paraId="2B7D62D7" w14:textId="77777777" w:rsidTr="00407B92">
        <w:trPr>
          <w:trHeight w:hRule="exact" w:val="284"/>
        </w:trPr>
        <w:tc>
          <w:tcPr>
            <w:tcW w:w="3438" w:type="pct"/>
            <w:tcBorders>
              <w:top w:val="nil"/>
              <w:left w:val="nil"/>
              <w:bottom w:val="single" w:sz="4" w:space="0" w:color="auto"/>
              <w:right w:val="nil"/>
            </w:tcBorders>
            <w:shd w:val="clear" w:color="auto" w:fill="auto"/>
            <w:noWrap/>
            <w:vAlign w:val="bottom"/>
            <w:hideMark/>
          </w:tcPr>
          <w:p w14:paraId="39547A81" w14:textId="77777777" w:rsidR="00407B92" w:rsidRPr="0075559D" w:rsidRDefault="00407B92" w:rsidP="00312E88">
            <w:pPr>
              <w:rPr>
                <w:rFonts w:cs="Arial"/>
                <w:color w:val="000000"/>
                <w:sz w:val="16"/>
                <w:szCs w:val="16"/>
              </w:rPr>
            </w:pPr>
            <w:r w:rsidRPr="0075559D">
              <w:rPr>
                <w:rFonts w:cs="Arial"/>
                <w:color w:val="000000"/>
                <w:sz w:val="16"/>
                <w:szCs w:val="16"/>
              </w:rPr>
              <w:t xml:space="preserve">Scenario 2d. 5% p.a. superimposed inflation for 5 years </w:t>
            </w:r>
          </w:p>
        </w:tc>
        <w:tc>
          <w:tcPr>
            <w:tcW w:w="521" w:type="pct"/>
            <w:tcBorders>
              <w:top w:val="nil"/>
              <w:left w:val="nil"/>
              <w:bottom w:val="single" w:sz="4" w:space="0" w:color="auto"/>
              <w:right w:val="nil"/>
            </w:tcBorders>
            <w:shd w:val="clear" w:color="auto" w:fill="auto"/>
            <w:noWrap/>
            <w:vAlign w:val="bottom"/>
            <w:hideMark/>
          </w:tcPr>
          <w:p w14:paraId="78EC6A85" w14:textId="77777777" w:rsidR="00407B92" w:rsidRPr="0075559D" w:rsidRDefault="00407B92" w:rsidP="00312E88">
            <w:pPr>
              <w:jc w:val="right"/>
              <w:rPr>
                <w:rFonts w:cs="Arial"/>
                <w:color w:val="000000"/>
                <w:sz w:val="16"/>
                <w:szCs w:val="16"/>
              </w:rPr>
            </w:pPr>
            <w:r w:rsidRPr="0075559D">
              <w:rPr>
                <w:rFonts w:cs="Arial"/>
                <w:color w:val="000000"/>
                <w:sz w:val="16"/>
                <w:szCs w:val="16"/>
              </w:rPr>
              <w:t>23,897</w:t>
            </w:r>
          </w:p>
        </w:tc>
        <w:tc>
          <w:tcPr>
            <w:tcW w:w="521" w:type="pct"/>
            <w:tcBorders>
              <w:top w:val="nil"/>
              <w:left w:val="nil"/>
              <w:bottom w:val="single" w:sz="4" w:space="0" w:color="auto"/>
              <w:right w:val="nil"/>
            </w:tcBorders>
            <w:shd w:val="clear" w:color="auto" w:fill="auto"/>
            <w:noWrap/>
            <w:vAlign w:val="bottom"/>
            <w:hideMark/>
          </w:tcPr>
          <w:p w14:paraId="20BF7158" w14:textId="77777777" w:rsidR="00407B92" w:rsidRPr="0075559D" w:rsidRDefault="00407B92" w:rsidP="00312E88">
            <w:pPr>
              <w:jc w:val="right"/>
              <w:rPr>
                <w:rFonts w:cs="Arial"/>
                <w:color w:val="000000"/>
                <w:sz w:val="16"/>
                <w:szCs w:val="16"/>
              </w:rPr>
            </w:pPr>
            <w:r w:rsidRPr="0075559D">
              <w:rPr>
                <w:rFonts w:cs="Arial"/>
                <w:color w:val="000000"/>
                <w:sz w:val="16"/>
                <w:szCs w:val="16"/>
              </w:rPr>
              <w:t>38,551</w:t>
            </w:r>
          </w:p>
        </w:tc>
        <w:tc>
          <w:tcPr>
            <w:tcW w:w="521" w:type="pct"/>
            <w:tcBorders>
              <w:top w:val="nil"/>
              <w:left w:val="nil"/>
              <w:bottom w:val="single" w:sz="4" w:space="0" w:color="auto"/>
              <w:right w:val="nil"/>
            </w:tcBorders>
            <w:shd w:val="clear" w:color="auto" w:fill="auto"/>
            <w:noWrap/>
            <w:vAlign w:val="bottom"/>
            <w:hideMark/>
          </w:tcPr>
          <w:p w14:paraId="6B6C0EB7" w14:textId="77777777" w:rsidR="00407B92" w:rsidRPr="0075559D" w:rsidRDefault="00407B92" w:rsidP="00312E88">
            <w:pPr>
              <w:jc w:val="right"/>
              <w:rPr>
                <w:rFonts w:cs="Arial"/>
                <w:color w:val="000000"/>
                <w:sz w:val="16"/>
                <w:szCs w:val="16"/>
              </w:rPr>
            </w:pPr>
            <w:r w:rsidRPr="0075559D">
              <w:rPr>
                <w:rFonts w:cs="Arial"/>
                <w:color w:val="000000"/>
                <w:sz w:val="16"/>
                <w:szCs w:val="16"/>
              </w:rPr>
              <w:t>52,826</w:t>
            </w:r>
          </w:p>
        </w:tc>
      </w:tr>
      <w:tr w:rsidR="00407B92" w:rsidRPr="0075559D" w14:paraId="69F7F063" w14:textId="77777777" w:rsidTr="00407B92">
        <w:trPr>
          <w:trHeight w:hRule="exact" w:val="284"/>
        </w:trPr>
        <w:tc>
          <w:tcPr>
            <w:tcW w:w="3438" w:type="pct"/>
            <w:tcBorders>
              <w:top w:val="nil"/>
              <w:left w:val="nil"/>
              <w:bottom w:val="nil"/>
              <w:right w:val="nil"/>
            </w:tcBorders>
            <w:shd w:val="clear" w:color="auto" w:fill="auto"/>
            <w:noWrap/>
            <w:vAlign w:val="bottom"/>
            <w:hideMark/>
          </w:tcPr>
          <w:p w14:paraId="04459C5D" w14:textId="77777777" w:rsidR="00407B92" w:rsidRPr="0075559D" w:rsidRDefault="00407B92" w:rsidP="00312E88">
            <w:pPr>
              <w:rPr>
                <w:rFonts w:cs="Arial"/>
                <w:color w:val="000000"/>
                <w:sz w:val="16"/>
                <w:szCs w:val="16"/>
              </w:rPr>
            </w:pPr>
            <w:r w:rsidRPr="0075559D">
              <w:rPr>
                <w:rFonts w:cs="Arial"/>
                <w:color w:val="000000"/>
                <w:sz w:val="16"/>
                <w:szCs w:val="16"/>
              </w:rPr>
              <w:t>Scenario 3a. Increase incidence 0 to 18 by 15%</w:t>
            </w:r>
          </w:p>
        </w:tc>
        <w:tc>
          <w:tcPr>
            <w:tcW w:w="521" w:type="pct"/>
            <w:tcBorders>
              <w:top w:val="nil"/>
              <w:left w:val="nil"/>
              <w:bottom w:val="nil"/>
              <w:right w:val="nil"/>
            </w:tcBorders>
            <w:shd w:val="clear" w:color="auto" w:fill="auto"/>
            <w:noWrap/>
            <w:vAlign w:val="bottom"/>
            <w:hideMark/>
          </w:tcPr>
          <w:p w14:paraId="7D8C4F7B" w14:textId="77777777" w:rsidR="00407B92" w:rsidRPr="0075559D" w:rsidRDefault="00407B92" w:rsidP="00312E88">
            <w:pPr>
              <w:jc w:val="right"/>
              <w:rPr>
                <w:rFonts w:cs="Arial"/>
                <w:color w:val="000000"/>
                <w:sz w:val="16"/>
                <w:szCs w:val="16"/>
              </w:rPr>
            </w:pPr>
            <w:r w:rsidRPr="0075559D">
              <w:rPr>
                <w:rFonts w:cs="Arial"/>
                <w:color w:val="000000"/>
                <w:sz w:val="16"/>
                <w:szCs w:val="16"/>
              </w:rPr>
              <w:t>22,345</w:t>
            </w:r>
          </w:p>
        </w:tc>
        <w:tc>
          <w:tcPr>
            <w:tcW w:w="521" w:type="pct"/>
            <w:tcBorders>
              <w:top w:val="nil"/>
              <w:left w:val="nil"/>
              <w:bottom w:val="nil"/>
              <w:right w:val="nil"/>
            </w:tcBorders>
            <w:shd w:val="clear" w:color="auto" w:fill="auto"/>
            <w:noWrap/>
            <w:vAlign w:val="bottom"/>
            <w:hideMark/>
          </w:tcPr>
          <w:p w14:paraId="0AD22EA1" w14:textId="77777777" w:rsidR="00407B92" w:rsidRPr="0075559D" w:rsidRDefault="00407B92" w:rsidP="00312E88">
            <w:pPr>
              <w:jc w:val="right"/>
              <w:rPr>
                <w:rFonts w:cs="Arial"/>
                <w:color w:val="000000"/>
                <w:sz w:val="16"/>
                <w:szCs w:val="16"/>
              </w:rPr>
            </w:pPr>
            <w:r w:rsidRPr="0075559D">
              <w:rPr>
                <w:rFonts w:cs="Arial"/>
                <w:color w:val="000000"/>
                <w:sz w:val="16"/>
                <w:szCs w:val="16"/>
              </w:rPr>
              <w:t>32,201</w:t>
            </w:r>
          </w:p>
        </w:tc>
        <w:tc>
          <w:tcPr>
            <w:tcW w:w="521" w:type="pct"/>
            <w:tcBorders>
              <w:top w:val="nil"/>
              <w:left w:val="nil"/>
              <w:bottom w:val="nil"/>
              <w:right w:val="nil"/>
            </w:tcBorders>
            <w:shd w:val="clear" w:color="auto" w:fill="auto"/>
            <w:noWrap/>
            <w:vAlign w:val="bottom"/>
            <w:hideMark/>
          </w:tcPr>
          <w:p w14:paraId="3C537D3A" w14:textId="77777777" w:rsidR="00407B92" w:rsidRPr="0075559D" w:rsidRDefault="00407B92" w:rsidP="00312E88">
            <w:pPr>
              <w:jc w:val="right"/>
              <w:rPr>
                <w:rFonts w:cs="Arial"/>
                <w:color w:val="000000"/>
                <w:sz w:val="16"/>
                <w:szCs w:val="16"/>
              </w:rPr>
            </w:pPr>
            <w:r w:rsidRPr="0075559D">
              <w:rPr>
                <w:rFonts w:cs="Arial"/>
                <w:color w:val="000000"/>
                <w:sz w:val="16"/>
                <w:szCs w:val="16"/>
              </w:rPr>
              <w:t>44,258</w:t>
            </w:r>
          </w:p>
        </w:tc>
      </w:tr>
      <w:tr w:rsidR="00407B92" w:rsidRPr="0075559D" w14:paraId="359F971C" w14:textId="77777777" w:rsidTr="00407B92">
        <w:trPr>
          <w:trHeight w:hRule="exact" w:val="284"/>
        </w:trPr>
        <w:tc>
          <w:tcPr>
            <w:tcW w:w="3438" w:type="pct"/>
            <w:tcBorders>
              <w:top w:val="nil"/>
              <w:left w:val="nil"/>
              <w:bottom w:val="nil"/>
              <w:right w:val="nil"/>
            </w:tcBorders>
            <w:shd w:val="clear" w:color="auto" w:fill="auto"/>
            <w:noWrap/>
            <w:vAlign w:val="bottom"/>
            <w:hideMark/>
          </w:tcPr>
          <w:p w14:paraId="67CDE965" w14:textId="77777777" w:rsidR="00407B92" w:rsidRPr="0075559D" w:rsidRDefault="00407B92" w:rsidP="00312E88">
            <w:pPr>
              <w:rPr>
                <w:rFonts w:cs="Arial"/>
                <w:color w:val="000000"/>
                <w:sz w:val="16"/>
                <w:szCs w:val="16"/>
              </w:rPr>
            </w:pPr>
            <w:r w:rsidRPr="0075559D">
              <w:rPr>
                <w:rFonts w:cs="Arial"/>
                <w:color w:val="000000"/>
                <w:sz w:val="16"/>
                <w:szCs w:val="16"/>
              </w:rPr>
              <w:t>Scenario 3b. Reduce incidence 25+ by 5%</w:t>
            </w:r>
          </w:p>
        </w:tc>
        <w:tc>
          <w:tcPr>
            <w:tcW w:w="521" w:type="pct"/>
            <w:tcBorders>
              <w:top w:val="nil"/>
              <w:left w:val="nil"/>
              <w:bottom w:val="nil"/>
              <w:right w:val="nil"/>
            </w:tcBorders>
            <w:shd w:val="clear" w:color="auto" w:fill="auto"/>
            <w:noWrap/>
            <w:vAlign w:val="bottom"/>
            <w:hideMark/>
          </w:tcPr>
          <w:p w14:paraId="617FA2F4" w14:textId="77777777" w:rsidR="00407B92" w:rsidRPr="0075559D" w:rsidRDefault="00407B92" w:rsidP="00312E88">
            <w:pPr>
              <w:jc w:val="right"/>
              <w:rPr>
                <w:rFonts w:cs="Arial"/>
                <w:color w:val="000000"/>
                <w:sz w:val="16"/>
                <w:szCs w:val="16"/>
              </w:rPr>
            </w:pPr>
            <w:r w:rsidRPr="0075559D">
              <w:rPr>
                <w:rFonts w:cs="Arial"/>
                <w:color w:val="000000"/>
                <w:sz w:val="16"/>
                <w:szCs w:val="16"/>
              </w:rPr>
              <w:t>20,662</w:t>
            </w:r>
          </w:p>
        </w:tc>
        <w:tc>
          <w:tcPr>
            <w:tcW w:w="521" w:type="pct"/>
            <w:tcBorders>
              <w:top w:val="nil"/>
              <w:left w:val="nil"/>
              <w:bottom w:val="nil"/>
              <w:right w:val="nil"/>
            </w:tcBorders>
            <w:shd w:val="clear" w:color="auto" w:fill="auto"/>
            <w:noWrap/>
            <w:vAlign w:val="bottom"/>
            <w:hideMark/>
          </w:tcPr>
          <w:p w14:paraId="789B4D9E" w14:textId="77777777" w:rsidR="00407B92" w:rsidRPr="0075559D" w:rsidRDefault="00407B92" w:rsidP="00312E88">
            <w:pPr>
              <w:jc w:val="right"/>
              <w:rPr>
                <w:rFonts w:cs="Arial"/>
                <w:color w:val="000000"/>
                <w:sz w:val="16"/>
                <w:szCs w:val="16"/>
              </w:rPr>
            </w:pPr>
            <w:r w:rsidRPr="0075559D">
              <w:rPr>
                <w:rFonts w:cs="Arial"/>
                <w:color w:val="000000"/>
                <w:sz w:val="16"/>
                <w:szCs w:val="16"/>
              </w:rPr>
              <w:t>29,676</w:t>
            </w:r>
          </w:p>
        </w:tc>
        <w:tc>
          <w:tcPr>
            <w:tcW w:w="521" w:type="pct"/>
            <w:tcBorders>
              <w:top w:val="nil"/>
              <w:left w:val="nil"/>
              <w:bottom w:val="nil"/>
              <w:right w:val="nil"/>
            </w:tcBorders>
            <w:shd w:val="clear" w:color="auto" w:fill="auto"/>
            <w:noWrap/>
            <w:vAlign w:val="bottom"/>
            <w:hideMark/>
          </w:tcPr>
          <w:p w14:paraId="78FDA493" w14:textId="77777777" w:rsidR="00407B92" w:rsidRPr="0075559D" w:rsidRDefault="00407B92" w:rsidP="00312E88">
            <w:pPr>
              <w:jc w:val="right"/>
              <w:rPr>
                <w:rFonts w:cs="Arial"/>
                <w:color w:val="000000"/>
                <w:sz w:val="16"/>
                <w:szCs w:val="16"/>
              </w:rPr>
            </w:pPr>
            <w:r w:rsidRPr="0075559D">
              <w:rPr>
                <w:rFonts w:cs="Arial"/>
                <w:color w:val="000000"/>
                <w:sz w:val="16"/>
                <w:szCs w:val="16"/>
              </w:rPr>
              <w:t>40,695</w:t>
            </w:r>
          </w:p>
        </w:tc>
      </w:tr>
      <w:tr w:rsidR="00407B92" w:rsidRPr="0075559D" w14:paraId="6568007B" w14:textId="77777777" w:rsidTr="00407B92">
        <w:trPr>
          <w:trHeight w:hRule="exact" w:val="284"/>
        </w:trPr>
        <w:tc>
          <w:tcPr>
            <w:tcW w:w="3438" w:type="pct"/>
            <w:tcBorders>
              <w:top w:val="nil"/>
              <w:left w:val="nil"/>
              <w:bottom w:val="single" w:sz="4" w:space="0" w:color="auto"/>
              <w:right w:val="nil"/>
            </w:tcBorders>
            <w:shd w:val="clear" w:color="auto" w:fill="auto"/>
            <w:noWrap/>
            <w:vAlign w:val="bottom"/>
            <w:hideMark/>
          </w:tcPr>
          <w:p w14:paraId="4674E2D1" w14:textId="77777777" w:rsidR="00407B92" w:rsidRPr="0075559D" w:rsidRDefault="00407B92" w:rsidP="00312E88">
            <w:pPr>
              <w:rPr>
                <w:rFonts w:cs="Arial"/>
                <w:color w:val="000000"/>
                <w:sz w:val="16"/>
                <w:szCs w:val="16"/>
              </w:rPr>
            </w:pPr>
            <w:r w:rsidRPr="0075559D">
              <w:rPr>
                <w:rFonts w:cs="Arial"/>
                <w:color w:val="000000"/>
                <w:sz w:val="16"/>
                <w:szCs w:val="16"/>
              </w:rPr>
              <w:t>Scenario 3c. Combination of 3a. and 3b.</w:t>
            </w:r>
          </w:p>
        </w:tc>
        <w:tc>
          <w:tcPr>
            <w:tcW w:w="521" w:type="pct"/>
            <w:tcBorders>
              <w:top w:val="nil"/>
              <w:left w:val="nil"/>
              <w:bottom w:val="single" w:sz="4" w:space="0" w:color="auto"/>
              <w:right w:val="nil"/>
            </w:tcBorders>
            <w:shd w:val="clear" w:color="auto" w:fill="auto"/>
            <w:noWrap/>
            <w:vAlign w:val="bottom"/>
            <w:hideMark/>
          </w:tcPr>
          <w:p w14:paraId="0D2E3702" w14:textId="77777777" w:rsidR="00407B92" w:rsidRPr="0075559D" w:rsidRDefault="00407B92" w:rsidP="00312E88">
            <w:pPr>
              <w:jc w:val="right"/>
              <w:rPr>
                <w:rFonts w:cs="Arial"/>
                <w:color w:val="000000"/>
                <w:sz w:val="16"/>
                <w:szCs w:val="16"/>
              </w:rPr>
            </w:pPr>
            <w:r w:rsidRPr="0075559D">
              <w:rPr>
                <w:rFonts w:cs="Arial"/>
                <w:color w:val="000000"/>
                <w:sz w:val="16"/>
                <w:szCs w:val="16"/>
              </w:rPr>
              <w:t>21,766</w:t>
            </w:r>
          </w:p>
        </w:tc>
        <w:tc>
          <w:tcPr>
            <w:tcW w:w="521" w:type="pct"/>
            <w:tcBorders>
              <w:top w:val="nil"/>
              <w:left w:val="nil"/>
              <w:bottom w:val="single" w:sz="4" w:space="0" w:color="auto"/>
              <w:right w:val="nil"/>
            </w:tcBorders>
            <w:shd w:val="clear" w:color="auto" w:fill="auto"/>
            <w:noWrap/>
            <w:vAlign w:val="bottom"/>
            <w:hideMark/>
          </w:tcPr>
          <w:p w14:paraId="4100FB5A" w14:textId="77777777" w:rsidR="00407B92" w:rsidRPr="0075559D" w:rsidRDefault="00407B92" w:rsidP="00312E88">
            <w:pPr>
              <w:jc w:val="right"/>
              <w:rPr>
                <w:rFonts w:cs="Arial"/>
                <w:color w:val="000000"/>
                <w:sz w:val="16"/>
                <w:szCs w:val="16"/>
              </w:rPr>
            </w:pPr>
            <w:r w:rsidRPr="0075559D">
              <w:rPr>
                <w:rFonts w:cs="Arial"/>
                <w:color w:val="000000"/>
                <w:sz w:val="16"/>
                <w:szCs w:val="16"/>
              </w:rPr>
              <w:t>31,385</w:t>
            </w:r>
          </w:p>
        </w:tc>
        <w:tc>
          <w:tcPr>
            <w:tcW w:w="521" w:type="pct"/>
            <w:tcBorders>
              <w:top w:val="nil"/>
              <w:left w:val="nil"/>
              <w:bottom w:val="single" w:sz="4" w:space="0" w:color="auto"/>
              <w:right w:val="nil"/>
            </w:tcBorders>
            <w:shd w:val="clear" w:color="auto" w:fill="auto"/>
            <w:noWrap/>
            <w:vAlign w:val="bottom"/>
            <w:hideMark/>
          </w:tcPr>
          <w:p w14:paraId="5DB78B4D" w14:textId="77777777" w:rsidR="00407B92" w:rsidRPr="0075559D" w:rsidRDefault="00407B92" w:rsidP="00312E88">
            <w:pPr>
              <w:jc w:val="right"/>
              <w:rPr>
                <w:rFonts w:cs="Arial"/>
                <w:color w:val="000000"/>
                <w:sz w:val="16"/>
                <w:szCs w:val="16"/>
              </w:rPr>
            </w:pPr>
            <w:r w:rsidRPr="0075559D">
              <w:rPr>
                <w:rFonts w:cs="Arial"/>
                <w:color w:val="000000"/>
                <w:sz w:val="16"/>
                <w:szCs w:val="16"/>
              </w:rPr>
              <w:t>43,171</w:t>
            </w:r>
          </w:p>
        </w:tc>
      </w:tr>
      <w:tr w:rsidR="00407B92" w:rsidRPr="0075559D" w14:paraId="00A92E86" w14:textId="77777777" w:rsidTr="00407B92">
        <w:trPr>
          <w:trHeight w:hRule="exact" w:val="284"/>
        </w:trPr>
        <w:tc>
          <w:tcPr>
            <w:tcW w:w="3438" w:type="pct"/>
            <w:tcBorders>
              <w:top w:val="nil"/>
              <w:left w:val="nil"/>
              <w:bottom w:val="nil"/>
              <w:right w:val="nil"/>
            </w:tcBorders>
            <w:shd w:val="clear" w:color="auto" w:fill="auto"/>
            <w:noWrap/>
            <w:vAlign w:val="bottom"/>
            <w:hideMark/>
          </w:tcPr>
          <w:p w14:paraId="61E76405" w14:textId="2E9C4001" w:rsidR="00407B92" w:rsidRPr="0075559D" w:rsidRDefault="00407B92" w:rsidP="00312E88">
            <w:pPr>
              <w:rPr>
                <w:rFonts w:cs="Arial"/>
                <w:color w:val="000000"/>
                <w:sz w:val="16"/>
                <w:szCs w:val="16"/>
              </w:rPr>
            </w:pPr>
            <w:r w:rsidRPr="0075559D">
              <w:rPr>
                <w:rFonts w:cs="Arial"/>
                <w:color w:val="000000"/>
                <w:sz w:val="16"/>
                <w:szCs w:val="16"/>
              </w:rPr>
              <w:t>Scenario 4a. Halve non-</w:t>
            </w:r>
            <w:r w:rsidR="0046598B" w:rsidRPr="0075559D">
              <w:rPr>
                <w:rFonts w:cs="Arial"/>
                <w:color w:val="000000"/>
                <w:sz w:val="16"/>
                <w:szCs w:val="16"/>
              </w:rPr>
              <w:t>mortality</w:t>
            </w:r>
            <w:r w:rsidRPr="0075559D">
              <w:rPr>
                <w:rFonts w:cs="Arial"/>
                <w:color w:val="000000"/>
                <w:sz w:val="16"/>
                <w:szCs w:val="16"/>
              </w:rPr>
              <w:t xml:space="preserve"> exits ages 0 to 64</w:t>
            </w:r>
          </w:p>
        </w:tc>
        <w:tc>
          <w:tcPr>
            <w:tcW w:w="521" w:type="pct"/>
            <w:tcBorders>
              <w:top w:val="nil"/>
              <w:left w:val="nil"/>
              <w:bottom w:val="nil"/>
              <w:right w:val="nil"/>
            </w:tcBorders>
            <w:shd w:val="clear" w:color="auto" w:fill="auto"/>
            <w:noWrap/>
            <w:vAlign w:val="bottom"/>
            <w:hideMark/>
          </w:tcPr>
          <w:p w14:paraId="04F4FEE5" w14:textId="77777777" w:rsidR="00407B92" w:rsidRPr="0075559D" w:rsidRDefault="00407B92" w:rsidP="00312E88">
            <w:pPr>
              <w:jc w:val="right"/>
              <w:rPr>
                <w:rFonts w:cs="Arial"/>
                <w:color w:val="000000"/>
                <w:sz w:val="16"/>
                <w:szCs w:val="16"/>
              </w:rPr>
            </w:pPr>
            <w:r w:rsidRPr="0075559D">
              <w:rPr>
                <w:rFonts w:cs="Arial"/>
                <w:color w:val="000000"/>
                <w:sz w:val="16"/>
                <w:szCs w:val="16"/>
              </w:rPr>
              <w:t>21,240</w:t>
            </w:r>
          </w:p>
        </w:tc>
        <w:tc>
          <w:tcPr>
            <w:tcW w:w="521" w:type="pct"/>
            <w:tcBorders>
              <w:top w:val="nil"/>
              <w:left w:val="nil"/>
              <w:bottom w:val="nil"/>
              <w:right w:val="nil"/>
            </w:tcBorders>
            <w:shd w:val="clear" w:color="auto" w:fill="auto"/>
            <w:noWrap/>
            <w:vAlign w:val="bottom"/>
            <w:hideMark/>
          </w:tcPr>
          <w:p w14:paraId="45E339F5" w14:textId="77777777" w:rsidR="00407B92" w:rsidRPr="0075559D" w:rsidRDefault="00407B92" w:rsidP="00312E88">
            <w:pPr>
              <w:jc w:val="right"/>
              <w:rPr>
                <w:rFonts w:cs="Arial"/>
                <w:color w:val="000000"/>
                <w:sz w:val="16"/>
                <w:szCs w:val="16"/>
              </w:rPr>
            </w:pPr>
            <w:r w:rsidRPr="0075559D">
              <w:rPr>
                <w:rFonts w:cs="Arial"/>
                <w:color w:val="000000"/>
                <w:sz w:val="16"/>
                <w:szCs w:val="16"/>
              </w:rPr>
              <w:t>31,315</w:t>
            </w:r>
          </w:p>
        </w:tc>
        <w:tc>
          <w:tcPr>
            <w:tcW w:w="521" w:type="pct"/>
            <w:tcBorders>
              <w:top w:val="nil"/>
              <w:left w:val="nil"/>
              <w:bottom w:val="nil"/>
              <w:right w:val="nil"/>
            </w:tcBorders>
            <w:shd w:val="clear" w:color="auto" w:fill="auto"/>
            <w:noWrap/>
            <w:vAlign w:val="bottom"/>
            <w:hideMark/>
          </w:tcPr>
          <w:p w14:paraId="393350A2" w14:textId="77777777" w:rsidR="00407B92" w:rsidRPr="0075559D" w:rsidRDefault="00407B92" w:rsidP="00312E88">
            <w:pPr>
              <w:jc w:val="right"/>
              <w:rPr>
                <w:rFonts w:cs="Arial"/>
                <w:color w:val="000000"/>
                <w:sz w:val="16"/>
                <w:szCs w:val="16"/>
              </w:rPr>
            </w:pPr>
            <w:r w:rsidRPr="0075559D">
              <w:rPr>
                <w:rFonts w:cs="Arial"/>
                <w:color w:val="000000"/>
                <w:sz w:val="16"/>
                <w:szCs w:val="16"/>
              </w:rPr>
              <w:t>44,041</w:t>
            </w:r>
          </w:p>
        </w:tc>
      </w:tr>
      <w:tr w:rsidR="00407B92" w:rsidRPr="0075559D" w14:paraId="65D423BE" w14:textId="77777777" w:rsidTr="00407B92">
        <w:trPr>
          <w:trHeight w:hRule="exact" w:val="284"/>
        </w:trPr>
        <w:tc>
          <w:tcPr>
            <w:tcW w:w="3438" w:type="pct"/>
            <w:tcBorders>
              <w:top w:val="nil"/>
              <w:left w:val="nil"/>
              <w:bottom w:val="nil"/>
              <w:right w:val="nil"/>
            </w:tcBorders>
            <w:shd w:val="clear" w:color="auto" w:fill="auto"/>
            <w:noWrap/>
            <w:vAlign w:val="bottom"/>
            <w:hideMark/>
          </w:tcPr>
          <w:p w14:paraId="756A6BB8" w14:textId="77777777" w:rsidR="00407B92" w:rsidRPr="0075559D" w:rsidRDefault="00407B92" w:rsidP="00312E88">
            <w:pPr>
              <w:rPr>
                <w:rFonts w:cs="Arial"/>
                <w:color w:val="000000"/>
                <w:sz w:val="16"/>
                <w:szCs w:val="16"/>
              </w:rPr>
            </w:pPr>
            <w:r w:rsidRPr="0075559D">
              <w:rPr>
                <w:rFonts w:cs="Arial"/>
                <w:color w:val="000000"/>
                <w:sz w:val="16"/>
                <w:szCs w:val="16"/>
              </w:rPr>
              <w:t>Scenario 4b. Double non-mortality exits for ages 65+</w:t>
            </w:r>
          </w:p>
        </w:tc>
        <w:tc>
          <w:tcPr>
            <w:tcW w:w="521" w:type="pct"/>
            <w:tcBorders>
              <w:top w:val="nil"/>
              <w:left w:val="nil"/>
              <w:bottom w:val="nil"/>
              <w:right w:val="nil"/>
            </w:tcBorders>
            <w:shd w:val="clear" w:color="auto" w:fill="auto"/>
            <w:noWrap/>
            <w:vAlign w:val="bottom"/>
            <w:hideMark/>
          </w:tcPr>
          <w:p w14:paraId="0EB37606" w14:textId="77777777" w:rsidR="00407B92" w:rsidRPr="0075559D" w:rsidRDefault="00407B92" w:rsidP="00312E88">
            <w:pPr>
              <w:jc w:val="right"/>
              <w:rPr>
                <w:rFonts w:cs="Arial"/>
                <w:color w:val="000000"/>
                <w:sz w:val="16"/>
                <w:szCs w:val="16"/>
              </w:rPr>
            </w:pPr>
            <w:r w:rsidRPr="0075559D">
              <w:rPr>
                <w:rFonts w:cs="Arial"/>
                <w:color w:val="000000"/>
                <w:sz w:val="16"/>
                <w:szCs w:val="16"/>
              </w:rPr>
              <w:t>21,237</w:t>
            </w:r>
          </w:p>
        </w:tc>
        <w:tc>
          <w:tcPr>
            <w:tcW w:w="521" w:type="pct"/>
            <w:tcBorders>
              <w:top w:val="nil"/>
              <w:left w:val="nil"/>
              <w:bottom w:val="nil"/>
              <w:right w:val="nil"/>
            </w:tcBorders>
            <w:shd w:val="clear" w:color="auto" w:fill="auto"/>
            <w:noWrap/>
            <w:vAlign w:val="bottom"/>
            <w:hideMark/>
          </w:tcPr>
          <w:p w14:paraId="15C36CB8" w14:textId="77777777" w:rsidR="00407B92" w:rsidRPr="0075559D" w:rsidRDefault="00407B92" w:rsidP="00312E88">
            <w:pPr>
              <w:jc w:val="right"/>
              <w:rPr>
                <w:rFonts w:cs="Arial"/>
                <w:color w:val="000000"/>
                <w:sz w:val="16"/>
                <w:szCs w:val="16"/>
              </w:rPr>
            </w:pPr>
            <w:r w:rsidRPr="0075559D">
              <w:rPr>
                <w:rFonts w:cs="Arial"/>
                <w:color w:val="000000"/>
                <w:sz w:val="16"/>
                <w:szCs w:val="16"/>
              </w:rPr>
              <w:t>30,434</w:t>
            </w:r>
          </w:p>
        </w:tc>
        <w:tc>
          <w:tcPr>
            <w:tcW w:w="521" w:type="pct"/>
            <w:tcBorders>
              <w:top w:val="nil"/>
              <w:left w:val="nil"/>
              <w:bottom w:val="nil"/>
              <w:right w:val="nil"/>
            </w:tcBorders>
            <w:shd w:val="clear" w:color="auto" w:fill="auto"/>
            <w:noWrap/>
            <w:vAlign w:val="bottom"/>
            <w:hideMark/>
          </w:tcPr>
          <w:p w14:paraId="052E8C97" w14:textId="77777777" w:rsidR="00407B92" w:rsidRPr="0075559D" w:rsidRDefault="00407B92" w:rsidP="00312E88">
            <w:pPr>
              <w:jc w:val="right"/>
              <w:rPr>
                <w:rFonts w:cs="Arial"/>
                <w:color w:val="000000"/>
                <w:sz w:val="16"/>
                <w:szCs w:val="16"/>
              </w:rPr>
            </w:pPr>
            <w:r w:rsidRPr="0075559D">
              <w:rPr>
                <w:rFonts w:cs="Arial"/>
                <w:color w:val="000000"/>
                <w:sz w:val="16"/>
                <w:szCs w:val="16"/>
              </w:rPr>
              <w:t>41,532</w:t>
            </w:r>
          </w:p>
        </w:tc>
      </w:tr>
      <w:tr w:rsidR="00407B92" w:rsidRPr="0075559D" w14:paraId="61F5376A" w14:textId="77777777" w:rsidTr="00407B92">
        <w:trPr>
          <w:trHeight w:hRule="exact" w:val="284"/>
        </w:trPr>
        <w:tc>
          <w:tcPr>
            <w:tcW w:w="3438" w:type="pct"/>
            <w:tcBorders>
              <w:top w:val="nil"/>
              <w:left w:val="nil"/>
              <w:bottom w:val="nil"/>
              <w:right w:val="nil"/>
            </w:tcBorders>
            <w:shd w:val="clear" w:color="auto" w:fill="auto"/>
            <w:noWrap/>
            <w:vAlign w:val="bottom"/>
            <w:hideMark/>
          </w:tcPr>
          <w:p w14:paraId="166C1448" w14:textId="77777777" w:rsidR="00407B92" w:rsidRPr="0075559D" w:rsidRDefault="00407B92" w:rsidP="00312E88">
            <w:pPr>
              <w:rPr>
                <w:rFonts w:cs="Arial"/>
                <w:color w:val="000000"/>
                <w:sz w:val="16"/>
                <w:szCs w:val="16"/>
              </w:rPr>
            </w:pPr>
            <w:r w:rsidRPr="0075559D">
              <w:rPr>
                <w:rFonts w:cs="Arial"/>
                <w:color w:val="000000"/>
                <w:sz w:val="16"/>
                <w:szCs w:val="16"/>
              </w:rPr>
              <w:t>Scenario 4c. Increase excess mortality by 50%</w:t>
            </w:r>
          </w:p>
        </w:tc>
        <w:tc>
          <w:tcPr>
            <w:tcW w:w="521" w:type="pct"/>
            <w:tcBorders>
              <w:top w:val="nil"/>
              <w:left w:val="nil"/>
              <w:bottom w:val="nil"/>
              <w:right w:val="nil"/>
            </w:tcBorders>
            <w:shd w:val="clear" w:color="auto" w:fill="auto"/>
            <w:noWrap/>
            <w:vAlign w:val="bottom"/>
            <w:hideMark/>
          </w:tcPr>
          <w:p w14:paraId="4B52C2FB" w14:textId="77777777" w:rsidR="00407B92" w:rsidRPr="0075559D" w:rsidRDefault="00407B92" w:rsidP="00312E88">
            <w:pPr>
              <w:jc w:val="right"/>
              <w:rPr>
                <w:rFonts w:cs="Arial"/>
                <w:color w:val="000000"/>
                <w:sz w:val="16"/>
                <w:szCs w:val="16"/>
              </w:rPr>
            </w:pPr>
            <w:r w:rsidRPr="0075559D">
              <w:rPr>
                <w:rFonts w:cs="Arial"/>
                <w:color w:val="000000"/>
                <w:sz w:val="16"/>
                <w:szCs w:val="16"/>
              </w:rPr>
              <w:t>21,168</w:t>
            </w:r>
          </w:p>
        </w:tc>
        <w:tc>
          <w:tcPr>
            <w:tcW w:w="521" w:type="pct"/>
            <w:tcBorders>
              <w:top w:val="nil"/>
              <w:left w:val="nil"/>
              <w:bottom w:val="nil"/>
              <w:right w:val="nil"/>
            </w:tcBorders>
            <w:shd w:val="clear" w:color="auto" w:fill="auto"/>
            <w:noWrap/>
            <w:vAlign w:val="bottom"/>
            <w:hideMark/>
          </w:tcPr>
          <w:p w14:paraId="410EF332" w14:textId="77777777" w:rsidR="00407B92" w:rsidRPr="0075559D" w:rsidRDefault="00407B92" w:rsidP="00312E88">
            <w:pPr>
              <w:jc w:val="right"/>
              <w:rPr>
                <w:rFonts w:cs="Arial"/>
                <w:color w:val="000000"/>
                <w:sz w:val="16"/>
                <w:szCs w:val="16"/>
              </w:rPr>
            </w:pPr>
            <w:r w:rsidRPr="0075559D">
              <w:rPr>
                <w:rFonts w:cs="Arial"/>
                <w:color w:val="000000"/>
                <w:sz w:val="16"/>
                <w:szCs w:val="16"/>
              </w:rPr>
              <w:t>30,017</w:t>
            </w:r>
          </w:p>
        </w:tc>
        <w:tc>
          <w:tcPr>
            <w:tcW w:w="521" w:type="pct"/>
            <w:tcBorders>
              <w:top w:val="nil"/>
              <w:left w:val="nil"/>
              <w:bottom w:val="nil"/>
              <w:right w:val="nil"/>
            </w:tcBorders>
            <w:shd w:val="clear" w:color="auto" w:fill="auto"/>
            <w:noWrap/>
            <w:vAlign w:val="bottom"/>
            <w:hideMark/>
          </w:tcPr>
          <w:p w14:paraId="7594A119" w14:textId="77777777" w:rsidR="00407B92" w:rsidRPr="0075559D" w:rsidRDefault="00407B92" w:rsidP="00312E88">
            <w:pPr>
              <w:jc w:val="right"/>
              <w:rPr>
                <w:rFonts w:cs="Arial"/>
                <w:color w:val="000000"/>
                <w:sz w:val="16"/>
                <w:szCs w:val="16"/>
              </w:rPr>
            </w:pPr>
            <w:r w:rsidRPr="0075559D">
              <w:rPr>
                <w:rFonts w:cs="Arial"/>
                <w:color w:val="000000"/>
                <w:sz w:val="16"/>
                <w:szCs w:val="16"/>
              </w:rPr>
              <w:t>40,583</w:t>
            </w:r>
          </w:p>
        </w:tc>
      </w:tr>
      <w:tr w:rsidR="00407B92" w:rsidRPr="0075559D" w14:paraId="53931268" w14:textId="77777777" w:rsidTr="00407B92">
        <w:trPr>
          <w:trHeight w:hRule="exact" w:val="284"/>
        </w:trPr>
        <w:tc>
          <w:tcPr>
            <w:tcW w:w="3438" w:type="pct"/>
            <w:tcBorders>
              <w:top w:val="nil"/>
              <w:left w:val="nil"/>
              <w:bottom w:val="single" w:sz="4" w:space="0" w:color="auto"/>
              <w:right w:val="nil"/>
            </w:tcBorders>
            <w:shd w:val="clear" w:color="auto" w:fill="auto"/>
            <w:noWrap/>
            <w:vAlign w:val="bottom"/>
            <w:hideMark/>
          </w:tcPr>
          <w:p w14:paraId="175BB6C0" w14:textId="77777777" w:rsidR="00407B92" w:rsidRPr="0075559D" w:rsidRDefault="00407B92" w:rsidP="00312E88">
            <w:pPr>
              <w:rPr>
                <w:rFonts w:cs="Arial"/>
                <w:color w:val="000000"/>
                <w:sz w:val="16"/>
                <w:szCs w:val="16"/>
              </w:rPr>
            </w:pPr>
            <w:r w:rsidRPr="0075559D">
              <w:rPr>
                <w:rFonts w:cs="Arial"/>
                <w:color w:val="000000"/>
                <w:sz w:val="16"/>
                <w:szCs w:val="16"/>
              </w:rPr>
              <w:t>Scenario 4d. Reduce excess mortality by 50%</w:t>
            </w:r>
          </w:p>
        </w:tc>
        <w:tc>
          <w:tcPr>
            <w:tcW w:w="521" w:type="pct"/>
            <w:tcBorders>
              <w:top w:val="nil"/>
              <w:left w:val="nil"/>
              <w:bottom w:val="single" w:sz="4" w:space="0" w:color="auto"/>
              <w:right w:val="nil"/>
            </w:tcBorders>
            <w:shd w:val="clear" w:color="auto" w:fill="auto"/>
            <w:noWrap/>
            <w:vAlign w:val="bottom"/>
            <w:hideMark/>
          </w:tcPr>
          <w:p w14:paraId="347EA40A" w14:textId="77777777" w:rsidR="00407B92" w:rsidRPr="0075559D" w:rsidRDefault="00407B92" w:rsidP="00312E88">
            <w:pPr>
              <w:jc w:val="right"/>
              <w:rPr>
                <w:rFonts w:cs="Arial"/>
                <w:color w:val="000000"/>
                <w:sz w:val="16"/>
                <w:szCs w:val="16"/>
              </w:rPr>
            </w:pPr>
            <w:r w:rsidRPr="0075559D">
              <w:rPr>
                <w:rFonts w:cs="Arial"/>
                <w:color w:val="000000"/>
                <w:sz w:val="16"/>
                <w:szCs w:val="16"/>
              </w:rPr>
              <w:t>21,252</w:t>
            </w:r>
          </w:p>
        </w:tc>
        <w:tc>
          <w:tcPr>
            <w:tcW w:w="521" w:type="pct"/>
            <w:tcBorders>
              <w:top w:val="nil"/>
              <w:left w:val="nil"/>
              <w:bottom w:val="single" w:sz="4" w:space="0" w:color="auto"/>
              <w:right w:val="nil"/>
            </w:tcBorders>
            <w:shd w:val="clear" w:color="auto" w:fill="auto"/>
            <w:noWrap/>
            <w:vAlign w:val="bottom"/>
            <w:hideMark/>
          </w:tcPr>
          <w:p w14:paraId="7967E7A0" w14:textId="77777777" w:rsidR="00407B92" w:rsidRPr="0075559D" w:rsidRDefault="00407B92" w:rsidP="00312E88">
            <w:pPr>
              <w:jc w:val="right"/>
              <w:rPr>
                <w:rFonts w:cs="Arial"/>
                <w:color w:val="000000"/>
                <w:sz w:val="16"/>
                <w:szCs w:val="16"/>
              </w:rPr>
            </w:pPr>
            <w:r w:rsidRPr="0075559D">
              <w:rPr>
                <w:rFonts w:cs="Arial"/>
                <w:color w:val="000000"/>
                <w:sz w:val="16"/>
                <w:szCs w:val="16"/>
              </w:rPr>
              <w:t>30,899</w:t>
            </w:r>
          </w:p>
        </w:tc>
        <w:tc>
          <w:tcPr>
            <w:tcW w:w="521" w:type="pct"/>
            <w:tcBorders>
              <w:top w:val="nil"/>
              <w:left w:val="nil"/>
              <w:bottom w:val="single" w:sz="4" w:space="0" w:color="auto"/>
              <w:right w:val="nil"/>
            </w:tcBorders>
            <w:shd w:val="clear" w:color="auto" w:fill="auto"/>
            <w:noWrap/>
            <w:vAlign w:val="bottom"/>
            <w:hideMark/>
          </w:tcPr>
          <w:p w14:paraId="222DD6B8" w14:textId="77777777" w:rsidR="00407B92" w:rsidRPr="0075559D" w:rsidRDefault="00407B92" w:rsidP="00312E88">
            <w:pPr>
              <w:jc w:val="right"/>
              <w:rPr>
                <w:rFonts w:cs="Arial"/>
                <w:color w:val="000000"/>
                <w:sz w:val="16"/>
                <w:szCs w:val="16"/>
              </w:rPr>
            </w:pPr>
            <w:r w:rsidRPr="0075559D">
              <w:rPr>
                <w:rFonts w:cs="Arial"/>
                <w:color w:val="000000"/>
                <w:sz w:val="16"/>
                <w:szCs w:val="16"/>
              </w:rPr>
              <w:t>42,984</w:t>
            </w:r>
          </w:p>
        </w:tc>
      </w:tr>
      <w:tr w:rsidR="00407B92" w:rsidRPr="0075559D" w14:paraId="20784F55" w14:textId="77777777" w:rsidTr="00407B92">
        <w:trPr>
          <w:trHeight w:hRule="exact" w:val="284"/>
        </w:trPr>
        <w:tc>
          <w:tcPr>
            <w:tcW w:w="3438" w:type="pct"/>
            <w:tcBorders>
              <w:top w:val="nil"/>
              <w:left w:val="nil"/>
              <w:bottom w:val="nil"/>
              <w:right w:val="nil"/>
            </w:tcBorders>
            <w:shd w:val="clear" w:color="auto" w:fill="auto"/>
            <w:noWrap/>
            <w:vAlign w:val="bottom"/>
            <w:hideMark/>
          </w:tcPr>
          <w:p w14:paraId="4C35F726" w14:textId="77777777" w:rsidR="00407B92" w:rsidRPr="0075559D" w:rsidRDefault="00407B92" w:rsidP="00312E88">
            <w:pPr>
              <w:rPr>
                <w:rFonts w:cs="Arial"/>
                <w:color w:val="000000"/>
                <w:sz w:val="16"/>
                <w:szCs w:val="16"/>
              </w:rPr>
            </w:pPr>
            <w:r w:rsidRPr="0075559D">
              <w:rPr>
                <w:rFonts w:cs="Arial"/>
                <w:color w:val="000000"/>
                <w:sz w:val="16"/>
                <w:szCs w:val="16"/>
              </w:rPr>
              <w:t>Scenario 5a. 5% of new incidence to highest LoF</w:t>
            </w:r>
          </w:p>
        </w:tc>
        <w:tc>
          <w:tcPr>
            <w:tcW w:w="521" w:type="pct"/>
            <w:tcBorders>
              <w:top w:val="nil"/>
              <w:left w:val="nil"/>
              <w:bottom w:val="nil"/>
              <w:right w:val="nil"/>
            </w:tcBorders>
            <w:shd w:val="clear" w:color="auto" w:fill="auto"/>
            <w:noWrap/>
            <w:vAlign w:val="bottom"/>
            <w:hideMark/>
          </w:tcPr>
          <w:p w14:paraId="4D573EB3" w14:textId="77777777" w:rsidR="00407B92" w:rsidRPr="0075559D" w:rsidRDefault="00407B92" w:rsidP="00312E88">
            <w:pPr>
              <w:jc w:val="right"/>
              <w:rPr>
                <w:rFonts w:cs="Arial"/>
                <w:color w:val="000000"/>
                <w:sz w:val="16"/>
                <w:szCs w:val="16"/>
              </w:rPr>
            </w:pPr>
            <w:r w:rsidRPr="0075559D">
              <w:rPr>
                <w:rFonts w:cs="Arial"/>
                <w:color w:val="000000"/>
                <w:sz w:val="16"/>
                <w:szCs w:val="16"/>
              </w:rPr>
              <w:t>21,240</w:t>
            </w:r>
          </w:p>
        </w:tc>
        <w:tc>
          <w:tcPr>
            <w:tcW w:w="521" w:type="pct"/>
            <w:tcBorders>
              <w:top w:val="nil"/>
              <w:left w:val="nil"/>
              <w:bottom w:val="nil"/>
              <w:right w:val="nil"/>
            </w:tcBorders>
            <w:shd w:val="clear" w:color="auto" w:fill="auto"/>
            <w:noWrap/>
            <w:vAlign w:val="bottom"/>
            <w:hideMark/>
          </w:tcPr>
          <w:p w14:paraId="270D4753" w14:textId="77777777" w:rsidR="00407B92" w:rsidRPr="0075559D" w:rsidRDefault="00407B92" w:rsidP="00312E88">
            <w:pPr>
              <w:jc w:val="right"/>
              <w:rPr>
                <w:rFonts w:cs="Arial"/>
                <w:color w:val="000000"/>
                <w:sz w:val="16"/>
                <w:szCs w:val="16"/>
              </w:rPr>
            </w:pPr>
            <w:r w:rsidRPr="0075559D">
              <w:rPr>
                <w:rFonts w:cs="Arial"/>
                <w:color w:val="000000"/>
                <w:sz w:val="16"/>
                <w:szCs w:val="16"/>
              </w:rPr>
              <w:t>31,154</w:t>
            </w:r>
          </w:p>
        </w:tc>
        <w:tc>
          <w:tcPr>
            <w:tcW w:w="521" w:type="pct"/>
            <w:tcBorders>
              <w:top w:val="nil"/>
              <w:left w:val="nil"/>
              <w:bottom w:val="nil"/>
              <w:right w:val="nil"/>
            </w:tcBorders>
            <w:shd w:val="clear" w:color="auto" w:fill="auto"/>
            <w:noWrap/>
            <w:vAlign w:val="bottom"/>
            <w:hideMark/>
          </w:tcPr>
          <w:p w14:paraId="4375FD04" w14:textId="77777777" w:rsidR="00407B92" w:rsidRPr="0075559D" w:rsidRDefault="00407B92" w:rsidP="00312E88">
            <w:pPr>
              <w:jc w:val="right"/>
              <w:rPr>
                <w:rFonts w:cs="Arial"/>
                <w:color w:val="000000"/>
                <w:sz w:val="16"/>
                <w:szCs w:val="16"/>
              </w:rPr>
            </w:pPr>
            <w:r w:rsidRPr="0075559D">
              <w:rPr>
                <w:rFonts w:cs="Arial"/>
                <w:color w:val="000000"/>
                <w:sz w:val="16"/>
                <w:szCs w:val="16"/>
              </w:rPr>
              <w:t>43,486</w:t>
            </w:r>
          </w:p>
        </w:tc>
      </w:tr>
      <w:tr w:rsidR="00407B92" w:rsidRPr="0075559D" w14:paraId="2972237F" w14:textId="77777777" w:rsidTr="00407B92">
        <w:trPr>
          <w:trHeight w:hRule="exact" w:val="284"/>
        </w:trPr>
        <w:tc>
          <w:tcPr>
            <w:tcW w:w="3438" w:type="pct"/>
            <w:tcBorders>
              <w:top w:val="nil"/>
              <w:left w:val="nil"/>
              <w:bottom w:val="nil"/>
              <w:right w:val="nil"/>
            </w:tcBorders>
            <w:shd w:val="clear" w:color="auto" w:fill="auto"/>
            <w:noWrap/>
            <w:vAlign w:val="bottom"/>
            <w:hideMark/>
          </w:tcPr>
          <w:p w14:paraId="4288314B" w14:textId="77777777" w:rsidR="00407B92" w:rsidRPr="0075559D" w:rsidRDefault="00407B92" w:rsidP="00312E88">
            <w:pPr>
              <w:rPr>
                <w:rFonts w:cs="Arial"/>
                <w:color w:val="000000"/>
                <w:sz w:val="16"/>
                <w:szCs w:val="16"/>
              </w:rPr>
            </w:pPr>
            <w:r w:rsidRPr="0075559D">
              <w:rPr>
                <w:rFonts w:cs="Arial"/>
                <w:color w:val="000000"/>
                <w:sz w:val="16"/>
                <w:szCs w:val="16"/>
              </w:rPr>
              <w:t>Scenario 5b. 5% of starting population to highest LoF</w:t>
            </w:r>
          </w:p>
        </w:tc>
        <w:tc>
          <w:tcPr>
            <w:tcW w:w="521" w:type="pct"/>
            <w:tcBorders>
              <w:top w:val="nil"/>
              <w:left w:val="nil"/>
              <w:bottom w:val="nil"/>
              <w:right w:val="nil"/>
            </w:tcBorders>
            <w:shd w:val="clear" w:color="auto" w:fill="auto"/>
            <w:noWrap/>
            <w:vAlign w:val="bottom"/>
            <w:hideMark/>
          </w:tcPr>
          <w:p w14:paraId="7DD7D3AC" w14:textId="77777777" w:rsidR="00407B92" w:rsidRPr="0075559D" w:rsidRDefault="00407B92" w:rsidP="00312E88">
            <w:pPr>
              <w:jc w:val="right"/>
              <w:rPr>
                <w:rFonts w:cs="Arial"/>
                <w:color w:val="000000"/>
                <w:sz w:val="16"/>
                <w:szCs w:val="16"/>
              </w:rPr>
            </w:pPr>
            <w:r w:rsidRPr="0075559D">
              <w:rPr>
                <w:rFonts w:cs="Arial"/>
                <w:color w:val="000000"/>
                <w:sz w:val="16"/>
                <w:szCs w:val="16"/>
              </w:rPr>
              <w:t>25,216</w:t>
            </w:r>
          </w:p>
        </w:tc>
        <w:tc>
          <w:tcPr>
            <w:tcW w:w="521" w:type="pct"/>
            <w:tcBorders>
              <w:top w:val="nil"/>
              <w:left w:val="nil"/>
              <w:bottom w:val="nil"/>
              <w:right w:val="nil"/>
            </w:tcBorders>
            <w:shd w:val="clear" w:color="auto" w:fill="auto"/>
            <w:noWrap/>
            <w:vAlign w:val="bottom"/>
            <w:hideMark/>
          </w:tcPr>
          <w:p w14:paraId="5BE06DFC" w14:textId="77777777" w:rsidR="00407B92" w:rsidRPr="0075559D" w:rsidRDefault="00407B92" w:rsidP="00312E88">
            <w:pPr>
              <w:jc w:val="right"/>
              <w:rPr>
                <w:rFonts w:cs="Arial"/>
                <w:color w:val="000000"/>
                <w:sz w:val="16"/>
                <w:szCs w:val="16"/>
              </w:rPr>
            </w:pPr>
            <w:r w:rsidRPr="0075559D">
              <w:rPr>
                <w:rFonts w:cs="Arial"/>
                <w:color w:val="000000"/>
                <w:sz w:val="16"/>
                <w:szCs w:val="16"/>
              </w:rPr>
              <w:t>35,449</w:t>
            </w:r>
          </w:p>
        </w:tc>
        <w:tc>
          <w:tcPr>
            <w:tcW w:w="521" w:type="pct"/>
            <w:tcBorders>
              <w:top w:val="nil"/>
              <w:left w:val="nil"/>
              <w:bottom w:val="nil"/>
              <w:right w:val="nil"/>
            </w:tcBorders>
            <w:shd w:val="clear" w:color="auto" w:fill="auto"/>
            <w:noWrap/>
            <w:vAlign w:val="bottom"/>
            <w:hideMark/>
          </w:tcPr>
          <w:p w14:paraId="4BE84A2B" w14:textId="77777777" w:rsidR="00407B92" w:rsidRPr="0075559D" w:rsidRDefault="00407B92" w:rsidP="00312E88">
            <w:pPr>
              <w:jc w:val="right"/>
              <w:rPr>
                <w:rFonts w:cs="Arial"/>
                <w:color w:val="000000"/>
                <w:sz w:val="16"/>
                <w:szCs w:val="16"/>
              </w:rPr>
            </w:pPr>
            <w:r w:rsidRPr="0075559D">
              <w:rPr>
                <w:rFonts w:cs="Arial"/>
                <w:color w:val="000000"/>
                <w:sz w:val="16"/>
                <w:szCs w:val="16"/>
              </w:rPr>
              <w:t>47,576</w:t>
            </w:r>
          </w:p>
        </w:tc>
      </w:tr>
      <w:tr w:rsidR="00407B92" w:rsidRPr="0075559D" w14:paraId="5485F0B0" w14:textId="77777777" w:rsidTr="00407B92">
        <w:trPr>
          <w:trHeight w:hRule="exact" w:val="284"/>
        </w:trPr>
        <w:tc>
          <w:tcPr>
            <w:tcW w:w="3438" w:type="pct"/>
            <w:tcBorders>
              <w:top w:val="nil"/>
              <w:left w:val="nil"/>
              <w:bottom w:val="single" w:sz="4" w:space="0" w:color="auto"/>
              <w:right w:val="nil"/>
            </w:tcBorders>
            <w:shd w:val="clear" w:color="auto" w:fill="auto"/>
            <w:noWrap/>
            <w:vAlign w:val="bottom"/>
            <w:hideMark/>
          </w:tcPr>
          <w:p w14:paraId="1AC88ABE" w14:textId="77777777" w:rsidR="00407B92" w:rsidRPr="0075559D" w:rsidRDefault="00407B92" w:rsidP="00312E88">
            <w:pPr>
              <w:rPr>
                <w:rFonts w:cs="Arial"/>
                <w:color w:val="000000"/>
                <w:sz w:val="16"/>
                <w:szCs w:val="16"/>
              </w:rPr>
            </w:pPr>
            <w:r w:rsidRPr="0075559D">
              <w:rPr>
                <w:rFonts w:cs="Arial"/>
                <w:color w:val="000000"/>
                <w:sz w:val="16"/>
                <w:szCs w:val="16"/>
              </w:rPr>
              <w:t>Scenario 5c. Combination of 5a. and 5b.</w:t>
            </w:r>
          </w:p>
        </w:tc>
        <w:tc>
          <w:tcPr>
            <w:tcW w:w="521" w:type="pct"/>
            <w:tcBorders>
              <w:top w:val="nil"/>
              <w:left w:val="nil"/>
              <w:bottom w:val="single" w:sz="4" w:space="0" w:color="auto"/>
              <w:right w:val="nil"/>
            </w:tcBorders>
            <w:shd w:val="clear" w:color="auto" w:fill="auto"/>
            <w:noWrap/>
            <w:vAlign w:val="bottom"/>
            <w:hideMark/>
          </w:tcPr>
          <w:p w14:paraId="1A7F5911" w14:textId="77777777" w:rsidR="00407B92" w:rsidRPr="0075559D" w:rsidRDefault="00407B92" w:rsidP="00312E88">
            <w:pPr>
              <w:jc w:val="right"/>
              <w:rPr>
                <w:rFonts w:cs="Arial"/>
                <w:color w:val="000000"/>
                <w:sz w:val="16"/>
                <w:szCs w:val="16"/>
              </w:rPr>
            </w:pPr>
            <w:r w:rsidRPr="0075559D">
              <w:rPr>
                <w:rFonts w:cs="Arial"/>
                <w:color w:val="000000"/>
                <w:sz w:val="16"/>
                <w:szCs w:val="16"/>
              </w:rPr>
              <w:t>25,216</w:t>
            </w:r>
          </w:p>
        </w:tc>
        <w:tc>
          <w:tcPr>
            <w:tcW w:w="521" w:type="pct"/>
            <w:tcBorders>
              <w:top w:val="nil"/>
              <w:left w:val="nil"/>
              <w:bottom w:val="single" w:sz="4" w:space="0" w:color="auto"/>
              <w:right w:val="nil"/>
            </w:tcBorders>
            <w:shd w:val="clear" w:color="auto" w:fill="auto"/>
            <w:noWrap/>
            <w:vAlign w:val="bottom"/>
            <w:hideMark/>
          </w:tcPr>
          <w:p w14:paraId="2288A3F0" w14:textId="77777777" w:rsidR="00407B92" w:rsidRPr="0075559D" w:rsidRDefault="00407B92" w:rsidP="00312E88">
            <w:pPr>
              <w:jc w:val="right"/>
              <w:rPr>
                <w:rFonts w:cs="Arial"/>
                <w:color w:val="000000"/>
                <w:sz w:val="16"/>
                <w:szCs w:val="16"/>
              </w:rPr>
            </w:pPr>
            <w:r w:rsidRPr="0075559D">
              <w:rPr>
                <w:rFonts w:cs="Arial"/>
                <w:color w:val="000000"/>
                <w:sz w:val="16"/>
                <w:szCs w:val="16"/>
              </w:rPr>
              <w:t>36,112</w:t>
            </w:r>
          </w:p>
        </w:tc>
        <w:tc>
          <w:tcPr>
            <w:tcW w:w="521" w:type="pct"/>
            <w:tcBorders>
              <w:top w:val="nil"/>
              <w:left w:val="nil"/>
              <w:bottom w:val="single" w:sz="4" w:space="0" w:color="auto"/>
              <w:right w:val="nil"/>
            </w:tcBorders>
            <w:shd w:val="clear" w:color="auto" w:fill="auto"/>
            <w:noWrap/>
            <w:vAlign w:val="bottom"/>
            <w:hideMark/>
          </w:tcPr>
          <w:p w14:paraId="6F0601F4" w14:textId="77777777" w:rsidR="00407B92" w:rsidRPr="0075559D" w:rsidRDefault="00407B92" w:rsidP="00312E88">
            <w:pPr>
              <w:jc w:val="right"/>
              <w:rPr>
                <w:rFonts w:cs="Arial"/>
                <w:color w:val="000000"/>
                <w:sz w:val="16"/>
                <w:szCs w:val="16"/>
              </w:rPr>
            </w:pPr>
            <w:r w:rsidRPr="0075559D">
              <w:rPr>
                <w:rFonts w:cs="Arial"/>
                <w:color w:val="000000"/>
                <w:sz w:val="16"/>
                <w:szCs w:val="16"/>
              </w:rPr>
              <w:t>49,279</w:t>
            </w:r>
          </w:p>
        </w:tc>
      </w:tr>
      <w:tr w:rsidR="00407B92" w:rsidRPr="0075559D" w14:paraId="3EA28BCA" w14:textId="77777777" w:rsidTr="00407B92">
        <w:trPr>
          <w:trHeight w:hRule="exact" w:val="284"/>
        </w:trPr>
        <w:tc>
          <w:tcPr>
            <w:tcW w:w="3438" w:type="pct"/>
            <w:tcBorders>
              <w:top w:val="nil"/>
              <w:left w:val="nil"/>
              <w:bottom w:val="nil"/>
              <w:right w:val="nil"/>
            </w:tcBorders>
            <w:shd w:val="clear" w:color="auto" w:fill="auto"/>
            <w:noWrap/>
            <w:vAlign w:val="bottom"/>
            <w:hideMark/>
          </w:tcPr>
          <w:p w14:paraId="316F844D" w14:textId="77777777" w:rsidR="00407B92" w:rsidRPr="0075559D" w:rsidRDefault="00407B92" w:rsidP="00312E88">
            <w:pPr>
              <w:rPr>
                <w:rFonts w:cs="Arial"/>
                <w:color w:val="000000"/>
                <w:sz w:val="16"/>
                <w:szCs w:val="16"/>
              </w:rPr>
            </w:pPr>
            <w:r w:rsidRPr="0075559D">
              <w:rPr>
                <w:rFonts w:cs="Arial"/>
                <w:color w:val="000000"/>
                <w:sz w:val="16"/>
                <w:szCs w:val="16"/>
              </w:rPr>
              <w:t>Scenario 6a. Increase SSA Numbers by 10%</w:t>
            </w:r>
          </w:p>
        </w:tc>
        <w:tc>
          <w:tcPr>
            <w:tcW w:w="521" w:type="pct"/>
            <w:tcBorders>
              <w:top w:val="nil"/>
              <w:left w:val="nil"/>
              <w:bottom w:val="nil"/>
              <w:right w:val="nil"/>
            </w:tcBorders>
            <w:shd w:val="clear" w:color="auto" w:fill="auto"/>
            <w:noWrap/>
            <w:vAlign w:val="bottom"/>
            <w:hideMark/>
          </w:tcPr>
          <w:p w14:paraId="1E335B30" w14:textId="77777777" w:rsidR="00407B92" w:rsidRPr="0075559D" w:rsidRDefault="00407B92" w:rsidP="00312E88">
            <w:pPr>
              <w:jc w:val="right"/>
              <w:rPr>
                <w:rFonts w:cs="Arial"/>
                <w:color w:val="000000"/>
                <w:sz w:val="16"/>
                <w:szCs w:val="16"/>
              </w:rPr>
            </w:pPr>
            <w:r w:rsidRPr="0075559D">
              <w:rPr>
                <w:rFonts w:cs="Arial"/>
                <w:color w:val="000000"/>
                <w:sz w:val="16"/>
                <w:szCs w:val="16"/>
              </w:rPr>
              <w:t>20,970</w:t>
            </w:r>
          </w:p>
        </w:tc>
        <w:tc>
          <w:tcPr>
            <w:tcW w:w="521" w:type="pct"/>
            <w:tcBorders>
              <w:top w:val="nil"/>
              <w:left w:val="nil"/>
              <w:bottom w:val="nil"/>
              <w:right w:val="nil"/>
            </w:tcBorders>
            <w:shd w:val="clear" w:color="auto" w:fill="auto"/>
            <w:noWrap/>
            <w:vAlign w:val="bottom"/>
            <w:hideMark/>
          </w:tcPr>
          <w:p w14:paraId="333DF26A" w14:textId="77777777" w:rsidR="00407B92" w:rsidRPr="0075559D" w:rsidRDefault="00407B92" w:rsidP="00312E88">
            <w:pPr>
              <w:jc w:val="right"/>
              <w:rPr>
                <w:rFonts w:cs="Arial"/>
                <w:color w:val="000000"/>
                <w:sz w:val="16"/>
                <w:szCs w:val="16"/>
              </w:rPr>
            </w:pPr>
            <w:r w:rsidRPr="0075559D">
              <w:rPr>
                <w:rFonts w:cs="Arial"/>
                <w:color w:val="000000"/>
                <w:sz w:val="16"/>
                <w:szCs w:val="16"/>
              </w:rPr>
              <w:t>29,684</w:t>
            </w:r>
          </w:p>
        </w:tc>
        <w:tc>
          <w:tcPr>
            <w:tcW w:w="521" w:type="pct"/>
            <w:tcBorders>
              <w:top w:val="nil"/>
              <w:left w:val="nil"/>
              <w:bottom w:val="nil"/>
              <w:right w:val="nil"/>
            </w:tcBorders>
            <w:shd w:val="clear" w:color="auto" w:fill="auto"/>
            <w:noWrap/>
            <w:vAlign w:val="bottom"/>
            <w:hideMark/>
          </w:tcPr>
          <w:p w14:paraId="6A89AC44" w14:textId="77777777" w:rsidR="00407B92" w:rsidRPr="0075559D" w:rsidRDefault="00407B92" w:rsidP="00312E88">
            <w:pPr>
              <w:jc w:val="right"/>
              <w:rPr>
                <w:rFonts w:cs="Arial"/>
                <w:color w:val="000000"/>
                <w:sz w:val="16"/>
                <w:szCs w:val="16"/>
              </w:rPr>
            </w:pPr>
            <w:r w:rsidRPr="0075559D">
              <w:rPr>
                <w:rFonts w:cs="Arial"/>
                <w:color w:val="000000"/>
                <w:sz w:val="16"/>
                <w:szCs w:val="16"/>
              </w:rPr>
              <w:t>39,818</w:t>
            </w:r>
          </w:p>
        </w:tc>
      </w:tr>
      <w:tr w:rsidR="00407B92" w:rsidRPr="0075559D" w14:paraId="2C574D08" w14:textId="77777777" w:rsidTr="00407B92">
        <w:trPr>
          <w:trHeight w:hRule="exact" w:val="284"/>
        </w:trPr>
        <w:tc>
          <w:tcPr>
            <w:tcW w:w="3438" w:type="pct"/>
            <w:tcBorders>
              <w:top w:val="nil"/>
              <w:left w:val="nil"/>
              <w:bottom w:val="nil"/>
              <w:right w:val="nil"/>
            </w:tcBorders>
            <w:shd w:val="clear" w:color="auto" w:fill="auto"/>
            <w:noWrap/>
            <w:vAlign w:val="bottom"/>
            <w:hideMark/>
          </w:tcPr>
          <w:p w14:paraId="7CD98B1D" w14:textId="77777777" w:rsidR="00407B92" w:rsidRPr="0075559D" w:rsidRDefault="00407B92" w:rsidP="00312E88">
            <w:pPr>
              <w:rPr>
                <w:rFonts w:cs="Arial"/>
                <w:color w:val="000000"/>
                <w:sz w:val="16"/>
                <w:szCs w:val="16"/>
              </w:rPr>
            </w:pPr>
            <w:r w:rsidRPr="0075559D">
              <w:rPr>
                <w:rFonts w:cs="Arial"/>
                <w:color w:val="000000"/>
                <w:sz w:val="16"/>
                <w:szCs w:val="16"/>
              </w:rPr>
              <w:t>Scenario 6b. Increase SSA average cost by 25%</w:t>
            </w:r>
          </w:p>
        </w:tc>
        <w:tc>
          <w:tcPr>
            <w:tcW w:w="521" w:type="pct"/>
            <w:tcBorders>
              <w:top w:val="nil"/>
              <w:left w:val="nil"/>
              <w:bottom w:val="nil"/>
              <w:right w:val="nil"/>
            </w:tcBorders>
            <w:shd w:val="clear" w:color="auto" w:fill="auto"/>
            <w:noWrap/>
            <w:vAlign w:val="bottom"/>
            <w:hideMark/>
          </w:tcPr>
          <w:p w14:paraId="40BAC35B" w14:textId="77777777" w:rsidR="00407B92" w:rsidRPr="0075559D" w:rsidRDefault="00407B92" w:rsidP="00312E88">
            <w:pPr>
              <w:jc w:val="right"/>
              <w:rPr>
                <w:rFonts w:cs="Arial"/>
                <w:color w:val="000000"/>
                <w:sz w:val="16"/>
                <w:szCs w:val="16"/>
              </w:rPr>
            </w:pPr>
            <w:r w:rsidRPr="0075559D">
              <w:rPr>
                <w:rFonts w:cs="Arial"/>
                <w:color w:val="000000"/>
                <w:sz w:val="16"/>
                <w:szCs w:val="16"/>
              </w:rPr>
              <w:t>21,822</w:t>
            </w:r>
          </w:p>
        </w:tc>
        <w:tc>
          <w:tcPr>
            <w:tcW w:w="521" w:type="pct"/>
            <w:tcBorders>
              <w:top w:val="nil"/>
              <w:left w:val="nil"/>
              <w:bottom w:val="nil"/>
              <w:right w:val="nil"/>
            </w:tcBorders>
            <w:shd w:val="clear" w:color="auto" w:fill="auto"/>
            <w:noWrap/>
            <w:vAlign w:val="bottom"/>
            <w:hideMark/>
          </w:tcPr>
          <w:p w14:paraId="57E56295" w14:textId="77777777" w:rsidR="00407B92" w:rsidRPr="0075559D" w:rsidRDefault="00407B92" w:rsidP="00312E88">
            <w:pPr>
              <w:jc w:val="right"/>
              <w:rPr>
                <w:rFonts w:cs="Arial"/>
                <w:color w:val="000000"/>
                <w:sz w:val="16"/>
                <w:szCs w:val="16"/>
              </w:rPr>
            </w:pPr>
            <w:r w:rsidRPr="0075559D">
              <w:rPr>
                <w:rFonts w:cs="Arial"/>
                <w:color w:val="000000"/>
                <w:sz w:val="16"/>
                <w:szCs w:val="16"/>
              </w:rPr>
              <w:t>30,939</w:t>
            </w:r>
          </w:p>
        </w:tc>
        <w:tc>
          <w:tcPr>
            <w:tcW w:w="521" w:type="pct"/>
            <w:tcBorders>
              <w:top w:val="nil"/>
              <w:left w:val="nil"/>
              <w:bottom w:val="nil"/>
              <w:right w:val="nil"/>
            </w:tcBorders>
            <w:shd w:val="clear" w:color="auto" w:fill="auto"/>
            <w:noWrap/>
            <w:vAlign w:val="bottom"/>
            <w:hideMark/>
          </w:tcPr>
          <w:p w14:paraId="1603D6E2" w14:textId="77777777" w:rsidR="00407B92" w:rsidRPr="0075559D" w:rsidRDefault="00407B92" w:rsidP="00312E88">
            <w:pPr>
              <w:jc w:val="right"/>
              <w:rPr>
                <w:rFonts w:cs="Arial"/>
                <w:color w:val="000000"/>
                <w:sz w:val="16"/>
                <w:szCs w:val="16"/>
              </w:rPr>
            </w:pPr>
            <w:r w:rsidRPr="0075559D">
              <w:rPr>
                <w:rFonts w:cs="Arial"/>
                <w:color w:val="000000"/>
                <w:sz w:val="16"/>
                <w:szCs w:val="16"/>
              </w:rPr>
              <w:t>41,570</w:t>
            </w:r>
          </w:p>
        </w:tc>
      </w:tr>
      <w:tr w:rsidR="00407B92" w:rsidRPr="0075559D" w14:paraId="15A46E35" w14:textId="77777777" w:rsidTr="00407B92">
        <w:trPr>
          <w:trHeight w:hRule="exact" w:val="284"/>
        </w:trPr>
        <w:tc>
          <w:tcPr>
            <w:tcW w:w="3438" w:type="pct"/>
            <w:tcBorders>
              <w:top w:val="nil"/>
              <w:left w:val="nil"/>
              <w:bottom w:val="single" w:sz="4" w:space="0" w:color="auto"/>
              <w:right w:val="nil"/>
            </w:tcBorders>
            <w:shd w:val="clear" w:color="auto" w:fill="auto"/>
            <w:noWrap/>
            <w:vAlign w:val="bottom"/>
            <w:hideMark/>
          </w:tcPr>
          <w:p w14:paraId="2C32F6D6" w14:textId="77777777" w:rsidR="00407B92" w:rsidRPr="0075559D" w:rsidRDefault="00407B92" w:rsidP="00312E88">
            <w:pPr>
              <w:rPr>
                <w:rFonts w:cs="Arial"/>
                <w:color w:val="000000"/>
                <w:sz w:val="16"/>
                <w:szCs w:val="16"/>
              </w:rPr>
            </w:pPr>
            <w:r w:rsidRPr="0075559D">
              <w:rPr>
                <w:rFonts w:cs="Arial"/>
                <w:color w:val="000000"/>
                <w:sz w:val="16"/>
                <w:szCs w:val="16"/>
              </w:rPr>
              <w:t>Scenario 6c. Combination of 6a. and 6b.</w:t>
            </w:r>
          </w:p>
        </w:tc>
        <w:tc>
          <w:tcPr>
            <w:tcW w:w="521" w:type="pct"/>
            <w:tcBorders>
              <w:top w:val="nil"/>
              <w:left w:val="nil"/>
              <w:bottom w:val="single" w:sz="4" w:space="0" w:color="auto"/>
              <w:right w:val="nil"/>
            </w:tcBorders>
            <w:shd w:val="clear" w:color="auto" w:fill="auto"/>
            <w:noWrap/>
            <w:vAlign w:val="bottom"/>
            <w:hideMark/>
          </w:tcPr>
          <w:p w14:paraId="3A343BCC" w14:textId="77777777" w:rsidR="00407B92" w:rsidRPr="0075559D" w:rsidRDefault="00407B92" w:rsidP="00312E88">
            <w:pPr>
              <w:jc w:val="right"/>
              <w:rPr>
                <w:rFonts w:cs="Arial"/>
                <w:color w:val="000000"/>
                <w:sz w:val="16"/>
                <w:szCs w:val="16"/>
              </w:rPr>
            </w:pPr>
            <w:r w:rsidRPr="0075559D">
              <w:rPr>
                <w:rFonts w:cs="Arial"/>
                <w:color w:val="000000"/>
                <w:sz w:val="16"/>
                <w:szCs w:val="16"/>
              </w:rPr>
              <w:t>22,495</w:t>
            </w:r>
          </w:p>
        </w:tc>
        <w:tc>
          <w:tcPr>
            <w:tcW w:w="521" w:type="pct"/>
            <w:tcBorders>
              <w:top w:val="nil"/>
              <w:left w:val="nil"/>
              <w:bottom w:val="single" w:sz="4" w:space="0" w:color="auto"/>
              <w:right w:val="nil"/>
            </w:tcBorders>
            <w:shd w:val="clear" w:color="auto" w:fill="auto"/>
            <w:noWrap/>
            <w:vAlign w:val="bottom"/>
            <w:hideMark/>
          </w:tcPr>
          <w:p w14:paraId="00E6C29A" w14:textId="77777777" w:rsidR="00407B92" w:rsidRPr="0075559D" w:rsidRDefault="00407B92" w:rsidP="00312E88">
            <w:pPr>
              <w:jc w:val="right"/>
              <w:rPr>
                <w:rFonts w:cs="Arial"/>
                <w:color w:val="000000"/>
                <w:sz w:val="16"/>
                <w:szCs w:val="16"/>
              </w:rPr>
            </w:pPr>
            <w:r w:rsidRPr="0075559D">
              <w:rPr>
                <w:rFonts w:cs="Arial"/>
                <w:color w:val="000000"/>
                <w:sz w:val="16"/>
                <w:szCs w:val="16"/>
              </w:rPr>
              <w:t>31,880</w:t>
            </w:r>
          </w:p>
        </w:tc>
        <w:tc>
          <w:tcPr>
            <w:tcW w:w="521" w:type="pct"/>
            <w:tcBorders>
              <w:top w:val="nil"/>
              <w:left w:val="nil"/>
              <w:bottom w:val="single" w:sz="4" w:space="0" w:color="auto"/>
              <w:right w:val="nil"/>
            </w:tcBorders>
            <w:shd w:val="clear" w:color="auto" w:fill="auto"/>
            <w:noWrap/>
            <w:vAlign w:val="bottom"/>
            <w:hideMark/>
          </w:tcPr>
          <w:p w14:paraId="2FC437FB" w14:textId="77777777" w:rsidR="00407B92" w:rsidRPr="0075559D" w:rsidRDefault="00407B92" w:rsidP="00312E88">
            <w:pPr>
              <w:jc w:val="right"/>
              <w:rPr>
                <w:rFonts w:cs="Arial"/>
                <w:color w:val="000000"/>
                <w:sz w:val="16"/>
                <w:szCs w:val="16"/>
              </w:rPr>
            </w:pPr>
            <w:r w:rsidRPr="0075559D">
              <w:rPr>
                <w:rFonts w:cs="Arial"/>
                <w:color w:val="000000"/>
                <w:sz w:val="16"/>
                <w:szCs w:val="16"/>
              </w:rPr>
              <w:t>42,796</w:t>
            </w:r>
          </w:p>
        </w:tc>
      </w:tr>
      <w:tr w:rsidR="00407B92" w:rsidRPr="0075559D" w14:paraId="065E4659" w14:textId="77777777" w:rsidTr="00407B92">
        <w:trPr>
          <w:trHeight w:hRule="exact" w:val="284"/>
        </w:trPr>
        <w:tc>
          <w:tcPr>
            <w:tcW w:w="3438" w:type="pct"/>
            <w:tcBorders>
              <w:top w:val="nil"/>
              <w:left w:val="nil"/>
              <w:bottom w:val="single" w:sz="4" w:space="0" w:color="auto"/>
              <w:right w:val="nil"/>
            </w:tcBorders>
            <w:shd w:val="clear" w:color="auto" w:fill="auto"/>
            <w:noWrap/>
            <w:vAlign w:val="bottom"/>
            <w:hideMark/>
          </w:tcPr>
          <w:p w14:paraId="602493F2" w14:textId="77777777" w:rsidR="00407B92" w:rsidRPr="0075559D" w:rsidRDefault="00407B92" w:rsidP="00312E88">
            <w:pPr>
              <w:rPr>
                <w:rFonts w:cs="Arial"/>
                <w:color w:val="000000"/>
                <w:sz w:val="16"/>
                <w:szCs w:val="16"/>
              </w:rPr>
            </w:pPr>
            <w:r w:rsidRPr="0075559D">
              <w:rPr>
                <w:rFonts w:cs="Arial"/>
                <w:color w:val="000000"/>
                <w:sz w:val="16"/>
                <w:szCs w:val="16"/>
              </w:rPr>
              <w:t>Scenario 7a. Remove age based loadings for 65+</w:t>
            </w:r>
          </w:p>
        </w:tc>
        <w:tc>
          <w:tcPr>
            <w:tcW w:w="521" w:type="pct"/>
            <w:tcBorders>
              <w:top w:val="nil"/>
              <w:left w:val="nil"/>
              <w:bottom w:val="single" w:sz="4" w:space="0" w:color="auto"/>
              <w:right w:val="nil"/>
            </w:tcBorders>
            <w:shd w:val="clear" w:color="auto" w:fill="auto"/>
            <w:noWrap/>
            <w:vAlign w:val="bottom"/>
            <w:hideMark/>
          </w:tcPr>
          <w:p w14:paraId="764CA54E" w14:textId="77777777" w:rsidR="00407B92" w:rsidRPr="0075559D" w:rsidRDefault="00407B92" w:rsidP="00312E88">
            <w:pPr>
              <w:jc w:val="right"/>
              <w:rPr>
                <w:rFonts w:cs="Arial"/>
                <w:color w:val="000000"/>
                <w:sz w:val="16"/>
                <w:szCs w:val="16"/>
              </w:rPr>
            </w:pPr>
            <w:r w:rsidRPr="0075559D">
              <w:rPr>
                <w:rFonts w:cs="Arial"/>
                <w:color w:val="000000"/>
                <w:sz w:val="16"/>
                <w:szCs w:val="16"/>
              </w:rPr>
              <w:t>21,176</w:t>
            </w:r>
          </w:p>
        </w:tc>
        <w:tc>
          <w:tcPr>
            <w:tcW w:w="521" w:type="pct"/>
            <w:tcBorders>
              <w:top w:val="nil"/>
              <w:left w:val="nil"/>
              <w:bottom w:val="single" w:sz="4" w:space="0" w:color="auto"/>
              <w:right w:val="nil"/>
            </w:tcBorders>
            <w:shd w:val="clear" w:color="auto" w:fill="auto"/>
            <w:noWrap/>
            <w:vAlign w:val="bottom"/>
            <w:hideMark/>
          </w:tcPr>
          <w:p w14:paraId="756EA98D" w14:textId="77777777" w:rsidR="00407B92" w:rsidRPr="0075559D" w:rsidRDefault="00407B92" w:rsidP="00312E88">
            <w:pPr>
              <w:jc w:val="right"/>
              <w:rPr>
                <w:rFonts w:cs="Arial"/>
                <w:color w:val="000000"/>
                <w:sz w:val="16"/>
                <w:szCs w:val="16"/>
              </w:rPr>
            </w:pPr>
            <w:r w:rsidRPr="0075559D">
              <w:rPr>
                <w:rFonts w:cs="Arial"/>
                <w:color w:val="000000"/>
                <w:sz w:val="16"/>
                <w:szCs w:val="16"/>
              </w:rPr>
              <w:t>30,068</w:t>
            </w:r>
          </w:p>
        </w:tc>
        <w:tc>
          <w:tcPr>
            <w:tcW w:w="521" w:type="pct"/>
            <w:tcBorders>
              <w:top w:val="nil"/>
              <w:left w:val="nil"/>
              <w:bottom w:val="single" w:sz="4" w:space="0" w:color="auto"/>
              <w:right w:val="nil"/>
            </w:tcBorders>
            <w:shd w:val="clear" w:color="auto" w:fill="auto"/>
            <w:noWrap/>
            <w:vAlign w:val="bottom"/>
            <w:hideMark/>
          </w:tcPr>
          <w:p w14:paraId="316B8F1E" w14:textId="77777777" w:rsidR="00407B92" w:rsidRPr="0075559D" w:rsidRDefault="00407B92" w:rsidP="00312E88">
            <w:pPr>
              <w:jc w:val="right"/>
              <w:rPr>
                <w:rFonts w:cs="Arial"/>
                <w:color w:val="000000"/>
                <w:sz w:val="16"/>
                <w:szCs w:val="16"/>
              </w:rPr>
            </w:pPr>
            <w:r w:rsidRPr="0075559D">
              <w:rPr>
                <w:rFonts w:cs="Arial"/>
                <w:color w:val="000000"/>
                <w:sz w:val="16"/>
                <w:szCs w:val="16"/>
              </w:rPr>
              <w:t>40,729</w:t>
            </w:r>
          </w:p>
        </w:tc>
      </w:tr>
      <w:tr w:rsidR="00407B92" w:rsidRPr="0075559D" w14:paraId="1CFA0DCA" w14:textId="77777777" w:rsidTr="00407B92">
        <w:trPr>
          <w:trHeight w:hRule="exact" w:val="284"/>
        </w:trPr>
        <w:tc>
          <w:tcPr>
            <w:tcW w:w="3438" w:type="pct"/>
            <w:tcBorders>
              <w:top w:val="nil"/>
              <w:left w:val="nil"/>
              <w:bottom w:val="single" w:sz="4" w:space="0" w:color="auto"/>
              <w:right w:val="nil"/>
            </w:tcBorders>
            <w:shd w:val="clear" w:color="auto" w:fill="auto"/>
            <w:noWrap/>
            <w:vAlign w:val="bottom"/>
            <w:hideMark/>
          </w:tcPr>
          <w:p w14:paraId="69BD6CA4" w14:textId="77777777" w:rsidR="00407B92" w:rsidRPr="0075559D" w:rsidRDefault="00407B92" w:rsidP="00312E88">
            <w:pPr>
              <w:rPr>
                <w:rFonts w:cs="Arial"/>
                <w:color w:val="000000"/>
                <w:sz w:val="16"/>
                <w:szCs w:val="16"/>
              </w:rPr>
            </w:pPr>
            <w:r w:rsidRPr="0075559D">
              <w:rPr>
                <w:rFonts w:cs="Arial"/>
                <w:color w:val="000000"/>
                <w:sz w:val="16"/>
                <w:szCs w:val="16"/>
              </w:rPr>
              <w:t>Scenario 10a. Exclude GI/MM from NIIS</w:t>
            </w:r>
          </w:p>
        </w:tc>
        <w:tc>
          <w:tcPr>
            <w:tcW w:w="521" w:type="pct"/>
            <w:tcBorders>
              <w:top w:val="nil"/>
              <w:left w:val="nil"/>
              <w:bottom w:val="single" w:sz="4" w:space="0" w:color="auto"/>
              <w:right w:val="nil"/>
            </w:tcBorders>
            <w:shd w:val="clear" w:color="auto" w:fill="auto"/>
            <w:noWrap/>
            <w:vAlign w:val="bottom"/>
            <w:hideMark/>
          </w:tcPr>
          <w:p w14:paraId="22FDC525" w14:textId="77777777" w:rsidR="00407B92" w:rsidRPr="0075559D" w:rsidRDefault="00407B92" w:rsidP="00312E88">
            <w:pPr>
              <w:jc w:val="right"/>
              <w:rPr>
                <w:rFonts w:cs="Arial"/>
                <w:color w:val="000000"/>
                <w:sz w:val="16"/>
                <w:szCs w:val="16"/>
              </w:rPr>
            </w:pPr>
            <w:r w:rsidRPr="0075559D">
              <w:rPr>
                <w:rFonts w:cs="Arial"/>
                <w:color w:val="000000"/>
                <w:sz w:val="16"/>
                <w:szCs w:val="16"/>
              </w:rPr>
              <w:t>21,240</w:t>
            </w:r>
          </w:p>
        </w:tc>
        <w:tc>
          <w:tcPr>
            <w:tcW w:w="521" w:type="pct"/>
            <w:tcBorders>
              <w:top w:val="nil"/>
              <w:left w:val="nil"/>
              <w:bottom w:val="single" w:sz="4" w:space="0" w:color="auto"/>
              <w:right w:val="nil"/>
            </w:tcBorders>
            <w:shd w:val="clear" w:color="auto" w:fill="auto"/>
            <w:noWrap/>
            <w:vAlign w:val="bottom"/>
            <w:hideMark/>
          </w:tcPr>
          <w:p w14:paraId="7C80CFB0" w14:textId="77777777" w:rsidR="00407B92" w:rsidRPr="0075559D" w:rsidRDefault="00407B92" w:rsidP="00312E88">
            <w:pPr>
              <w:jc w:val="right"/>
              <w:rPr>
                <w:rFonts w:cs="Arial"/>
                <w:color w:val="000000"/>
                <w:sz w:val="16"/>
                <w:szCs w:val="16"/>
              </w:rPr>
            </w:pPr>
            <w:r w:rsidRPr="0075559D">
              <w:rPr>
                <w:rFonts w:cs="Arial"/>
                <w:color w:val="000000"/>
                <w:sz w:val="16"/>
                <w:szCs w:val="16"/>
              </w:rPr>
              <w:t>30,492</w:t>
            </w:r>
          </w:p>
        </w:tc>
        <w:tc>
          <w:tcPr>
            <w:tcW w:w="521" w:type="pct"/>
            <w:tcBorders>
              <w:top w:val="nil"/>
              <w:left w:val="nil"/>
              <w:bottom w:val="single" w:sz="4" w:space="0" w:color="auto"/>
              <w:right w:val="nil"/>
            </w:tcBorders>
            <w:shd w:val="clear" w:color="auto" w:fill="auto"/>
            <w:noWrap/>
            <w:vAlign w:val="bottom"/>
            <w:hideMark/>
          </w:tcPr>
          <w:p w14:paraId="74AC9C6E" w14:textId="77777777" w:rsidR="00407B92" w:rsidRPr="0075559D" w:rsidRDefault="00407B92" w:rsidP="00312E88">
            <w:pPr>
              <w:jc w:val="right"/>
              <w:rPr>
                <w:rFonts w:cs="Arial"/>
                <w:color w:val="000000"/>
                <w:sz w:val="16"/>
                <w:szCs w:val="16"/>
              </w:rPr>
            </w:pPr>
            <w:r w:rsidRPr="0075559D">
              <w:rPr>
                <w:rFonts w:cs="Arial"/>
                <w:color w:val="000000"/>
                <w:sz w:val="16"/>
                <w:szCs w:val="16"/>
              </w:rPr>
              <w:t>41,783</w:t>
            </w:r>
          </w:p>
        </w:tc>
      </w:tr>
    </w:tbl>
    <w:p w14:paraId="774D6AA9" w14:textId="778D7A8E" w:rsidR="002B3FBF" w:rsidRPr="004115D1" w:rsidRDefault="002B3FBF" w:rsidP="002B3FBF">
      <w:pPr>
        <w:pStyle w:val="FSRnormal"/>
      </w:pPr>
    </w:p>
    <w:p w14:paraId="7001DA51" w14:textId="4DCCDE61" w:rsidR="002B3FBF" w:rsidRDefault="002B3FBF" w:rsidP="002B3FBF">
      <w:pPr>
        <w:pStyle w:val="FSRnormal"/>
      </w:pPr>
    </w:p>
    <w:p w14:paraId="477C0674" w14:textId="7C107A76" w:rsidR="008C6160" w:rsidRDefault="008C6160" w:rsidP="002B3FBF">
      <w:pPr>
        <w:pStyle w:val="FSRnormal"/>
      </w:pPr>
    </w:p>
    <w:p w14:paraId="1F36F768" w14:textId="77777777" w:rsidR="008C6160" w:rsidRPr="004115D1" w:rsidRDefault="008C6160" w:rsidP="002B3FBF">
      <w:pPr>
        <w:pStyle w:val="FSRnormal"/>
      </w:pPr>
    </w:p>
    <w:p w14:paraId="12213842" w14:textId="77777777" w:rsidR="002B3FBF" w:rsidRPr="004115D1" w:rsidRDefault="002B3FBF" w:rsidP="00B37567">
      <w:pPr>
        <w:pStyle w:val="FSRHeading4"/>
      </w:pPr>
      <w:r w:rsidRPr="004115D1">
        <w:lastRenderedPageBreak/>
        <w:t>2017-18 Scenarios</w:t>
      </w:r>
    </w:p>
    <w:p w14:paraId="3CD84A27" w14:textId="77777777" w:rsidR="002B3FBF" w:rsidRPr="00665A06" w:rsidRDefault="002B3FBF" w:rsidP="002B3FBF">
      <w:pPr>
        <w:pStyle w:val="Tables"/>
      </w:pPr>
      <w:r w:rsidRPr="002735DF">
        <w:t>T</w:t>
      </w:r>
      <w:r>
        <w:t>otal participant costs ($m)</w:t>
      </w:r>
    </w:p>
    <w:tbl>
      <w:tblPr>
        <w:tblW w:w="5000" w:type="pct"/>
        <w:tblLook w:val="04A0" w:firstRow="1" w:lastRow="0" w:firstColumn="1" w:lastColumn="0" w:noHBand="0" w:noVBand="1"/>
      </w:tblPr>
      <w:tblGrid>
        <w:gridCol w:w="394"/>
        <w:gridCol w:w="5190"/>
        <w:gridCol w:w="1148"/>
        <w:gridCol w:w="1148"/>
        <w:gridCol w:w="1146"/>
      </w:tblGrid>
      <w:tr w:rsidR="008C6160" w:rsidRPr="008B2365" w14:paraId="15737C2F" w14:textId="77777777" w:rsidTr="00312E88">
        <w:trPr>
          <w:trHeight w:hRule="exact" w:val="255"/>
          <w:tblHeader/>
        </w:trPr>
        <w:tc>
          <w:tcPr>
            <w:tcW w:w="3048" w:type="pct"/>
            <w:gridSpan w:val="2"/>
            <w:tcBorders>
              <w:top w:val="nil"/>
              <w:left w:val="nil"/>
              <w:bottom w:val="nil"/>
              <w:right w:val="nil"/>
            </w:tcBorders>
            <w:shd w:val="clear" w:color="000000" w:fill="6B2976"/>
            <w:noWrap/>
            <w:vAlign w:val="bottom"/>
            <w:hideMark/>
          </w:tcPr>
          <w:p w14:paraId="63BEB857" w14:textId="77777777" w:rsidR="008C6160" w:rsidRPr="008B2365" w:rsidRDefault="008C6160" w:rsidP="00312E88">
            <w:pPr>
              <w:rPr>
                <w:rFonts w:cs="Arial"/>
                <w:b/>
                <w:bCs/>
                <w:color w:val="FFFFFF"/>
                <w:sz w:val="16"/>
                <w:szCs w:val="16"/>
              </w:rPr>
            </w:pPr>
            <w:r w:rsidRPr="008B2365">
              <w:rPr>
                <w:rFonts w:cs="Arial"/>
                <w:b/>
                <w:bCs/>
                <w:color w:val="FFFFFF"/>
                <w:sz w:val="16"/>
                <w:szCs w:val="16"/>
              </w:rPr>
              <w:t>Total participant costs ($m)</w:t>
            </w:r>
          </w:p>
        </w:tc>
        <w:tc>
          <w:tcPr>
            <w:tcW w:w="651" w:type="pct"/>
            <w:tcBorders>
              <w:top w:val="nil"/>
              <w:left w:val="nil"/>
              <w:bottom w:val="nil"/>
              <w:right w:val="nil"/>
            </w:tcBorders>
            <w:shd w:val="clear" w:color="000000" w:fill="6B2976"/>
            <w:noWrap/>
            <w:vAlign w:val="bottom"/>
            <w:hideMark/>
          </w:tcPr>
          <w:p w14:paraId="26B2CFE7" w14:textId="77777777" w:rsidR="008C6160" w:rsidRPr="008B2365" w:rsidRDefault="008C6160" w:rsidP="00312E88">
            <w:pPr>
              <w:jc w:val="right"/>
              <w:rPr>
                <w:rFonts w:cs="Arial"/>
                <w:b/>
                <w:bCs/>
                <w:color w:val="FFFFFF"/>
                <w:sz w:val="16"/>
                <w:szCs w:val="16"/>
              </w:rPr>
            </w:pPr>
            <w:r w:rsidRPr="008B2365">
              <w:rPr>
                <w:rFonts w:cs="Arial"/>
                <w:b/>
                <w:bCs/>
                <w:color w:val="FFFFFF"/>
                <w:sz w:val="16"/>
                <w:szCs w:val="16"/>
              </w:rPr>
              <w:t>2020</w:t>
            </w:r>
          </w:p>
        </w:tc>
        <w:tc>
          <w:tcPr>
            <w:tcW w:w="651" w:type="pct"/>
            <w:tcBorders>
              <w:top w:val="nil"/>
              <w:left w:val="nil"/>
              <w:bottom w:val="nil"/>
              <w:right w:val="nil"/>
            </w:tcBorders>
            <w:shd w:val="clear" w:color="000000" w:fill="6B2976"/>
            <w:noWrap/>
            <w:vAlign w:val="bottom"/>
            <w:hideMark/>
          </w:tcPr>
          <w:p w14:paraId="34DE92C8" w14:textId="77777777" w:rsidR="008C6160" w:rsidRPr="008B2365" w:rsidRDefault="008C6160" w:rsidP="00312E88">
            <w:pPr>
              <w:jc w:val="right"/>
              <w:rPr>
                <w:rFonts w:cs="Arial"/>
                <w:b/>
                <w:bCs/>
                <w:color w:val="FFFFFF"/>
                <w:sz w:val="16"/>
                <w:szCs w:val="16"/>
              </w:rPr>
            </w:pPr>
            <w:r w:rsidRPr="008B2365">
              <w:rPr>
                <w:rFonts w:cs="Arial"/>
                <w:b/>
                <w:bCs/>
                <w:color w:val="FFFFFF"/>
                <w:sz w:val="16"/>
                <w:szCs w:val="16"/>
              </w:rPr>
              <w:t>2025</w:t>
            </w:r>
          </w:p>
        </w:tc>
        <w:tc>
          <w:tcPr>
            <w:tcW w:w="651" w:type="pct"/>
            <w:tcBorders>
              <w:top w:val="nil"/>
              <w:left w:val="nil"/>
              <w:bottom w:val="nil"/>
              <w:right w:val="nil"/>
            </w:tcBorders>
            <w:shd w:val="clear" w:color="000000" w:fill="6B2976"/>
            <w:noWrap/>
            <w:vAlign w:val="bottom"/>
            <w:hideMark/>
          </w:tcPr>
          <w:p w14:paraId="59B1CF88" w14:textId="77777777" w:rsidR="008C6160" w:rsidRPr="008B2365" w:rsidRDefault="008C6160" w:rsidP="00312E88">
            <w:pPr>
              <w:jc w:val="right"/>
              <w:rPr>
                <w:rFonts w:cs="Arial"/>
                <w:b/>
                <w:bCs/>
                <w:color w:val="FFFFFF"/>
                <w:sz w:val="16"/>
                <w:szCs w:val="16"/>
              </w:rPr>
            </w:pPr>
            <w:r w:rsidRPr="008B2365">
              <w:rPr>
                <w:rFonts w:cs="Arial"/>
                <w:b/>
                <w:bCs/>
                <w:color w:val="FFFFFF"/>
                <w:sz w:val="16"/>
                <w:szCs w:val="16"/>
              </w:rPr>
              <w:t>2030</w:t>
            </w:r>
          </w:p>
        </w:tc>
      </w:tr>
      <w:tr w:rsidR="008C6160" w:rsidRPr="008B2365" w14:paraId="7733D546" w14:textId="77777777" w:rsidTr="00312E88">
        <w:trPr>
          <w:trHeight w:hRule="exact" w:val="255"/>
        </w:trPr>
        <w:tc>
          <w:tcPr>
            <w:tcW w:w="158" w:type="pct"/>
            <w:tcBorders>
              <w:top w:val="nil"/>
              <w:left w:val="nil"/>
              <w:bottom w:val="single" w:sz="4" w:space="0" w:color="auto"/>
              <w:right w:val="nil"/>
            </w:tcBorders>
            <w:shd w:val="clear" w:color="auto" w:fill="auto"/>
            <w:noWrap/>
            <w:vAlign w:val="bottom"/>
            <w:hideMark/>
          </w:tcPr>
          <w:p w14:paraId="0A6FE082" w14:textId="77777777" w:rsidR="008C6160" w:rsidRPr="008B2365" w:rsidRDefault="008C6160" w:rsidP="00312E88">
            <w:pPr>
              <w:rPr>
                <w:rFonts w:cs="Arial"/>
                <w:color w:val="000000"/>
                <w:sz w:val="16"/>
                <w:szCs w:val="16"/>
              </w:rPr>
            </w:pPr>
            <w:r w:rsidRPr="008B2365">
              <w:rPr>
                <w:rFonts w:cs="Arial"/>
                <w:color w:val="000000"/>
                <w:sz w:val="16"/>
                <w:szCs w:val="16"/>
              </w:rPr>
              <w:t> </w:t>
            </w:r>
          </w:p>
        </w:tc>
        <w:tc>
          <w:tcPr>
            <w:tcW w:w="2890" w:type="pct"/>
            <w:tcBorders>
              <w:top w:val="nil"/>
              <w:left w:val="nil"/>
              <w:bottom w:val="single" w:sz="4" w:space="0" w:color="auto"/>
              <w:right w:val="nil"/>
            </w:tcBorders>
            <w:shd w:val="clear" w:color="auto" w:fill="auto"/>
            <w:noWrap/>
            <w:vAlign w:val="bottom"/>
            <w:hideMark/>
          </w:tcPr>
          <w:p w14:paraId="01048F02" w14:textId="77777777" w:rsidR="008C6160" w:rsidRPr="008B2365" w:rsidRDefault="008C6160" w:rsidP="00312E88">
            <w:pPr>
              <w:rPr>
                <w:rFonts w:cs="Arial"/>
                <w:color w:val="000000"/>
                <w:sz w:val="16"/>
                <w:szCs w:val="16"/>
              </w:rPr>
            </w:pPr>
            <w:r w:rsidRPr="008B2365">
              <w:rPr>
                <w:rFonts w:cs="Arial"/>
                <w:color w:val="000000"/>
                <w:sz w:val="16"/>
                <w:szCs w:val="16"/>
              </w:rPr>
              <w:t>2017-18 Baseline</w:t>
            </w:r>
          </w:p>
        </w:tc>
        <w:tc>
          <w:tcPr>
            <w:tcW w:w="651" w:type="pct"/>
            <w:tcBorders>
              <w:top w:val="nil"/>
              <w:left w:val="nil"/>
              <w:bottom w:val="single" w:sz="4" w:space="0" w:color="auto"/>
              <w:right w:val="nil"/>
            </w:tcBorders>
            <w:shd w:val="clear" w:color="auto" w:fill="auto"/>
            <w:noWrap/>
            <w:vAlign w:val="bottom"/>
            <w:hideMark/>
          </w:tcPr>
          <w:p w14:paraId="26EEE08C" w14:textId="77777777" w:rsidR="008C6160" w:rsidRPr="008B2365" w:rsidRDefault="008C6160" w:rsidP="00312E88">
            <w:pPr>
              <w:jc w:val="right"/>
              <w:rPr>
                <w:rFonts w:cs="Arial"/>
                <w:color w:val="000000"/>
                <w:sz w:val="16"/>
                <w:szCs w:val="16"/>
              </w:rPr>
            </w:pPr>
            <w:r w:rsidRPr="008B2365">
              <w:rPr>
                <w:rFonts w:cs="Arial"/>
                <w:color w:val="000000"/>
                <w:sz w:val="16"/>
                <w:szCs w:val="16"/>
              </w:rPr>
              <w:t>15,638</w:t>
            </w:r>
          </w:p>
        </w:tc>
        <w:tc>
          <w:tcPr>
            <w:tcW w:w="651" w:type="pct"/>
            <w:tcBorders>
              <w:top w:val="nil"/>
              <w:left w:val="nil"/>
              <w:bottom w:val="single" w:sz="4" w:space="0" w:color="auto"/>
              <w:right w:val="nil"/>
            </w:tcBorders>
            <w:shd w:val="clear" w:color="auto" w:fill="auto"/>
            <w:noWrap/>
            <w:vAlign w:val="bottom"/>
            <w:hideMark/>
          </w:tcPr>
          <w:p w14:paraId="352923C4" w14:textId="77777777" w:rsidR="008C6160" w:rsidRPr="008B2365" w:rsidRDefault="008C6160" w:rsidP="00312E88">
            <w:pPr>
              <w:jc w:val="right"/>
              <w:rPr>
                <w:rFonts w:cs="Arial"/>
                <w:color w:val="000000"/>
                <w:sz w:val="16"/>
                <w:szCs w:val="16"/>
              </w:rPr>
            </w:pPr>
            <w:r w:rsidRPr="008B2365">
              <w:rPr>
                <w:rFonts w:cs="Arial"/>
                <w:color w:val="000000"/>
                <w:sz w:val="16"/>
                <w:szCs w:val="16"/>
              </w:rPr>
              <w:t>31,715</w:t>
            </w:r>
          </w:p>
        </w:tc>
        <w:tc>
          <w:tcPr>
            <w:tcW w:w="651" w:type="pct"/>
            <w:tcBorders>
              <w:top w:val="nil"/>
              <w:left w:val="nil"/>
              <w:bottom w:val="single" w:sz="4" w:space="0" w:color="auto"/>
              <w:right w:val="nil"/>
            </w:tcBorders>
            <w:shd w:val="clear" w:color="auto" w:fill="auto"/>
            <w:noWrap/>
            <w:vAlign w:val="bottom"/>
            <w:hideMark/>
          </w:tcPr>
          <w:p w14:paraId="064DF16F" w14:textId="77777777" w:rsidR="008C6160" w:rsidRPr="008B2365" w:rsidRDefault="008C6160" w:rsidP="00312E88">
            <w:pPr>
              <w:jc w:val="right"/>
              <w:rPr>
                <w:rFonts w:cs="Arial"/>
                <w:color w:val="000000"/>
                <w:sz w:val="16"/>
                <w:szCs w:val="16"/>
              </w:rPr>
            </w:pPr>
            <w:r w:rsidRPr="008B2365">
              <w:rPr>
                <w:rFonts w:cs="Arial"/>
                <w:color w:val="000000"/>
                <w:sz w:val="16"/>
                <w:szCs w:val="16"/>
              </w:rPr>
              <w:t>44,395</w:t>
            </w:r>
          </w:p>
        </w:tc>
      </w:tr>
      <w:tr w:rsidR="008C6160" w:rsidRPr="008B2365" w14:paraId="63DAAE11" w14:textId="77777777" w:rsidTr="00312E88">
        <w:trPr>
          <w:trHeight w:hRule="exact" w:val="255"/>
        </w:trPr>
        <w:tc>
          <w:tcPr>
            <w:tcW w:w="158" w:type="pct"/>
            <w:tcBorders>
              <w:top w:val="nil"/>
              <w:left w:val="nil"/>
              <w:bottom w:val="nil"/>
              <w:right w:val="nil"/>
            </w:tcBorders>
            <w:shd w:val="clear" w:color="auto" w:fill="auto"/>
            <w:noWrap/>
            <w:vAlign w:val="bottom"/>
            <w:hideMark/>
          </w:tcPr>
          <w:p w14:paraId="1A89CB7E" w14:textId="77777777" w:rsidR="008C6160" w:rsidRPr="008B2365" w:rsidRDefault="008C6160" w:rsidP="00312E88">
            <w:pPr>
              <w:rPr>
                <w:rFonts w:cs="Arial"/>
                <w:color w:val="000000"/>
                <w:sz w:val="16"/>
                <w:szCs w:val="16"/>
              </w:rPr>
            </w:pPr>
            <w:r w:rsidRPr="008B2365">
              <w:rPr>
                <w:rFonts w:cs="Arial"/>
                <w:color w:val="000000"/>
                <w:sz w:val="16"/>
                <w:szCs w:val="16"/>
              </w:rPr>
              <w:t>1a</w:t>
            </w:r>
          </w:p>
        </w:tc>
        <w:tc>
          <w:tcPr>
            <w:tcW w:w="2890" w:type="pct"/>
            <w:tcBorders>
              <w:top w:val="nil"/>
              <w:left w:val="nil"/>
              <w:bottom w:val="nil"/>
              <w:right w:val="nil"/>
            </w:tcBorders>
            <w:shd w:val="clear" w:color="auto" w:fill="auto"/>
            <w:noWrap/>
            <w:vAlign w:val="bottom"/>
            <w:hideMark/>
          </w:tcPr>
          <w:p w14:paraId="33504F9B" w14:textId="77777777" w:rsidR="008C6160" w:rsidRPr="008B2365" w:rsidRDefault="008C6160" w:rsidP="00312E88">
            <w:pPr>
              <w:rPr>
                <w:rFonts w:cs="Arial"/>
                <w:color w:val="000000"/>
                <w:sz w:val="16"/>
                <w:szCs w:val="16"/>
              </w:rPr>
            </w:pPr>
            <w:r w:rsidRPr="008B2365">
              <w:rPr>
                <w:rFonts w:cs="Arial"/>
                <w:color w:val="000000"/>
                <w:sz w:val="16"/>
                <w:szCs w:val="16"/>
              </w:rPr>
              <w:t>Higher Autism exits</w:t>
            </w:r>
          </w:p>
        </w:tc>
        <w:tc>
          <w:tcPr>
            <w:tcW w:w="651" w:type="pct"/>
            <w:tcBorders>
              <w:top w:val="nil"/>
              <w:left w:val="nil"/>
              <w:bottom w:val="nil"/>
              <w:right w:val="nil"/>
            </w:tcBorders>
            <w:shd w:val="clear" w:color="auto" w:fill="auto"/>
            <w:noWrap/>
            <w:vAlign w:val="bottom"/>
            <w:hideMark/>
          </w:tcPr>
          <w:p w14:paraId="2B0AB4F1" w14:textId="77777777" w:rsidR="008C6160" w:rsidRPr="008B2365" w:rsidRDefault="008C6160" w:rsidP="00312E88">
            <w:pPr>
              <w:jc w:val="right"/>
              <w:rPr>
                <w:rFonts w:cs="Arial"/>
                <w:color w:val="000000"/>
                <w:sz w:val="16"/>
                <w:szCs w:val="16"/>
              </w:rPr>
            </w:pPr>
            <w:r w:rsidRPr="008B2365">
              <w:rPr>
                <w:rFonts w:cs="Arial"/>
                <w:color w:val="000000"/>
                <w:sz w:val="16"/>
                <w:szCs w:val="16"/>
              </w:rPr>
              <w:t>15,453</w:t>
            </w:r>
          </w:p>
        </w:tc>
        <w:tc>
          <w:tcPr>
            <w:tcW w:w="651" w:type="pct"/>
            <w:tcBorders>
              <w:top w:val="nil"/>
              <w:left w:val="nil"/>
              <w:bottom w:val="nil"/>
              <w:right w:val="nil"/>
            </w:tcBorders>
            <w:shd w:val="clear" w:color="auto" w:fill="auto"/>
            <w:noWrap/>
            <w:vAlign w:val="bottom"/>
            <w:hideMark/>
          </w:tcPr>
          <w:p w14:paraId="54CC4DE7" w14:textId="77777777" w:rsidR="008C6160" w:rsidRPr="008B2365" w:rsidRDefault="008C6160" w:rsidP="00312E88">
            <w:pPr>
              <w:jc w:val="right"/>
              <w:rPr>
                <w:rFonts w:cs="Arial"/>
                <w:color w:val="000000"/>
                <w:sz w:val="16"/>
                <w:szCs w:val="16"/>
              </w:rPr>
            </w:pPr>
            <w:r w:rsidRPr="008B2365">
              <w:rPr>
                <w:rFonts w:cs="Arial"/>
                <w:color w:val="000000"/>
                <w:sz w:val="16"/>
                <w:szCs w:val="16"/>
              </w:rPr>
              <w:t>30,171</w:t>
            </w:r>
          </w:p>
        </w:tc>
        <w:tc>
          <w:tcPr>
            <w:tcW w:w="651" w:type="pct"/>
            <w:tcBorders>
              <w:top w:val="nil"/>
              <w:left w:val="nil"/>
              <w:bottom w:val="nil"/>
              <w:right w:val="nil"/>
            </w:tcBorders>
            <w:shd w:val="clear" w:color="auto" w:fill="auto"/>
            <w:noWrap/>
            <w:vAlign w:val="bottom"/>
            <w:hideMark/>
          </w:tcPr>
          <w:p w14:paraId="3CD57447" w14:textId="77777777" w:rsidR="008C6160" w:rsidRPr="008B2365" w:rsidRDefault="008C6160" w:rsidP="00312E88">
            <w:pPr>
              <w:jc w:val="right"/>
              <w:rPr>
                <w:rFonts w:cs="Arial"/>
                <w:color w:val="000000"/>
                <w:sz w:val="16"/>
                <w:szCs w:val="16"/>
              </w:rPr>
            </w:pPr>
            <w:r w:rsidRPr="008B2365">
              <w:rPr>
                <w:rFonts w:cs="Arial"/>
                <w:color w:val="000000"/>
                <w:sz w:val="16"/>
                <w:szCs w:val="16"/>
              </w:rPr>
              <w:t>40,485</w:t>
            </w:r>
          </w:p>
        </w:tc>
      </w:tr>
      <w:tr w:rsidR="008C6160" w:rsidRPr="008B2365" w14:paraId="701F0AB4" w14:textId="77777777" w:rsidTr="00312E88">
        <w:trPr>
          <w:trHeight w:hRule="exact" w:val="255"/>
        </w:trPr>
        <w:tc>
          <w:tcPr>
            <w:tcW w:w="158" w:type="pct"/>
            <w:tcBorders>
              <w:top w:val="nil"/>
              <w:left w:val="nil"/>
              <w:bottom w:val="single" w:sz="4" w:space="0" w:color="auto"/>
              <w:right w:val="nil"/>
            </w:tcBorders>
            <w:shd w:val="clear" w:color="auto" w:fill="auto"/>
            <w:noWrap/>
            <w:vAlign w:val="bottom"/>
            <w:hideMark/>
          </w:tcPr>
          <w:p w14:paraId="5754C00E" w14:textId="77777777" w:rsidR="008C6160" w:rsidRPr="008B2365" w:rsidRDefault="008C6160" w:rsidP="00312E88">
            <w:pPr>
              <w:rPr>
                <w:rFonts w:cs="Arial"/>
                <w:color w:val="000000"/>
                <w:sz w:val="16"/>
                <w:szCs w:val="16"/>
              </w:rPr>
            </w:pPr>
            <w:r w:rsidRPr="008B2365">
              <w:rPr>
                <w:rFonts w:cs="Arial"/>
                <w:color w:val="000000"/>
                <w:sz w:val="16"/>
                <w:szCs w:val="16"/>
              </w:rPr>
              <w:t>1b</w:t>
            </w:r>
          </w:p>
        </w:tc>
        <w:tc>
          <w:tcPr>
            <w:tcW w:w="2890" w:type="pct"/>
            <w:tcBorders>
              <w:top w:val="nil"/>
              <w:left w:val="nil"/>
              <w:bottom w:val="single" w:sz="4" w:space="0" w:color="auto"/>
              <w:right w:val="nil"/>
            </w:tcBorders>
            <w:shd w:val="clear" w:color="auto" w:fill="auto"/>
            <w:noWrap/>
            <w:vAlign w:val="bottom"/>
            <w:hideMark/>
          </w:tcPr>
          <w:p w14:paraId="6958B8EB" w14:textId="77777777" w:rsidR="008C6160" w:rsidRPr="008B2365" w:rsidRDefault="008C6160" w:rsidP="00312E88">
            <w:pPr>
              <w:rPr>
                <w:rFonts w:cs="Arial"/>
                <w:color w:val="000000"/>
                <w:sz w:val="16"/>
                <w:szCs w:val="16"/>
              </w:rPr>
            </w:pPr>
            <w:r w:rsidRPr="008B2365">
              <w:rPr>
                <w:rFonts w:cs="Arial"/>
                <w:color w:val="000000"/>
                <w:sz w:val="16"/>
                <w:szCs w:val="16"/>
              </w:rPr>
              <w:t>Lower Autism exits</w:t>
            </w:r>
          </w:p>
        </w:tc>
        <w:tc>
          <w:tcPr>
            <w:tcW w:w="651" w:type="pct"/>
            <w:tcBorders>
              <w:top w:val="nil"/>
              <w:left w:val="nil"/>
              <w:bottom w:val="single" w:sz="4" w:space="0" w:color="auto"/>
              <w:right w:val="nil"/>
            </w:tcBorders>
            <w:shd w:val="clear" w:color="auto" w:fill="auto"/>
            <w:noWrap/>
            <w:vAlign w:val="bottom"/>
            <w:hideMark/>
          </w:tcPr>
          <w:p w14:paraId="0BBAF56D" w14:textId="77777777" w:rsidR="008C6160" w:rsidRPr="008B2365" w:rsidRDefault="008C6160" w:rsidP="00312E88">
            <w:pPr>
              <w:jc w:val="right"/>
              <w:rPr>
                <w:rFonts w:cs="Arial"/>
                <w:color w:val="000000"/>
                <w:sz w:val="16"/>
                <w:szCs w:val="16"/>
              </w:rPr>
            </w:pPr>
            <w:r w:rsidRPr="008B2365">
              <w:rPr>
                <w:rFonts w:cs="Arial"/>
                <w:color w:val="000000"/>
                <w:sz w:val="16"/>
                <w:szCs w:val="16"/>
              </w:rPr>
              <w:t>15,676</w:t>
            </w:r>
          </w:p>
        </w:tc>
        <w:tc>
          <w:tcPr>
            <w:tcW w:w="651" w:type="pct"/>
            <w:tcBorders>
              <w:top w:val="nil"/>
              <w:left w:val="nil"/>
              <w:bottom w:val="single" w:sz="4" w:space="0" w:color="auto"/>
              <w:right w:val="nil"/>
            </w:tcBorders>
            <w:shd w:val="clear" w:color="auto" w:fill="auto"/>
            <w:noWrap/>
            <w:vAlign w:val="bottom"/>
            <w:hideMark/>
          </w:tcPr>
          <w:p w14:paraId="1E661936" w14:textId="77777777" w:rsidR="008C6160" w:rsidRPr="008B2365" w:rsidRDefault="008C6160" w:rsidP="00312E88">
            <w:pPr>
              <w:jc w:val="right"/>
              <w:rPr>
                <w:rFonts w:cs="Arial"/>
                <w:color w:val="000000"/>
                <w:sz w:val="16"/>
                <w:szCs w:val="16"/>
              </w:rPr>
            </w:pPr>
            <w:r w:rsidRPr="008B2365">
              <w:rPr>
                <w:rFonts w:cs="Arial"/>
                <w:color w:val="000000"/>
                <w:sz w:val="16"/>
                <w:szCs w:val="16"/>
              </w:rPr>
              <w:t>32,099</w:t>
            </w:r>
          </w:p>
        </w:tc>
        <w:tc>
          <w:tcPr>
            <w:tcW w:w="651" w:type="pct"/>
            <w:tcBorders>
              <w:top w:val="nil"/>
              <w:left w:val="nil"/>
              <w:bottom w:val="single" w:sz="4" w:space="0" w:color="auto"/>
              <w:right w:val="nil"/>
            </w:tcBorders>
            <w:shd w:val="clear" w:color="auto" w:fill="auto"/>
            <w:noWrap/>
            <w:vAlign w:val="bottom"/>
            <w:hideMark/>
          </w:tcPr>
          <w:p w14:paraId="4DE1F273" w14:textId="77777777" w:rsidR="008C6160" w:rsidRPr="008B2365" w:rsidRDefault="008C6160" w:rsidP="00312E88">
            <w:pPr>
              <w:jc w:val="right"/>
              <w:rPr>
                <w:rFonts w:cs="Arial"/>
                <w:color w:val="000000"/>
                <w:sz w:val="16"/>
                <w:szCs w:val="16"/>
              </w:rPr>
            </w:pPr>
            <w:r w:rsidRPr="008B2365">
              <w:rPr>
                <w:rFonts w:cs="Arial"/>
                <w:color w:val="000000"/>
                <w:sz w:val="16"/>
                <w:szCs w:val="16"/>
              </w:rPr>
              <w:t>45,579</w:t>
            </w:r>
          </w:p>
        </w:tc>
      </w:tr>
      <w:tr w:rsidR="008C6160" w:rsidRPr="008B2365" w14:paraId="3C2D747A" w14:textId="77777777" w:rsidTr="00312E88">
        <w:trPr>
          <w:trHeight w:hRule="exact" w:val="255"/>
        </w:trPr>
        <w:tc>
          <w:tcPr>
            <w:tcW w:w="158" w:type="pct"/>
            <w:tcBorders>
              <w:top w:val="nil"/>
              <w:left w:val="nil"/>
              <w:bottom w:val="single" w:sz="4" w:space="0" w:color="auto"/>
              <w:right w:val="nil"/>
            </w:tcBorders>
            <w:shd w:val="clear" w:color="auto" w:fill="auto"/>
            <w:noWrap/>
            <w:vAlign w:val="bottom"/>
            <w:hideMark/>
          </w:tcPr>
          <w:p w14:paraId="71EA8EED" w14:textId="77777777" w:rsidR="008C6160" w:rsidRPr="008B2365" w:rsidRDefault="008C6160" w:rsidP="00312E88">
            <w:pPr>
              <w:rPr>
                <w:rFonts w:cs="Arial"/>
                <w:color w:val="000000"/>
                <w:sz w:val="16"/>
                <w:szCs w:val="16"/>
              </w:rPr>
            </w:pPr>
            <w:r w:rsidRPr="008B2365">
              <w:rPr>
                <w:rFonts w:cs="Arial"/>
                <w:color w:val="000000"/>
                <w:sz w:val="16"/>
                <w:szCs w:val="16"/>
              </w:rPr>
              <w:t>2</w:t>
            </w:r>
          </w:p>
        </w:tc>
        <w:tc>
          <w:tcPr>
            <w:tcW w:w="2890" w:type="pct"/>
            <w:tcBorders>
              <w:top w:val="nil"/>
              <w:left w:val="nil"/>
              <w:bottom w:val="single" w:sz="4" w:space="0" w:color="auto"/>
              <w:right w:val="nil"/>
            </w:tcBorders>
            <w:shd w:val="clear" w:color="auto" w:fill="auto"/>
            <w:noWrap/>
            <w:vAlign w:val="bottom"/>
            <w:hideMark/>
          </w:tcPr>
          <w:p w14:paraId="4E7A1DE5" w14:textId="77777777" w:rsidR="008C6160" w:rsidRPr="008B2365" w:rsidRDefault="008C6160" w:rsidP="00312E88">
            <w:pPr>
              <w:rPr>
                <w:rFonts w:cs="Arial"/>
                <w:color w:val="000000"/>
                <w:sz w:val="16"/>
                <w:szCs w:val="16"/>
              </w:rPr>
            </w:pPr>
            <w:r w:rsidRPr="008B2365">
              <w:rPr>
                <w:rFonts w:cs="Arial"/>
                <w:color w:val="000000"/>
                <w:sz w:val="16"/>
                <w:szCs w:val="16"/>
              </w:rPr>
              <w:t>Intellectual disability new incidence hump 17-22 yrs</w:t>
            </w:r>
          </w:p>
        </w:tc>
        <w:tc>
          <w:tcPr>
            <w:tcW w:w="651" w:type="pct"/>
            <w:tcBorders>
              <w:top w:val="nil"/>
              <w:left w:val="nil"/>
              <w:bottom w:val="single" w:sz="4" w:space="0" w:color="auto"/>
              <w:right w:val="nil"/>
            </w:tcBorders>
            <w:shd w:val="clear" w:color="auto" w:fill="auto"/>
            <w:noWrap/>
            <w:vAlign w:val="bottom"/>
            <w:hideMark/>
          </w:tcPr>
          <w:p w14:paraId="3DD9C783" w14:textId="77777777" w:rsidR="008C6160" w:rsidRPr="008B2365" w:rsidRDefault="008C6160" w:rsidP="00312E88">
            <w:pPr>
              <w:jc w:val="right"/>
              <w:rPr>
                <w:rFonts w:cs="Arial"/>
                <w:color w:val="000000"/>
                <w:sz w:val="16"/>
                <w:szCs w:val="16"/>
              </w:rPr>
            </w:pPr>
            <w:r w:rsidRPr="008B2365">
              <w:rPr>
                <w:rFonts w:cs="Arial"/>
                <w:color w:val="000000"/>
                <w:sz w:val="16"/>
                <w:szCs w:val="16"/>
              </w:rPr>
              <w:t>15,638</w:t>
            </w:r>
          </w:p>
        </w:tc>
        <w:tc>
          <w:tcPr>
            <w:tcW w:w="651" w:type="pct"/>
            <w:tcBorders>
              <w:top w:val="nil"/>
              <w:left w:val="nil"/>
              <w:bottom w:val="single" w:sz="4" w:space="0" w:color="auto"/>
              <w:right w:val="nil"/>
            </w:tcBorders>
            <w:shd w:val="clear" w:color="auto" w:fill="auto"/>
            <w:noWrap/>
            <w:vAlign w:val="bottom"/>
            <w:hideMark/>
          </w:tcPr>
          <w:p w14:paraId="66C7C6F4" w14:textId="77777777" w:rsidR="008C6160" w:rsidRPr="008B2365" w:rsidRDefault="008C6160" w:rsidP="00312E88">
            <w:pPr>
              <w:jc w:val="right"/>
              <w:rPr>
                <w:rFonts w:cs="Arial"/>
                <w:color w:val="000000"/>
                <w:sz w:val="16"/>
                <w:szCs w:val="16"/>
              </w:rPr>
            </w:pPr>
            <w:r w:rsidRPr="008B2365">
              <w:rPr>
                <w:rFonts w:cs="Arial"/>
                <w:color w:val="000000"/>
                <w:sz w:val="16"/>
                <w:szCs w:val="16"/>
              </w:rPr>
              <w:t>32,008</w:t>
            </w:r>
          </w:p>
        </w:tc>
        <w:tc>
          <w:tcPr>
            <w:tcW w:w="651" w:type="pct"/>
            <w:tcBorders>
              <w:top w:val="nil"/>
              <w:left w:val="nil"/>
              <w:bottom w:val="single" w:sz="4" w:space="0" w:color="auto"/>
              <w:right w:val="nil"/>
            </w:tcBorders>
            <w:shd w:val="clear" w:color="auto" w:fill="auto"/>
            <w:noWrap/>
            <w:vAlign w:val="bottom"/>
            <w:hideMark/>
          </w:tcPr>
          <w:p w14:paraId="19285ABB" w14:textId="77777777" w:rsidR="008C6160" w:rsidRPr="008B2365" w:rsidRDefault="008C6160" w:rsidP="00312E88">
            <w:pPr>
              <w:jc w:val="right"/>
              <w:rPr>
                <w:rFonts w:cs="Arial"/>
                <w:color w:val="000000"/>
                <w:sz w:val="16"/>
                <w:szCs w:val="16"/>
              </w:rPr>
            </w:pPr>
            <w:r w:rsidRPr="008B2365">
              <w:rPr>
                <w:rFonts w:cs="Arial"/>
                <w:color w:val="000000"/>
                <w:sz w:val="16"/>
                <w:szCs w:val="16"/>
              </w:rPr>
              <w:t>46,518</w:t>
            </w:r>
          </w:p>
        </w:tc>
      </w:tr>
      <w:tr w:rsidR="008C6160" w:rsidRPr="008B2365" w14:paraId="082A1D96" w14:textId="77777777" w:rsidTr="00312E88">
        <w:trPr>
          <w:trHeight w:hRule="exact" w:val="255"/>
        </w:trPr>
        <w:tc>
          <w:tcPr>
            <w:tcW w:w="158" w:type="pct"/>
            <w:tcBorders>
              <w:top w:val="nil"/>
              <w:left w:val="nil"/>
              <w:bottom w:val="nil"/>
              <w:right w:val="nil"/>
            </w:tcBorders>
            <w:shd w:val="clear" w:color="auto" w:fill="auto"/>
            <w:noWrap/>
            <w:vAlign w:val="bottom"/>
            <w:hideMark/>
          </w:tcPr>
          <w:p w14:paraId="36DA3D2B" w14:textId="77777777" w:rsidR="008C6160" w:rsidRPr="008B2365" w:rsidRDefault="008C6160" w:rsidP="00312E88">
            <w:pPr>
              <w:rPr>
                <w:rFonts w:cs="Arial"/>
                <w:color w:val="000000"/>
                <w:sz w:val="16"/>
                <w:szCs w:val="16"/>
              </w:rPr>
            </w:pPr>
            <w:r w:rsidRPr="008B2365">
              <w:rPr>
                <w:rFonts w:cs="Arial"/>
                <w:color w:val="000000"/>
                <w:sz w:val="16"/>
                <w:szCs w:val="16"/>
              </w:rPr>
              <w:t>3a</w:t>
            </w:r>
          </w:p>
        </w:tc>
        <w:tc>
          <w:tcPr>
            <w:tcW w:w="2890" w:type="pct"/>
            <w:tcBorders>
              <w:top w:val="nil"/>
              <w:left w:val="nil"/>
              <w:bottom w:val="nil"/>
              <w:right w:val="nil"/>
            </w:tcBorders>
            <w:shd w:val="clear" w:color="auto" w:fill="auto"/>
            <w:noWrap/>
            <w:vAlign w:val="bottom"/>
            <w:hideMark/>
          </w:tcPr>
          <w:p w14:paraId="6D697415" w14:textId="77777777" w:rsidR="008C6160" w:rsidRPr="008B2365" w:rsidRDefault="008C6160" w:rsidP="00312E88">
            <w:pPr>
              <w:rPr>
                <w:rFonts w:cs="Arial"/>
                <w:color w:val="000000"/>
                <w:sz w:val="16"/>
                <w:szCs w:val="16"/>
              </w:rPr>
            </w:pPr>
            <w:r w:rsidRPr="008B2365">
              <w:rPr>
                <w:rFonts w:cs="Arial"/>
                <w:color w:val="000000"/>
                <w:sz w:val="16"/>
                <w:szCs w:val="16"/>
              </w:rPr>
              <w:t>Higher Proportion of participants in SSA (SIL)</w:t>
            </w:r>
          </w:p>
        </w:tc>
        <w:tc>
          <w:tcPr>
            <w:tcW w:w="651" w:type="pct"/>
            <w:tcBorders>
              <w:top w:val="nil"/>
              <w:left w:val="nil"/>
              <w:bottom w:val="nil"/>
              <w:right w:val="nil"/>
            </w:tcBorders>
            <w:shd w:val="clear" w:color="auto" w:fill="auto"/>
            <w:noWrap/>
            <w:vAlign w:val="bottom"/>
            <w:hideMark/>
          </w:tcPr>
          <w:p w14:paraId="01974531" w14:textId="77777777" w:rsidR="008C6160" w:rsidRPr="008B2365" w:rsidRDefault="008C6160" w:rsidP="00312E88">
            <w:pPr>
              <w:jc w:val="right"/>
              <w:rPr>
                <w:rFonts w:cs="Arial"/>
                <w:color w:val="000000"/>
                <w:sz w:val="16"/>
                <w:szCs w:val="16"/>
              </w:rPr>
            </w:pPr>
            <w:r w:rsidRPr="008B2365">
              <w:rPr>
                <w:rFonts w:cs="Arial"/>
                <w:color w:val="000000"/>
                <w:sz w:val="16"/>
                <w:szCs w:val="16"/>
              </w:rPr>
              <w:t>17,636</w:t>
            </w:r>
          </w:p>
        </w:tc>
        <w:tc>
          <w:tcPr>
            <w:tcW w:w="651" w:type="pct"/>
            <w:tcBorders>
              <w:top w:val="nil"/>
              <w:left w:val="nil"/>
              <w:bottom w:val="nil"/>
              <w:right w:val="nil"/>
            </w:tcBorders>
            <w:shd w:val="clear" w:color="auto" w:fill="auto"/>
            <w:noWrap/>
            <w:vAlign w:val="bottom"/>
            <w:hideMark/>
          </w:tcPr>
          <w:p w14:paraId="23460A25" w14:textId="77777777" w:rsidR="008C6160" w:rsidRPr="008B2365" w:rsidRDefault="008C6160" w:rsidP="00312E88">
            <w:pPr>
              <w:jc w:val="right"/>
              <w:rPr>
                <w:rFonts w:cs="Arial"/>
                <w:color w:val="000000"/>
                <w:sz w:val="16"/>
                <w:szCs w:val="16"/>
              </w:rPr>
            </w:pPr>
            <w:r w:rsidRPr="008B2365">
              <w:rPr>
                <w:rFonts w:cs="Arial"/>
                <w:color w:val="000000"/>
                <w:sz w:val="16"/>
                <w:szCs w:val="16"/>
              </w:rPr>
              <w:t>35,769</w:t>
            </w:r>
          </w:p>
        </w:tc>
        <w:tc>
          <w:tcPr>
            <w:tcW w:w="651" w:type="pct"/>
            <w:tcBorders>
              <w:top w:val="nil"/>
              <w:left w:val="nil"/>
              <w:bottom w:val="nil"/>
              <w:right w:val="nil"/>
            </w:tcBorders>
            <w:shd w:val="clear" w:color="auto" w:fill="auto"/>
            <w:noWrap/>
            <w:vAlign w:val="bottom"/>
            <w:hideMark/>
          </w:tcPr>
          <w:p w14:paraId="510000C3" w14:textId="77777777" w:rsidR="008C6160" w:rsidRPr="008B2365" w:rsidRDefault="008C6160" w:rsidP="00312E88">
            <w:pPr>
              <w:jc w:val="right"/>
              <w:rPr>
                <w:rFonts w:cs="Arial"/>
                <w:color w:val="000000"/>
                <w:sz w:val="16"/>
                <w:szCs w:val="16"/>
              </w:rPr>
            </w:pPr>
            <w:r w:rsidRPr="008B2365">
              <w:rPr>
                <w:rFonts w:cs="Arial"/>
                <w:color w:val="000000"/>
                <w:sz w:val="16"/>
                <w:szCs w:val="16"/>
              </w:rPr>
              <w:t>50,034</w:t>
            </w:r>
          </w:p>
        </w:tc>
      </w:tr>
      <w:tr w:rsidR="008C6160" w:rsidRPr="008B2365" w14:paraId="1C00932B" w14:textId="77777777" w:rsidTr="00312E88">
        <w:trPr>
          <w:trHeight w:hRule="exact" w:val="255"/>
        </w:trPr>
        <w:tc>
          <w:tcPr>
            <w:tcW w:w="158" w:type="pct"/>
            <w:tcBorders>
              <w:top w:val="nil"/>
              <w:left w:val="nil"/>
              <w:bottom w:val="nil"/>
              <w:right w:val="nil"/>
            </w:tcBorders>
            <w:shd w:val="clear" w:color="auto" w:fill="auto"/>
            <w:noWrap/>
            <w:vAlign w:val="bottom"/>
            <w:hideMark/>
          </w:tcPr>
          <w:p w14:paraId="52BDAC1A" w14:textId="77777777" w:rsidR="008C6160" w:rsidRPr="008B2365" w:rsidRDefault="008C6160" w:rsidP="00312E88">
            <w:pPr>
              <w:rPr>
                <w:rFonts w:cs="Arial"/>
                <w:color w:val="000000"/>
                <w:sz w:val="16"/>
                <w:szCs w:val="16"/>
              </w:rPr>
            </w:pPr>
            <w:r w:rsidRPr="008B2365">
              <w:rPr>
                <w:rFonts w:cs="Arial"/>
                <w:color w:val="000000"/>
                <w:sz w:val="16"/>
                <w:szCs w:val="16"/>
              </w:rPr>
              <w:t>3b</w:t>
            </w:r>
          </w:p>
        </w:tc>
        <w:tc>
          <w:tcPr>
            <w:tcW w:w="2890" w:type="pct"/>
            <w:tcBorders>
              <w:top w:val="nil"/>
              <w:left w:val="nil"/>
              <w:bottom w:val="nil"/>
              <w:right w:val="nil"/>
            </w:tcBorders>
            <w:shd w:val="clear" w:color="auto" w:fill="auto"/>
            <w:noWrap/>
            <w:vAlign w:val="bottom"/>
            <w:hideMark/>
          </w:tcPr>
          <w:p w14:paraId="51804C84" w14:textId="77777777" w:rsidR="008C6160" w:rsidRPr="008B2365" w:rsidRDefault="008C6160" w:rsidP="00312E88">
            <w:pPr>
              <w:rPr>
                <w:rFonts w:cs="Arial"/>
                <w:color w:val="000000"/>
                <w:sz w:val="16"/>
                <w:szCs w:val="16"/>
              </w:rPr>
            </w:pPr>
            <w:r w:rsidRPr="008B2365">
              <w:rPr>
                <w:rFonts w:cs="Arial"/>
                <w:color w:val="000000"/>
                <w:sz w:val="16"/>
                <w:szCs w:val="16"/>
              </w:rPr>
              <w:t>Lower Proportion of participants in SSA (SIL)</w:t>
            </w:r>
          </w:p>
        </w:tc>
        <w:tc>
          <w:tcPr>
            <w:tcW w:w="651" w:type="pct"/>
            <w:tcBorders>
              <w:top w:val="nil"/>
              <w:left w:val="nil"/>
              <w:bottom w:val="nil"/>
              <w:right w:val="nil"/>
            </w:tcBorders>
            <w:shd w:val="clear" w:color="auto" w:fill="auto"/>
            <w:noWrap/>
            <w:vAlign w:val="bottom"/>
            <w:hideMark/>
          </w:tcPr>
          <w:p w14:paraId="42045372" w14:textId="77777777" w:rsidR="008C6160" w:rsidRPr="008B2365" w:rsidRDefault="008C6160" w:rsidP="00312E88">
            <w:pPr>
              <w:jc w:val="right"/>
              <w:rPr>
                <w:rFonts w:cs="Arial"/>
                <w:color w:val="000000"/>
                <w:sz w:val="16"/>
                <w:szCs w:val="16"/>
              </w:rPr>
            </w:pPr>
            <w:r w:rsidRPr="008B2365">
              <w:rPr>
                <w:rFonts w:cs="Arial"/>
                <w:color w:val="000000"/>
                <w:sz w:val="16"/>
                <w:szCs w:val="16"/>
              </w:rPr>
              <w:t>15,405</w:t>
            </w:r>
          </w:p>
        </w:tc>
        <w:tc>
          <w:tcPr>
            <w:tcW w:w="651" w:type="pct"/>
            <w:tcBorders>
              <w:top w:val="nil"/>
              <w:left w:val="nil"/>
              <w:bottom w:val="nil"/>
              <w:right w:val="nil"/>
            </w:tcBorders>
            <w:shd w:val="clear" w:color="auto" w:fill="auto"/>
            <w:noWrap/>
            <w:vAlign w:val="bottom"/>
            <w:hideMark/>
          </w:tcPr>
          <w:p w14:paraId="3B02210B" w14:textId="77777777" w:rsidR="008C6160" w:rsidRPr="008B2365" w:rsidRDefault="008C6160" w:rsidP="00312E88">
            <w:pPr>
              <w:jc w:val="right"/>
              <w:rPr>
                <w:rFonts w:cs="Arial"/>
                <w:color w:val="000000"/>
                <w:sz w:val="16"/>
                <w:szCs w:val="16"/>
              </w:rPr>
            </w:pPr>
            <w:r w:rsidRPr="008B2365">
              <w:rPr>
                <w:rFonts w:cs="Arial"/>
                <w:color w:val="000000"/>
                <w:sz w:val="16"/>
                <w:szCs w:val="16"/>
              </w:rPr>
              <w:t>31,197</w:t>
            </w:r>
          </w:p>
        </w:tc>
        <w:tc>
          <w:tcPr>
            <w:tcW w:w="651" w:type="pct"/>
            <w:tcBorders>
              <w:top w:val="nil"/>
              <w:left w:val="nil"/>
              <w:bottom w:val="nil"/>
              <w:right w:val="nil"/>
            </w:tcBorders>
            <w:shd w:val="clear" w:color="auto" w:fill="auto"/>
            <w:noWrap/>
            <w:vAlign w:val="bottom"/>
            <w:hideMark/>
          </w:tcPr>
          <w:p w14:paraId="5BBA7AA9" w14:textId="77777777" w:rsidR="008C6160" w:rsidRPr="008B2365" w:rsidRDefault="008C6160" w:rsidP="00312E88">
            <w:pPr>
              <w:jc w:val="right"/>
              <w:rPr>
                <w:rFonts w:cs="Arial"/>
                <w:color w:val="000000"/>
                <w:sz w:val="16"/>
                <w:szCs w:val="16"/>
              </w:rPr>
            </w:pPr>
            <w:r w:rsidRPr="008B2365">
              <w:rPr>
                <w:rFonts w:cs="Arial"/>
                <w:color w:val="000000"/>
                <w:sz w:val="16"/>
                <w:szCs w:val="16"/>
              </w:rPr>
              <w:t>43,556</w:t>
            </w:r>
          </w:p>
        </w:tc>
      </w:tr>
      <w:tr w:rsidR="008C6160" w:rsidRPr="008B2365" w14:paraId="1CFBDE31" w14:textId="77777777" w:rsidTr="00312E88">
        <w:trPr>
          <w:trHeight w:hRule="exact" w:val="255"/>
        </w:trPr>
        <w:tc>
          <w:tcPr>
            <w:tcW w:w="158" w:type="pct"/>
            <w:tcBorders>
              <w:top w:val="nil"/>
              <w:left w:val="nil"/>
              <w:bottom w:val="single" w:sz="4" w:space="0" w:color="auto"/>
              <w:right w:val="nil"/>
            </w:tcBorders>
            <w:shd w:val="clear" w:color="auto" w:fill="auto"/>
            <w:noWrap/>
            <w:vAlign w:val="bottom"/>
            <w:hideMark/>
          </w:tcPr>
          <w:p w14:paraId="5D1A9011" w14:textId="77777777" w:rsidR="008C6160" w:rsidRPr="008B2365" w:rsidRDefault="008C6160" w:rsidP="00312E88">
            <w:pPr>
              <w:rPr>
                <w:rFonts w:cs="Arial"/>
                <w:color w:val="000000"/>
                <w:sz w:val="16"/>
                <w:szCs w:val="16"/>
              </w:rPr>
            </w:pPr>
            <w:r w:rsidRPr="008B2365">
              <w:rPr>
                <w:rFonts w:cs="Arial"/>
                <w:color w:val="000000"/>
                <w:sz w:val="16"/>
                <w:szCs w:val="16"/>
              </w:rPr>
              <w:t>3c</w:t>
            </w:r>
          </w:p>
        </w:tc>
        <w:tc>
          <w:tcPr>
            <w:tcW w:w="2890" w:type="pct"/>
            <w:tcBorders>
              <w:top w:val="nil"/>
              <w:left w:val="nil"/>
              <w:bottom w:val="single" w:sz="4" w:space="0" w:color="auto"/>
              <w:right w:val="nil"/>
            </w:tcBorders>
            <w:shd w:val="clear" w:color="auto" w:fill="auto"/>
            <w:noWrap/>
            <w:vAlign w:val="bottom"/>
            <w:hideMark/>
          </w:tcPr>
          <w:p w14:paraId="5F15C5E6" w14:textId="77777777" w:rsidR="008C6160" w:rsidRPr="008B2365" w:rsidRDefault="008C6160" w:rsidP="00312E88">
            <w:pPr>
              <w:rPr>
                <w:rFonts w:cs="Arial"/>
                <w:color w:val="000000"/>
                <w:sz w:val="16"/>
                <w:szCs w:val="16"/>
              </w:rPr>
            </w:pPr>
            <w:r w:rsidRPr="008B2365">
              <w:rPr>
                <w:rFonts w:cs="Arial"/>
                <w:color w:val="000000"/>
                <w:sz w:val="16"/>
                <w:szCs w:val="16"/>
              </w:rPr>
              <w:t>SSA cost innovation</w:t>
            </w:r>
          </w:p>
        </w:tc>
        <w:tc>
          <w:tcPr>
            <w:tcW w:w="651" w:type="pct"/>
            <w:tcBorders>
              <w:top w:val="nil"/>
              <w:left w:val="nil"/>
              <w:bottom w:val="single" w:sz="4" w:space="0" w:color="auto"/>
              <w:right w:val="nil"/>
            </w:tcBorders>
            <w:shd w:val="clear" w:color="auto" w:fill="auto"/>
            <w:noWrap/>
            <w:vAlign w:val="bottom"/>
            <w:hideMark/>
          </w:tcPr>
          <w:p w14:paraId="6155EDB5" w14:textId="77777777" w:rsidR="008C6160" w:rsidRPr="008B2365" w:rsidRDefault="008C6160" w:rsidP="00312E88">
            <w:pPr>
              <w:jc w:val="right"/>
              <w:rPr>
                <w:rFonts w:cs="Arial"/>
                <w:color w:val="000000"/>
                <w:sz w:val="16"/>
                <w:szCs w:val="16"/>
              </w:rPr>
            </w:pPr>
            <w:r w:rsidRPr="008B2365">
              <w:rPr>
                <w:rFonts w:cs="Arial"/>
                <w:color w:val="000000"/>
                <w:sz w:val="16"/>
                <w:szCs w:val="16"/>
              </w:rPr>
              <w:t>12,489</w:t>
            </w:r>
          </w:p>
        </w:tc>
        <w:tc>
          <w:tcPr>
            <w:tcW w:w="651" w:type="pct"/>
            <w:tcBorders>
              <w:top w:val="nil"/>
              <w:left w:val="nil"/>
              <w:bottom w:val="single" w:sz="4" w:space="0" w:color="auto"/>
              <w:right w:val="nil"/>
            </w:tcBorders>
            <w:shd w:val="clear" w:color="auto" w:fill="auto"/>
            <w:noWrap/>
            <w:vAlign w:val="bottom"/>
            <w:hideMark/>
          </w:tcPr>
          <w:p w14:paraId="388D1AD6" w14:textId="77777777" w:rsidR="008C6160" w:rsidRPr="008B2365" w:rsidRDefault="008C6160" w:rsidP="00312E88">
            <w:pPr>
              <w:jc w:val="right"/>
              <w:rPr>
                <w:rFonts w:cs="Arial"/>
                <w:color w:val="000000"/>
                <w:sz w:val="16"/>
                <w:szCs w:val="16"/>
              </w:rPr>
            </w:pPr>
            <w:r w:rsidRPr="008B2365">
              <w:rPr>
                <w:rFonts w:cs="Arial"/>
                <w:color w:val="000000"/>
                <w:sz w:val="16"/>
                <w:szCs w:val="16"/>
              </w:rPr>
              <w:t>29,261</w:t>
            </w:r>
          </w:p>
        </w:tc>
        <w:tc>
          <w:tcPr>
            <w:tcW w:w="651" w:type="pct"/>
            <w:tcBorders>
              <w:top w:val="nil"/>
              <w:left w:val="nil"/>
              <w:bottom w:val="single" w:sz="4" w:space="0" w:color="auto"/>
              <w:right w:val="nil"/>
            </w:tcBorders>
            <w:shd w:val="clear" w:color="auto" w:fill="auto"/>
            <w:noWrap/>
            <w:vAlign w:val="bottom"/>
            <w:hideMark/>
          </w:tcPr>
          <w:p w14:paraId="184B54AB" w14:textId="77777777" w:rsidR="008C6160" w:rsidRPr="008B2365" w:rsidRDefault="008C6160" w:rsidP="00312E88">
            <w:pPr>
              <w:jc w:val="right"/>
              <w:rPr>
                <w:rFonts w:cs="Arial"/>
                <w:color w:val="000000"/>
                <w:sz w:val="16"/>
                <w:szCs w:val="16"/>
              </w:rPr>
            </w:pPr>
            <w:r w:rsidRPr="008B2365">
              <w:rPr>
                <w:rFonts w:cs="Arial"/>
                <w:color w:val="000000"/>
                <w:sz w:val="16"/>
                <w:szCs w:val="16"/>
              </w:rPr>
              <w:t>41,178</w:t>
            </w:r>
          </w:p>
        </w:tc>
      </w:tr>
      <w:tr w:rsidR="008C6160" w:rsidRPr="008B2365" w14:paraId="5D3673ED" w14:textId="77777777" w:rsidTr="00312E88">
        <w:trPr>
          <w:trHeight w:hRule="exact" w:val="255"/>
        </w:trPr>
        <w:tc>
          <w:tcPr>
            <w:tcW w:w="158" w:type="pct"/>
            <w:tcBorders>
              <w:top w:val="nil"/>
              <w:left w:val="nil"/>
              <w:bottom w:val="nil"/>
              <w:right w:val="nil"/>
            </w:tcBorders>
            <w:shd w:val="clear" w:color="auto" w:fill="auto"/>
            <w:noWrap/>
            <w:vAlign w:val="bottom"/>
            <w:hideMark/>
          </w:tcPr>
          <w:p w14:paraId="0587CEE1" w14:textId="77777777" w:rsidR="008C6160" w:rsidRPr="008B2365" w:rsidRDefault="008C6160" w:rsidP="00312E88">
            <w:pPr>
              <w:rPr>
                <w:rFonts w:cs="Arial"/>
                <w:color w:val="000000"/>
                <w:sz w:val="16"/>
                <w:szCs w:val="16"/>
              </w:rPr>
            </w:pPr>
            <w:r w:rsidRPr="008B2365">
              <w:rPr>
                <w:rFonts w:cs="Arial"/>
                <w:color w:val="000000"/>
                <w:sz w:val="16"/>
                <w:szCs w:val="16"/>
              </w:rPr>
              <w:t>4a</w:t>
            </w:r>
          </w:p>
        </w:tc>
        <w:tc>
          <w:tcPr>
            <w:tcW w:w="2890" w:type="pct"/>
            <w:tcBorders>
              <w:top w:val="nil"/>
              <w:left w:val="nil"/>
              <w:bottom w:val="nil"/>
              <w:right w:val="nil"/>
            </w:tcBorders>
            <w:shd w:val="clear" w:color="auto" w:fill="auto"/>
            <w:noWrap/>
            <w:vAlign w:val="bottom"/>
            <w:hideMark/>
          </w:tcPr>
          <w:p w14:paraId="46182F62" w14:textId="77777777" w:rsidR="008C6160" w:rsidRPr="008B2365" w:rsidRDefault="008C6160" w:rsidP="00312E88">
            <w:pPr>
              <w:rPr>
                <w:rFonts w:cs="Arial"/>
                <w:color w:val="000000"/>
                <w:sz w:val="16"/>
                <w:szCs w:val="16"/>
              </w:rPr>
            </w:pPr>
            <w:r w:rsidRPr="008B2365">
              <w:rPr>
                <w:rFonts w:cs="Arial"/>
                <w:color w:val="000000"/>
                <w:sz w:val="16"/>
                <w:szCs w:val="16"/>
              </w:rPr>
              <w:t>Increased Number of adults</w:t>
            </w:r>
          </w:p>
        </w:tc>
        <w:tc>
          <w:tcPr>
            <w:tcW w:w="651" w:type="pct"/>
            <w:tcBorders>
              <w:top w:val="nil"/>
              <w:left w:val="nil"/>
              <w:bottom w:val="nil"/>
              <w:right w:val="nil"/>
            </w:tcBorders>
            <w:shd w:val="clear" w:color="auto" w:fill="auto"/>
            <w:noWrap/>
            <w:vAlign w:val="bottom"/>
            <w:hideMark/>
          </w:tcPr>
          <w:p w14:paraId="28DE8B6F" w14:textId="77777777" w:rsidR="008C6160" w:rsidRPr="008B2365" w:rsidRDefault="008C6160" w:rsidP="00312E88">
            <w:pPr>
              <w:jc w:val="right"/>
              <w:rPr>
                <w:rFonts w:cs="Arial"/>
                <w:color w:val="000000"/>
                <w:sz w:val="16"/>
                <w:szCs w:val="16"/>
              </w:rPr>
            </w:pPr>
            <w:r w:rsidRPr="008B2365">
              <w:rPr>
                <w:rFonts w:cs="Arial"/>
                <w:color w:val="000000"/>
                <w:sz w:val="16"/>
                <w:szCs w:val="16"/>
              </w:rPr>
              <w:t>16,276</w:t>
            </w:r>
          </w:p>
        </w:tc>
        <w:tc>
          <w:tcPr>
            <w:tcW w:w="651" w:type="pct"/>
            <w:tcBorders>
              <w:top w:val="nil"/>
              <w:left w:val="nil"/>
              <w:bottom w:val="nil"/>
              <w:right w:val="nil"/>
            </w:tcBorders>
            <w:shd w:val="clear" w:color="auto" w:fill="auto"/>
            <w:noWrap/>
            <w:vAlign w:val="bottom"/>
            <w:hideMark/>
          </w:tcPr>
          <w:p w14:paraId="7C97EA14" w14:textId="77777777" w:rsidR="008C6160" w:rsidRPr="008B2365" w:rsidRDefault="008C6160" w:rsidP="00312E88">
            <w:pPr>
              <w:jc w:val="right"/>
              <w:rPr>
                <w:rFonts w:cs="Arial"/>
                <w:color w:val="000000"/>
                <w:sz w:val="16"/>
                <w:szCs w:val="16"/>
              </w:rPr>
            </w:pPr>
            <w:r w:rsidRPr="008B2365">
              <w:rPr>
                <w:rFonts w:cs="Arial"/>
                <w:color w:val="000000"/>
                <w:sz w:val="16"/>
                <w:szCs w:val="16"/>
              </w:rPr>
              <w:t>38,193</w:t>
            </w:r>
          </w:p>
        </w:tc>
        <w:tc>
          <w:tcPr>
            <w:tcW w:w="651" w:type="pct"/>
            <w:tcBorders>
              <w:top w:val="nil"/>
              <w:left w:val="nil"/>
              <w:bottom w:val="nil"/>
              <w:right w:val="nil"/>
            </w:tcBorders>
            <w:shd w:val="clear" w:color="auto" w:fill="auto"/>
            <w:noWrap/>
            <w:vAlign w:val="bottom"/>
            <w:hideMark/>
          </w:tcPr>
          <w:p w14:paraId="6AFBE96A" w14:textId="77777777" w:rsidR="008C6160" w:rsidRPr="008B2365" w:rsidRDefault="008C6160" w:rsidP="00312E88">
            <w:pPr>
              <w:jc w:val="right"/>
              <w:rPr>
                <w:rFonts w:cs="Arial"/>
                <w:color w:val="000000"/>
                <w:sz w:val="16"/>
                <w:szCs w:val="16"/>
              </w:rPr>
            </w:pPr>
            <w:r w:rsidRPr="008B2365">
              <w:rPr>
                <w:rFonts w:cs="Arial"/>
                <w:color w:val="000000"/>
                <w:sz w:val="16"/>
                <w:szCs w:val="16"/>
              </w:rPr>
              <w:t>53,883</w:t>
            </w:r>
          </w:p>
        </w:tc>
      </w:tr>
      <w:tr w:rsidR="008C6160" w:rsidRPr="008B2365" w14:paraId="78F84325" w14:textId="77777777" w:rsidTr="00312E88">
        <w:trPr>
          <w:trHeight w:hRule="exact" w:val="255"/>
        </w:trPr>
        <w:tc>
          <w:tcPr>
            <w:tcW w:w="158" w:type="pct"/>
            <w:tcBorders>
              <w:top w:val="nil"/>
              <w:left w:val="nil"/>
              <w:bottom w:val="nil"/>
              <w:right w:val="nil"/>
            </w:tcBorders>
            <w:shd w:val="clear" w:color="auto" w:fill="auto"/>
            <w:noWrap/>
            <w:vAlign w:val="bottom"/>
            <w:hideMark/>
          </w:tcPr>
          <w:p w14:paraId="0D0A4502" w14:textId="77777777" w:rsidR="008C6160" w:rsidRPr="008B2365" w:rsidRDefault="008C6160" w:rsidP="00312E88">
            <w:pPr>
              <w:rPr>
                <w:rFonts w:cs="Arial"/>
                <w:color w:val="000000"/>
                <w:sz w:val="16"/>
                <w:szCs w:val="16"/>
              </w:rPr>
            </w:pPr>
            <w:r w:rsidRPr="008B2365">
              <w:rPr>
                <w:rFonts w:cs="Arial"/>
                <w:color w:val="000000"/>
                <w:sz w:val="16"/>
                <w:szCs w:val="16"/>
              </w:rPr>
              <w:t>4b</w:t>
            </w:r>
          </w:p>
        </w:tc>
        <w:tc>
          <w:tcPr>
            <w:tcW w:w="2890" w:type="pct"/>
            <w:tcBorders>
              <w:top w:val="nil"/>
              <w:left w:val="nil"/>
              <w:bottom w:val="nil"/>
              <w:right w:val="nil"/>
            </w:tcBorders>
            <w:shd w:val="clear" w:color="auto" w:fill="auto"/>
            <w:noWrap/>
            <w:vAlign w:val="bottom"/>
            <w:hideMark/>
          </w:tcPr>
          <w:p w14:paraId="5E062582" w14:textId="77777777" w:rsidR="008C6160" w:rsidRPr="008B2365" w:rsidRDefault="008C6160" w:rsidP="00312E88">
            <w:pPr>
              <w:rPr>
                <w:rFonts w:cs="Arial"/>
                <w:color w:val="000000"/>
                <w:sz w:val="16"/>
                <w:szCs w:val="16"/>
              </w:rPr>
            </w:pPr>
            <w:r w:rsidRPr="008B2365">
              <w:rPr>
                <w:rFonts w:cs="Arial"/>
                <w:color w:val="000000"/>
                <w:sz w:val="16"/>
                <w:szCs w:val="16"/>
              </w:rPr>
              <w:t>Decreased number of children</w:t>
            </w:r>
          </w:p>
        </w:tc>
        <w:tc>
          <w:tcPr>
            <w:tcW w:w="651" w:type="pct"/>
            <w:tcBorders>
              <w:top w:val="nil"/>
              <w:left w:val="nil"/>
              <w:bottom w:val="nil"/>
              <w:right w:val="nil"/>
            </w:tcBorders>
            <w:shd w:val="clear" w:color="auto" w:fill="auto"/>
            <w:noWrap/>
            <w:vAlign w:val="bottom"/>
            <w:hideMark/>
          </w:tcPr>
          <w:p w14:paraId="2CD9C684" w14:textId="77777777" w:rsidR="008C6160" w:rsidRPr="008B2365" w:rsidRDefault="008C6160" w:rsidP="00312E88">
            <w:pPr>
              <w:jc w:val="right"/>
              <w:rPr>
                <w:rFonts w:cs="Arial"/>
                <w:color w:val="000000"/>
                <w:sz w:val="16"/>
                <w:szCs w:val="16"/>
              </w:rPr>
            </w:pPr>
            <w:r w:rsidRPr="008B2365">
              <w:rPr>
                <w:rFonts w:cs="Arial"/>
                <w:color w:val="000000"/>
                <w:sz w:val="16"/>
                <w:szCs w:val="16"/>
              </w:rPr>
              <w:t>14,213</w:t>
            </w:r>
          </w:p>
        </w:tc>
        <w:tc>
          <w:tcPr>
            <w:tcW w:w="651" w:type="pct"/>
            <w:tcBorders>
              <w:top w:val="nil"/>
              <w:left w:val="nil"/>
              <w:bottom w:val="nil"/>
              <w:right w:val="nil"/>
            </w:tcBorders>
            <w:shd w:val="clear" w:color="auto" w:fill="auto"/>
            <w:noWrap/>
            <w:vAlign w:val="bottom"/>
            <w:hideMark/>
          </w:tcPr>
          <w:p w14:paraId="39A18B13" w14:textId="77777777" w:rsidR="008C6160" w:rsidRPr="008B2365" w:rsidRDefault="008C6160" w:rsidP="00312E88">
            <w:pPr>
              <w:jc w:val="right"/>
              <w:rPr>
                <w:rFonts w:cs="Arial"/>
                <w:color w:val="000000"/>
                <w:sz w:val="16"/>
                <w:szCs w:val="16"/>
              </w:rPr>
            </w:pPr>
            <w:r w:rsidRPr="008B2365">
              <w:rPr>
                <w:rFonts w:cs="Arial"/>
                <w:color w:val="000000"/>
                <w:sz w:val="16"/>
                <w:szCs w:val="16"/>
              </w:rPr>
              <w:t>30,962</w:t>
            </w:r>
          </w:p>
        </w:tc>
        <w:tc>
          <w:tcPr>
            <w:tcW w:w="651" w:type="pct"/>
            <w:tcBorders>
              <w:top w:val="nil"/>
              <w:left w:val="nil"/>
              <w:bottom w:val="nil"/>
              <w:right w:val="nil"/>
            </w:tcBorders>
            <w:shd w:val="clear" w:color="auto" w:fill="auto"/>
            <w:noWrap/>
            <w:vAlign w:val="bottom"/>
            <w:hideMark/>
          </w:tcPr>
          <w:p w14:paraId="05611892" w14:textId="77777777" w:rsidR="008C6160" w:rsidRPr="008B2365" w:rsidRDefault="008C6160" w:rsidP="00312E88">
            <w:pPr>
              <w:jc w:val="right"/>
              <w:rPr>
                <w:rFonts w:cs="Arial"/>
                <w:color w:val="000000"/>
                <w:sz w:val="16"/>
                <w:szCs w:val="16"/>
              </w:rPr>
            </w:pPr>
            <w:r w:rsidRPr="008B2365">
              <w:rPr>
                <w:rFonts w:cs="Arial"/>
                <w:color w:val="000000"/>
                <w:sz w:val="16"/>
                <w:szCs w:val="16"/>
              </w:rPr>
              <w:t>43,463</w:t>
            </w:r>
          </w:p>
        </w:tc>
      </w:tr>
      <w:tr w:rsidR="008C6160" w:rsidRPr="008B2365" w14:paraId="1850C533" w14:textId="77777777" w:rsidTr="00312E88">
        <w:trPr>
          <w:trHeight w:hRule="exact" w:val="255"/>
        </w:trPr>
        <w:tc>
          <w:tcPr>
            <w:tcW w:w="158" w:type="pct"/>
            <w:tcBorders>
              <w:top w:val="nil"/>
              <w:left w:val="nil"/>
              <w:bottom w:val="single" w:sz="4" w:space="0" w:color="auto"/>
              <w:right w:val="nil"/>
            </w:tcBorders>
            <w:shd w:val="clear" w:color="auto" w:fill="auto"/>
            <w:noWrap/>
            <w:vAlign w:val="bottom"/>
            <w:hideMark/>
          </w:tcPr>
          <w:p w14:paraId="6734E5CA" w14:textId="77777777" w:rsidR="008C6160" w:rsidRPr="008B2365" w:rsidRDefault="008C6160" w:rsidP="00312E88">
            <w:pPr>
              <w:rPr>
                <w:rFonts w:cs="Arial"/>
                <w:color w:val="000000"/>
                <w:sz w:val="16"/>
                <w:szCs w:val="16"/>
              </w:rPr>
            </w:pPr>
            <w:r w:rsidRPr="008B2365">
              <w:rPr>
                <w:rFonts w:cs="Arial"/>
                <w:color w:val="000000"/>
                <w:sz w:val="16"/>
                <w:szCs w:val="16"/>
              </w:rPr>
              <w:t>4c</w:t>
            </w:r>
          </w:p>
        </w:tc>
        <w:tc>
          <w:tcPr>
            <w:tcW w:w="2890" w:type="pct"/>
            <w:tcBorders>
              <w:top w:val="nil"/>
              <w:left w:val="nil"/>
              <w:bottom w:val="single" w:sz="4" w:space="0" w:color="auto"/>
              <w:right w:val="nil"/>
            </w:tcBorders>
            <w:shd w:val="clear" w:color="auto" w:fill="auto"/>
            <w:noWrap/>
            <w:vAlign w:val="bottom"/>
            <w:hideMark/>
          </w:tcPr>
          <w:p w14:paraId="73606041" w14:textId="77777777" w:rsidR="008C6160" w:rsidRPr="008B2365" w:rsidRDefault="008C6160" w:rsidP="00312E88">
            <w:pPr>
              <w:rPr>
                <w:rFonts w:cs="Arial"/>
                <w:color w:val="000000"/>
                <w:sz w:val="16"/>
                <w:szCs w:val="16"/>
              </w:rPr>
            </w:pPr>
            <w:r w:rsidRPr="008B2365">
              <w:rPr>
                <w:rFonts w:cs="Arial"/>
                <w:color w:val="000000"/>
                <w:sz w:val="16"/>
                <w:szCs w:val="16"/>
              </w:rPr>
              <w:t>Increased new entrants</w:t>
            </w:r>
          </w:p>
        </w:tc>
        <w:tc>
          <w:tcPr>
            <w:tcW w:w="651" w:type="pct"/>
            <w:tcBorders>
              <w:top w:val="nil"/>
              <w:left w:val="nil"/>
              <w:bottom w:val="single" w:sz="4" w:space="0" w:color="auto"/>
              <w:right w:val="nil"/>
            </w:tcBorders>
            <w:shd w:val="clear" w:color="auto" w:fill="auto"/>
            <w:noWrap/>
            <w:vAlign w:val="bottom"/>
            <w:hideMark/>
          </w:tcPr>
          <w:p w14:paraId="535990B4" w14:textId="77777777" w:rsidR="008C6160" w:rsidRPr="008B2365" w:rsidRDefault="008C6160" w:rsidP="00312E88">
            <w:pPr>
              <w:jc w:val="right"/>
              <w:rPr>
                <w:rFonts w:cs="Arial"/>
                <w:color w:val="000000"/>
                <w:sz w:val="16"/>
                <w:szCs w:val="16"/>
              </w:rPr>
            </w:pPr>
            <w:r w:rsidRPr="008B2365">
              <w:rPr>
                <w:rFonts w:cs="Arial"/>
                <w:color w:val="000000"/>
                <w:sz w:val="16"/>
                <w:szCs w:val="16"/>
              </w:rPr>
              <w:t>15,887</w:t>
            </w:r>
          </w:p>
        </w:tc>
        <w:tc>
          <w:tcPr>
            <w:tcW w:w="651" w:type="pct"/>
            <w:tcBorders>
              <w:top w:val="nil"/>
              <w:left w:val="nil"/>
              <w:bottom w:val="single" w:sz="4" w:space="0" w:color="auto"/>
              <w:right w:val="nil"/>
            </w:tcBorders>
            <w:shd w:val="clear" w:color="auto" w:fill="auto"/>
            <w:noWrap/>
            <w:vAlign w:val="bottom"/>
            <w:hideMark/>
          </w:tcPr>
          <w:p w14:paraId="2E11233B" w14:textId="77777777" w:rsidR="008C6160" w:rsidRPr="008B2365" w:rsidRDefault="008C6160" w:rsidP="00312E88">
            <w:pPr>
              <w:jc w:val="right"/>
              <w:rPr>
                <w:rFonts w:cs="Arial"/>
                <w:color w:val="000000"/>
                <w:sz w:val="16"/>
                <w:szCs w:val="16"/>
              </w:rPr>
            </w:pPr>
            <w:r w:rsidRPr="008B2365">
              <w:rPr>
                <w:rFonts w:cs="Arial"/>
                <w:color w:val="000000"/>
                <w:sz w:val="16"/>
                <w:szCs w:val="16"/>
              </w:rPr>
              <w:t>36,377</w:t>
            </w:r>
          </w:p>
        </w:tc>
        <w:tc>
          <w:tcPr>
            <w:tcW w:w="651" w:type="pct"/>
            <w:tcBorders>
              <w:top w:val="nil"/>
              <w:left w:val="nil"/>
              <w:bottom w:val="single" w:sz="4" w:space="0" w:color="auto"/>
              <w:right w:val="nil"/>
            </w:tcBorders>
            <w:shd w:val="clear" w:color="auto" w:fill="auto"/>
            <w:noWrap/>
            <w:vAlign w:val="bottom"/>
            <w:hideMark/>
          </w:tcPr>
          <w:p w14:paraId="6281601B" w14:textId="77777777" w:rsidR="008C6160" w:rsidRPr="008B2365" w:rsidRDefault="008C6160" w:rsidP="00312E88">
            <w:pPr>
              <w:jc w:val="right"/>
              <w:rPr>
                <w:rFonts w:cs="Arial"/>
                <w:color w:val="000000"/>
                <w:sz w:val="16"/>
                <w:szCs w:val="16"/>
              </w:rPr>
            </w:pPr>
            <w:r w:rsidRPr="008B2365">
              <w:rPr>
                <w:rFonts w:cs="Arial"/>
                <w:color w:val="000000"/>
                <w:sz w:val="16"/>
                <w:szCs w:val="16"/>
              </w:rPr>
              <w:t>50,143</w:t>
            </w:r>
          </w:p>
        </w:tc>
      </w:tr>
      <w:tr w:rsidR="008C6160" w:rsidRPr="008B2365" w14:paraId="445B04BC" w14:textId="77777777" w:rsidTr="00312E88">
        <w:trPr>
          <w:trHeight w:hRule="exact" w:val="255"/>
        </w:trPr>
        <w:tc>
          <w:tcPr>
            <w:tcW w:w="158" w:type="pct"/>
            <w:tcBorders>
              <w:top w:val="nil"/>
              <w:left w:val="nil"/>
              <w:bottom w:val="nil"/>
              <w:right w:val="nil"/>
            </w:tcBorders>
            <w:shd w:val="clear" w:color="auto" w:fill="auto"/>
            <w:noWrap/>
            <w:vAlign w:val="bottom"/>
            <w:hideMark/>
          </w:tcPr>
          <w:p w14:paraId="6DAA03C0" w14:textId="77777777" w:rsidR="008C6160" w:rsidRPr="008B2365" w:rsidRDefault="008C6160" w:rsidP="00312E88">
            <w:pPr>
              <w:rPr>
                <w:rFonts w:cs="Arial"/>
                <w:color w:val="000000"/>
                <w:sz w:val="16"/>
                <w:szCs w:val="16"/>
              </w:rPr>
            </w:pPr>
            <w:r w:rsidRPr="008B2365">
              <w:rPr>
                <w:rFonts w:cs="Arial"/>
                <w:color w:val="000000"/>
                <w:sz w:val="16"/>
                <w:szCs w:val="16"/>
              </w:rPr>
              <w:t>5a</w:t>
            </w:r>
          </w:p>
        </w:tc>
        <w:tc>
          <w:tcPr>
            <w:tcW w:w="2890" w:type="pct"/>
            <w:tcBorders>
              <w:top w:val="nil"/>
              <w:left w:val="nil"/>
              <w:bottom w:val="nil"/>
              <w:right w:val="nil"/>
            </w:tcBorders>
            <w:shd w:val="clear" w:color="auto" w:fill="auto"/>
            <w:noWrap/>
            <w:vAlign w:val="bottom"/>
            <w:hideMark/>
          </w:tcPr>
          <w:p w14:paraId="2E5ECEDE" w14:textId="77777777" w:rsidR="008C6160" w:rsidRPr="008B2365" w:rsidRDefault="008C6160" w:rsidP="00312E88">
            <w:pPr>
              <w:rPr>
                <w:rFonts w:cs="Arial"/>
                <w:color w:val="000000"/>
                <w:sz w:val="16"/>
                <w:szCs w:val="16"/>
              </w:rPr>
            </w:pPr>
            <w:r w:rsidRPr="008B2365">
              <w:rPr>
                <w:rFonts w:cs="Arial"/>
                <w:color w:val="000000"/>
                <w:sz w:val="16"/>
                <w:szCs w:val="16"/>
              </w:rPr>
              <w:t>Committed supports and 100% utilisation</w:t>
            </w:r>
          </w:p>
        </w:tc>
        <w:tc>
          <w:tcPr>
            <w:tcW w:w="651" w:type="pct"/>
            <w:tcBorders>
              <w:top w:val="nil"/>
              <w:left w:val="nil"/>
              <w:bottom w:val="nil"/>
              <w:right w:val="nil"/>
            </w:tcBorders>
            <w:shd w:val="clear" w:color="auto" w:fill="auto"/>
            <w:noWrap/>
            <w:vAlign w:val="bottom"/>
            <w:hideMark/>
          </w:tcPr>
          <w:p w14:paraId="0632E6B4" w14:textId="77777777" w:rsidR="008C6160" w:rsidRPr="008B2365" w:rsidRDefault="008C6160" w:rsidP="00312E88">
            <w:pPr>
              <w:jc w:val="right"/>
              <w:rPr>
                <w:rFonts w:cs="Arial"/>
                <w:color w:val="000000"/>
                <w:sz w:val="16"/>
                <w:szCs w:val="16"/>
              </w:rPr>
            </w:pPr>
            <w:r w:rsidRPr="008B2365">
              <w:rPr>
                <w:rFonts w:cs="Arial"/>
                <w:color w:val="000000"/>
                <w:sz w:val="16"/>
                <w:szCs w:val="16"/>
              </w:rPr>
              <w:t>18,957</w:t>
            </w:r>
          </w:p>
        </w:tc>
        <w:tc>
          <w:tcPr>
            <w:tcW w:w="651" w:type="pct"/>
            <w:tcBorders>
              <w:top w:val="nil"/>
              <w:left w:val="nil"/>
              <w:bottom w:val="nil"/>
              <w:right w:val="nil"/>
            </w:tcBorders>
            <w:shd w:val="clear" w:color="auto" w:fill="auto"/>
            <w:noWrap/>
            <w:vAlign w:val="bottom"/>
            <w:hideMark/>
          </w:tcPr>
          <w:p w14:paraId="69C948E0" w14:textId="77777777" w:rsidR="008C6160" w:rsidRPr="008B2365" w:rsidRDefault="008C6160" w:rsidP="00312E88">
            <w:pPr>
              <w:jc w:val="right"/>
              <w:rPr>
                <w:rFonts w:cs="Arial"/>
                <w:color w:val="000000"/>
                <w:sz w:val="16"/>
                <w:szCs w:val="16"/>
              </w:rPr>
            </w:pPr>
            <w:r w:rsidRPr="008B2365">
              <w:rPr>
                <w:rFonts w:cs="Arial"/>
                <w:color w:val="000000"/>
                <w:sz w:val="16"/>
                <w:szCs w:val="16"/>
              </w:rPr>
              <w:t>38,064</w:t>
            </w:r>
          </w:p>
        </w:tc>
        <w:tc>
          <w:tcPr>
            <w:tcW w:w="651" w:type="pct"/>
            <w:tcBorders>
              <w:top w:val="nil"/>
              <w:left w:val="nil"/>
              <w:bottom w:val="nil"/>
              <w:right w:val="nil"/>
            </w:tcBorders>
            <w:shd w:val="clear" w:color="auto" w:fill="auto"/>
            <w:noWrap/>
            <w:vAlign w:val="bottom"/>
            <w:hideMark/>
          </w:tcPr>
          <w:p w14:paraId="69FDB022" w14:textId="77777777" w:rsidR="008C6160" w:rsidRPr="008B2365" w:rsidRDefault="008C6160" w:rsidP="00312E88">
            <w:pPr>
              <w:jc w:val="right"/>
              <w:rPr>
                <w:rFonts w:cs="Arial"/>
                <w:color w:val="000000"/>
                <w:sz w:val="16"/>
                <w:szCs w:val="16"/>
              </w:rPr>
            </w:pPr>
            <w:r w:rsidRPr="008B2365">
              <w:rPr>
                <w:rFonts w:cs="Arial"/>
                <w:color w:val="000000"/>
                <w:sz w:val="16"/>
                <w:szCs w:val="16"/>
              </w:rPr>
              <w:t>53,473</w:t>
            </w:r>
          </w:p>
        </w:tc>
      </w:tr>
      <w:tr w:rsidR="008C6160" w:rsidRPr="008B2365" w14:paraId="6AE696A4" w14:textId="77777777" w:rsidTr="00312E88">
        <w:trPr>
          <w:trHeight w:hRule="exact" w:val="255"/>
        </w:trPr>
        <w:tc>
          <w:tcPr>
            <w:tcW w:w="158" w:type="pct"/>
            <w:tcBorders>
              <w:top w:val="nil"/>
              <w:left w:val="nil"/>
              <w:bottom w:val="single" w:sz="4" w:space="0" w:color="auto"/>
              <w:right w:val="nil"/>
            </w:tcBorders>
            <w:shd w:val="clear" w:color="auto" w:fill="auto"/>
            <w:noWrap/>
            <w:vAlign w:val="bottom"/>
            <w:hideMark/>
          </w:tcPr>
          <w:p w14:paraId="72D167DA" w14:textId="77777777" w:rsidR="008C6160" w:rsidRPr="008B2365" w:rsidRDefault="008C6160" w:rsidP="00312E88">
            <w:pPr>
              <w:rPr>
                <w:rFonts w:cs="Arial"/>
                <w:color w:val="000000"/>
                <w:sz w:val="16"/>
                <w:szCs w:val="16"/>
              </w:rPr>
            </w:pPr>
            <w:r w:rsidRPr="008B2365">
              <w:rPr>
                <w:rFonts w:cs="Arial"/>
                <w:color w:val="000000"/>
                <w:sz w:val="16"/>
                <w:szCs w:val="16"/>
              </w:rPr>
              <w:t>5b</w:t>
            </w:r>
          </w:p>
        </w:tc>
        <w:tc>
          <w:tcPr>
            <w:tcW w:w="2890" w:type="pct"/>
            <w:tcBorders>
              <w:top w:val="nil"/>
              <w:left w:val="nil"/>
              <w:bottom w:val="single" w:sz="4" w:space="0" w:color="auto"/>
              <w:right w:val="nil"/>
            </w:tcBorders>
            <w:shd w:val="clear" w:color="auto" w:fill="auto"/>
            <w:noWrap/>
            <w:vAlign w:val="bottom"/>
            <w:hideMark/>
          </w:tcPr>
          <w:p w14:paraId="668A01F1" w14:textId="77777777" w:rsidR="008C6160" w:rsidRPr="008B2365" w:rsidRDefault="008C6160" w:rsidP="00312E88">
            <w:pPr>
              <w:rPr>
                <w:rFonts w:cs="Arial"/>
                <w:color w:val="000000"/>
                <w:sz w:val="16"/>
                <w:szCs w:val="16"/>
              </w:rPr>
            </w:pPr>
            <w:r w:rsidRPr="008B2365">
              <w:rPr>
                <w:rFonts w:cs="Arial"/>
                <w:color w:val="000000"/>
                <w:sz w:val="16"/>
                <w:szCs w:val="16"/>
              </w:rPr>
              <w:t>Committed supports and 75% utilisation</w:t>
            </w:r>
          </w:p>
        </w:tc>
        <w:tc>
          <w:tcPr>
            <w:tcW w:w="651" w:type="pct"/>
            <w:tcBorders>
              <w:top w:val="nil"/>
              <w:left w:val="nil"/>
              <w:bottom w:val="single" w:sz="4" w:space="0" w:color="auto"/>
              <w:right w:val="nil"/>
            </w:tcBorders>
            <w:shd w:val="clear" w:color="auto" w:fill="auto"/>
            <w:noWrap/>
            <w:vAlign w:val="bottom"/>
            <w:hideMark/>
          </w:tcPr>
          <w:p w14:paraId="57795C2E" w14:textId="77777777" w:rsidR="008C6160" w:rsidRPr="008B2365" w:rsidRDefault="008C6160" w:rsidP="00312E88">
            <w:pPr>
              <w:jc w:val="right"/>
              <w:rPr>
                <w:rFonts w:cs="Arial"/>
                <w:color w:val="000000"/>
                <w:sz w:val="16"/>
                <w:szCs w:val="16"/>
              </w:rPr>
            </w:pPr>
            <w:r w:rsidRPr="008B2365">
              <w:rPr>
                <w:rFonts w:cs="Arial"/>
                <w:color w:val="000000"/>
                <w:sz w:val="16"/>
                <w:szCs w:val="16"/>
              </w:rPr>
              <w:t>13,839</w:t>
            </w:r>
          </w:p>
        </w:tc>
        <w:tc>
          <w:tcPr>
            <w:tcW w:w="651" w:type="pct"/>
            <w:tcBorders>
              <w:top w:val="nil"/>
              <w:left w:val="nil"/>
              <w:bottom w:val="single" w:sz="4" w:space="0" w:color="auto"/>
              <w:right w:val="nil"/>
            </w:tcBorders>
            <w:shd w:val="clear" w:color="auto" w:fill="auto"/>
            <w:noWrap/>
            <w:vAlign w:val="bottom"/>
            <w:hideMark/>
          </w:tcPr>
          <w:p w14:paraId="65D2448C" w14:textId="77777777" w:rsidR="008C6160" w:rsidRPr="008B2365" w:rsidRDefault="008C6160" w:rsidP="00312E88">
            <w:pPr>
              <w:jc w:val="right"/>
              <w:rPr>
                <w:rFonts w:cs="Arial"/>
                <w:color w:val="000000"/>
                <w:sz w:val="16"/>
                <w:szCs w:val="16"/>
              </w:rPr>
            </w:pPr>
            <w:r w:rsidRPr="008B2365">
              <w:rPr>
                <w:rFonts w:cs="Arial"/>
                <w:color w:val="000000"/>
                <w:sz w:val="16"/>
                <w:szCs w:val="16"/>
              </w:rPr>
              <w:t>28,548</w:t>
            </w:r>
          </w:p>
        </w:tc>
        <w:tc>
          <w:tcPr>
            <w:tcW w:w="651" w:type="pct"/>
            <w:tcBorders>
              <w:top w:val="nil"/>
              <w:left w:val="nil"/>
              <w:bottom w:val="single" w:sz="4" w:space="0" w:color="auto"/>
              <w:right w:val="nil"/>
            </w:tcBorders>
            <w:shd w:val="clear" w:color="auto" w:fill="auto"/>
            <w:noWrap/>
            <w:vAlign w:val="bottom"/>
            <w:hideMark/>
          </w:tcPr>
          <w:p w14:paraId="4E9CA805" w14:textId="77777777" w:rsidR="008C6160" w:rsidRPr="008B2365" w:rsidRDefault="008C6160" w:rsidP="00312E88">
            <w:pPr>
              <w:jc w:val="right"/>
              <w:rPr>
                <w:rFonts w:cs="Arial"/>
                <w:color w:val="000000"/>
                <w:sz w:val="16"/>
                <w:szCs w:val="16"/>
              </w:rPr>
            </w:pPr>
            <w:r w:rsidRPr="008B2365">
              <w:rPr>
                <w:rFonts w:cs="Arial"/>
                <w:color w:val="000000"/>
                <w:sz w:val="16"/>
                <w:szCs w:val="16"/>
              </w:rPr>
              <w:t>40,105</w:t>
            </w:r>
          </w:p>
        </w:tc>
      </w:tr>
      <w:tr w:rsidR="008C6160" w:rsidRPr="008B2365" w14:paraId="35AFD251" w14:textId="77777777" w:rsidTr="00312E88">
        <w:trPr>
          <w:trHeight w:hRule="exact" w:val="255"/>
        </w:trPr>
        <w:tc>
          <w:tcPr>
            <w:tcW w:w="158" w:type="pct"/>
            <w:tcBorders>
              <w:top w:val="nil"/>
              <w:left w:val="nil"/>
              <w:bottom w:val="nil"/>
              <w:right w:val="nil"/>
            </w:tcBorders>
            <w:shd w:val="clear" w:color="auto" w:fill="auto"/>
            <w:noWrap/>
            <w:vAlign w:val="bottom"/>
            <w:hideMark/>
          </w:tcPr>
          <w:p w14:paraId="2B2DEEB7" w14:textId="77777777" w:rsidR="008C6160" w:rsidRPr="008B2365" w:rsidRDefault="008C6160" w:rsidP="00312E88">
            <w:pPr>
              <w:rPr>
                <w:rFonts w:cs="Arial"/>
                <w:color w:val="000000"/>
                <w:sz w:val="16"/>
                <w:szCs w:val="16"/>
              </w:rPr>
            </w:pPr>
            <w:r w:rsidRPr="008B2365">
              <w:rPr>
                <w:rFonts w:cs="Arial"/>
                <w:color w:val="000000"/>
                <w:sz w:val="16"/>
                <w:szCs w:val="16"/>
              </w:rPr>
              <w:t>7a</w:t>
            </w:r>
          </w:p>
        </w:tc>
        <w:tc>
          <w:tcPr>
            <w:tcW w:w="2890" w:type="pct"/>
            <w:tcBorders>
              <w:top w:val="nil"/>
              <w:left w:val="nil"/>
              <w:bottom w:val="nil"/>
              <w:right w:val="nil"/>
            </w:tcBorders>
            <w:shd w:val="clear" w:color="auto" w:fill="auto"/>
            <w:noWrap/>
            <w:vAlign w:val="bottom"/>
            <w:hideMark/>
          </w:tcPr>
          <w:p w14:paraId="1C2BB3EE" w14:textId="77777777" w:rsidR="008C6160" w:rsidRPr="008B2365" w:rsidRDefault="008C6160" w:rsidP="00312E88">
            <w:pPr>
              <w:rPr>
                <w:rFonts w:cs="Arial"/>
                <w:color w:val="000000"/>
                <w:sz w:val="16"/>
                <w:szCs w:val="16"/>
              </w:rPr>
            </w:pPr>
            <w:r w:rsidRPr="008B2365">
              <w:rPr>
                <w:rFonts w:cs="Arial"/>
                <w:color w:val="000000"/>
                <w:sz w:val="16"/>
                <w:szCs w:val="16"/>
              </w:rPr>
              <w:t>AAT and mainstream</w:t>
            </w:r>
          </w:p>
        </w:tc>
        <w:tc>
          <w:tcPr>
            <w:tcW w:w="651" w:type="pct"/>
            <w:tcBorders>
              <w:top w:val="nil"/>
              <w:left w:val="nil"/>
              <w:bottom w:val="nil"/>
              <w:right w:val="nil"/>
            </w:tcBorders>
            <w:shd w:val="clear" w:color="auto" w:fill="auto"/>
            <w:noWrap/>
            <w:vAlign w:val="bottom"/>
            <w:hideMark/>
          </w:tcPr>
          <w:p w14:paraId="53A275F2" w14:textId="77777777" w:rsidR="008C6160" w:rsidRPr="008B2365" w:rsidRDefault="008C6160" w:rsidP="00312E88">
            <w:pPr>
              <w:jc w:val="right"/>
              <w:rPr>
                <w:rFonts w:cs="Arial"/>
                <w:color w:val="000000"/>
                <w:sz w:val="16"/>
                <w:szCs w:val="16"/>
              </w:rPr>
            </w:pPr>
            <w:r w:rsidRPr="008B2365">
              <w:rPr>
                <w:rFonts w:cs="Arial"/>
                <w:color w:val="000000"/>
                <w:sz w:val="16"/>
                <w:szCs w:val="16"/>
              </w:rPr>
              <w:t>18,123</w:t>
            </w:r>
          </w:p>
        </w:tc>
        <w:tc>
          <w:tcPr>
            <w:tcW w:w="651" w:type="pct"/>
            <w:tcBorders>
              <w:top w:val="nil"/>
              <w:left w:val="nil"/>
              <w:bottom w:val="nil"/>
              <w:right w:val="nil"/>
            </w:tcBorders>
            <w:shd w:val="clear" w:color="auto" w:fill="auto"/>
            <w:noWrap/>
            <w:vAlign w:val="bottom"/>
            <w:hideMark/>
          </w:tcPr>
          <w:p w14:paraId="1A939F81" w14:textId="77777777" w:rsidR="008C6160" w:rsidRPr="008B2365" w:rsidRDefault="008C6160" w:rsidP="00312E88">
            <w:pPr>
              <w:jc w:val="right"/>
              <w:rPr>
                <w:rFonts w:cs="Arial"/>
                <w:color w:val="000000"/>
                <w:sz w:val="16"/>
                <w:szCs w:val="16"/>
              </w:rPr>
            </w:pPr>
            <w:r w:rsidRPr="008B2365">
              <w:rPr>
                <w:rFonts w:cs="Arial"/>
                <w:color w:val="000000"/>
                <w:sz w:val="16"/>
                <w:szCs w:val="16"/>
              </w:rPr>
              <w:t>37,118</w:t>
            </w:r>
          </w:p>
        </w:tc>
        <w:tc>
          <w:tcPr>
            <w:tcW w:w="651" w:type="pct"/>
            <w:tcBorders>
              <w:top w:val="nil"/>
              <w:left w:val="nil"/>
              <w:bottom w:val="nil"/>
              <w:right w:val="nil"/>
            </w:tcBorders>
            <w:shd w:val="clear" w:color="auto" w:fill="auto"/>
            <w:noWrap/>
            <w:vAlign w:val="bottom"/>
            <w:hideMark/>
          </w:tcPr>
          <w:p w14:paraId="2C5AE27E" w14:textId="77777777" w:rsidR="008C6160" w:rsidRPr="008B2365" w:rsidRDefault="008C6160" w:rsidP="00312E88">
            <w:pPr>
              <w:jc w:val="right"/>
              <w:rPr>
                <w:rFonts w:cs="Arial"/>
                <w:color w:val="000000"/>
                <w:sz w:val="16"/>
                <w:szCs w:val="16"/>
              </w:rPr>
            </w:pPr>
            <w:r w:rsidRPr="008B2365">
              <w:rPr>
                <w:rFonts w:cs="Arial"/>
                <w:color w:val="000000"/>
                <w:sz w:val="16"/>
                <w:szCs w:val="16"/>
              </w:rPr>
              <w:t>51,450</w:t>
            </w:r>
          </w:p>
        </w:tc>
      </w:tr>
      <w:tr w:rsidR="008C6160" w:rsidRPr="008B2365" w14:paraId="368E6DC8" w14:textId="77777777" w:rsidTr="00312E88">
        <w:trPr>
          <w:trHeight w:hRule="exact" w:val="255"/>
        </w:trPr>
        <w:tc>
          <w:tcPr>
            <w:tcW w:w="158" w:type="pct"/>
            <w:tcBorders>
              <w:top w:val="nil"/>
              <w:left w:val="nil"/>
              <w:bottom w:val="nil"/>
              <w:right w:val="nil"/>
            </w:tcBorders>
            <w:shd w:val="clear" w:color="auto" w:fill="auto"/>
            <w:noWrap/>
            <w:vAlign w:val="bottom"/>
            <w:hideMark/>
          </w:tcPr>
          <w:p w14:paraId="35243F66" w14:textId="77777777" w:rsidR="008C6160" w:rsidRPr="008B2365" w:rsidRDefault="008C6160" w:rsidP="00312E88">
            <w:pPr>
              <w:rPr>
                <w:rFonts w:cs="Arial"/>
                <w:color w:val="000000"/>
                <w:sz w:val="16"/>
                <w:szCs w:val="16"/>
              </w:rPr>
            </w:pPr>
            <w:r w:rsidRPr="008B2365">
              <w:rPr>
                <w:rFonts w:cs="Arial"/>
                <w:color w:val="000000"/>
                <w:sz w:val="16"/>
                <w:szCs w:val="16"/>
              </w:rPr>
              <w:t>7b</w:t>
            </w:r>
          </w:p>
        </w:tc>
        <w:tc>
          <w:tcPr>
            <w:tcW w:w="2890" w:type="pct"/>
            <w:tcBorders>
              <w:top w:val="nil"/>
              <w:left w:val="nil"/>
              <w:bottom w:val="nil"/>
              <w:right w:val="nil"/>
            </w:tcBorders>
            <w:shd w:val="clear" w:color="auto" w:fill="auto"/>
            <w:noWrap/>
            <w:vAlign w:val="bottom"/>
            <w:hideMark/>
          </w:tcPr>
          <w:p w14:paraId="4AA0FAF4" w14:textId="77777777" w:rsidR="008C6160" w:rsidRPr="008B2365" w:rsidRDefault="008C6160" w:rsidP="00312E88">
            <w:pPr>
              <w:rPr>
                <w:rFonts w:cs="Arial"/>
                <w:color w:val="000000"/>
                <w:sz w:val="16"/>
                <w:szCs w:val="16"/>
              </w:rPr>
            </w:pPr>
            <w:r w:rsidRPr="008B2365">
              <w:rPr>
                <w:rFonts w:cs="Arial"/>
                <w:color w:val="000000"/>
                <w:sz w:val="16"/>
                <w:szCs w:val="16"/>
              </w:rPr>
              <w:t>AAT, mainstream and level of function movement</w:t>
            </w:r>
          </w:p>
        </w:tc>
        <w:tc>
          <w:tcPr>
            <w:tcW w:w="651" w:type="pct"/>
            <w:tcBorders>
              <w:top w:val="nil"/>
              <w:left w:val="nil"/>
              <w:bottom w:val="nil"/>
              <w:right w:val="nil"/>
            </w:tcBorders>
            <w:shd w:val="clear" w:color="auto" w:fill="auto"/>
            <w:noWrap/>
            <w:vAlign w:val="bottom"/>
            <w:hideMark/>
          </w:tcPr>
          <w:p w14:paraId="1CC846BF" w14:textId="77777777" w:rsidR="008C6160" w:rsidRPr="008B2365" w:rsidRDefault="008C6160" w:rsidP="00312E88">
            <w:pPr>
              <w:jc w:val="right"/>
              <w:rPr>
                <w:rFonts w:cs="Arial"/>
                <w:color w:val="000000"/>
                <w:sz w:val="16"/>
                <w:szCs w:val="16"/>
              </w:rPr>
            </w:pPr>
            <w:r w:rsidRPr="008B2365">
              <w:rPr>
                <w:rFonts w:cs="Arial"/>
                <w:color w:val="000000"/>
                <w:sz w:val="16"/>
                <w:szCs w:val="16"/>
              </w:rPr>
              <w:t>18,400</w:t>
            </w:r>
          </w:p>
        </w:tc>
        <w:tc>
          <w:tcPr>
            <w:tcW w:w="651" w:type="pct"/>
            <w:tcBorders>
              <w:top w:val="nil"/>
              <w:left w:val="nil"/>
              <w:bottom w:val="nil"/>
              <w:right w:val="nil"/>
            </w:tcBorders>
            <w:shd w:val="clear" w:color="auto" w:fill="auto"/>
            <w:noWrap/>
            <w:vAlign w:val="bottom"/>
            <w:hideMark/>
          </w:tcPr>
          <w:p w14:paraId="4A4EDAA3" w14:textId="77777777" w:rsidR="008C6160" w:rsidRPr="008B2365" w:rsidRDefault="008C6160" w:rsidP="00312E88">
            <w:pPr>
              <w:jc w:val="right"/>
              <w:rPr>
                <w:rFonts w:cs="Arial"/>
                <w:color w:val="000000"/>
                <w:sz w:val="16"/>
                <w:szCs w:val="16"/>
              </w:rPr>
            </w:pPr>
            <w:r w:rsidRPr="008B2365">
              <w:rPr>
                <w:rFonts w:cs="Arial"/>
                <w:color w:val="000000"/>
                <w:sz w:val="16"/>
                <w:szCs w:val="16"/>
              </w:rPr>
              <w:t>37,686</w:t>
            </w:r>
          </w:p>
        </w:tc>
        <w:tc>
          <w:tcPr>
            <w:tcW w:w="651" w:type="pct"/>
            <w:tcBorders>
              <w:top w:val="nil"/>
              <w:left w:val="nil"/>
              <w:bottom w:val="nil"/>
              <w:right w:val="nil"/>
            </w:tcBorders>
            <w:shd w:val="clear" w:color="auto" w:fill="auto"/>
            <w:noWrap/>
            <w:vAlign w:val="bottom"/>
            <w:hideMark/>
          </w:tcPr>
          <w:p w14:paraId="4E268378" w14:textId="77777777" w:rsidR="008C6160" w:rsidRPr="008B2365" w:rsidRDefault="008C6160" w:rsidP="00312E88">
            <w:pPr>
              <w:jc w:val="right"/>
              <w:rPr>
                <w:rFonts w:cs="Arial"/>
                <w:color w:val="000000"/>
                <w:sz w:val="16"/>
                <w:szCs w:val="16"/>
              </w:rPr>
            </w:pPr>
            <w:r w:rsidRPr="008B2365">
              <w:rPr>
                <w:rFonts w:cs="Arial"/>
                <w:color w:val="000000"/>
                <w:sz w:val="16"/>
                <w:szCs w:val="16"/>
              </w:rPr>
              <w:t>52,236</w:t>
            </w:r>
          </w:p>
        </w:tc>
      </w:tr>
      <w:tr w:rsidR="008C6160" w:rsidRPr="008B2365" w14:paraId="28F931BD" w14:textId="77777777" w:rsidTr="00312E88">
        <w:trPr>
          <w:trHeight w:hRule="exact" w:val="255"/>
        </w:trPr>
        <w:tc>
          <w:tcPr>
            <w:tcW w:w="158" w:type="pct"/>
            <w:tcBorders>
              <w:top w:val="nil"/>
              <w:left w:val="nil"/>
              <w:bottom w:val="single" w:sz="4" w:space="0" w:color="auto"/>
              <w:right w:val="nil"/>
            </w:tcBorders>
            <w:shd w:val="clear" w:color="auto" w:fill="auto"/>
            <w:noWrap/>
            <w:vAlign w:val="bottom"/>
            <w:hideMark/>
          </w:tcPr>
          <w:p w14:paraId="11166DAC" w14:textId="77777777" w:rsidR="008C6160" w:rsidRPr="008B2365" w:rsidRDefault="008C6160" w:rsidP="00312E88">
            <w:pPr>
              <w:rPr>
                <w:rFonts w:cs="Arial"/>
                <w:color w:val="000000"/>
                <w:sz w:val="16"/>
                <w:szCs w:val="16"/>
              </w:rPr>
            </w:pPr>
            <w:r w:rsidRPr="008B2365">
              <w:rPr>
                <w:rFonts w:cs="Arial"/>
                <w:color w:val="000000"/>
                <w:sz w:val="16"/>
                <w:szCs w:val="16"/>
              </w:rPr>
              <w:t>7c</w:t>
            </w:r>
          </w:p>
        </w:tc>
        <w:tc>
          <w:tcPr>
            <w:tcW w:w="2890" w:type="pct"/>
            <w:tcBorders>
              <w:top w:val="nil"/>
              <w:left w:val="nil"/>
              <w:bottom w:val="single" w:sz="4" w:space="0" w:color="auto"/>
              <w:right w:val="nil"/>
            </w:tcBorders>
            <w:shd w:val="clear" w:color="auto" w:fill="auto"/>
            <w:noWrap/>
            <w:vAlign w:val="bottom"/>
            <w:hideMark/>
          </w:tcPr>
          <w:p w14:paraId="247A150F" w14:textId="77777777" w:rsidR="008C6160" w:rsidRPr="008B2365" w:rsidRDefault="008C6160" w:rsidP="00312E88">
            <w:pPr>
              <w:rPr>
                <w:rFonts w:cs="Arial"/>
                <w:color w:val="000000"/>
                <w:sz w:val="16"/>
                <w:szCs w:val="16"/>
              </w:rPr>
            </w:pPr>
            <w:r w:rsidRPr="008B2365">
              <w:rPr>
                <w:rFonts w:cs="Arial"/>
                <w:color w:val="000000"/>
                <w:sz w:val="16"/>
                <w:szCs w:val="16"/>
              </w:rPr>
              <w:t>AAT access decisions</w:t>
            </w:r>
          </w:p>
        </w:tc>
        <w:tc>
          <w:tcPr>
            <w:tcW w:w="651" w:type="pct"/>
            <w:tcBorders>
              <w:top w:val="nil"/>
              <w:left w:val="nil"/>
              <w:bottom w:val="single" w:sz="4" w:space="0" w:color="auto"/>
              <w:right w:val="nil"/>
            </w:tcBorders>
            <w:shd w:val="clear" w:color="auto" w:fill="auto"/>
            <w:noWrap/>
            <w:vAlign w:val="bottom"/>
            <w:hideMark/>
          </w:tcPr>
          <w:p w14:paraId="7A86B56A" w14:textId="77777777" w:rsidR="008C6160" w:rsidRPr="008B2365" w:rsidRDefault="008C6160" w:rsidP="00312E88">
            <w:pPr>
              <w:jc w:val="right"/>
              <w:rPr>
                <w:rFonts w:cs="Arial"/>
                <w:color w:val="000000"/>
                <w:sz w:val="16"/>
                <w:szCs w:val="16"/>
              </w:rPr>
            </w:pPr>
            <w:r w:rsidRPr="008B2365">
              <w:rPr>
                <w:rFonts w:cs="Arial"/>
                <w:color w:val="000000"/>
                <w:sz w:val="16"/>
                <w:szCs w:val="16"/>
              </w:rPr>
              <w:t>16,670</w:t>
            </w:r>
          </w:p>
        </w:tc>
        <w:tc>
          <w:tcPr>
            <w:tcW w:w="651" w:type="pct"/>
            <w:tcBorders>
              <w:top w:val="nil"/>
              <w:left w:val="nil"/>
              <w:bottom w:val="single" w:sz="4" w:space="0" w:color="auto"/>
              <w:right w:val="nil"/>
            </w:tcBorders>
            <w:shd w:val="clear" w:color="auto" w:fill="auto"/>
            <w:noWrap/>
            <w:vAlign w:val="bottom"/>
            <w:hideMark/>
          </w:tcPr>
          <w:p w14:paraId="1CEAA2F7" w14:textId="77777777" w:rsidR="008C6160" w:rsidRPr="008B2365" w:rsidRDefault="008C6160" w:rsidP="00312E88">
            <w:pPr>
              <w:jc w:val="right"/>
              <w:rPr>
                <w:rFonts w:cs="Arial"/>
                <w:color w:val="000000"/>
                <w:sz w:val="16"/>
                <w:szCs w:val="16"/>
              </w:rPr>
            </w:pPr>
            <w:r w:rsidRPr="008B2365">
              <w:rPr>
                <w:rFonts w:cs="Arial"/>
                <w:color w:val="000000"/>
                <w:sz w:val="16"/>
                <w:szCs w:val="16"/>
              </w:rPr>
              <w:t>34,352</w:t>
            </w:r>
          </w:p>
        </w:tc>
        <w:tc>
          <w:tcPr>
            <w:tcW w:w="651" w:type="pct"/>
            <w:tcBorders>
              <w:top w:val="nil"/>
              <w:left w:val="nil"/>
              <w:bottom w:val="single" w:sz="4" w:space="0" w:color="auto"/>
              <w:right w:val="nil"/>
            </w:tcBorders>
            <w:shd w:val="clear" w:color="auto" w:fill="auto"/>
            <w:noWrap/>
            <w:vAlign w:val="bottom"/>
            <w:hideMark/>
          </w:tcPr>
          <w:p w14:paraId="707A9028" w14:textId="77777777" w:rsidR="008C6160" w:rsidRPr="008B2365" w:rsidRDefault="008C6160" w:rsidP="00312E88">
            <w:pPr>
              <w:jc w:val="right"/>
              <w:rPr>
                <w:rFonts w:cs="Arial"/>
                <w:color w:val="000000"/>
                <w:sz w:val="16"/>
                <w:szCs w:val="16"/>
              </w:rPr>
            </w:pPr>
            <w:r w:rsidRPr="008B2365">
              <w:rPr>
                <w:rFonts w:cs="Arial"/>
                <w:color w:val="000000"/>
                <w:sz w:val="16"/>
                <w:szCs w:val="16"/>
              </w:rPr>
              <w:t>47,592</w:t>
            </w:r>
          </w:p>
        </w:tc>
      </w:tr>
      <w:tr w:rsidR="008C6160" w:rsidRPr="008B2365" w14:paraId="6A0A9D3C" w14:textId="77777777" w:rsidTr="00312E88">
        <w:trPr>
          <w:trHeight w:hRule="exact" w:val="255"/>
        </w:trPr>
        <w:tc>
          <w:tcPr>
            <w:tcW w:w="158" w:type="pct"/>
            <w:tcBorders>
              <w:top w:val="nil"/>
              <w:left w:val="nil"/>
              <w:bottom w:val="nil"/>
              <w:right w:val="nil"/>
            </w:tcBorders>
            <w:shd w:val="clear" w:color="auto" w:fill="auto"/>
            <w:noWrap/>
            <w:vAlign w:val="bottom"/>
            <w:hideMark/>
          </w:tcPr>
          <w:p w14:paraId="7AF5E604" w14:textId="77777777" w:rsidR="008C6160" w:rsidRPr="008B2365" w:rsidRDefault="008C6160" w:rsidP="00312E88">
            <w:pPr>
              <w:rPr>
                <w:rFonts w:cs="Arial"/>
                <w:color w:val="000000"/>
                <w:sz w:val="16"/>
                <w:szCs w:val="16"/>
              </w:rPr>
            </w:pPr>
            <w:r w:rsidRPr="008B2365">
              <w:rPr>
                <w:rFonts w:cs="Arial"/>
                <w:color w:val="000000"/>
                <w:sz w:val="16"/>
                <w:szCs w:val="16"/>
              </w:rPr>
              <w:t>8a</w:t>
            </w:r>
          </w:p>
        </w:tc>
        <w:tc>
          <w:tcPr>
            <w:tcW w:w="2890" w:type="pct"/>
            <w:tcBorders>
              <w:top w:val="nil"/>
              <w:left w:val="nil"/>
              <w:bottom w:val="nil"/>
              <w:right w:val="nil"/>
            </w:tcBorders>
            <w:shd w:val="clear" w:color="auto" w:fill="auto"/>
            <w:noWrap/>
            <w:vAlign w:val="bottom"/>
            <w:hideMark/>
          </w:tcPr>
          <w:p w14:paraId="468616CC" w14:textId="77777777" w:rsidR="008C6160" w:rsidRPr="008B2365" w:rsidRDefault="008C6160" w:rsidP="00312E88">
            <w:pPr>
              <w:rPr>
                <w:rFonts w:cs="Arial"/>
                <w:color w:val="000000"/>
                <w:sz w:val="16"/>
                <w:szCs w:val="16"/>
              </w:rPr>
            </w:pPr>
            <w:r w:rsidRPr="008B2365">
              <w:rPr>
                <w:rFonts w:cs="Arial"/>
                <w:color w:val="000000"/>
                <w:sz w:val="16"/>
                <w:szCs w:val="16"/>
              </w:rPr>
              <w:t>3% pa superimposed inflation for 10 years</w:t>
            </w:r>
          </w:p>
        </w:tc>
        <w:tc>
          <w:tcPr>
            <w:tcW w:w="651" w:type="pct"/>
            <w:tcBorders>
              <w:top w:val="nil"/>
              <w:left w:val="nil"/>
              <w:bottom w:val="nil"/>
              <w:right w:val="nil"/>
            </w:tcBorders>
            <w:shd w:val="clear" w:color="auto" w:fill="auto"/>
            <w:noWrap/>
            <w:vAlign w:val="bottom"/>
            <w:hideMark/>
          </w:tcPr>
          <w:p w14:paraId="212566F4" w14:textId="77777777" w:rsidR="008C6160" w:rsidRPr="008B2365" w:rsidRDefault="008C6160" w:rsidP="00312E88">
            <w:pPr>
              <w:jc w:val="right"/>
              <w:rPr>
                <w:rFonts w:cs="Arial"/>
                <w:color w:val="000000"/>
                <w:sz w:val="16"/>
                <w:szCs w:val="16"/>
              </w:rPr>
            </w:pPr>
            <w:r w:rsidRPr="008B2365">
              <w:rPr>
                <w:rFonts w:cs="Arial"/>
                <w:color w:val="000000"/>
                <w:sz w:val="16"/>
                <w:szCs w:val="16"/>
              </w:rPr>
              <w:t>15,676</w:t>
            </w:r>
          </w:p>
        </w:tc>
        <w:tc>
          <w:tcPr>
            <w:tcW w:w="651" w:type="pct"/>
            <w:tcBorders>
              <w:top w:val="nil"/>
              <w:left w:val="nil"/>
              <w:bottom w:val="nil"/>
              <w:right w:val="nil"/>
            </w:tcBorders>
            <w:shd w:val="clear" w:color="auto" w:fill="auto"/>
            <w:noWrap/>
            <w:vAlign w:val="bottom"/>
            <w:hideMark/>
          </w:tcPr>
          <w:p w14:paraId="32EB6620" w14:textId="77777777" w:rsidR="008C6160" w:rsidRPr="008B2365" w:rsidRDefault="008C6160" w:rsidP="00312E88">
            <w:pPr>
              <w:jc w:val="right"/>
              <w:rPr>
                <w:rFonts w:cs="Arial"/>
                <w:color w:val="000000"/>
                <w:sz w:val="16"/>
                <w:szCs w:val="16"/>
              </w:rPr>
            </w:pPr>
            <w:r w:rsidRPr="008B2365">
              <w:rPr>
                <w:rFonts w:cs="Arial"/>
                <w:color w:val="000000"/>
                <w:sz w:val="16"/>
                <w:szCs w:val="16"/>
              </w:rPr>
              <w:t>35,882</w:t>
            </w:r>
          </w:p>
        </w:tc>
        <w:tc>
          <w:tcPr>
            <w:tcW w:w="651" w:type="pct"/>
            <w:tcBorders>
              <w:top w:val="nil"/>
              <w:left w:val="nil"/>
              <w:bottom w:val="nil"/>
              <w:right w:val="nil"/>
            </w:tcBorders>
            <w:shd w:val="clear" w:color="auto" w:fill="auto"/>
            <w:noWrap/>
            <w:vAlign w:val="bottom"/>
            <w:hideMark/>
          </w:tcPr>
          <w:p w14:paraId="0BB9980B" w14:textId="77777777" w:rsidR="008C6160" w:rsidRPr="008B2365" w:rsidRDefault="008C6160" w:rsidP="00312E88">
            <w:pPr>
              <w:jc w:val="right"/>
              <w:rPr>
                <w:rFonts w:cs="Arial"/>
                <w:color w:val="000000"/>
                <w:sz w:val="16"/>
                <w:szCs w:val="16"/>
              </w:rPr>
            </w:pPr>
            <w:r w:rsidRPr="008B2365">
              <w:rPr>
                <w:rFonts w:cs="Arial"/>
                <w:color w:val="000000"/>
                <w:sz w:val="16"/>
                <w:szCs w:val="16"/>
              </w:rPr>
              <w:t>55,465</w:t>
            </w:r>
          </w:p>
        </w:tc>
      </w:tr>
      <w:tr w:rsidR="008C6160" w:rsidRPr="008B2365" w14:paraId="06EACF35" w14:textId="77777777" w:rsidTr="00312E88">
        <w:trPr>
          <w:trHeight w:hRule="exact" w:val="255"/>
        </w:trPr>
        <w:tc>
          <w:tcPr>
            <w:tcW w:w="158" w:type="pct"/>
            <w:tcBorders>
              <w:top w:val="nil"/>
              <w:left w:val="nil"/>
              <w:bottom w:val="single" w:sz="4" w:space="0" w:color="auto"/>
              <w:right w:val="nil"/>
            </w:tcBorders>
            <w:shd w:val="clear" w:color="auto" w:fill="auto"/>
            <w:noWrap/>
            <w:vAlign w:val="bottom"/>
            <w:hideMark/>
          </w:tcPr>
          <w:p w14:paraId="343EEC53" w14:textId="77777777" w:rsidR="008C6160" w:rsidRPr="008B2365" w:rsidRDefault="008C6160" w:rsidP="00312E88">
            <w:pPr>
              <w:rPr>
                <w:rFonts w:cs="Arial"/>
                <w:color w:val="000000"/>
                <w:sz w:val="16"/>
                <w:szCs w:val="16"/>
              </w:rPr>
            </w:pPr>
            <w:r w:rsidRPr="008B2365">
              <w:rPr>
                <w:rFonts w:cs="Arial"/>
                <w:color w:val="000000"/>
                <w:sz w:val="16"/>
                <w:szCs w:val="16"/>
              </w:rPr>
              <w:t>8b</w:t>
            </w:r>
          </w:p>
        </w:tc>
        <w:tc>
          <w:tcPr>
            <w:tcW w:w="2890" w:type="pct"/>
            <w:tcBorders>
              <w:top w:val="nil"/>
              <w:left w:val="nil"/>
              <w:bottom w:val="single" w:sz="4" w:space="0" w:color="auto"/>
              <w:right w:val="nil"/>
            </w:tcBorders>
            <w:shd w:val="clear" w:color="auto" w:fill="auto"/>
            <w:noWrap/>
            <w:vAlign w:val="bottom"/>
            <w:hideMark/>
          </w:tcPr>
          <w:p w14:paraId="6CFD0AB6" w14:textId="77777777" w:rsidR="008C6160" w:rsidRPr="008B2365" w:rsidRDefault="008C6160" w:rsidP="00312E88">
            <w:pPr>
              <w:rPr>
                <w:rFonts w:cs="Arial"/>
                <w:color w:val="000000"/>
                <w:sz w:val="16"/>
                <w:szCs w:val="16"/>
              </w:rPr>
            </w:pPr>
            <w:r w:rsidRPr="008B2365">
              <w:rPr>
                <w:rFonts w:cs="Arial"/>
                <w:color w:val="000000"/>
                <w:sz w:val="16"/>
                <w:szCs w:val="16"/>
              </w:rPr>
              <w:t>0% superimposed inflation</w:t>
            </w:r>
          </w:p>
        </w:tc>
        <w:tc>
          <w:tcPr>
            <w:tcW w:w="651" w:type="pct"/>
            <w:tcBorders>
              <w:top w:val="nil"/>
              <w:left w:val="nil"/>
              <w:bottom w:val="single" w:sz="4" w:space="0" w:color="auto"/>
              <w:right w:val="nil"/>
            </w:tcBorders>
            <w:shd w:val="clear" w:color="auto" w:fill="auto"/>
            <w:noWrap/>
            <w:vAlign w:val="bottom"/>
            <w:hideMark/>
          </w:tcPr>
          <w:p w14:paraId="4290CACC" w14:textId="77777777" w:rsidR="008C6160" w:rsidRPr="008B2365" w:rsidRDefault="008C6160" w:rsidP="00312E88">
            <w:pPr>
              <w:jc w:val="right"/>
              <w:rPr>
                <w:rFonts w:cs="Arial"/>
                <w:color w:val="000000"/>
                <w:sz w:val="16"/>
                <w:szCs w:val="16"/>
              </w:rPr>
            </w:pPr>
            <w:r w:rsidRPr="008B2365">
              <w:rPr>
                <w:rFonts w:cs="Arial"/>
                <w:color w:val="000000"/>
                <w:sz w:val="16"/>
                <w:szCs w:val="16"/>
              </w:rPr>
              <w:t>14,810</w:t>
            </w:r>
          </w:p>
        </w:tc>
        <w:tc>
          <w:tcPr>
            <w:tcW w:w="651" w:type="pct"/>
            <w:tcBorders>
              <w:top w:val="nil"/>
              <w:left w:val="nil"/>
              <w:bottom w:val="single" w:sz="4" w:space="0" w:color="auto"/>
              <w:right w:val="nil"/>
            </w:tcBorders>
            <w:shd w:val="clear" w:color="auto" w:fill="auto"/>
            <w:noWrap/>
            <w:vAlign w:val="bottom"/>
            <w:hideMark/>
          </w:tcPr>
          <w:p w14:paraId="47C0D67D" w14:textId="77777777" w:rsidR="008C6160" w:rsidRPr="008B2365" w:rsidRDefault="008C6160" w:rsidP="00312E88">
            <w:pPr>
              <w:jc w:val="right"/>
              <w:rPr>
                <w:rFonts w:cs="Arial"/>
                <w:color w:val="000000"/>
                <w:sz w:val="16"/>
                <w:szCs w:val="16"/>
              </w:rPr>
            </w:pPr>
            <w:r w:rsidRPr="008B2365">
              <w:rPr>
                <w:rFonts w:cs="Arial"/>
                <w:color w:val="000000"/>
                <w:sz w:val="16"/>
                <w:szCs w:val="16"/>
              </w:rPr>
              <w:t>29,407</w:t>
            </w:r>
          </w:p>
        </w:tc>
        <w:tc>
          <w:tcPr>
            <w:tcW w:w="651" w:type="pct"/>
            <w:tcBorders>
              <w:top w:val="nil"/>
              <w:left w:val="nil"/>
              <w:bottom w:val="single" w:sz="4" w:space="0" w:color="auto"/>
              <w:right w:val="nil"/>
            </w:tcBorders>
            <w:shd w:val="clear" w:color="auto" w:fill="auto"/>
            <w:noWrap/>
            <w:vAlign w:val="bottom"/>
            <w:hideMark/>
          </w:tcPr>
          <w:p w14:paraId="4BF16635" w14:textId="77777777" w:rsidR="008C6160" w:rsidRPr="008B2365" w:rsidRDefault="008C6160" w:rsidP="00312E88">
            <w:pPr>
              <w:jc w:val="right"/>
              <w:rPr>
                <w:rFonts w:cs="Arial"/>
                <w:color w:val="000000"/>
                <w:sz w:val="16"/>
                <w:szCs w:val="16"/>
              </w:rPr>
            </w:pPr>
            <w:r w:rsidRPr="008B2365">
              <w:rPr>
                <w:rFonts w:cs="Arial"/>
                <w:color w:val="000000"/>
                <w:sz w:val="16"/>
                <w:szCs w:val="16"/>
              </w:rPr>
              <w:t>41,164</w:t>
            </w:r>
          </w:p>
        </w:tc>
      </w:tr>
    </w:tbl>
    <w:p w14:paraId="50A185B2" w14:textId="2663F51A" w:rsidR="002B3FBF" w:rsidRDefault="002B3FBF" w:rsidP="002B3FBF">
      <w:pPr>
        <w:pStyle w:val="FSRnormal"/>
      </w:pPr>
    </w:p>
    <w:p w14:paraId="1FEC3B54" w14:textId="77777777" w:rsidR="002B3FBF" w:rsidRDefault="002B3FBF" w:rsidP="00B37567">
      <w:pPr>
        <w:pStyle w:val="FSRHeading4"/>
      </w:pPr>
      <w:r>
        <w:t>2018-19 Scenarios</w:t>
      </w:r>
    </w:p>
    <w:tbl>
      <w:tblPr>
        <w:tblW w:w="5000" w:type="pct"/>
        <w:tblLook w:val="04A0" w:firstRow="1" w:lastRow="0" w:firstColumn="1" w:lastColumn="0" w:noHBand="0" w:noVBand="1"/>
      </w:tblPr>
      <w:tblGrid>
        <w:gridCol w:w="394"/>
        <w:gridCol w:w="5210"/>
        <w:gridCol w:w="1140"/>
        <w:gridCol w:w="1141"/>
        <w:gridCol w:w="1141"/>
      </w:tblGrid>
      <w:tr w:rsidR="00044246" w:rsidRPr="007C0716" w14:paraId="295847EB" w14:textId="77777777" w:rsidTr="00312E88">
        <w:trPr>
          <w:trHeight w:val="255"/>
          <w:tblHeader/>
        </w:trPr>
        <w:tc>
          <w:tcPr>
            <w:tcW w:w="3052" w:type="pct"/>
            <w:gridSpan w:val="2"/>
            <w:tcBorders>
              <w:top w:val="nil"/>
              <w:left w:val="nil"/>
              <w:bottom w:val="nil"/>
              <w:right w:val="nil"/>
            </w:tcBorders>
            <w:shd w:val="clear" w:color="000000" w:fill="6B2976"/>
            <w:noWrap/>
            <w:vAlign w:val="bottom"/>
            <w:hideMark/>
          </w:tcPr>
          <w:p w14:paraId="625F0D95" w14:textId="77777777" w:rsidR="00044246" w:rsidRPr="007C0716" w:rsidRDefault="00044246" w:rsidP="00312E88">
            <w:pPr>
              <w:rPr>
                <w:rFonts w:cs="Arial"/>
                <w:b/>
                <w:bCs/>
                <w:color w:val="FFFFFF"/>
                <w:sz w:val="16"/>
                <w:szCs w:val="16"/>
              </w:rPr>
            </w:pPr>
            <w:r w:rsidRPr="007C0716">
              <w:rPr>
                <w:rFonts w:cs="Arial"/>
                <w:b/>
                <w:bCs/>
                <w:color w:val="FFFFFF"/>
                <w:sz w:val="16"/>
                <w:szCs w:val="16"/>
              </w:rPr>
              <w:t>Total participant costs ($m)</w:t>
            </w:r>
          </w:p>
        </w:tc>
        <w:tc>
          <w:tcPr>
            <w:tcW w:w="649" w:type="pct"/>
            <w:tcBorders>
              <w:top w:val="nil"/>
              <w:left w:val="nil"/>
              <w:bottom w:val="nil"/>
              <w:right w:val="nil"/>
            </w:tcBorders>
            <w:shd w:val="clear" w:color="000000" w:fill="6B2976"/>
            <w:noWrap/>
            <w:vAlign w:val="bottom"/>
            <w:hideMark/>
          </w:tcPr>
          <w:p w14:paraId="7398EA90" w14:textId="77777777" w:rsidR="00044246" w:rsidRPr="007C0716" w:rsidRDefault="00044246" w:rsidP="00312E88">
            <w:pPr>
              <w:jc w:val="right"/>
              <w:rPr>
                <w:rFonts w:cs="Arial"/>
                <w:b/>
                <w:bCs/>
                <w:color w:val="FFFFFF"/>
                <w:sz w:val="16"/>
                <w:szCs w:val="16"/>
              </w:rPr>
            </w:pPr>
            <w:r w:rsidRPr="007C0716">
              <w:rPr>
                <w:rFonts w:cs="Arial"/>
                <w:b/>
                <w:bCs/>
                <w:color w:val="FFFFFF"/>
                <w:sz w:val="16"/>
                <w:szCs w:val="16"/>
              </w:rPr>
              <w:t>2020</w:t>
            </w:r>
          </w:p>
        </w:tc>
        <w:tc>
          <w:tcPr>
            <w:tcW w:w="649" w:type="pct"/>
            <w:tcBorders>
              <w:top w:val="nil"/>
              <w:left w:val="nil"/>
              <w:bottom w:val="nil"/>
              <w:right w:val="nil"/>
            </w:tcBorders>
            <w:shd w:val="clear" w:color="000000" w:fill="6B2976"/>
            <w:noWrap/>
            <w:vAlign w:val="bottom"/>
            <w:hideMark/>
          </w:tcPr>
          <w:p w14:paraId="4C6B838F" w14:textId="77777777" w:rsidR="00044246" w:rsidRPr="007C0716" w:rsidRDefault="00044246" w:rsidP="00312E88">
            <w:pPr>
              <w:jc w:val="right"/>
              <w:rPr>
                <w:rFonts w:cs="Arial"/>
                <w:b/>
                <w:bCs/>
                <w:color w:val="FFFFFF"/>
                <w:sz w:val="16"/>
                <w:szCs w:val="16"/>
              </w:rPr>
            </w:pPr>
            <w:r w:rsidRPr="007C0716">
              <w:rPr>
                <w:rFonts w:cs="Arial"/>
                <w:b/>
                <w:bCs/>
                <w:color w:val="FFFFFF"/>
                <w:sz w:val="16"/>
                <w:szCs w:val="16"/>
              </w:rPr>
              <w:t>2025</w:t>
            </w:r>
          </w:p>
        </w:tc>
        <w:tc>
          <w:tcPr>
            <w:tcW w:w="649" w:type="pct"/>
            <w:tcBorders>
              <w:top w:val="nil"/>
              <w:left w:val="nil"/>
              <w:bottom w:val="nil"/>
              <w:right w:val="nil"/>
            </w:tcBorders>
            <w:shd w:val="clear" w:color="000000" w:fill="6B2976"/>
            <w:noWrap/>
            <w:vAlign w:val="bottom"/>
            <w:hideMark/>
          </w:tcPr>
          <w:p w14:paraId="53A2D87E" w14:textId="77777777" w:rsidR="00044246" w:rsidRPr="007C0716" w:rsidRDefault="00044246" w:rsidP="00312E88">
            <w:pPr>
              <w:jc w:val="right"/>
              <w:rPr>
                <w:rFonts w:cs="Arial"/>
                <w:b/>
                <w:bCs/>
                <w:color w:val="FFFFFF"/>
                <w:sz w:val="16"/>
                <w:szCs w:val="16"/>
              </w:rPr>
            </w:pPr>
            <w:r w:rsidRPr="007C0716">
              <w:rPr>
                <w:rFonts w:cs="Arial"/>
                <w:b/>
                <w:bCs/>
                <w:color w:val="FFFFFF"/>
                <w:sz w:val="16"/>
                <w:szCs w:val="16"/>
              </w:rPr>
              <w:t>2030</w:t>
            </w:r>
          </w:p>
        </w:tc>
      </w:tr>
      <w:tr w:rsidR="00044246" w:rsidRPr="007C0716" w14:paraId="16EDCC2E" w14:textId="77777777" w:rsidTr="00044246">
        <w:trPr>
          <w:trHeight w:hRule="exact" w:val="255"/>
        </w:trPr>
        <w:tc>
          <w:tcPr>
            <w:tcW w:w="149" w:type="pct"/>
            <w:tcBorders>
              <w:top w:val="nil"/>
              <w:left w:val="nil"/>
              <w:bottom w:val="single" w:sz="4" w:space="0" w:color="auto"/>
              <w:right w:val="nil"/>
            </w:tcBorders>
            <w:shd w:val="clear" w:color="auto" w:fill="auto"/>
            <w:noWrap/>
            <w:vAlign w:val="bottom"/>
            <w:hideMark/>
          </w:tcPr>
          <w:p w14:paraId="3ACBDCA9" w14:textId="77777777" w:rsidR="00044246" w:rsidRPr="007C0716" w:rsidRDefault="00044246" w:rsidP="00312E88">
            <w:pPr>
              <w:rPr>
                <w:rFonts w:cs="Arial"/>
                <w:color w:val="000000"/>
                <w:sz w:val="16"/>
                <w:szCs w:val="16"/>
              </w:rPr>
            </w:pPr>
            <w:r w:rsidRPr="007C0716">
              <w:rPr>
                <w:rFonts w:cs="Arial"/>
                <w:color w:val="000000"/>
                <w:sz w:val="16"/>
                <w:szCs w:val="16"/>
              </w:rPr>
              <w:t> </w:t>
            </w:r>
          </w:p>
        </w:tc>
        <w:tc>
          <w:tcPr>
            <w:tcW w:w="2904" w:type="pct"/>
            <w:tcBorders>
              <w:top w:val="nil"/>
              <w:left w:val="nil"/>
              <w:bottom w:val="single" w:sz="4" w:space="0" w:color="auto"/>
              <w:right w:val="nil"/>
            </w:tcBorders>
            <w:shd w:val="clear" w:color="auto" w:fill="auto"/>
            <w:noWrap/>
            <w:vAlign w:val="bottom"/>
            <w:hideMark/>
          </w:tcPr>
          <w:p w14:paraId="39DD1484" w14:textId="77777777" w:rsidR="00044246" w:rsidRPr="007C0716" w:rsidRDefault="00044246" w:rsidP="00312E88">
            <w:pPr>
              <w:rPr>
                <w:rFonts w:cs="Arial"/>
                <w:color w:val="000000"/>
                <w:sz w:val="16"/>
                <w:szCs w:val="16"/>
              </w:rPr>
            </w:pPr>
            <w:r w:rsidRPr="007C0716">
              <w:rPr>
                <w:rFonts w:cs="Arial"/>
                <w:color w:val="000000"/>
                <w:sz w:val="16"/>
                <w:szCs w:val="16"/>
              </w:rPr>
              <w:t>2018-19 Baseline</w:t>
            </w:r>
          </w:p>
        </w:tc>
        <w:tc>
          <w:tcPr>
            <w:tcW w:w="649" w:type="pct"/>
            <w:tcBorders>
              <w:top w:val="nil"/>
              <w:left w:val="nil"/>
              <w:bottom w:val="single" w:sz="4" w:space="0" w:color="auto"/>
              <w:right w:val="nil"/>
            </w:tcBorders>
            <w:shd w:val="clear" w:color="auto" w:fill="auto"/>
            <w:noWrap/>
            <w:vAlign w:val="bottom"/>
            <w:hideMark/>
          </w:tcPr>
          <w:p w14:paraId="7168CC9D" w14:textId="77777777" w:rsidR="00044246" w:rsidRPr="007C0716" w:rsidRDefault="00044246" w:rsidP="00312E88">
            <w:pPr>
              <w:jc w:val="right"/>
              <w:rPr>
                <w:rFonts w:cs="Arial"/>
                <w:color w:val="000000"/>
                <w:sz w:val="16"/>
                <w:szCs w:val="16"/>
              </w:rPr>
            </w:pPr>
            <w:r w:rsidRPr="007C0716">
              <w:rPr>
                <w:rFonts w:cs="Arial"/>
                <w:color w:val="000000"/>
                <w:sz w:val="16"/>
                <w:szCs w:val="16"/>
              </w:rPr>
              <w:t>16,327</w:t>
            </w:r>
          </w:p>
        </w:tc>
        <w:tc>
          <w:tcPr>
            <w:tcW w:w="649" w:type="pct"/>
            <w:tcBorders>
              <w:top w:val="nil"/>
              <w:left w:val="nil"/>
              <w:bottom w:val="single" w:sz="4" w:space="0" w:color="auto"/>
              <w:right w:val="nil"/>
            </w:tcBorders>
            <w:shd w:val="clear" w:color="auto" w:fill="auto"/>
            <w:noWrap/>
            <w:vAlign w:val="bottom"/>
            <w:hideMark/>
          </w:tcPr>
          <w:p w14:paraId="5C7E99DF" w14:textId="77777777" w:rsidR="00044246" w:rsidRPr="007C0716" w:rsidRDefault="00044246" w:rsidP="00312E88">
            <w:pPr>
              <w:jc w:val="right"/>
              <w:rPr>
                <w:rFonts w:cs="Arial"/>
                <w:color w:val="000000"/>
                <w:sz w:val="16"/>
                <w:szCs w:val="16"/>
              </w:rPr>
            </w:pPr>
            <w:r w:rsidRPr="007C0716">
              <w:rPr>
                <w:rFonts w:cs="Arial"/>
                <w:color w:val="000000"/>
                <w:sz w:val="16"/>
                <w:szCs w:val="16"/>
              </w:rPr>
              <w:t>30,820</w:t>
            </w:r>
          </w:p>
        </w:tc>
        <w:tc>
          <w:tcPr>
            <w:tcW w:w="649" w:type="pct"/>
            <w:tcBorders>
              <w:top w:val="nil"/>
              <w:left w:val="nil"/>
              <w:bottom w:val="single" w:sz="4" w:space="0" w:color="auto"/>
              <w:right w:val="nil"/>
            </w:tcBorders>
            <w:shd w:val="clear" w:color="auto" w:fill="auto"/>
            <w:noWrap/>
            <w:vAlign w:val="bottom"/>
            <w:hideMark/>
          </w:tcPr>
          <w:p w14:paraId="7FE1DD25" w14:textId="77777777" w:rsidR="00044246" w:rsidRPr="007C0716" w:rsidRDefault="00044246" w:rsidP="00312E88">
            <w:pPr>
              <w:jc w:val="right"/>
              <w:rPr>
                <w:rFonts w:cs="Arial"/>
                <w:color w:val="000000"/>
                <w:sz w:val="16"/>
                <w:szCs w:val="16"/>
              </w:rPr>
            </w:pPr>
            <w:r w:rsidRPr="007C0716">
              <w:rPr>
                <w:rFonts w:cs="Arial"/>
                <w:color w:val="000000"/>
                <w:sz w:val="16"/>
                <w:szCs w:val="16"/>
              </w:rPr>
              <w:t>43,723</w:t>
            </w:r>
          </w:p>
        </w:tc>
      </w:tr>
      <w:tr w:rsidR="00044246" w:rsidRPr="007C0716" w14:paraId="582F90B8" w14:textId="77777777" w:rsidTr="00044246">
        <w:trPr>
          <w:trHeight w:hRule="exact" w:val="255"/>
        </w:trPr>
        <w:tc>
          <w:tcPr>
            <w:tcW w:w="149" w:type="pct"/>
            <w:tcBorders>
              <w:top w:val="nil"/>
              <w:left w:val="nil"/>
              <w:bottom w:val="nil"/>
              <w:right w:val="nil"/>
            </w:tcBorders>
            <w:shd w:val="clear" w:color="auto" w:fill="auto"/>
            <w:noWrap/>
            <w:vAlign w:val="bottom"/>
            <w:hideMark/>
          </w:tcPr>
          <w:p w14:paraId="3BBEBE61" w14:textId="77777777" w:rsidR="00044246" w:rsidRPr="007C0716" w:rsidRDefault="00044246" w:rsidP="00312E88">
            <w:pPr>
              <w:rPr>
                <w:rFonts w:cs="Arial"/>
                <w:color w:val="000000"/>
                <w:sz w:val="16"/>
                <w:szCs w:val="16"/>
              </w:rPr>
            </w:pPr>
            <w:r w:rsidRPr="007C0716">
              <w:rPr>
                <w:rFonts w:cs="Arial"/>
                <w:color w:val="000000"/>
                <w:sz w:val="16"/>
                <w:szCs w:val="16"/>
              </w:rPr>
              <w:t>1a</w:t>
            </w:r>
          </w:p>
        </w:tc>
        <w:tc>
          <w:tcPr>
            <w:tcW w:w="2904" w:type="pct"/>
            <w:tcBorders>
              <w:top w:val="nil"/>
              <w:left w:val="nil"/>
              <w:bottom w:val="nil"/>
              <w:right w:val="nil"/>
            </w:tcBorders>
            <w:shd w:val="clear" w:color="auto" w:fill="auto"/>
            <w:noWrap/>
            <w:vAlign w:val="bottom"/>
            <w:hideMark/>
          </w:tcPr>
          <w:p w14:paraId="1F9A5586" w14:textId="2FBD3070" w:rsidR="00044246" w:rsidRPr="007C0716" w:rsidRDefault="00044246" w:rsidP="0046598B">
            <w:pPr>
              <w:rPr>
                <w:rFonts w:cs="Arial"/>
                <w:color w:val="000000"/>
                <w:sz w:val="16"/>
                <w:szCs w:val="16"/>
              </w:rPr>
            </w:pPr>
            <w:r w:rsidRPr="007C0716">
              <w:rPr>
                <w:rFonts w:cs="Arial"/>
                <w:color w:val="000000"/>
                <w:sz w:val="16"/>
                <w:szCs w:val="16"/>
              </w:rPr>
              <w:t>Additional Cost of chronic health (</w:t>
            </w:r>
            <w:r w:rsidR="0046598B">
              <w:rPr>
                <w:rFonts w:cs="Arial"/>
                <w:color w:val="000000"/>
                <w:sz w:val="16"/>
                <w:szCs w:val="16"/>
              </w:rPr>
              <w:t>l</w:t>
            </w:r>
            <w:r w:rsidRPr="007C0716">
              <w:rPr>
                <w:rFonts w:cs="Arial"/>
                <w:color w:val="000000"/>
                <w:sz w:val="16"/>
                <w:szCs w:val="16"/>
              </w:rPr>
              <w:t>ow range)</w:t>
            </w:r>
          </w:p>
        </w:tc>
        <w:tc>
          <w:tcPr>
            <w:tcW w:w="649" w:type="pct"/>
            <w:tcBorders>
              <w:top w:val="nil"/>
              <w:left w:val="nil"/>
              <w:bottom w:val="nil"/>
              <w:right w:val="nil"/>
            </w:tcBorders>
            <w:shd w:val="clear" w:color="auto" w:fill="auto"/>
            <w:noWrap/>
            <w:vAlign w:val="bottom"/>
            <w:hideMark/>
          </w:tcPr>
          <w:p w14:paraId="7ECFB7B0" w14:textId="77777777" w:rsidR="00044246" w:rsidRPr="007C0716" w:rsidRDefault="00044246" w:rsidP="00312E88">
            <w:pPr>
              <w:jc w:val="right"/>
              <w:rPr>
                <w:rFonts w:cs="Arial"/>
                <w:color w:val="000000"/>
                <w:sz w:val="16"/>
                <w:szCs w:val="16"/>
              </w:rPr>
            </w:pPr>
            <w:r w:rsidRPr="007C0716">
              <w:rPr>
                <w:rFonts w:cs="Arial"/>
                <w:color w:val="000000"/>
                <w:sz w:val="16"/>
                <w:szCs w:val="16"/>
              </w:rPr>
              <w:t>19,333</w:t>
            </w:r>
          </w:p>
        </w:tc>
        <w:tc>
          <w:tcPr>
            <w:tcW w:w="649" w:type="pct"/>
            <w:tcBorders>
              <w:top w:val="nil"/>
              <w:left w:val="nil"/>
              <w:bottom w:val="nil"/>
              <w:right w:val="nil"/>
            </w:tcBorders>
            <w:shd w:val="clear" w:color="auto" w:fill="auto"/>
            <w:noWrap/>
            <w:vAlign w:val="bottom"/>
            <w:hideMark/>
          </w:tcPr>
          <w:p w14:paraId="01C6DC1E" w14:textId="77777777" w:rsidR="00044246" w:rsidRPr="007C0716" w:rsidRDefault="00044246" w:rsidP="00312E88">
            <w:pPr>
              <w:jc w:val="right"/>
              <w:rPr>
                <w:rFonts w:cs="Arial"/>
                <w:color w:val="000000"/>
                <w:sz w:val="16"/>
                <w:szCs w:val="16"/>
              </w:rPr>
            </w:pPr>
            <w:r w:rsidRPr="007C0716">
              <w:rPr>
                <w:rFonts w:cs="Arial"/>
                <w:color w:val="000000"/>
                <w:sz w:val="16"/>
                <w:szCs w:val="16"/>
              </w:rPr>
              <w:t>34,760</w:t>
            </w:r>
          </w:p>
        </w:tc>
        <w:tc>
          <w:tcPr>
            <w:tcW w:w="649" w:type="pct"/>
            <w:tcBorders>
              <w:top w:val="nil"/>
              <w:left w:val="nil"/>
              <w:bottom w:val="nil"/>
              <w:right w:val="nil"/>
            </w:tcBorders>
            <w:shd w:val="clear" w:color="auto" w:fill="auto"/>
            <w:noWrap/>
            <w:vAlign w:val="bottom"/>
            <w:hideMark/>
          </w:tcPr>
          <w:p w14:paraId="44F72412" w14:textId="77777777" w:rsidR="00044246" w:rsidRPr="007C0716" w:rsidRDefault="00044246" w:rsidP="00312E88">
            <w:pPr>
              <w:jc w:val="right"/>
              <w:rPr>
                <w:rFonts w:cs="Arial"/>
                <w:color w:val="000000"/>
                <w:sz w:val="16"/>
                <w:szCs w:val="16"/>
              </w:rPr>
            </w:pPr>
            <w:r w:rsidRPr="007C0716">
              <w:rPr>
                <w:rFonts w:cs="Arial"/>
                <w:color w:val="000000"/>
                <w:sz w:val="16"/>
                <w:szCs w:val="16"/>
              </w:rPr>
              <w:t>48,886</w:t>
            </w:r>
          </w:p>
        </w:tc>
      </w:tr>
      <w:tr w:rsidR="00044246" w:rsidRPr="007C0716" w14:paraId="6FDEDDB6" w14:textId="77777777" w:rsidTr="00044246">
        <w:trPr>
          <w:trHeight w:hRule="exact" w:val="255"/>
        </w:trPr>
        <w:tc>
          <w:tcPr>
            <w:tcW w:w="149" w:type="pct"/>
            <w:tcBorders>
              <w:top w:val="nil"/>
              <w:left w:val="nil"/>
              <w:bottom w:val="nil"/>
              <w:right w:val="nil"/>
            </w:tcBorders>
            <w:shd w:val="clear" w:color="auto" w:fill="auto"/>
            <w:noWrap/>
            <w:vAlign w:val="bottom"/>
            <w:hideMark/>
          </w:tcPr>
          <w:p w14:paraId="33CFCCF1" w14:textId="77777777" w:rsidR="00044246" w:rsidRPr="007C0716" w:rsidRDefault="00044246" w:rsidP="00312E88">
            <w:pPr>
              <w:rPr>
                <w:rFonts w:cs="Arial"/>
                <w:color w:val="000000"/>
                <w:sz w:val="16"/>
                <w:szCs w:val="16"/>
              </w:rPr>
            </w:pPr>
            <w:r w:rsidRPr="007C0716">
              <w:rPr>
                <w:rFonts w:cs="Arial"/>
                <w:color w:val="000000"/>
                <w:sz w:val="16"/>
                <w:szCs w:val="16"/>
              </w:rPr>
              <w:t>1b</w:t>
            </w:r>
          </w:p>
        </w:tc>
        <w:tc>
          <w:tcPr>
            <w:tcW w:w="2904" w:type="pct"/>
            <w:tcBorders>
              <w:top w:val="nil"/>
              <w:left w:val="nil"/>
              <w:bottom w:val="nil"/>
              <w:right w:val="nil"/>
            </w:tcBorders>
            <w:shd w:val="clear" w:color="auto" w:fill="auto"/>
            <w:noWrap/>
            <w:vAlign w:val="bottom"/>
            <w:hideMark/>
          </w:tcPr>
          <w:p w14:paraId="45F61B2F" w14:textId="42E30676" w:rsidR="00044246" w:rsidRPr="007C0716" w:rsidRDefault="00044246" w:rsidP="00312E88">
            <w:pPr>
              <w:rPr>
                <w:rFonts w:cs="Arial"/>
                <w:color w:val="000000"/>
                <w:sz w:val="16"/>
                <w:szCs w:val="16"/>
              </w:rPr>
            </w:pPr>
            <w:r w:rsidRPr="007C0716">
              <w:rPr>
                <w:rFonts w:cs="Arial"/>
                <w:color w:val="000000"/>
                <w:sz w:val="16"/>
                <w:szCs w:val="16"/>
              </w:rPr>
              <w:t xml:space="preserve">Additional Cost of chronic health </w:t>
            </w:r>
            <w:r w:rsidR="0046598B">
              <w:rPr>
                <w:rFonts w:cs="Arial"/>
                <w:color w:val="000000"/>
                <w:sz w:val="16"/>
                <w:szCs w:val="16"/>
              </w:rPr>
              <w:t>(</w:t>
            </w:r>
            <w:r w:rsidRPr="007C0716">
              <w:rPr>
                <w:rFonts w:cs="Arial"/>
                <w:color w:val="000000"/>
                <w:sz w:val="16"/>
                <w:szCs w:val="16"/>
              </w:rPr>
              <w:t>mid range)</w:t>
            </w:r>
          </w:p>
        </w:tc>
        <w:tc>
          <w:tcPr>
            <w:tcW w:w="649" w:type="pct"/>
            <w:tcBorders>
              <w:top w:val="nil"/>
              <w:left w:val="nil"/>
              <w:bottom w:val="nil"/>
              <w:right w:val="nil"/>
            </w:tcBorders>
            <w:shd w:val="clear" w:color="auto" w:fill="auto"/>
            <w:noWrap/>
            <w:vAlign w:val="bottom"/>
            <w:hideMark/>
          </w:tcPr>
          <w:p w14:paraId="0D7DA78E" w14:textId="77777777" w:rsidR="00044246" w:rsidRPr="007C0716" w:rsidRDefault="00044246" w:rsidP="00312E88">
            <w:pPr>
              <w:jc w:val="right"/>
              <w:rPr>
                <w:rFonts w:cs="Arial"/>
                <w:color w:val="000000"/>
                <w:sz w:val="16"/>
                <w:szCs w:val="16"/>
              </w:rPr>
            </w:pPr>
            <w:r w:rsidRPr="007C0716">
              <w:rPr>
                <w:rFonts w:cs="Arial"/>
                <w:color w:val="000000"/>
                <w:sz w:val="16"/>
                <w:szCs w:val="16"/>
              </w:rPr>
              <w:t>20,770</w:t>
            </w:r>
          </w:p>
        </w:tc>
        <w:tc>
          <w:tcPr>
            <w:tcW w:w="649" w:type="pct"/>
            <w:tcBorders>
              <w:top w:val="nil"/>
              <w:left w:val="nil"/>
              <w:bottom w:val="nil"/>
              <w:right w:val="nil"/>
            </w:tcBorders>
            <w:shd w:val="clear" w:color="auto" w:fill="auto"/>
            <w:noWrap/>
            <w:vAlign w:val="bottom"/>
            <w:hideMark/>
          </w:tcPr>
          <w:p w14:paraId="28919F05" w14:textId="77777777" w:rsidR="00044246" w:rsidRPr="007C0716" w:rsidRDefault="00044246" w:rsidP="00312E88">
            <w:pPr>
              <w:jc w:val="right"/>
              <w:rPr>
                <w:rFonts w:cs="Arial"/>
                <w:color w:val="000000"/>
                <w:sz w:val="16"/>
                <w:szCs w:val="16"/>
              </w:rPr>
            </w:pPr>
            <w:r w:rsidRPr="007C0716">
              <w:rPr>
                <w:rFonts w:cs="Arial"/>
                <w:color w:val="000000"/>
                <w:sz w:val="16"/>
                <w:szCs w:val="16"/>
              </w:rPr>
              <w:t>36,644</w:t>
            </w:r>
          </w:p>
        </w:tc>
        <w:tc>
          <w:tcPr>
            <w:tcW w:w="649" w:type="pct"/>
            <w:tcBorders>
              <w:top w:val="nil"/>
              <w:left w:val="nil"/>
              <w:bottom w:val="nil"/>
              <w:right w:val="nil"/>
            </w:tcBorders>
            <w:shd w:val="clear" w:color="auto" w:fill="auto"/>
            <w:noWrap/>
            <w:vAlign w:val="bottom"/>
            <w:hideMark/>
          </w:tcPr>
          <w:p w14:paraId="758E51A3" w14:textId="77777777" w:rsidR="00044246" w:rsidRPr="007C0716" w:rsidRDefault="00044246" w:rsidP="00312E88">
            <w:pPr>
              <w:jc w:val="right"/>
              <w:rPr>
                <w:rFonts w:cs="Arial"/>
                <w:color w:val="000000"/>
                <w:sz w:val="16"/>
                <w:szCs w:val="16"/>
              </w:rPr>
            </w:pPr>
            <w:r w:rsidRPr="007C0716">
              <w:rPr>
                <w:rFonts w:cs="Arial"/>
                <w:color w:val="000000"/>
                <w:sz w:val="16"/>
                <w:szCs w:val="16"/>
              </w:rPr>
              <w:t>51,356</w:t>
            </w:r>
          </w:p>
        </w:tc>
      </w:tr>
      <w:tr w:rsidR="00044246" w:rsidRPr="007C0716" w14:paraId="5E3C6DC4" w14:textId="77777777" w:rsidTr="00044246">
        <w:trPr>
          <w:trHeight w:hRule="exact" w:val="255"/>
        </w:trPr>
        <w:tc>
          <w:tcPr>
            <w:tcW w:w="149" w:type="pct"/>
            <w:tcBorders>
              <w:top w:val="nil"/>
              <w:left w:val="nil"/>
              <w:bottom w:val="single" w:sz="4" w:space="0" w:color="auto"/>
              <w:right w:val="nil"/>
            </w:tcBorders>
            <w:shd w:val="clear" w:color="auto" w:fill="auto"/>
            <w:noWrap/>
            <w:vAlign w:val="bottom"/>
            <w:hideMark/>
          </w:tcPr>
          <w:p w14:paraId="53EC86ED" w14:textId="77777777" w:rsidR="00044246" w:rsidRPr="007C0716" w:rsidRDefault="00044246" w:rsidP="00312E88">
            <w:pPr>
              <w:rPr>
                <w:rFonts w:cs="Arial"/>
                <w:color w:val="000000"/>
                <w:sz w:val="16"/>
                <w:szCs w:val="16"/>
              </w:rPr>
            </w:pPr>
            <w:r w:rsidRPr="007C0716">
              <w:rPr>
                <w:rFonts w:cs="Arial"/>
                <w:color w:val="000000"/>
                <w:sz w:val="16"/>
                <w:szCs w:val="16"/>
              </w:rPr>
              <w:t>1c</w:t>
            </w:r>
          </w:p>
        </w:tc>
        <w:tc>
          <w:tcPr>
            <w:tcW w:w="2904" w:type="pct"/>
            <w:tcBorders>
              <w:top w:val="nil"/>
              <w:left w:val="nil"/>
              <w:bottom w:val="single" w:sz="4" w:space="0" w:color="auto"/>
              <w:right w:val="nil"/>
            </w:tcBorders>
            <w:shd w:val="clear" w:color="auto" w:fill="auto"/>
            <w:noWrap/>
            <w:vAlign w:val="bottom"/>
            <w:hideMark/>
          </w:tcPr>
          <w:p w14:paraId="34011D05" w14:textId="6E1E3351" w:rsidR="00044246" w:rsidRPr="007C0716" w:rsidRDefault="00044246" w:rsidP="00312E88">
            <w:pPr>
              <w:rPr>
                <w:rFonts w:cs="Arial"/>
                <w:color w:val="000000"/>
                <w:sz w:val="16"/>
                <w:szCs w:val="16"/>
              </w:rPr>
            </w:pPr>
            <w:r w:rsidRPr="007C0716">
              <w:rPr>
                <w:rFonts w:cs="Arial"/>
                <w:color w:val="000000"/>
                <w:sz w:val="16"/>
                <w:szCs w:val="16"/>
              </w:rPr>
              <w:t xml:space="preserve">Additional Cost of chronic health </w:t>
            </w:r>
            <w:r w:rsidR="0046598B">
              <w:rPr>
                <w:rFonts w:cs="Arial"/>
                <w:color w:val="000000"/>
                <w:sz w:val="16"/>
                <w:szCs w:val="16"/>
              </w:rPr>
              <w:t>(</w:t>
            </w:r>
            <w:r w:rsidRPr="007C0716">
              <w:rPr>
                <w:rFonts w:cs="Arial"/>
                <w:color w:val="000000"/>
                <w:sz w:val="16"/>
                <w:szCs w:val="16"/>
              </w:rPr>
              <w:t>high range)</w:t>
            </w:r>
          </w:p>
        </w:tc>
        <w:tc>
          <w:tcPr>
            <w:tcW w:w="649" w:type="pct"/>
            <w:tcBorders>
              <w:top w:val="nil"/>
              <w:left w:val="nil"/>
              <w:bottom w:val="single" w:sz="4" w:space="0" w:color="auto"/>
              <w:right w:val="nil"/>
            </w:tcBorders>
            <w:shd w:val="clear" w:color="auto" w:fill="auto"/>
            <w:noWrap/>
            <w:vAlign w:val="bottom"/>
            <w:hideMark/>
          </w:tcPr>
          <w:p w14:paraId="29C32A60" w14:textId="77777777" w:rsidR="00044246" w:rsidRPr="007C0716" w:rsidRDefault="00044246" w:rsidP="00312E88">
            <w:pPr>
              <w:jc w:val="right"/>
              <w:rPr>
                <w:rFonts w:cs="Arial"/>
                <w:color w:val="000000"/>
                <w:sz w:val="16"/>
                <w:szCs w:val="16"/>
              </w:rPr>
            </w:pPr>
            <w:r w:rsidRPr="007C0716">
              <w:rPr>
                <w:rFonts w:cs="Arial"/>
                <w:color w:val="000000"/>
                <w:sz w:val="16"/>
                <w:szCs w:val="16"/>
              </w:rPr>
              <w:t>22,404</w:t>
            </w:r>
          </w:p>
        </w:tc>
        <w:tc>
          <w:tcPr>
            <w:tcW w:w="649" w:type="pct"/>
            <w:tcBorders>
              <w:top w:val="nil"/>
              <w:left w:val="nil"/>
              <w:bottom w:val="single" w:sz="4" w:space="0" w:color="auto"/>
              <w:right w:val="nil"/>
            </w:tcBorders>
            <w:shd w:val="clear" w:color="auto" w:fill="auto"/>
            <w:noWrap/>
            <w:vAlign w:val="bottom"/>
            <w:hideMark/>
          </w:tcPr>
          <w:p w14:paraId="3F3D6B62" w14:textId="77777777" w:rsidR="00044246" w:rsidRPr="007C0716" w:rsidRDefault="00044246" w:rsidP="00312E88">
            <w:pPr>
              <w:jc w:val="right"/>
              <w:rPr>
                <w:rFonts w:cs="Arial"/>
                <w:color w:val="000000"/>
                <w:sz w:val="16"/>
                <w:szCs w:val="16"/>
              </w:rPr>
            </w:pPr>
            <w:r w:rsidRPr="007C0716">
              <w:rPr>
                <w:rFonts w:cs="Arial"/>
                <w:color w:val="000000"/>
                <w:sz w:val="16"/>
                <w:szCs w:val="16"/>
              </w:rPr>
              <w:t>38,785</w:t>
            </w:r>
          </w:p>
        </w:tc>
        <w:tc>
          <w:tcPr>
            <w:tcW w:w="649" w:type="pct"/>
            <w:tcBorders>
              <w:top w:val="nil"/>
              <w:left w:val="nil"/>
              <w:bottom w:val="single" w:sz="4" w:space="0" w:color="auto"/>
              <w:right w:val="nil"/>
            </w:tcBorders>
            <w:shd w:val="clear" w:color="auto" w:fill="auto"/>
            <w:noWrap/>
            <w:vAlign w:val="bottom"/>
            <w:hideMark/>
          </w:tcPr>
          <w:p w14:paraId="324D6585" w14:textId="77777777" w:rsidR="00044246" w:rsidRPr="007C0716" w:rsidRDefault="00044246" w:rsidP="00312E88">
            <w:pPr>
              <w:jc w:val="right"/>
              <w:rPr>
                <w:rFonts w:cs="Arial"/>
                <w:color w:val="000000"/>
                <w:sz w:val="16"/>
                <w:szCs w:val="16"/>
              </w:rPr>
            </w:pPr>
            <w:r w:rsidRPr="007C0716">
              <w:rPr>
                <w:rFonts w:cs="Arial"/>
                <w:color w:val="000000"/>
                <w:sz w:val="16"/>
                <w:szCs w:val="16"/>
              </w:rPr>
              <w:t>54,162</w:t>
            </w:r>
          </w:p>
        </w:tc>
      </w:tr>
      <w:tr w:rsidR="00044246" w:rsidRPr="007C0716" w14:paraId="3FA145D3" w14:textId="77777777" w:rsidTr="00044246">
        <w:trPr>
          <w:trHeight w:hRule="exact" w:val="255"/>
        </w:trPr>
        <w:tc>
          <w:tcPr>
            <w:tcW w:w="149" w:type="pct"/>
            <w:tcBorders>
              <w:top w:val="nil"/>
              <w:left w:val="nil"/>
              <w:bottom w:val="single" w:sz="4" w:space="0" w:color="auto"/>
              <w:right w:val="nil"/>
            </w:tcBorders>
            <w:shd w:val="clear" w:color="auto" w:fill="auto"/>
            <w:noWrap/>
            <w:vAlign w:val="bottom"/>
            <w:hideMark/>
          </w:tcPr>
          <w:p w14:paraId="4F4BD8DC" w14:textId="77777777" w:rsidR="00044246" w:rsidRPr="007C0716" w:rsidRDefault="00044246" w:rsidP="00312E88">
            <w:pPr>
              <w:rPr>
                <w:rFonts w:cs="Arial"/>
                <w:color w:val="000000"/>
                <w:sz w:val="16"/>
                <w:szCs w:val="16"/>
              </w:rPr>
            </w:pPr>
            <w:r w:rsidRPr="007C0716">
              <w:rPr>
                <w:rFonts w:cs="Arial"/>
                <w:color w:val="000000"/>
                <w:sz w:val="16"/>
                <w:szCs w:val="16"/>
              </w:rPr>
              <w:t>2</w:t>
            </w:r>
          </w:p>
        </w:tc>
        <w:tc>
          <w:tcPr>
            <w:tcW w:w="2904" w:type="pct"/>
            <w:tcBorders>
              <w:top w:val="nil"/>
              <w:left w:val="nil"/>
              <w:bottom w:val="single" w:sz="4" w:space="0" w:color="auto"/>
              <w:right w:val="nil"/>
            </w:tcBorders>
            <w:shd w:val="clear" w:color="auto" w:fill="auto"/>
            <w:noWrap/>
            <w:vAlign w:val="bottom"/>
            <w:hideMark/>
          </w:tcPr>
          <w:p w14:paraId="2BCB55E7" w14:textId="77777777" w:rsidR="00044246" w:rsidRPr="007C0716" w:rsidRDefault="00044246" w:rsidP="00312E88">
            <w:pPr>
              <w:rPr>
                <w:rFonts w:cs="Arial"/>
                <w:color w:val="000000"/>
                <w:sz w:val="16"/>
                <w:szCs w:val="16"/>
              </w:rPr>
            </w:pPr>
            <w:r w:rsidRPr="007C0716">
              <w:rPr>
                <w:rFonts w:cs="Arial"/>
                <w:color w:val="000000"/>
                <w:sz w:val="16"/>
                <w:szCs w:val="16"/>
              </w:rPr>
              <w:t>Lower autism and higher psychosocial disability numbers</w:t>
            </w:r>
          </w:p>
        </w:tc>
        <w:tc>
          <w:tcPr>
            <w:tcW w:w="649" w:type="pct"/>
            <w:tcBorders>
              <w:top w:val="nil"/>
              <w:left w:val="nil"/>
              <w:bottom w:val="single" w:sz="4" w:space="0" w:color="auto"/>
              <w:right w:val="nil"/>
            </w:tcBorders>
            <w:shd w:val="clear" w:color="auto" w:fill="auto"/>
            <w:noWrap/>
            <w:vAlign w:val="bottom"/>
            <w:hideMark/>
          </w:tcPr>
          <w:p w14:paraId="32AB3A90" w14:textId="77777777" w:rsidR="00044246" w:rsidRPr="007C0716" w:rsidRDefault="00044246" w:rsidP="00312E88">
            <w:pPr>
              <w:jc w:val="right"/>
              <w:rPr>
                <w:rFonts w:cs="Arial"/>
                <w:color w:val="000000"/>
                <w:sz w:val="16"/>
                <w:szCs w:val="16"/>
              </w:rPr>
            </w:pPr>
            <w:r w:rsidRPr="007C0716">
              <w:rPr>
                <w:rFonts w:cs="Arial"/>
                <w:color w:val="000000"/>
                <w:sz w:val="16"/>
                <w:szCs w:val="16"/>
              </w:rPr>
              <w:t>16,347</w:t>
            </w:r>
          </w:p>
        </w:tc>
        <w:tc>
          <w:tcPr>
            <w:tcW w:w="649" w:type="pct"/>
            <w:tcBorders>
              <w:top w:val="nil"/>
              <w:left w:val="nil"/>
              <w:bottom w:val="single" w:sz="4" w:space="0" w:color="auto"/>
              <w:right w:val="nil"/>
            </w:tcBorders>
            <w:shd w:val="clear" w:color="auto" w:fill="auto"/>
            <w:noWrap/>
            <w:vAlign w:val="bottom"/>
            <w:hideMark/>
          </w:tcPr>
          <w:p w14:paraId="6DF27044" w14:textId="77777777" w:rsidR="00044246" w:rsidRPr="007C0716" w:rsidRDefault="00044246" w:rsidP="00312E88">
            <w:pPr>
              <w:jc w:val="right"/>
              <w:rPr>
                <w:rFonts w:cs="Arial"/>
                <w:color w:val="000000"/>
                <w:sz w:val="16"/>
                <w:szCs w:val="16"/>
              </w:rPr>
            </w:pPr>
            <w:r w:rsidRPr="007C0716">
              <w:rPr>
                <w:rFonts w:cs="Arial"/>
                <w:color w:val="000000"/>
                <w:sz w:val="16"/>
                <w:szCs w:val="16"/>
              </w:rPr>
              <w:t>31,077</w:t>
            </w:r>
          </w:p>
        </w:tc>
        <w:tc>
          <w:tcPr>
            <w:tcW w:w="649" w:type="pct"/>
            <w:tcBorders>
              <w:top w:val="nil"/>
              <w:left w:val="nil"/>
              <w:bottom w:val="single" w:sz="4" w:space="0" w:color="auto"/>
              <w:right w:val="nil"/>
            </w:tcBorders>
            <w:shd w:val="clear" w:color="auto" w:fill="auto"/>
            <w:noWrap/>
            <w:vAlign w:val="bottom"/>
            <w:hideMark/>
          </w:tcPr>
          <w:p w14:paraId="08C9C543" w14:textId="77777777" w:rsidR="00044246" w:rsidRPr="007C0716" w:rsidRDefault="00044246" w:rsidP="00312E88">
            <w:pPr>
              <w:jc w:val="right"/>
              <w:rPr>
                <w:rFonts w:cs="Arial"/>
                <w:color w:val="000000"/>
                <w:sz w:val="16"/>
                <w:szCs w:val="16"/>
              </w:rPr>
            </w:pPr>
            <w:r w:rsidRPr="007C0716">
              <w:rPr>
                <w:rFonts w:cs="Arial"/>
                <w:color w:val="000000"/>
                <w:sz w:val="16"/>
                <w:szCs w:val="16"/>
              </w:rPr>
              <w:t>43,893</w:t>
            </w:r>
          </w:p>
        </w:tc>
      </w:tr>
      <w:tr w:rsidR="00044246" w:rsidRPr="007C0716" w14:paraId="3F78781F" w14:textId="77777777" w:rsidTr="00044246">
        <w:trPr>
          <w:trHeight w:hRule="exact" w:val="255"/>
        </w:trPr>
        <w:tc>
          <w:tcPr>
            <w:tcW w:w="149" w:type="pct"/>
            <w:tcBorders>
              <w:top w:val="nil"/>
              <w:left w:val="nil"/>
              <w:bottom w:val="single" w:sz="4" w:space="0" w:color="auto"/>
              <w:right w:val="nil"/>
            </w:tcBorders>
            <w:shd w:val="clear" w:color="auto" w:fill="auto"/>
            <w:noWrap/>
            <w:vAlign w:val="bottom"/>
            <w:hideMark/>
          </w:tcPr>
          <w:p w14:paraId="2900891E" w14:textId="77777777" w:rsidR="00044246" w:rsidRPr="007C0716" w:rsidRDefault="00044246" w:rsidP="00312E88">
            <w:pPr>
              <w:rPr>
                <w:rFonts w:cs="Arial"/>
                <w:color w:val="000000"/>
                <w:sz w:val="16"/>
                <w:szCs w:val="16"/>
              </w:rPr>
            </w:pPr>
            <w:r w:rsidRPr="007C0716">
              <w:rPr>
                <w:rFonts w:cs="Arial"/>
                <w:color w:val="000000"/>
                <w:sz w:val="16"/>
                <w:szCs w:val="16"/>
              </w:rPr>
              <w:t>3</w:t>
            </w:r>
          </w:p>
        </w:tc>
        <w:tc>
          <w:tcPr>
            <w:tcW w:w="2904" w:type="pct"/>
            <w:tcBorders>
              <w:top w:val="nil"/>
              <w:left w:val="nil"/>
              <w:bottom w:val="single" w:sz="4" w:space="0" w:color="auto"/>
              <w:right w:val="nil"/>
            </w:tcBorders>
            <w:shd w:val="clear" w:color="auto" w:fill="auto"/>
            <w:noWrap/>
            <w:vAlign w:val="bottom"/>
            <w:hideMark/>
          </w:tcPr>
          <w:p w14:paraId="14991918" w14:textId="77777777" w:rsidR="00044246" w:rsidRPr="007C0716" w:rsidRDefault="00044246" w:rsidP="00312E88">
            <w:pPr>
              <w:rPr>
                <w:rFonts w:cs="Arial"/>
                <w:color w:val="000000"/>
                <w:sz w:val="16"/>
                <w:szCs w:val="16"/>
              </w:rPr>
            </w:pPr>
            <w:r w:rsidRPr="007C0716">
              <w:rPr>
                <w:rFonts w:cs="Arial"/>
                <w:color w:val="000000"/>
                <w:sz w:val="16"/>
                <w:szCs w:val="16"/>
              </w:rPr>
              <w:t>Intellectual disability new entrants hump for 17-22yrs</w:t>
            </w:r>
          </w:p>
        </w:tc>
        <w:tc>
          <w:tcPr>
            <w:tcW w:w="649" w:type="pct"/>
            <w:tcBorders>
              <w:top w:val="nil"/>
              <w:left w:val="nil"/>
              <w:bottom w:val="single" w:sz="4" w:space="0" w:color="auto"/>
              <w:right w:val="nil"/>
            </w:tcBorders>
            <w:shd w:val="clear" w:color="auto" w:fill="auto"/>
            <w:noWrap/>
            <w:vAlign w:val="bottom"/>
            <w:hideMark/>
          </w:tcPr>
          <w:p w14:paraId="50647559" w14:textId="77777777" w:rsidR="00044246" w:rsidRPr="007C0716" w:rsidRDefault="00044246" w:rsidP="00312E88">
            <w:pPr>
              <w:jc w:val="right"/>
              <w:rPr>
                <w:rFonts w:cs="Arial"/>
                <w:color w:val="000000"/>
                <w:sz w:val="16"/>
                <w:szCs w:val="16"/>
              </w:rPr>
            </w:pPr>
            <w:r w:rsidRPr="007C0716">
              <w:rPr>
                <w:rFonts w:cs="Arial"/>
                <w:color w:val="000000"/>
                <w:sz w:val="16"/>
                <w:szCs w:val="16"/>
              </w:rPr>
              <w:t>16,327</w:t>
            </w:r>
          </w:p>
        </w:tc>
        <w:tc>
          <w:tcPr>
            <w:tcW w:w="649" w:type="pct"/>
            <w:tcBorders>
              <w:top w:val="nil"/>
              <w:left w:val="nil"/>
              <w:bottom w:val="single" w:sz="4" w:space="0" w:color="auto"/>
              <w:right w:val="nil"/>
            </w:tcBorders>
            <w:shd w:val="clear" w:color="auto" w:fill="auto"/>
            <w:noWrap/>
            <w:vAlign w:val="bottom"/>
            <w:hideMark/>
          </w:tcPr>
          <w:p w14:paraId="38F6CA0C" w14:textId="77777777" w:rsidR="00044246" w:rsidRPr="007C0716" w:rsidRDefault="00044246" w:rsidP="00312E88">
            <w:pPr>
              <w:jc w:val="right"/>
              <w:rPr>
                <w:rFonts w:cs="Arial"/>
                <w:color w:val="000000"/>
                <w:sz w:val="16"/>
                <w:szCs w:val="16"/>
              </w:rPr>
            </w:pPr>
            <w:r w:rsidRPr="007C0716">
              <w:rPr>
                <w:rFonts w:cs="Arial"/>
                <w:color w:val="000000"/>
                <w:sz w:val="16"/>
                <w:szCs w:val="16"/>
              </w:rPr>
              <w:t>31,209</w:t>
            </w:r>
          </w:p>
        </w:tc>
        <w:tc>
          <w:tcPr>
            <w:tcW w:w="649" w:type="pct"/>
            <w:tcBorders>
              <w:top w:val="nil"/>
              <w:left w:val="nil"/>
              <w:bottom w:val="single" w:sz="4" w:space="0" w:color="auto"/>
              <w:right w:val="nil"/>
            </w:tcBorders>
            <w:shd w:val="clear" w:color="auto" w:fill="auto"/>
            <w:noWrap/>
            <w:vAlign w:val="bottom"/>
            <w:hideMark/>
          </w:tcPr>
          <w:p w14:paraId="6EB20BB8" w14:textId="77777777" w:rsidR="00044246" w:rsidRPr="007C0716" w:rsidRDefault="00044246" w:rsidP="00312E88">
            <w:pPr>
              <w:jc w:val="right"/>
              <w:rPr>
                <w:rFonts w:cs="Arial"/>
                <w:color w:val="000000"/>
                <w:sz w:val="16"/>
                <w:szCs w:val="16"/>
              </w:rPr>
            </w:pPr>
            <w:r w:rsidRPr="007C0716">
              <w:rPr>
                <w:rFonts w:cs="Arial"/>
                <w:color w:val="000000"/>
                <w:sz w:val="16"/>
                <w:szCs w:val="16"/>
              </w:rPr>
              <w:t>46,322</w:t>
            </w:r>
          </w:p>
        </w:tc>
      </w:tr>
      <w:tr w:rsidR="00044246" w:rsidRPr="007C0716" w14:paraId="33D998E2" w14:textId="77777777" w:rsidTr="00044246">
        <w:trPr>
          <w:trHeight w:hRule="exact" w:val="255"/>
        </w:trPr>
        <w:tc>
          <w:tcPr>
            <w:tcW w:w="149" w:type="pct"/>
            <w:tcBorders>
              <w:top w:val="nil"/>
              <w:left w:val="nil"/>
              <w:bottom w:val="nil"/>
              <w:right w:val="nil"/>
            </w:tcBorders>
            <w:shd w:val="clear" w:color="auto" w:fill="auto"/>
            <w:noWrap/>
            <w:vAlign w:val="bottom"/>
            <w:hideMark/>
          </w:tcPr>
          <w:p w14:paraId="0BA514DB" w14:textId="77777777" w:rsidR="00044246" w:rsidRPr="007C0716" w:rsidRDefault="00044246" w:rsidP="00312E88">
            <w:pPr>
              <w:rPr>
                <w:rFonts w:cs="Arial"/>
                <w:color w:val="000000"/>
                <w:sz w:val="16"/>
                <w:szCs w:val="16"/>
              </w:rPr>
            </w:pPr>
            <w:r w:rsidRPr="007C0716">
              <w:rPr>
                <w:rFonts w:cs="Arial"/>
                <w:color w:val="000000"/>
                <w:sz w:val="16"/>
                <w:szCs w:val="16"/>
              </w:rPr>
              <w:t>4a</w:t>
            </w:r>
          </w:p>
        </w:tc>
        <w:tc>
          <w:tcPr>
            <w:tcW w:w="2904" w:type="pct"/>
            <w:tcBorders>
              <w:top w:val="nil"/>
              <w:left w:val="nil"/>
              <w:bottom w:val="nil"/>
              <w:right w:val="nil"/>
            </w:tcBorders>
            <w:shd w:val="clear" w:color="auto" w:fill="auto"/>
            <w:noWrap/>
            <w:vAlign w:val="bottom"/>
            <w:hideMark/>
          </w:tcPr>
          <w:p w14:paraId="571DD5FF" w14:textId="49A6D546" w:rsidR="00044246" w:rsidRPr="007C0716" w:rsidRDefault="00044246" w:rsidP="0046598B">
            <w:pPr>
              <w:rPr>
                <w:rFonts w:cs="Arial"/>
                <w:color w:val="000000"/>
                <w:sz w:val="16"/>
                <w:szCs w:val="16"/>
              </w:rPr>
            </w:pPr>
            <w:r w:rsidRPr="007C0716">
              <w:rPr>
                <w:rFonts w:cs="Arial"/>
                <w:color w:val="000000"/>
                <w:sz w:val="16"/>
                <w:szCs w:val="16"/>
              </w:rPr>
              <w:t xml:space="preserve">Higher proportion of participants in </w:t>
            </w:r>
            <w:r w:rsidR="0046598B">
              <w:rPr>
                <w:rFonts w:cs="Arial"/>
                <w:color w:val="000000"/>
                <w:sz w:val="16"/>
                <w:szCs w:val="16"/>
              </w:rPr>
              <w:t>SIL</w:t>
            </w:r>
            <w:r w:rsidRPr="007C0716">
              <w:rPr>
                <w:rFonts w:cs="Arial"/>
                <w:color w:val="000000"/>
                <w:sz w:val="16"/>
                <w:szCs w:val="16"/>
              </w:rPr>
              <w:t xml:space="preserve"> over long term</w:t>
            </w:r>
          </w:p>
        </w:tc>
        <w:tc>
          <w:tcPr>
            <w:tcW w:w="649" w:type="pct"/>
            <w:tcBorders>
              <w:top w:val="nil"/>
              <w:left w:val="nil"/>
              <w:bottom w:val="nil"/>
              <w:right w:val="nil"/>
            </w:tcBorders>
            <w:shd w:val="clear" w:color="auto" w:fill="auto"/>
            <w:noWrap/>
            <w:vAlign w:val="bottom"/>
            <w:hideMark/>
          </w:tcPr>
          <w:p w14:paraId="2EA77992" w14:textId="77777777" w:rsidR="00044246" w:rsidRPr="007C0716" w:rsidRDefault="00044246" w:rsidP="00312E88">
            <w:pPr>
              <w:jc w:val="right"/>
              <w:rPr>
                <w:rFonts w:cs="Arial"/>
                <w:color w:val="000000"/>
                <w:sz w:val="16"/>
                <w:szCs w:val="16"/>
              </w:rPr>
            </w:pPr>
            <w:r w:rsidRPr="007C0716">
              <w:rPr>
                <w:rFonts w:cs="Arial"/>
                <w:color w:val="000000"/>
                <w:sz w:val="16"/>
                <w:szCs w:val="16"/>
              </w:rPr>
              <w:t>16,434</w:t>
            </w:r>
          </w:p>
        </w:tc>
        <w:tc>
          <w:tcPr>
            <w:tcW w:w="649" w:type="pct"/>
            <w:tcBorders>
              <w:top w:val="nil"/>
              <w:left w:val="nil"/>
              <w:bottom w:val="nil"/>
              <w:right w:val="nil"/>
            </w:tcBorders>
            <w:shd w:val="clear" w:color="auto" w:fill="auto"/>
            <w:noWrap/>
            <w:vAlign w:val="bottom"/>
            <w:hideMark/>
          </w:tcPr>
          <w:p w14:paraId="69EF9906" w14:textId="77777777" w:rsidR="00044246" w:rsidRPr="007C0716" w:rsidRDefault="00044246" w:rsidP="00312E88">
            <w:pPr>
              <w:jc w:val="right"/>
              <w:rPr>
                <w:rFonts w:cs="Arial"/>
                <w:color w:val="000000"/>
                <w:sz w:val="16"/>
                <w:szCs w:val="16"/>
              </w:rPr>
            </w:pPr>
            <w:r w:rsidRPr="007C0716">
              <w:rPr>
                <w:rFonts w:cs="Arial"/>
                <w:color w:val="000000"/>
                <w:sz w:val="16"/>
                <w:szCs w:val="16"/>
              </w:rPr>
              <w:t>32,930</w:t>
            </w:r>
          </w:p>
        </w:tc>
        <w:tc>
          <w:tcPr>
            <w:tcW w:w="649" w:type="pct"/>
            <w:tcBorders>
              <w:top w:val="nil"/>
              <w:left w:val="nil"/>
              <w:bottom w:val="nil"/>
              <w:right w:val="nil"/>
            </w:tcBorders>
            <w:shd w:val="clear" w:color="auto" w:fill="auto"/>
            <w:noWrap/>
            <w:vAlign w:val="bottom"/>
            <w:hideMark/>
          </w:tcPr>
          <w:p w14:paraId="27CE63DB" w14:textId="77777777" w:rsidR="00044246" w:rsidRPr="007C0716" w:rsidRDefault="00044246" w:rsidP="00312E88">
            <w:pPr>
              <w:jc w:val="right"/>
              <w:rPr>
                <w:rFonts w:cs="Arial"/>
                <w:color w:val="000000"/>
                <w:sz w:val="16"/>
                <w:szCs w:val="16"/>
              </w:rPr>
            </w:pPr>
            <w:r w:rsidRPr="007C0716">
              <w:rPr>
                <w:rFonts w:cs="Arial"/>
                <w:color w:val="000000"/>
                <w:sz w:val="16"/>
                <w:szCs w:val="16"/>
              </w:rPr>
              <w:t>48,951</w:t>
            </w:r>
          </w:p>
        </w:tc>
      </w:tr>
      <w:tr w:rsidR="00044246" w:rsidRPr="007C0716" w14:paraId="27B97098" w14:textId="77777777" w:rsidTr="00044246">
        <w:trPr>
          <w:trHeight w:hRule="exact" w:val="255"/>
        </w:trPr>
        <w:tc>
          <w:tcPr>
            <w:tcW w:w="149" w:type="pct"/>
            <w:tcBorders>
              <w:top w:val="nil"/>
              <w:left w:val="nil"/>
              <w:bottom w:val="nil"/>
              <w:right w:val="nil"/>
            </w:tcBorders>
            <w:shd w:val="clear" w:color="auto" w:fill="auto"/>
            <w:noWrap/>
            <w:vAlign w:val="bottom"/>
            <w:hideMark/>
          </w:tcPr>
          <w:p w14:paraId="3DCAE527" w14:textId="77777777" w:rsidR="00044246" w:rsidRPr="007C0716" w:rsidRDefault="00044246" w:rsidP="00312E88">
            <w:pPr>
              <w:rPr>
                <w:rFonts w:cs="Arial"/>
                <w:color w:val="000000"/>
                <w:sz w:val="16"/>
                <w:szCs w:val="16"/>
              </w:rPr>
            </w:pPr>
            <w:r w:rsidRPr="007C0716">
              <w:rPr>
                <w:rFonts w:cs="Arial"/>
                <w:color w:val="000000"/>
                <w:sz w:val="16"/>
                <w:szCs w:val="16"/>
              </w:rPr>
              <w:t>4b</w:t>
            </w:r>
          </w:p>
        </w:tc>
        <w:tc>
          <w:tcPr>
            <w:tcW w:w="2904" w:type="pct"/>
            <w:tcBorders>
              <w:top w:val="nil"/>
              <w:left w:val="nil"/>
              <w:bottom w:val="nil"/>
              <w:right w:val="nil"/>
            </w:tcBorders>
            <w:shd w:val="clear" w:color="auto" w:fill="auto"/>
            <w:noWrap/>
            <w:vAlign w:val="bottom"/>
            <w:hideMark/>
          </w:tcPr>
          <w:p w14:paraId="2BC5D4D9" w14:textId="77777777" w:rsidR="00044246" w:rsidRPr="007C0716" w:rsidRDefault="00044246" w:rsidP="00312E88">
            <w:pPr>
              <w:rPr>
                <w:rFonts w:cs="Arial"/>
                <w:color w:val="000000"/>
                <w:sz w:val="16"/>
                <w:szCs w:val="16"/>
              </w:rPr>
            </w:pPr>
            <w:r w:rsidRPr="007C0716">
              <w:rPr>
                <w:rFonts w:cs="Arial"/>
                <w:color w:val="000000"/>
                <w:sz w:val="16"/>
                <w:szCs w:val="16"/>
              </w:rPr>
              <w:t>Long term SIL reached over 20 years</w:t>
            </w:r>
          </w:p>
        </w:tc>
        <w:tc>
          <w:tcPr>
            <w:tcW w:w="649" w:type="pct"/>
            <w:tcBorders>
              <w:top w:val="nil"/>
              <w:left w:val="nil"/>
              <w:bottom w:val="nil"/>
              <w:right w:val="nil"/>
            </w:tcBorders>
            <w:shd w:val="clear" w:color="auto" w:fill="auto"/>
            <w:noWrap/>
            <w:vAlign w:val="bottom"/>
            <w:hideMark/>
          </w:tcPr>
          <w:p w14:paraId="5F834DD7" w14:textId="77777777" w:rsidR="00044246" w:rsidRPr="007C0716" w:rsidRDefault="00044246" w:rsidP="00312E88">
            <w:pPr>
              <w:jc w:val="right"/>
              <w:rPr>
                <w:rFonts w:cs="Arial"/>
                <w:color w:val="000000"/>
                <w:sz w:val="16"/>
                <w:szCs w:val="16"/>
              </w:rPr>
            </w:pPr>
            <w:r w:rsidRPr="007C0716">
              <w:rPr>
                <w:rFonts w:cs="Arial"/>
                <w:color w:val="000000"/>
                <w:sz w:val="16"/>
                <w:szCs w:val="16"/>
              </w:rPr>
              <w:t>16,302</w:t>
            </w:r>
          </w:p>
        </w:tc>
        <w:tc>
          <w:tcPr>
            <w:tcW w:w="649" w:type="pct"/>
            <w:tcBorders>
              <w:top w:val="nil"/>
              <w:left w:val="nil"/>
              <w:bottom w:val="nil"/>
              <w:right w:val="nil"/>
            </w:tcBorders>
            <w:shd w:val="clear" w:color="auto" w:fill="auto"/>
            <w:noWrap/>
            <w:vAlign w:val="bottom"/>
            <w:hideMark/>
          </w:tcPr>
          <w:p w14:paraId="4B4E161C" w14:textId="77777777" w:rsidR="00044246" w:rsidRPr="007C0716" w:rsidRDefault="00044246" w:rsidP="00312E88">
            <w:pPr>
              <w:jc w:val="right"/>
              <w:rPr>
                <w:rFonts w:cs="Arial"/>
                <w:color w:val="000000"/>
                <w:sz w:val="16"/>
                <w:szCs w:val="16"/>
              </w:rPr>
            </w:pPr>
            <w:r w:rsidRPr="007C0716">
              <w:rPr>
                <w:rFonts w:cs="Arial"/>
                <w:color w:val="000000"/>
                <w:sz w:val="16"/>
                <w:szCs w:val="16"/>
              </w:rPr>
              <w:t>30,331</w:t>
            </w:r>
          </w:p>
        </w:tc>
        <w:tc>
          <w:tcPr>
            <w:tcW w:w="649" w:type="pct"/>
            <w:tcBorders>
              <w:top w:val="nil"/>
              <w:left w:val="nil"/>
              <w:bottom w:val="nil"/>
              <w:right w:val="nil"/>
            </w:tcBorders>
            <w:shd w:val="clear" w:color="auto" w:fill="auto"/>
            <w:noWrap/>
            <w:vAlign w:val="bottom"/>
            <w:hideMark/>
          </w:tcPr>
          <w:p w14:paraId="0DB30452" w14:textId="77777777" w:rsidR="00044246" w:rsidRPr="007C0716" w:rsidRDefault="00044246" w:rsidP="00312E88">
            <w:pPr>
              <w:jc w:val="right"/>
              <w:rPr>
                <w:rFonts w:cs="Arial"/>
                <w:color w:val="000000"/>
                <w:sz w:val="16"/>
                <w:szCs w:val="16"/>
              </w:rPr>
            </w:pPr>
            <w:r w:rsidRPr="007C0716">
              <w:rPr>
                <w:rFonts w:cs="Arial"/>
                <w:color w:val="000000"/>
                <w:sz w:val="16"/>
                <w:szCs w:val="16"/>
              </w:rPr>
              <w:t>42,573</w:t>
            </w:r>
          </w:p>
        </w:tc>
      </w:tr>
      <w:tr w:rsidR="00044246" w:rsidRPr="007C0716" w14:paraId="6D8F967E" w14:textId="77777777" w:rsidTr="00044246">
        <w:trPr>
          <w:trHeight w:hRule="exact" w:val="255"/>
        </w:trPr>
        <w:tc>
          <w:tcPr>
            <w:tcW w:w="149" w:type="pct"/>
            <w:tcBorders>
              <w:top w:val="nil"/>
              <w:left w:val="nil"/>
              <w:bottom w:val="single" w:sz="4" w:space="0" w:color="auto"/>
              <w:right w:val="nil"/>
            </w:tcBorders>
            <w:shd w:val="clear" w:color="auto" w:fill="auto"/>
            <w:noWrap/>
            <w:vAlign w:val="bottom"/>
            <w:hideMark/>
          </w:tcPr>
          <w:p w14:paraId="1021308B" w14:textId="77777777" w:rsidR="00044246" w:rsidRPr="007C0716" w:rsidRDefault="00044246" w:rsidP="00312E88">
            <w:pPr>
              <w:rPr>
                <w:rFonts w:cs="Arial"/>
                <w:color w:val="000000"/>
                <w:sz w:val="16"/>
                <w:szCs w:val="16"/>
              </w:rPr>
            </w:pPr>
            <w:r w:rsidRPr="007C0716">
              <w:rPr>
                <w:rFonts w:cs="Arial"/>
                <w:color w:val="000000"/>
                <w:sz w:val="16"/>
                <w:szCs w:val="16"/>
              </w:rPr>
              <w:t>4c</w:t>
            </w:r>
          </w:p>
        </w:tc>
        <w:tc>
          <w:tcPr>
            <w:tcW w:w="2904" w:type="pct"/>
            <w:tcBorders>
              <w:top w:val="nil"/>
              <w:left w:val="nil"/>
              <w:bottom w:val="single" w:sz="4" w:space="0" w:color="auto"/>
              <w:right w:val="nil"/>
            </w:tcBorders>
            <w:shd w:val="clear" w:color="auto" w:fill="auto"/>
            <w:noWrap/>
            <w:vAlign w:val="bottom"/>
            <w:hideMark/>
          </w:tcPr>
          <w:p w14:paraId="644FF63F" w14:textId="77777777" w:rsidR="00044246" w:rsidRPr="007C0716" w:rsidRDefault="00044246" w:rsidP="00312E88">
            <w:pPr>
              <w:rPr>
                <w:rFonts w:cs="Arial"/>
                <w:color w:val="000000"/>
                <w:sz w:val="16"/>
                <w:szCs w:val="16"/>
              </w:rPr>
            </w:pPr>
            <w:r w:rsidRPr="007C0716">
              <w:rPr>
                <w:rFonts w:cs="Arial"/>
                <w:color w:val="000000"/>
                <w:sz w:val="16"/>
                <w:szCs w:val="16"/>
              </w:rPr>
              <w:t>SIL cost innovation</w:t>
            </w:r>
          </w:p>
        </w:tc>
        <w:tc>
          <w:tcPr>
            <w:tcW w:w="649" w:type="pct"/>
            <w:tcBorders>
              <w:top w:val="nil"/>
              <w:left w:val="nil"/>
              <w:bottom w:val="single" w:sz="4" w:space="0" w:color="auto"/>
              <w:right w:val="nil"/>
            </w:tcBorders>
            <w:shd w:val="clear" w:color="auto" w:fill="auto"/>
            <w:noWrap/>
            <w:vAlign w:val="bottom"/>
            <w:hideMark/>
          </w:tcPr>
          <w:p w14:paraId="6AA6C01A" w14:textId="77777777" w:rsidR="00044246" w:rsidRPr="007C0716" w:rsidRDefault="00044246" w:rsidP="00312E88">
            <w:pPr>
              <w:jc w:val="right"/>
              <w:rPr>
                <w:rFonts w:cs="Arial"/>
                <w:color w:val="000000"/>
                <w:sz w:val="16"/>
                <w:szCs w:val="16"/>
              </w:rPr>
            </w:pPr>
            <w:r w:rsidRPr="007C0716">
              <w:rPr>
                <w:rFonts w:cs="Arial"/>
                <w:color w:val="000000"/>
                <w:sz w:val="16"/>
                <w:szCs w:val="16"/>
              </w:rPr>
              <w:t>14,874</w:t>
            </w:r>
          </w:p>
        </w:tc>
        <w:tc>
          <w:tcPr>
            <w:tcW w:w="649" w:type="pct"/>
            <w:tcBorders>
              <w:top w:val="nil"/>
              <w:left w:val="nil"/>
              <w:bottom w:val="single" w:sz="4" w:space="0" w:color="auto"/>
              <w:right w:val="nil"/>
            </w:tcBorders>
            <w:shd w:val="clear" w:color="auto" w:fill="auto"/>
            <w:noWrap/>
            <w:vAlign w:val="bottom"/>
            <w:hideMark/>
          </w:tcPr>
          <w:p w14:paraId="1A2490E5" w14:textId="77777777" w:rsidR="00044246" w:rsidRPr="007C0716" w:rsidRDefault="00044246" w:rsidP="00312E88">
            <w:pPr>
              <w:jc w:val="right"/>
              <w:rPr>
                <w:rFonts w:cs="Arial"/>
                <w:color w:val="000000"/>
                <w:sz w:val="16"/>
                <w:szCs w:val="16"/>
              </w:rPr>
            </w:pPr>
            <w:r w:rsidRPr="007C0716">
              <w:rPr>
                <w:rFonts w:cs="Arial"/>
                <w:color w:val="000000"/>
                <w:sz w:val="16"/>
                <w:szCs w:val="16"/>
              </w:rPr>
              <w:t>27,978</w:t>
            </w:r>
          </w:p>
        </w:tc>
        <w:tc>
          <w:tcPr>
            <w:tcW w:w="649" w:type="pct"/>
            <w:tcBorders>
              <w:top w:val="nil"/>
              <w:left w:val="nil"/>
              <w:bottom w:val="single" w:sz="4" w:space="0" w:color="auto"/>
              <w:right w:val="nil"/>
            </w:tcBorders>
            <w:shd w:val="clear" w:color="auto" w:fill="auto"/>
            <w:noWrap/>
            <w:vAlign w:val="bottom"/>
            <w:hideMark/>
          </w:tcPr>
          <w:p w14:paraId="07D766CE" w14:textId="77777777" w:rsidR="00044246" w:rsidRPr="007C0716" w:rsidRDefault="00044246" w:rsidP="00312E88">
            <w:pPr>
              <w:jc w:val="right"/>
              <w:rPr>
                <w:rFonts w:cs="Arial"/>
                <w:color w:val="000000"/>
                <w:sz w:val="16"/>
                <w:szCs w:val="16"/>
              </w:rPr>
            </w:pPr>
            <w:r w:rsidRPr="007C0716">
              <w:rPr>
                <w:rFonts w:cs="Arial"/>
                <w:color w:val="000000"/>
                <w:sz w:val="16"/>
                <w:szCs w:val="16"/>
              </w:rPr>
              <w:t>39,510</w:t>
            </w:r>
          </w:p>
        </w:tc>
      </w:tr>
      <w:tr w:rsidR="00044246" w:rsidRPr="007C0716" w14:paraId="25AD3332" w14:textId="77777777" w:rsidTr="00044246">
        <w:trPr>
          <w:trHeight w:hRule="exact" w:val="255"/>
        </w:trPr>
        <w:tc>
          <w:tcPr>
            <w:tcW w:w="149" w:type="pct"/>
            <w:tcBorders>
              <w:top w:val="nil"/>
              <w:left w:val="nil"/>
              <w:bottom w:val="single" w:sz="4" w:space="0" w:color="auto"/>
              <w:right w:val="nil"/>
            </w:tcBorders>
            <w:shd w:val="clear" w:color="auto" w:fill="auto"/>
            <w:noWrap/>
            <w:vAlign w:val="bottom"/>
            <w:hideMark/>
          </w:tcPr>
          <w:p w14:paraId="388D5FAD" w14:textId="77777777" w:rsidR="00044246" w:rsidRPr="007C0716" w:rsidRDefault="00044246" w:rsidP="00312E88">
            <w:pPr>
              <w:rPr>
                <w:rFonts w:cs="Arial"/>
                <w:color w:val="000000"/>
                <w:sz w:val="16"/>
                <w:szCs w:val="16"/>
              </w:rPr>
            </w:pPr>
            <w:r w:rsidRPr="007C0716">
              <w:rPr>
                <w:rFonts w:cs="Arial"/>
                <w:color w:val="000000"/>
                <w:sz w:val="16"/>
                <w:szCs w:val="16"/>
              </w:rPr>
              <w:t>5</w:t>
            </w:r>
          </w:p>
        </w:tc>
        <w:tc>
          <w:tcPr>
            <w:tcW w:w="2904" w:type="pct"/>
            <w:tcBorders>
              <w:top w:val="nil"/>
              <w:left w:val="nil"/>
              <w:bottom w:val="single" w:sz="4" w:space="0" w:color="auto"/>
              <w:right w:val="nil"/>
            </w:tcBorders>
            <w:shd w:val="clear" w:color="auto" w:fill="auto"/>
            <w:noWrap/>
            <w:vAlign w:val="bottom"/>
            <w:hideMark/>
          </w:tcPr>
          <w:p w14:paraId="229C4C16" w14:textId="77777777" w:rsidR="00044246" w:rsidRPr="007C0716" w:rsidRDefault="00044246" w:rsidP="00312E88">
            <w:pPr>
              <w:rPr>
                <w:rFonts w:cs="Arial"/>
                <w:color w:val="000000"/>
                <w:sz w:val="16"/>
                <w:szCs w:val="16"/>
              </w:rPr>
            </w:pPr>
            <w:r w:rsidRPr="007C0716">
              <w:rPr>
                <w:rFonts w:cs="Arial"/>
                <w:color w:val="000000"/>
                <w:sz w:val="16"/>
                <w:szCs w:val="16"/>
              </w:rPr>
              <w:t>85%/100% utilisation rate for non-SIL/SIL respectively</w:t>
            </w:r>
          </w:p>
        </w:tc>
        <w:tc>
          <w:tcPr>
            <w:tcW w:w="649" w:type="pct"/>
            <w:tcBorders>
              <w:top w:val="nil"/>
              <w:left w:val="nil"/>
              <w:bottom w:val="single" w:sz="4" w:space="0" w:color="auto"/>
              <w:right w:val="nil"/>
            </w:tcBorders>
            <w:shd w:val="clear" w:color="auto" w:fill="auto"/>
            <w:noWrap/>
            <w:vAlign w:val="bottom"/>
            <w:hideMark/>
          </w:tcPr>
          <w:p w14:paraId="611FB278" w14:textId="77777777" w:rsidR="00044246" w:rsidRPr="007C0716" w:rsidRDefault="00044246" w:rsidP="00312E88">
            <w:pPr>
              <w:jc w:val="right"/>
              <w:rPr>
                <w:rFonts w:cs="Arial"/>
                <w:color w:val="000000"/>
                <w:sz w:val="16"/>
                <w:szCs w:val="16"/>
              </w:rPr>
            </w:pPr>
            <w:r w:rsidRPr="007C0716">
              <w:rPr>
                <w:rFonts w:cs="Arial"/>
                <w:color w:val="000000"/>
                <w:sz w:val="16"/>
                <w:szCs w:val="16"/>
              </w:rPr>
              <w:t>19,380</w:t>
            </w:r>
          </w:p>
        </w:tc>
        <w:tc>
          <w:tcPr>
            <w:tcW w:w="649" w:type="pct"/>
            <w:tcBorders>
              <w:top w:val="nil"/>
              <w:left w:val="nil"/>
              <w:bottom w:val="single" w:sz="4" w:space="0" w:color="auto"/>
              <w:right w:val="nil"/>
            </w:tcBorders>
            <w:shd w:val="clear" w:color="auto" w:fill="auto"/>
            <w:noWrap/>
            <w:vAlign w:val="bottom"/>
            <w:hideMark/>
          </w:tcPr>
          <w:p w14:paraId="180E9491" w14:textId="77777777" w:rsidR="00044246" w:rsidRPr="007C0716" w:rsidRDefault="00044246" w:rsidP="00312E88">
            <w:pPr>
              <w:jc w:val="right"/>
              <w:rPr>
                <w:rFonts w:cs="Arial"/>
                <w:color w:val="000000"/>
                <w:sz w:val="16"/>
                <w:szCs w:val="16"/>
              </w:rPr>
            </w:pPr>
            <w:r w:rsidRPr="007C0716">
              <w:rPr>
                <w:rFonts w:cs="Arial"/>
                <w:color w:val="000000"/>
                <w:sz w:val="16"/>
                <w:szCs w:val="16"/>
              </w:rPr>
              <w:t>34,844</w:t>
            </w:r>
          </w:p>
        </w:tc>
        <w:tc>
          <w:tcPr>
            <w:tcW w:w="649" w:type="pct"/>
            <w:tcBorders>
              <w:top w:val="nil"/>
              <w:left w:val="nil"/>
              <w:bottom w:val="single" w:sz="4" w:space="0" w:color="auto"/>
              <w:right w:val="nil"/>
            </w:tcBorders>
            <w:shd w:val="clear" w:color="auto" w:fill="auto"/>
            <w:noWrap/>
            <w:vAlign w:val="bottom"/>
            <w:hideMark/>
          </w:tcPr>
          <w:p w14:paraId="02663288" w14:textId="77777777" w:rsidR="00044246" w:rsidRPr="007C0716" w:rsidRDefault="00044246" w:rsidP="00312E88">
            <w:pPr>
              <w:jc w:val="right"/>
              <w:rPr>
                <w:rFonts w:cs="Arial"/>
                <w:color w:val="000000"/>
                <w:sz w:val="16"/>
                <w:szCs w:val="16"/>
              </w:rPr>
            </w:pPr>
            <w:r w:rsidRPr="007C0716">
              <w:rPr>
                <w:rFonts w:cs="Arial"/>
                <w:color w:val="000000"/>
                <w:sz w:val="16"/>
                <w:szCs w:val="16"/>
              </w:rPr>
              <w:t>49,343</w:t>
            </w:r>
          </w:p>
        </w:tc>
      </w:tr>
      <w:tr w:rsidR="00044246" w:rsidRPr="007C0716" w14:paraId="171F178F" w14:textId="77777777" w:rsidTr="00044246">
        <w:trPr>
          <w:trHeight w:hRule="exact" w:val="255"/>
        </w:trPr>
        <w:tc>
          <w:tcPr>
            <w:tcW w:w="149" w:type="pct"/>
            <w:tcBorders>
              <w:top w:val="nil"/>
              <w:left w:val="nil"/>
              <w:bottom w:val="nil"/>
              <w:right w:val="nil"/>
            </w:tcBorders>
            <w:shd w:val="clear" w:color="auto" w:fill="auto"/>
            <w:noWrap/>
            <w:vAlign w:val="bottom"/>
            <w:hideMark/>
          </w:tcPr>
          <w:p w14:paraId="0091C9F4" w14:textId="77777777" w:rsidR="00044246" w:rsidRPr="007C0716" w:rsidRDefault="00044246" w:rsidP="00312E88">
            <w:pPr>
              <w:rPr>
                <w:rFonts w:cs="Arial"/>
                <w:color w:val="000000"/>
                <w:sz w:val="16"/>
                <w:szCs w:val="16"/>
              </w:rPr>
            </w:pPr>
            <w:r w:rsidRPr="007C0716">
              <w:rPr>
                <w:rFonts w:cs="Arial"/>
                <w:color w:val="000000"/>
                <w:sz w:val="16"/>
                <w:szCs w:val="16"/>
              </w:rPr>
              <w:t>6a</w:t>
            </w:r>
          </w:p>
        </w:tc>
        <w:tc>
          <w:tcPr>
            <w:tcW w:w="2904" w:type="pct"/>
            <w:tcBorders>
              <w:top w:val="nil"/>
              <w:left w:val="nil"/>
              <w:bottom w:val="nil"/>
              <w:right w:val="nil"/>
            </w:tcBorders>
            <w:shd w:val="clear" w:color="auto" w:fill="auto"/>
            <w:noWrap/>
            <w:vAlign w:val="bottom"/>
            <w:hideMark/>
          </w:tcPr>
          <w:p w14:paraId="73FD5660" w14:textId="30A59C76" w:rsidR="00044246" w:rsidRPr="007C0716" w:rsidRDefault="00044246" w:rsidP="00312E88">
            <w:pPr>
              <w:rPr>
                <w:rFonts w:cs="Arial"/>
                <w:color w:val="000000"/>
                <w:sz w:val="16"/>
                <w:szCs w:val="16"/>
              </w:rPr>
            </w:pPr>
            <w:r w:rsidRPr="007C0716">
              <w:rPr>
                <w:rFonts w:cs="Arial"/>
                <w:color w:val="000000"/>
                <w:sz w:val="16"/>
                <w:szCs w:val="16"/>
              </w:rPr>
              <w:t>Tra</w:t>
            </w:r>
            <w:r w:rsidR="0046598B">
              <w:rPr>
                <w:rFonts w:cs="Arial"/>
                <w:color w:val="000000"/>
                <w:sz w:val="16"/>
                <w:szCs w:val="16"/>
              </w:rPr>
              <w:t>n</w:t>
            </w:r>
            <w:r w:rsidRPr="007C0716">
              <w:rPr>
                <w:rFonts w:cs="Arial"/>
                <w:color w:val="000000"/>
                <w:sz w:val="16"/>
                <w:szCs w:val="16"/>
              </w:rPr>
              <w:t xml:space="preserve">sport policy: Strict tightened </w:t>
            </w:r>
            <w:r w:rsidR="0046598B" w:rsidRPr="007C0716">
              <w:rPr>
                <w:rFonts w:cs="Arial"/>
                <w:color w:val="000000"/>
                <w:sz w:val="16"/>
                <w:szCs w:val="16"/>
              </w:rPr>
              <w:t>eligibility</w:t>
            </w:r>
            <w:r w:rsidRPr="007C0716">
              <w:rPr>
                <w:rFonts w:cs="Arial"/>
                <w:color w:val="000000"/>
                <w:sz w:val="16"/>
                <w:szCs w:val="16"/>
              </w:rPr>
              <w:t xml:space="preserve"> </w:t>
            </w:r>
          </w:p>
        </w:tc>
        <w:tc>
          <w:tcPr>
            <w:tcW w:w="649" w:type="pct"/>
            <w:tcBorders>
              <w:top w:val="nil"/>
              <w:left w:val="nil"/>
              <w:bottom w:val="nil"/>
              <w:right w:val="nil"/>
            </w:tcBorders>
            <w:shd w:val="clear" w:color="auto" w:fill="auto"/>
            <w:noWrap/>
            <w:vAlign w:val="bottom"/>
            <w:hideMark/>
          </w:tcPr>
          <w:p w14:paraId="58E79EAE" w14:textId="77777777" w:rsidR="00044246" w:rsidRPr="007C0716" w:rsidRDefault="00044246" w:rsidP="00312E88">
            <w:pPr>
              <w:jc w:val="right"/>
              <w:rPr>
                <w:rFonts w:cs="Arial"/>
                <w:color w:val="000000"/>
                <w:sz w:val="16"/>
                <w:szCs w:val="16"/>
              </w:rPr>
            </w:pPr>
            <w:r w:rsidRPr="007C0716">
              <w:rPr>
                <w:rFonts w:cs="Arial"/>
                <w:color w:val="000000"/>
                <w:sz w:val="16"/>
                <w:szCs w:val="16"/>
              </w:rPr>
              <w:t>16,125</w:t>
            </w:r>
          </w:p>
        </w:tc>
        <w:tc>
          <w:tcPr>
            <w:tcW w:w="649" w:type="pct"/>
            <w:tcBorders>
              <w:top w:val="nil"/>
              <w:left w:val="nil"/>
              <w:bottom w:val="nil"/>
              <w:right w:val="nil"/>
            </w:tcBorders>
            <w:shd w:val="clear" w:color="auto" w:fill="auto"/>
            <w:noWrap/>
            <w:vAlign w:val="bottom"/>
            <w:hideMark/>
          </w:tcPr>
          <w:p w14:paraId="48BF5DB1" w14:textId="77777777" w:rsidR="00044246" w:rsidRPr="007C0716" w:rsidRDefault="00044246" w:rsidP="00312E88">
            <w:pPr>
              <w:jc w:val="right"/>
              <w:rPr>
                <w:rFonts w:cs="Arial"/>
                <w:color w:val="000000"/>
                <w:sz w:val="16"/>
                <w:szCs w:val="16"/>
              </w:rPr>
            </w:pPr>
            <w:r w:rsidRPr="007C0716">
              <w:rPr>
                <w:rFonts w:cs="Arial"/>
                <w:color w:val="000000"/>
                <w:sz w:val="16"/>
                <w:szCs w:val="16"/>
              </w:rPr>
              <w:t>30,469</w:t>
            </w:r>
          </w:p>
        </w:tc>
        <w:tc>
          <w:tcPr>
            <w:tcW w:w="649" w:type="pct"/>
            <w:tcBorders>
              <w:top w:val="nil"/>
              <w:left w:val="nil"/>
              <w:bottom w:val="nil"/>
              <w:right w:val="nil"/>
            </w:tcBorders>
            <w:shd w:val="clear" w:color="auto" w:fill="auto"/>
            <w:noWrap/>
            <w:vAlign w:val="bottom"/>
            <w:hideMark/>
          </w:tcPr>
          <w:p w14:paraId="707A1907" w14:textId="77777777" w:rsidR="00044246" w:rsidRPr="007C0716" w:rsidRDefault="00044246" w:rsidP="00312E88">
            <w:pPr>
              <w:jc w:val="right"/>
              <w:rPr>
                <w:rFonts w:cs="Arial"/>
                <w:color w:val="000000"/>
                <w:sz w:val="16"/>
                <w:szCs w:val="16"/>
              </w:rPr>
            </w:pPr>
            <w:r w:rsidRPr="007C0716">
              <w:rPr>
                <w:rFonts w:cs="Arial"/>
                <w:color w:val="000000"/>
                <w:sz w:val="16"/>
                <w:szCs w:val="16"/>
              </w:rPr>
              <w:t>43,215</w:t>
            </w:r>
          </w:p>
        </w:tc>
      </w:tr>
      <w:tr w:rsidR="00044246" w:rsidRPr="007C0716" w14:paraId="5AE3B1CC" w14:textId="77777777" w:rsidTr="00044246">
        <w:trPr>
          <w:trHeight w:hRule="exact" w:val="255"/>
        </w:trPr>
        <w:tc>
          <w:tcPr>
            <w:tcW w:w="149" w:type="pct"/>
            <w:tcBorders>
              <w:top w:val="nil"/>
              <w:left w:val="nil"/>
              <w:bottom w:val="nil"/>
              <w:right w:val="nil"/>
            </w:tcBorders>
            <w:shd w:val="clear" w:color="auto" w:fill="auto"/>
            <w:noWrap/>
            <w:vAlign w:val="bottom"/>
            <w:hideMark/>
          </w:tcPr>
          <w:p w14:paraId="1ED77FB9" w14:textId="77777777" w:rsidR="00044246" w:rsidRPr="007C0716" w:rsidRDefault="00044246" w:rsidP="00312E88">
            <w:pPr>
              <w:rPr>
                <w:rFonts w:cs="Arial"/>
                <w:color w:val="000000"/>
                <w:sz w:val="16"/>
                <w:szCs w:val="16"/>
              </w:rPr>
            </w:pPr>
            <w:r w:rsidRPr="007C0716">
              <w:rPr>
                <w:rFonts w:cs="Arial"/>
                <w:color w:val="000000"/>
                <w:sz w:val="16"/>
                <w:szCs w:val="16"/>
              </w:rPr>
              <w:t>6b</w:t>
            </w:r>
          </w:p>
        </w:tc>
        <w:tc>
          <w:tcPr>
            <w:tcW w:w="2904" w:type="pct"/>
            <w:tcBorders>
              <w:top w:val="nil"/>
              <w:left w:val="nil"/>
              <w:bottom w:val="nil"/>
              <w:right w:val="nil"/>
            </w:tcBorders>
            <w:shd w:val="clear" w:color="auto" w:fill="auto"/>
            <w:noWrap/>
            <w:vAlign w:val="bottom"/>
            <w:hideMark/>
          </w:tcPr>
          <w:p w14:paraId="4C4BAD94" w14:textId="77777777" w:rsidR="00044246" w:rsidRPr="007C0716" w:rsidRDefault="00044246" w:rsidP="00312E88">
            <w:pPr>
              <w:rPr>
                <w:rFonts w:cs="Arial"/>
                <w:color w:val="000000"/>
                <w:sz w:val="16"/>
                <w:szCs w:val="16"/>
              </w:rPr>
            </w:pPr>
            <w:r w:rsidRPr="007C0716">
              <w:rPr>
                <w:rFonts w:cs="Arial"/>
                <w:color w:val="000000"/>
                <w:sz w:val="16"/>
                <w:szCs w:val="16"/>
              </w:rPr>
              <w:t>Transport policy: tightened eligibility &amp;increased budget</w:t>
            </w:r>
          </w:p>
        </w:tc>
        <w:tc>
          <w:tcPr>
            <w:tcW w:w="649" w:type="pct"/>
            <w:tcBorders>
              <w:top w:val="nil"/>
              <w:left w:val="nil"/>
              <w:bottom w:val="nil"/>
              <w:right w:val="nil"/>
            </w:tcBorders>
            <w:shd w:val="clear" w:color="auto" w:fill="auto"/>
            <w:noWrap/>
            <w:vAlign w:val="bottom"/>
            <w:hideMark/>
          </w:tcPr>
          <w:p w14:paraId="0E4EEAA6" w14:textId="77777777" w:rsidR="00044246" w:rsidRPr="007C0716" w:rsidRDefault="00044246" w:rsidP="00312E88">
            <w:pPr>
              <w:jc w:val="right"/>
              <w:rPr>
                <w:rFonts w:cs="Arial"/>
                <w:color w:val="000000"/>
                <w:sz w:val="16"/>
                <w:szCs w:val="16"/>
              </w:rPr>
            </w:pPr>
            <w:r w:rsidRPr="007C0716">
              <w:rPr>
                <w:rFonts w:cs="Arial"/>
                <w:color w:val="000000"/>
                <w:sz w:val="16"/>
                <w:szCs w:val="16"/>
              </w:rPr>
              <w:t>16,454</w:t>
            </w:r>
          </w:p>
        </w:tc>
        <w:tc>
          <w:tcPr>
            <w:tcW w:w="649" w:type="pct"/>
            <w:tcBorders>
              <w:top w:val="nil"/>
              <w:left w:val="nil"/>
              <w:bottom w:val="nil"/>
              <w:right w:val="nil"/>
            </w:tcBorders>
            <w:shd w:val="clear" w:color="auto" w:fill="auto"/>
            <w:noWrap/>
            <w:vAlign w:val="bottom"/>
            <w:hideMark/>
          </w:tcPr>
          <w:p w14:paraId="048C9AA8" w14:textId="77777777" w:rsidR="00044246" w:rsidRPr="007C0716" w:rsidRDefault="00044246" w:rsidP="00312E88">
            <w:pPr>
              <w:jc w:val="right"/>
              <w:rPr>
                <w:rFonts w:cs="Arial"/>
                <w:color w:val="000000"/>
                <w:sz w:val="16"/>
                <w:szCs w:val="16"/>
              </w:rPr>
            </w:pPr>
            <w:r w:rsidRPr="007C0716">
              <w:rPr>
                <w:rFonts w:cs="Arial"/>
                <w:color w:val="000000"/>
                <w:sz w:val="16"/>
                <w:szCs w:val="16"/>
              </w:rPr>
              <w:t>31,041</w:t>
            </w:r>
          </w:p>
        </w:tc>
        <w:tc>
          <w:tcPr>
            <w:tcW w:w="649" w:type="pct"/>
            <w:tcBorders>
              <w:top w:val="nil"/>
              <w:left w:val="nil"/>
              <w:bottom w:val="nil"/>
              <w:right w:val="nil"/>
            </w:tcBorders>
            <w:shd w:val="clear" w:color="auto" w:fill="auto"/>
            <w:noWrap/>
            <w:vAlign w:val="bottom"/>
            <w:hideMark/>
          </w:tcPr>
          <w:p w14:paraId="2115C2ED" w14:textId="77777777" w:rsidR="00044246" w:rsidRPr="007C0716" w:rsidRDefault="00044246" w:rsidP="00312E88">
            <w:pPr>
              <w:jc w:val="right"/>
              <w:rPr>
                <w:rFonts w:cs="Arial"/>
                <w:color w:val="000000"/>
                <w:sz w:val="16"/>
                <w:szCs w:val="16"/>
              </w:rPr>
            </w:pPr>
            <w:r w:rsidRPr="007C0716">
              <w:rPr>
                <w:rFonts w:cs="Arial"/>
                <w:color w:val="000000"/>
                <w:sz w:val="16"/>
                <w:szCs w:val="16"/>
              </w:rPr>
              <w:t>44,043</w:t>
            </w:r>
          </w:p>
        </w:tc>
      </w:tr>
      <w:tr w:rsidR="00044246" w:rsidRPr="007C0716" w14:paraId="513A79F4" w14:textId="77777777" w:rsidTr="00044246">
        <w:trPr>
          <w:trHeight w:hRule="exact" w:val="255"/>
        </w:trPr>
        <w:tc>
          <w:tcPr>
            <w:tcW w:w="149" w:type="pct"/>
            <w:tcBorders>
              <w:top w:val="nil"/>
              <w:left w:val="nil"/>
              <w:bottom w:val="single" w:sz="4" w:space="0" w:color="auto"/>
              <w:right w:val="nil"/>
            </w:tcBorders>
            <w:shd w:val="clear" w:color="auto" w:fill="auto"/>
            <w:noWrap/>
            <w:vAlign w:val="bottom"/>
            <w:hideMark/>
          </w:tcPr>
          <w:p w14:paraId="6C28C5AF" w14:textId="77777777" w:rsidR="00044246" w:rsidRPr="007C0716" w:rsidRDefault="00044246" w:rsidP="00312E88">
            <w:pPr>
              <w:rPr>
                <w:rFonts w:cs="Arial"/>
                <w:color w:val="000000"/>
                <w:sz w:val="16"/>
                <w:szCs w:val="16"/>
              </w:rPr>
            </w:pPr>
            <w:r w:rsidRPr="007C0716">
              <w:rPr>
                <w:rFonts w:cs="Arial"/>
                <w:color w:val="000000"/>
                <w:sz w:val="16"/>
                <w:szCs w:val="16"/>
              </w:rPr>
              <w:t>6c</w:t>
            </w:r>
          </w:p>
        </w:tc>
        <w:tc>
          <w:tcPr>
            <w:tcW w:w="2904" w:type="pct"/>
            <w:tcBorders>
              <w:top w:val="nil"/>
              <w:left w:val="nil"/>
              <w:bottom w:val="single" w:sz="4" w:space="0" w:color="auto"/>
              <w:right w:val="nil"/>
            </w:tcBorders>
            <w:shd w:val="clear" w:color="auto" w:fill="auto"/>
            <w:noWrap/>
            <w:vAlign w:val="bottom"/>
            <w:hideMark/>
          </w:tcPr>
          <w:p w14:paraId="7334BDF6" w14:textId="77777777" w:rsidR="00044246" w:rsidRPr="007C0716" w:rsidRDefault="00044246" w:rsidP="00312E88">
            <w:pPr>
              <w:rPr>
                <w:rFonts w:cs="Arial"/>
                <w:color w:val="000000"/>
                <w:sz w:val="16"/>
                <w:szCs w:val="16"/>
              </w:rPr>
            </w:pPr>
            <w:r w:rsidRPr="007C0716">
              <w:rPr>
                <w:rFonts w:cs="Arial"/>
                <w:color w:val="000000"/>
                <w:sz w:val="16"/>
                <w:szCs w:val="16"/>
              </w:rPr>
              <w:t>Transport policy: tightened eligibility &amp; bottom up approach</w:t>
            </w:r>
          </w:p>
        </w:tc>
        <w:tc>
          <w:tcPr>
            <w:tcW w:w="649" w:type="pct"/>
            <w:tcBorders>
              <w:top w:val="nil"/>
              <w:left w:val="nil"/>
              <w:bottom w:val="single" w:sz="4" w:space="0" w:color="auto"/>
              <w:right w:val="nil"/>
            </w:tcBorders>
            <w:shd w:val="clear" w:color="auto" w:fill="auto"/>
            <w:noWrap/>
            <w:vAlign w:val="bottom"/>
            <w:hideMark/>
          </w:tcPr>
          <w:p w14:paraId="49687C14" w14:textId="77777777" w:rsidR="00044246" w:rsidRPr="007C0716" w:rsidRDefault="00044246" w:rsidP="00312E88">
            <w:pPr>
              <w:jc w:val="right"/>
              <w:rPr>
                <w:rFonts w:cs="Arial"/>
                <w:color w:val="000000"/>
                <w:sz w:val="16"/>
                <w:szCs w:val="16"/>
              </w:rPr>
            </w:pPr>
            <w:r w:rsidRPr="007C0716">
              <w:rPr>
                <w:rFonts w:cs="Arial"/>
                <w:color w:val="000000"/>
                <w:sz w:val="16"/>
                <w:szCs w:val="16"/>
              </w:rPr>
              <w:t>18,800</w:t>
            </w:r>
          </w:p>
        </w:tc>
        <w:tc>
          <w:tcPr>
            <w:tcW w:w="649" w:type="pct"/>
            <w:tcBorders>
              <w:top w:val="nil"/>
              <w:left w:val="nil"/>
              <w:bottom w:val="single" w:sz="4" w:space="0" w:color="auto"/>
              <w:right w:val="nil"/>
            </w:tcBorders>
            <w:shd w:val="clear" w:color="auto" w:fill="auto"/>
            <w:noWrap/>
            <w:vAlign w:val="bottom"/>
            <w:hideMark/>
          </w:tcPr>
          <w:p w14:paraId="486CF2E4" w14:textId="77777777" w:rsidR="00044246" w:rsidRPr="007C0716" w:rsidRDefault="00044246" w:rsidP="00312E88">
            <w:pPr>
              <w:jc w:val="right"/>
              <w:rPr>
                <w:rFonts w:cs="Arial"/>
                <w:color w:val="000000"/>
                <w:sz w:val="16"/>
                <w:szCs w:val="16"/>
              </w:rPr>
            </w:pPr>
            <w:r w:rsidRPr="007C0716">
              <w:rPr>
                <w:rFonts w:cs="Arial"/>
                <w:color w:val="000000"/>
                <w:sz w:val="16"/>
                <w:szCs w:val="16"/>
              </w:rPr>
              <w:t>35,115</w:t>
            </w:r>
          </w:p>
        </w:tc>
        <w:tc>
          <w:tcPr>
            <w:tcW w:w="649" w:type="pct"/>
            <w:tcBorders>
              <w:top w:val="nil"/>
              <w:left w:val="nil"/>
              <w:bottom w:val="single" w:sz="4" w:space="0" w:color="auto"/>
              <w:right w:val="nil"/>
            </w:tcBorders>
            <w:shd w:val="clear" w:color="auto" w:fill="auto"/>
            <w:noWrap/>
            <w:vAlign w:val="bottom"/>
            <w:hideMark/>
          </w:tcPr>
          <w:p w14:paraId="16AEF6B0" w14:textId="77777777" w:rsidR="00044246" w:rsidRPr="007C0716" w:rsidRDefault="00044246" w:rsidP="00312E88">
            <w:pPr>
              <w:jc w:val="right"/>
              <w:rPr>
                <w:rFonts w:cs="Arial"/>
                <w:color w:val="000000"/>
                <w:sz w:val="16"/>
                <w:szCs w:val="16"/>
              </w:rPr>
            </w:pPr>
            <w:r w:rsidRPr="007C0716">
              <w:rPr>
                <w:rFonts w:cs="Arial"/>
                <w:color w:val="000000"/>
                <w:sz w:val="16"/>
                <w:szCs w:val="16"/>
              </w:rPr>
              <w:t>49,941</w:t>
            </w:r>
          </w:p>
        </w:tc>
      </w:tr>
      <w:tr w:rsidR="00044246" w:rsidRPr="007C0716" w14:paraId="4A00AD13" w14:textId="77777777" w:rsidTr="00044246">
        <w:trPr>
          <w:trHeight w:hRule="exact" w:val="255"/>
        </w:trPr>
        <w:tc>
          <w:tcPr>
            <w:tcW w:w="149" w:type="pct"/>
            <w:tcBorders>
              <w:top w:val="nil"/>
              <w:left w:val="nil"/>
              <w:bottom w:val="single" w:sz="4" w:space="0" w:color="auto"/>
              <w:right w:val="nil"/>
            </w:tcBorders>
            <w:shd w:val="clear" w:color="auto" w:fill="auto"/>
            <w:noWrap/>
            <w:vAlign w:val="bottom"/>
            <w:hideMark/>
          </w:tcPr>
          <w:p w14:paraId="4B657270" w14:textId="77777777" w:rsidR="00044246" w:rsidRPr="007C0716" w:rsidRDefault="00044246" w:rsidP="00312E88">
            <w:pPr>
              <w:rPr>
                <w:rFonts w:cs="Arial"/>
                <w:color w:val="000000"/>
                <w:sz w:val="16"/>
                <w:szCs w:val="16"/>
              </w:rPr>
            </w:pPr>
            <w:r w:rsidRPr="007C0716">
              <w:rPr>
                <w:rFonts w:cs="Arial"/>
                <w:color w:val="000000"/>
                <w:sz w:val="16"/>
                <w:szCs w:val="16"/>
              </w:rPr>
              <w:t>7</w:t>
            </w:r>
          </w:p>
        </w:tc>
        <w:tc>
          <w:tcPr>
            <w:tcW w:w="2904" w:type="pct"/>
            <w:tcBorders>
              <w:top w:val="nil"/>
              <w:left w:val="nil"/>
              <w:bottom w:val="single" w:sz="4" w:space="0" w:color="auto"/>
              <w:right w:val="nil"/>
            </w:tcBorders>
            <w:shd w:val="clear" w:color="auto" w:fill="auto"/>
            <w:noWrap/>
            <w:vAlign w:val="bottom"/>
            <w:hideMark/>
          </w:tcPr>
          <w:p w14:paraId="0DE402A4" w14:textId="4272E186" w:rsidR="00044246" w:rsidRPr="007C0716" w:rsidRDefault="0046598B" w:rsidP="00312E88">
            <w:pPr>
              <w:rPr>
                <w:rFonts w:cs="Arial"/>
                <w:color w:val="000000"/>
                <w:sz w:val="16"/>
                <w:szCs w:val="16"/>
              </w:rPr>
            </w:pPr>
            <w:r>
              <w:rPr>
                <w:rFonts w:cs="Arial"/>
                <w:color w:val="000000"/>
                <w:sz w:val="16"/>
                <w:szCs w:val="16"/>
              </w:rPr>
              <w:t>Steady intake date at 30 J</w:t>
            </w:r>
            <w:r w:rsidR="00044246" w:rsidRPr="007C0716">
              <w:rPr>
                <w:rFonts w:cs="Arial"/>
                <w:color w:val="000000"/>
                <w:sz w:val="16"/>
                <w:szCs w:val="16"/>
              </w:rPr>
              <w:t>une 2020</w:t>
            </w:r>
          </w:p>
        </w:tc>
        <w:tc>
          <w:tcPr>
            <w:tcW w:w="649" w:type="pct"/>
            <w:tcBorders>
              <w:top w:val="nil"/>
              <w:left w:val="nil"/>
              <w:bottom w:val="single" w:sz="4" w:space="0" w:color="auto"/>
              <w:right w:val="nil"/>
            </w:tcBorders>
            <w:shd w:val="clear" w:color="auto" w:fill="auto"/>
            <w:noWrap/>
            <w:vAlign w:val="bottom"/>
            <w:hideMark/>
          </w:tcPr>
          <w:p w14:paraId="7F45F9C8" w14:textId="77777777" w:rsidR="00044246" w:rsidRPr="007C0716" w:rsidRDefault="00044246" w:rsidP="00312E88">
            <w:pPr>
              <w:jc w:val="right"/>
              <w:rPr>
                <w:rFonts w:cs="Arial"/>
                <w:color w:val="000000"/>
                <w:sz w:val="16"/>
                <w:szCs w:val="16"/>
              </w:rPr>
            </w:pPr>
            <w:r w:rsidRPr="007C0716">
              <w:rPr>
                <w:rFonts w:cs="Arial"/>
                <w:color w:val="000000"/>
                <w:sz w:val="16"/>
                <w:szCs w:val="16"/>
              </w:rPr>
              <w:t>16,425</w:t>
            </w:r>
          </w:p>
        </w:tc>
        <w:tc>
          <w:tcPr>
            <w:tcW w:w="649" w:type="pct"/>
            <w:tcBorders>
              <w:top w:val="nil"/>
              <w:left w:val="nil"/>
              <w:bottom w:val="single" w:sz="4" w:space="0" w:color="auto"/>
              <w:right w:val="nil"/>
            </w:tcBorders>
            <w:shd w:val="clear" w:color="auto" w:fill="auto"/>
            <w:noWrap/>
            <w:vAlign w:val="bottom"/>
            <w:hideMark/>
          </w:tcPr>
          <w:p w14:paraId="3A8C744E" w14:textId="77777777" w:rsidR="00044246" w:rsidRPr="007C0716" w:rsidRDefault="00044246" w:rsidP="00312E88">
            <w:pPr>
              <w:jc w:val="right"/>
              <w:rPr>
                <w:rFonts w:cs="Arial"/>
                <w:color w:val="000000"/>
                <w:sz w:val="16"/>
                <w:szCs w:val="16"/>
              </w:rPr>
            </w:pPr>
            <w:r w:rsidRPr="007C0716">
              <w:rPr>
                <w:rFonts w:cs="Arial"/>
                <w:color w:val="000000"/>
                <w:sz w:val="16"/>
                <w:szCs w:val="16"/>
              </w:rPr>
              <w:t>28,286</w:t>
            </w:r>
          </w:p>
        </w:tc>
        <w:tc>
          <w:tcPr>
            <w:tcW w:w="649" w:type="pct"/>
            <w:tcBorders>
              <w:top w:val="nil"/>
              <w:left w:val="nil"/>
              <w:bottom w:val="single" w:sz="4" w:space="0" w:color="auto"/>
              <w:right w:val="nil"/>
            </w:tcBorders>
            <w:shd w:val="clear" w:color="auto" w:fill="auto"/>
            <w:noWrap/>
            <w:vAlign w:val="bottom"/>
            <w:hideMark/>
          </w:tcPr>
          <w:p w14:paraId="3956978C" w14:textId="77777777" w:rsidR="00044246" w:rsidRPr="007C0716" w:rsidRDefault="00044246" w:rsidP="00312E88">
            <w:pPr>
              <w:jc w:val="right"/>
              <w:rPr>
                <w:rFonts w:cs="Arial"/>
                <w:color w:val="000000"/>
                <w:sz w:val="16"/>
                <w:szCs w:val="16"/>
              </w:rPr>
            </w:pPr>
            <w:r w:rsidRPr="007C0716">
              <w:rPr>
                <w:rFonts w:cs="Arial"/>
                <w:color w:val="000000"/>
                <w:sz w:val="16"/>
                <w:szCs w:val="16"/>
              </w:rPr>
              <w:t>41,344</w:t>
            </w:r>
          </w:p>
        </w:tc>
      </w:tr>
      <w:tr w:rsidR="00044246" w:rsidRPr="007C0716" w14:paraId="7B14C535" w14:textId="77777777" w:rsidTr="00044246">
        <w:trPr>
          <w:trHeight w:hRule="exact" w:val="255"/>
        </w:trPr>
        <w:tc>
          <w:tcPr>
            <w:tcW w:w="149" w:type="pct"/>
            <w:tcBorders>
              <w:top w:val="nil"/>
              <w:left w:val="nil"/>
              <w:bottom w:val="nil"/>
              <w:right w:val="nil"/>
            </w:tcBorders>
            <w:shd w:val="clear" w:color="auto" w:fill="auto"/>
            <w:noWrap/>
            <w:vAlign w:val="bottom"/>
            <w:hideMark/>
          </w:tcPr>
          <w:p w14:paraId="16FC9C3A" w14:textId="77777777" w:rsidR="00044246" w:rsidRPr="007C0716" w:rsidRDefault="00044246" w:rsidP="00312E88">
            <w:pPr>
              <w:rPr>
                <w:rFonts w:cs="Arial"/>
                <w:color w:val="000000"/>
                <w:sz w:val="16"/>
                <w:szCs w:val="16"/>
              </w:rPr>
            </w:pPr>
            <w:r w:rsidRPr="007C0716">
              <w:rPr>
                <w:rFonts w:cs="Arial"/>
                <w:color w:val="000000"/>
                <w:sz w:val="16"/>
                <w:szCs w:val="16"/>
              </w:rPr>
              <w:t>8a</w:t>
            </w:r>
          </w:p>
        </w:tc>
        <w:tc>
          <w:tcPr>
            <w:tcW w:w="2904" w:type="pct"/>
            <w:tcBorders>
              <w:top w:val="nil"/>
              <w:left w:val="nil"/>
              <w:bottom w:val="nil"/>
              <w:right w:val="nil"/>
            </w:tcBorders>
            <w:shd w:val="clear" w:color="auto" w:fill="auto"/>
            <w:noWrap/>
            <w:vAlign w:val="bottom"/>
            <w:hideMark/>
          </w:tcPr>
          <w:p w14:paraId="74022D3E" w14:textId="77777777" w:rsidR="00044246" w:rsidRPr="007C0716" w:rsidRDefault="00044246" w:rsidP="00312E88">
            <w:pPr>
              <w:rPr>
                <w:rFonts w:cs="Arial"/>
                <w:color w:val="000000"/>
                <w:sz w:val="16"/>
                <w:szCs w:val="16"/>
              </w:rPr>
            </w:pPr>
            <w:r w:rsidRPr="007C0716">
              <w:rPr>
                <w:rFonts w:cs="Arial"/>
                <w:color w:val="000000"/>
                <w:sz w:val="16"/>
                <w:szCs w:val="16"/>
              </w:rPr>
              <w:t>Additional 3% pa superimposed inflation from 2021</w:t>
            </w:r>
          </w:p>
        </w:tc>
        <w:tc>
          <w:tcPr>
            <w:tcW w:w="649" w:type="pct"/>
            <w:tcBorders>
              <w:top w:val="nil"/>
              <w:left w:val="nil"/>
              <w:bottom w:val="nil"/>
              <w:right w:val="nil"/>
            </w:tcBorders>
            <w:shd w:val="clear" w:color="auto" w:fill="auto"/>
            <w:noWrap/>
            <w:vAlign w:val="bottom"/>
            <w:hideMark/>
          </w:tcPr>
          <w:p w14:paraId="128E8B01" w14:textId="77777777" w:rsidR="00044246" w:rsidRPr="007C0716" w:rsidRDefault="00044246" w:rsidP="00312E88">
            <w:pPr>
              <w:jc w:val="right"/>
              <w:rPr>
                <w:rFonts w:cs="Arial"/>
                <w:color w:val="000000"/>
                <w:sz w:val="16"/>
                <w:szCs w:val="16"/>
              </w:rPr>
            </w:pPr>
            <w:r w:rsidRPr="007C0716">
              <w:rPr>
                <w:rFonts w:cs="Arial"/>
                <w:color w:val="000000"/>
                <w:sz w:val="16"/>
                <w:szCs w:val="16"/>
              </w:rPr>
              <w:t>16,327</w:t>
            </w:r>
          </w:p>
        </w:tc>
        <w:tc>
          <w:tcPr>
            <w:tcW w:w="649" w:type="pct"/>
            <w:tcBorders>
              <w:top w:val="nil"/>
              <w:left w:val="nil"/>
              <w:bottom w:val="nil"/>
              <w:right w:val="nil"/>
            </w:tcBorders>
            <w:shd w:val="clear" w:color="auto" w:fill="auto"/>
            <w:noWrap/>
            <w:vAlign w:val="bottom"/>
            <w:hideMark/>
          </w:tcPr>
          <w:p w14:paraId="01775300" w14:textId="77777777" w:rsidR="00044246" w:rsidRPr="007C0716" w:rsidRDefault="00044246" w:rsidP="00312E88">
            <w:pPr>
              <w:jc w:val="right"/>
              <w:rPr>
                <w:rFonts w:cs="Arial"/>
                <w:color w:val="000000"/>
                <w:sz w:val="16"/>
                <w:szCs w:val="16"/>
              </w:rPr>
            </w:pPr>
            <w:r w:rsidRPr="007C0716">
              <w:rPr>
                <w:rFonts w:cs="Arial"/>
                <w:color w:val="000000"/>
                <w:sz w:val="16"/>
                <w:szCs w:val="16"/>
              </w:rPr>
              <w:t>35,152</w:t>
            </w:r>
          </w:p>
        </w:tc>
        <w:tc>
          <w:tcPr>
            <w:tcW w:w="649" w:type="pct"/>
            <w:tcBorders>
              <w:top w:val="nil"/>
              <w:left w:val="nil"/>
              <w:bottom w:val="nil"/>
              <w:right w:val="nil"/>
            </w:tcBorders>
            <w:shd w:val="clear" w:color="auto" w:fill="auto"/>
            <w:noWrap/>
            <w:vAlign w:val="bottom"/>
            <w:hideMark/>
          </w:tcPr>
          <w:p w14:paraId="59B7CBDD" w14:textId="77777777" w:rsidR="00044246" w:rsidRPr="007C0716" w:rsidRDefault="00044246" w:rsidP="00312E88">
            <w:pPr>
              <w:jc w:val="right"/>
              <w:rPr>
                <w:rFonts w:cs="Arial"/>
                <w:color w:val="000000"/>
                <w:sz w:val="16"/>
                <w:szCs w:val="16"/>
              </w:rPr>
            </w:pPr>
            <w:r w:rsidRPr="007C0716">
              <w:rPr>
                <w:rFonts w:cs="Arial"/>
                <w:color w:val="000000"/>
                <w:sz w:val="16"/>
                <w:szCs w:val="16"/>
              </w:rPr>
              <w:t>56,030</w:t>
            </w:r>
          </w:p>
        </w:tc>
      </w:tr>
      <w:tr w:rsidR="00044246" w:rsidRPr="007C0716" w14:paraId="5BB153C2" w14:textId="77777777" w:rsidTr="00044246">
        <w:trPr>
          <w:trHeight w:hRule="exact" w:val="255"/>
        </w:trPr>
        <w:tc>
          <w:tcPr>
            <w:tcW w:w="149" w:type="pct"/>
            <w:tcBorders>
              <w:top w:val="nil"/>
              <w:left w:val="nil"/>
              <w:bottom w:val="single" w:sz="4" w:space="0" w:color="auto"/>
              <w:right w:val="nil"/>
            </w:tcBorders>
            <w:shd w:val="clear" w:color="auto" w:fill="auto"/>
            <w:noWrap/>
            <w:vAlign w:val="bottom"/>
            <w:hideMark/>
          </w:tcPr>
          <w:p w14:paraId="66DE8B72" w14:textId="77777777" w:rsidR="00044246" w:rsidRPr="007C0716" w:rsidRDefault="00044246" w:rsidP="00312E88">
            <w:pPr>
              <w:rPr>
                <w:rFonts w:cs="Arial"/>
                <w:color w:val="000000"/>
                <w:sz w:val="16"/>
                <w:szCs w:val="16"/>
              </w:rPr>
            </w:pPr>
            <w:r w:rsidRPr="007C0716">
              <w:rPr>
                <w:rFonts w:cs="Arial"/>
                <w:color w:val="000000"/>
                <w:sz w:val="16"/>
                <w:szCs w:val="16"/>
              </w:rPr>
              <w:t>8b</w:t>
            </w:r>
          </w:p>
        </w:tc>
        <w:tc>
          <w:tcPr>
            <w:tcW w:w="2904" w:type="pct"/>
            <w:tcBorders>
              <w:top w:val="nil"/>
              <w:left w:val="nil"/>
              <w:bottom w:val="single" w:sz="4" w:space="0" w:color="auto"/>
              <w:right w:val="nil"/>
            </w:tcBorders>
            <w:shd w:val="clear" w:color="auto" w:fill="auto"/>
            <w:noWrap/>
            <w:vAlign w:val="bottom"/>
            <w:hideMark/>
          </w:tcPr>
          <w:p w14:paraId="029884BC" w14:textId="3F80FE4E" w:rsidR="00044246" w:rsidRPr="007C0716" w:rsidRDefault="0046598B" w:rsidP="00312E88">
            <w:pPr>
              <w:rPr>
                <w:rFonts w:cs="Arial"/>
                <w:color w:val="000000"/>
                <w:sz w:val="16"/>
                <w:szCs w:val="16"/>
              </w:rPr>
            </w:pPr>
            <w:r w:rsidRPr="007C0716">
              <w:rPr>
                <w:rFonts w:cs="Arial"/>
                <w:color w:val="000000"/>
                <w:sz w:val="16"/>
                <w:szCs w:val="16"/>
              </w:rPr>
              <w:t>Additional</w:t>
            </w:r>
            <w:r w:rsidR="00044246" w:rsidRPr="007C0716">
              <w:rPr>
                <w:rFonts w:cs="Arial"/>
                <w:color w:val="000000"/>
                <w:sz w:val="16"/>
                <w:szCs w:val="16"/>
              </w:rPr>
              <w:t xml:space="preserve"> 1% pa superimposed inflation from 2021</w:t>
            </w:r>
          </w:p>
        </w:tc>
        <w:tc>
          <w:tcPr>
            <w:tcW w:w="649" w:type="pct"/>
            <w:tcBorders>
              <w:top w:val="nil"/>
              <w:left w:val="nil"/>
              <w:bottom w:val="single" w:sz="4" w:space="0" w:color="auto"/>
              <w:right w:val="nil"/>
            </w:tcBorders>
            <w:shd w:val="clear" w:color="auto" w:fill="auto"/>
            <w:noWrap/>
            <w:vAlign w:val="bottom"/>
            <w:hideMark/>
          </w:tcPr>
          <w:p w14:paraId="3028DE7D" w14:textId="77777777" w:rsidR="00044246" w:rsidRPr="007C0716" w:rsidRDefault="00044246" w:rsidP="00312E88">
            <w:pPr>
              <w:jc w:val="right"/>
              <w:rPr>
                <w:rFonts w:cs="Arial"/>
                <w:color w:val="000000"/>
                <w:sz w:val="16"/>
                <w:szCs w:val="16"/>
              </w:rPr>
            </w:pPr>
            <w:r w:rsidRPr="007C0716">
              <w:rPr>
                <w:rFonts w:cs="Arial"/>
                <w:color w:val="000000"/>
                <w:sz w:val="16"/>
                <w:szCs w:val="16"/>
              </w:rPr>
              <w:t>16,327</w:t>
            </w:r>
          </w:p>
        </w:tc>
        <w:tc>
          <w:tcPr>
            <w:tcW w:w="649" w:type="pct"/>
            <w:tcBorders>
              <w:top w:val="nil"/>
              <w:left w:val="nil"/>
              <w:bottom w:val="single" w:sz="4" w:space="0" w:color="auto"/>
              <w:right w:val="nil"/>
            </w:tcBorders>
            <w:shd w:val="clear" w:color="auto" w:fill="auto"/>
            <w:noWrap/>
            <w:vAlign w:val="bottom"/>
            <w:hideMark/>
          </w:tcPr>
          <w:p w14:paraId="2AEC321D" w14:textId="77777777" w:rsidR="00044246" w:rsidRPr="007C0716" w:rsidRDefault="00044246" w:rsidP="00312E88">
            <w:pPr>
              <w:jc w:val="right"/>
              <w:rPr>
                <w:rFonts w:cs="Arial"/>
                <w:color w:val="000000"/>
                <w:sz w:val="16"/>
                <w:szCs w:val="16"/>
              </w:rPr>
            </w:pPr>
            <w:r w:rsidRPr="007C0716">
              <w:rPr>
                <w:rFonts w:cs="Arial"/>
                <w:color w:val="000000"/>
                <w:sz w:val="16"/>
                <w:szCs w:val="16"/>
              </w:rPr>
              <w:t>32,264</w:t>
            </w:r>
          </w:p>
        </w:tc>
        <w:tc>
          <w:tcPr>
            <w:tcW w:w="649" w:type="pct"/>
            <w:tcBorders>
              <w:top w:val="nil"/>
              <w:left w:val="nil"/>
              <w:bottom w:val="single" w:sz="4" w:space="0" w:color="auto"/>
              <w:right w:val="nil"/>
            </w:tcBorders>
            <w:shd w:val="clear" w:color="auto" w:fill="auto"/>
            <w:noWrap/>
            <w:vAlign w:val="bottom"/>
            <w:hideMark/>
          </w:tcPr>
          <w:p w14:paraId="424B3EB4" w14:textId="77777777" w:rsidR="00044246" w:rsidRPr="007C0716" w:rsidRDefault="00044246" w:rsidP="00312E88">
            <w:pPr>
              <w:jc w:val="right"/>
              <w:rPr>
                <w:rFonts w:cs="Arial"/>
                <w:color w:val="000000"/>
                <w:sz w:val="16"/>
                <w:szCs w:val="16"/>
              </w:rPr>
            </w:pPr>
            <w:r w:rsidRPr="007C0716">
              <w:rPr>
                <w:rFonts w:cs="Arial"/>
                <w:color w:val="000000"/>
                <w:sz w:val="16"/>
                <w:szCs w:val="16"/>
              </w:rPr>
              <w:t>47,825</w:t>
            </w:r>
          </w:p>
        </w:tc>
      </w:tr>
    </w:tbl>
    <w:p w14:paraId="7C6ABEF0" w14:textId="1563389F" w:rsidR="002B3FBF" w:rsidRDefault="002B3FBF" w:rsidP="002B3FBF">
      <w:pPr>
        <w:pStyle w:val="FSRnormal"/>
      </w:pPr>
    </w:p>
    <w:p w14:paraId="1A7FEF33" w14:textId="77777777" w:rsidR="003078BE" w:rsidRDefault="003078BE" w:rsidP="002B3FBF">
      <w:pPr>
        <w:pStyle w:val="FSRnormal"/>
      </w:pPr>
    </w:p>
    <w:p w14:paraId="7DED165E" w14:textId="77777777" w:rsidR="002B3FBF" w:rsidRDefault="002B3FBF" w:rsidP="00B37567">
      <w:pPr>
        <w:pStyle w:val="FSRHeading4"/>
        <w:rPr>
          <w:szCs w:val="25"/>
        </w:rPr>
      </w:pPr>
      <w:r>
        <w:rPr>
          <w:szCs w:val="25"/>
        </w:rPr>
        <w:lastRenderedPageBreak/>
        <w:t xml:space="preserve">2019-20 </w:t>
      </w:r>
      <w:r w:rsidRPr="00A40552">
        <w:t>Scenarios</w:t>
      </w:r>
    </w:p>
    <w:p w14:paraId="7AF2223E" w14:textId="77777777" w:rsidR="002B3FBF" w:rsidRPr="00665A06" w:rsidRDefault="002B3FBF" w:rsidP="002B3FBF">
      <w:pPr>
        <w:pStyle w:val="Tables"/>
      </w:pPr>
      <w:r w:rsidRPr="002735DF">
        <w:t>T</w:t>
      </w:r>
      <w:r>
        <w:t>otal participant costs ($m)</w:t>
      </w:r>
    </w:p>
    <w:tbl>
      <w:tblPr>
        <w:tblW w:w="5000" w:type="pct"/>
        <w:tblLook w:val="04A0" w:firstRow="1" w:lastRow="0" w:firstColumn="1" w:lastColumn="0" w:noHBand="0" w:noVBand="1"/>
      </w:tblPr>
      <w:tblGrid>
        <w:gridCol w:w="5979"/>
        <w:gridCol w:w="1235"/>
        <w:gridCol w:w="906"/>
        <w:gridCol w:w="906"/>
      </w:tblGrid>
      <w:tr w:rsidR="003078BE" w:rsidRPr="009F1D50" w14:paraId="55700F2A" w14:textId="77777777" w:rsidTr="003078BE">
        <w:trPr>
          <w:trHeight w:hRule="exact" w:val="255"/>
          <w:tblHeader/>
        </w:trPr>
        <w:tc>
          <w:tcPr>
            <w:tcW w:w="3312" w:type="pct"/>
            <w:tcBorders>
              <w:top w:val="nil"/>
              <w:left w:val="nil"/>
              <w:bottom w:val="nil"/>
              <w:right w:val="nil"/>
            </w:tcBorders>
            <w:shd w:val="clear" w:color="000000" w:fill="6B2976"/>
            <w:noWrap/>
            <w:vAlign w:val="bottom"/>
            <w:hideMark/>
          </w:tcPr>
          <w:p w14:paraId="4B701613" w14:textId="77777777" w:rsidR="003078BE" w:rsidRPr="009F1D50" w:rsidRDefault="003078BE" w:rsidP="00312E88">
            <w:pPr>
              <w:rPr>
                <w:rFonts w:cs="Arial"/>
                <w:b/>
                <w:bCs/>
                <w:color w:val="FFFFFF"/>
                <w:sz w:val="16"/>
                <w:szCs w:val="16"/>
              </w:rPr>
            </w:pPr>
            <w:r w:rsidRPr="009F1D50">
              <w:rPr>
                <w:rFonts w:cs="Arial"/>
                <w:b/>
                <w:bCs/>
                <w:color w:val="FFFFFF"/>
                <w:sz w:val="16"/>
                <w:szCs w:val="16"/>
              </w:rPr>
              <w:t>Total participant costs</w:t>
            </w:r>
          </w:p>
        </w:tc>
        <w:tc>
          <w:tcPr>
            <w:tcW w:w="684" w:type="pct"/>
            <w:tcBorders>
              <w:top w:val="nil"/>
              <w:left w:val="nil"/>
              <w:bottom w:val="nil"/>
              <w:right w:val="nil"/>
            </w:tcBorders>
            <w:shd w:val="clear" w:color="000000" w:fill="6B2976"/>
            <w:noWrap/>
            <w:vAlign w:val="bottom"/>
            <w:hideMark/>
          </w:tcPr>
          <w:p w14:paraId="260BC26D" w14:textId="77777777" w:rsidR="003078BE" w:rsidRPr="009F1D50" w:rsidRDefault="003078BE" w:rsidP="00312E88">
            <w:pPr>
              <w:jc w:val="right"/>
              <w:rPr>
                <w:rFonts w:cs="Arial"/>
                <w:b/>
                <w:bCs/>
                <w:color w:val="FFFFFF"/>
                <w:sz w:val="16"/>
                <w:szCs w:val="16"/>
              </w:rPr>
            </w:pPr>
            <w:r w:rsidRPr="009F1D50">
              <w:rPr>
                <w:rFonts w:cs="Arial"/>
                <w:b/>
                <w:bCs/>
                <w:color w:val="FFFFFF"/>
                <w:sz w:val="16"/>
                <w:szCs w:val="16"/>
              </w:rPr>
              <w:t>2020</w:t>
            </w:r>
          </w:p>
        </w:tc>
        <w:tc>
          <w:tcPr>
            <w:tcW w:w="502" w:type="pct"/>
            <w:tcBorders>
              <w:top w:val="nil"/>
              <w:left w:val="nil"/>
              <w:bottom w:val="nil"/>
              <w:right w:val="nil"/>
            </w:tcBorders>
            <w:shd w:val="clear" w:color="000000" w:fill="6B2976"/>
            <w:noWrap/>
            <w:vAlign w:val="bottom"/>
            <w:hideMark/>
          </w:tcPr>
          <w:p w14:paraId="2C2E9C2D" w14:textId="77777777" w:rsidR="003078BE" w:rsidRPr="009F1D50" w:rsidRDefault="003078BE" w:rsidP="00312E88">
            <w:pPr>
              <w:jc w:val="right"/>
              <w:rPr>
                <w:rFonts w:cs="Arial"/>
                <w:b/>
                <w:bCs/>
                <w:color w:val="FFFFFF"/>
                <w:sz w:val="16"/>
                <w:szCs w:val="16"/>
              </w:rPr>
            </w:pPr>
            <w:r w:rsidRPr="009F1D50">
              <w:rPr>
                <w:rFonts w:cs="Arial"/>
                <w:b/>
                <w:bCs/>
                <w:color w:val="FFFFFF"/>
                <w:sz w:val="16"/>
                <w:szCs w:val="16"/>
              </w:rPr>
              <w:t>2025</w:t>
            </w:r>
          </w:p>
        </w:tc>
        <w:tc>
          <w:tcPr>
            <w:tcW w:w="502" w:type="pct"/>
            <w:tcBorders>
              <w:top w:val="nil"/>
              <w:left w:val="nil"/>
              <w:bottom w:val="nil"/>
              <w:right w:val="nil"/>
            </w:tcBorders>
            <w:shd w:val="clear" w:color="000000" w:fill="6B2976"/>
            <w:noWrap/>
            <w:vAlign w:val="bottom"/>
            <w:hideMark/>
          </w:tcPr>
          <w:p w14:paraId="132A3641" w14:textId="77777777" w:rsidR="003078BE" w:rsidRPr="009F1D50" w:rsidRDefault="003078BE" w:rsidP="00312E88">
            <w:pPr>
              <w:jc w:val="right"/>
              <w:rPr>
                <w:rFonts w:cs="Arial"/>
                <w:b/>
                <w:bCs/>
                <w:color w:val="FFFFFF"/>
                <w:sz w:val="16"/>
                <w:szCs w:val="16"/>
              </w:rPr>
            </w:pPr>
            <w:r w:rsidRPr="009F1D50">
              <w:rPr>
                <w:rFonts w:cs="Arial"/>
                <w:b/>
                <w:bCs/>
                <w:color w:val="FFFFFF"/>
                <w:sz w:val="16"/>
                <w:szCs w:val="16"/>
              </w:rPr>
              <w:t>2030</w:t>
            </w:r>
          </w:p>
        </w:tc>
      </w:tr>
      <w:tr w:rsidR="003078BE" w:rsidRPr="009F1D50" w14:paraId="22371435" w14:textId="77777777" w:rsidTr="003078BE">
        <w:trPr>
          <w:trHeight w:hRule="exact" w:val="255"/>
        </w:trPr>
        <w:tc>
          <w:tcPr>
            <w:tcW w:w="3312" w:type="pct"/>
            <w:tcBorders>
              <w:top w:val="single" w:sz="4" w:space="0" w:color="auto"/>
              <w:left w:val="nil"/>
              <w:bottom w:val="single" w:sz="8" w:space="0" w:color="auto"/>
              <w:right w:val="nil"/>
            </w:tcBorders>
            <w:shd w:val="clear" w:color="auto" w:fill="auto"/>
            <w:noWrap/>
            <w:vAlign w:val="bottom"/>
            <w:hideMark/>
          </w:tcPr>
          <w:p w14:paraId="470296E6" w14:textId="77777777" w:rsidR="003078BE" w:rsidRPr="009F1D50" w:rsidRDefault="003078BE" w:rsidP="00312E88">
            <w:pPr>
              <w:rPr>
                <w:rFonts w:cs="Arial"/>
                <w:color w:val="000000"/>
                <w:sz w:val="16"/>
                <w:szCs w:val="16"/>
              </w:rPr>
            </w:pPr>
            <w:r w:rsidRPr="009F1D50">
              <w:rPr>
                <w:rFonts w:cs="Arial"/>
                <w:color w:val="000000"/>
                <w:sz w:val="16"/>
                <w:szCs w:val="16"/>
              </w:rPr>
              <w:t>2019-20 Baseline</w:t>
            </w:r>
          </w:p>
        </w:tc>
        <w:tc>
          <w:tcPr>
            <w:tcW w:w="684" w:type="pct"/>
            <w:tcBorders>
              <w:top w:val="single" w:sz="4" w:space="0" w:color="auto"/>
              <w:left w:val="nil"/>
              <w:bottom w:val="single" w:sz="8" w:space="0" w:color="auto"/>
              <w:right w:val="nil"/>
            </w:tcBorders>
            <w:shd w:val="clear" w:color="auto" w:fill="auto"/>
            <w:noWrap/>
            <w:vAlign w:val="bottom"/>
            <w:hideMark/>
          </w:tcPr>
          <w:p w14:paraId="4963CAD3" w14:textId="77777777" w:rsidR="003078BE" w:rsidRPr="009F1D50" w:rsidRDefault="003078BE" w:rsidP="00312E88">
            <w:pPr>
              <w:rPr>
                <w:rFonts w:cs="Arial"/>
                <w:color w:val="000000"/>
                <w:sz w:val="16"/>
                <w:szCs w:val="16"/>
              </w:rPr>
            </w:pPr>
            <w:r w:rsidRPr="009F1D50">
              <w:rPr>
                <w:rFonts w:cs="Arial"/>
                <w:color w:val="000000"/>
                <w:sz w:val="16"/>
                <w:szCs w:val="16"/>
              </w:rPr>
              <w:t> </w:t>
            </w:r>
          </w:p>
        </w:tc>
        <w:tc>
          <w:tcPr>
            <w:tcW w:w="502" w:type="pct"/>
            <w:tcBorders>
              <w:top w:val="nil"/>
              <w:left w:val="nil"/>
              <w:bottom w:val="single" w:sz="8" w:space="0" w:color="auto"/>
              <w:right w:val="nil"/>
            </w:tcBorders>
            <w:shd w:val="clear" w:color="auto" w:fill="auto"/>
            <w:noWrap/>
            <w:vAlign w:val="bottom"/>
            <w:hideMark/>
          </w:tcPr>
          <w:p w14:paraId="1468CF41" w14:textId="77777777" w:rsidR="003078BE" w:rsidRPr="009F1D50" w:rsidRDefault="003078BE" w:rsidP="00312E88">
            <w:pPr>
              <w:jc w:val="right"/>
              <w:rPr>
                <w:rFonts w:cs="Arial"/>
                <w:color w:val="000000"/>
                <w:sz w:val="16"/>
                <w:szCs w:val="16"/>
              </w:rPr>
            </w:pPr>
            <w:r w:rsidRPr="009F1D50">
              <w:rPr>
                <w:rFonts w:cs="Arial"/>
                <w:color w:val="000000"/>
                <w:sz w:val="16"/>
                <w:szCs w:val="16"/>
              </w:rPr>
              <w:t>34,109</w:t>
            </w:r>
          </w:p>
        </w:tc>
        <w:tc>
          <w:tcPr>
            <w:tcW w:w="502" w:type="pct"/>
            <w:tcBorders>
              <w:top w:val="nil"/>
              <w:left w:val="nil"/>
              <w:bottom w:val="single" w:sz="8" w:space="0" w:color="auto"/>
              <w:right w:val="nil"/>
            </w:tcBorders>
            <w:shd w:val="clear" w:color="auto" w:fill="auto"/>
            <w:noWrap/>
            <w:vAlign w:val="bottom"/>
            <w:hideMark/>
          </w:tcPr>
          <w:p w14:paraId="13E3B8D9" w14:textId="77777777" w:rsidR="003078BE" w:rsidRPr="009F1D50" w:rsidRDefault="003078BE" w:rsidP="00312E88">
            <w:pPr>
              <w:jc w:val="right"/>
              <w:rPr>
                <w:rFonts w:cs="Arial"/>
                <w:color w:val="000000"/>
                <w:sz w:val="16"/>
                <w:szCs w:val="16"/>
              </w:rPr>
            </w:pPr>
            <w:r w:rsidRPr="009F1D50">
              <w:rPr>
                <w:rFonts w:cs="Arial"/>
                <w:color w:val="000000"/>
                <w:sz w:val="16"/>
                <w:szCs w:val="16"/>
              </w:rPr>
              <w:t>51,304</w:t>
            </w:r>
          </w:p>
        </w:tc>
      </w:tr>
      <w:tr w:rsidR="003078BE" w:rsidRPr="009F1D50" w14:paraId="53C7A946" w14:textId="77777777" w:rsidTr="003078BE">
        <w:trPr>
          <w:trHeight w:hRule="exact" w:val="255"/>
        </w:trPr>
        <w:tc>
          <w:tcPr>
            <w:tcW w:w="3312" w:type="pct"/>
            <w:tcBorders>
              <w:top w:val="nil"/>
              <w:left w:val="nil"/>
              <w:bottom w:val="nil"/>
              <w:right w:val="nil"/>
            </w:tcBorders>
            <w:shd w:val="clear" w:color="auto" w:fill="auto"/>
            <w:noWrap/>
            <w:vAlign w:val="bottom"/>
            <w:hideMark/>
          </w:tcPr>
          <w:p w14:paraId="360EF1A6" w14:textId="77777777" w:rsidR="003078BE" w:rsidRPr="009F1D50" w:rsidRDefault="003078BE" w:rsidP="00312E88">
            <w:pPr>
              <w:rPr>
                <w:rFonts w:cs="Arial"/>
                <w:color w:val="000000"/>
                <w:sz w:val="16"/>
                <w:szCs w:val="16"/>
              </w:rPr>
            </w:pPr>
            <w:r w:rsidRPr="009F1D50">
              <w:rPr>
                <w:rFonts w:cs="Arial"/>
                <w:color w:val="000000"/>
                <w:sz w:val="16"/>
                <w:szCs w:val="16"/>
              </w:rPr>
              <w:t>Scenario 1a. =&gt; Continuation of historical superimposed inflation</w:t>
            </w:r>
          </w:p>
        </w:tc>
        <w:tc>
          <w:tcPr>
            <w:tcW w:w="684" w:type="pct"/>
            <w:tcBorders>
              <w:top w:val="nil"/>
              <w:left w:val="nil"/>
              <w:bottom w:val="nil"/>
              <w:right w:val="nil"/>
            </w:tcBorders>
            <w:shd w:val="clear" w:color="auto" w:fill="auto"/>
            <w:noWrap/>
            <w:vAlign w:val="bottom"/>
            <w:hideMark/>
          </w:tcPr>
          <w:p w14:paraId="76593036" w14:textId="77777777" w:rsidR="003078BE" w:rsidRPr="009F1D50" w:rsidRDefault="003078BE" w:rsidP="00312E88">
            <w:pPr>
              <w:rPr>
                <w:rFonts w:cs="Arial"/>
                <w:color w:val="000000"/>
                <w:sz w:val="16"/>
                <w:szCs w:val="16"/>
              </w:rPr>
            </w:pPr>
          </w:p>
        </w:tc>
        <w:tc>
          <w:tcPr>
            <w:tcW w:w="502" w:type="pct"/>
            <w:tcBorders>
              <w:top w:val="nil"/>
              <w:left w:val="nil"/>
              <w:bottom w:val="nil"/>
              <w:right w:val="nil"/>
            </w:tcBorders>
            <w:shd w:val="clear" w:color="auto" w:fill="auto"/>
            <w:noWrap/>
            <w:vAlign w:val="bottom"/>
            <w:hideMark/>
          </w:tcPr>
          <w:p w14:paraId="569B8FB0" w14:textId="77777777" w:rsidR="003078BE" w:rsidRPr="009F1D50" w:rsidRDefault="003078BE" w:rsidP="00312E88">
            <w:pPr>
              <w:jc w:val="right"/>
              <w:rPr>
                <w:rFonts w:cs="Arial"/>
                <w:color w:val="000000"/>
                <w:sz w:val="16"/>
                <w:szCs w:val="16"/>
              </w:rPr>
            </w:pPr>
            <w:r w:rsidRPr="009F1D50">
              <w:rPr>
                <w:rFonts w:cs="Arial"/>
                <w:color w:val="000000"/>
                <w:sz w:val="16"/>
                <w:szCs w:val="16"/>
              </w:rPr>
              <w:t>45,399</w:t>
            </w:r>
          </w:p>
        </w:tc>
        <w:tc>
          <w:tcPr>
            <w:tcW w:w="502" w:type="pct"/>
            <w:tcBorders>
              <w:top w:val="nil"/>
              <w:left w:val="nil"/>
              <w:bottom w:val="nil"/>
              <w:right w:val="nil"/>
            </w:tcBorders>
            <w:shd w:val="clear" w:color="auto" w:fill="auto"/>
            <w:noWrap/>
            <w:vAlign w:val="bottom"/>
            <w:hideMark/>
          </w:tcPr>
          <w:p w14:paraId="28E42762" w14:textId="77777777" w:rsidR="003078BE" w:rsidRPr="009F1D50" w:rsidRDefault="003078BE" w:rsidP="00312E88">
            <w:pPr>
              <w:jc w:val="right"/>
              <w:rPr>
                <w:rFonts w:cs="Arial"/>
                <w:color w:val="000000"/>
                <w:sz w:val="16"/>
                <w:szCs w:val="16"/>
              </w:rPr>
            </w:pPr>
            <w:r w:rsidRPr="009F1D50">
              <w:rPr>
                <w:rFonts w:cs="Arial"/>
                <w:color w:val="000000"/>
                <w:sz w:val="16"/>
                <w:szCs w:val="16"/>
              </w:rPr>
              <w:t>68,282</w:t>
            </w:r>
          </w:p>
        </w:tc>
      </w:tr>
      <w:tr w:rsidR="003078BE" w:rsidRPr="009F1D50" w14:paraId="480A0C8F" w14:textId="77777777" w:rsidTr="003078BE">
        <w:trPr>
          <w:trHeight w:hRule="exact" w:val="255"/>
        </w:trPr>
        <w:tc>
          <w:tcPr>
            <w:tcW w:w="3312" w:type="pct"/>
            <w:tcBorders>
              <w:top w:val="nil"/>
              <w:left w:val="nil"/>
              <w:bottom w:val="nil"/>
              <w:right w:val="nil"/>
            </w:tcBorders>
            <w:shd w:val="clear" w:color="auto" w:fill="auto"/>
            <w:noWrap/>
            <w:vAlign w:val="bottom"/>
            <w:hideMark/>
          </w:tcPr>
          <w:p w14:paraId="2DB5D7FE" w14:textId="77777777" w:rsidR="003078BE" w:rsidRPr="009F1D50" w:rsidRDefault="003078BE" w:rsidP="00312E88">
            <w:pPr>
              <w:rPr>
                <w:rFonts w:cs="Arial"/>
                <w:color w:val="000000"/>
                <w:sz w:val="16"/>
                <w:szCs w:val="16"/>
              </w:rPr>
            </w:pPr>
            <w:r w:rsidRPr="009F1D50">
              <w:rPr>
                <w:rFonts w:cs="Arial"/>
                <w:color w:val="000000"/>
                <w:sz w:val="16"/>
                <w:szCs w:val="16"/>
              </w:rPr>
              <w:t>Scenario 1b. =&gt; Removal of 1% p.a. additional superimposed inflation</w:t>
            </w:r>
          </w:p>
        </w:tc>
        <w:tc>
          <w:tcPr>
            <w:tcW w:w="684" w:type="pct"/>
            <w:tcBorders>
              <w:top w:val="nil"/>
              <w:left w:val="nil"/>
              <w:bottom w:val="nil"/>
              <w:right w:val="nil"/>
            </w:tcBorders>
            <w:shd w:val="clear" w:color="auto" w:fill="auto"/>
            <w:noWrap/>
            <w:vAlign w:val="bottom"/>
            <w:hideMark/>
          </w:tcPr>
          <w:p w14:paraId="342C04E4" w14:textId="77777777" w:rsidR="003078BE" w:rsidRPr="009F1D50" w:rsidRDefault="003078BE" w:rsidP="00312E88">
            <w:pPr>
              <w:rPr>
                <w:rFonts w:cs="Arial"/>
                <w:color w:val="000000"/>
                <w:sz w:val="16"/>
                <w:szCs w:val="16"/>
              </w:rPr>
            </w:pPr>
          </w:p>
        </w:tc>
        <w:tc>
          <w:tcPr>
            <w:tcW w:w="502" w:type="pct"/>
            <w:tcBorders>
              <w:top w:val="nil"/>
              <w:left w:val="nil"/>
              <w:bottom w:val="nil"/>
              <w:right w:val="nil"/>
            </w:tcBorders>
            <w:shd w:val="clear" w:color="auto" w:fill="auto"/>
            <w:noWrap/>
            <w:vAlign w:val="bottom"/>
            <w:hideMark/>
          </w:tcPr>
          <w:p w14:paraId="17C45B99" w14:textId="77777777" w:rsidR="003078BE" w:rsidRPr="009F1D50" w:rsidRDefault="003078BE" w:rsidP="00312E88">
            <w:pPr>
              <w:jc w:val="right"/>
              <w:rPr>
                <w:rFonts w:cs="Arial"/>
                <w:color w:val="000000"/>
                <w:sz w:val="16"/>
                <w:szCs w:val="16"/>
              </w:rPr>
            </w:pPr>
            <w:r w:rsidRPr="009F1D50">
              <w:rPr>
                <w:rFonts w:cs="Arial"/>
                <w:color w:val="000000"/>
                <w:sz w:val="16"/>
                <w:szCs w:val="16"/>
              </w:rPr>
              <w:t>32,364</w:t>
            </w:r>
          </w:p>
        </w:tc>
        <w:tc>
          <w:tcPr>
            <w:tcW w:w="502" w:type="pct"/>
            <w:tcBorders>
              <w:top w:val="nil"/>
              <w:left w:val="nil"/>
              <w:bottom w:val="nil"/>
              <w:right w:val="nil"/>
            </w:tcBorders>
            <w:shd w:val="clear" w:color="auto" w:fill="auto"/>
            <w:noWrap/>
            <w:vAlign w:val="bottom"/>
            <w:hideMark/>
          </w:tcPr>
          <w:p w14:paraId="62FABBF8" w14:textId="77777777" w:rsidR="003078BE" w:rsidRPr="009F1D50" w:rsidRDefault="003078BE" w:rsidP="00312E88">
            <w:pPr>
              <w:jc w:val="right"/>
              <w:rPr>
                <w:rFonts w:cs="Arial"/>
                <w:color w:val="000000"/>
                <w:sz w:val="16"/>
                <w:szCs w:val="16"/>
              </w:rPr>
            </w:pPr>
            <w:r w:rsidRPr="009F1D50">
              <w:rPr>
                <w:rFonts w:cs="Arial"/>
                <w:color w:val="000000"/>
                <w:sz w:val="16"/>
                <w:szCs w:val="16"/>
              </w:rPr>
              <w:t>48,447</w:t>
            </w:r>
          </w:p>
        </w:tc>
      </w:tr>
      <w:tr w:rsidR="003078BE" w:rsidRPr="009F1D50" w14:paraId="630E8202" w14:textId="77777777" w:rsidTr="003078BE">
        <w:trPr>
          <w:trHeight w:hRule="exact" w:val="255"/>
        </w:trPr>
        <w:tc>
          <w:tcPr>
            <w:tcW w:w="3312" w:type="pct"/>
            <w:tcBorders>
              <w:top w:val="nil"/>
              <w:left w:val="nil"/>
              <w:bottom w:val="single" w:sz="8" w:space="0" w:color="auto"/>
              <w:right w:val="nil"/>
            </w:tcBorders>
            <w:shd w:val="clear" w:color="auto" w:fill="auto"/>
            <w:noWrap/>
            <w:vAlign w:val="bottom"/>
            <w:hideMark/>
          </w:tcPr>
          <w:p w14:paraId="4490A044" w14:textId="77777777" w:rsidR="003078BE" w:rsidRPr="009F1D50" w:rsidRDefault="003078BE" w:rsidP="00312E88">
            <w:pPr>
              <w:rPr>
                <w:rFonts w:cs="Arial"/>
                <w:color w:val="000000"/>
                <w:sz w:val="16"/>
                <w:szCs w:val="16"/>
              </w:rPr>
            </w:pPr>
            <w:r w:rsidRPr="009F1D50">
              <w:rPr>
                <w:rFonts w:cs="Arial"/>
                <w:color w:val="000000"/>
                <w:sz w:val="16"/>
                <w:szCs w:val="16"/>
              </w:rPr>
              <w:t>Scenario 1c. =&gt; Alternative normal inflation</w:t>
            </w:r>
          </w:p>
        </w:tc>
        <w:tc>
          <w:tcPr>
            <w:tcW w:w="684" w:type="pct"/>
            <w:tcBorders>
              <w:top w:val="nil"/>
              <w:left w:val="nil"/>
              <w:bottom w:val="single" w:sz="8" w:space="0" w:color="auto"/>
              <w:right w:val="nil"/>
            </w:tcBorders>
            <w:shd w:val="clear" w:color="auto" w:fill="auto"/>
            <w:noWrap/>
            <w:vAlign w:val="bottom"/>
            <w:hideMark/>
          </w:tcPr>
          <w:p w14:paraId="7B613421" w14:textId="77777777" w:rsidR="003078BE" w:rsidRPr="009F1D50" w:rsidRDefault="003078BE" w:rsidP="00312E88">
            <w:pPr>
              <w:rPr>
                <w:rFonts w:cs="Arial"/>
                <w:color w:val="000000"/>
                <w:sz w:val="16"/>
                <w:szCs w:val="16"/>
              </w:rPr>
            </w:pPr>
            <w:r w:rsidRPr="009F1D50">
              <w:rPr>
                <w:rFonts w:cs="Arial"/>
                <w:color w:val="000000"/>
                <w:sz w:val="16"/>
                <w:szCs w:val="16"/>
              </w:rPr>
              <w:t> </w:t>
            </w:r>
          </w:p>
        </w:tc>
        <w:tc>
          <w:tcPr>
            <w:tcW w:w="502" w:type="pct"/>
            <w:tcBorders>
              <w:top w:val="nil"/>
              <w:left w:val="nil"/>
              <w:bottom w:val="single" w:sz="8" w:space="0" w:color="auto"/>
              <w:right w:val="nil"/>
            </w:tcBorders>
            <w:shd w:val="clear" w:color="auto" w:fill="auto"/>
            <w:noWrap/>
            <w:vAlign w:val="bottom"/>
            <w:hideMark/>
          </w:tcPr>
          <w:p w14:paraId="5B19D79D" w14:textId="77777777" w:rsidR="003078BE" w:rsidRPr="009F1D50" w:rsidRDefault="003078BE" w:rsidP="00312E88">
            <w:pPr>
              <w:jc w:val="right"/>
              <w:rPr>
                <w:rFonts w:cs="Arial"/>
                <w:color w:val="000000"/>
                <w:sz w:val="16"/>
                <w:szCs w:val="16"/>
              </w:rPr>
            </w:pPr>
            <w:r w:rsidRPr="009F1D50">
              <w:rPr>
                <w:rFonts w:cs="Arial"/>
                <w:color w:val="000000"/>
                <w:sz w:val="16"/>
                <w:szCs w:val="16"/>
              </w:rPr>
              <w:t>33,332</w:t>
            </w:r>
          </w:p>
        </w:tc>
        <w:tc>
          <w:tcPr>
            <w:tcW w:w="502" w:type="pct"/>
            <w:tcBorders>
              <w:top w:val="nil"/>
              <w:left w:val="nil"/>
              <w:bottom w:val="single" w:sz="8" w:space="0" w:color="auto"/>
              <w:right w:val="nil"/>
            </w:tcBorders>
            <w:shd w:val="clear" w:color="auto" w:fill="auto"/>
            <w:noWrap/>
            <w:vAlign w:val="bottom"/>
            <w:hideMark/>
          </w:tcPr>
          <w:p w14:paraId="0971852B" w14:textId="77777777" w:rsidR="003078BE" w:rsidRPr="009F1D50" w:rsidRDefault="003078BE" w:rsidP="00312E88">
            <w:pPr>
              <w:jc w:val="right"/>
              <w:rPr>
                <w:rFonts w:cs="Arial"/>
                <w:color w:val="000000"/>
                <w:sz w:val="16"/>
                <w:szCs w:val="16"/>
              </w:rPr>
            </w:pPr>
            <w:r w:rsidRPr="009F1D50">
              <w:rPr>
                <w:rFonts w:cs="Arial"/>
                <w:color w:val="000000"/>
                <w:sz w:val="16"/>
                <w:szCs w:val="16"/>
              </w:rPr>
              <w:t>46,735</w:t>
            </w:r>
          </w:p>
        </w:tc>
      </w:tr>
      <w:tr w:rsidR="003078BE" w:rsidRPr="009F1D50" w14:paraId="45FB3446" w14:textId="77777777" w:rsidTr="003078BE">
        <w:trPr>
          <w:trHeight w:hRule="exact" w:val="255"/>
        </w:trPr>
        <w:tc>
          <w:tcPr>
            <w:tcW w:w="3312" w:type="pct"/>
            <w:tcBorders>
              <w:top w:val="nil"/>
              <w:left w:val="nil"/>
              <w:bottom w:val="nil"/>
              <w:right w:val="nil"/>
            </w:tcBorders>
            <w:shd w:val="clear" w:color="auto" w:fill="auto"/>
            <w:noWrap/>
            <w:vAlign w:val="bottom"/>
            <w:hideMark/>
          </w:tcPr>
          <w:p w14:paraId="3E9E7A31" w14:textId="77777777" w:rsidR="003078BE" w:rsidRPr="009F1D50" w:rsidRDefault="003078BE" w:rsidP="00312E88">
            <w:pPr>
              <w:rPr>
                <w:rFonts w:cs="Arial"/>
                <w:color w:val="000000"/>
                <w:sz w:val="16"/>
                <w:szCs w:val="16"/>
              </w:rPr>
            </w:pPr>
            <w:r w:rsidRPr="009F1D50">
              <w:rPr>
                <w:rFonts w:cs="Arial"/>
                <w:color w:val="000000"/>
                <w:sz w:val="16"/>
                <w:szCs w:val="16"/>
              </w:rPr>
              <w:t>Scenario 2a. =&gt; Higher proportion of participants in SIL over long term</w:t>
            </w:r>
          </w:p>
        </w:tc>
        <w:tc>
          <w:tcPr>
            <w:tcW w:w="684" w:type="pct"/>
            <w:tcBorders>
              <w:top w:val="nil"/>
              <w:left w:val="nil"/>
              <w:bottom w:val="nil"/>
              <w:right w:val="nil"/>
            </w:tcBorders>
            <w:shd w:val="clear" w:color="auto" w:fill="auto"/>
            <w:noWrap/>
            <w:vAlign w:val="bottom"/>
            <w:hideMark/>
          </w:tcPr>
          <w:p w14:paraId="60C2801E" w14:textId="77777777" w:rsidR="003078BE" w:rsidRPr="009F1D50" w:rsidRDefault="003078BE" w:rsidP="00312E88">
            <w:pPr>
              <w:rPr>
                <w:rFonts w:cs="Arial"/>
                <w:color w:val="000000"/>
                <w:sz w:val="16"/>
                <w:szCs w:val="16"/>
              </w:rPr>
            </w:pPr>
          </w:p>
        </w:tc>
        <w:tc>
          <w:tcPr>
            <w:tcW w:w="502" w:type="pct"/>
            <w:tcBorders>
              <w:top w:val="nil"/>
              <w:left w:val="nil"/>
              <w:bottom w:val="nil"/>
              <w:right w:val="nil"/>
            </w:tcBorders>
            <w:shd w:val="clear" w:color="auto" w:fill="auto"/>
            <w:noWrap/>
            <w:vAlign w:val="bottom"/>
            <w:hideMark/>
          </w:tcPr>
          <w:p w14:paraId="20B9E255" w14:textId="77777777" w:rsidR="003078BE" w:rsidRPr="009F1D50" w:rsidRDefault="003078BE" w:rsidP="00312E88">
            <w:pPr>
              <w:jc w:val="right"/>
              <w:rPr>
                <w:rFonts w:cs="Arial"/>
                <w:color w:val="000000"/>
                <w:sz w:val="16"/>
                <w:szCs w:val="16"/>
              </w:rPr>
            </w:pPr>
            <w:r w:rsidRPr="009F1D50">
              <w:rPr>
                <w:rFonts w:cs="Arial"/>
                <w:color w:val="000000"/>
                <w:sz w:val="16"/>
                <w:szCs w:val="16"/>
              </w:rPr>
              <w:t>37,230</w:t>
            </w:r>
          </w:p>
        </w:tc>
        <w:tc>
          <w:tcPr>
            <w:tcW w:w="502" w:type="pct"/>
            <w:tcBorders>
              <w:top w:val="nil"/>
              <w:left w:val="nil"/>
              <w:bottom w:val="nil"/>
              <w:right w:val="nil"/>
            </w:tcBorders>
            <w:shd w:val="clear" w:color="auto" w:fill="auto"/>
            <w:noWrap/>
            <w:vAlign w:val="bottom"/>
            <w:hideMark/>
          </w:tcPr>
          <w:p w14:paraId="162C8BC8" w14:textId="77777777" w:rsidR="003078BE" w:rsidRPr="009F1D50" w:rsidRDefault="003078BE" w:rsidP="00312E88">
            <w:pPr>
              <w:jc w:val="right"/>
              <w:rPr>
                <w:rFonts w:cs="Arial"/>
                <w:color w:val="000000"/>
                <w:sz w:val="16"/>
                <w:szCs w:val="16"/>
              </w:rPr>
            </w:pPr>
            <w:r w:rsidRPr="009F1D50">
              <w:rPr>
                <w:rFonts w:cs="Arial"/>
                <w:color w:val="000000"/>
                <w:sz w:val="16"/>
                <w:szCs w:val="16"/>
              </w:rPr>
              <w:t>60,805</w:t>
            </w:r>
          </w:p>
        </w:tc>
      </w:tr>
      <w:tr w:rsidR="003078BE" w:rsidRPr="009F1D50" w14:paraId="0E67BE12" w14:textId="77777777" w:rsidTr="003078BE">
        <w:trPr>
          <w:trHeight w:hRule="exact" w:val="255"/>
        </w:trPr>
        <w:tc>
          <w:tcPr>
            <w:tcW w:w="3312" w:type="pct"/>
            <w:tcBorders>
              <w:top w:val="nil"/>
              <w:left w:val="nil"/>
              <w:bottom w:val="nil"/>
              <w:right w:val="nil"/>
            </w:tcBorders>
            <w:shd w:val="clear" w:color="auto" w:fill="auto"/>
            <w:noWrap/>
            <w:vAlign w:val="bottom"/>
            <w:hideMark/>
          </w:tcPr>
          <w:p w14:paraId="5111393F" w14:textId="77777777" w:rsidR="003078BE" w:rsidRPr="009F1D50" w:rsidRDefault="003078BE" w:rsidP="00312E88">
            <w:pPr>
              <w:rPr>
                <w:rFonts w:cs="Arial"/>
                <w:color w:val="000000"/>
                <w:sz w:val="16"/>
                <w:szCs w:val="16"/>
              </w:rPr>
            </w:pPr>
            <w:r w:rsidRPr="009F1D50">
              <w:rPr>
                <w:rFonts w:cs="Arial"/>
                <w:color w:val="000000"/>
                <w:sz w:val="16"/>
                <w:szCs w:val="16"/>
              </w:rPr>
              <w:t>Scenario 2b. =&gt; Continuation of increasing SIL cost for 2 years</w:t>
            </w:r>
          </w:p>
        </w:tc>
        <w:tc>
          <w:tcPr>
            <w:tcW w:w="684" w:type="pct"/>
            <w:tcBorders>
              <w:top w:val="nil"/>
              <w:left w:val="nil"/>
              <w:bottom w:val="nil"/>
              <w:right w:val="nil"/>
            </w:tcBorders>
            <w:shd w:val="clear" w:color="auto" w:fill="auto"/>
            <w:noWrap/>
            <w:vAlign w:val="bottom"/>
            <w:hideMark/>
          </w:tcPr>
          <w:p w14:paraId="1CCDFB3C" w14:textId="77777777" w:rsidR="003078BE" w:rsidRPr="009F1D50" w:rsidRDefault="003078BE" w:rsidP="00312E88">
            <w:pPr>
              <w:rPr>
                <w:rFonts w:cs="Arial"/>
                <w:color w:val="000000"/>
                <w:sz w:val="16"/>
                <w:szCs w:val="16"/>
              </w:rPr>
            </w:pPr>
          </w:p>
        </w:tc>
        <w:tc>
          <w:tcPr>
            <w:tcW w:w="502" w:type="pct"/>
            <w:tcBorders>
              <w:top w:val="nil"/>
              <w:left w:val="nil"/>
              <w:bottom w:val="nil"/>
              <w:right w:val="nil"/>
            </w:tcBorders>
            <w:shd w:val="clear" w:color="auto" w:fill="auto"/>
            <w:noWrap/>
            <w:vAlign w:val="bottom"/>
            <w:hideMark/>
          </w:tcPr>
          <w:p w14:paraId="252BDC01" w14:textId="77777777" w:rsidR="003078BE" w:rsidRPr="009F1D50" w:rsidRDefault="003078BE" w:rsidP="00312E88">
            <w:pPr>
              <w:jc w:val="right"/>
              <w:rPr>
                <w:rFonts w:cs="Arial"/>
                <w:color w:val="000000"/>
                <w:sz w:val="16"/>
                <w:szCs w:val="16"/>
              </w:rPr>
            </w:pPr>
            <w:r w:rsidRPr="009F1D50">
              <w:rPr>
                <w:rFonts w:cs="Arial"/>
                <w:color w:val="000000"/>
                <w:sz w:val="16"/>
                <w:szCs w:val="16"/>
              </w:rPr>
              <w:t>37,909</w:t>
            </w:r>
          </w:p>
        </w:tc>
        <w:tc>
          <w:tcPr>
            <w:tcW w:w="502" w:type="pct"/>
            <w:tcBorders>
              <w:top w:val="nil"/>
              <w:left w:val="nil"/>
              <w:bottom w:val="nil"/>
              <w:right w:val="nil"/>
            </w:tcBorders>
            <w:shd w:val="clear" w:color="auto" w:fill="auto"/>
            <w:noWrap/>
            <w:vAlign w:val="bottom"/>
            <w:hideMark/>
          </w:tcPr>
          <w:p w14:paraId="1EA3D67A" w14:textId="77777777" w:rsidR="003078BE" w:rsidRPr="009F1D50" w:rsidRDefault="003078BE" w:rsidP="00312E88">
            <w:pPr>
              <w:jc w:val="right"/>
              <w:rPr>
                <w:rFonts w:cs="Arial"/>
                <w:color w:val="000000"/>
                <w:sz w:val="16"/>
                <w:szCs w:val="16"/>
              </w:rPr>
            </w:pPr>
            <w:r w:rsidRPr="009F1D50">
              <w:rPr>
                <w:rFonts w:cs="Arial"/>
                <w:color w:val="000000"/>
                <w:sz w:val="16"/>
                <w:szCs w:val="16"/>
              </w:rPr>
              <w:t>57,276</w:t>
            </w:r>
          </w:p>
        </w:tc>
      </w:tr>
      <w:tr w:rsidR="003078BE" w:rsidRPr="009F1D50" w14:paraId="1341AC89" w14:textId="77777777" w:rsidTr="003078BE">
        <w:trPr>
          <w:trHeight w:hRule="exact" w:val="255"/>
        </w:trPr>
        <w:tc>
          <w:tcPr>
            <w:tcW w:w="3312" w:type="pct"/>
            <w:tcBorders>
              <w:top w:val="nil"/>
              <w:left w:val="nil"/>
              <w:bottom w:val="single" w:sz="8" w:space="0" w:color="auto"/>
              <w:right w:val="nil"/>
            </w:tcBorders>
            <w:shd w:val="clear" w:color="auto" w:fill="auto"/>
            <w:noWrap/>
            <w:vAlign w:val="bottom"/>
            <w:hideMark/>
          </w:tcPr>
          <w:p w14:paraId="3CF37169" w14:textId="77777777" w:rsidR="003078BE" w:rsidRPr="009F1D50" w:rsidRDefault="003078BE" w:rsidP="00312E88">
            <w:pPr>
              <w:rPr>
                <w:rFonts w:cs="Arial"/>
                <w:color w:val="000000"/>
                <w:sz w:val="16"/>
                <w:szCs w:val="16"/>
              </w:rPr>
            </w:pPr>
            <w:r w:rsidRPr="009F1D50">
              <w:rPr>
                <w:rFonts w:cs="Arial"/>
                <w:color w:val="000000"/>
                <w:sz w:val="16"/>
                <w:szCs w:val="16"/>
              </w:rPr>
              <w:t>Scenario 2c. =&gt; SIL cost innovation</w:t>
            </w:r>
          </w:p>
        </w:tc>
        <w:tc>
          <w:tcPr>
            <w:tcW w:w="684" w:type="pct"/>
            <w:tcBorders>
              <w:top w:val="nil"/>
              <w:left w:val="nil"/>
              <w:bottom w:val="single" w:sz="8" w:space="0" w:color="auto"/>
              <w:right w:val="nil"/>
            </w:tcBorders>
            <w:shd w:val="clear" w:color="auto" w:fill="auto"/>
            <w:noWrap/>
            <w:vAlign w:val="bottom"/>
            <w:hideMark/>
          </w:tcPr>
          <w:p w14:paraId="62529DD0" w14:textId="77777777" w:rsidR="003078BE" w:rsidRPr="009F1D50" w:rsidRDefault="003078BE" w:rsidP="00312E88">
            <w:pPr>
              <w:rPr>
                <w:rFonts w:cs="Arial"/>
                <w:color w:val="000000"/>
                <w:sz w:val="16"/>
                <w:szCs w:val="16"/>
              </w:rPr>
            </w:pPr>
            <w:r w:rsidRPr="009F1D50">
              <w:rPr>
                <w:rFonts w:cs="Arial"/>
                <w:color w:val="000000"/>
                <w:sz w:val="16"/>
                <w:szCs w:val="16"/>
              </w:rPr>
              <w:t> </w:t>
            </w:r>
          </w:p>
        </w:tc>
        <w:tc>
          <w:tcPr>
            <w:tcW w:w="502" w:type="pct"/>
            <w:tcBorders>
              <w:top w:val="nil"/>
              <w:left w:val="nil"/>
              <w:bottom w:val="single" w:sz="8" w:space="0" w:color="auto"/>
              <w:right w:val="nil"/>
            </w:tcBorders>
            <w:shd w:val="clear" w:color="auto" w:fill="auto"/>
            <w:noWrap/>
            <w:vAlign w:val="bottom"/>
            <w:hideMark/>
          </w:tcPr>
          <w:p w14:paraId="167D1825" w14:textId="77777777" w:rsidR="003078BE" w:rsidRPr="009F1D50" w:rsidRDefault="003078BE" w:rsidP="00312E88">
            <w:pPr>
              <w:jc w:val="right"/>
              <w:rPr>
                <w:rFonts w:cs="Arial"/>
                <w:color w:val="000000"/>
                <w:sz w:val="16"/>
                <w:szCs w:val="16"/>
              </w:rPr>
            </w:pPr>
            <w:r w:rsidRPr="009F1D50">
              <w:rPr>
                <w:rFonts w:cs="Arial"/>
                <w:color w:val="000000"/>
                <w:sz w:val="16"/>
                <w:szCs w:val="16"/>
              </w:rPr>
              <w:t>31,119</w:t>
            </w:r>
          </w:p>
        </w:tc>
        <w:tc>
          <w:tcPr>
            <w:tcW w:w="502" w:type="pct"/>
            <w:tcBorders>
              <w:top w:val="nil"/>
              <w:left w:val="nil"/>
              <w:bottom w:val="single" w:sz="8" w:space="0" w:color="auto"/>
              <w:right w:val="nil"/>
            </w:tcBorders>
            <w:shd w:val="clear" w:color="auto" w:fill="auto"/>
            <w:noWrap/>
            <w:vAlign w:val="bottom"/>
            <w:hideMark/>
          </w:tcPr>
          <w:p w14:paraId="58140647" w14:textId="77777777" w:rsidR="003078BE" w:rsidRPr="009F1D50" w:rsidRDefault="003078BE" w:rsidP="00312E88">
            <w:pPr>
              <w:jc w:val="right"/>
              <w:rPr>
                <w:rFonts w:cs="Arial"/>
                <w:color w:val="000000"/>
                <w:sz w:val="16"/>
                <w:szCs w:val="16"/>
              </w:rPr>
            </w:pPr>
            <w:r w:rsidRPr="009F1D50">
              <w:rPr>
                <w:rFonts w:cs="Arial"/>
                <w:color w:val="000000"/>
                <w:sz w:val="16"/>
                <w:szCs w:val="16"/>
              </w:rPr>
              <w:t>46,600</w:t>
            </w:r>
          </w:p>
        </w:tc>
      </w:tr>
      <w:tr w:rsidR="003078BE" w:rsidRPr="009F1D50" w14:paraId="1A19F4DC" w14:textId="77777777" w:rsidTr="003078BE">
        <w:trPr>
          <w:trHeight w:hRule="exact" w:val="255"/>
        </w:trPr>
        <w:tc>
          <w:tcPr>
            <w:tcW w:w="3312" w:type="pct"/>
            <w:tcBorders>
              <w:top w:val="nil"/>
              <w:left w:val="nil"/>
              <w:bottom w:val="nil"/>
              <w:right w:val="nil"/>
            </w:tcBorders>
            <w:shd w:val="clear" w:color="auto" w:fill="auto"/>
            <w:noWrap/>
            <w:vAlign w:val="bottom"/>
            <w:hideMark/>
          </w:tcPr>
          <w:p w14:paraId="5984B5F8" w14:textId="77777777" w:rsidR="003078BE" w:rsidRPr="009F1D50" w:rsidRDefault="003078BE" w:rsidP="00312E88">
            <w:pPr>
              <w:rPr>
                <w:rFonts w:cs="Arial"/>
                <w:color w:val="000000"/>
                <w:sz w:val="16"/>
                <w:szCs w:val="16"/>
              </w:rPr>
            </w:pPr>
            <w:r w:rsidRPr="009F1D50">
              <w:rPr>
                <w:rFonts w:cs="Arial"/>
                <w:color w:val="000000"/>
                <w:sz w:val="16"/>
                <w:szCs w:val="16"/>
              </w:rPr>
              <w:t>Scenario 3a. =&gt; 44,000 additional participants</w:t>
            </w:r>
          </w:p>
        </w:tc>
        <w:tc>
          <w:tcPr>
            <w:tcW w:w="684" w:type="pct"/>
            <w:tcBorders>
              <w:top w:val="nil"/>
              <w:left w:val="nil"/>
              <w:bottom w:val="nil"/>
              <w:right w:val="nil"/>
            </w:tcBorders>
            <w:shd w:val="clear" w:color="auto" w:fill="auto"/>
            <w:noWrap/>
            <w:vAlign w:val="bottom"/>
            <w:hideMark/>
          </w:tcPr>
          <w:p w14:paraId="5345DFC2" w14:textId="77777777" w:rsidR="003078BE" w:rsidRPr="009F1D50" w:rsidRDefault="003078BE" w:rsidP="00312E88">
            <w:pPr>
              <w:rPr>
                <w:rFonts w:cs="Arial"/>
                <w:color w:val="000000"/>
                <w:sz w:val="16"/>
                <w:szCs w:val="16"/>
              </w:rPr>
            </w:pPr>
          </w:p>
        </w:tc>
        <w:tc>
          <w:tcPr>
            <w:tcW w:w="502" w:type="pct"/>
            <w:tcBorders>
              <w:top w:val="nil"/>
              <w:left w:val="nil"/>
              <w:bottom w:val="nil"/>
              <w:right w:val="nil"/>
            </w:tcBorders>
            <w:shd w:val="clear" w:color="auto" w:fill="auto"/>
            <w:noWrap/>
            <w:vAlign w:val="bottom"/>
            <w:hideMark/>
          </w:tcPr>
          <w:p w14:paraId="3AA5E833" w14:textId="77777777" w:rsidR="003078BE" w:rsidRPr="009F1D50" w:rsidRDefault="003078BE" w:rsidP="00312E88">
            <w:pPr>
              <w:jc w:val="right"/>
              <w:rPr>
                <w:rFonts w:cs="Arial"/>
                <w:color w:val="000000"/>
                <w:sz w:val="16"/>
                <w:szCs w:val="16"/>
              </w:rPr>
            </w:pPr>
            <w:r w:rsidRPr="009F1D50">
              <w:rPr>
                <w:rFonts w:cs="Arial"/>
                <w:color w:val="000000"/>
                <w:sz w:val="16"/>
                <w:szCs w:val="16"/>
              </w:rPr>
              <w:t>37,955</w:t>
            </w:r>
          </w:p>
        </w:tc>
        <w:tc>
          <w:tcPr>
            <w:tcW w:w="502" w:type="pct"/>
            <w:tcBorders>
              <w:top w:val="nil"/>
              <w:left w:val="nil"/>
              <w:bottom w:val="nil"/>
              <w:right w:val="nil"/>
            </w:tcBorders>
            <w:shd w:val="clear" w:color="auto" w:fill="auto"/>
            <w:noWrap/>
            <w:vAlign w:val="bottom"/>
            <w:hideMark/>
          </w:tcPr>
          <w:p w14:paraId="09C9B463" w14:textId="77777777" w:rsidR="003078BE" w:rsidRPr="009F1D50" w:rsidRDefault="003078BE" w:rsidP="00312E88">
            <w:pPr>
              <w:jc w:val="right"/>
              <w:rPr>
                <w:rFonts w:cs="Arial"/>
                <w:color w:val="000000"/>
                <w:sz w:val="16"/>
                <w:szCs w:val="16"/>
              </w:rPr>
            </w:pPr>
            <w:r w:rsidRPr="009F1D50">
              <w:rPr>
                <w:rFonts w:cs="Arial"/>
                <w:color w:val="000000"/>
                <w:sz w:val="16"/>
                <w:szCs w:val="16"/>
              </w:rPr>
              <w:t>56,268</w:t>
            </w:r>
          </w:p>
        </w:tc>
      </w:tr>
      <w:tr w:rsidR="003078BE" w:rsidRPr="009F1D50" w14:paraId="2518823A" w14:textId="77777777" w:rsidTr="003078BE">
        <w:trPr>
          <w:trHeight w:hRule="exact" w:val="255"/>
        </w:trPr>
        <w:tc>
          <w:tcPr>
            <w:tcW w:w="3312" w:type="pct"/>
            <w:tcBorders>
              <w:top w:val="nil"/>
              <w:left w:val="nil"/>
              <w:bottom w:val="nil"/>
              <w:right w:val="nil"/>
            </w:tcBorders>
            <w:shd w:val="clear" w:color="auto" w:fill="auto"/>
            <w:noWrap/>
            <w:vAlign w:val="bottom"/>
            <w:hideMark/>
          </w:tcPr>
          <w:p w14:paraId="70D36CEB" w14:textId="77777777" w:rsidR="003078BE" w:rsidRPr="009F1D50" w:rsidRDefault="003078BE" w:rsidP="00312E88">
            <w:pPr>
              <w:rPr>
                <w:rFonts w:cs="Arial"/>
                <w:color w:val="000000"/>
                <w:sz w:val="16"/>
                <w:szCs w:val="16"/>
              </w:rPr>
            </w:pPr>
            <w:r w:rsidRPr="009F1D50">
              <w:rPr>
                <w:rFonts w:cs="Arial"/>
                <w:color w:val="000000"/>
                <w:sz w:val="16"/>
                <w:szCs w:val="16"/>
              </w:rPr>
              <w:t>Scenario 3b. =&gt; 60,000 additional participants</w:t>
            </w:r>
          </w:p>
        </w:tc>
        <w:tc>
          <w:tcPr>
            <w:tcW w:w="684" w:type="pct"/>
            <w:tcBorders>
              <w:top w:val="nil"/>
              <w:left w:val="nil"/>
              <w:bottom w:val="nil"/>
              <w:right w:val="nil"/>
            </w:tcBorders>
            <w:shd w:val="clear" w:color="auto" w:fill="auto"/>
            <w:noWrap/>
            <w:vAlign w:val="bottom"/>
            <w:hideMark/>
          </w:tcPr>
          <w:p w14:paraId="7A065AC5" w14:textId="77777777" w:rsidR="003078BE" w:rsidRPr="009F1D50" w:rsidRDefault="003078BE" w:rsidP="00312E88">
            <w:pPr>
              <w:rPr>
                <w:rFonts w:cs="Arial"/>
                <w:color w:val="000000"/>
                <w:sz w:val="16"/>
                <w:szCs w:val="16"/>
              </w:rPr>
            </w:pPr>
          </w:p>
        </w:tc>
        <w:tc>
          <w:tcPr>
            <w:tcW w:w="502" w:type="pct"/>
            <w:tcBorders>
              <w:top w:val="nil"/>
              <w:left w:val="nil"/>
              <w:bottom w:val="nil"/>
              <w:right w:val="nil"/>
            </w:tcBorders>
            <w:shd w:val="clear" w:color="auto" w:fill="auto"/>
            <w:noWrap/>
            <w:vAlign w:val="bottom"/>
            <w:hideMark/>
          </w:tcPr>
          <w:p w14:paraId="60D52AE1" w14:textId="77777777" w:rsidR="003078BE" w:rsidRPr="009F1D50" w:rsidRDefault="003078BE" w:rsidP="00312E88">
            <w:pPr>
              <w:jc w:val="right"/>
              <w:rPr>
                <w:rFonts w:cs="Arial"/>
                <w:color w:val="000000"/>
                <w:sz w:val="16"/>
                <w:szCs w:val="16"/>
              </w:rPr>
            </w:pPr>
            <w:r w:rsidRPr="009F1D50">
              <w:rPr>
                <w:rFonts w:cs="Arial"/>
                <w:color w:val="000000"/>
                <w:sz w:val="16"/>
                <w:szCs w:val="16"/>
              </w:rPr>
              <w:t>38,430</w:t>
            </w:r>
          </w:p>
        </w:tc>
        <w:tc>
          <w:tcPr>
            <w:tcW w:w="502" w:type="pct"/>
            <w:tcBorders>
              <w:top w:val="nil"/>
              <w:left w:val="nil"/>
              <w:bottom w:val="nil"/>
              <w:right w:val="nil"/>
            </w:tcBorders>
            <w:shd w:val="clear" w:color="auto" w:fill="auto"/>
            <w:noWrap/>
            <w:vAlign w:val="bottom"/>
            <w:hideMark/>
          </w:tcPr>
          <w:p w14:paraId="6CDAE88E" w14:textId="77777777" w:rsidR="003078BE" w:rsidRPr="009F1D50" w:rsidRDefault="003078BE" w:rsidP="00312E88">
            <w:pPr>
              <w:jc w:val="right"/>
              <w:rPr>
                <w:rFonts w:cs="Arial"/>
                <w:color w:val="000000"/>
                <w:sz w:val="16"/>
                <w:szCs w:val="16"/>
              </w:rPr>
            </w:pPr>
            <w:r w:rsidRPr="009F1D50">
              <w:rPr>
                <w:rFonts w:cs="Arial"/>
                <w:color w:val="000000"/>
                <w:sz w:val="16"/>
                <w:szCs w:val="16"/>
              </w:rPr>
              <w:t>56,879</w:t>
            </w:r>
          </w:p>
        </w:tc>
      </w:tr>
      <w:tr w:rsidR="003078BE" w:rsidRPr="009F1D50" w14:paraId="20F1CBB0" w14:textId="77777777" w:rsidTr="003078BE">
        <w:trPr>
          <w:trHeight w:hRule="exact" w:val="255"/>
        </w:trPr>
        <w:tc>
          <w:tcPr>
            <w:tcW w:w="3312" w:type="pct"/>
            <w:tcBorders>
              <w:top w:val="nil"/>
              <w:left w:val="nil"/>
              <w:bottom w:val="single" w:sz="8" w:space="0" w:color="auto"/>
              <w:right w:val="nil"/>
            </w:tcBorders>
            <w:shd w:val="clear" w:color="auto" w:fill="auto"/>
            <w:noWrap/>
            <w:vAlign w:val="bottom"/>
            <w:hideMark/>
          </w:tcPr>
          <w:p w14:paraId="3848C19D" w14:textId="77777777" w:rsidR="003078BE" w:rsidRPr="009F1D50" w:rsidRDefault="003078BE" w:rsidP="00312E88">
            <w:pPr>
              <w:rPr>
                <w:rFonts w:cs="Arial"/>
                <w:color w:val="000000"/>
                <w:sz w:val="16"/>
                <w:szCs w:val="16"/>
              </w:rPr>
            </w:pPr>
            <w:r w:rsidRPr="009F1D50">
              <w:rPr>
                <w:rFonts w:cs="Arial"/>
                <w:color w:val="000000"/>
                <w:sz w:val="16"/>
                <w:szCs w:val="16"/>
              </w:rPr>
              <w:t>Scenario 3c. =&gt; 99,000 additional participants</w:t>
            </w:r>
          </w:p>
        </w:tc>
        <w:tc>
          <w:tcPr>
            <w:tcW w:w="684" w:type="pct"/>
            <w:tcBorders>
              <w:top w:val="nil"/>
              <w:left w:val="nil"/>
              <w:bottom w:val="single" w:sz="8" w:space="0" w:color="auto"/>
              <w:right w:val="nil"/>
            </w:tcBorders>
            <w:shd w:val="clear" w:color="auto" w:fill="auto"/>
            <w:noWrap/>
            <w:vAlign w:val="bottom"/>
            <w:hideMark/>
          </w:tcPr>
          <w:p w14:paraId="5A387601" w14:textId="77777777" w:rsidR="003078BE" w:rsidRPr="009F1D50" w:rsidRDefault="003078BE" w:rsidP="00312E88">
            <w:pPr>
              <w:rPr>
                <w:rFonts w:cs="Arial"/>
                <w:color w:val="000000"/>
                <w:sz w:val="16"/>
                <w:szCs w:val="16"/>
              </w:rPr>
            </w:pPr>
            <w:r w:rsidRPr="009F1D50">
              <w:rPr>
                <w:rFonts w:cs="Arial"/>
                <w:color w:val="000000"/>
                <w:sz w:val="16"/>
                <w:szCs w:val="16"/>
              </w:rPr>
              <w:t> </w:t>
            </w:r>
          </w:p>
        </w:tc>
        <w:tc>
          <w:tcPr>
            <w:tcW w:w="502" w:type="pct"/>
            <w:tcBorders>
              <w:top w:val="nil"/>
              <w:left w:val="nil"/>
              <w:bottom w:val="single" w:sz="8" w:space="0" w:color="auto"/>
              <w:right w:val="nil"/>
            </w:tcBorders>
            <w:shd w:val="clear" w:color="auto" w:fill="auto"/>
            <w:noWrap/>
            <w:vAlign w:val="bottom"/>
            <w:hideMark/>
          </w:tcPr>
          <w:p w14:paraId="4313F9A0" w14:textId="77777777" w:rsidR="003078BE" w:rsidRPr="009F1D50" w:rsidRDefault="003078BE" w:rsidP="00312E88">
            <w:pPr>
              <w:jc w:val="right"/>
              <w:rPr>
                <w:rFonts w:cs="Arial"/>
                <w:color w:val="000000"/>
                <w:sz w:val="16"/>
                <w:szCs w:val="16"/>
              </w:rPr>
            </w:pPr>
            <w:r w:rsidRPr="009F1D50">
              <w:rPr>
                <w:rFonts w:cs="Arial"/>
                <w:color w:val="000000"/>
                <w:sz w:val="16"/>
                <w:szCs w:val="16"/>
              </w:rPr>
              <w:t>39,287</w:t>
            </w:r>
          </w:p>
        </w:tc>
        <w:tc>
          <w:tcPr>
            <w:tcW w:w="502" w:type="pct"/>
            <w:tcBorders>
              <w:top w:val="nil"/>
              <w:left w:val="nil"/>
              <w:bottom w:val="single" w:sz="8" w:space="0" w:color="auto"/>
              <w:right w:val="nil"/>
            </w:tcBorders>
            <w:shd w:val="clear" w:color="auto" w:fill="auto"/>
            <w:noWrap/>
            <w:vAlign w:val="bottom"/>
            <w:hideMark/>
          </w:tcPr>
          <w:p w14:paraId="705C533A" w14:textId="77777777" w:rsidR="003078BE" w:rsidRPr="009F1D50" w:rsidRDefault="003078BE" w:rsidP="00312E88">
            <w:pPr>
              <w:jc w:val="right"/>
              <w:rPr>
                <w:rFonts w:cs="Arial"/>
                <w:color w:val="000000"/>
                <w:sz w:val="16"/>
                <w:szCs w:val="16"/>
              </w:rPr>
            </w:pPr>
            <w:r w:rsidRPr="009F1D50">
              <w:rPr>
                <w:rFonts w:cs="Arial"/>
                <w:color w:val="000000"/>
                <w:sz w:val="16"/>
                <w:szCs w:val="16"/>
              </w:rPr>
              <w:t>57,982</w:t>
            </w:r>
          </w:p>
        </w:tc>
      </w:tr>
      <w:tr w:rsidR="003078BE" w:rsidRPr="009F1D50" w14:paraId="1DBA58AE" w14:textId="77777777" w:rsidTr="003078BE">
        <w:trPr>
          <w:trHeight w:hRule="exact" w:val="255"/>
        </w:trPr>
        <w:tc>
          <w:tcPr>
            <w:tcW w:w="3312" w:type="pct"/>
            <w:tcBorders>
              <w:top w:val="nil"/>
              <w:left w:val="nil"/>
              <w:bottom w:val="nil"/>
              <w:right w:val="nil"/>
            </w:tcBorders>
            <w:shd w:val="clear" w:color="auto" w:fill="auto"/>
            <w:noWrap/>
            <w:vAlign w:val="bottom"/>
            <w:hideMark/>
          </w:tcPr>
          <w:p w14:paraId="771FDCE6" w14:textId="77777777" w:rsidR="003078BE" w:rsidRPr="009F1D50" w:rsidRDefault="003078BE" w:rsidP="00312E88">
            <w:pPr>
              <w:rPr>
                <w:rFonts w:cs="Arial"/>
                <w:color w:val="000000"/>
                <w:sz w:val="16"/>
                <w:szCs w:val="16"/>
              </w:rPr>
            </w:pPr>
            <w:r w:rsidRPr="009F1D50">
              <w:rPr>
                <w:rFonts w:cs="Arial"/>
                <w:color w:val="000000"/>
                <w:sz w:val="16"/>
                <w:szCs w:val="16"/>
              </w:rPr>
              <w:t>Scenario 5a. =&gt; Steady Intake Date at 30 June 2021</w:t>
            </w:r>
          </w:p>
        </w:tc>
        <w:tc>
          <w:tcPr>
            <w:tcW w:w="684" w:type="pct"/>
            <w:tcBorders>
              <w:top w:val="nil"/>
              <w:left w:val="nil"/>
              <w:bottom w:val="nil"/>
              <w:right w:val="nil"/>
            </w:tcBorders>
            <w:shd w:val="clear" w:color="auto" w:fill="auto"/>
            <w:noWrap/>
            <w:vAlign w:val="bottom"/>
            <w:hideMark/>
          </w:tcPr>
          <w:p w14:paraId="1C6A6C14" w14:textId="77777777" w:rsidR="003078BE" w:rsidRPr="009F1D50" w:rsidRDefault="003078BE" w:rsidP="00312E88">
            <w:pPr>
              <w:rPr>
                <w:rFonts w:cs="Arial"/>
                <w:color w:val="000000"/>
                <w:sz w:val="16"/>
                <w:szCs w:val="16"/>
              </w:rPr>
            </w:pPr>
          </w:p>
        </w:tc>
        <w:tc>
          <w:tcPr>
            <w:tcW w:w="502" w:type="pct"/>
            <w:tcBorders>
              <w:top w:val="nil"/>
              <w:left w:val="nil"/>
              <w:bottom w:val="nil"/>
              <w:right w:val="nil"/>
            </w:tcBorders>
            <w:shd w:val="clear" w:color="auto" w:fill="auto"/>
            <w:noWrap/>
            <w:vAlign w:val="bottom"/>
            <w:hideMark/>
          </w:tcPr>
          <w:p w14:paraId="39C0ECF2" w14:textId="77777777" w:rsidR="003078BE" w:rsidRPr="009F1D50" w:rsidRDefault="003078BE" w:rsidP="00312E88">
            <w:pPr>
              <w:jc w:val="right"/>
              <w:rPr>
                <w:rFonts w:cs="Arial"/>
                <w:color w:val="000000"/>
                <w:sz w:val="16"/>
                <w:szCs w:val="16"/>
              </w:rPr>
            </w:pPr>
            <w:r w:rsidRPr="009F1D50">
              <w:rPr>
                <w:rFonts w:cs="Arial"/>
                <w:color w:val="000000"/>
                <w:sz w:val="16"/>
                <w:szCs w:val="16"/>
              </w:rPr>
              <w:t>33,207</w:t>
            </w:r>
          </w:p>
        </w:tc>
        <w:tc>
          <w:tcPr>
            <w:tcW w:w="502" w:type="pct"/>
            <w:tcBorders>
              <w:top w:val="nil"/>
              <w:left w:val="nil"/>
              <w:bottom w:val="nil"/>
              <w:right w:val="nil"/>
            </w:tcBorders>
            <w:shd w:val="clear" w:color="auto" w:fill="auto"/>
            <w:noWrap/>
            <w:vAlign w:val="bottom"/>
            <w:hideMark/>
          </w:tcPr>
          <w:p w14:paraId="394EC3CD" w14:textId="77777777" w:rsidR="003078BE" w:rsidRPr="009F1D50" w:rsidRDefault="003078BE" w:rsidP="00312E88">
            <w:pPr>
              <w:jc w:val="right"/>
              <w:rPr>
                <w:rFonts w:cs="Arial"/>
                <w:color w:val="000000"/>
                <w:sz w:val="16"/>
                <w:szCs w:val="16"/>
              </w:rPr>
            </w:pPr>
            <w:r w:rsidRPr="009F1D50">
              <w:rPr>
                <w:rFonts w:cs="Arial"/>
                <w:color w:val="000000"/>
                <w:sz w:val="16"/>
                <w:szCs w:val="16"/>
              </w:rPr>
              <w:t>50,180</w:t>
            </w:r>
          </w:p>
        </w:tc>
      </w:tr>
      <w:tr w:rsidR="003078BE" w:rsidRPr="009F1D50" w14:paraId="63F82ED6" w14:textId="77777777" w:rsidTr="003078BE">
        <w:trPr>
          <w:trHeight w:hRule="exact" w:val="255"/>
        </w:trPr>
        <w:tc>
          <w:tcPr>
            <w:tcW w:w="3312" w:type="pct"/>
            <w:tcBorders>
              <w:top w:val="nil"/>
              <w:left w:val="nil"/>
              <w:bottom w:val="single" w:sz="8" w:space="0" w:color="auto"/>
              <w:right w:val="nil"/>
            </w:tcBorders>
            <w:shd w:val="clear" w:color="auto" w:fill="auto"/>
            <w:noWrap/>
            <w:vAlign w:val="bottom"/>
            <w:hideMark/>
          </w:tcPr>
          <w:p w14:paraId="10E8D073" w14:textId="77777777" w:rsidR="003078BE" w:rsidRPr="009F1D50" w:rsidRDefault="003078BE" w:rsidP="00312E88">
            <w:pPr>
              <w:rPr>
                <w:rFonts w:cs="Arial"/>
                <w:color w:val="000000"/>
                <w:sz w:val="16"/>
                <w:szCs w:val="16"/>
              </w:rPr>
            </w:pPr>
            <w:r w:rsidRPr="009F1D50">
              <w:rPr>
                <w:rFonts w:cs="Arial"/>
                <w:color w:val="000000"/>
                <w:sz w:val="16"/>
                <w:szCs w:val="16"/>
              </w:rPr>
              <w:t>Scenario 5b. =&gt; Higher intake levels sustained for 3 years</w:t>
            </w:r>
          </w:p>
        </w:tc>
        <w:tc>
          <w:tcPr>
            <w:tcW w:w="684" w:type="pct"/>
            <w:tcBorders>
              <w:top w:val="nil"/>
              <w:left w:val="nil"/>
              <w:bottom w:val="single" w:sz="8" w:space="0" w:color="auto"/>
              <w:right w:val="nil"/>
            </w:tcBorders>
            <w:shd w:val="clear" w:color="auto" w:fill="auto"/>
            <w:noWrap/>
            <w:vAlign w:val="bottom"/>
            <w:hideMark/>
          </w:tcPr>
          <w:p w14:paraId="4E9178F5" w14:textId="77777777" w:rsidR="003078BE" w:rsidRPr="009F1D50" w:rsidRDefault="003078BE" w:rsidP="00312E88">
            <w:pPr>
              <w:rPr>
                <w:rFonts w:cs="Arial"/>
                <w:color w:val="000000"/>
                <w:sz w:val="16"/>
                <w:szCs w:val="16"/>
              </w:rPr>
            </w:pPr>
            <w:r w:rsidRPr="009F1D50">
              <w:rPr>
                <w:rFonts w:cs="Arial"/>
                <w:color w:val="000000"/>
                <w:sz w:val="16"/>
                <w:szCs w:val="16"/>
              </w:rPr>
              <w:t> </w:t>
            </w:r>
          </w:p>
        </w:tc>
        <w:tc>
          <w:tcPr>
            <w:tcW w:w="502" w:type="pct"/>
            <w:tcBorders>
              <w:top w:val="nil"/>
              <w:left w:val="nil"/>
              <w:bottom w:val="single" w:sz="8" w:space="0" w:color="auto"/>
              <w:right w:val="nil"/>
            </w:tcBorders>
            <w:shd w:val="clear" w:color="auto" w:fill="auto"/>
            <w:noWrap/>
            <w:vAlign w:val="bottom"/>
            <w:hideMark/>
          </w:tcPr>
          <w:p w14:paraId="3DDA3D26" w14:textId="77777777" w:rsidR="003078BE" w:rsidRPr="009F1D50" w:rsidRDefault="003078BE" w:rsidP="00312E88">
            <w:pPr>
              <w:jc w:val="right"/>
              <w:rPr>
                <w:rFonts w:cs="Arial"/>
                <w:color w:val="000000"/>
                <w:sz w:val="16"/>
                <w:szCs w:val="16"/>
              </w:rPr>
            </w:pPr>
            <w:r w:rsidRPr="009F1D50">
              <w:rPr>
                <w:rFonts w:cs="Arial"/>
                <w:color w:val="000000"/>
                <w:sz w:val="16"/>
                <w:szCs w:val="16"/>
              </w:rPr>
              <w:t>36,821</w:t>
            </w:r>
          </w:p>
        </w:tc>
        <w:tc>
          <w:tcPr>
            <w:tcW w:w="502" w:type="pct"/>
            <w:tcBorders>
              <w:top w:val="nil"/>
              <w:left w:val="nil"/>
              <w:bottom w:val="single" w:sz="8" w:space="0" w:color="auto"/>
              <w:right w:val="nil"/>
            </w:tcBorders>
            <w:shd w:val="clear" w:color="auto" w:fill="auto"/>
            <w:noWrap/>
            <w:vAlign w:val="bottom"/>
            <w:hideMark/>
          </w:tcPr>
          <w:p w14:paraId="7868B517" w14:textId="77777777" w:rsidR="003078BE" w:rsidRPr="009F1D50" w:rsidRDefault="003078BE" w:rsidP="00312E88">
            <w:pPr>
              <w:jc w:val="right"/>
              <w:rPr>
                <w:rFonts w:cs="Arial"/>
                <w:color w:val="000000"/>
                <w:sz w:val="16"/>
                <w:szCs w:val="16"/>
              </w:rPr>
            </w:pPr>
            <w:r w:rsidRPr="009F1D50">
              <w:rPr>
                <w:rFonts w:cs="Arial"/>
                <w:color w:val="000000"/>
                <w:sz w:val="16"/>
                <w:szCs w:val="16"/>
              </w:rPr>
              <w:t>54,774</w:t>
            </w:r>
          </w:p>
        </w:tc>
      </w:tr>
    </w:tbl>
    <w:p w14:paraId="6CF81710" w14:textId="7BE6419D" w:rsidR="002B3FBF" w:rsidRPr="00BC1282" w:rsidRDefault="002B3FBF" w:rsidP="00B37567">
      <w:pPr>
        <w:pStyle w:val="FSRHeading4"/>
        <w:rPr>
          <w:szCs w:val="25"/>
        </w:rPr>
      </w:pPr>
    </w:p>
    <w:sectPr w:rsidR="002B3FBF" w:rsidRPr="00BC1282" w:rsidSect="008B3C25">
      <w:footerReference w:type="default" r:id="rId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48A1E" w14:textId="77777777" w:rsidR="001265C2" w:rsidRDefault="001265C2" w:rsidP="00BD4A22">
      <w:pPr>
        <w:spacing w:after="0" w:line="240" w:lineRule="auto"/>
      </w:pPr>
      <w:r>
        <w:separator/>
      </w:r>
    </w:p>
  </w:endnote>
  <w:endnote w:type="continuationSeparator" w:id="0">
    <w:p w14:paraId="34A0B486" w14:textId="77777777" w:rsidR="001265C2" w:rsidRDefault="001265C2" w:rsidP="00BD4A22">
      <w:pPr>
        <w:spacing w:after="0" w:line="240" w:lineRule="auto"/>
      </w:pPr>
      <w:r>
        <w:continuationSeparator/>
      </w:r>
    </w:p>
  </w:endnote>
  <w:endnote w:type="continuationNotice" w:id="1">
    <w:p w14:paraId="1985AC22" w14:textId="77777777" w:rsidR="001265C2" w:rsidRDefault="001265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FSMe-Bol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43FF8" w14:textId="77777777" w:rsidR="00E003C0" w:rsidRDefault="00E003C0" w:rsidP="00562550">
    <w:pPr>
      <w:pStyle w:val="Footer"/>
      <w:pBdr>
        <w:top w:val="single" w:sz="4" w:space="1" w:color="E7E6E6" w:themeColor="background2"/>
      </w:pBdr>
    </w:pPr>
  </w:p>
  <w:p w14:paraId="4BDAA8A9" w14:textId="4698B2E9" w:rsidR="00E003C0" w:rsidRDefault="00E003C0" w:rsidP="00821DF0">
    <w:pPr>
      <w:pStyle w:val="Footer"/>
      <w:pBdr>
        <w:top w:val="single" w:sz="4" w:space="1" w:color="E7E6E6" w:themeColor="background2"/>
      </w:pBdr>
    </w:pPr>
    <w:r>
      <w:t>National Disability Insurance Scheme: Annual Financial Sustainability Report 2020-21</w:t>
    </w:r>
    <w:r>
      <w:tab/>
    </w:r>
    <w:r>
      <w:fldChar w:fldCharType="begin"/>
    </w:r>
    <w:r>
      <w:instrText xml:space="preserve"> PAGE   \* MERGEFORMAT </w:instrText>
    </w:r>
    <w:r>
      <w:fldChar w:fldCharType="separate"/>
    </w:r>
    <w:r w:rsidR="00E50032">
      <w:rPr>
        <w:noProof/>
      </w:rPr>
      <w:t>27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95C40" w14:textId="77777777" w:rsidR="00E003C0" w:rsidRDefault="00E003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EA0C6" w14:textId="7249B0C5" w:rsidR="00E003C0" w:rsidRDefault="00E003C0" w:rsidP="00BD4A22">
    <w:pPr>
      <w:pStyle w:val="Footer"/>
      <w:pBdr>
        <w:top w:val="single" w:sz="4" w:space="1" w:color="E7E6E6" w:themeColor="background2"/>
      </w:pBdr>
    </w:pPr>
    <w:r>
      <w:t xml:space="preserve">National Disability Insurance Scheme: </w:t>
    </w:r>
    <w:r w:rsidRPr="004138F6">
      <w:t xml:space="preserve">Annual Financial Sustainability Report </w:t>
    </w:r>
    <w:r>
      <w:t>2020-21</w:t>
    </w:r>
    <w:r w:rsidRPr="004138F6">
      <w:tab/>
    </w:r>
    <w:r>
      <w:tab/>
    </w:r>
    <w:r>
      <w:tab/>
    </w:r>
    <w:r>
      <w:tab/>
    </w:r>
    <w:r>
      <w:tab/>
    </w:r>
    <w:r>
      <w:fldChar w:fldCharType="begin"/>
    </w:r>
    <w:r>
      <w:instrText xml:space="preserve"> PAGE   \* MERGEFORMAT </w:instrText>
    </w:r>
    <w:r>
      <w:fldChar w:fldCharType="separate"/>
    </w:r>
    <w:r w:rsidR="00E50032">
      <w:rPr>
        <w:noProof/>
      </w:rPr>
      <w:t>29</w:t>
    </w:r>
    <w:r>
      <w:rPr>
        <w:noProof/>
      </w:rPr>
      <w:fldChar w:fldCharType="end"/>
    </w:r>
  </w:p>
  <w:p w14:paraId="71AA70A4" w14:textId="77777777" w:rsidR="00E003C0" w:rsidRDefault="00E003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423DF" w14:textId="77777777" w:rsidR="00E003C0" w:rsidRDefault="00E003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8DEA0" w14:textId="19809C4D" w:rsidR="00E003C0" w:rsidRDefault="00E003C0" w:rsidP="00BD4A22">
    <w:pPr>
      <w:pStyle w:val="Footer"/>
      <w:pBdr>
        <w:top w:val="single" w:sz="4" w:space="1" w:color="E7E6E6" w:themeColor="background2"/>
      </w:pBdr>
    </w:pPr>
    <w:r>
      <w:t xml:space="preserve">National Disability Insurance Scheme: Annual Financial Sustainability Report 2020-21 </w:t>
    </w:r>
    <w:r>
      <w:tab/>
    </w:r>
    <w:r>
      <w:tab/>
    </w:r>
    <w:r>
      <w:fldChar w:fldCharType="begin"/>
    </w:r>
    <w:r>
      <w:instrText xml:space="preserve"> PAGE   \* MERGEFORMAT </w:instrText>
    </w:r>
    <w:r>
      <w:fldChar w:fldCharType="separate"/>
    </w:r>
    <w:r w:rsidR="00E50032">
      <w:rPr>
        <w:noProof/>
      </w:rPr>
      <w:t>77</w:t>
    </w:r>
    <w:r>
      <w:rPr>
        <w:noProof/>
      </w:rPr>
      <w:fldChar w:fldCharType="end"/>
    </w:r>
  </w:p>
  <w:p w14:paraId="109155A1" w14:textId="77777777" w:rsidR="00E003C0" w:rsidRDefault="00E00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56301" w14:textId="77777777" w:rsidR="001265C2" w:rsidRDefault="001265C2" w:rsidP="00BD4A22">
      <w:pPr>
        <w:spacing w:after="0" w:line="240" w:lineRule="auto"/>
      </w:pPr>
      <w:r>
        <w:separator/>
      </w:r>
    </w:p>
  </w:footnote>
  <w:footnote w:type="continuationSeparator" w:id="0">
    <w:p w14:paraId="5166E99D" w14:textId="77777777" w:rsidR="001265C2" w:rsidRDefault="001265C2" w:rsidP="00BD4A22">
      <w:pPr>
        <w:spacing w:after="0" w:line="240" w:lineRule="auto"/>
      </w:pPr>
      <w:r>
        <w:continuationSeparator/>
      </w:r>
    </w:p>
  </w:footnote>
  <w:footnote w:type="continuationNotice" w:id="1">
    <w:p w14:paraId="17A83D5C" w14:textId="77777777" w:rsidR="001265C2" w:rsidRDefault="001265C2">
      <w:pPr>
        <w:spacing w:after="0" w:line="240" w:lineRule="auto"/>
      </w:pPr>
    </w:p>
  </w:footnote>
  <w:footnote w:id="2">
    <w:p w14:paraId="13D10D85" w14:textId="39A4F82C" w:rsidR="00E003C0" w:rsidRDefault="00E003C0" w:rsidP="00CC3B52">
      <w:pPr>
        <w:pStyle w:val="FootnoteText"/>
      </w:pPr>
      <w:r>
        <w:rPr>
          <w:rStyle w:val="FootnoteReference"/>
        </w:rPr>
        <w:footnoteRef/>
      </w:r>
      <w:r>
        <w:t xml:space="preserve"> </w:t>
      </w:r>
      <w:hyperlink r:id="rId1" w:anchor="afsr" w:history="1">
        <w:r w:rsidRPr="00DB43C0">
          <w:rPr>
            <w:rStyle w:val="Hyperlink"/>
          </w:rPr>
          <w:t>NDIS Publications</w:t>
        </w:r>
      </w:hyperlink>
    </w:p>
  </w:footnote>
  <w:footnote w:id="3">
    <w:p w14:paraId="7C77AEA0" w14:textId="457CD317" w:rsidR="00E003C0" w:rsidRPr="00645F49" w:rsidRDefault="00E003C0" w:rsidP="00274668">
      <w:pPr>
        <w:pStyle w:val="FootnoteText"/>
      </w:pPr>
      <w:r>
        <w:rPr>
          <w:rStyle w:val="FootnoteReference"/>
        </w:rPr>
        <w:footnoteRef/>
      </w:r>
      <w:r>
        <w:t xml:space="preserve"> </w:t>
      </w:r>
      <w:hyperlink r:id="rId2" w:history="1">
        <w:r w:rsidRPr="003753B2">
          <w:rPr>
            <w:rStyle w:val="Hyperlink"/>
          </w:rPr>
          <w:t>Insurance Principles and Financial Sustainability Manual (PDF Download)</w:t>
        </w:r>
      </w:hyperlink>
    </w:p>
  </w:footnote>
  <w:footnote w:id="4">
    <w:p w14:paraId="166A61F0" w14:textId="1A9435F1" w:rsidR="00E003C0" w:rsidRDefault="00E003C0">
      <w:pPr>
        <w:pStyle w:val="FootnoteText"/>
      </w:pPr>
      <w:r>
        <w:rPr>
          <w:rStyle w:val="FootnoteReference"/>
        </w:rPr>
        <w:footnoteRef/>
      </w:r>
      <w:r>
        <w:t xml:space="preserve"> </w:t>
      </w:r>
      <w:hyperlink r:id="rId3" w:history="1">
        <w:r w:rsidRPr="003753B2">
          <w:rPr>
            <w:rStyle w:val="Hyperlink"/>
          </w:rPr>
          <w:t>Portfolio budget statement 2021-2022 (PDF Download)</w:t>
        </w:r>
      </w:hyperlink>
    </w:p>
  </w:footnote>
  <w:footnote w:id="5">
    <w:p w14:paraId="167324F1" w14:textId="359207C2" w:rsidR="00E003C0" w:rsidRPr="009B5936" w:rsidRDefault="00E003C0" w:rsidP="00274668">
      <w:pPr>
        <w:pStyle w:val="FootnoteText"/>
      </w:pPr>
      <w:r>
        <w:rPr>
          <w:rStyle w:val="FootnoteReference"/>
        </w:rPr>
        <w:footnoteRef/>
      </w:r>
      <w:r>
        <w:t xml:space="preserve"> </w:t>
      </w:r>
      <w:r w:rsidRPr="007A5CBB">
        <w:t>Outcomes for participants and their families/carers are reported regularly in the NDIA’s quarterly reports to Disability Ministers, and more detailed analysis and data is available on the</w:t>
      </w:r>
      <w:r>
        <w:t xml:space="preserve"> </w:t>
      </w:r>
      <w:hyperlink r:id="rId4" w:history="1">
        <w:r w:rsidRPr="006A7BAC">
          <w:rPr>
            <w:rStyle w:val="Hyperlink"/>
          </w:rPr>
          <w:t>NDIA Data and Insights website</w:t>
        </w:r>
      </w:hyperlink>
    </w:p>
  </w:footnote>
  <w:footnote w:id="6">
    <w:p w14:paraId="34D921EB" w14:textId="77777777" w:rsidR="00E003C0" w:rsidRDefault="00E003C0" w:rsidP="00274668">
      <w:pPr>
        <w:pStyle w:val="FootnoteText"/>
      </w:pPr>
      <w:r>
        <w:rPr>
          <w:rStyle w:val="FootnoteReference"/>
        </w:rPr>
        <w:footnoteRef/>
      </w:r>
      <w:r>
        <w:t xml:space="preserve"> Supported Independent Living is modelled separately due to the high average payment per participant. SIL participants represent 5.7% of all participants, and 34% of payments made in the 2020-21 financial year to date. The average annualised payments year to date for SIL participants is $318,000, and $37,400 for participants not in SIL.</w:t>
      </w:r>
    </w:p>
  </w:footnote>
  <w:footnote w:id="7">
    <w:p w14:paraId="39EF318F" w14:textId="77777777" w:rsidR="00E003C0" w:rsidRDefault="00E003C0" w:rsidP="00274668">
      <w:pPr>
        <w:pStyle w:val="FootnoteText"/>
      </w:pPr>
      <w:r>
        <w:rPr>
          <w:rStyle w:val="FootnoteReference"/>
        </w:rPr>
        <w:footnoteRef/>
      </w:r>
      <w:r>
        <w:t xml:space="preserve"> </w:t>
      </w:r>
      <w:r w:rsidRPr="00966DF8">
        <w:t xml:space="preserve">Productivity Commission 2017, </w:t>
      </w:r>
      <w:r w:rsidRPr="00966DF8">
        <w:rPr>
          <w:i/>
        </w:rPr>
        <w:t>National Disability Insurance Scheme (NDIS) Costs</w:t>
      </w:r>
      <w:r>
        <w:t>, Study Report, Canberra (Table 2.3)</w:t>
      </w:r>
    </w:p>
  </w:footnote>
  <w:footnote w:id="8">
    <w:p w14:paraId="75A43CE1" w14:textId="272B9AD8" w:rsidR="00E003C0" w:rsidRDefault="00E003C0" w:rsidP="00274668">
      <w:pPr>
        <w:pStyle w:val="FootnoteText"/>
      </w:pPr>
      <w:r>
        <w:rPr>
          <w:rStyle w:val="FootnoteReference"/>
        </w:rPr>
        <w:footnoteRef/>
      </w:r>
      <w:r>
        <w:t xml:space="preserve"> Observed new incidence rates for 2013 to 2019 phasing years show the number of new entrants per 100K population over the 2020-21 financial year in the relevant geographic areas which phased into the Scheme in that year </w:t>
      </w:r>
    </w:p>
  </w:footnote>
  <w:footnote w:id="9">
    <w:p w14:paraId="38A87367" w14:textId="12773740" w:rsidR="00E003C0" w:rsidRDefault="00E003C0">
      <w:pPr>
        <w:pStyle w:val="FootnoteText"/>
      </w:pPr>
      <w:r>
        <w:rPr>
          <w:rStyle w:val="FootnoteReference"/>
        </w:rPr>
        <w:footnoteRef/>
      </w:r>
      <w:r>
        <w:t xml:space="preserve"> </w:t>
      </w:r>
      <w:proofErr w:type="gramStart"/>
      <w:r>
        <w:t>i.e</w:t>
      </w:r>
      <w:proofErr w:type="gramEnd"/>
      <w:r>
        <w:t xml:space="preserve">. participants who acquired their disability recently, </w:t>
      </w:r>
      <w:r w:rsidRPr="008E1785">
        <w:rPr>
          <w:b/>
        </w:rPr>
        <w:t>or</w:t>
      </w:r>
      <w:r>
        <w:t xml:space="preserve"> those who have only recently met the necessary criteria for access to the Scheme.</w:t>
      </w:r>
    </w:p>
  </w:footnote>
  <w:footnote w:id="10">
    <w:p w14:paraId="75A781D1" w14:textId="495B7DD2" w:rsidR="00E003C0" w:rsidRDefault="00E003C0">
      <w:pPr>
        <w:pStyle w:val="FootnoteText"/>
      </w:pPr>
      <w:r>
        <w:rPr>
          <w:rStyle w:val="FootnoteReference"/>
        </w:rPr>
        <w:footnoteRef/>
      </w:r>
      <w:r>
        <w:t xml:space="preserve"> i.e. participants who acquired their disability some years prior who only accessed the Scheme recently (for various reasons)</w:t>
      </w:r>
    </w:p>
  </w:footnote>
  <w:footnote w:id="11">
    <w:p w14:paraId="425C2722" w14:textId="732BA0FD" w:rsidR="00E003C0" w:rsidRDefault="00E003C0">
      <w:pPr>
        <w:pStyle w:val="FootnoteText"/>
      </w:pPr>
      <w:r>
        <w:rPr>
          <w:rStyle w:val="FootnoteReference"/>
        </w:rPr>
        <w:footnoteRef/>
      </w:r>
      <w:r>
        <w:t xml:space="preserve"> The impact of lower projected participants in SIL is shown in </w:t>
      </w:r>
      <w:r>
        <w:fldChar w:fldCharType="begin"/>
      </w:r>
      <w:r>
        <w:instrText xml:space="preserve"> REF _Ref80286892 \h </w:instrText>
      </w:r>
      <w:r>
        <w:fldChar w:fldCharType="separate"/>
      </w:r>
      <w:r w:rsidR="00E50032" w:rsidRPr="00B158C4">
        <w:t xml:space="preserve">Table </w:t>
      </w:r>
      <w:r w:rsidR="00E50032">
        <w:rPr>
          <w:noProof/>
        </w:rPr>
        <w:t>4</w:t>
      </w:r>
      <w:r>
        <w:fldChar w:fldCharType="end"/>
      </w:r>
      <w:r>
        <w:t xml:space="preserve"> below, which indicates a reduction in estimated cost of $5.0 billion in the four years to 2024-25.</w:t>
      </w:r>
    </w:p>
  </w:footnote>
  <w:footnote w:id="12">
    <w:p w14:paraId="79E6E39E" w14:textId="77777777" w:rsidR="00E003C0" w:rsidRDefault="00E003C0" w:rsidP="00274668">
      <w:pPr>
        <w:pStyle w:val="FootnoteText"/>
      </w:pPr>
      <w:r>
        <w:rPr>
          <w:rStyle w:val="FootnoteReference"/>
        </w:rPr>
        <w:footnoteRef/>
      </w:r>
      <w:r>
        <w:t xml:space="preserve"> Average annualised payments have been calculated on a cash basis using the 12 months over each year ending 30 June.</w:t>
      </w:r>
    </w:p>
  </w:footnote>
  <w:footnote w:id="13">
    <w:p w14:paraId="31DEA8D2" w14:textId="77777777" w:rsidR="00E003C0" w:rsidRPr="00C0588B" w:rsidRDefault="00E003C0" w:rsidP="007A577A">
      <w:pPr>
        <w:pStyle w:val="FootnoteText"/>
      </w:pPr>
      <w:r>
        <w:rPr>
          <w:rStyle w:val="FootnoteReference"/>
        </w:rPr>
        <w:footnoteRef/>
      </w:r>
      <w:r>
        <w:t xml:space="preserve"> Average </w:t>
      </w:r>
      <w:r w:rsidRPr="00C0588B">
        <w:t>annualised payments have been calculated on a cash basis using the 12 months over each year ending 30 June.</w:t>
      </w:r>
    </w:p>
  </w:footnote>
  <w:footnote w:id="14">
    <w:p w14:paraId="248F5CB9" w14:textId="6A179E9E" w:rsidR="00E003C0" w:rsidRDefault="00E003C0" w:rsidP="00CE2F19">
      <w:pPr>
        <w:pStyle w:val="FootnoteText"/>
      </w:pPr>
      <w:r w:rsidRPr="004B3B25">
        <w:rPr>
          <w:rStyle w:val="FootnoteReference"/>
        </w:rPr>
        <w:footnoteRef/>
      </w:r>
      <w:r w:rsidRPr="004B3B25">
        <w:t xml:space="preserve"> </w:t>
      </w:r>
      <w:r w:rsidRPr="00C0588B">
        <w:t>For further information, refer to Addendum 2 to NDIA’s Quarterly Report to Disability Ministers at 30</w:t>
      </w:r>
      <w:r>
        <w:t> </w:t>
      </w:r>
      <w:r w:rsidRPr="00C0588B">
        <w:t>June 2021: https</w:t>
      </w:r>
      <w:r w:rsidRPr="00CE2F19">
        <w:t>://www.ndis.gov.au/media/3475/download?attachment</w:t>
      </w:r>
    </w:p>
  </w:footnote>
  <w:footnote w:id="15">
    <w:p w14:paraId="6350D669" w14:textId="77777777" w:rsidR="00E003C0" w:rsidRDefault="00E003C0" w:rsidP="007A577A">
      <w:pPr>
        <w:pStyle w:val="FootnoteText"/>
      </w:pPr>
      <w:r>
        <w:rPr>
          <w:rStyle w:val="FootnoteReference"/>
        </w:rPr>
        <w:footnoteRef/>
      </w:r>
      <w:r>
        <w:t xml:space="preserve"> Average annualised payments have been calculated on a cash basis using the 12 months over each year ending 30 June.</w:t>
      </w:r>
    </w:p>
  </w:footnote>
  <w:footnote w:id="16">
    <w:p w14:paraId="3141DCDE" w14:textId="5AB77533" w:rsidR="00E003C0" w:rsidRDefault="00E003C0">
      <w:pPr>
        <w:pStyle w:val="FootnoteText"/>
      </w:pPr>
      <w:r>
        <w:rPr>
          <w:rStyle w:val="FootnoteReference"/>
        </w:rPr>
        <w:footnoteRef/>
      </w:r>
      <w:r>
        <w:t xml:space="preserve"> New entrants to the Scheme have higher levels of functional capacity on average than existing participants, which means that the average functional capacity of Scheme participants is expected to increase over time, which (all else being equal) is expected to result in a reduction in average payment per participant. </w:t>
      </w:r>
    </w:p>
  </w:footnote>
  <w:footnote w:id="17">
    <w:p w14:paraId="6778074D" w14:textId="79F571A1" w:rsidR="00E003C0" w:rsidRDefault="00E003C0">
      <w:pPr>
        <w:pStyle w:val="FootnoteText"/>
      </w:pPr>
      <w:r>
        <w:rPr>
          <w:rStyle w:val="FootnoteReference"/>
        </w:rPr>
        <w:footnoteRef/>
      </w:r>
      <w:r>
        <w:t xml:space="preserve"> Of the superimposed inflation of 9.7% in 2021-22, which represents the increase from the 2020-21 year to the 2021-22 year, 5.2% had already occurred at 30 June 2021, and the remaining 4.3% (compounded) is assumed to occur in future.</w:t>
      </w:r>
    </w:p>
  </w:footnote>
  <w:footnote w:id="18">
    <w:p w14:paraId="0E7418DE" w14:textId="77777777" w:rsidR="00E003C0" w:rsidRDefault="00E003C0" w:rsidP="00201885">
      <w:pPr>
        <w:pStyle w:val="FootnoteText"/>
      </w:pPr>
      <w:r>
        <w:rPr>
          <w:rStyle w:val="FootnoteReference"/>
        </w:rPr>
        <w:footnoteRef/>
      </w:r>
      <w:r>
        <w:t xml:space="preserve"> ibid</w:t>
      </w:r>
    </w:p>
  </w:footnote>
  <w:footnote w:id="19">
    <w:p w14:paraId="71DDED61" w14:textId="08847A1A" w:rsidR="00E003C0" w:rsidRDefault="00E003C0" w:rsidP="007A577A">
      <w:pPr>
        <w:pStyle w:val="FootnoteText"/>
      </w:pPr>
      <w:r>
        <w:rPr>
          <w:rStyle w:val="FootnoteReference"/>
        </w:rPr>
        <w:footnoteRef/>
      </w:r>
      <w:r>
        <w:t xml:space="preserve"> Total expected inflation shown is lower than normal inflation plus superimposed inflation because the change in mix of participants is expected to lead to reductions in average payment per participant (before allowing for normal inflation and superimposed inflation)</w:t>
      </w:r>
      <w:r w:rsidRPr="004D5319">
        <w:t>.</w:t>
      </w:r>
      <w:r>
        <w:t xml:space="preserve"> The historic average shown implicitly includes change in mix, and so the most appropriate comparison to past experience is the total including change in mix. Of the superimposed inflation of 9.7% in 2021-22, which represents the increase from the 2020-21 year to the 2021-22 year, 5.2% had already occurred at 30 June 2021, and the remaining 4.3% (compounded) is assumed to occur in future.</w:t>
      </w:r>
    </w:p>
  </w:footnote>
  <w:footnote w:id="20">
    <w:p w14:paraId="5414D155" w14:textId="72CA8D4D" w:rsidR="00E003C0" w:rsidRDefault="00E003C0">
      <w:pPr>
        <w:pStyle w:val="FootnoteText"/>
      </w:pPr>
      <w:r>
        <w:rPr>
          <w:rStyle w:val="FootnoteReference"/>
        </w:rPr>
        <w:footnoteRef/>
      </w:r>
      <w:r>
        <w:t xml:space="preserve"> ibid</w:t>
      </w:r>
    </w:p>
  </w:footnote>
  <w:footnote w:id="21">
    <w:p w14:paraId="3B75D6B0" w14:textId="77777777" w:rsidR="00E003C0" w:rsidRDefault="00E003C0" w:rsidP="00B8229F">
      <w:pPr>
        <w:pStyle w:val="FootnoteText"/>
      </w:pPr>
      <w:r>
        <w:rPr>
          <w:rStyle w:val="FootnoteReference"/>
        </w:rPr>
        <w:footnoteRef/>
      </w:r>
      <w:r>
        <w:t xml:space="preserve"> </w:t>
      </w:r>
      <w:r w:rsidRPr="00921CFB">
        <w:t>Cost is based on when the service was actually provided to the participant recognising some services are paid f</w:t>
      </w:r>
      <w:r>
        <w:t>or after the end of the period. Estimates in the PBS are on an accrual basis.</w:t>
      </w:r>
    </w:p>
  </w:footnote>
  <w:footnote w:id="22">
    <w:p w14:paraId="6905B282" w14:textId="77777777" w:rsidR="00E003C0" w:rsidRDefault="00E003C0" w:rsidP="00B8229F">
      <w:pPr>
        <w:pStyle w:val="FootnoteText"/>
      </w:pPr>
      <w:r>
        <w:rPr>
          <w:rStyle w:val="FootnoteReference"/>
        </w:rPr>
        <w:footnoteRef/>
      </w:r>
      <w:r>
        <w:t xml:space="preserve"> </w:t>
      </w:r>
      <w:r w:rsidRPr="008518E6">
        <w:t>This projection is also higher than the 2021 Intergenerational Report projection which is based on the 2021-22 PBS in the short-term.</w:t>
      </w:r>
    </w:p>
  </w:footnote>
  <w:footnote w:id="23">
    <w:p w14:paraId="1A9E1193" w14:textId="77777777" w:rsidR="00E003C0" w:rsidRPr="00CA7DBA" w:rsidRDefault="00E003C0" w:rsidP="00B8229F">
      <w:pPr>
        <w:pStyle w:val="FootnoteText"/>
      </w:pPr>
      <w:r>
        <w:rPr>
          <w:rStyle w:val="FootnoteReference"/>
        </w:rPr>
        <w:footnoteRef/>
      </w:r>
      <w:r>
        <w:t xml:space="preserve"> The Productivity Commission costings did not include an explicit allowance for children with </w:t>
      </w:r>
      <w:r w:rsidRPr="00CA7DBA">
        <w:t>developmental delay</w:t>
      </w:r>
      <w:r>
        <w:t>,</w:t>
      </w:r>
      <w:r w:rsidRPr="00CA7DBA">
        <w:t xml:space="preserve"> </w:t>
      </w:r>
      <w:r>
        <w:t>for the student transport and personal care in schools in</w:t>
      </w:r>
      <w:r>
        <w:noBreakHyphen/>
        <w:t>kind support programs and for disability related health supports</w:t>
      </w:r>
      <w:r w:rsidRPr="00CA7DBA">
        <w:t xml:space="preserve">, noting that these </w:t>
      </w:r>
      <w:r>
        <w:t>four</w:t>
      </w:r>
      <w:r w:rsidRPr="00CA7DBA">
        <w:t xml:space="preserve"> items could account for an additional $</w:t>
      </w:r>
      <w:r>
        <w:t>1.5</w:t>
      </w:r>
      <w:r w:rsidRPr="00CA7DBA">
        <w:t> </w:t>
      </w:r>
      <w:r>
        <w:t>b</w:t>
      </w:r>
      <w:r w:rsidRPr="00CA7DBA">
        <w:t>illion per annum.</w:t>
      </w:r>
    </w:p>
  </w:footnote>
  <w:footnote w:id="24">
    <w:p w14:paraId="3D1500E8" w14:textId="77777777" w:rsidR="00E003C0" w:rsidRDefault="00E003C0" w:rsidP="00B8229F">
      <w:pPr>
        <w:pStyle w:val="FootnoteText"/>
      </w:pPr>
      <w:r>
        <w:rPr>
          <w:rStyle w:val="FootnoteReference"/>
        </w:rPr>
        <w:footnoteRef/>
      </w:r>
      <w:r>
        <w:t xml:space="preserve"> </w:t>
      </w:r>
      <w:r w:rsidRPr="00966DF8">
        <w:t xml:space="preserve">Productivity Commission 2017, </w:t>
      </w:r>
      <w:r w:rsidRPr="00966DF8">
        <w:rPr>
          <w:i/>
        </w:rPr>
        <w:t>National Disability Insurance Scheme (NDIS) Costs</w:t>
      </w:r>
      <w:r>
        <w:t xml:space="preserve">, Study Report, Canberra (Table 2.3), </w:t>
      </w:r>
      <w:r w:rsidRPr="00B5064E">
        <w:t>excluding operating costs and interim years are calculated on a consistent basis</w:t>
      </w:r>
      <w:r>
        <w:t>.</w:t>
      </w:r>
    </w:p>
  </w:footnote>
  <w:footnote w:id="25">
    <w:p w14:paraId="6D239025" w14:textId="77777777" w:rsidR="00E003C0" w:rsidRDefault="00E003C0" w:rsidP="002B6DAC">
      <w:pPr>
        <w:pStyle w:val="FootnoteText"/>
      </w:pPr>
      <w:r>
        <w:rPr>
          <w:rStyle w:val="FootnoteReference"/>
        </w:rPr>
        <w:footnoteRef/>
      </w:r>
      <w:r>
        <w:t xml:space="preserve"> </w:t>
      </w:r>
      <w:r w:rsidRPr="00036D6E">
        <w:t xml:space="preserve">Productivity Commission 2017, </w:t>
      </w:r>
      <w:r w:rsidRPr="00036D6E">
        <w:rPr>
          <w:i/>
        </w:rPr>
        <w:t>National Disability Insurance Scheme (NDIS) Costs</w:t>
      </w:r>
      <w:r w:rsidRPr="00036D6E">
        <w:t>, St</w:t>
      </w:r>
      <w:r>
        <w:t>udy Report, Canberra (Page 412)</w:t>
      </w:r>
      <w:r w:rsidRPr="00036D6E">
        <w:t>.</w:t>
      </w:r>
    </w:p>
  </w:footnote>
  <w:footnote w:id="26">
    <w:p w14:paraId="05328EED" w14:textId="4280148B" w:rsidR="00E003C0" w:rsidRDefault="00E003C0">
      <w:pPr>
        <w:pStyle w:val="FootnoteText"/>
      </w:pPr>
      <w:r>
        <w:rPr>
          <w:rStyle w:val="FootnoteReference"/>
        </w:rPr>
        <w:footnoteRef/>
      </w:r>
      <w:r>
        <w:t xml:space="preserve"> Each cohort is a unique combination of age group, gender, primary disability, level of function and SIL status. There are a total of 2,052 cohorts which are separately projected. </w:t>
      </w:r>
    </w:p>
  </w:footnote>
  <w:footnote w:id="27">
    <w:p w14:paraId="705BF0C2" w14:textId="53093E7A" w:rsidR="00E003C0" w:rsidRDefault="00E003C0">
      <w:pPr>
        <w:pStyle w:val="FootnoteText"/>
      </w:pPr>
      <w:r>
        <w:rPr>
          <w:rStyle w:val="FootnoteReference"/>
        </w:rPr>
        <w:footnoteRef/>
      </w:r>
      <w:r>
        <w:t xml:space="preserve">  </w:t>
      </w:r>
      <w:hyperlink r:id="rId5" w:history="1">
        <w:r w:rsidRPr="0073718C">
          <w:rPr>
            <w:rStyle w:val="Hyperlink"/>
          </w:rPr>
          <w:t>Insurance Principles and Financial Sustainability Manual (PDF Download)</w:t>
        </w:r>
      </w:hyperlink>
    </w:p>
  </w:footnote>
  <w:footnote w:id="28">
    <w:p w14:paraId="341D733F" w14:textId="3A583542" w:rsidR="00E003C0" w:rsidRDefault="00E003C0">
      <w:pPr>
        <w:pStyle w:val="FootnoteText"/>
      </w:pPr>
      <w:r>
        <w:rPr>
          <w:rStyle w:val="FootnoteReference"/>
        </w:rPr>
        <w:footnoteRef/>
      </w:r>
      <w:r>
        <w:t xml:space="preserve"> </w:t>
      </w:r>
      <w:hyperlink r:id="rId6" w:history="1">
        <w:r w:rsidRPr="005932FC">
          <w:rPr>
            <w:rStyle w:val="Hyperlink"/>
          </w:rPr>
          <w:t>NDIS outcomes and goals</w:t>
        </w:r>
      </w:hyperlink>
      <w:r>
        <w:t xml:space="preserve"> </w:t>
      </w:r>
    </w:p>
  </w:footnote>
  <w:footnote w:id="29">
    <w:p w14:paraId="378D7581" w14:textId="0001EF56" w:rsidR="00E003C0" w:rsidRDefault="00E003C0">
      <w:pPr>
        <w:pStyle w:val="FootnoteText"/>
      </w:pPr>
      <w:r>
        <w:rPr>
          <w:rStyle w:val="FootnoteReference"/>
        </w:rPr>
        <w:footnoteRef/>
      </w:r>
      <w:r>
        <w:t xml:space="preserve"> In particular, over the past year, the Agency has made a concerted focus on clearing internal backlogs in several areas such as access decisions, first plans, assistive technology, internal reviews, and manual payments.</w:t>
      </w:r>
    </w:p>
  </w:footnote>
  <w:footnote w:id="30">
    <w:p w14:paraId="0A98D512" w14:textId="2877CDC1" w:rsidR="00E003C0" w:rsidRDefault="00E003C0">
      <w:pPr>
        <w:pStyle w:val="FootnoteText"/>
      </w:pPr>
      <w:r>
        <w:rPr>
          <w:rStyle w:val="FootnoteReference"/>
        </w:rPr>
        <w:footnoteRef/>
      </w:r>
      <w:r>
        <w:t xml:space="preserve"> </w:t>
      </w:r>
      <w:r w:rsidRPr="00C04E1B">
        <w:rPr>
          <w:szCs w:val="16"/>
        </w:rPr>
        <w:t>The 2017 Productivity Commission estimates were sourced from the 2017 Productivity Commission Study Report into NDIS costs (Table 2.3. pp 100) excluding operating costs, with interim years calculated on a consistent basis.</w:t>
      </w:r>
    </w:p>
  </w:footnote>
  <w:footnote w:id="31">
    <w:p w14:paraId="6CA0A36E" w14:textId="6F71E274" w:rsidR="00E003C0" w:rsidRDefault="00E003C0">
      <w:pPr>
        <w:pStyle w:val="FootnoteText"/>
      </w:pPr>
      <w:r>
        <w:rPr>
          <w:rStyle w:val="FootnoteReference"/>
        </w:rPr>
        <w:footnoteRef/>
      </w:r>
      <w:r>
        <w:t xml:space="preserve"> </w:t>
      </w:r>
      <w:hyperlink r:id="rId7" w:history="1">
        <w:r w:rsidRPr="00B65393">
          <w:rPr>
            <w:rStyle w:val="Hyperlink"/>
          </w:rPr>
          <w:t>NDIA Data and Insights Website</w:t>
        </w:r>
      </w:hyperlink>
    </w:p>
  </w:footnote>
  <w:footnote w:id="32">
    <w:p w14:paraId="1315ECDA" w14:textId="77777777" w:rsidR="00E003C0" w:rsidRPr="00351D79" w:rsidRDefault="00E003C0" w:rsidP="003631E0">
      <w:pPr>
        <w:pStyle w:val="FootnoteText"/>
      </w:pPr>
      <w:r w:rsidRPr="00923CCE">
        <w:rPr>
          <w:rStyle w:val="FootnoteReference"/>
        </w:rPr>
        <w:footnoteRef/>
      </w:r>
      <w:r w:rsidRPr="00923CCE">
        <w:t xml:space="preserve"> </w:t>
      </w:r>
      <w:r w:rsidRPr="00923CCE">
        <w:rPr>
          <w:rFonts w:cs="Arial"/>
          <w:szCs w:val="22"/>
        </w:rPr>
        <w:t>As at 30 June 2021, it is estimated that 4% of participants who have ever had an approved plan have a missing or default level of function.</w:t>
      </w:r>
    </w:p>
  </w:footnote>
  <w:footnote w:id="33">
    <w:p w14:paraId="4B2C2755" w14:textId="77777777" w:rsidR="00E003C0" w:rsidRPr="00A233A2" w:rsidRDefault="00E003C0" w:rsidP="003631E0">
      <w:pPr>
        <w:pStyle w:val="FootnoteText"/>
      </w:pPr>
      <w:r>
        <w:rPr>
          <w:rStyle w:val="FootnoteReference"/>
        </w:rPr>
        <w:footnoteRef/>
      </w:r>
      <w:r>
        <w:t xml:space="preserve"> SAP is a software company that makes enterprise software. Also known as </w:t>
      </w:r>
      <w:r w:rsidRPr="002708E6">
        <w:t>Systems, Applications and Products</w:t>
      </w:r>
      <w:r>
        <w:t xml:space="preserve"> in Data Processing.</w:t>
      </w:r>
    </w:p>
  </w:footnote>
  <w:footnote w:id="34">
    <w:p w14:paraId="297D6529" w14:textId="77777777" w:rsidR="00E003C0" w:rsidRDefault="00E003C0" w:rsidP="005C50AC">
      <w:pPr>
        <w:pStyle w:val="FootnoteText"/>
      </w:pPr>
      <w:r>
        <w:rPr>
          <w:rStyle w:val="FootnoteReference"/>
        </w:rPr>
        <w:footnoteRef/>
      </w:r>
      <w:r>
        <w:t xml:space="preserve"> A chain ladder analysis, prevalence methodology and decay methodology have been used.</w:t>
      </w:r>
    </w:p>
  </w:footnote>
  <w:footnote w:id="35">
    <w:p w14:paraId="4A9EA95D" w14:textId="1F9C1B9F" w:rsidR="00E003C0" w:rsidRPr="0072428B" w:rsidRDefault="00E003C0" w:rsidP="005C50AC">
      <w:pPr>
        <w:pStyle w:val="FootnoteText"/>
      </w:pPr>
      <w:r>
        <w:rPr>
          <w:rStyle w:val="FootnoteReference"/>
        </w:rPr>
        <w:footnoteRef/>
      </w:r>
      <w:r>
        <w:t xml:space="preserve"> </w:t>
      </w:r>
      <w:r w:rsidRPr="00F43C49">
        <w:t xml:space="preserve">The </w:t>
      </w:r>
      <w:r>
        <w:t xml:space="preserve">estimated future date at which </w:t>
      </w:r>
      <w:r w:rsidRPr="00F43C49">
        <w:t xml:space="preserve">point in time where participant intake primarily represents </w:t>
      </w:r>
      <w:r>
        <w:t>true new incidence (in other words when participants with previously unmet needs have entered the Scheme).</w:t>
      </w:r>
    </w:p>
  </w:footnote>
  <w:footnote w:id="36">
    <w:p w14:paraId="43D43BF6" w14:textId="44DDF20E" w:rsidR="00E003C0" w:rsidRDefault="00E003C0" w:rsidP="005C50AC">
      <w:pPr>
        <w:pStyle w:val="FootnoteText"/>
      </w:pPr>
      <w:r>
        <w:rPr>
          <w:rStyle w:val="FootnoteReference"/>
        </w:rPr>
        <w:footnoteRef/>
      </w:r>
      <w:r>
        <w:t xml:space="preserve"> P</w:t>
      </w:r>
      <w:r w:rsidRPr="00EF2594">
        <w:t>articipants who acquired their disability some years prior who only accessed the Scheme recently (for various reasons)</w:t>
      </w:r>
      <w:r>
        <w:t>.</w:t>
      </w:r>
    </w:p>
  </w:footnote>
  <w:footnote w:id="37">
    <w:p w14:paraId="5309B88B" w14:textId="0DCD8703" w:rsidR="00E003C0" w:rsidRPr="00031A84" w:rsidRDefault="00E003C0" w:rsidP="00372462">
      <w:pPr>
        <w:pStyle w:val="FootnoteText"/>
      </w:pPr>
      <w:r>
        <w:rPr>
          <w:rStyle w:val="FootnoteReference"/>
        </w:rPr>
        <w:footnoteRef/>
      </w:r>
      <w:r>
        <w:t xml:space="preserve"> </w:t>
      </w:r>
      <w:r w:rsidRPr="000C309D">
        <w:t>Plan budgets represent the dollar amount of support that has been made available to participants in their plan. The proportion of plan budgets which are used is referred to as the ‘utilisation rate’</w:t>
      </w:r>
      <w:r>
        <w:t xml:space="preserve">, and the dollar amount of </w:t>
      </w:r>
      <w:r w:rsidRPr="00031A84">
        <w:t xml:space="preserve">the plan budget used is referred to as ‘payments’. Payments are modelled as this is the actual cost to the Scheme. </w:t>
      </w:r>
    </w:p>
  </w:footnote>
  <w:footnote w:id="38">
    <w:p w14:paraId="7C21CD02" w14:textId="3B9CA8EB" w:rsidR="00E003C0" w:rsidRDefault="00E003C0" w:rsidP="00237D73">
      <w:pPr>
        <w:pStyle w:val="FootnoteText"/>
      </w:pPr>
      <w:r w:rsidRPr="00031A84">
        <w:rPr>
          <w:rStyle w:val="FootnoteReference"/>
        </w:rPr>
        <w:footnoteRef/>
      </w:r>
      <w:r w:rsidRPr="00031A84">
        <w:t xml:space="preserve"> The 15 support categories include four core support categories (Transport, Consumables, Daily Activities and Social Community Civic), two capital support categories (Assistive Technology and Home Modifications) and nine cap</w:t>
      </w:r>
      <w:r>
        <w:t>acity</w:t>
      </w:r>
      <w:r w:rsidRPr="00031A84">
        <w:t xml:space="preserve"> building (CB) support categories (Support Coordination, CB Relationships, CB Lifelong</w:t>
      </w:r>
      <w:r>
        <w:t xml:space="preserve"> Learning, CB Home Living, CB Health and Wellbeing, CB Employment, CB Daily Activities, CB Choice and Control and CB Social Community Civic).</w:t>
      </w:r>
    </w:p>
  </w:footnote>
  <w:footnote w:id="39">
    <w:p w14:paraId="135419A1" w14:textId="42F283E9" w:rsidR="00E003C0" w:rsidRPr="00D80E22" w:rsidRDefault="00E003C0" w:rsidP="005D1D06">
      <w:pPr>
        <w:pStyle w:val="FootnoteText"/>
      </w:pPr>
      <w:r>
        <w:rPr>
          <w:rStyle w:val="FootnoteReference"/>
        </w:rPr>
        <w:footnoteRef/>
      </w:r>
      <w:r>
        <w:t xml:space="preserve"> The expected number of participants in this comparison is based on the estimates from the previous review.</w:t>
      </w:r>
    </w:p>
  </w:footnote>
  <w:footnote w:id="40">
    <w:p w14:paraId="6BC51D66" w14:textId="54BF6FA4" w:rsidR="00E003C0" w:rsidRDefault="00E003C0">
      <w:pPr>
        <w:pStyle w:val="FootnoteText"/>
      </w:pPr>
      <w:r>
        <w:rPr>
          <w:rStyle w:val="FootnoteReference"/>
        </w:rPr>
        <w:footnoteRef/>
      </w:r>
      <w:r>
        <w:t xml:space="preserve"> </w:t>
      </w:r>
      <w:r w:rsidRPr="008D0FEC">
        <w:t xml:space="preserve">For further information, refer to </w:t>
      </w:r>
      <w:hyperlink r:id="rId8" w:history="1">
        <w:r w:rsidRPr="00537CFA">
          <w:rPr>
            <w:rStyle w:val="Hyperlink"/>
          </w:rPr>
          <w:t>Addendum 1 to NDIA’s Quarterly Report to Disability Ministers at 30 June 2021</w:t>
        </w:r>
      </w:hyperlink>
    </w:p>
  </w:footnote>
  <w:footnote w:id="41">
    <w:p w14:paraId="0B507E08" w14:textId="4B1801EA" w:rsidR="00E003C0" w:rsidRPr="0072428B" w:rsidRDefault="00E003C0" w:rsidP="005D1D06">
      <w:pPr>
        <w:pStyle w:val="FootnoteText"/>
      </w:pPr>
      <w:r>
        <w:rPr>
          <w:rStyle w:val="FootnoteReference"/>
        </w:rPr>
        <w:footnoteRef/>
      </w:r>
      <w:r>
        <w:t xml:space="preserve"> This </w:t>
      </w:r>
      <w:r w:rsidRPr="008D0FEC">
        <w:t>chart only considers participants that were active at 30 June 2017. For further information, refer to Addendum 1 to NDIA’s Quarterly Report to Disability Ministers at 30 June 2021</w:t>
      </w:r>
      <w:r>
        <w:t xml:space="preserve">: </w:t>
      </w:r>
      <w:r w:rsidRPr="006A3718">
        <w:t>https://www.ndis.gov.au/media/3476/download?attachment</w:t>
      </w:r>
    </w:p>
  </w:footnote>
  <w:footnote w:id="42">
    <w:p w14:paraId="29FFB53A" w14:textId="12D9A8A6" w:rsidR="00E003C0" w:rsidRPr="005F1C46" w:rsidRDefault="00E003C0" w:rsidP="005D1D06">
      <w:pPr>
        <w:pStyle w:val="FootnoteText"/>
      </w:pPr>
      <w:r>
        <w:rPr>
          <w:rStyle w:val="FootnoteReference"/>
        </w:rPr>
        <w:footnoteRef/>
      </w:r>
      <w:r>
        <w:t xml:space="preserve"> For quarters prior to 30 June 2020, the split of intake by entry type has been shown, while for quarters after 30 June 2020, the overall number of new SIL participants are shown. The majority of new participants after 30 June 2020 would be expected to be new to disability supports. </w:t>
      </w:r>
    </w:p>
  </w:footnote>
  <w:footnote w:id="43">
    <w:p w14:paraId="51D82E03" w14:textId="77777777" w:rsidR="00E003C0" w:rsidRDefault="00E003C0" w:rsidP="005D1D06">
      <w:pPr>
        <w:pStyle w:val="FootnoteText"/>
      </w:pPr>
      <w:r w:rsidRPr="003457C7">
        <w:rPr>
          <w:rStyle w:val="FootnoteReference"/>
        </w:rPr>
        <w:footnoteRef/>
      </w:r>
      <w:r>
        <w:t xml:space="preserve"> About 54</w:t>
      </w:r>
      <w:r w:rsidRPr="003457C7">
        <w:t>% of all SIL Scheme participants have an intellectual disability and 1</w:t>
      </w:r>
      <w:r>
        <w:t>5</w:t>
      </w:r>
      <w:r w:rsidRPr="003457C7">
        <w:t>% of participants with an intellectual disability are in SIL arrangements as at 3</w:t>
      </w:r>
      <w:r>
        <w:t>0</w:t>
      </w:r>
      <w:r w:rsidRPr="003457C7">
        <w:t xml:space="preserve"> </w:t>
      </w:r>
      <w:r>
        <w:t>June 2021</w:t>
      </w:r>
      <w:r w:rsidRPr="003457C7">
        <w:t>.</w:t>
      </w:r>
    </w:p>
  </w:footnote>
  <w:footnote w:id="44">
    <w:p w14:paraId="5EB2733E" w14:textId="77777777" w:rsidR="00E003C0" w:rsidRPr="00D16790" w:rsidRDefault="00E003C0" w:rsidP="00805E11">
      <w:pPr>
        <w:pStyle w:val="FootnoteText"/>
      </w:pPr>
      <w:r>
        <w:rPr>
          <w:rStyle w:val="FootnoteReference"/>
        </w:rPr>
        <w:footnoteRef/>
      </w:r>
      <w:r>
        <w:t xml:space="preserve"> Prevalence is defined as the proportion of the general population that have a disability and are accessing Scheme supports</w:t>
      </w:r>
    </w:p>
  </w:footnote>
  <w:footnote w:id="45">
    <w:p w14:paraId="18CB2172" w14:textId="77777777" w:rsidR="00E003C0" w:rsidRPr="00A233A2" w:rsidRDefault="00E003C0" w:rsidP="005D1D06">
      <w:pPr>
        <w:pStyle w:val="FootnoteText"/>
      </w:pPr>
      <w:r>
        <w:rPr>
          <w:rStyle w:val="FootnoteReference"/>
        </w:rPr>
        <w:footnoteRef/>
      </w:r>
      <w:r>
        <w:t xml:space="preserve"> The regions that commenced phasing during the Scheme’s trial and early transition period.</w:t>
      </w:r>
    </w:p>
  </w:footnote>
  <w:footnote w:id="46">
    <w:p w14:paraId="43CEBE66" w14:textId="697161A4" w:rsidR="00E003C0" w:rsidRDefault="00E003C0" w:rsidP="005D1D06">
      <w:pPr>
        <w:pStyle w:val="FootnoteText"/>
      </w:pPr>
      <w:r>
        <w:rPr>
          <w:rStyle w:val="FootnoteReference"/>
        </w:rPr>
        <w:footnoteRef/>
      </w:r>
      <w:r>
        <w:t xml:space="preserve"> Excludes jurisdictions which phased participants in by age or other non</w:t>
      </w:r>
      <w:r>
        <w:noBreakHyphen/>
        <w:t>standard phasing patterns (for example, South Australia, Tasmania and Northern Territory), as inclusion of these sites would lead to bias in development charts.</w:t>
      </w:r>
    </w:p>
  </w:footnote>
  <w:footnote w:id="47">
    <w:p w14:paraId="36936015" w14:textId="77777777" w:rsidR="00E003C0" w:rsidRDefault="00E003C0" w:rsidP="009517E5">
      <w:pPr>
        <w:pStyle w:val="FootnoteText"/>
      </w:pPr>
      <w:r>
        <w:rPr>
          <w:rStyle w:val="FootnoteReference"/>
        </w:rPr>
        <w:footnoteRef/>
      </w:r>
      <w:r>
        <w:t xml:space="preserve"> </w:t>
      </w:r>
      <w:r w:rsidRPr="000E6D8A">
        <w:t>Dates of payments relate to when the payment was made, rather than when the support was provided.</w:t>
      </w:r>
    </w:p>
  </w:footnote>
  <w:footnote w:id="48">
    <w:p w14:paraId="3FA543A1" w14:textId="77777777" w:rsidR="00E003C0" w:rsidRPr="003A4271" w:rsidRDefault="00E003C0" w:rsidP="00587E18">
      <w:pPr>
        <w:pStyle w:val="FootnoteText"/>
        <w:rPr>
          <w:highlight w:val="darkGray"/>
        </w:rPr>
      </w:pPr>
      <w:r w:rsidRPr="000E6D8A">
        <w:rPr>
          <w:rStyle w:val="FootnoteReference"/>
        </w:rPr>
        <w:footnoteRef/>
      </w:r>
      <w:r w:rsidRPr="000E6D8A">
        <w:t xml:space="preserve"> Average annualised payments have been calculated on a cash basis using the 12 months over each year ending 30 June.</w:t>
      </w:r>
    </w:p>
  </w:footnote>
  <w:footnote w:id="49">
    <w:p w14:paraId="682F7E5A" w14:textId="77777777" w:rsidR="00E003C0" w:rsidRPr="003A4271" w:rsidRDefault="00E003C0" w:rsidP="00587E18">
      <w:pPr>
        <w:pStyle w:val="FootnoteText"/>
        <w:rPr>
          <w:highlight w:val="darkGray"/>
        </w:rPr>
      </w:pPr>
      <w:r w:rsidRPr="000E6D8A">
        <w:rPr>
          <w:rStyle w:val="FootnoteReference"/>
        </w:rPr>
        <w:footnoteRef/>
      </w:r>
      <w:r w:rsidRPr="000E6D8A">
        <w:t xml:space="preserve"> Average annualised payments have been calculated on a cash basis using the 12 months over each year ending 30 June.</w:t>
      </w:r>
    </w:p>
  </w:footnote>
  <w:footnote w:id="50">
    <w:p w14:paraId="0CAD8D87" w14:textId="77777777" w:rsidR="00E003C0" w:rsidRPr="003A4271" w:rsidRDefault="00E003C0" w:rsidP="00587E18">
      <w:pPr>
        <w:pStyle w:val="FootnoteText"/>
        <w:rPr>
          <w:highlight w:val="darkGray"/>
        </w:rPr>
      </w:pPr>
      <w:r w:rsidRPr="000E6D8A">
        <w:rPr>
          <w:rStyle w:val="FootnoteReference"/>
        </w:rPr>
        <w:footnoteRef/>
      </w:r>
      <w:r w:rsidRPr="000E6D8A">
        <w:t xml:space="preserve"> Average annualised payments have been calculated on a cash basis using the 12 months over each year ending 30 June.</w:t>
      </w:r>
    </w:p>
  </w:footnote>
  <w:footnote w:id="51">
    <w:p w14:paraId="0F963418" w14:textId="3F059675" w:rsidR="00E003C0" w:rsidRDefault="00E003C0">
      <w:pPr>
        <w:pStyle w:val="FootnoteText"/>
      </w:pPr>
      <w:r>
        <w:rPr>
          <w:rStyle w:val="FootnoteReference"/>
        </w:rPr>
        <w:footnoteRef/>
      </w:r>
      <w:r>
        <w:t xml:space="preserve"> Those participants who </w:t>
      </w:r>
      <w:r w:rsidRPr="000E6D8A">
        <w:t>had been in the Scheme for at least one year as at 30 June 2020</w:t>
      </w:r>
    </w:p>
  </w:footnote>
  <w:footnote w:id="52">
    <w:p w14:paraId="56853721" w14:textId="6ED3F5F7" w:rsidR="00E003C0" w:rsidRDefault="00E003C0">
      <w:pPr>
        <w:pStyle w:val="FootnoteText"/>
      </w:pPr>
      <w:r>
        <w:rPr>
          <w:rStyle w:val="FootnoteReference"/>
        </w:rPr>
        <w:footnoteRef/>
      </w:r>
      <w:r>
        <w:t xml:space="preserve"> The top 10% is equivalent to ventiles 19 and 20</w:t>
      </w:r>
    </w:p>
  </w:footnote>
  <w:footnote w:id="53">
    <w:p w14:paraId="23098011" w14:textId="7AE54BCC" w:rsidR="00E003C0" w:rsidRDefault="00E003C0">
      <w:pPr>
        <w:pStyle w:val="FootnoteText"/>
      </w:pPr>
      <w:r>
        <w:rPr>
          <w:rStyle w:val="FootnoteReference"/>
        </w:rPr>
        <w:footnoteRef/>
      </w:r>
      <w:r>
        <w:t xml:space="preserve"> The bottom 40% is equivalent to ventiles 1 to 8</w:t>
      </w:r>
    </w:p>
  </w:footnote>
  <w:footnote w:id="54">
    <w:p w14:paraId="54AFFD50" w14:textId="637C6C52" w:rsidR="00E003C0" w:rsidRDefault="00E003C0" w:rsidP="0074347B">
      <w:pPr>
        <w:pStyle w:val="FootnoteText"/>
      </w:pPr>
      <w:r>
        <w:rPr>
          <w:rStyle w:val="FootnoteReference"/>
        </w:rPr>
        <w:footnoteRef/>
      </w:r>
      <w:r>
        <w:t xml:space="preserve"> This analysis includes Non-SIL participants for phasing financial years 2016-2019. The mix-adjusted average payment shows the average payment for each cohort on a comparable basis, i.e. based on a consistent mix of participants by age, disability type and level of function. The variance in average payment between all participants and recent entrants therefore relates purely to lower payments per participant, and not due to any change in mix. </w:t>
      </w:r>
    </w:p>
  </w:footnote>
  <w:footnote w:id="55">
    <w:p w14:paraId="7AB1EE9C" w14:textId="13064F6D" w:rsidR="00E003C0" w:rsidRPr="009630FF" w:rsidRDefault="00E003C0" w:rsidP="00C82672">
      <w:pPr>
        <w:pStyle w:val="FootnoteText"/>
      </w:pPr>
      <w:r>
        <w:rPr>
          <w:rStyle w:val="FootnoteReference"/>
        </w:rPr>
        <w:footnoteRef/>
      </w:r>
      <w:r>
        <w:t xml:space="preserve"> PBS results have not been adjusted for the revised estimates in the recent 2021 Federal budget, which for June 2021 is $23,234m. Additionally, total payments in 2020-21 include $119.33 million spent on COVID-related expenses. </w:t>
      </w:r>
    </w:p>
  </w:footnote>
  <w:footnote w:id="56">
    <w:p w14:paraId="2672BE9C" w14:textId="0DB55FA5" w:rsidR="00E003C0" w:rsidRDefault="00E003C0">
      <w:pPr>
        <w:pStyle w:val="FootnoteText"/>
      </w:pPr>
      <w:r>
        <w:rPr>
          <w:rStyle w:val="FootnoteReference"/>
        </w:rPr>
        <w:footnoteRef/>
      </w:r>
      <w:r>
        <w:t xml:space="preserve"> The </w:t>
      </w:r>
      <w:r w:rsidRPr="00EA0F0E">
        <w:t>utilisation rate</w:t>
      </w:r>
      <w:r>
        <w:t xml:space="preserve">s shown are “ultimate” rates, </w:t>
      </w:r>
      <w:r w:rsidRPr="00EA0F0E">
        <w:t>consider</w:t>
      </w:r>
      <w:r>
        <w:t>ing</w:t>
      </w:r>
      <w:r w:rsidRPr="00EA0F0E">
        <w:t xml:space="preserve"> both payments already made and payments for supports already provided but not yet paid. This is to allow for the impact of payment delays when calculating ultimate utilisation for a given support year.</w:t>
      </w:r>
    </w:p>
  </w:footnote>
  <w:footnote w:id="57">
    <w:p w14:paraId="5EDA52E5" w14:textId="7A4576D9" w:rsidR="00E003C0" w:rsidRPr="00C21473" w:rsidRDefault="00E003C0" w:rsidP="0044290F">
      <w:pPr>
        <w:pStyle w:val="FootnoteText"/>
      </w:pPr>
      <w:r>
        <w:rPr>
          <w:rStyle w:val="FootnoteReference"/>
        </w:rPr>
        <w:footnoteRef/>
      </w:r>
      <w:r>
        <w:t xml:space="preserve"> </w:t>
      </w:r>
      <w:r w:rsidRPr="00C21473">
        <w:t>Utilisation for all plans include both cash and in-kind supports. However, the calculation of utilisation by plan number excludes participants with in-kind supports as it is not possible to accurate separate in-kind payments and plan budgets between plans. Only utilisation of plan budgets between 1</w:t>
      </w:r>
      <w:r>
        <w:t> </w:t>
      </w:r>
      <w:r w:rsidRPr="00C21473">
        <w:t xml:space="preserve">October 2020 </w:t>
      </w:r>
      <w:r>
        <w:t>and</w:t>
      </w:r>
      <w:r w:rsidRPr="00C21473">
        <w:t xml:space="preserve"> 31 March 2021 is shown, as experience in the most recent quarter is still emerging.</w:t>
      </w:r>
    </w:p>
    <w:p w14:paraId="5DB43CD2" w14:textId="76239E47" w:rsidR="00E003C0" w:rsidRPr="00C21473" w:rsidRDefault="00E003C0" w:rsidP="0044290F">
      <w:pPr>
        <w:pStyle w:val="FootnoteText"/>
      </w:pPr>
    </w:p>
  </w:footnote>
  <w:footnote w:id="58">
    <w:p w14:paraId="35D4C1D2" w14:textId="4DAAEAFC" w:rsidR="00E003C0" w:rsidRDefault="00E003C0">
      <w:pPr>
        <w:pStyle w:val="FootnoteText"/>
      </w:pPr>
      <w:r>
        <w:rPr>
          <w:rStyle w:val="FootnoteReference"/>
        </w:rPr>
        <w:footnoteRef/>
      </w:r>
      <w:r>
        <w:t xml:space="preserve"> </w:t>
      </w:r>
      <w:r w:rsidRPr="008458F2">
        <w:t>The point in time where participant intake primarily represents participants with new incidence of disability. For this report 30 June 202</w:t>
      </w:r>
      <w:r w:rsidRPr="009E66B2">
        <w:t>4</w:t>
      </w:r>
      <w:r w:rsidRPr="008458F2">
        <w:t xml:space="preserve"> has been assumed.</w:t>
      </w:r>
    </w:p>
  </w:footnote>
  <w:footnote w:id="59">
    <w:p w14:paraId="22C6EA94" w14:textId="77777777" w:rsidR="00E003C0" w:rsidRDefault="00E003C0" w:rsidP="0018109F">
      <w:pPr>
        <w:pStyle w:val="FootnoteText"/>
      </w:pPr>
      <w:r>
        <w:rPr>
          <w:rStyle w:val="FootnoteReference"/>
        </w:rPr>
        <w:footnoteRef/>
      </w:r>
      <w:r>
        <w:t xml:space="preserve"> Observed new incidence rates for 2013 to 2019 phasing years show the number of new entrants per 100K population over the 2020-21 financial year in the relevant geographic areas which phased into the Scheme in that year </w:t>
      </w:r>
    </w:p>
  </w:footnote>
  <w:footnote w:id="60">
    <w:p w14:paraId="19C070BF" w14:textId="21A3968F" w:rsidR="00E003C0" w:rsidRPr="00B453F1" w:rsidRDefault="00E003C0" w:rsidP="00CF3E47">
      <w:pPr>
        <w:pStyle w:val="FootnoteText"/>
      </w:pPr>
      <w:r>
        <w:rPr>
          <w:rStyle w:val="FootnoteReference"/>
        </w:rPr>
        <w:footnoteRef/>
      </w:r>
      <w:r>
        <w:t xml:space="preserve"> Sample comprises adult participants from geographic areas which phased into the Scheme in 2018 and earlier</w:t>
      </w:r>
    </w:p>
  </w:footnote>
  <w:footnote w:id="61">
    <w:p w14:paraId="45DACEBD" w14:textId="77777777" w:rsidR="00E003C0" w:rsidRDefault="00E003C0" w:rsidP="00F633BC">
      <w:pPr>
        <w:pStyle w:val="FootnoteText"/>
      </w:pPr>
      <w:r>
        <w:rPr>
          <w:rStyle w:val="FootnoteReference"/>
        </w:rPr>
        <w:footnoteRef/>
      </w:r>
      <w:r>
        <w:t xml:space="preserve"> Observed new incidence rates for 2013 to 2019 phasing years show the number of new entrants per 100K population over the 2020-21 financial year in the relevant geographic areas which phased into the Scheme in that year </w:t>
      </w:r>
    </w:p>
  </w:footnote>
  <w:footnote w:id="62">
    <w:p w14:paraId="0E7AFE95" w14:textId="7932FA22" w:rsidR="00E003C0" w:rsidRDefault="00E003C0">
      <w:pPr>
        <w:pStyle w:val="FootnoteText"/>
      </w:pPr>
      <w:r>
        <w:rPr>
          <w:rStyle w:val="FootnoteReference"/>
        </w:rPr>
        <w:footnoteRef/>
      </w:r>
      <w:r>
        <w:t xml:space="preserve"> The impact of lower projected participants in SIL is a reduction in estimated cost of approximately $5.0 billion in the four years to 2024-25 (as shown in </w:t>
      </w:r>
      <w:r>
        <w:fldChar w:fldCharType="begin"/>
      </w:r>
      <w:r>
        <w:instrText xml:space="preserve"> REF _Ref80272209 \h </w:instrText>
      </w:r>
      <w:r>
        <w:fldChar w:fldCharType="separate"/>
      </w:r>
      <w:r w:rsidR="00E50032" w:rsidRPr="00203269">
        <w:t xml:space="preserve">Table </w:t>
      </w:r>
      <w:r w:rsidR="00E50032">
        <w:rPr>
          <w:noProof/>
        </w:rPr>
        <w:t>21</w:t>
      </w:r>
      <w:r>
        <w:fldChar w:fldCharType="end"/>
      </w:r>
      <w:r>
        <w:t>).</w:t>
      </w:r>
    </w:p>
  </w:footnote>
  <w:footnote w:id="63">
    <w:p w14:paraId="4F98E8D5" w14:textId="77777777" w:rsidR="00E003C0" w:rsidRPr="00A2378F" w:rsidRDefault="00E003C0" w:rsidP="007372C8">
      <w:pPr>
        <w:pStyle w:val="FootnoteText"/>
      </w:pPr>
      <w:r w:rsidRPr="00A2378F">
        <w:rPr>
          <w:rStyle w:val="FootnoteReference"/>
        </w:rPr>
        <w:footnoteRef/>
      </w:r>
      <w:r w:rsidRPr="00A2378F">
        <w:t xml:space="preserve"> In particular, participants with spinal cord injury, cerebral palsy and acquired brain injury.</w:t>
      </w:r>
    </w:p>
  </w:footnote>
  <w:footnote w:id="64">
    <w:p w14:paraId="38292618" w14:textId="77777777" w:rsidR="00E003C0" w:rsidRPr="00A2378F" w:rsidRDefault="00E003C0" w:rsidP="007372C8">
      <w:pPr>
        <w:pStyle w:val="FootnoteText"/>
      </w:pPr>
      <w:r w:rsidRPr="00A2378F">
        <w:rPr>
          <w:rStyle w:val="FootnoteReference"/>
        </w:rPr>
        <w:footnoteRef/>
      </w:r>
      <w:r w:rsidRPr="00A2378F">
        <w:t xml:space="preserve"> This includes hearing impairment, visual impairment and other sensory/speech disabilities.</w:t>
      </w:r>
    </w:p>
  </w:footnote>
  <w:footnote w:id="65">
    <w:p w14:paraId="1A8FEEB6" w14:textId="7B589031" w:rsidR="00E003C0" w:rsidRDefault="00E003C0" w:rsidP="00E32F5A">
      <w:pPr>
        <w:pStyle w:val="FootnoteText"/>
      </w:pPr>
      <w:r>
        <w:rPr>
          <w:rStyle w:val="FootnoteReference"/>
        </w:rPr>
        <w:footnoteRef/>
      </w:r>
      <w:r>
        <w:t xml:space="preserve"> Applied to supports for Activities of Daily Living and Social and Community Participation.</w:t>
      </w:r>
    </w:p>
  </w:footnote>
  <w:footnote w:id="66">
    <w:p w14:paraId="16DFD1D3" w14:textId="6CEBBB1B" w:rsidR="00E003C0" w:rsidRDefault="00E003C0" w:rsidP="00975A51">
      <w:pPr>
        <w:pStyle w:val="FootnoteText"/>
      </w:pPr>
      <w:r>
        <w:rPr>
          <w:rStyle w:val="FootnoteReference"/>
        </w:rPr>
        <w:footnoteRef/>
      </w:r>
      <w:r>
        <w:t xml:space="preserve"> Of the superimposed inflation of 9.7% in 2021-22, which represents the increase from the 2020-21 year to the 2021-22 year, 5.2% had already occurred at 30 June 2021, and the remaining 4.3% (compounded) is assumed to occur in future.</w:t>
      </w:r>
    </w:p>
  </w:footnote>
  <w:footnote w:id="67">
    <w:p w14:paraId="3F9AA6A3" w14:textId="64BF7CDB" w:rsidR="00E003C0" w:rsidRDefault="00E003C0">
      <w:pPr>
        <w:pStyle w:val="FootnoteText"/>
      </w:pPr>
      <w:r>
        <w:rPr>
          <w:rStyle w:val="FootnoteReference"/>
        </w:rPr>
        <w:footnoteRef/>
      </w:r>
      <w:r>
        <w:t xml:space="preserve"> Ibid.</w:t>
      </w:r>
    </w:p>
  </w:footnote>
  <w:footnote w:id="68">
    <w:p w14:paraId="47EFE761" w14:textId="65AE58FF" w:rsidR="00E003C0" w:rsidRDefault="00E003C0" w:rsidP="00314FCF">
      <w:pPr>
        <w:pStyle w:val="FootnoteText"/>
      </w:pPr>
      <w:r>
        <w:rPr>
          <w:rStyle w:val="FootnoteReference"/>
        </w:rPr>
        <w:footnoteRef/>
      </w:r>
      <w:r>
        <w:t xml:space="preserve"> Total expected inflation shown is lower than normal inflation plus superimposed inflation because the change in mix of participants is expected to lead to reductions in average payment per participant (before allowing for normal inflation and superimposed inflation)</w:t>
      </w:r>
      <w:r w:rsidRPr="004D5319">
        <w:t>.</w:t>
      </w:r>
      <w:r>
        <w:t xml:space="preserve"> The historic average shown implicitly includes change in mix, and so the most appropriate comparison to past experience is the total including change in mix.</w:t>
      </w:r>
    </w:p>
  </w:footnote>
  <w:footnote w:id="69">
    <w:p w14:paraId="7F9F1166" w14:textId="77777777" w:rsidR="00E003C0" w:rsidRPr="00594EEA" w:rsidRDefault="00E003C0" w:rsidP="00D13572">
      <w:pPr>
        <w:pStyle w:val="FootnoteText"/>
      </w:pPr>
      <w:r>
        <w:rPr>
          <w:rStyle w:val="FootnoteReference"/>
        </w:rPr>
        <w:footnoteRef/>
      </w:r>
      <w:r>
        <w:t xml:space="preserve"> In particular, participants with spinal cord injury, cerebral palsy and acquired brain injury.</w:t>
      </w:r>
    </w:p>
  </w:footnote>
  <w:footnote w:id="70">
    <w:p w14:paraId="146B737D" w14:textId="77777777" w:rsidR="00E003C0" w:rsidRPr="00077850" w:rsidRDefault="00E003C0" w:rsidP="00D13572">
      <w:pPr>
        <w:pStyle w:val="FootnoteText"/>
      </w:pPr>
      <w:r>
        <w:rPr>
          <w:rStyle w:val="FootnoteReference"/>
        </w:rPr>
        <w:footnoteRef/>
      </w:r>
      <w:r>
        <w:t xml:space="preserve"> This includes hearing impairment, visual impairment and other sensory/speech disabilities.</w:t>
      </w:r>
    </w:p>
  </w:footnote>
  <w:footnote w:id="71">
    <w:p w14:paraId="29FB945F" w14:textId="71B64517" w:rsidR="00E003C0" w:rsidRDefault="00E003C0" w:rsidP="003D474F">
      <w:pPr>
        <w:pStyle w:val="FootnoteText"/>
      </w:pPr>
      <w:r>
        <w:rPr>
          <w:rStyle w:val="FootnoteReference"/>
        </w:rPr>
        <w:footnoteRef/>
      </w:r>
      <w:r>
        <w:t xml:space="preserve"> </w:t>
      </w:r>
      <w:r w:rsidRPr="00036D6E">
        <w:t xml:space="preserve">Productivity Commission 2017, </w:t>
      </w:r>
      <w:r w:rsidRPr="00036D6E">
        <w:rPr>
          <w:i/>
        </w:rPr>
        <w:t>National Disability Insurance Scheme (NDIS) Costs</w:t>
      </w:r>
      <w:r w:rsidRPr="00036D6E">
        <w:t>, St</w:t>
      </w:r>
      <w:r>
        <w:t>udy Report, Canberra (Page 412)</w:t>
      </w:r>
      <w:r w:rsidRPr="00036D6E">
        <w:t>.</w:t>
      </w:r>
    </w:p>
  </w:footnote>
  <w:footnote w:id="72">
    <w:p w14:paraId="14183D12" w14:textId="77777777" w:rsidR="00E003C0" w:rsidRDefault="00E003C0" w:rsidP="00A2569E">
      <w:pPr>
        <w:pStyle w:val="FootnoteText"/>
      </w:pPr>
      <w:r>
        <w:rPr>
          <w:rStyle w:val="FootnoteReference"/>
        </w:rPr>
        <w:footnoteRef/>
      </w:r>
      <w:r>
        <w:t xml:space="preserve"> </w:t>
      </w:r>
      <w:r w:rsidRPr="00AA44C0">
        <w:t xml:space="preserve">There is considerable uncertainty in the calculation of lifetime cost estimates in this section. There is limited longitudinal experience within the Scheme to inform assumptions, with most participants having been in the Scheme for </w:t>
      </w:r>
      <w:r>
        <w:t xml:space="preserve">five </w:t>
      </w:r>
      <w:r w:rsidRPr="00AA44C0">
        <w:t xml:space="preserve">years or less. These estimates therefore reflect emerging experience, assuming the same </w:t>
      </w:r>
      <w:r>
        <w:t xml:space="preserve">average payments </w:t>
      </w:r>
      <w:r w:rsidRPr="00AA44C0">
        <w:t>and exit rates were to continue over the lifetime of participants.</w:t>
      </w:r>
    </w:p>
  </w:footnote>
  <w:footnote w:id="73">
    <w:p w14:paraId="11B329DD" w14:textId="7E8950F2" w:rsidR="00E003C0" w:rsidRDefault="00E003C0">
      <w:pPr>
        <w:pStyle w:val="FootnoteText"/>
      </w:pPr>
      <w:r>
        <w:rPr>
          <w:rStyle w:val="FootnoteReference"/>
        </w:rPr>
        <w:footnoteRef/>
      </w:r>
      <w:r>
        <w:t xml:space="preserve"> The adopted long term </w:t>
      </w:r>
      <w:r w:rsidRPr="00AA44C0">
        <w:t xml:space="preserve">discount rate </w:t>
      </w:r>
      <w:r>
        <w:t xml:space="preserve">of 5.0% corresponds to the long term expectation for nominal GDP growth, which is the combination of </w:t>
      </w:r>
      <w:r w:rsidRPr="00DC34C9">
        <w:t>average long term productivity growth of 1 per cent per annum, employment growth of 1.5 per cent per annum (noting employment growth is expected to fall over time due to the impact of ageing and slowing population growth on the labo</w:t>
      </w:r>
      <w:r>
        <w:t>u</w:t>
      </w:r>
      <w:r w:rsidRPr="00DC34C9">
        <w:t xml:space="preserve">r force) and price inflation of 2.5 per cent per annum. </w:t>
      </w:r>
      <w:r>
        <w:t>This assumption is consistent with the long term discount rate used for Australian government superannuation liability valuations.</w:t>
      </w:r>
    </w:p>
  </w:footnote>
  <w:footnote w:id="74">
    <w:p w14:paraId="70AE8CC0" w14:textId="77777777" w:rsidR="00E003C0" w:rsidRDefault="00E003C0" w:rsidP="00864DC5">
      <w:pPr>
        <w:pStyle w:val="FootnoteText"/>
      </w:pPr>
      <w:r>
        <w:rPr>
          <w:rStyle w:val="FootnoteReference"/>
        </w:rPr>
        <w:footnoteRef/>
      </w:r>
      <w:r>
        <w:t xml:space="preserve"> Each cohort is a unique combination of age group, gender, primary disability, level of function and SIL status. There are a total of 2,052 cohorts which are separately projected. </w:t>
      </w:r>
    </w:p>
  </w:footnote>
  <w:footnote w:id="75">
    <w:p w14:paraId="37E2FFBC" w14:textId="04B14740" w:rsidR="00E003C0" w:rsidRDefault="00E003C0" w:rsidP="00DF284E">
      <w:pPr>
        <w:pStyle w:val="FootnoteText"/>
      </w:pPr>
      <w:r>
        <w:rPr>
          <w:rStyle w:val="FootnoteReference"/>
        </w:rPr>
        <w:footnoteRef/>
      </w:r>
      <w:r>
        <w:t xml:space="preserve"> The plausible low and high case scenarios assume that the individual variance items are slightly positively correlated, with 20% pairwise correlation. </w:t>
      </w:r>
    </w:p>
  </w:footnote>
  <w:footnote w:id="76">
    <w:p w14:paraId="5F6F8D3C" w14:textId="77777777" w:rsidR="00E003C0" w:rsidRDefault="00E003C0" w:rsidP="00AB0120">
      <w:pPr>
        <w:pStyle w:val="FootnoteText"/>
      </w:pPr>
      <w:r>
        <w:rPr>
          <w:rStyle w:val="FootnoteReference"/>
        </w:rPr>
        <w:footnoteRef/>
      </w:r>
      <w:r>
        <w:t xml:space="preserve"> </w:t>
      </w:r>
      <w:r w:rsidRPr="00036D6E">
        <w:t xml:space="preserve">Productivity Commission 2017, </w:t>
      </w:r>
      <w:r w:rsidRPr="00036D6E">
        <w:rPr>
          <w:i/>
        </w:rPr>
        <w:t>National Disability Insurance Scheme (NDIS) Costs</w:t>
      </w:r>
      <w:r w:rsidRPr="00036D6E">
        <w:t>, Study Report, Canberra (Table 2.3).</w:t>
      </w:r>
    </w:p>
  </w:footnote>
  <w:footnote w:id="77">
    <w:p w14:paraId="558A2BD5" w14:textId="77777777" w:rsidR="00E003C0" w:rsidRDefault="00E003C0" w:rsidP="00AB0120">
      <w:pPr>
        <w:pStyle w:val="FootnoteText"/>
      </w:pPr>
      <w:r>
        <w:rPr>
          <w:rStyle w:val="FootnoteReference"/>
        </w:rPr>
        <w:footnoteRef/>
      </w:r>
      <w:r>
        <w:t xml:space="preserve"> </w:t>
      </w:r>
      <w:r w:rsidRPr="00036D6E">
        <w:t>The Productivity Commission costings did not include an explicit allowance for children with developmental delay, for the student transport and personal care in schools in</w:t>
      </w:r>
      <w:r w:rsidRPr="00036D6E">
        <w:noBreakHyphen/>
        <w:t>kind support programs and for disability related health supports, noting that these four items could account for an additional $1.5 billion per annum at the Steady Intake Date.</w:t>
      </w:r>
    </w:p>
  </w:footnote>
  <w:footnote w:id="78">
    <w:p w14:paraId="4DB619D4" w14:textId="4467B88E" w:rsidR="00E003C0" w:rsidRDefault="00E003C0" w:rsidP="00A62861">
      <w:pPr>
        <w:pStyle w:val="FootnoteText"/>
      </w:pPr>
      <w:r w:rsidRPr="000D6ECE">
        <w:rPr>
          <w:rStyle w:val="FootnoteReference"/>
        </w:rPr>
        <w:footnoteRef/>
      </w:r>
      <w:r w:rsidRPr="000D6ECE">
        <w:t xml:space="preserve"> </w:t>
      </w:r>
      <w:r>
        <w:t>By</w:t>
      </w:r>
      <w:r w:rsidRPr="000D6ECE">
        <w:t xml:space="preserve"> comparison, the previous disability support system took a welfare approach, generally providing short-term block funding which gave participants little choice and control over supports they received.</w:t>
      </w:r>
    </w:p>
  </w:footnote>
  <w:footnote w:id="79">
    <w:p w14:paraId="33CA3B4D" w14:textId="77777777" w:rsidR="00E003C0" w:rsidRPr="009B4BA8" w:rsidRDefault="00E003C0" w:rsidP="00A62861">
      <w:pPr>
        <w:pStyle w:val="FootnoteText"/>
      </w:pPr>
      <w:r w:rsidRPr="000D6ECE">
        <w:rPr>
          <w:rStyle w:val="FootnoteReference"/>
        </w:rPr>
        <w:footnoteRef/>
      </w:r>
      <w:r w:rsidRPr="000D6ECE">
        <w:t xml:space="preserve"> </w:t>
      </w:r>
      <w:r w:rsidRPr="000D6ECE">
        <w:rPr>
          <w:rFonts w:cs="Arial"/>
        </w:rPr>
        <w:t>Other aspects of the NDIS Outcomes Framework include satisfaction surveys, usage of mainstream and community supports, and participant goals.</w:t>
      </w:r>
    </w:p>
  </w:footnote>
  <w:footnote w:id="80">
    <w:p w14:paraId="597D47C5" w14:textId="3D26BE93" w:rsidR="00E003C0" w:rsidRDefault="00E003C0" w:rsidP="004C7587">
      <w:pPr>
        <w:pStyle w:val="FootnoteText"/>
      </w:pPr>
      <w:r>
        <w:rPr>
          <w:rStyle w:val="FootnoteReference"/>
        </w:rPr>
        <w:footnoteRef/>
      </w:r>
      <w:r>
        <w:t xml:space="preserve"> </w:t>
      </w:r>
      <w:r w:rsidRPr="00FB600A">
        <w:rPr>
          <w:i/>
        </w:rPr>
        <w:t>“</w:t>
      </w:r>
      <w:hyperlink r:id="rId9" w:history="1">
        <w:r w:rsidRPr="00A77CED">
          <w:rPr>
            <w:rStyle w:val="Hyperlink"/>
            <w:i/>
          </w:rPr>
          <w:t>Participant and family/carer outcomes: COVID-19 impact | Executive summary, to 30 June 2020</w:t>
        </w:r>
      </w:hyperlink>
      <w:r w:rsidRPr="00FB600A">
        <w:rPr>
          <w:i/>
        </w:rPr>
        <w:t>”</w:t>
      </w:r>
      <w:r>
        <w:rPr>
          <w:i/>
        </w:rPr>
        <w:t xml:space="preserve"> </w:t>
      </w:r>
    </w:p>
  </w:footnote>
  <w:footnote w:id="81">
    <w:p w14:paraId="5677E191" w14:textId="180768C7" w:rsidR="00E003C0" w:rsidRPr="00DB3EDD" w:rsidRDefault="00E003C0" w:rsidP="005F7A4F">
      <w:pPr>
        <w:pStyle w:val="FootnoteText"/>
        <w:rPr>
          <w:highlight w:val="red"/>
        </w:rPr>
      </w:pPr>
      <w:r w:rsidRPr="00DB3EDD">
        <w:rPr>
          <w:rStyle w:val="FootnoteReference"/>
        </w:rPr>
        <w:footnoteRef/>
      </w:r>
      <w:r w:rsidRPr="00DB3EDD">
        <w:t xml:space="preserve"> </w:t>
      </w:r>
      <w:hyperlink r:id="rId10" w:history="1">
        <w:r w:rsidRPr="00C7357B">
          <w:rPr>
            <w:rStyle w:val="Hyperlink"/>
            <w:i/>
          </w:rPr>
          <w:t>Baseline outcomes for NDIS participants 30 June 2020</w:t>
        </w:r>
        <w:r w:rsidRPr="00C7357B">
          <w:rPr>
            <w:rStyle w:val="Hyperlink"/>
          </w:rPr>
          <w:t>’ report</w:t>
        </w:r>
      </w:hyperlink>
    </w:p>
  </w:footnote>
  <w:footnote w:id="82">
    <w:p w14:paraId="50155E54" w14:textId="58CBC582" w:rsidR="00E003C0" w:rsidRPr="00DB3EDD" w:rsidRDefault="00E003C0" w:rsidP="005F7A4F">
      <w:pPr>
        <w:pStyle w:val="FootnoteText"/>
        <w:rPr>
          <w:highlight w:val="red"/>
        </w:rPr>
      </w:pPr>
      <w:r w:rsidRPr="00DB3EDD">
        <w:rPr>
          <w:rStyle w:val="FootnoteReference"/>
        </w:rPr>
        <w:footnoteRef/>
      </w:r>
      <w:r w:rsidRPr="00DB3EDD">
        <w:t xml:space="preserve"> </w:t>
      </w:r>
      <w:hyperlink r:id="rId11" w:history="1">
        <w:r w:rsidRPr="00D84421">
          <w:rPr>
            <w:rStyle w:val="Hyperlink"/>
            <w:i/>
          </w:rPr>
          <w:t>Longitudinal outcomes for NDIS participants 30 June 2020</w:t>
        </w:r>
        <w:r w:rsidRPr="00D84421">
          <w:rPr>
            <w:rStyle w:val="Hyperlink"/>
          </w:rPr>
          <w:t>’ report</w:t>
        </w:r>
      </w:hyperlink>
    </w:p>
  </w:footnote>
  <w:footnote w:id="83">
    <w:p w14:paraId="7051D941" w14:textId="65108DCE" w:rsidR="00E003C0" w:rsidRPr="00665AF1" w:rsidRDefault="00E003C0" w:rsidP="00A62861">
      <w:pPr>
        <w:pStyle w:val="FootnoteText"/>
      </w:pPr>
      <w:r w:rsidRPr="000D6ECE">
        <w:rPr>
          <w:rStyle w:val="FootnoteReference"/>
        </w:rPr>
        <w:footnoteRef/>
      </w:r>
      <w:r w:rsidRPr="000D6ECE">
        <w:t xml:space="preserve"> More details can be found here:</w:t>
      </w:r>
      <w:r w:rsidRPr="008A123C">
        <w:t xml:space="preserve"> </w:t>
      </w:r>
      <w:hyperlink r:id="rId12" w:history="1">
        <w:r w:rsidRPr="00A439CE">
          <w:rPr>
            <w:rStyle w:val="Hyperlink"/>
          </w:rPr>
          <w:t>The NDIS Participant Employment Strategy 2019-22</w:t>
        </w:r>
      </w:hyperlink>
      <w:r w:rsidRPr="00665AF1">
        <w:t xml:space="preserve"> </w:t>
      </w:r>
    </w:p>
  </w:footnote>
  <w:footnote w:id="84">
    <w:p w14:paraId="6F396BB0" w14:textId="4BA9AB1D" w:rsidR="00E003C0" w:rsidRDefault="00E003C0" w:rsidP="0047113A">
      <w:pPr>
        <w:pStyle w:val="FootnoteText"/>
      </w:pPr>
      <w:r>
        <w:rPr>
          <w:rStyle w:val="FootnoteReference"/>
        </w:rPr>
        <w:footnoteRef/>
      </w:r>
      <w:r>
        <w:t xml:space="preserve"> </w:t>
      </w:r>
      <w:r w:rsidRPr="00DC36CD">
        <w:t>https://data.ndis.gov.au/reports-and-analyses/outcomes-and-goals/employment-outcomes-participants-their-families-and-carers</w:t>
      </w:r>
    </w:p>
  </w:footnote>
  <w:footnote w:id="85">
    <w:p w14:paraId="289B4DFC" w14:textId="77777777" w:rsidR="00E003C0" w:rsidRPr="000D6ECE" w:rsidRDefault="00E003C0" w:rsidP="0047113A">
      <w:pPr>
        <w:pStyle w:val="FootnoteText"/>
        <w:rPr>
          <w:highlight w:val="red"/>
        </w:rPr>
      </w:pPr>
      <w:r w:rsidRPr="000D6ECE">
        <w:rPr>
          <w:rStyle w:val="FootnoteReference"/>
        </w:rPr>
        <w:footnoteRef/>
      </w:r>
      <w:r w:rsidRPr="000D6ECE">
        <w:t xml:space="preserve"> Productivity Commission Inquiry Report. 2011. </w:t>
      </w:r>
      <w:r w:rsidRPr="000D6ECE">
        <w:rPr>
          <w:i/>
        </w:rPr>
        <w:t>Disability Care and Support</w:t>
      </w:r>
      <w:r w:rsidRPr="000D6ECE">
        <w:t xml:space="preserve"> pp. 54-55,131</w:t>
      </w:r>
    </w:p>
  </w:footnote>
  <w:footnote w:id="86">
    <w:p w14:paraId="690B7544" w14:textId="01287881" w:rsidR="00E003C0" w:rsidRPr="00DB3EDD" w:rsidRDefault="00E003C0" w:rsidP="0047113A">
      <w:pPr>
        <w:pStyle w:val="FootnoteText"/>
        <w:rPr>
          <w:highlight w:val="red"/>
        </w:rPr>
      </w:pPr>
      <w:r w:rsidRPr="00DB3EDD">
        <w:rPr>
          <w:rStyle w:val="FootnoteReference"/>
        </w:rPr>
        <w:footnoteRef/>
      </w:r>
      <w:r w:rsidRPr="00DB3EDD">
        <w:t xml:space="preserve"> </w:t>
      </w:r>
      <w:hyperlink r:id="rId13" w:history="1">
        <w:r w:rsidRPr="003F3EA2">
          <w:rPr>
            <w:rStyle w:val="Hyperlink"/>
            <w:rFonts w:eastAsiaTheme="minorHAnsi" w:cs="Arial"/>
            <w:lang w:val="en-GB" w:eastAsia="en-US"/>
          </w:rPr>
          <w:t>Baseline outcomes for families and carers of NDIS participants 30 June 2020</w:t>
        </w:r>
      </w:hyperlink>
    </w:p>
  </w:footnote>
  <w:footnote w:id="87">
    <w:p w14:paraId="779E9ECC" w14:textId="47DCB933" w:rsidR="00E003C0" w:rsidRPr="00DB3EDD" w:rsidRDefault="00E003C0" w:rsidP="0047113A">
      <w:pPr>
        <w:pStyle w:val="FootnoteText"/>
        <w:rPr>
          <w:highlight w:val="red"/>
        </w:rPr>
      </w:pPr>
      <w:r w:rsidRPr="00DB3EDD">
        <w:rPr>
          <w:rStyle w:val="FootnoteReference"/>
        </w:rPr>
        <w:footnoteRef/>
      </w:r>
      <w:r w:rsidRPr="00DB3EDD">
        <w:t xml:space="preserve"> </w:t>
      </w:r>
      <w:hyperlink r:id="rId14" w:history="1">
        <w:r w:rsidRPr="00AE16F3">
          <w:rPr>
            <w:rStyle w:val="Hyperlink"/>
            <w:iCs/>
          </w:rPr>
          <w:t>Longitudinal outcomes for families and carers of NDIS participants 30 June 2020</w:t>
        </w:r>
      </w:hyperlink>
    </w:p>
  </w:footnote>
  <w:footnote w:id="88">
    <w:p w14:paraId="3A76657E" w14:textId="77777777" w:rsidR="00E003C0" w:rsidRDefault="00E003C0" w:rsidP="00B63160">
      <w:pPr>
        <w:pStyle w:val="FootnoteText"/>
      </w:pPr>
      <w:r>
        <w:rPr>
          <w:rStyle w:val="FootnoteReference"/>
        </w:rPr>
        <w:footnoteRef/>
      </w:r>
      <w:r>
        <w:t xml:space="preserve"> </w:t>
      </w:r>
      <w:r w:rsidRPr="00F771E8">
        <w:rPr>
          <w:i/>
        </w:rPr>
        <w:t>National Disability Insurance Scheme—Rules for the Scheme Actuary 2013</w:t>
      </w:r>
    </w:p>
  </w:footnote>
  <w:footnote w:id="89">
    <w:p w14:paraId="299A925B" w14:textId="707B48E0" w:rsidR="00E003C0" w:rsidRDefault="00E003C0">
      <w:pPr>
        <w:pStyle w:val="FootnoteText"/>
      </w:pPr>
      <w:r>
        <w:rPr>
          <w:rStyle w:val="FootnoteReference"/>
        </w:rPr>
        <w:footnoteRef/>
      </w:r>
      <w:r>
        <w:t xml:space="preserve"> </w:t>
      </w:r>
      <w:hyperlink r:id="rId15" w:history="1">
        <w:r>
          <w:rPr>
            <w:rStyle w:val="Hyperlink"/>
          </w:rPr>
          <w:t>PB Statement of Strategic Guidance 2017 (PDF Download)</w:t>
        </w:r>
      </w:hyperlink>
    </w:p>
  </w:footnote>
  <w:footnote w:id="90">
    <w:p w14:paraId="077996B1" w14:textId="77777777" w:rsidR="00E003C0" w:rsidRPr="00D2672A" w:rsidRDefault="00E003C0" w:rsidP="0093106C">
      <w:pPr>
        <w:pStyle w:val="FootnoteText"/>
        <w:rPr>
          <w:highlight w:val="yellow"/>
        </w:rPr>
      </w:pPr>
      <w:r w:rsidRPr="00422110">
        <w:rPr>
          <w:rStyle w:val="FootnoteReference"/>
        </w:rPr>
        <w:footnoteRef/>
      </w:r>
      <w:r w:rsidRPr="00422110">
        <w:t xml:space="preserve"> This approach was taken to remove any timing bias related to payments, given that there is a general lag between when supports are provided and when data is received from States/Territory and Commonwealth governments.</w:t>
      </w:r>
    </w:p>
  </w:footnote>
  <w:footnote w:id="91">
    <w:p w14:paraId="5980333A" w14:textId="77777777" w:rsidR="00E003C0" w:rsidRPr="00422110" w:rsidRDefault="00E003C0" w:rsidP="002735DF">
      <w:pPr>
        <w:pStyle w:val="FootnoteText"/>
      </w:pPr>
      <w:r w:rsidRPr="00422110">
        <w:rPr>
          <w:rStyle w:val="FootnoteReference"/>
        </w:rPr>
        <w:footnoteRef/>
      </w:r>
      <w:r w:rsidRPr="00422110">
        <w:t xml:space="preserve"> </w:t>
      </w:r>
      <w:r>
        <w:t xml:space="preserve">By comparison, </w:t>
      </w:r>
      <w:r w:rsidRPr="00422110">
        <w:t xml:space="preserve">the 2019-20 AFSR </w:t>
      </w:r>
      <w:r>
        <w:t>considered</w:t>
      </w:r>
      <w:r w:rsidRPr="00422110">
        <w:t xml:space="preserve"> </w:t>
      </w:r>
      <w:r>
        <w:t xml:space="preserve">average annualised </w:t>
      </w:r>
      <w:r w:rsidRPr="00422110">
        <w:t>payments for the three months to 31 March 2020.</w:t>
      </w:r>
    </w:p>
  </w:footnote>
  <w:footnote w:id="92">
    <w:p w14:paraId="263A10DD" w14:textId="77777777" w:rsidR="00E003C0" w:rsidRPr="008F2328" w:rsidRDefault="00E003C0" w:rsidP="002735DF">
      <w:pPr>
        <w:pStyle w:val="FootnoteText"/>
      </w:pPr>
      <w:r w:rsidRPr="00E172BB">
        <w:rPr>
          <w:rStyle w:val="FootnoteReference"/>
        </w:rPr>
        <w:footnoteRef/>
      </w:r>
      <w:r w:rsidRPr="00E172BB">
        <w:t xml:space="preserve"> “Mature participants” are defined as those who were active at both 28 February 2021 and 31 May 2021, and had their first plan approved on or prior to 2</w:t>
      </w:r>
      <w:r>
        <w:t>9</w:t>
      </w:r>
      <w:r w:rsidRPr="00E172BB">
        <w:t xml:space="preserve"> February 2020.</w:t>
      </w:r>
    </w:p>
  </w:footnote>
  <w:footnote w:id="93">
    <w:p w14:paraId="1CA5AB21" w14:textId="2389FA3A" w:rsidR="00E003C0" w:rsidRPr="00422110" w:rsidRDefault="00E003C0" w:rsidP="002735DF">
      <w:pPr>
        <w:pStyle w:val="FootnoteText"/>
      </w:pPr>
      <w:r w:rsidRPr="00422110">
        <w:rPr>
          <w:rStyle w:val="FootnoteReference"/>
        </w:rPr>
        <w:footnoteRef/>
      </w:r>
      <w:r w:rsidRPr="00422110">
        <w:t xml:space="preserve"> Separate projections are performed for primary disability, level of function, age</w:t>
      </w:r>
      <w:r>
        <w:t>, gender</w:t>
      </w:r>
      <w:r w:rsidRPr="00422110">
        <w:t xml:space="preserve"> and whether or not a participant is in SIL.</w:t>
      </w:r>
    </w:p>
  </w:footnote>
  <w:footnote w:id="94">
    <w:p w14:paraId="1AA2D759" w14:textId="1449E895" w:rsidR="00E003C0" w:rsidRPr="00D2672A" w:rsidRDefault="00E003C0" w:rsidP="002735DF">
      <w:pPr>
        <w:pStyle w:val="FootnoteText"/>
        <w:rPr>
          <w:rFonts w:cs="Arial"/>
          <w:highlight w:val="yellow"/>
        </w:rPr>
      </w:pPr>
      <w:r w:rsidRPr="00422110">
        <w:rPr>
          <w:rStyle w:val="FootnoteReference"/>
          <w:rFonts w:cs="Arial"/>
        </w:rPr>
        <w:footnoteRef/>
      </w:r>
      <w:r w:rsidRPr="00422110">
        <w:rPr>
          <w:rFonts w:cs="Arial"/>
        </w:rPr>
        <w:t xml:space="preserve"> Actual payments have been inflated to 30 June 2021 using a 6.1% per annum inflation rate</w:t>
      </w:r>
      <w:r>
        <w:rPr>
          <w:rFonts w:cs="Arial"/>
        </w:rPr>
        <w:t xml:space="preserve"> over 2.5 months</w:t>
      </w:r>
      <w:r w:rsidRPr="00422110">
        <w:rPr>
          <w:rFonts w:cs="Arial"/>
        </w:rPr>
        <w:t xml:space="preserve">. This includes a normal inflation rate of 3.0% per annum and a superimposed inflation rate of 3.1% per annum, as per the adopted assumptions in the </w:t>
      </w:r>
      <w:r>
        <w:rPr>
          <w:rFonts w:cs="Arial"/>
        </w:rPr>
        <w:t>previous</w:t>
      </w:r>
      <w:r w:rsidRPr="00422110">
        <w:rPr>
          <w:rFonts w:cs="Arial"/>
        </w:rPr>
        <w:t xml:space="preserve"> AFSR</w:t>
      </w:r>
      <w:r>
        <w:rPr>
          <w:rFonts w:cs="Arial"/>
        </w:rPr>
        <w:t xml:space="preserve"> for the 2020-21 financial year</w:t>
      </w:r>
      <w:r w:rsidRPr="00422110">
        <w:rPr>
          <w:rFonts w:cs="Arial"/>
        </w:rPr>
        <w:t>.</w:t>
      </w:r>
    </w:p>
  </w:footnote>
  <w:footnote w:id="95">
    <w:p w14:paraId="58B48E3E" w14:textId="77777777" w:rsidR="00E003C0" w:rsidRPr="00D2672A" w:rsidRDefault="00E003C0" w:rsidP="002735DF">
      <w:pPr>
        <w:pStyle w:val="FootnoteText"/>
        <w:rPr>
          <w:highlight w:val="yellow"/>
        </w:rPr>
      </w:pPr>
      <w:r w:rsidRPr="00422110">
        <w:rPr>
          <w:rStyle w:val="FootnoteReference"/>
        </w:rPr>
        <w:footnoteRef/>
      </w:r>
      <w:r w:rsidRPr="00422110">
        <w:t xml:space="preserve"> For example, payments tend to exhibit a higher peak during May and June. This is likely to be due to providers finalising accounts in the lead up to the end of the financial year.</w:t>
      </w:r>
    </w:p>
  </w:footnote>
  <w:footnote w:id="96">
    <w:p w14:paraId="21C1CFA5" w14:textId="77777777" w:rsidR="00E003C0" w:rsidRPr="00EB51DF" w:rsidRDefault="00E003C0" w:rsidP="002735DF">
      <w:pPr>
        <w:pStyle w:val="FootnoteText"/>
      </w:pPr>
      <w:r w:rsidRPr="00422110">
        <w:rPr>
          <w:rStyle w:val="FootnoteReference"/>
        </w:rPr>
        <w:footnoteRef/>
      </w:r>
      <w:r w:rsidRPr="00422110">
        <w:t xml:space="preserve"> Payment relativity is defined as average annualised payments for the period relative to the overall average annualised payments for the financial year.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35172" w14:textId="31A7FDA1" w:rsidR="00E003C0" w:rsidRDefault="00E003C0">
    <w:pPr>
      <w:pStyle w:val="Header"/>
    </w:pPr>
    <w:r>
      <w:rPr>
        <w:noProof/>
        <w:lang w:eastAsia="en-AU"/>
      </w:rPr>
      <mc:AlternateContent>
        <mc:Choice Requires="wps">
          <w:drawing>
            <wp:anchor distT="0" distB="0" distL="114300" distR="114300" simplePos="0" relativeHeight="251665408" behindDoc="1" locked="0" layoutInCell="0" allowOverlap="1" wp14:anchorId="5B35957A" wp14:editId="31B44555">
              <wp:simplePos x="0" y="0"/>
              <wp:positionH relativeFrom="margin">
                <wp:align>center</wp:align>
              </wp:positionH>
              <wp:positionV relativeFrom="margin">
                <wp:align>center</wp:align>
              </wp:positionV>
              <wp:extent cx="5772150" cy="2308860"/>
              <wp:effectExtent l="0" t="1562100" r="0" b="12630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784D84" w14:textId="77777777" w:rsidR="00E003C0" w:rsidRDefault="00E003C0"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35957A" id="_x0000_t202" coordsize="21600,21600" o:spt="202" path="m,l,21600r21600,l21600,xe">
              <v:stroke joinstyle="miter"/>
              <v:path gradientshapeok="t" o:connecttype="rect"/>
            </v:shapetype>
            <v:shape id="Text Box 3" o:spid="_x0000_s1026" type="#_x0000_t202" style="position:absolute;margin-left:0;margin-top:0;width:454.5pt;height:181.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TAhiAIAAP0EAAAOAAAAZHJzL2Uyb0RvYy54bWysVMtu2zAQvBfoPxC8O3pEfkiIHNhJ3Eva&#10;BoiLnGmRstiKj5K0JaPov3dJKU7SXoqiPtDUcjWc3ZnV1XUvWnRkxnIlS5xcxBgxWSnK5b7EX7ab&#10;yQIj64ikpFWSlfjELL5evn931emCpapRLWUGAYi0RadL3DiniyiyVcMEsRdKMwmHtTKCOHg0+4ga&#10;0gG6aKM0jmdRpwzVRlXMWojeDod4GfDrmlXuc11b5lBbYuDmwmrCuvNrtLwixd4Q3fBqpEH+gYUg&#10;XMKlZ6hb4gg6GP4HlOCVUVbV7qJSIlJ1zSsWaoBqkvi3ah4bolmoBZpj9blN9v/BVp+ODwZxWuJL&#10;jCQRINGW9Q6tVY8ufXc6bQtIetSQ5noIg8qhUqvvVfXNIqluGiL3bGWM6hpGKLBLAGsMhxq2Jw3A&#10;IerR7ygHIRIPH73CHy6z/qZd91FReIUcnAq39bURyCj/2iKP/S+EoYEIGIGyp7Oann4Fwel8niZT&#10;OKrgLL2MF4tZ0DsihUfzamlj3QemBPKbEhuwS4Alx3vrPLuXFJ8OyBAfd4O8P/IkzeJ1mk82s8V8&#10;km2y6SSfx4tJnOTrfBZneXa7+elBk6xoOKVM3nPJnq2WZH8n5Wj6wSTBbKgrcT5Np4GvVS2nG962&#10;nps1+91Na9CReM8PvRpqeZNm1EFSiJPCi3Y37h3h7bCP3jIOzYAGPP+HRgT1vGCDdK7f9YDoJd0p&#10;egIdO5isEtvvB2IYeOIgbhSQAiPURoknGN2V8ZKGIrwG2/6JGD3K4eC6h/Z5soImnu6ejkYl9CsA&#10;iRYGFmpF0+CKodIxedRvQA290Stw1IYHcV94jj6EGQvljd8DP8Svn0PWy1dr+QsAAP//AwBQSwME&#10;FAAGAAgAAAAhAHYUjwLaAAAABQEAAA8AAABkcnMvZG93bnJldi54bWxMj8FOwzAQRO9I/IO1SNyo&#10;A5EiGuJUiIhDj20RZzfeJmntdYidJuXrWbjQy0ijWc28LVazs+KMQ+g8KXhcJCCQam86ahR87N4f&#10;nkGEqMlo6wkVXDDAqry9KXRu/EQbPG9jI7iEQq4VtDH2uZShbtHpsPA9EmcHPzgd2Q6NNIOeuNxZ&#10;+ZQkmXS6I15odY9vLdan7egUmO/DpU+nabdeb6rxy3ZVhZ9Hpe7v5tcXEBHn+H8Mv/iMDiUz7f1I&#10;JgirgB+Jf8rZMlmy3StIszQDWRbymr78AQAA//8DAFBLAQItABQABgAIAAAAIQC2gziS/gAAAOEB&#10;AAATAAAAAAAAAAAAAAAAAAAAAABbQ29udGVudF9UeXBlc10ueG1sUEsBAi0AFAAGAAgAAAAhADj9&#10;If/WAAAAlAEAAAsAAAAAAAAAAAAAAAAALwEAAF9yZWxzLy5yZWxzUEsBAi0AFAAGAAgAAAAhALTF&#10;MCGIAgAA/QQAAA4AAAAAAAAAAAAAAAAALgIAAGRycy9lMm9Eb2MueG1sUEsBAi0AFAAGAAgAAAAh&#10;AHYUjwLaAAAABQEAAA8AAAAAAAAAAAAAAAAA4gQAAGRycy9kb3ducmV2LnhtbFBLBQYAAAAABAAE&#10;APMAAADpBQAAAAA=&#10;" o:allowincell="f" filled="f" stroked="f">
              <v:stroke joinstyle="round"/>
              <o:lock v:ext="edit" shapetype="t"/>
              <v:textbox style="mso-fit-shape-to-text:t">
                <w:txbxContent>
                  <w:p w14:paraId="64784D84" w14:textId="77777777" w:rsidR="00E003C0" w:rsidRDefault="00E003C0"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6432" behindDoc="1" locked="0" layoutInCell="0" allowOverlap="1" wp14:anchorId="6BD4A9D0" wp14:editId="58838BE5">
              <wp:simplePos x="0" y="0"/>
              <wp:positionH relativeFrom="margin">
                <wp:align>center</wp:align>
              </wp:positionH>
              <wp:positionV relativeFrom="margin">
                <wp:align>center</wp:align>
              </wp:positionV>
              <wp:extent cx="5772150" cy="2308860"/>
              <wp:effectExtent l="0" t="1562100" r="0" b="12630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1659F2" w14:textId="77777777" w:rsidR="00E003C0" w:rsidRDefault="00E003C0"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D4A9D0" id="Text Box 10" o:spid="_x0000_s1027" type="#_x0000_t202" style="position:absolute;margin-left:0;margin-top:0;width:454.5pt;height:181.8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zSRiwIAAAYFAAAOAAAAZHJzL2Uyb0RvYy54bWysVMtu2zAQvBfoPxC6O3pUfkiIHNhJ3Eva&#10;BoiLnGmRsthKXJakLRlB/71LSs6jvRRFfaCp5Wo4uzOry6u+bciRayNAFkF8EQWEyxKYkPsi+Lrd&#10;TBYBMZZKRhuQvAhO3ARXy/fvLjuV8wRqaBjXBEGkyTtVBLW1Kg9DU9a8peYCFJd4WIFuqcVHvQ+Z&#10;ph2it02YRNEs7EAzpaHkxmD0ZjgMlh6/qnhpv1SV4ZY0RYDcrF+1X3duDZeXNN9rqmpRjjToP7Bo&#10;qZB46TPUDbWUHLT4A6oVpQYDlb0ooQ2hqkTJfQ1YTRz9Vs1DTRX3tWBzjHpuk/l/sOXn470mgqF2&#10;2B5JW9Roy3tL1tATDGF/OmVyTHtQmGh7jGOur9WoOyi/GyLhuqZyz1daQ1dzypBfjGBj2FexPSlE&#10;9lEHf8sEShE7+PAV/nCZcTftuk/A8BV6sOBv6yvdEg3utUUWuZ8PYwsJMkLyp2c9Hf8Sg9P5PImn&#10;eFTiWfIhWixmvqKQ5g7N6aW0sR85tMRtikCjYTwsPd4Z69i9pLh0RMb4uBsEfsriJI3WSTbZzBbz&#10;SbpJp5NsHi0mUZyts1mUZunN5qcDjdO8FoxxeSckP5stTv9OzNH2g0283UhXBNk0mXq+BhrBNqJp&#10;HDej97vrRpMjda4fejXU8iZNw0EyjNPciXY77i0VzbAP3zL2zcAGnP99I7x6TrBBOtvv+sFNZ+fs&#10;gJ1Qzg5HrAjMjwPVHK1xaK8BuaEfKg3tI87wSjtlfS1Oim3/SLUaVbF4631zHjEvjWO9Z6NhKfuG&#10;QG2Dk4slk6k3x1DwmDzKOKD6FqkVGmsjvMbOgQPP0Y44bL7K8cPgpvn1s896+XwtfwEAAP//AwBQ&#10;SwMEFAAGAAgAAAAhAHYUjwLaAAAABQEAAA8AAABkcnMvZG93bnJldi54bWxMj8FOwzAQRO9I/IO1&#10;SNyoA5EiGuJUiIhDj20RZzfeJmntdYidJuXrWbjQy0ijWc28LVazs+KMQ+g8KXhcJCCQam86ahR8&#10;7N4fnkGEqMlo6wkVXDDAqry9KXRu/EQbPG9jI7iEQq4VtDH2uZShbtHpsPA9EmcHPzgd2Q6NNIOe&#10;uNxZ+ZQkmXS6I15odY9vLdan7egUmO/DpU+nabdeb6rxy3ZVhZ9Hpe7v5tcXEBHn+H8Mv/iMDiUz&#10;7f1IJgirgB+Jf8rZMlmy3StIszQDWRbymr78AQAA//8DAFBLAQItABQABgAIAAAAIQC2gziS/gAA&#10;AOEBAAATAAAAAAAAAAAAAAAAAAAAAABbQ29udGVudF9UeXBlc10ueG1sUEsBAi0AFAAGAAgAAAAh&#10;ADj9If/WAAAAlAEAAAsAAAAAAAAAAAAAAAAALwEAAF9yZWxzLy5yZWxzUEsBAi0AFAAGAAgAAAAh&#10;APsDNJGLAgAABgUAAA4AAAAAAAAAAAAAAAAALgIAAGRycy9lMm9Eb2MueG1sUEsBAi0AFAAGAAgA&#10;AAAhAHYUjwLaAAAABQEAAA8AAAAAAAAAAAAAAAAA5QQAAGRycy9kb3ducmV2LnhtbFBLBQYAAAAA&#10;BAAEAPMAAADsBQAAAAA=&#10;" o:allowincell="f" filled="f" stroked="f">
              <v:stroke joinstyle="round"/>
              <o:lock v:ext="edit" shapetype="t"/>
              <v:textbox style="mso-fit-shape-to-text:t">
                <w:txbxContent>
                  <w:p w14:paraId="761659F2" w14:textId="77777777" w:rsidR="00E003C0" w:rsidRDefault="00E003C0"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0DDE3" w14:textId="77777777" w:rsidR="00E003C0" w:rsidRDefault="00E003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2C4D5" w14:textId="2A69A33C" w:rsidR="00E003C0" w:rsidRDefault="00E003C0">
    <w:pPr>
      <w:pStyle w:val="Header"/>
    </w:pPr>
    <w:r>
      <w:rPr>
        <w:noProof/>
        <w:lang w:eastAsia="en-AU"/>
      </w:rPr>
      <mc:AlternateContent>
        <mc:Choice Requires="wps">
          <w:drawing>
            <wp:anchor distT="0" distB="0" distL="114300" distR="114300" simplePos="0" relativeHeight="251667456" behindDoc="1" locked="0" layoutInCell="0" allowOverlap="1" wp14:anchorId="499AA96E" wp14:editId="4D62C79D">
              <wp:simplePos x="0" y="0"/>
              <wp:positionH relativeFrom="margin">
                <wp:align>center</wp:align>
              </wp:positionH>
              <wp:positionV relativeFrom="margin">
                <wp:align>center</wp:align>
              </wp:positionV>
              <wp:extent cx="5772150" cy="2308860"/>
              <wp:effectExtent l="0" t="1562100" r="0" b="12630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35DB4C" w14:textId="77777777" w:rsidR="00E003C0" w:rsidRDefault="00E003C0"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9AA96E" id="_x0000_t202" coordsize="21600,21600" o:spt="202" path="m,l,21600r21600,l21600,xe">
              <v:stroke joinstyle="miter"/>
              <v:path gradientshapeok="t" o:connecttype="rect"/>
            </v:shapetype>
            <v:shape id="Text Box 8" o:spid="_x0000_s1028" type="#_x0000_t202" style="position:absolute;margin-left:0;margin-top:0;width:454.5pt;height:181.8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EpZigIAAAQFAAAOAAAAZHJzL2Uyb0RvYy54bWysVMlu2zAQvRfoPxC8O1oq25IQOcjmXtI2&#10;QFzkTIuUxVZcStKWjKD/3iElZ2kvRVEfaGo4enwz743OLwbRoQMzlitZ4eQsxojJWlEudxX+ulnP&#10;coysI5KSTklW4SOz+GL1/t15r0uWqlZ1lBkEINKWva5w65wuo8jWLRPEninNJBw2ygji4NHsImpI&#10;D+iii9I4XkS9MlQbVTNrIXozHuJVwG8aVrsvTWOZQ12FgZsLqwnr1q/R6pyUO0N0y+uJBvkHFoJw&#10;CZc+Q90QR9De8D+gBK+NsqpxZ7USkWoaXrNQA1STxL9V89ASzUIt0Byrn9tk/x9s/flwbxCnFQah&#10;JBEg0YYNDl2pAeW+O722JSQ9aEhzA4RB5VCp1Xeq/m6RVNctkTt2aYzqW0YosEsAawqHGjZHDcAh&#10;6tFvKQchEg8fvcIfL7P+pm3/SVF4heydCrcNjRHIKP9aXsT+F8LQQASMQNnjs5qefg3B+XKZJnM4&#10;quEs/RDn+SLoHZHSo3m1tLHuI1MC+U2FDdglwJLDnXWe3UuKTwdkiE+7Ud6nIkmz+CotZutFvpxl&#10;62w+K5ZxPouT4qpYxFmR3ax/etAkK1tOKZN3XLKT1ZLs76ScTD+aJJgN9RUu5uk88LWq43TNu85z&#10;s2a3ve4MOhDv+bFXYy1v0ozaSwpxUnrRbqe9I7wb99FbxqEZ0IDTf2hEUM8LNkrnhu0QvJSenLNV&#10;9Ahy9jBgFbY/9sQwsMZeXCvgBn5ojBKPMMGXxisbavFSbIZHYvSkioNb77vTgAVpPOsdnfxK6DcA&#10;Eh3MLZSM5sEcY8FT8iTjiBpapC/BWGseNPYOHHlOdoRRC1VOnwU/y6+fQ9bLx2v1CwAA//8DAFBL&#10;AwQUAAYACAAAACEAdhSPAtoAAAAFAQAADwAAAGRycy9kb3ducmV2LnhtbEyPwU7DMBBE70j8g7VI&#10;3KgDkSIa4lSIiEOPbRFnN94mae11iJ0m5etZuNDLSKNZzbwtVrOz4oxD6DwpeFwkIJBqbzpqFHzs&#10;3h+eQYSoyWjrCRVcMMCqvL0pdG78RBs8b2MjuIRCrhW0Mfa5lKFu0emw8D0SZwc/OB3ZDo00g564&#10;3Fn5lCSZdLojXmh1j28t1qft6BSY78OlT6dpt15vqvHLdlWFn0el7u/m1xcQEef4fwy/+IwOJTPt&#10;/UgmCKuAH4l/ytkyWbLdK0izNANZFvKavvwBAAD//wMAUEsBAi0AFAAGAAgAAAAhALaDOJL+AAAA&#10;4QEAABMAAAAAAAAAAAAAAAAAAAAAAFtDb250ZW50X1R5cGVzXS54bWxQSwECLQAUAAYACAAAACEA&#10;OP0h/9YAAACUAQAACwAAAAAAAAAAAAAAAAAvAQAAX3JlbHMvLnJlbHNQSwECLQAUAAYACAAAACEA&#10;12xKWYoCAAAEBQAADgAAAAAAAAAAAAAAAAAuAgAAZHJzL2Uyb0RvYy54bWxQSwECLQAUAAYACAAA&#10;ACEAdhSPAtoAAAAFAQAADwAAAAAAAAAAAAAAAADkBAAAZHJzL2Rvd25yZXYueG1sUEsFBgAAAAAE&#10;AAQA8wAAAOsFAAAAAA==&#10;" o:allowincell="f" filled="f" stroked="f">
              <v:stroke joinstyle="round"/>
              <o:lock v:ext="edit" shapetype="t"/>
              <v:textbox style="mso-fit-shape-to-text:t">
                <w:txbxContent>
                  <w:p w14:paraId="6B35DB4C" w14:textId="77777777" w:rsidR="00E003C0" w:rsidRDefault="00E003C0"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8480" behindDoc="1" locked="0" layoutInCell="0" allowOverlap="1" wp14:anchorId="6190A607" wp14:editId="053E4C23">
              <wp:simplePos x="0" y="0"/>
              <wp:positionH relativeFrom="margin">
                <wp:align>center</wp:align>
              </wp:positionH>
              <wp:positionV relativeFrom="margin">
                <wp:align>center</wp:align>
              </wp:positionV>
              <wp:extent cx="5772150" cy="2308860"/>
              <wp:effectExtent l="0" t="1562100" r="0" b="12630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422372" w14:textId="77777777" w:rsidR="00E003C0" w:rsidRDefault="00E003C0"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90A607" id="Text Box 21" o:spid="_x0000_s1029" type="#_x0000_t202" style="position:absolute;margin-left:0;margin-top:0;width:454.5pt;height:181.8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6pNjQIAAAYFAAAOAAAAZHJzL2Uyb0RvYy54bWysVMtu2zAQvBfoPxC8O3rELwmRg7zcS9oG&#10;iIucaZGy2EokS9KWjKD/3uVKTpP2UhT1gaaWq+HOzqwuLvu2IQdhndSqoMlZTIlQpeZS7Qr6ZbOe&#10;LClxninOGq1EQY/C0cvV+3cXnclFqmvdcGEJgCiXd6agtfcmjyJX1qJl7kwboeCw0rZlHh7tLuKW&#10;dYDeNlEax/Oo05Ybq0vhHERvh0O6QvyqEqX/XFVOeNIUFGrzuFpct2GNVhcs31lmalmOZbB/qKJl&#10;UsGlL1C3zDOyt/IPqFaWVjtd+bNSt5GuKlkK5ABskvg3No81MwK5QHOceWmT+3+w5afDgyWSFzRN&#10;KFGsBY02ovfkWvcEQtCfzrgc0h4NJPoe4qAzcnXmXpffHFH6pmZqJ66s1V0tGIf6AtgYRhabowFk&#10;jAb4Oy5BCoSPXuEPl7lw07b7qDm8wvZe4219ZVtidXhtmcXhh2FoIYGKQNvji56h/hKCs8UiTWZw&#10;VMJZeh4vl3NUPGJ5QAt6Gev8B6FbEjYFtWAYhGWHe+eBPKSeUkI6IEN83A0CP2dJOo2v02yyni8X&#10;k+l6Optki3g5iZPsOpvH02x6u/4RQJNpXkvOhbqXSpzMlkz/TszR9oNN0G6kK2g2S2dYr9ON5GvZ&#10;NKE2Z3fbm8aSAwuuH3o1cHmTZvVecRyAINrduPdMNsM+elsxNgMacPrHRqB6QbBBOt9ve3TT+ck5&#10;W82PIGcHI1ZQ933PrABr7NsbDbWBHyqr2yeY4SsblEUuoeGb/olZM6ri4daH5jRiKE2gueOjYRn/&#10;CkBtA5MLlMkMzTEQHpNHGQdUbJG5AmOtJWocHDjUCdzCAwwbshw/DGGaXz9j1q/P1+onAAAA//8D&#10;AFBLAwQUAAYACAAAACEAdhSPAtoAAAAFAQAADwAAAGRycy9kb3ducmV2LnhtbEyPwU7DMBBE70j8&#10;g7VI3KgDkSIa4lSIiEOPbRFnN94mae11iJ0m5etZuNDLSKNZzbwtVrOz4oxD6DwpeFwkIJBqbzpq&#10;FHzs3h+eQYSoyWjrCRVcMMCqvL0pdG78RBs8b2MjuIRCrhW0Mfa5lKFu0emw8D0SZwc/OB3ZDo00&#10;g5643Fn5lCSZdLojXmh1j28t1qft6BSY78OlT6dpt15vqvHLdlWFn0el7u/m1xcQEef4fwy/+IwO&#10;JTPt/UgmCKuAH4l/ytkyWbLdK0izNANZFvKavvwBAAD//wMAUEsBAi0AFAAGAAgAAAAhALaDOJL+&#10;AAAA4QEAABMAAAAAAAAAAAAAAAAAAAAAAFtDb250ZW50X1R5cGVzXS54bWxQSwECLQAUAAYACAAA&#10;ACEAOP0h/9YAAACUAQAACwAAAAAAAAAAAAAAAAAvAQAAX3JlbHMvLnJlbHNQSwECLQAUAAYACAAA&#10;ACEADz+qTY0CAAAGBQAADgAAAAAAAAAAAAAAAAAuAgAAZHJzL2Uyb0RvYy54bWxQSwECLQAUAAYA&#10;CAAAACEAdhSPAtoAAAAFAQAADwAAAAAAAAAAAAAAAADnBAAAZHJzL2Rvd25yZXYueG1sUEsFBgAA&#10;AAAEAAQA8wAAAO4FAAAAAA==&#10;" o:allowincell="f" filled="f" stroked="f">
              <v:stroke joinstyle="round"/>
              <o:lock v:ext="edit" shapetype="t"/>
              <v:textbox style="mso-fit-shape-to-text:t">
                <w:txbxContent>
                  <w:p w14:paraId="64422372" w14:textId="77777777" w:rsidR="00E003C0" w:rsidRDefault="00E003C0"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1E09D" w14:textId="6192BEC1" w:rsidR="00E003C0" w:rsidRDefault="00E003C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E0E3F" w14:textId="55ACDE02" w:rsidR="00E003C0" w:rsidRDefault="00E003C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7795F" w14:textId="37C37CAD" w:rsidR="00E003C0" w:rsidRDefault="00E003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7BE1"/>
    <w:multiLevelType w:val="hybridMultilevel"/>
    <w:tmpl w:val="9514A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204353"/>
    <w:multiLevelType w:val="hybridMultilevel"/>
    <w:tmpl w:val="B6709B3E"/>
    <w:lvl w:ilvl="0" w:tplc="C28E4274">
      <w:start w:val="1"/>
      <w:numFmt w:val="bullet"/>
      <w:lvlText w:val="-"/>
      <w:lvlJc w:val="left"/>
      <w:pPr>
        <w:ind w:left="720" w:hanging="360"/>
      </w:pPr>
      <w:rPr>
        <w:rFonts w:ascii="Arial" w:hAnsi="Aria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EA39EF"/>
    <w:multiLevelType w:val="hybridMultilevel"/>
    <w:tmpl w:val="8CE6F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38016D"/>
    <w:multiLevelType w:val="hybridMultilevel"/>
    <w:tmpl w:val="DF7AF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E375B2"/>
    <w:multiLevelType w:val="hybridMultilevel"/>
    <w:tmpl w:val="0CF44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941AE6"/>
    <w:multiLevelType w:val="hybridMultilevel"/>
    <w:tmpl w:val="537E9C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AEC14A4"/>
    <w:multiLevelType w:val="hybridMultilevel"/>
    <w:tmpl w:val="F5541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E45288"/>
    <w:multiLevelType w:val="hybridMultilevel"/>
    <w:tmpl w:val="051A3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8D089C"/>
    <w:multiLevelType w:val="hybridMultilevel"/>
    <w:tmpl w:val="17E4D1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3C84906"/>
    <w:multiLevelType w:val="hybridMultilevel"/>
    <w:tmpl w:val="6FD6C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142179"/>
    <w:multiLevelType w:val="hybridMultilevel"/>
    <w:tmpl w:val="AF6A076C"/>
    <w:lvl w:ilvl="0" w:tplc="920C78AE">
      <w:start w:val="1"/>
      <w:numFmt w:val="bullet"/>
      <w:pStyle w:val="FSRlis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pStyle w:val="FSRHeading2"/>
      <w:lvlText w:val="o"/>
      <w:lvlJc w:val="left"/>
      <w:pPr>
        <w:ind w:left="1440" w:hanging="360"/>
      </w:pPr>
      <w:rPr>
        <w:rFonts w:ascii="Courier New" w:hAnsi="Courier New" w:cs="Courier New" w:hint="default"/>
      </w:rPr>
    </w:lvl>
    <w:lvl w:ilvl="2" w:tplc="0C090005">
      <w:start w:val="1"/>
      <w:numFmt w:val="bullet"/>
      <w:pStyle w:val="FSRHeading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210B2F"/>
    <w:multiLevelType w:val="multilevel"/>
    <w:tmpl w:val="0D888216"/>
    <w:lvl w:ilvl="0">
      <w:start w:val="1"/>
      <w:numFmt w:val="decimal"/>
      <w:pStyle w:val="Heading2"/>
      <w:lvlText w:val="%1."/>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36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38705E0D"/>
    <w:multiLevelType w:val="hybridMultilevel"/>
    <w:tmpl w:val="BE50B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767B1B"/>
    <w:multiLevelType w:val="hybridMultilevel"/>
    <w:tmpl w:val="090EC162"/>
    <w:lvl w:ilvl="0" w:tplc="4C2EF174">
      <w:start w:val="1"/>
      <w:numFmt w:val="decimal"/>
      <w:pStyle w:val="1jb"/>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C406BE"/>
    <w:multiLevelType w:val="hybridMultilevel"/>
    <w:tmpl w:val="D0887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F23366"/>
    <w:multiLevelType w:val="hybridMultilevel"/>
    <w:tmpl w:val="FEF6E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3F3D19"/>
    <w:multiLevelType w:val="hybridMultilevel"/>
    <w:tmpl w:val="9F04C506"/>
    <w:lvl w:ilvl="0" w:tplc="B8A89756">
      <w:start w:val="1"/>
      <w:numFmt w:val="lowerLetter"/>
      <w:pStyle w:val="FSRzlegislation"/>
      <w:lvlText w:val="%1)"/>
      <w:lvlJc w:val="left"/>
      <w:pPr>
        <w:ind w:left="720" w:hanging="360"/>
      </w:pPr>
    </w:lvl>
    <w:lvl w:ilvl="1" w:tplc="FA9A6E08">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62462C"/>
    <w:multiLevelType w:val="hybridMultilevel"/>
    <w:tmpl w:val="7CC88D28"/>
    <w:lvl w:ilvl="0" w:tplc="F392CE92">
      <w:start w:val="1"/>
      <w:numFmt w:val="bullet"/>
      <w:pStyle w:val="Balloon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8B1A0C"/>
    <w:multiLevelType w:val="hybridMultilevel"/>
    <w:tmpl w:val="CEB6AD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C36523C"/>
    <w:multiLevelType w:val="hybridMultilevel"/>
    <w:tmpl w:val="3BF0C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941054"/>
    <w:multiLevelType w:val="hybridMultilevel"/>
    <w:tmpl w:val="21120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9476F7"/>
    <w:multiLevelType w:val="hybridMultilevel"/>
    <w:tmpl w:val="47CA891E"/>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E517DB"/>
    <w:multiLevelType w:val="hybridMultilevel"/>
    <w:tmpl w:val="E9E482B2"/>
    <w:lvl w:ilvl="0" w:tplc="920C78AE">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7AF216C8">
      <w:start w:val="1"/>
      <w:numFmt w:val="lowerRoman"/>
      <w:lvlText w:val="%4)"/>
      <w:lvlJc w:val="left"/>
      <w:pPr>
        <w:ind w:left="3240" w:hanging="72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073CF4"/>
    <w:multiLevelType w:val="hybridMultilevel"/>
    <w:tmpl w:val="5350B3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563230"/>
    <w:multiLevelType w:val="hybridMultilevel"/>
    <w:tmpl w:val="22266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6C0C84"/>
    <w:multiLevelType w:val="hybridMultilevel"/>
    <w:tmpl w:val="8FDC7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A084F1B"/>
    <w:multiLevelType w:val="hybridMultilevel"/>
    <w:tmpl w:val="25FCA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C513E7"/>
    <w:multiLevelType w:val="hybridMultilevel"/>
    <w:tmpl w:val="7DC80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072D7F"/>
    <w:multiLevelType w:val="hybridMultilevel"/>
    <w:tmpl w:val="3B268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123A5E"/>
    <w:multiLevelType w:val="hybridMultilevel"/>
    <w:tmpl w:val="A96282AC"/>
    <w:lvl w:ilvl="0" w:tplc="24AADF2E">
      <w:start w:val="1"/>
      <w:numFmt w:val="decimal"/>
      <w:pStyle w:val="ParagraphSectio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11"/>
  </w:num>
  <w:num w:numId="3">
    <w:abstractNumId w:val="1"/>
  </w:num>
  <w:num w:numId="4">
    <w:abstractNumId w:val="10"/>
  </w:num>
  <w:num w:numId="5">
    <w:abstractNumId w:val="17"/>
  </w:num>
  <w:num w:numId="6">
    <w:abstractNumId w:val="25"/>
  </w:num>
  <w:num w:numId="7">
    <w:abstractNumId w:val="26"/>
  </w:num>
  <w:num w:numId="8">
    <w:abstractNumId w:val="23"/>
  </w:num>
  <w:num w:numId="9">
    <w:abstractNumId w:val="31"/>
  </w:num>
  <w:num w:numId="10">
    <w:abstractNumId w:val="8"/>
  </w:num>
  <w:num w:numId="11">
    <w:abstractNumId w:val="28"/>
  </w:num>
  <w:num w:numId="12">
    <w:abstractNumId w:val="21"/>
  </w:num>
  <w:num w:numId="13">
    <w:abstractNumId w:val="7"/>
  </w:num>
  <w:num w:numId="14">
    <w:abstractNumId w:val="6"/>
  </w:num>
  <w:num w:numId="15">
    <w:abstractNumId w:val="27"/>
  </w:num>
  <w:num w:numId="16">
    <w:abstractNumId w:val="15"/>
  </w:num>
  <w:num w:numId="17">
    <w:abstractNumId w:val="2"/>
  </w:num>
  <w:num w:numId="18">
    <w:abstractNumId w:val="0"/>
  </w:num>
  <w:num w:numId="19">
    <w:abstractNumId w:val="20"/>
  </w:num>
  <w:num w:numId="20">
    <w:abstractNumId w:val="5"/>
  </w:num>
  <w:num w:numId="21">
    <w:abstractNumId w:val="4"/>
  </w:num>
  <w:num w:numId="22">
    <w:abstractNumId w:val="13"/>
  </w:num>
  <w:num w:numId="23">
    <w:abstractNumId w:val="3"/>
  </w:num>
  <w:num w:numId="24">
    <w:abstractNumId w:val="18"/>
  </w:num>
  <w:num w:numId="25">
    <w:abstractNumId w:val="14"/>
  </w:num>
  <w:num w:numId="26">
    <w:abstractNumId w:val="22"/>
  </w:num>
  <w:num w:numId="27">
    <w:abstractNumId w:val="19"/>
  </w:num>
  <w:num w:numId="28">
    <w:abstractNumId w:val="30"/>
  </w:num>
  <w:num w:numId="29">
    <w:abstractNumId w:val="29"/>
  </w:num>
  <w:num w:numId="30">
    <w:abstractNumId w:val="16"/>
  </w:num>
  <w:num w:numId="31">
    <w:abstractNumId w:val="24"/>
  </w:num>
  <w:num w:numId="32">
    <w:abstractNumId w:val="9"/>
  </w:num>
  <w:num w:numId="33">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22"/>
    <w:rsid w:val="00000A1C"/>
    <w:rsid w:val="00000C9A"/>
    <w:rsid w:val="00001625"/>
    <w:rsid w:val="000021BC"/>
    <w:rsid w:val="000022D5"/>
    <w:rsid w:val="000028F0"/>
    <w:rsid w:val="0000568D"/>
    <w:rsid w:val="00006792"/>
    <w:rsid w:val="00007D12"/>
    <w:rsid w:val="00010605"/>
    <w:rsid w:val="00010F37"/>
    <w:rsid w:val="000116A9"/>
    <w:rsid w:val="00012853"/>
    <w:rsid w:val="00013A4B"/>
    <w:rsid w:val="00013D66"/>
    <w:rsid w:val="000149AE"/>
    <w:rsid w:val="00014A8B"/>
    <w:rsid w:val="00015400"/>
    <w:rsid w:val="00015973"/>
    <w:rsid w:val="00015B85"/>
    <w:rsid w:val="0001625B"/>
    <w:rsid w:val="0001737A"/>
    <w:rsid w:val="000203A1"/>
    <w:rsid w:val="00020594"/>
    <w:rsid w:val="00021598"/>
    <w:rsid w:val="00021706"/>
    <w:rsid w:val="00022CEB"/>
    <w:rsid w:val="00025961"/>
    <w:rsid w:val="00026179"/>
    <w:rsid w:val="000261F4"/>
    <w:rsid w:val="00026A54"/>
    <w:rsid w:val="00027666"/>
    <w:rsid w:val="00030448"/>
    <w:rsid w:val="00030E4E"/>
    <w:rsid w:val="00031A84"/>
    <w:rsid w:val="000333E6"/>
    <w:rsid w:val="00034278"/>
    <w:rsid w:val="00034529"/>
    <w:rsid w:val="00035E5D"/>
    <w:rsid w:val="00036C67"/>
    <w:rsid w:val="00036EC1"/>
    <w:rsid w:val="000371CD"/>
    <w:rsid w:val="00037B97"/>
    <w:rsid w:val="00037E5D"/>
    <w:rsid w:val="00037F7A"/>
    <w:rsid w:val="00040012"/>
    <w:rsid w:val="000400E1"/>
    <w:rsid w:val="00040544"/>
    <w:rsid w:val="00040628"/>
    <w:rsid w:val="000406D9"/>
    <w:rsid w:val="00040D36"/>
    <w:rsid w:val="000412BB"/>
    <w:rsid w:val="00041C9E"/>
    <w:rsid w:val="00042BF3"/>
    <w:rsid w:val="000432BF"/>
    <w:rsid w:val="00043810"/>
    <w:rsid w:val="00044246"/>
    <w:rsid w:val="00045042"/>
    <w:rsid w:val="000454EF"/>
    <w:rsid w:val="00046B31"/>
    <w:rsid w:val="00051CC5"/>
    <w:rsid w:val="0005304B"/>
    <w:rsid w:val="00053B3D"/>
    <w:rsid w:val="000541D8"/>
    <w:rsid w:val="00055274"/>
    <w:rsid w:val="00055FB0"/>
    <w:rsid w:val="0005623C"/>
    <w:rsid w:val="00057B88"/>
    <w:rsid w:val="00060651"/>
    <w:rsid w:val="00060D40"/>
    <w:rsid w:val="0006118E"/>
    <w:rsid w:val="00062E10"/>
    <w:rsid w:val="000630E7"/>
    <w:rsid w:val="0006316E"/>
    <w:rsid w:val="00063DAF"/>
    <w:rsid w:val="00065B53"/>
    <w:rsid w:val="00066DDD"/>
    <w:rsid w:val="00067358"/>
    <w:rsid w:val="0006787C"/>
    <w:rsid w:val="000678BD"/>
    <w:rsid w:val="00067F34"/>
    <w:rsid w:val="00070AFB"/>
    <w:rsid w:val="00072022"/>
    <w:rsid w:val="00072BEB"/>
    <w:rsid w:val="000735DB"/>
    <w:rsid w:val="000736D1"/>
    <w:rsid w:val="00073EBB"/>
    <w:rsid w:val="000740D4"/>
    <w:rsid w:val="000745DB"/>
    <w:rsid w:val="00074BDD"/>
    <w:rsid w:val="00076ABF"/>
    <w:rsid w:val="00076CD8"/>
    <w:rsid w:val="00077850"/>
    <w:rsid w:val="00077A19"/>
    <w:rsid w:val="00077A4C"/>
    <w:rsid w:val="00077D22"/>
    <w:rsid w:val="000803B9"/>
    <w:rsid w:val="00080735"/>
    <w:rsid w:val="000829DC"/>
    <w:rsid w:val="00082A88"/>
    <w:rsid w:val="00083CB2"/>
    <w:rsid w:val="00083D55"/>
    <w:rsid w:val="00084EDB"/>
    <w:rsid w:val="00086004"/>
    <w:rsid w:val="0008692D"/>
    <w:rsid w:val="00090F13"/>
    <w:rsid w:val="000913DA"/>
    <w:rsid w:val="00091A3A"/>
    <w:rsid w:val="000923B7"/>
    <w:rsid w:val="00093B05"/>
    <w:rsid w:val="00093EB5"/>
    <w:rsid w:val="00095279"/>
    <w:rsid w:val="000954A4"/>
    <w:rsid w:val="00095695"/>
    <w:rsid w:val="000957B1"/>
    <w:rsid w:val="00095A36"/>
    <w:rsid w:val="0009697F"/>
    <w:rsid w:val="000A04F8"/>
    <w:rsid w:val="000A0D48"/>
    <w:rsid w:val="000A1624"/>
    <w:rsid w:val="000A1E37"/>
    <w:rsid w:val="000A24E2"/>
    <w:rsid w:val="000A32B6"/>
    <w:rsid w:val="000A3EB4"/>
    <w:rsid w:val="000A3F50"/>
    <w:rsid w:val="000A3FE1"/>
    <w:rsid w:val="000A547C"/>
    <w:rsid w:val="000A56C0"/>
    <w:rsid w:val="000A5D0A"/>
    <w:rsid w:val="000A5E71"/>
    <w:rsid w:val="000A6092"/>
    <w:rsid w:val="000A61C2"/>
    <w:rsid w:val="000A6AB7"/>
    <w:rsid w:val="000A78D3"/>
    <w:rsid w:val="000A7BB1"/>
    <w:rsid w:val="000A7D19"/>
    <w:rsid w:val="000A7DA1"/>
    <w:rsid w:val="000A7E64"/>
    <w:rsid w:val="000B03D0"/>
    <w:rsid w:val="000B0D00"/>
    <w:rsid w:val="000B24CB"/>
    <w:rsid w:val="000B2550"/>
    <w:rsid w:val="000B2647"/>
    <w:rsid w:val="000B2768"/>
    <w:rsid w:val="000B2B5D"/>
    <w:rsid w:val="000B3630"/>
    <w:rsid w:val="000B3781"/>
    <w:rsid w:val="000B42B3"/>
    <w:rsid w:val="000B42E7"/>
    <w:rsid w:val="000B4795"/>
    <w:rsid w:val="000B5234"/>
    <w:rsid w:val="000B58C7"/>
    <w:rsid w:val="000B6E74"/>
    <w:rsid w:val="000B7778"/>
    <w:rsid w:val="000C0376"/>
    <w:rsid w:val="000C0AEF"/>
    <w:rsid w:val="000C0BC1"/>
    <w:rsid w:val="000C1AB3"/>
    <w:rsid w:val="000C1B43"/>
    <w:rsid w:val="000C1EA5"/>
    <w:rsid w:val="000C1EB1"/>
    <w:rsid w:val="000C2CE3"/>
    <w:rsid w:val="000C2DAF"/>
    <w:rsid w:val="000C309D"/>
    <w:rsid w:val="000C3DEA"/>
    <w:rsid w:val="000C3E3C"/>
    <w:rsid w:val="000C3EBA"/>
    <w:rsid w:val="000C3FDD"/>
    <w:rsid w:val="000C55BC"/>
    <w:rsid w:val="000C5D7E"/>
    <w:rsid w:val="000C69A4"/>
    <w:rsid w:val="000C7743"/>
    <w:rsid w:val="000D058E"/>
    <w:rsid w:val="000D0CA3"/>
    <w:rsid w:val="000D3921"/>
    <w:rsid w:val="000D3A9B"/>
    <w:rsid w:val="000D3E3B"/>
    <w:rsid w:val="000D4080"/>
    <w:rsid w:val="000D49ED"/>
    <w:rsid w:val="000D4C89"/>
    <w:rsid w:val="000D7C14"/>
    <w:rsid w:val="000E0962"/>
    <w:rsid w:val="000E0964"/>
    <w:rsid w:val="000E120F"/>
    <w:rsid w:val="000E154E"/>
    <w:rsid w:val="000E1B66"/>
    <w:rsid w:val="000E1F25"/>
    <w:rsid w:val="000E2252"/>
    <w:rsid w:val="000E2482"/>
    <w:rsid w:val="000E3660"/>
    <w:rsid w:val="000E3C3B"/>
    <w:rsid w:val="000E6143"/>
    <w:rsid w:val="000E6147"/>
    <w:rsid w:val="000E6645"/>
    <w:rsid w:val="000E736E"/>
    <w:rsid w:val="000F1636"/>
    <w:rsid w:val="000F1B4A"/>
    <w:rsid w:val="000F2269"/>
    <w:rsid w:val="000F2A4E"/>
    <w:rsid w:val="000F6556"/>
    <w:rsid w:val="000F7157"/>
    <w:rsid w:val="000F74B9"/>
    <w:rsid w:val="000F7643"/>
    <w:rsid w:val="00102960"/>
    <w:rsid w:val="0010376F"/>
    <w:rsid w:val="00103D0E"/>
    <w:rsid w:val="00103E7A"/>
    <w:rsid w:val="00104AF3"/>
    <w:rsid w:val="00105BEA"/>
    <w:rsid w:val="00106A8F"/>
    <w:rsid w:val="001070CE"/>
    <w:rsid w:val="0011059D"/>
    <w:rsid w:val="00110BAC"/>
    <w:rsid w:val="00110EED"/>
    <w:rsid w:val="00111E4D"/>
    <w:rsid w:val="001131B7"/>
    <w:rsid w:val="00113845"/>
    <w:rsid w:val="00113A13"/>
    <w:rsid w:val="00113EB9"/>
    <w:rsid w:val="001163DA"/>
    <w:rsid w:val="0011655C"/>
    <w:rsid w:val="001165EE"/>
    <w:rsid w:val="001170BB"/>
    <w:rsid w:val="00117A27"/>
    <w:rsid w:val="00117E64"/>
    <w:rsid w:val="00122909"/>
    <w:rsid w:val="00122FE0"/>
    <w:rsid w:val="00123D0B"/>
    <w:rsid w:val="001241DB"/>
    <w:rsid w:val="00124F80"/>
    <w:rsid w:val="001257A0"/>
    <w:rsid w:val="001265C2"/>
    <w:rsid w:val="00126962"/>
    <w:rsid w:val="00130A30"/>
    <w:rsid w:val="00130D4D"/>
    <w:rsid w:val="001314B3"/>
    <w:rsid w:val="00131BB6"/>
    <w:rsid w:val="00131DF8"/>
    <w:rsid w:val="00131F3A"/>
    <w:rsid w:val="00134CEA"/>
    <w:rsid w:val="00135E9E"/>
    <w:rsid w:val="00135F0A"/>
    <w:rsid w:val="001367D6"/>
    <w:rsid w:val="00136B1B"/>
    <w:rsid w:val="00137573"/>
    <w:rsid w:val="0013773A"/>
    <w:rsid w:val="00140035"/>
    <w:rsid w:val="0014072D"/>
    <w:rsid w:val="00141B0B"/>
    <w:rsid w:val="00141D6B"/>
    <w:rsid w:val="0014246F"/>
    <w:rsid w:val="00143A40"/>
    <w:rsid w:val="00144D9C"/>
    <w:rsid w:val="00145410"/>
    <w:rsid w:val="00147FAC"/>
    <w:rsid w:val="0015015D"/>
    <w:rsid w:val="0015058E"/>
    <w:rsid w:val="001524C4"/>
    <w:rsid w:val="00152DA3"/>
    <w:rsid w:val="00153C52"/>
    <w:rsid w:val="00153DAF"/>
    <w:rsid w:val="00154447"/>
    <w:rsid w:val="001548FE"/>
    <w:rsid w:val="0015558B"/>
    <w:rsid w:val="00156178"/>
    <w:rsid w:val="00164E90"/>
    <w:rsid w:val="00166AA4"/>
    <w:rsid w:val="00167575"/>
    <w:rsid w:val="001679C9"/>
    <w:rsid w:val="0017020C"/>
    <w:rsid w:val="00170890"/>
    <w:rsid w:val="00170ACA"/>
    <w:rsid w:val="0017301F"/>
    <w:rsid w:val="0017411B"/>
    <w:rsid w:val="00174854"/>
    <w:rsid w:val="001748EC"/>
    <w:rsid w:val="00174D77"/>
    <w:rsid w:val="001763A4"/>
    <w:rsid w:val="00176D1B"/>
    <w:rsid w:val="00180009"/>
    <w:rsid w:val="001806B4"/>
    <w:rsid w:val="001807E3"/>
    <w:rsid w:val="001809D3"/>
    <w:rsid w:val="00180C52"/>
    <w:rsid w:val="0018109F"/>
    <w:rsid w:val="00181AA4"/>
    <w:rsid w:val="00181ABA"/>
    <w:rsid w:val="00181C0B"/>
    <w:rsid w:val="00182778"/>
    <w:rsid w:val="00182B4C"/>
    <w:rsid w:val="00183473"/>
    <w:rsid w:val="001848EA"/>
    <w:rsid w:val="00185AAE"/>
    <w:rsid w:val="00185D8F"/>
    <w:rsid w:val="00186009"/>
    <w:rsid w:val="00186E22"/>
    <w:rsid w:val="00187295"/>
    <w:rsid w:val="00190EA6"/>
    <w:rsid w:val="0019526B"/>
    <w:rsid w:val="00195278"/>
    <w:rsid w:val="00195747"/>
    <w:rsid w:val="00195E4B"/>
    <w:rsid w:val="00195F7D"/>
    <w:rsid w:val="00195FE1"/>
    <w:rsid w:val="0019643C"/>
    <w:rsid w:val="001972F2"/>
    <w:rsid w:val="00197D90"/>
    <w:rsid w:val="001A0136"/>
    <w:rsid w:val="001A19AB"/>
    <w:rsid w:val="001A25E4"/>
    <w:rsid w:val="001A2EF4"/>
    <w:rsid w:val="001A335A"/>
    <w:rsid w:val="001A33B6"/>
    <w:rsid w:val="001A3915"/>
    <w:rsid w:val="001A4844"/>
    <w:rsid w:val="001A4A3C"/>
    <w:rsid w:val="001A54BC"/>
    <w:rsid w:val="001A5B0C"/>
    <w:rsid w:val="001A5ECE"/>
    <w:rsid w:val="001A6F9A"/>
    <w:rsid w:val="001A7165"/>
    <w:rsid w:val="001B0E25"/>
    <w:rsid w:val="001B202D"/>
    <w:rsid w:val="001B2F3C"/>
    <w:rsid w:val="001B365F"/>
    <w:rsid w:val="001B36C9"/>
    <w:rsid w:val="001B3D82"/>
    <w:rsid w:val="001B4564"/>
    <w:rsid w:val="001B6081"/>
    <w:rsid w:val="001C03B8"/>
    <w:rsid w:val="001C08D8"/>
    <w:rsid w:val="001C0BAE"/>
    <w:rsid w:val="001C1875"/>
    <w:rsid w:val="001C2276"/>
    <w:rsid w:val="001C2BE8"/>
    <w:rsid w:val="001C3350"/>
    <w:rsid w:val="001C34AA"/>
    <w:rsid w:val="001C42F9"/>
    <w:rsid w:val="001C46C2"/>
    <w:rsid w:val="001C49BC"/>
    <w:rsid w:val="001C4D1B"/>
    <w:rsid w:val="001C72E3"/>
    <w:rsid w:val="001C74AF"/>
    <w:rsid w:val="001D07DC"/>
    <w:rsid w:val="001D127F"/>
    <w:rsid w:val="001D18F4"/>
    <w:rsid w:val="001D1D81"/>
    <w:rsid w:val="001D2C43"/>
    <w:rsid w:val="001D4E2A"/>
    <w:rsid w:val="001D5403"/>
    <w:rsid w:val="001D5A60"/>
    <w:rsid w:val="001D5A77"/>
    <w:rsid w:val="001D6017"/>
    <w:rsid w:val="001D645C"/>
    <w:rsid w:val="001D6893"/>
    <w:rsid w:val="001D734E"/>
    <w:rsid w:val="001D7969"/>
    <w:rsid w:val="001D7981"/>
    <w:rsid w:val="001E108F"/>
    <w:rsid w:val="001E1890"/>
    <w:rsid w:val="001E1A7E"/>
    <w:rsid w:val="001E1FE2"/>
    <w:rsid w:val="001E3313"/>
    <w:rsid w:val="001E3389"/>
    <w:rsid w:val="001E33CA"/>
    <w:rsid w:val="001E3857"/>
    <w:rsid w:val="001E42B1"/>
    <w:rsid w:val="001E4682"/>
    <w:rsid w:val="001E494D"/>
    <w:rsid w:val="001E4B3E"/>
    <w:rsid w:val="001E50AA"/>
    <w:rsid w:val="001E54DA"/>
    <w:rsid w:val="001E58C3"/>
    <w:rsid w:val="001E5DF7"/>
    <w:rsid w:val="001E5E61"/>
    <w:rsid w:val="001E7407"/>
    <w:rsid w:val="001E7E7E"/>
    <w:rsid w:val="001F1C6E"/>
    <w:rsid w:val="001F34AA"/>
    <w:rsid w:val="001F45D1"/>
    <w:rsid w:val="001F4FAE"/>
    <w:rsid w:val="001F517B"/>
    <w:rsid w:val="001F5B2A"/>
    <w:rsid w:val="001F63D4"/>
    <w:rsid w:val="001F6C0C"/>
    <w:rsid w:val="001F777D"/>
    <w:rsid w:val="0020000B"/>
    <w:rsid w:val="00200584"/>
    <w:rsid w:val="002009FD"/>
    <w:rsid w:val="0020182E"/>
    <w:rsid w:val="00201885"/>
    <w:rsid w:val="00201D54"/>
    <w:rsid w:val="0020222C"/>
    <w:rsid w:val="002030DC"/>
    <w:rsid w:val="00203269"/>
    <w:rsid w:val="0020327A"/>
    <w:rsid w:val="00204484"/>
    <w:rsid w:val="002045B3"/>
    <w:rsid w:val="002051A0"/>
    <w:rsid w:val="00205FD9"/>
    <w:rsid w:val="00206348"/>
    <w:rsid w:val="0020705E"/>
    <w:rsid w:val="00207353"/>
    <w:rsid w:val="00207544"/>
    <w:rsid w:val="00207F06"/>
    <w:rsid w:val="002108E3"/>
    <w:rsid w:val="002108FB"/>
    <w:rsid w:val="00210A61"/>
    <w:rsid w:val="00210F91"/>
    <w:rsid w:val="00211344"/>
    <w:rsid w:val="002122C1"/>
    <w:rsid w:val="002125DD"/>
    <w:rsid w:val="00212603"/>
    <w:rsid w:val="002127C1"/>
    <w:rsid w:val="00213C19"/>
    <w:rsid w:val="00213C32"/>
    <w:rsid w:val="00213D85"/>
    <w:rsid w:val="00215823"/>
    <w:rsid w:val="00215829"/>
    <w:rsid w:val="00215ED3"/>
    <w:rsid w:val="002166B7"/>
    <w:rsid w:val="00216EF2"/>
    <w:rsid w:val="0021743E"/>
    <w:rsid w:val="00217FF9"/>
    <w:rsid w:val="00220F77"/>
    <w:rsid w:val="002212A7"/>
    <w:rsid w:val="002229EC"/>
    <w:rsid w:val="00222DAE"/>
    <w:rsid w:val="00222E1B"/>
    <w:rsid w:val="002236EA"/>
    <w:rsid w:val="00224EAF"/>
    <w:rsid w:val="00224F0C"/>
    <w:rsid w:val="0022593A"/>
    <w:rsid w:val="00226449"/>
    <w:rsid w:val="002269A4"/>
    <w:rsid w:val="00226D8F"/>
    <w:rsid w:val="002278CC"/>
    <w:rsid w:val="00227C0A"/>
    <w:rsid w:val="00227F8B"/>
    <w:rsid w:val="00230B99"/>
    <w:rsid w:val="00231C61"/>
    <w:rsid w:val="00232683"/>
    <w:rsid w:val="00232B43"/>
    <w:rsid w:val="00232DA7"/>
    <w:rsid w:val="00234508"/>
    <w:rsid w:val="00235095"/>
    <w:rsid w:val="0023519B"/>
    <w:rsid w:val="00235A8D"/>
    <w:rsid w:val="002372BD"/>
    <w:rsid w:val="00237D73"/>
    <w:rsid w:val="0024088E"/>
    <w:rsid w:val="002420AA"/>
    <w:rsid w:val="002423FB"/>
    <w:rsid w:val="002430C2"/>
    <w:rsid w:val="002433F6"/>
    <w:rsid w:val="00243F4D"/>
    <w:rsid w:val="00244198"/>
    <w:rsid w:val="002449D1"/>
    <w:rsid w:val="00245E8E"/>
    <w:rsid w:val="00250433"/>
    <w:rsid w:val="00250B29"/>
    <w:rsid w:val="002513BD"/>
    <w:rsid w:val="002519BE"/>
    <w:rsid w:val="00251F6B"/>
    <w:rsid w:val="00253DE4"/>
    <w:rsid w:val="0025446C"/>
    <w:rsid w:val="00254E48"/>
    <w:rsid w:val="00254F05"/>
    <w:rsid w:val="0025518C"/>
    <w:rsid w:val="00255A82"/>
    <w:rsid w:val="00255E35"/>
    <w:rsid w:val="00256426"/>
    <w:rsid w:val="0025681E"/>
    <w:rsid w:val="0026004F"/>
    <w:rsid w:val="002606A8"/>
    <w:rsid w:val="002607BE"/>
    <w:rsid w:val="00261568"/>
    <w:rsid w:val="00261DEB"/>
    <w:rsid w:val="0026366A"/>
    <w:rsid w:val="00263EF7"/>
    <w:rsid w:val="002648CE"/>
    <w:rsid w:val="002654A1"/>
    <w:rsid w:val="00267555"/>
    <w:rsid w:val="00267C95"/>
    <w:rsid w:val="00270715"/>
    <w:rsid w:val="00271C33"/>
    <w:rsid w:val="002735DF"/>
    <w:rsid w:val="00273A23"/>
    <w:rsid w:val="00274137"/>
    <w:rsid w:val="00274366"/>
    <w:rsid w:val="00274668"/>
    <w:rsid w:val="002753CA"/>
    <w:rsid w:val="002760D9"/>
    <w:rsid w:val="00276507"/>
    <w:rsid w:val="00276F89"/>
    <w:rsid w:val="0027702C"/>
    <w:rsid w:val="00277B1B"/>
    <w:rsid w:val="002814C0"/>
    <w:rsid w:val="00281986"/>
    <w:rsid w:val="00281A3A"/>
    <w:rsid w:val="00282101"/>
    <w:rsid w:val="00283247"/>
    <w:rsid w:val="002837EC"/>
    <w:rsid w:val="00284391"/>
    <w:rsid w:val="00284B29"/>
    <w:rsid w:val="00285A82"/>
    <w:rsid w:val="00286BED"/>
    <w:rsid w:val="00286D15"/>
    <w:rsid w:val="00287446"/>
    <w:rsid w:val="00287DDC"/>
    <w:rsid w:val="002909C0"/>
    <w:rsid w:val="00291A55"/>
    <w:rsid w:val="00292A59"/>
    <w:rsid w:val="00292CE6"/>
    <w:rsid w:val="00292EA6"/>
    <w:rsid w:val="002943E2"/>
    <w:rsid w:val="0029551F"/>
    <w:rsid w:val="00295826"/>
    <w:rsid w:val="00295C69"/>
    <w:rsid w:val="0029669B"/>
    <w:rsid w:val="00296DDF"/>
    <w:rsid w:val="00296E67"/>
    <w:rsid w:val="0029700D"/>
    <w:rsid w:val="002A1072"/>
    <w:rsid w:val="002A3231"/>
    <w:rsid w:val="002A32BB"/>
    <w:rsid w:val="002A392D"/>
    <w:rsid w:val="002A3982"/>
    <w:rsid w:val="002A4D37"/>
    <w:rsid w:val="002A570A"/>
    <w:rsid w:val="002A5B15"/>
    <w:rsid w:val="002A5BC6"/>
    <w:rsid w:val="002A60E9"/>
    <w:rsid w:val="002A72E2"/>
    <w:rsid w:val="002A74DE"/>
    <w:rsid w:val="002A7F3C"/>
    <w:rsid w:val="002B03A9"/>
    <w:rsid w:val="002B059E"/>
    <w:rsid w:val="002B0E78"/>
    <w:rsid w:val="002B0EA5"/>
    <w:rsid w:val="002B2081"/>
    <w:rsid w:val="002B27C2"/>
    <w:rsid w:val="002B350B"/>
    <w:rsid w:val="002B3D17"/>
    <w:rsid w:val="002B3FBF"/>
    <w:rsid w:val="002B4DD0"/>
    <w:rsid w:val="002B4F29"/>
    <w:rsid w:val="002B5935"/>
    <w:rsid w:val="002B5F05"/>
    <w:rsid w:val="002B6DAC"/>
    <w:rsid w:val="002B756B"/>
    <w:rsid w:val="002C0082"/>
    <w:rsid w:val="002C0354"/>
    <w:rsid w:val="002C2168"/>
    <w:rsid w:val="002C276D"/>
    <w:rsid w:val="002C3782"/>
    <w:rsid w:val="002C4379"/>
    <w:rsid w:val="002C6D86"/>
    <w:rsid w:val="002D00F3"/>
    <w:rsid w:val="002D357F"/>
    <w:rsid w:val="002D384C"/>
    <w:rsid w:val="002D4009"/>
    <w:rsid w:val="002D4829"/>
    <w:rsid w:val="002D57A7"/>
    <w:rsid w:val="002D6212"/>
    <w:rsid w:val="002D6CF5"/>
    <w:rsid w:val="002D77AC"/>
    <w:rsid w:val="002D7F56"/>
    <w:rsid w:val="002E0AAF"/>
    <w:rsid w:val="002E1DE4"/>
    <w:rsid w:val="002E29B3"/>
    <w:rsid w:val="002E33E5"/>
    <w:rsid w:val="002E36B0"/>
    <w:rsid w:val="002E4C31"/>
    <w:rsid w:val="002E5092"/>
    <w:rsid w:val="002E5FA2"/>
    <w:rsid w:val="002E642C"/>
    <w:rsid w:val="002E6EA5"/>
    <w:rsid w:val="002E77D5"/>
    <w:rsid w:val="002F0AB2"/>
    <w:rsid w:val="002F2C51"/>
    <w:rsid w:val="002F3038"/>
    <w:rsid w:val="002F3C46"/>
    <w:rsid w:val="002F3CBE"/>
    <w:rsid w:val="002F4552"/>
    <w:rsid w:val="002F4C85"/>
    <w:rsid w:val="002F512A"/>
    <w:rsid w:val="002F58B7"/>
    <w:rsid w:val="002F6850"/>
    <w:rsid w:val="002F69C6"/>
    <w:rsid w:val="002F706C"/>
    <w:rsid w:val="00300AB2"/>
    <w:rsid w:val="00300D1B"/>
    <w:rsid w:val="00301831"/>
    <w:rsid w:val="00301CBA"/>
    <w:rsid w:val="00302B48"/>
    <w:rsid w:val="00305060"/>
    <w:rsid w:val="00305358"/>
    <w:rsid w:val="003078BE"/>
    <w:rsid w:val="0031019F"/>
    <w:rsid w:val="003107BE"/>
    <w:rsid w:val="00310D83"/>
    <w:rsid w:val="00311C55"/>
    <w:rsid w:val="00312E88"/>
    <w:rsid w:val="003135C7"/>
    <w:rsid w:val="00313D3D"/>
    <w:rsid w:val="00313FBC"/>
    <w:rsid w:val="003147BC"/>
    <w:rsid w:val="00314FCF"/>
    <w:rsid w:val="003150ED"/>
    <w:rsid w:val="003156B0"/>
    <w:rsid w:val="00316212"/>
    <w:rsid w:val="003164B2"/>
    <w:rsid w:val="00316A04"/>
    <w:rsid w:val="00316D7C"/>
    <w:rsid w:val="003176DB"/>
    <w:rsid w:val="003177DB"/>
    <w:rsid w:val="003179B3"/>
    <w:rsid w:val="00317E9B"/>
    <w:rsid w:val="00321034"/>
    <w:rsid w:val="003212A5"/>
    <w:rsid w:val="00321681"/>
    <w:rsid w:val="00321AFB"/>
    <w:rsid w:val="00321FAA"/>
    <w:rsid w:val="003232F1"/>
    <w:rsid w:val="003235C2"/>
    <w:rsid w:val="00323D17"/>
    <w:rsid w:val="00323EAB"/>
    <w:rsid w:val="00324195"/>
    <w:rsid w:val="00325011"/>
    <w:rsid w:val="00325424"/>
    <w:rsid w:val="003257F0"/>
    <w:rsid w:val="00325CCD"/>
    <w:rsid w:val="0032650E"/>
    <w:rsid w:val="00326582"/>
    <w:rsid w:val="00327FBE"/>
    <w:rsid w:val="00330075"/>
    <w:rsid w:val="003313F0"/>
    <w:rsid w:val="003321F4"/>
    <w:rsid w:val="0033225C"/>
    <w:rsid w:val="003330A7"/>
    <w:rsid w:val="00333268"/>
    <w:rsid w:val="00333B87"/>
    <w:rsid w:val="0033457F"/>
    <w:rsid w:val="003349A1"/>
    <w:rsid w:val="003352FB"/>
    <w:rsid w:val="00337755"/>
    <w:rsid w:val="00340A20"/>
    <w:rsid w:val="0034112F"/>
    <w:rsid w:val="00341361"/>
    <w:rsid w:val="0034261E"/>
    <w:rsid w:val="00342C9C"/>
    <w:rsid w:val="0034366D"/>
    <w:rsid w:val="00343E47"/>
    <w:rsid w:val="0034433D"/>
    <w:rsid w:val="0034531A"/>
    <w:rsid w:val="003454BA"/>
    <w:rsid w:val="00345AFA"/>
    <w:rsid w:val="003460C5"/>
    <w:rsid w:val="00346512"/>
    <w:rsid w:val="003477A5"/>
    <w:rsid w:val="003479BD"/>
    <w:rsid w:val="00347A6E"/>
    <w:rsid w:val="00347D26"/>
    <w:rsid w:val="00351D79"/>
    <w:rsid w:val="00352F3A"/>
    <w:rsid w:val="003534B1"/>
    <w:rsid w:val="003542B8"/>
    <w:rsid w:val="00354523"/>
    <w:rsid w:val="003549B9"/>
    <w:rsid w:val="00354AFA"/>
    <w:rsid w:val="00354DA3"/>
    <w:rsid w:val="0035689E"/>
    <w:rsid w:val="00356F12"/>
    <w:rsid w:val="00357223"/>
    <w:rsid w:val="00357750"/>
    <w:rsid w:val="003578D1"/>
    <w:rsid w:val="00357A91"/>
    <w:rsid w:val="00357C08"/>
    <w:rsid w:val="003605F9"/>
    <w:rsid w:val="003607B9"/>
    <w:rsid w:val="0036120B"/>
    <w:rsid w:val="003612AA"/>
    <w:rsid w:val="003617FD"/>
    <w:rsid w:val="00361B2B"/>
    <w:rsid w:val="00361CA7"/>
    <w:rsid w:val="0036211A"/>
    <w:rsid w:val="00362337"/>
    <w:rsid w:val="003631E0"/>
    <w:rsid w:val="00363C5C"/>
    <w:rsid w:val="00363D70"/>
    <w:rsid w:val="00363FAB"/>
    <w:rsid w:val="00365E36"/>
    <w:rsid w:val="00366451"/>
    <w:rsid w:val="003664EF"/>
    <w:rsid w:val="0036760F"/>
    <w:rsid w:val="0036766A"/>
    <w:rsid w:val="003679C6"/>
    <w:rsid w:val="00367B33"/>
    <w:rsid w:val="00367D0D"/>
    <w:rsid w:val="00367F5D"/>
    <w:rsid w:val="00370415"/>
    <w:rsid w:val="00370754"/>
    <w:rsid w:val="00372462"/>
    <w:rsid w:val="003726AA"/>
    <w:rsid w:val="00372C15"/>
    <w:rsid w:val="00373269"/>
    <w:rsid w:val="00374B78"/>
    <w:rsid w:val="00375364"/>
    <w:rsid w:val="003755CA"/>
    <w:rsid w:val="0037563A"/>
    <w:rsid w:val="003768A5"/>
    <w:rsid w:val="00376AAB"/>
    <w:rsid w:val="0037701B"/>
    <w:rsid w:val="003777C9"/>
    <w:rsid w:val="00377A92"/>
    <w:rsid w:val="00377BC4"/>
    <w:rsid w:val="0038277F"/>
    <w:rsid w:val="00383587"/>
    <w:rsid w:val="003853DF"/>
    <w:rsid w:val="00385821"/>
    <w:rsid w:val="003870D7"/>
    <w:rsid w:val="0039004F"/>
    <w:rsid w:val="00390883"/>
    <w:rsid w:val="0039217B"/>
    <w:rsid w:val="00392A9A"/>
    <w:rsid w:val="00393761"/>
    <w:rsid w:val="00393DE9"/>
    <w:rsid w:val="00394838"/>
    <w:rsid w:val="00394864"/>
    <w:rsid w:val="00395837"/>
    <w:rsid w:val="00395DFA"/>
    <w:rsid w:val="00396F55"/>
    <w:rsid w:val="003A0009"/>
    <w:rsid w:val="003A1517"/>
    <w:rsid w:val="003A32F2"/>
    <w:rsid w:val="003A40C5"/>
    <w:rsid w:val="003A46EC"/>
    <w:rsid w:val="003A51B6"/>
    <w:rsid w:val="003A5415"/>
    <w:rsid w:val="003A5918"/>
    <w:rsid w:val="003A6A84"/>
    <w:rsid w:val="003A72FB"/>
    <w:rsid w:val="003A7B0B"/>
    <w:rsid w:val="003A7B55"/>
    <w:rsid w:val="003B0439"/>
    <w:rsid w:val="003B0469"/>
    <w:rsid w:val="003B089D"/>
    <w:rsid w:val="003B155E"/>
    <w:rsid w:val="003B1727"/>
    <w:rsid w:val="003B1DA7"/>
    <w:rsid w:val="003B2009"/>
    <w:rsid w:val="003B24CD"/>
    <w:rsid w:val="003B2A44"/>
    <w:rsid w:val="003B3E51"/>
    <w:rsid w:val="003B451A"/>
    <w:rsid w:val="003B4E92"/>
    <w:rsid w:val="003B52D7"/>
    <w:rsid w:val="003B5FC4"/>
    <w:rsid w:val="003B6084"/>
    <w:rsid w:val="003B6332"/>
    <w:rsid w:val="003B7E7D"/>
    <w:rsid w:val="003C12C4"/>
    <w:rsid w:val="003C1776"/>
    <w:rsid w:val="003C21D1"/>
    <w:rsid w:val="003C2B2C"/>
    <w:rsid w:val="003C2C7C"/>
    <w:rsid w:val="003C2F66"/>
    <w:rsid w:val="003C3578"/>
    <w:rsid w:val="003C3C23"/>
    <w:rsid w:val="003C4061"/>
    <w:rsid w:val="003C4335"/>
    <w:rsid w:val="003C4339"/>
    <w:rsid w:val="003C4470"/>
    <w:rsid w:val="003C44D2"/>
    <w:rsid w:val="003C48C0"/>
    <w:rsid w:val="003C4F93"/>
    <w:rsid w:val="003C52B6"/>
    <w:rsid w:val="003C5AF4"/>
    <w:rsid w:val="003C65E3"/>
    <w:rsid w:val="003C7FB1"/>
    <w:rsid w:val="003D0AA6"/>
    <w:rsid w:val="003D1F6C"/>
    <w:rsid w:val="003D35C7"/>
    <w:rsid w:val="003D474F"/>
    <w:rsid w:val="003D4797"/>
    <w:rsid w:val="003D47F8"/>
    <w:rsid w:val="003D495A"/>
    <w:rsid w:val="003D76C2"/>
    <w:rsid w:val="003D7AF0"/>
    <w:rsid w:val="003E0B1E"/>
    <w:rsid w:val="003E0DD4"/>
    <w:rsid w:val="003E1593"/>
    <w:rsid w:val="003E23FE"/>
    <w:rsid w:val="003E34E8"/>
    <w:rsid w:val="003E35C2"/>
    <w:rsid w:val="003E4A87"/>
    <w:rsid w:val="003E5306"/>
    <w:rsid w:val="003E6CFE"/>
    <w:rsid w:val="003E731A"/>
    <w:rsid w:val="003E7951"/>
    <w:rsid w:val="003F0121"/>
    <w:rsid w:val="003F020F"/>
    <w:rsid w:val="003F1CE4"/>
    <w:rsid w:val="003F1D58"/>
    <w:rsid w:val="003F1DEC"/>
    <w:rsid w:val="003F222D"/>
    <w:rsid w:val="003F2641"/>
    <w:rsid w:val="003F3003"/>
    <w:rsid w:val="003F4F99"/>
    <w:rsid w:val="003F52E8"/>
    <w:rsid w:val="003F5805"/>
    <w:rsid w:val="003F6492"/>
    <w:rsid w:val="003F698C"/>
    <w:rsid w:val="003F7B66"/>
    <w:rsid w:val="00400A10"/>
    <w:rsid w:val="00400A89"/>
    <w:rsid w:val="00400B44"/>
    <w:rsid w:val="00400FB9"/>
    <w:rsid w:val="00402B65"/>
    <w:rsid w:val="00402BC2"/>
    <w:rsid w:val="00403377"/>
    <w:rsid w:val="0040360F"/>
    <w:rsid w:val="004050C5"/>
    <w:rsid w:val="00405177"/>
    <w:rsid w:val="00405376"/>
    <w:rsid w:val="004055EF"/>
    <w:rsid w:val="00405627"/>
    <w:rsid w:val="004057D3"/>
    <w:rsid w:val="00405A88"/>
    <w:rsid w:val="004060E5"/>
    <w:rsid w:val="00406747"/>
    <w:rsid w:val="004067D5"/>
    <w:rsid w:val="004075AF"/>
    <w:rsid w:val="0040768F"/>
    <w:rsid w:val="00407B92"/>
    <w:rsid w:val="00407BB0"/>
    <w:rsid w:val="00407E1D"/>
    <w:rsid w:val="00410309"/>
    <w:rsid w:val="004107B6"/>
    <w:rsid w:val="004117B3"/>
    <w:rsid w:val="004138F6"/>
    <w:rsid w:val="00414757"/>
    <w:rsid w:val="00414B06"/>
    <w:rsid w:val="00415C64"/>
    <w:rsid w:val="00415E07"/>
    <w:rsid w:val="00415F03"/>
    <w:rsid w:val="00421274"/>
    <w:rsid w:val="0042185C"/>
    <w:rsid w:val="004219F9"/>
    <w:rsid w:val="004221ED"/>
    <w:rsid w:val="00422393"/>
    <w:rsid w:val="0042264F"/>
    <w:rsid w:val="0042284A"/>
    <w:rsid w:val="004238FD"/>
    <w:rsid w:val="00423C62"/>
    <w:rsid w:val="004243E8"/>
    <w:rsid w:val="004248FF"/>
    <w:rsid w:val="00424BB0"/>
    <w:rsid w:val="004253A0"/>
    <w:rsid w:val="0042566B"/>
    <w:rsid w:val="00426F94"/>
    <w:rsid w:val="00432164"/>
    <w:rsid w:val="00433A77"/>
    <w:rsid w:val="00433AD7"/>
    <w:rsid w:val="00434AD0"/>
    <w:rsid w:val="00435FEB"/>
    <w:rsid w:val="00436007"/>
    <w:rsid w:val="00436921"/>
    <w:rsid w:val="00437CB7"/>
    <w:rsid w:val="00440413"/>
    <w:rsid w:val="0044051D"/>
    <w:rsid w:val="0044088D"/>
    <w:rsid w:val="00440B16"/>
    <w:rsid w:val="00440B51"/>
    <w:rsid w:val="00441148"/>
    <w:rsid w:val="00441F61"/>
    <w:rsid w:val="004422B4"/>
    <w:rsid w:val="00442781"/>
    <w:rsid w:val="0044290F"/>
    <w:rsid w:val="00443C82"/>
    <w:rsid w:val="0044526D"/>
    <w:rsid w:val="00445290"/>
    <w:rsid w:val="004455F7"/>
    <w:rsid w:val="0044570F"/>
    <w:rsid w:val="00445855"/>
    <w:rsid w:val="0044635E"/>
    <w:rsid w:val="00446459"/>
    <w:rsid w:val="004466C6"/>
    <w:rsid w:val="00446804"/>
    <w:rsid w:val="004471A7"/>
    <w:rsid w:val="00447292"/>
    <w:rsid w:val="00447D4E"/>
    <w:rsid w:val="00447E0A"/>
    <w:rsid w:val="00451082"/>
    <w:rsid w:val="0045118C"/>
    <w:rsid w:val="004512A8"/>
    <w:rsid w:val="00452C0E"/>
    <w:rsid w:val="0045357E"/>
    <w:rsid w:val="004551CB"/>
    <w:rsid w:val="00455571"/>
    <w:rsid w:val="004555AD"/>
    <w:rsid w:val="00455996"/>
    <w:rsid w:val="00456EC9"/>
    <w:rsid w:val="004579D6"/>
    <w:rsid w:val="004624FD"/>
    <w:rsid w:val="004627FF"/>
    <w:rsid w:val="00464CEB"/>
    <w:rsid w:val="00465036"/>
    <w:rsid w:val="0046598B"/>
    <w:rsid w:val="00465B9D"/>
    <w:rsid w:val="00467187"/>
    <w:rsid w:val="00467BA1"/>
    <w:rsid w:val="004707CF"/>
    <w:rsid w:val="0047113A"/>
    <w:rsid w:val="00471429"/>
    <w:rsid w:val="004715D6"/>
    <w:rsid w:val="00471740"/>
    <w:rsid w:val="0047255C"/>
    <w:rsid w:val="00473C04"/>
    <w:rsid w:val="00475140"/>
    <w:rsid w:val="00475322"/>
    <w:rsid w:val="00476133"/>
    <w:rsid w:val="004774C3"/>
    <w:rsid w:val="00477C4D"/>
    <w:rsid w:val="00481243"/>
    <w:rsid w:val="00481CFA"/>
    <w:rsid w:val="004840EB"/>
    <w:rsid w:val="0048466F"/>
    <w:rsid w:val="00485C45"/>
    <w:rsid w:val="00486761"/>
    <w:rsid w:val="004869F7"/>
    <w:rsid w:val="00486D72"/>
    <w:rsid w:val="00487473"/>
    <w:rsid w:val="00491674"/>
    <w:rsid w:val="00491887"/>
    <w:rsid w:val="00492172"/>
    <w:rsid w:val="004938F6"/>
    <w:rsid w:val="00493E4D"/>
    <w:rsid w:val="0049439A"/>
    <w:rsid w:val="00494D54"/>
    <w:rsid w:val="00495484"/>
    <w:rsid w:val="0049661C"/>
    <w:rsid w:val="00496FBB"/>
    <w:rsid w:val="00497663"/>
    <w:rsid w:val="00497F0C"/>
    <w:rsid w:val="004A18C0"/>
    <w:rsid w:val="004A286C"/>
    <w:rsid w:val="004A3E9D"/>
    <w:rsid w:val="004A4091"/>
    <w:rsid w:val="004A5341"/>
    <w:rsid w:val="004A778B"/>
    <w:rsid w:val="004B0A21"/>
    <w:rsid w:val="004B0E45"/>
    <w:rsid w:val="004B0EC6"/>
    <w:rsid w:val="004B24A4"/>
    <w:rsid w:val="004B2F5E"/>
    <w:rsid w:val="004B3B25"/>
    <w:rsid w:val="004B4830"/>
    <w:rsid w:val="004B4D51"/>
    <w:rsid w:val="004B551E"/>
    <w:rsid w:val="004B6491"/>
    <w:rsid w:val="004B6909"/>
    <w:rsid w:val="004B6A0C"/>
    <w:rsid w:val="004B7BFF"/>
    <w:rsid w:val="004C02EA"/>
    <w:rsid w:val="004C0597"/>
    <w:rsid w:val="004C0812"/>
    <w:rsid w:val="004C0986"/>
    <w:rsid w:val="004C1321"/>
    <w:rsid w:val="004C1E0F"/>
    <w:rsid w:val="004C292C"/>
    <w:rsid w:val="004C319C"/>
    <w:rsid w:val="004C3E20"/>
    <w:rsid w:val="004C3E65"/>
    <w:rsid w:val="004C43E9"/>
    <w:rsid w:val="004C4A03"/>
    <w:rsid w:val="004C62E9"/>
    <w:rsid w:val="004C6327"/>
    <w:rsid w:val="004C736B"/>
    <w:rsid w:val="004C7587"/>
    <w:rsid w:val="004C7A18"/>
    <w:rsid w:val="004D061D"/>
    <w:rsid w:val="004D09C4"/>
    <w:rsid w:val="004D14A7"/>
    <w:rsid w:val="004D14D5"/>
    <w:rsid w:val="004D1DA3"/>
    <w:rsid w:val="004D3B49"/>
    <w:rsid w:val="004D5319"/>
    <w:rsid w:val="004D739C"/>
    <w:rsid w:val="004D7B0C"/>
    <w:rsid w:val="004E129E"/>
    <w:rsid w:val="004E2076"/>
    <w:rsid w:val="004E22FE"/>
    <w:rsid w:val="004E231F"/>
    <w:rsid w:val="004E3017"/>
    <w:rsid w:val="004E3E3D"/>
    <w:rsid w:val="004E5837"/>
    <w:rsid w:val="004E66D7"/>
    <w:rsid w:val="004E67C9"/>
    <w:rsid w:val="004E76F3"/>
    <w:rsid w:val="004E76F7"/>
    <w:rsid w:val="004E7810"/>
    <w:rsid w:val="004F28CB"/>
    <w:rsid w:val="004F31FA"/>
    <w:rsid w:val="004F3250"/>
    <w:rsid w:val="004F32C0"/>
    <w:rsid w:val="004F4111"/>
    <w:rsid w:val="004F452A"/>
    <w:rsid w:val="004F4581"/>
    <w:rsid w:val="004F46A4"/>
    <w:rsid w:val="004F46E9"/>
    <w:rsid w:val="004F4C28"/>
    <w:rsid w:val="004F548E"/>
    <w:rsid w:val="004F601A"/>
    <w:rsid w:val="004F772F"/>
    <w:rsid w:val="00502091"/>
    <w:rsid w:val="00502B9D"/>
    <w:rsid w:val="005047B2"/>
    <w:rsid w:val="00504870"/>
    <w:rsid w:val="00504EE0"/>
    <w:rsid w:val="00505765"/>
    <w:rsid w:val="00507EE1"/>
    <w:rsid w:val="005106BD"/>
    <w:rsid w:val="005117C2"/>
    <w:rsid w:val="0051200F"/>
    <w:rsid w:val="00512C03"/>
    <w:rsid w:val="00512FF0"/>
    <w:rsid w:val="00513DD8"/>
    <w:rsid w:val="005143F1"/>
    <w:rsid w:val="005147B0"/>
    <w:rsid w:val="00514827"/>
    <w:rsid w:val="00514CA5"/>
    <w:rsid w:val="00514F7E"/>
    <w:rsid w:val="00515906"/>
    <w:rsid w:val="00515D6E"/>
    <w:rsid w:val="005165BA"/>
    <w:rsid w:val="0051713D"/>
    <w:rsid w:val="0051740C"/>
    <w:rsid w:val="00517AF7"/>
    <w:rsid w:val="0052081D"/>
    <w:rsid w:val="00521A3E"/>
    <w:rsid w:val="00521F6C"/>
    <w:rsid w:val="00521F96"/>
    <w:rsid w:val="00523362"/>
    <w:rsid w:val="00523F4A"/>
    <w:rsid w:val="005244AF"/>
    <w:rsid w:val="00524624"/>
    <w:rsid w:val="00525333"/>
    <w:rsid w:val="00526F44"/>
    <w:rsid w:val="00527D1F"/>
    <w:rsid w:val="00527EA0"/>
    <w:rsid w:val="005324AE"/>
    <w:rsid w:val="00532923"/>
    <w:rsid w:val="00533568"/>
    <w:rsid w:val="0053370B"/>
    <w:rsid w:val="00533863"/>
    <w:rsid w:val="00534772"/>
    <w:rsid w:val="00535A69"/>
    <w:rsid w:val="005362C8"/>
    <w:rsid w:val="005363CF"/>
    <w:rsid w:val="00536C4D"/>
    <w:rsid w:val="00540266"/>
    <w:rsid w:val="00541BAB"/>
    <w:rsid w:val="00542176"/>
    <w:rsid w:val="005449F8"/>
    <w:rsid w:val="00544A95"/>
    <w:rsid w:val="00544AFF"/>
    <w:rsid w:val="00545D09"/>
    <w:rsid w:val="00546104"/>
    <w:rsid w:val="005469AC"/>
    <w:rsid w:val="00546C89"/>
    <w:rsid w:val="00546C8D"/>
    <w:rsid w:val="005504F5"/>
    <w:rsid w:val="0055135F"/>
    <w:rsid w:val="005525A0"/>
    <w:rsid w:val="0055291D"/>
    <w:rsid w:val="00553052"/>
    <w:rsid w:val="0055385F"/>
    <w:rsid w:val="00554859"/>
    <w:rsid w:val="00554C96"/>
    <w:rsid w:val="0055558D"/>
    <w:rsid w:val="00555596"/>
    <w:rsid w:val="00556A14"/>
    <w:rsid w:val="005601A8"/>
    <w:rsid w:val="00560FC7"/>
    <w:rsid w:val="005623B8"/>
    <w:rsid w:val="00562550"/>
    <w:rsid w:val="0056256C"/>
    <w:rsid w:val="00562ADB"/>
    <w:rsid w:val="0056309E"/>
    <w:rsid w:val="00563B38"/>
    <w:rsid w:val="00563DAF"/>
    <w:rsid w:val="00564056"/>
    <w:rsid w:val="005647E6"/>
    <w:rsid w:val="00564E72"/>
    <w:rsid w:val="005651FF"/>
    <w:rsid w:val="00566B3F"/>
    <w:rsid w:val="00570128"/>
    <w:rsid w:val="005713DE"/>
    <w:rsid w:val="00571522"/>
    <w:rsid w:val="00572D1D"/>
    <w:rsid w:val="00573147"/>
    <w:rsid w:val="00574028"/>
    <w:rsid w:val="00574791"/>
    <w:rsid w:val="00574A50"/>
    <w:rsid w:val="00574CA4"/>
    <w:rsid w:val="00574EAB"/>
    <w:rsid w:val="00575B5E"/>
    <w:rsid w:val="00576026"/>
    <w:rsid w:val="0057778C"/>
    <w:rsid w:val="0057799F"/>
    <w:rsid w:val="0058075A"/>
    <w:rsid w:val="005815D0"/>
    <w:rsid w:val="0058214E"/>
    <w:rsid w:val="00582B48"/>
    <w:rsid w:val="0058439A"/>
    <w:rsid w:val="005843DB"/>
    <w:rsid w:val="00584559"/>
    <w:rsid w:val="00584C46"/>
    <w:rsid w:val="00585859"/>
    <w:rsid w:val="005867BA"/>
    <w:rsid w:val="00586806"/>
    <w:rsid w:val="00587A7D"/>
    <w:rsid w:val="00587E18"/>
    <w:rsid w:val="0059030D"/>
    <w:rsid w:val="00590547"/>
    <w:rsid w:val="005908CD"/>
    <w:rsid w:val="005915A7"/>
    <w:rsid w:val="005919B8"/>
    <w:rsid w:val="005921B9"/>
    <w:rsid w:val="005932FC"/>
    <w:rsid w:val="00593CEF"/>
    <w:rsid w:val="00593E05"/>
    <w:rsid w:val="00593EF1"/>
    <w:rsid w:val="0059487F"/>
    <w:rsid w:val="00594EEA"/>
    <w:rsid w:val="0059579F"/>
    <w:rsid w:val="0059661F"/>
    <w:rsid w:val="00597704"/>
    <w:rsid w:val="00597787"/>
    <w:rsid w:val="005A0E0F"/>
    <w:rsid w:val="005A1318"/>
    <w:rsid w:val="005A2F67"/>
    <w:rsid w:val="005A3298"/>
    <w:rsid w:val="005A37E1"/>
    <w:rsid w:val="005A3AF3"/>
    <w:rsid w:val="005A3D10"/>
    <w:rsid w:val="005A4453"/>
    <w:rsid w:val="005A4467"/>
    <w:rsid w:val="005A454A"/>
    <w:rsid w:val="005A4706"/>
    <w:rsid w:val="005A4E5A"/>
    <w:rsid w:val="005B0E4A"/>
    <w:rsid w:val="005B123D"/>
    <w:rsid w:val="005B1D1B"/>
    <w:rsid w:val="005B22DD"/>
    <w:rsid w:val="005B46CE"/>
    <w:rsid w:val="005B4ACF"/>
    <w:rsid w:val="005B62D9"/>
    <w:rsid w:val="005B6934"/>
    <w:rsid w:val="005B6D7E"/>
    <w:rsid w:val="005B74ED"/>
    <w:rsid w:val="005B7643"/>
    <w:rsid w:val="005B773D"/>
    <w:rsid w:val="005C0AB2"/>
    <w:rsid w:val="005C0E00"/>
    <w:rsid w:val="005C1EF8"/>
    <w:rsid w:val="005C2A7D"/>
    <w:rsid w:val="005C3ADB"/>
    <w:rsid w:val="005C3D41"/>
    <w:rsid w:val="005C4A0A"/>
    <w:rsid w:val="005C4A8E"/>
    <w:rsid w:val="005C50AC"/>
    <w:rsid w:val="005C51D6"/>
    <w:rsid w:val="005C5562"/>
    <w:rsid w:val="005C5D5D"/>
    <w:rsid w:val="005C5F6D"/>
    <w:rsid w:val="005C6ECD"/>
    <w:rsid w:val="005D0190"/>
    <w:rsid w:val="005D037C"/>
    <w:rsid w:val="005D09B7"/>
    <w:rsid w:val="005D19CA"/>
    <w:rsid w:val="005D1AFD"/>
    <w:rsid w:val="005D1D06"/>
    <w:rsid w:val="005D2105"/>
    <w:rsid w:val="005D367F"/>
    <w:rsid w:val="005D3C8B"/>
    <w:rsid w:val="005D4FA3"/>
    <w:rsid w:val="005D5B55"/>
    <w:rsid w:val="005D5DBF"/>
    <w:rsid w:val="005E0378"/>
    <w:rsid w:val="005E0FD3"/>
    <w:rsid w:val="005E173A"/>
    <w:rsid w:val="005E1912"/>
    <w:rsid w:val="005E1FA7"/>
    <w:rsid w:val="005E2B5A"/>
    <w:rsid w:val="005E33EA"/>
    <w:rsid w:val="005E3543"/>
    <w:rsid w:val="005E3B1F"/>
    <w:rsid w:val="005E3B80"/>
    <w:rsid w:val="005E486D"/>
    <w:rsid w:val="005E4B1E"/>
    <w:rsid w:val="005E5FD2"/>
    <w:rsid w:val="005E6F34"/>
    <w:rsid w:val="005E7D65"/>
    <w:rsid w:val="005E7EE3"/>
    <w:rsid w:val="005F0961"/>
    <w:rsid w:val="005F12FE"/>
    <w:rsid w:val="005F152A"/>
    <w:rsid w:val="005F1FC7"/>
    <w:rsid w:val="005F332D"/>
    <w:rsid w:val="005F38F7"/>
    <w:rsid w:val="005F4426"/>
    <w:rsid w:val="005F5ECC"/>
    <w:rsid w:val="005F7A16"/>
    <w:rsid w:val="005F7A4F"/>
    <w:rsid w:val="00600666"/>
    <w:rsid w:val="00600F50"/>
    <w:rsid w:val="00602B20"/>
    <w:rsid w:val="00602C98"/>
    <w:rsid w:val="0060331E"/>
    <w:rsid w:val="006035CE"/>
    <w:rsid w:val="006038A3"/>
    <w:rsid w:val="00603C7F"/>
    <w:rsid w:val="00603E3E"/>
    <w:rsid w:val="00604441"/>
    <w:rsid w:val="00604657"/>
    <w:rsid w:val="006053D0"/>
    <w:rsid w:val="006054B9"/>
    <w:rsid w:val="006056B1"/>
    <w:rsid w:val="00605FDE"/>
    <w:rsid w:val="00606FAB"/>
    <w:rsid w:val="006076AC"/>
    <w:rsid w:val="00607B6B"/>
    <w:rsid w:val="00610B81"/>
    <w:rsid w:val="00610E57"/>
    <w:rsid w:val="0061167E"/>
    <w:rsid w:val="006121F3"/>
    <w:rsid w:val="00613378"/>
    <w:rsid w:val="00613547"/>
    <w:rsid w:val="0061422D"/>
    <w:rsid w:val="0061449C"/>
    <w:rsid w:val="0061461D"/>
    <w:rsid w:val="00614987"/>
    <w:rsid w:val="006164C0"/>
    <w:rsid w:val="006176BC"/>
    <w:rsid w:val="00617851"/>
    <w:rsid w:val="00622D1C"/>
    <w:rsid w:val="00623A06"/>
    <w:rsid w:val="006247DB"/>
    <w:rsid w:val="00625B1E"/>
    <w:rsid w:val="00625D6C"/>
    <w:rsid w:val="00627A7F"/>
    <w:rsid w:val="00627A92"/>
    <w:rsid w:val="006314EA"/>
    <w:rsid w:val="006317C0"/>
    <w:rsid w:val="006318E0"/>
    <w:rsid w:val="006327CE"/>
    <w:rsid w:val="006332EA"/>
    <w:rsid w:val="00633DFE"/>
    <w:rsid w:val="00633F99"/>
    <w:rsid w:val="00634DEA"/>
    <w:rsid w:val="0063616E"/>
    <w:rsid w:val="0063666A"/>
    <w:rsid w:val="0063695C"/>
    <w:rsid w:val="00637410"/>
    <w:rsid w:val="0064073F"/>
    <w:rsid w:val="00641190"/>
    <w:rsid w:val="006412F2"/>
    <w:rsid w:val="00642105"/>
    <w:rsid w:val="00642D18"/>
    <w:rsid w:val="00642FEE"/>
    <w:rsid w:val="00643C59"/>
    <w:rsid w:val="00644226"/>
    <w:rsid w:val="00644349"/>
    <w:rsid w:val="00645F49"/>
    <w:rsid w:val="006461D1"/>
    <w:rsid w:val="00646764"/>
    <w:rsid w:val="006471E5"/>
    <w:rsid w:val="006503C6"/>
    <w:rsid w:val="00650541"/>
    <w:rsid w:val="00650643"/>
    <w:rsid w:val="00650C77"/>
    <w:rsid w:val="006511DB"/>
    <w:rsid w:val="00651284"/>
    <w:rsid w:val="00651685"/>
    <w:rsid w:val="00651D9F"/>
    <w:rsid w:val="006520F0"/>
    <w:rsid w:val="00652BB3"/>
    <w:rsid w:val="00654063"/>
    <w:rsid w:val="00654390"/>
    <w:rsid w:val="00654989"/>
    <w:rsid w:val="00654DF9"/>
    <w:rsid w:val="00655917"/>
    <w:rsid w:val="0065622E"/>
    <w:rsid w:val="006632E7"/>
    <w:rsid w:val="00663328"/>
    <w:rsid w:val="006633E6"/>
    <w:rsid w:val="006638A4"/>
    <w:rsid w:val="0066395F"/>
    <w:rsid w:val="00664C9E"/>
    <w:rsid w:val="00665AF1"/>
    <w:rsid w:val="00665DBC"/>
    <w:rsid w:val="006661A1"/>
    <w:rsid w:val="00666455"/>
    <w:rsid w:val="006666FE"/>
    <w:rsid w:val="00667899"/>
    <w:rsid w:val="006703EB"/>
    <w:rsid w:val="00670BB3"/>
    <w:rsid w:val="00670F0E"/>
    <w:rsid w:val="0067186B"/>
    <w:rsid w:val="006728C3"/>
    <w:rsid w:val="00672AD5"/>
    <w:rsid w:val="006735F4"/>
    <w:rsid w:val="00673B31"/>
    <w:rsid w:val="00673BE8"/>
    <w:rsid w:val="00674586"/>
    <w:rsid w:val="00674BA4"/>
    <w:rsid w:val="00676A92"/>
    <w:rsid w:val="0067759C"/>
    <w:rsid w:val="006805F1"/>
    <w:rsid w:val="00680EE3"/>
    <w:rsid w:val="006815E4"/>
    <w:rsid w:val="006819B3"/>
    <w:rsid w:val="00682A27"/>
    <w:rsid w:val="00682AD4"/>
    <w:rsid w:val="00682F15"/>
    <w:rsid w:val="00685DBD"/>
    <w:rsid w:val="0068689E"/>
    <w:rsid w:val="00687324"/>
    <w:rsid w:val="00690757"/>
    <w:rsid w:val="00691703"/>
    <w:rsid w:val="00691831"/>
    <w:rsid w:val="00693B2D"/>
    <w:rsid w:val="00693F0B"/>
    <w:rsid w:val="00694372"/>
    <w:rsid w:val="00694CF4"/>
    <w:rsid w:val="0069595D"/>
    <w:rsid w:val="00696076"/>
    <w:rsid w:val="00697862"/>
    <w:rsid w:val="006A01ED"/>
    <w:rsid w:val="006A0672"/>
    <w:rsid w:val="006A1320"/>
    <w:rsid w:val="006A13B4"/>
    <w:rsid w:val="006A1A18"/>
    <w:rsid w:val="006A3718"/>
    <w:rsid w:val="006A3C9A"/>
    <w:rsid w:val="006A425D"/>
    <w:rsid w:val="006A5AB2"/>
    <w:rsid w:val="006A62BE"/>
    <w:rsid w:val="006A62ED"/>
    <w:rsid w:val="006B0463"/>
    <w:rsid w:val="006B0618"/>
    <w:rsid w:val="006B07F6"/>
    <w:rsid w:val="006B081E"/>
    <w:rsid w:val="006B0F83"/>
    <w:rsid w:val="006B124E"/>
    <w:rsid w:val="006B16DD"/>
    <w:rsid w:val="006B1CD4"/>
    <w:rsid w:val="006B2743"/>
    <w:rsid w:val="006B30AF"/>
    <w:rsid w:val="006B33ED"/>
    <w:rsid w:val="006B42A8"/>
    <w:rsid w:val="006B4AFF"/>
    <w:rsid w:val="006B6225"/>
    <w:rsid w:val="006B7355"/>
    <w:rsid w:val="006B7963"/>
    <w:rsid w:val="006C0178"/>
    <w:rsid w:val="006C0717"/>
    <w:rsid w:val="006C0E59"/>
    <w:rsid w:val="006C1053"/>
    <w:rsid w:val="006C12D8"/>
    <w:rsid w:val="006C15A3"/>
    <w:rsid w:val="006C212F"/>
    <w:rsid w:val="006C2548"/>
    <w:rsid w:val="006C26E9"/>
    <w:rsid w:val="006C2EB4"/>
    <w:rsid w:val="006C38D9"/>
    <w:rsid w:val="006C498C"/>
    <w:rsid w:val="006C4A57"/>
    <w:rsid w:val="006C4D1D"/>
    <w:rsid w:val="006C53B0"/>
    <w:rsid w:val="006C57F0"/>
    <w:rsid w:val="006C60CC"/>
    <w:rsid w:val="006C64D9"/>
    <w:rsid w:val="006C66CC"/>
    <w:rsid w:val="006C694D"/>
    <w:rsid w:val="006C6AC6"/>
    <w:rsid w:val="006C6F04"/>
    <w:rsid w:val="006C72A3"/>
    <w:rsid w:val="006C7595"/>
    <w:rsid w:val="006C780D"/>
    <w:rsid w:val="006D0036"/>
    <w:rsid w:val="006D054E"/>
    <w:rsid w:val="006D0DCE"/>
    <w:rsid w:val="006D11A4"/>
    <w:rsid w:val="006D1C72"/>
    <w:rsid w:val="006D2A58"/>
    <w:rsid w:val="006D2E94"/>
    <w:rsid w:val="006D4FAE"/>
    <w:rsid w:val="006D52C6"/>
    <w:rsid w:val="006D543B"/>
    <w:rsid w:val="006D5C09"/>
    <w:rsid w:val="006D5D2E"/>
    <w:rsid w:val="006D5F8B"/>
    <w:rsid w:val="006D63C6"/>
    <w:rsid w:val="006D6B2C"/>
    <w:rsid w:val="006D6B9F"/>
    <w:rsid w:val="006E15AE"/>
    <w:rsid w:val="006E18A0"/>
    <w:rsid w:val="006E19FB"/>
    <w:rsid w:val="006E1BB6"/>
    <w:rsid w:val="006E1E03"/>
    <w:rsid w:val="006E2B7D"/>
    <w:rsid w:val="006E2C21"/>
    <w:rsid w:val="006E3194"/>
    <w:rsid w:val="006E3752"/>
    <w:rsid w:val="006E3C26"/>
    <w:rsid w:val="006E4DBA"/>
    <w:rsid w:val="006E5FA1"/>
    <w:rsid w:val="006E6C66"/>
    <w:rsid w:val="006F026C"/>
    <w:rsid w:val="006F104A"/>
    <w:rsid w:val="006F15BD"/>
    <w:rsid w:val="006F210C"/>
    <w:rsid w:val="006F2165"/>
    <w:rsid w:val="006F2591"/>
    <w:rsid w:val="006F4CBF"/>
    <w:rsid w:val="006F4E92"/>
    <w:rsid w:val="006F4F59"/>
    <w:rsid w:val="006F6CB1"/>
    <w:rsid w:val="006F7994"/>
    <w:rsid w:val="00700608"/>
    <w:rsid w:val="00701F81"/>
    <w:rsid w:val="00703224"/>
    <w:rsid w:val="00703AFA"/>
    <w:rsid w:val="00704532"/>
    <w:rsid w:val="00704636"/>
    <w:rsid w:val="00704716"/>
    <w:rsid w:val="007051A5"/>
    <w:rsid w:val="00705E51"/>
    <w:rsid w:val="007069BE"/>
    <w:rsid w:val="00706E16"/>
    <w:rsid w:val="00706E67"/>
    <w:rsid w:val="00707166"/>
    <w:rsid w:val="00710395"/>
    <w:rsid w:val="007107F9"/>
    <w:rsid w:val="00710C90"/>
    <w:rsid w:val="0071159D"/>
    <w:rsid w:val="00711D65"/>
    <w:rsid w:val="00713BF8"/>
    <w:rsid w:val="0071445E"/>
    <w:rsid w:val="00715347"/>
    <w:rsid w:val="00715C66"/>
    <w:rsid w:val="00715E17"/>
    <w:rsid w:val="00716BAB"/>
    <w:rsid w:val="00717B82"/>
    <w:rsid w:val="0072157D"/>
    <w:rsid w:val="00721812"/>
    <w:rsid w:val="00721CD4"/>
    <w:rsid w:val="0072428B"/>
    <w:rsid w:val="00724311"/>
    <w:rsid w:val="00724FBB"/>
    <w:rsid w:val="00726C21"/>
    <w:rsid w:val="00727A88"/>
    <w:rsid w:val="007306B8"/>
    <w:rsid w:val="00731B2E"/>
    <w:rsid w:val="00731FC0"/>
    <w:rsid w:val="00732138"/>
    <w:rsid w:val="0073316F"/>
    <w:rsid w:val="007338D8"/>
    <w:rsid w:val="00734E8B"/>
    <w:rsid w:val="0073543F"/>
    <w:rsid w:val="007357AA"/>
    <w:rsid w:val="00735C1D"/>
    <w:rsid w:val="00735DCA"/>
    <w:rsid w:val="007364CC"/>
    <w:rsid w:val="007364FD"/>
    <w:rsid w:val="007371B7"/>
    <w:rsid w:val="007372C8"/>
    <w:rsid w:val="007374E8"/>
    <w:rsid w:val="00740028"/>
    <w:rsid w:val="007404AC"/>
    <w:rsid w:val="007405B1"/>
    <w:rsid w:val="00741343"/>
    <w:rsid w:val="00741593"/>
    <w:rsid w:val="007425AF"/>
    <w:rsid w:val="00742A41"/>
    <w:rsid w:val="00742D2B"/>
    <w:rsid w:val="00742D5B"/>
    <w:rsid w:val="00742DA0"/>
    <w:rsid w:val="0074322C"/>
    <w:rsid w:val="0074347B"/>
    <w:rsid w:val="00743489"/>
    <w:rsid w:val="00744857"/>
    <w:rsid w:val="00744B85"/>
    <w:rsid w:val="00745BED"/>
    <w:rsid w:val="007466C0"/>
    <w:rsid w:val="007474AB"/>
    <w:rsid w:val="007479B5"/>
    <w:rsid w:val="00747EE3"/>
    <w:rsid w:val="00750821"/>
    <w:rsid w:val="00751236"/>
    <w:rsid w:val="00751408"/>
    <w:rsid w:val="0075176C"/>
    <w:rsid w:val="0075227D"/>
    <w:rsid w:val="007526EB"/>
    <w:rsid w:val="00753754"/>
    <w:rsid w:val="00754391"/>
    <w:rsid w:val="00754BFA"/>
    <w:rsid w:val="00755059"/>
    <w:rsid w:val="0075594A"/>
    <w:rsid w:val="0075703D"/>
    <w:rsid w:val="00757CFC"/>
    <w:rsid w:val="0076148F"/>
    <w:rsid w:val="00762450"/>
    <w:rsid w:val="00762913"/>
    <w:rsid w:val="00762E85"/>
    <w:rsid w:val="00762F1E"/>
    <w:rsid w:val="00763E37"/>
    <w:rsid w:val="00764C0E"/>
    <w:rsid w:val="00766441"/>
    <w:rsid w:val="00766AAF"/>
    <w:rsid w:val="00766E40"/>
    <w:rsid w:val="00766F41"/>
    <w:rsid w:val="0076733B"/>
    <w:rsid w:val="0076734E"/>
    <w:rsid w:val="007703B5"/>
    <w:rsid w:val="0077053A"/>
    <w:rsid w:val="007721CD"/>
    <w:rsid w:val="00773395"/>
    <w:rsid w:val="00773546"/>
    <w:rsid w:val="0077469C"/>
    <w:rsid w:val="00775C63"/>
    <w:rsid w:val="00776E58"/>
    <w:rsid w:val="007773F6"/>
    <w:rsid w:val="00780037"/>
    <w:rsid w:val="007821AC"/>
    <w:rsid w:val="00782256"/>
    <w:rsid w:val="0078245B"/>
    <w:rsid w:val="00782D51"/>
    <w:rsid w:val="00782E8E"/>
    <w:rsid w:val="00783DE5"/>
    <w:rsid w:val="0078412D"/>
    <w:rsid w:val="00784A3F"/>
    <w:rsid w:val="00784A69"/>
    <w:rsid w:val="00784B46"/>
    <w:rsid w:val="00784C04"/>
    <w:rsid w:val="0078552F"/>
    <w:rsid w:val="00786AE3"/>
    <w:rsid w:val="00787A30"/>
    <w:rsid w:val="00790D34"/>
    <w:rsid w:val="00790E87"/>
    <w:rsid w:val="0079311A"/>
    <w:rsid w:val="007944C3"/>
    <w:rsid w:val="00794F2C"/>
    <w:rsid w:val="007959DE"/>
    <w:rsid w:val="00795FBC"/>
    <w:rsid w:val="0079707D"/>
    <w:rsid w:val="007971C7"/>
    <w:rsid w:val="007975AB"/>
    <w:rsid w:val="007A1575"/>
    <w:rsid w:val="007A2306"/>
    <w:rsid w:val="007A26FD"/>
    <w:rsid w:val="007A2DA6"/>
    <w:rsid w:val="007A36EE"/>
    <w:rsid w:val="007A3C73"/>
    <w:rsid w:val="007A4222"/>
    <w:rsid w:val="007A50EC"/>
    <w:rsid w:val="007A577A"/>
    <w:rsid w:val="007A5C17"/>
    <w:rsid w:val="007A6202"/>
    <w:rsid w:val="007A67C4"/>
    <w:rsid w:val="007A79AC"/>
    <w:rsid w:val="007A7B56"/>
    <w:rsid w:val="007B0AF0"/>
    <w:rsid w:val="007B0FA7"/>
    <w:rsid w:val="007B1B18"/>
    <w:rsid w:val="007B2293"/>
    <w:rsid w:val="007B262D"/>
    <w:rsid w:val="007B3C95"/>
    <w:rsid w:val="007B5285"/>
    <w:rsid w:val="007B5BF4"/>
    <w:rsid w:val="007B69E8"/>
    <w:rsid w:val="007B6D00"/>
    <w:rsid w:val="007B7CC7"/>
    <w:rsid w:val="007C0242"/>
    <w:rsid w:val="007C0E87"/>
    <w:rsid w:val="007C1F81"/>
    <w:rsid w:val="007C3170"/>
    <w:rsid w:val="007C36F5"/>
    <w:rsid w:val="007C3AAD"/>
    <w:rsid w:val="007C4DCE"/>
    <w:rsid w:val="007C5148"/>
    <w:rsid w:val="007C57B7"/>
    <w:rsid w:val="007C5A1E"/>
    <w:rsid w:val="007C6609"/>
    <w:rsid w:val="007C6939"/>
    <w:rsid w:val="007C69C6"/>
    <w:rsid w:val="007C6F3C"/>
    <w:rsid w:val="007C74BA"/>
    <w:rsid w:val="007C7D62"/>
    <w:rsid w:val="007D0DD9"/>
    <w:rsid w:val="007D29AF"/>
    <w:rsid w:val="007D3416"/>
    <w:rsid w:val="007D38E7"/>
    <w:rsid w:val="007D3A5C"/>
    <w:rsid w:val="007D46CE"/>
    <w:rsid w:val="007D4B22"/>
    <w:rsid w:val="007D5CC8"/>
    <w:rsid w:val="007D6333"/>
    <w:rsid w:val="007D693C"/>
    <w:rsid w:val="007D7117"/>
    <w:rsid w:val="007D76D3"/>
    <w:rsid w:val="007D7A3F"/>
    <w:rsid w:val="007E0557"/>
    <w:rsid w:val="007E0673"/>
    <w:rsid w:val="007E0BCC"/>
    <w:rsid w:val="007E0E86"/>
    <w:rsid w:val="007E12D9"/>
    <w:rsid w:val="007E250A"/>
    <w:rsid w:val="007E26A6"/>
    <w:rsid w:val="007E2CA5"/>
    <w:rsid w:val="007E2EB3"/>
    <w:rsid w:val="007E3443"/>
    <w:rsid w:val="007E4E90"/>
    <w:rsid w:val="007E5800"/>
    <w:rsid w:val="007E5BA2"/>
    <w:rsid w:val="007E66E1"/>
    <w:rsid w:val="007E6E3A"/>
    <w:rsid w:val="007E6F55"/>
    <w:rsid w:val="007E745D"/>
    <w:rsid w:val="007E75F8"/>
    <w:rsid w:val="007E7753"/>
    <w:rsid w:val="007E77C1"/>
    <w:rsid w:val="007F1176"/>
    <w:rsid w:val="007F141E"/>
    <w:rsid w:val="007F1E0B"/>
    <w:rsid w:val="007F28D5"/>
    <w:rsid w:val="007F2A00"/>
    <w:rsid w:val="007F2FEE"/>
    <w:rsid w:val="007F3C32"/>
    <w:rsid w:val="007F6F0E"/>
    <w:rsid w:val="007F70F3"/>
    <w:rsid w:val="007F7608"/>
    <w:rsid w:val="007F7C2E"/>
    <w:rsid w:val="00801665"/>
    <w:rsid w:val="00802104"/>
    <w:rsid w:val="0080298E"/>
    <w:rsid w:val="008033A6"/>
    <w:rsid w:val="00805C85"/>
    <w:rsid w:val="00805E11"/>
    <w:rsid w:val="00806661"/>
    <w:rsid w:val="008070C9"/>
    <w:rsid w:val="0080753C"/>
    <w:rsid w:val="00807E02"/>
    <w:rsid w:val="008100AC"/>
    <w:rsid w:val="008105DB"/>
    <w:rsid w:val="0081070B"/>
    <w:rsid w:val="0081205F"/>
    <w:rsid w:val="008125C8"/>
    <w:rsid w:val="008132E8"/>
    <w:rsid w:val="00813913"/>
    <w:rsid w:val="00813F93"/>
    <w:rsid w:val="00815DFA"/>
    <w:rsid w:val="00817820"/>
    <w:rsid w:val="008208CC"/>
    <w:rsid w:val="00820C4A"/>
    <w:rsid w:val="00820FBF"/>
    <w:rsid w:val="00821094"/>
    <w:rsid w:val="00821722"/>
    <w:rsid w:val="00821A1A"/>
    <w:rsid w:val="00821B8B"/>
    <w:rsid w:val="00821DF0"/>
    <w:rsid w:val="00821FB2"/>
    <w:rsid w:val="00823935"/>
    <w:rsid w:val="00826262"/>
    <w:rsid w:val="008266A1"/>
    <w:rsid w:val="00826B75"/>
    <w:rsid w:val="0082781A"/>
    <w:rsid w:val="008300FA"/>
    <w:rsid w:val="00830971"/>
    <w:rsid w:val="008310C9"/>
    <w:rsid w:val="00831670"/>
    <w:rsid w:val="00833315"/>
    <w:rsid w:val="008337F6"/>
    <w:rsid w:val="00833DDD"/>
    <w:rsid w:val="00836613"/>
    <w:rsid w:val="008405C6"/>
    <w:rsid w:val="00840975"/>
    <w:rsid w:val="00840AC8"/>
    <w:rsid w:val="00843242"/>
    <w:rsid w:val="00843815"/>
    <w:rsid w:val="0084381F"/>
    <w:rsid w:val="00843C1C"/>
    <w:rsid w:val="00844529"/>
    <w:rsid w:val="00844E57"/>
    <w:rsid w:val="00845C78"/>
    <w:rsid w:val="00846125"/>
    <w:rsid w:val="008461E8"/>
    <w:rsid w:val="00846855"/>
    <w:rsid w:val="00847002"/>
    <w:rsid w:val="0084703B"/>
    <w:rsid w:val="008474A3"/>
    <w:rsid w:val="00847518"/>
    <w:rsid w:val="00847849"/>
    <w:rsid w:val="00847E80"/>
    <w:rsid w:val="0085026F"/>
    <w:rsid w:val="00850909"/>
    <w:rsid w:val="00850B71"/>
    <w:rsid w:val="00850FE4"/>
    <w:rsid w:val="00851164"/>
    <w:rsid w:val="008518E6"/>
    <w:rsid w:val="00851A31"/>
    <w:rsid w:val="00851BF3"/>
    <w:rsid w:val="00852A9C"/>
    <w:rsid w:val="0085388A"/>
    <w:rsid w:val="00854913"/>
    <w:rsid w:val="008556F8"/>
    <w:rsid w:val="008563F5"/>
    <w:rsid w:val="008566DB"/>
    <w:rsid w:val="008578AB"/>
    <w:rsid w:val="00860090"/>
    <w:rsid w:val="00860BEC"/>
    <w:rsid w:val="00860C1E"/>
    <w:rsid w:val="00861340"/>
    <w:rsid w:val="008613C7"/>
    <w:rsid w:val="00861573"/>
    <w:rsid w:val="00862B04"/>
    <w:rsid w:val="008643B1"/>
    <w:rsid w:val="00864DC5"/>
    <w:rsid w:val="00865446"/>
    <w:rsid w:val="008661D5"/>
    <w:rsid w:val="00866351"/>
    <w:rsid w:val="008664B3"/>
    <w:rsid w:val="00871113"/>
    <w:rsid w:val="0087141D"/>
    <w:rsid w:val="008720AE"/>
    <w:rsid w:val="008727B2"/>
    <w:rsid w:val="00872831"/>
    <w:rsid w:val="00872D75"/>
    <w:rsid w:val="008742B9"/>
    <w:rsid w:val="00874745"/>
    <w:rsid w:val="00874D4B"/>
    <w:rsid w:val="008751BF"/>
    <w:rsid w:val="00875667"/>
    <w:rsid w:val="0087666A"/>
    <w:rsid w:val="00876CAC"/>
    <w:rsid w:val="00877242"/>
    <w:rsid w:val="00877A95"/>
    <w:rsid w:val="00877E43"/>
    <w:rsid w:val="00880187"/>
    <w:rsid w:val="008805C7"/>
    <w:rsid w:val="00880CBA"/>
    <w:rsid w:val="00881107"/>
    <w:rsid w:val="00881712"/>
    <w:rsid w:val="00881861"/>
    <w:rsid w:val="00881893"/>
    <w:rsid w:val="008823B4"/>
    <w:rsid w:val="00883EBA"/>
    <w:rsid w:val="008848EE"/>
    <w:rsid w:val="008856D9"/>
    <w:rsid w:val="0088615C"/>
    <w:rsid w:val="0089046E"/>
    <w:rsid w:val="008906D1"/>
    <w:rsid w:val="008923FE"/>
    <w:rsid w:val="00892A59"/>
    <w:rsid w:val="008931B0"/>
    <w:rsid w:val="008934FD"/>
    <w:rsid w:val="00893F62"/>
    <w:rsid w:val="00895133"/>
    <w:rsid w:val="0089597B"/>
    <w:rsid w:val="00895E84"/>
    <w:rsid w:val="00896549"/>
    <w:rsid w:val="00896C59"/>
    <w:rsid w:val="008973FE"/>
    <w:rsid w:val="00897E2E"/>
    <w:rsid w:val="008A06B6"/>
    <w:rsid w:val="008A0E73"/>
    <w:rsid w:val="008A123C"/>
    <w:rsid w:val="008A14F8"/>
    <w:rsid w:val="008A458F"/>
    <w:rsid w:val="008A5FAB"/>
    <w:rsid w:val="008B221C"/>
    <w:rsid w:val="008B2A38"/>
    <w:rsid w:val="008B3C25"/>
    <w:rsid w:val="008B5E6F"/>
    <w:rsid w:val="008B60B4"/>
    <w:rsid w:val="008B626E"/>
    <w:rsid w:val="008B7B46"/>
    <w:rsid w:val="008C0373"/>
    <w:rsid w:val="008C084C"/>
    <w:rsid w:val="008C0D90"/>
    <w:rsid w:val="008C0E68"/>
    <w:rsid w:val="008C1877"/>
    <w:rsid w:val="008C1D17"/>
    <w:rsid w:val="008C21C3"/>
    <w:rsid w:val="008C21F8"/>
    <w:rsid w:val="008C3131"/>
    <w:rsid w:val="008C3CE7"/>
    <w:rsid w:val="008C3E23"/>
    <w:rsid w:val="008C4006"/>
    <w:rsid w:val="008C54FF"/>
    <w:rsid w:val="008C5AB4"/>
    <w:rsid w:val="008C5F56"/>
    <w:rsid w:val="008C6160"/>
    <w:rsid w:val="008C6361"/>
    <w:rsid w:val="008C6687"/>
    <w:rsid w:val="008C6796"/>
    <w:rsid w:val="008C6BBC"/>
    <w:rsid w:val="008C6EA3"/>
    <w:rsid w:val="008D07F0"/>
    <w:rsid w:val="008D0FEC"/>
    <w:rsid w:val="008D2154"/>
    <w:rsid w:val="008D2B9F"/>
    <w:rsid w:val="008D2F1D"/>
    <w:rsid w:val="008D3076"/>
    <w:rsid w:val="008D3450"/>
    <w:rsid w:val="008D3567"/>
    <w:rsid w:val="008D3798"/>
    <w:rsid w:val="008D5513"/>
    <w:rsid w:val="008D5F0C"/>
    <w:rsid w:val="008D6049"/>
    <w:rsid w:val="008D741B"/>
    <w:rsid w:val="008E0789"/>
    <w:rsid w:val="008E1785"/>
    <w:rsid w:val="008E17A4"/>
    <w:rsid w:val="008E1A94"/>
    <w:rsid w:val="008E1FFC"/>
    <w:rsid w:val="008E26A9"/>
    <w:rsid w:val="008E26CC"/>
    <w:rsid w:val="008E2CB8"/>
    <w:rsid w:val="008E3324"/>
    <w:rsid w:val="008E35BB"/>
    <w:rsid w:val="008E494D"/>
    <w:rsid w:val="008E49CE"/>
    <w:rsid w:val="008E4E89"/>
    <w:rsid w:val="008E50BF"/>
    <w:rsid w:val="008E56F0"/>
    <w:rsid w:val="008E5A11"/>
    <w:rsid w:val="008E6462"/>
    <w:rsid w:val="008E6EE0"/>
    <w:rsid w:val="008E7437"/>
    <w:rsid w:val="008E748B"/>
    <w:rsid w:val="008E7A27"/>
    <w:rsid w:val="008F0F5B"/>
    <w:rsid w:val="008F195E"/>
    <w:rsid w:val="008F2328"/>
    <w:rsid w:val="008F3F97"/>
    <w:rsid w:val="008F4095"/>
    <w:rsid w:val="008F4721"/>
    <w:rsid w:val="008F61BF"/>
    <w:rsid w:val="008F66F4"/>
    <w:rsid w:val="008F7618"/>
    <w:rsid w:val="008F7C52"/>
    <w:rsid w:val="00900FCD"/>
    <w:rsid w:val="00901B2E"/>
    <w:rsid w:val="00902056"/>
    <w:rsid w:val="0090227F"/>
    <w:rsid w:val="00903989"/>
    <w:rsid w:val="00903F7D"/>
    <w:rsid w:val="00904B8A"/>
    <w:rsid w:val="009059CC"/>
    <w:rsid w:val="00905DC4"/>
    <w:rsid w:val="00906993"/>
    <w:rsid w:val="00910E95"/>
    <w:rsid w:val="0091300C"/>
    <w:rsid w:val="009145E3"/>
    <w:rsid w:val="00915348"/>
    <w:rsid w:val="0091542A"/>
    <w:rsid w:val="00915AF6"/>
    <w:rsid w:val="00915D7E"/>
    <w:rsid w:val="009161CE"/>
    <w:rsid w:val="00916C9D"/>
    <w:rsid w:val="00917614"/>
    <w:rsid w:val="00917637"/>
    <w:rsid w:val="00917709"/>
    <w:rsid w:val="00917C41"/>
    <w:rsid w:val="00921CFB"/>
    <w:rsid w:val="00922213"/>
    <w:rsid w:val="009227C3"/>
    <w:rsid w:val="00922837"/>
    <w:rsid w:val="009232A2"/>
    <w:rsid w:val="00924201"/>
    <w:rsid w:val="00924C53"/>
    <w:rsid w:val="00925B82"/>
    <w:rsid w:val="00927037"/>
    <w:rsid w:val="0093041F"/>
    <w:rsid w:val="009308D3"/>
    <w:rsid w:val="0093106C"/>
    <w:rsid w:val="009310FE"/>
    <w:rsid w:val="0093131D"/>
    <w:rsid w:val="009315B1"/>
    <w:rsid w:val="00931694"/>
    <w:rsid w:val="00932460"/>
    <w:rsid w:val="00933108"/>
    <w:rsid w:val="00934D24"/>
    <w:rsid w:val="009351C9"/>
    <w:rsid w:val="00935E2C"/>
    <w:rsid w:val="00936148"/>
    <w:rsid w:val="009364CD"/>
    <w:rsid w:val="00937392"/>
    <w:rsid w:val="00937394"/>
    <w:rsid w:val="00937909"/>
    <w:rsid w:val="00940A7A"/>
    <w:rsid w:val="00941AAA"/>
    <w:rsid w:val="00942311"/>
    <w:rsid w:val="00944E1E"/>
    <w:rsid w:val="00946884"/>
    <w:rsid w:val="009468D0"/>
    <w:rsid w:val="009478F0"/>
    <w:rsid w:val="009517E5"/>
    <w:rsid w:val="00952228"/>
    <w:rsid w:val="00952C31"/>
    <w:rsid w:val="00956C1F"/>
    <w:rsid w:val="00957DBE"/>
    <w:rsid w:val="009603EF"/>
    <w:rsid w:val="009605E3"/>
    <w:rsid w:val="00962832"/>
    <w:rsid w:val="009630FF"/>
    <w:rsid w:val="00963201"/>
    <w:rsid w:val="00963342"/>
    <w:rsid w:val="009653EC"/>
    <w:rsid w:val="009702BF"/>
    <w:rsid w:val="00970A1E"/>
    <w:rsid w:val="009711CE"/>
    <w:rsid w:val="0097126D"/>
    <w:rsid w:val="009712FC"/>
    <w:rsid w:val="0097185C"/>
    <w:rsid w:val="00971DAE"/>
    <w:rsid w:val="0097205B"/>
    <w:rsid w:val="009729BF"/>
    <w:rsid w:val="0097317E"/>
    <w:rsid w:val="00973180"/>
    <w:rsid w:val="009738F2"/>
    <w:rsid w:val="00973AD7"/>
    <w:rsid w:val="00974989"/>
    <w:rsid w:val="00974B76"/>
    <w:rsid w:val="00975689"/>
    <w:rsid w:val="0097570F"/>
    <w:rsid w:val="00975A51"/>
    <w:rsid w:val="00976F1B"/>
    <w:rsid w:val="00977293"/>
    <w:rsid w:val="009779C3"/>
    <w:rsid w:val="009779E5"/>
    <w:rsid w:val="00981333"/>
    <w:rsid w:val="009820C6"/>
    <w:rsid w:val="00982BBE"/>
    <w:rsid w:val="00983406"/>
    <w:rsid w:val="00983DE2"/>
    <w:rsid w:val="00984604"/>
    <w:rsid w:val="00984644"/>
    <w:rsid w:val="00984D79"/>
    <w:rsid w:val="00986B61"/>
    <w:rsid w:val="00986C33"/>
    <w:rsid w:val="00986C91"/>
    <w:rsid w:val="00986DCC"/>
    <w:rsid w:val="00987CDE"/>
    <w:rsid w:val="00990067"/>
    <w:rsid w:val="00990122"/>
    <w:rsid w:val="0099052A"/>
    <w:rsid w:val="009917F0"/>
    <w:rsid w:val="0099226F"/>
    <w:rsid w:val="00992F57"/>
    <w:rsid w:val="00994B26"/>
    <w:rsid w:val="00994B5D"/>
    <w:rsid w:val="009953D7"/>
    <w:rsid w:val="00996C9B"/>
    <w:rsid w:val="00997620"/>
    <w:rsid w:val="0099762B"/>
    <w:rsid w:val="009978C0"/>
    <w:rsid w:val="00997A66"/>
    <w:rsid w:val="00997FF7"/>
    <w:rsid w:val="009A0BD7"/>
    <w:rsid w:val="009A0E86"/>
    <w:rsid w:val="009A1E12"/>
    <w:rsid w:val="009A2411"/>
    <w:rsid w:val="009A47AC"/>
    <w:rsid w:val="009A5007"/>
    <w:rsid w:val="009A6200"/>
    <w:rsid w:val="009A6F2E"/>
    <w:rsid w:val="009A7613"/>
    <w:rsid w:val="009B06C4"/>
    <w:rsid w:val="009B1799"/>
    <w:rsid w:val="009B2AA6"/>
    <w:rsid w:val="009B40FE"/>
    <w:rsid w:val="009B4B5E"/>
    <w:rsid w:val="009B4BA8"/>
    <w:rsid w:val="009B4CB6"/>
    <w:rsid w:val="009B578E"/>
    <w:rsid w:val="009B6B8E"/>
    <w:rsid w:val="009B7487"/>
    <w:rsid w:val="009C08BC"/>
    <w:rsid w:val="009C0B33"/>
    <w:rsid w:val="009C168C"/>
    <w:rsid w:val="009C1917"/>
    <w:rsid w:val="009C3D0F"/>
    <w:rsid w:val="009C497A"/>
    <w:rsid w:val="009C5261"/>
    <w:rsid w:val="009C5387"/>
    <w:rsid w:val="009C5687"/>
    <w:rsid w:val="009C5B4E"/>
    <w:rsid w:val="009C6DB7"/>
    <w:rsid w:val="009D10A4"/>
    <w:rsid w:val="009D279F"/>
    <w:rsid w:val="009D3A1D"/>
    <w:rsid w:val="009D3BB9"/>
    <w:rsid w:val="009D4A8D"/>
    <w:rsid w:val="009D602B"/>
    <w:rsid w:val="009D659A"/>
    <w:rsid w:val="009D7063"/>
    <w:rsid w:val="009D7F66"/>
    <w:rsid w:val="009E08AB"/>
    <w:rsid w:val="009E11C5"/>
    <w:rsid w:val="009E1218"/>
    <w:rsid w:val="009E1552"/>
    <w:rsid w:val="009E2ADD"/>
    <w:rsid w:val="009E2C22"/>
    <w:rsid w:val="009E2EEE"/>
    <w:rsid w:val="009E30F7"/>
    <w:rsid w:val="009E6DE6"/>
    <w:rsid w:val="009E7188"/>
    <w:rsid w:val="009E7EFC"/>
    <w:rsid w:val="009F0C0B"/>
    <w:rsid w:val="009F0F83"/>
    <w:rsid w:val="009F25AC"/>
    <w:rsid w:val="009F269F"/>
    <w:rsid w:val="009F2CB7"/>
    <w:rsid w:val="009F3568"/>
    <w:rsid w:val="009F36F0"/>
    <w:rsid w:val="009F5851"/>
    <w:rsid w:val="009F598D"/>
    <w:rsid w:val="009F6439"/>
    <w:rsid w:val="009F6EA8"/>
    <w:rsid w:val="009F6F79"/>
    <w:rsid w:val="009F7A2F"/>
    <w:rsid w:val="009F7C97"/>
    <w:rsid w:val="00A00723"/>
    <w:rsid w:val="00A01892"/>
    <w:rsid w:val="00A01966"/>
    <w:rsid w:val="00A02385"/>
    <w:rsid w:val="00A02524"/>
    <w:rsid w:val="00A047C9"/>
    <w:rsid w:val="00A0558B"/>
    <w:rsid w:val="00A05BE2"/>
    <w:rsid w:val="00A07C66"/>
    <w:rsid w:val="00A1145E"/>
    <w:rsid w:val="00A11776"/>
    <w:rsid w:val="00A15353"/>
    <w:rsid w:val="00A1585C"/>
    <w:rsid w:val="00A21E9B"/>
    <w:rsid w:val="00A22B65"/>
    <w:rsid w:val="00A22BB0"/>
    <w:rsid w:val="00A2307F"/>
    <w:rsid w:val="00A233A2"/>
    <w:rsid w:val="00A23449"/>
    <w:rsid w:val="00A25612"/>
    <w:rsid w:val="00A2569E"/>
    <w:rsid w:val="00A26698"/>
    <w:rsid w:val="00A26FAD"/>
    <w:rsid w:val="00A30125"/>
    <w:rsid w:val="00A304EE"/>
    <w:rsid w:val="00A3099B"/>
    <w:rsid w:val="00A30FE5"/>
    <w:rsid w:val="00A31502"/>
    <w:rsid w:val="00A31B76"/>
    <w:rsid w:val="00A31C3C"/>
    <w:rsid w:val="00A32C10"/>
    <w:rsid w:val="00A32CEF"/>
    <w:rsid w:val="00A344C1"/>
    <w:rsid w:val="00A347F4"/>
    <w:rsid w:val="00A35983"/>
    <w:rsid w:val="00A36010"/>
    <w:rsid w:val="00A36664"/>
    <w:rsid w:val="00A3686B"/>
    <w:rsid w:val="00A40552"/>
    <w:rsid w:val="00A405B6"/>
    <w:rsid w:val="00A4087F"/>
    <w:rsid w:val="00A40B85"/>
    <w:rsid w:val="00A414DE"/>
    <w:rsid w:val="00A417D3"/>
    <w:rsid w:val="00A42A5E"/>
    <w:rsid w:val="00A42E25"/>
    <w:rsid w:val="00A432F5"/>
    <w:rsid w:val="00A44B54"/>
    <w:rsid w:val="00A455B6"/>
    <w:rsid w:val="00A456DE"/>
    <w:rsid w:val="00A458FF"/>
    <w:rsid w:val="00A4666D"/>
    <w:rsid w:val="00A47C4E"/>
    <w:rsid w:val="00A47D2D"/>
    <w:rsid w:val="00A509E6"/>
    <w:rsid w:val="00A50A13"/>
    <w:rsid w:val="00A50A83"/>
    <w:rsid w:val="00A50C0E"/>
    <w:rsid w:val="00A50F3B"/>
    <w:rsid w:val="00A521EC"/>
    <w:rsid w:val="00A52970"/>
    <w:rsid w:val="00A53A41"/>
    <w:rsid w:val="00A54866"/>
    <w:rsid w:val="00A54A50"/>
    <w:rsid w:val="00A54C1B"/>
    <w:rsid w:val="00A55E0D"/>
    <w:rsid w:val="00A56199"/>
    <w:rsid w:val="00A57A23"/>
    <w:rsid w:val="00A60FA5"/>
    <w:rsid w:val="00A61C3D"/>
    <w:rsid w:val="00A62235"/>
    <w:rsid w:val="00A62861"/>
    <w:rsid w:val="00A63550"/>
    <w:rsid w:val="00A641F0"/>
    <w:rsid w:val="00A64326"/>
    <w:rsid w:val="00A651B6"/>
    <w:rsid w:val="00A6576C"/>
    <w:rsid w:val="00A65B9D"/>
    <w:rsid w:val="00A65CCD"/>
    <w:rsid w:val="00A66F63"/>
    <w:rsid w:val="00A67493"/>
    <w:rsid w:val="00A70848"/>
    <w:rsid w:val="00A70C6E"/>
    <w:rsid w:val="00A71092"/>
    <w:rsid w:val="00A7143A"/>
    <w:rsid w:val="00A72AC8"/>
    <w:rsid w:val="00A7363B"/>
    <w:rsid w:val="00A742A6"/>
    <w:rsid w:val="00A74772"/>
    <w:rsid w:val="00A7641E"/>
    <w:rsid w:val="00A775BB"/>
    <w:rsid w:val="00A77C52"/>
    <w:rsid w:val="00A802DB"/>
    <w:rsid w:val="00A805E8"/>
    <w:rsid w:val="00A81503"/>
    <w:rsid w:val="00A821FA"/>
    <w:rsid w:val="00A82B3F"/>
    <w:rsid w:val="00A84391"/>
    <w:rsid w:val="00A84A16"/>
    <w:rsid w:val="00A84EFC"/>
    <w:rsid w:val="00A8606C"/>
    <w:rsid w:val="00A86374"/>
    <w:rsid w:val="00A9077E"/>
    <w:rsid w:val="00A91252"/>
    <w:rsid w:val="00A914AC"/>
    <w:rsid w:val="00A91C02"/>
    <w:rsid w:val="00A92484"/>
    <w:rsid w:val="00A92E2E"/>
    <w:rsid w:val="00A9421D"/>
    <w:rsid w:val="00A96EEA"/>
    <w:rsid w:val="00A97B66"/>
    <w:rsid w:val="00AA0050"/>
    <w:rsid w:val="00AA0A0A"/>
    <w:rsid w:val="00AA0F20"/>
    <w:rsid w:val="00AA4095"/>
    <w:rsid w:val="00AA4213"/>
    <w:rsid w:val="00AA5E47"/>
    <w:rsid w:val="00AA61FF"/>
    <w:rsid w:val="00AA6BCA"/>
    <w:rsid w:val="00AB0120"/>
    <w:rsid w:val="00AB052B"/>
    <w:rsid w:val="00AB0E17"/>
    <w:rsid w:val="00AB213C"/>
    <w:rsid w:val="00AB2663"/>
    <w:rsid w:val="00AB4C6F"/>
    <w:rsid w:val="00AB4E2F"/>
    <w:rsid w:val="00AB6287"/>
    <w:rsid w:val="00AB64BD"/>
    <w:rsid w:val="00AB6962"/>
    <w:rsid w:val="00AB7914"/>
    <w:rsid w:val="00AC07D0"/>
    <w:rsid w:val="00AC0BA2"/>
    <w:rsid w:val="00AC139A"/>
    <w:rsid w:val="00AC17A1"/>
    <w:rsid w:val="00AC1A51"/>
    <w:rsid w:val="00AC1BEC"/>
    <w:rsid w:val="00AC1CFD"/>
    <w:rsid w:val="00AC2686"/>
    <w:rsid w:val="00AC36CA"/>
    <w:rsid w:val="00AC3851"/>
    <w:rsid w:val="00AC3DA7"/>
    <w:rsid w:val="00AC4F79"/>
    <w:rsid w:val="00AC5981"/>
    <w:rsid w:val="00AC62A7"/>
    <w:rsid w:val="00AC6ACF"/>
    <w:rsid w:val="00AC6B7A"/>
    <w:rsid w:val="00AD0CE8"/>
    <w:rsid w:val="00AD0F8A"/>
    <w:rsid w:val="00AD10F5"/>
    <w:rsid w:val="00AD1370"/>
    <w:rsid w:val="00AD28DB"/>
    <w:rsid w:val="00AD5E0E"/>
    <w:rsid w:val="00AD5E58"/>
    <w:rsid w:val="00AD696C"/>
    <w:rsid w:val="00AD69A7"/>
    <w:rsid w:val="00AD7AF9"/>
    <w:rsid w:val="00AD7E39"/>
    <w:rsid w:val="00AD7E7B"/>
    <w:rsid w:val="00AE01BC"/>
    <w:rsid w:val="00AE211C"/>
    <w:rsid w:val="00AE28E3"/>
    <w:rsid w:val="00AE3379"/>
    <w:rsid w:val="00AE3E7A"/>
    <w:rsid w:val="00AE4786"/>
    <w:rsid w:val="00AE58F1"/>
    <w:rsid w:val="00AF1402"/>
    <w:rsid w:val="00AF1790"/>
    <w:rsid w:val="00AF1F1D"/>
    <w:rsid w:val="00AF20DE"/>
    <w:rsid w:val="00AF272A"/>
    <w:rsid w:val="00AF3488"/>
    <w:rsid w:val="00AF366D"/>
    <w:rsid w:val="00AF4DB1"/>
    <w:rsid w:val="00B00DF5"/>
    <w:rsid w:val="00B00EB2"/>
    <w:rsid w:val="00B012E6"/>
    <w:rsid w:val="00B01BB1"/>
    <w:rsid w:val="00B029DC"/>
    <w:rsid w:val="00B02EB1"/>
    <w:rsid w:val="00B031FB"/>
    <w:rsid w:val="00B0363E"/>
    <w:rsid w:val="00B03B26"/>
    <w:rsid w:val="00B03D44"/>
    <w:rsid w:val="00B04328"/>
    <w:rsid w:val="00B0509F"/>
    <w:rsid w:val="00B056AB"/>
    <w:rsid w:val="00B0570B"/>
    <w:rsid w:val="00B05C46"/>
    <w:rsid w:val="00B0650E"/>
    <w:rsid w:val="00B066FF"/>
    <w:rsid w:val="00B067F6"/>
    <w:rsid w:val="00B0775F"/>
    <w:rsid w:val="00B078D6"/>
    <w:rsid w:val="00B101C7"/>
    <w:rsid w:val="00B10792"/>
    <w:rsid w:val="00B11C30"/>
    <w:rsid w:val="00B12A0D"/>
    <w:rsid w:val="00B135C3"/>
    <w:rsid w:val="00B13C8E"/>
    <w:rsid w:val="00B13CB5"/>
    <w:rsid w:val="00B1469D"/>
    <w:rsid w:val="00B151A5"/>
    <w:rsid w:val="00B15E9E"/>
    <w:rsid w:val="00B16255"/>
    <w:rsid w:val="00B16840"/>
    <w:rsid w:val="00B1696D"/>
    <w:rsid w:val="00B1705F"/>
    <w:rsid w:val="00B209AE"/>
    <w:rsid w:val="00B212FA"/>
    <w:rsid w:val="00B23703"/>
    <w:rsid w:val="00B23937"/>
    <w:rsid w:val="00B23BB5"/>
    <w:rsid w:val="00B23E80"/>
    <w:rsid w:val="00B259E5"/>
    <w:rsid w:val="00B25FD9"/>
    <w:rsid w:val="00B260BB"/>
    <w:rsid w:val="00B27561"/>
    <w:rsid w:val="00B27A24"/>
    <w:rsid w:val="00B30DD9"/>
    <w:rsid w:val="00B3175C"/>
    <w:rsid w:val="00B32EEF"/>
    <w:rsid w:val="00B34833"/>
    <w:rsid w:val="00B35F62"/>
    <w:rsid w:val="00B37567"/>
    <w:rsid w:val="00B40B58"/>
    <w:rsid w:val="00B41B18"/>
    <w:rsid w:val="00B428FD"/>
    <w:rsid w:val="00B43C5C"/>
    <w:rsid w:val="00B44978"/>
    <w:rsid w:val="00B44E2A"/>
    <w:rsid w:val="00B44FC4"/>
    <w:rsid w:val="00B45599"/>
    <w:rsid w:val="00B463EF"/>
    <w:rsid w:val="00B46ABE"/>
    <w:rsid w:val="00B47157"/>
    <w:rsid w:val="00B474B0"/>
    <w:rsid w:val="00B47EA3"/>
    <w:rsid w:val="00B50014"/>
    <w:rsid w:val="00B5064E"/>
    <w:rsid w:val="00B5200D"/>
    <w:rsid w:val="00B5240F"/>
    <w:rsid w:val="00B52DFD"/>
    <w:rsid w:val="00B5392E"/>
    <w:rsid w:val="00B549A8"/>
    <w:rsid w:val="00B55961"/>
    <w:rsid w:val="00B568EB"/>
    <w:rsid w:val="00B56B5D"/>
    <w:rsid w:val="00B57BC9"/>
    <w:rsid w:val="00B6047B"/>
    <w:rsid w:val="00B605A4"/>
    <w:rsid w:val="00B61F4E"/>
    <w:rsid w:val="00B624C7"/>
    <w:rsid w:val="00B63160"/>
    <w:rsid w:val="00B63AB4"/>
    <w:rsid w:val="00B648E8"/>
    <w:rsid w:val="00B65500"/>
    <w:rsid w:val="00B656EA"/>
    <w:rsid w:val="00B65EF7"/>
    <w:rsid w:val="00B67FCA"/>
    <w:rsid w:val="00B70260"/>
    <w:rsid w:val="00B7061A"/>
    <w:rsid w:val="00B70D14"/>
    <w:rsid w:val="00B74435"/>
    <w:rsid w:val="00B758AF"/>
    <w:rsid w:val="00B76223"/>
    <w:rsid w:val="00B7653C"/>
    <w:rsid w:val="00B7671C"/>
    <w:rsid w:val="00B76E45"/>
    <w:rsid w:val="00B773FA"/>
    <w:rsid w:val="00B7742B"/>
    <w:rsid w:val="00B779A3"/>
    <w:rsid w:val="00B77B25"/>
    <w:rsid w:val="00B80191"/>
    <w:rsid w:val="00B806B3"/>
    <w:rsid w:val="00B8229F"/>
    <w:rsid w:val="00B82736"/>
    <w:rsid w:val="00B82B8F"/>
    <w:rsid w:val="00B832B6"/>
    <w:rsid w:val="00B836CC"/>
    <w:rsid w:val="00B838FD"/>
    <w:rsid w:val="00B83A93"/>
    <w:rsid w:val="00B83B65"/>
    <w:rsid w:val="00B85C00"/>
    <w:rsid w:val="00B90F67"/>
    <w:rsid w:val="00B92EDD"/>
    <w:rsid w:val="00B95BB0"/>
    <w:rsid w:val="00B9612D"/>
    <w:rsid w:val="00B967F7"/>
    <w:rsid w:val="00B97A2B"/>
    <w:rsid w:val="00BA0742"/>
    <w:rsid w:val="00BA0914"/>
    <w:rsid w:val="00BA1AB4"/>
    <w:rsid w:val="00BA2A81"/>
    <w:rsid w:val="00BA2E05"/>
    <w:rsid w:val="00BA4ADE"/>
    <w:rsid w:val="00BA5039"/>
    <w:rsid w:val="00BA53B1"/>
    <w:rsid w:val="00BA5A51"/>
    <w:rsid w:val="00BA5CB3"/>
    <w:rsid w:val="00BA6748"/>
    <w:rsid w:val="00BA6B55"/>
    <w:rsid w:val="00BA712E"/>
    <w:rsid w:val="00BB0CB7"/>
    <w:rsid w:val="00BB1C1C"/>
    <w:rsid w:val="00BB1F98"/>
    <w:rsid w:val="00BB24D6"/>
    <w:rsid w:val="00BB2593"/>
    <w:rsid w:val="00BB2CE6"/>
    <w:rsid w:val="00BB2DE2"/>
    <w:rsid w:val="00BB5243"/>
    <w:rsid w:val="00BB5610"/>
    <w:rsid w:val="00BB5659"/>
    <w:rsid w:val="00BB6420"/>
    <w:rsid w:val="00BB7624"/>
    <w:rsid w:val="00BC11D9"/>
    <w:rsid w:val="00BC1282"/>
    <w:rsid w:val="00BC1A10"/>
    <w:rsid w:val="00BC3542"/>
    <w:rsid w:val="00BC47DE"/>
    <w:rsid w:val="00BC5AF2"/>
    <w:rsid w:val="00BC5D5D"/>
    <w:rsid w:val="00BC6154"/>
    <w:rsid w:val="00BD03E1"/>
    <w:rsid w:val="00BD045E"/>
    <w:rsid w:val="00BD052D"/>
    <w:rsid w:val="00BD0AD6"/>
    <w:rsid w:val="00BD0E87"/>
    <w:rsid w:val="00BD1160"/>
    <w:rsid w:val="00BD154A"/>
    <w:rsid w:val="00BD1592"/>
    <w:rsid w:val="00BD1603"/>
    <w:rsid w:val="00BD1EFE"/>
    <w:rsid w:val="00BD2A51"/>
    <w:rsid w:val="00BD31E3"/>
    <w:rsid w:val="00BD3CDC"/>
    <w:rsid w:val="00BD4A22"/>
    <w:rsid w:val="00BD4C00"/>
    <w:rsid w:val="00BD5EE2"/>
    <w:rsid w:val="00BD6322"/>
    <w:rsid w:val="00BD6678"/>
    <w:rsid w:val="00BD6BFD"/>
    <w:rsid w:val="00BD6E63"/>
    <w:rsid w:val="00BE2909"/>
    <w:rsid w:val="00BE30A4"/>
    <w:rsid w:val="00BE30C1"/>
    <w:rsid w:val="00BE3BB0"/>
    <w:rsid w:val="00BE4503"/>
    <w:rsid w:val="00BE4572"/>
    <w:rsid w:val="00BE45E2"/>
    <w:rsid w:val="00BE5E1C"/>
    <w:rsid w:val="00BE6108"/>
    <w:rsid w:val="00BE6823"/>
    <w:rsid w:val="00BE68EA"/>
    <w:rsid w:val="00BE6E74"/>
    <w:rsid w:val="00BE7ABD"/>
    <w:rsid w:val="00BE7D6E"/>
    <w:rsid w:val="00BF0625"/>
    <w:rsid w:val="00BF1F38"/>
    <w:rsid w:val="00BF2A63"/>
    <w:rsid w:val="00BF440C"/>
    <w:rsid w:val="00BF50C3"/>
    <w:rsid w:val="00BF5987"/>
    <w:rsid w:val="00BF6D90"/>
    <w:rsid w:val="00BF7566"/>
    <w:rsid w:val="00C00175"/>
    <w:rsid w:val="00C00796"/>
    <w:rsid w:val="00C02617"/>
    <w:rsid w:val="00C045F1"/>
    <w:rsid w:val="00C04E1B"/>
    <w:rsid w:val="00C04EDF"/>
    <w:rsid w:val="00C0588B"/>
    <w:rsid w:val="00C06094"/>
    <w:rsid w:val="00C067E7"/>
    <w:rsid w:val="00C07D74"/>
    <w:rsid w:val="00C11646"/>
    <w:rsid w:val="00C1254C"/>
    <w:rsid w:val="00C129EB"/>
    <w:rsid w:val="00C15366"/>
    <w:rsid w:val="00C1597E"/>
    <w:rsid w:val="00C17311"/>
    <w:rsid w:val="00C205BA"/>
    <w:rsid w:val="00C20979"/>
    <w:rsid w:val="00C21473"/>
    <w:rsid w:val="00C218DF"/>
    <w:rsid w:val="00C21A1E"/>
    <w:rsid w:val="00C2208D"/>
    <w:rsid w:val="00C2252C"/>
    <w:rsid w:val="00C225C3"/>
    <w:rsid w:val="00C23B1A"/>
    <w:rsid w:val="00C2426C"/>
    <w:rsid w:val="00C2608B"/>
    <w:rsid w:val="00C27F72"/>
    <w:rsid w:val="00C30443"/>
    <w:rsid w:val="00C308EA"/>
    <w:rsid w:val="00C309D7"/>
    <w:rsid w:val="00C30CCF"/>
    <w:rsid w:val="00C3143B"/>
    <w:rsid w:val="00C31610"/>
    <w:rsid w:val="00C31940"/>
    <w:rsid w:val="00C31FF6"/>
    <w:rsid w:val="00C3205C"/>
    <w:rsid w:val="00C339A8"/>
    <w:rsid w:val="00C33A15"/>
    <w:rsid w:val="00C33D1E"/>
    <w:rsid w:val="00C3583D"/>
    <w:rsid w:val="00C35F61"/>
    <w:rsid w:val="00C36885"/>
    <w:rsid w:val="00C4008F"/>
    <w:rsid w:val="00C405DD"/>
    <w:rsid w:val="00C40839"/>
    <w:rsid w:val="00C4332F"/>
    <w:rsid w:val="00C4335D"/>
    <w:rsid w:val="00C434EA"/>
    <w:rsid w:val="00C44503"/>
    <w:rsid w:val="00C4508F"/>
    <w:rsid w:val="00C45622"/>
    <w:rsid w:val="00C459A0"/>
    <w:rsid w:val="00C46358"/>
    <w:rsid w:val="00C467DC"/>
    <w:rsid w:val="00C469B7"/>
    <w:rsid w:val="00C46A0E"/>
    <w:rsid w:val="00C46B98"/>
    <w:rsid w:val="00C4730C"/>
    <w:rsid w:val="00C47B81"/>
    <w:rsid w:val="00C501DB"/>
    <w:rsid w:val="00C5044A"/>
    <w:rsid w:val="00C505BC"/>
    <w:rsid w:val="00C50D60"/>
    <w:rsid w:val="00C515B6"/>
    <w:rsid w:val="00C51AD3"/>
    <w:rsid w:val="00C52AAB"/>
    <w:rsid w:val="00C52D5C"/>
    <w:rsid w:val="00C5353A"/>
    <w:rsid w:val="00C5358B"/>
    <w:rsid w:val="00C53988"/>
    <w:rsid w:val="00C53CB5"/>
    <w:rsid w:val="00C54002"/>
    <w:rsid w:val="00C547E8"/>
    <w:rsid w:val="00C54D2E"/>
    <w:rsid w:val="00C54F2F"/>
    <w:rsid w:val="00C55166"/>
    <w:rsid w:val="00C55AFE"/>
    <w:rsid w:val="00C55B58"/>
    <w:rsid w:val="00C55B5F"/>
    <w:rsid w:val="00C5663A"/>
    <w:rsid w:val="00C566C0"/>
    <w:rsid w:val="00C566C1"/>
    <w:rsid w:val="00C56F77"/>
    <w:rsid w:val="00C578EB"/>
    <w:rsid w:val="00C60273"/>
    <w:rsid w:val="00C60344"/>
    <w:rsid w:val="00C604DC"/>
    <w:rsid w:val="00C60573"/>
    <w:rsid w:val="00C60C51"/>
    <w:rsid w:val="00C60E05"/>
    <w:rsid w:val="00C61120"/>
    <w:rsid w:val="00C6134D"/>
    <w:rsid w:val="00C61CBD"/>
    <w:rsid w:val="00C62C4B"/>
    <w:rsid w:val="00C633F1"/>
    <w:rsid w:val="00C64938"/>
    <w:rsid w:val="00C64C21"/>
    <w:rsid w:val="00C64CF1"/>
    <w:rsid w:val="00C64F0E"/>
    <w:rsid w:val="00C651FB"/>
    <w:rsid w:val="00C6639F"/>
    <w:rsid w:val="00C666A0"/>
    <w:rsid w:val="00C66A98"/>
    <w:rsid w:val="00C66A9E"/>
    <w:rsid w:val="00C66C89"/>
    <w:rsid w:val="00C675C6"/>
    <w:rsid w:val="00C67B0A"/>
    <w:rsid w:val="00C7002F"/>
    <w:rsid w:val="00C71504"/>
    <w:rsid w:val="00C71E66"/>
    <w:rsid w:val="00C72969"/>
    <w:rsid w:val="00C72A89"/>
    <w:rsid w:val="00C7373C"/>
    <w:rsid w:val="00C76484"/>
    <w:rsid w:val="00C768C9"/>
    <w:rsid w:val="00C7696E"/>
    <w:rsid w:val="00C8036D"/>
    <w:rsid w:val="00C80A89"/>
    <w:rsid w:val="00C82672"/>
    <w:rsid w:val="00C82804"/>
    <w:rsid w:val="00C82DF9"/>
    <w:rsid w:val="00C82EF5"/>
    <w:rsid w:val="00C82FAB"/>
    <w:rsid w:val="00C840F4"/>
    <w:rsid w:val="00C8471D"/>
    <w:rsid w:val="00C8474E"/>
    <w:rsid w:val="00C847DB"/>
    <w:rsid w:val="00C84A85"/>
    <w:rsid w:val="00C862FE"/>
    <w:rsid w:val="00C87A70"/>
    <w:rsid w:val="00C9049B"/>
    <w:rsid w:val="00C90C05"/>
    <w:rsid w:val="00C90C46"/>
    <w:rsid w:val="00C911D4"/>
    <w:rsid w:val="00C91D02"/>
    <w:rsid w:val="00C92165"/>
    <w:rsid w:val="00C926D9"/>
    <w:rsid w:val="00C928F3"/>
    <w:rsid w:val="00C92AE0"/>
    <w:rsid w:val="00C9310A"/>
    <w:rsid w:val="00C933B0"/>
    <w:rsid w:val="00C933FE"/>
    <w:rsid w:val="00C934C0"/>
    <w:rsid w:val="00C93F04"/>
    <w:rsid w:val="00C956FE"/>
    <w:rsid w:val="00C95827"/>
    <w:rsid w:val="00C95C4F"/>
    <w:rsid w:val="00C95CD7"/>
    <w:rsid w:val="00C964F0"/>
    <w:rsid w:val="00C967DA"/>
    <w:rsid w:val="00C97667"/>
    <w:rsid w:val="00CA0247"/>
    <w:rsid w:val="00CA13AA"/>
    <w:rsid w:val="00CA36D5"/>
    <w:rsid w:val="00CA425F"/>
    <w:rsid w:val="00CA470D"/>
    <w:rsid w:val="00CA4C50"/>
    <w:rsid w:val="00CA5040"/>
    <w:rsid w:val="00CA5DAB"/>
    <w:rsid w:val="00CA63ED"/>
    <w:rsid w:val="00CA724A"/>
    <w:rsid w:val="00CB0688"/>
    <w:rsid w:val="00CB2324"/>
    <w:rsid w:val="00CB35B9"/>
    <w:rsid w:val="00CB373B"/>
    <w:rsid w:val="00CB3999"/>
    <w:rsid w:val="00CB4913"/>
    <w:rsid w:val="00CB66BA"/>
    <w:rsid w:val="00CB6A88"/>
    <w:rsid w:val="00CB6D96"/>
    <w:rsid w:val="00CB7DF8"/>
    <w:rsid w:val="00CC0183"/>
    <w:rsid w:val="00CC0681"/>
    <w:rsid w:val="00CC162E"/>
    <w:rsid w:val="00CC17C2"/>
    <w:rsid w:val="00CC1B30"/>
    <w:rsid w:val="00CC31D5"/>
    <w:rsid w:val="00CC3B52"/>
    <w:rsid w:val="00CC4389"/>
    <w:rsid w:val="00CC4438"/>
    <w:rsid w:val="00CC5442"/>
    <w:rsid w:val="00CC6886"/>
    <w:rsid w:val="00CC7D1D"/>
    <w:rsid w:val="00CD051E"/>
    <w:rsid w:val="00CD0AB6"/>
    <w:rsid w:val="00CD25E3"/>
    <w:rsid w:val="00CD2A2A"/>
    <w:rsid w:val="00CD34AC"/>
    <w:rsid w:val="00CD3808"/>
    <w:rsid w:val="00CD3984"/>
    <w:rsid w:val="00CD504D"/>
    <w:rsid w:val="00CD5914"/>
    <w:rsid w:val="00CD5C86"/>
    <w:rsid w:val="00CD66A3"/>
    <w:rsid w:val="00CD69DC"/>
    <w:rsid w:val="00CD6F0C"/>
    <w:rsid w:val="00CD75CE"/>
    <w:rsid w:val="00CE05C3"/>
    <w:rsid w:val="00CE12DD"/>
    <w:rsid w:val="00CE16E7"/>
    <w:rsid w:val="00CE2222"/>
    <w:rsid w:val="00CE2611"/>
    <w:rsid w:val="00CE28F3"/>
    <w:rsid w:val="00CE2F19"/>
    <w:rsid w:val="00CE3B6F"/>
    <w:rsid w:val="00CE4152"/>
    <w:rsid w:val="00CE50D9"/>
    <w:rsid w:val="00CE5AE1"/>
    <w:rsid w:val="00CE60BE"/>
    <w:rsid w:val="00CE75AD"/>
    <w:rsid w:val="00CF0628"/>
    <w:rsid w:val="00CF2128"/>
    <w:rsid w:val="00CF24F4"/>
    <w:rsid w:val="00CF2893"/>
    <w:rsid w:val="00CF3407"/>
    <w:rsid w:val="00CF348E"/>
    <w:rsid w:val="00CF3A03"/>
    <w:rsid w:val="00CF3E47"/>
    <w:rsid w:val="00CF45C9"/>
    <w:rsid w:val="00CF4BBC"/>
    <w:rsid w:val="00CF535A"/>
    <w:rsid w:val="00CF5E6E"/>
    <w:rsid w:val="00CF6D1C"/>
    <w:rsid w:val="00D007C7"/>
    <w:rsid w:val="00D01051"/>
    <w:rsid w:val="00D018AA"/>
    <w:rsid w:val="00D02671"/>
    <w:rsid w:val="00D030A0"/>
    <w:rsid w:val="00D034CA"/>
    <w:rsid w:val="00D035B4"/>
    <w:rsid w:val="00D03880"/>
    <w:rsid w:val="00D03B6E"/>
    <w:rsid w:val="00D03C72"/>
    <w:rsid w:val="00D056B6"/>
    <w:rsid w:val="00D05973"/>
    <w:rsid w:val="00D066F6"/>
    <w:rsid w:val="00D06AA7"/>
    <w:rsid w:val="00D06BF3"/>
    <w:rsid w:val="00D10514"/>
    <w:rsid w:val="00D10AF3"/>
    <w:rsid w:val="00D10B5E"/>
    <w:rsid w:val="00D10C3A"/>
    <w:rsid w:val="00D113E5"/>
    <w:rsid w:val="00D114E2"/>
    <w:rsid w:val="00D1206E"/>
    <w:rsid w:val="00D124C1"/>
    <w:rsid w:val="00D12890"/>
    <w:rsid w:val="00D13572"/>
    <w:rsid w:val="00D13A32"/>
    <w:rsid w:val="00D13AFC"/>
    <w:rsid w:val="00D13B60"/>
    <w:rsid w:val="00D15007"/>
    <w:rsid w:val="00D15F79"/>
    <w:rsid w:val="00D16345"/>
    <w:rsid w:val="00D16790"/>
    <w:rsid w:val="00D16F39"/>
    <w:rsid w:val="00D1726D"/>
    <w:rsid w:val="00D21989"/>
    <w:rsid w:val="00D21AB9"/>
    <w:rsid w:val="00D21B1A"/>
    <w:rsid w:val="00D21C8B"/>
    <w:rsid w:val="00D21E37"/>
    <w:rsid w:val="00D220B8"/>
    <w:rsid w:val="00D23381"/>
    <w:rsid w:val="00D2383A"/>
    <w:rsid w:val="00D247E3"/>
    <w:rsid w:val="00D248E2"/>
    <w:rsid w:val="00D249FF"/>
    <w:rsid w:val="00D25207"/>
    <w:rsid w:val="00D25820"/>
    <w:rsid w:val="00D26730"/>
    <w:rsid w:val="00D26A60"/>
    <w:rsid w:val="00D26C5B"/>
    <w:rsid w:val="00D272A2"/>
    <w:rsid w:val="00D30237"/>
    <w:rsid w:val="00D30D71"/>
    <w:rsid w:val="00D31463"/>
    <w:rsid w:val="00D314B5"/>
    <w:rsid w:val="00D31577"/>
    <w:rsid w:val="00D32838"/>
    <w:rsid w:val="00D32A27"/>
    <w:rsid w:val="00D341DC"/>
    <w:rsid w:val="00D342AC"/>
    <w:rsid w:val="00D34A0C"/>
    <w:rsid w:val="00D34B8D"/>
    <w:rsid w:val="00D354CD"/>
    <w:rsid w:val="00D35985"/>
    <w:rsid w:val="00D35B78"/>
    <w:rsid w:val="00D35D9A"/>
    <w:rsid w:val="00D35E83"/>
    <w:rsid w:val="00D37048"/>
    <w:rsid w:val="00D372CF"/>
    <w:rsid w:val="00D3767B"/>
    <w:rsid w:val="00D37C22"/>
    <w:rsid w:val="00D40483"/>
    <w:rsid w:val="00D40AB0"/>
    <w:rsid w:val="00D40BC7"/>
    <w:rsid w:val="00D41953"/>
    <w:rsid w:val="00D4357D"/>
    <w:rsid w:val="00D43A1A"/>
    <w:rsid w:val="00D43F95"/>
    <w:rsid w:val="00D44D36"/>
    <w:rsid w:val="00D45D6E"/>
    <w:rsid w:val="00D468D0"/>
    <w:rsid w:val="00D500BF"/>
    <w:rsid w:val="00D507E9"/>
    <w:rsid w:val="00D51AF5"/>
    <w:rsid w:val="00D53A52"/>
    <w:rsid w:val="00D5480B"/>
    <w:rsid w:val="00D55444"/>
    <w:rsid w:val="00D564E3"/>
    <w:rsid w:val="00D5739B"/>
    <w:rsid w:val="00D574F2"/>
    <w:rsid w:val="00D57DF3"/>
    <w:rsid w:val="00D600C5"/>
    <w:rsid w:val="00D6023D"/>
    <w:rsid w:val="00D61214"/>
    <w:rsid w:val="00D618A6"/>
    <w:rsid w:val="00D61B98"/>
    <w:rsid w:val="00D61D16"/>
    <w:rsid w:val="00D61E7D"/>
    <w:rsid w:val="00D6202A"/>
    <w:rsid w:val="00D621F4"/>
    <w:rsid w:val="00D63182"/>
    <w:rsid w:val="00D63DB8"/>
    <w:rsid w:val="00D647DF"/>
    <w:rsid w:val="00D64816"/>
    <w:rsid w:val="00D64ECA"/>
    <w:rsid w:val="00D64EED"/>
    <w:rsid w:val="00D65CAC"/>
    <w:rsid w:val="00D665B2"/>
    <w:rsid w:val="00D66C2E"/>
    <w:rsid w:val="00D66D09"/>
    <w:rsid w:val="00D66F82"/>
    <w:rsid w:val="00D670E6"/>
    <w:rsid w:val="00D72216"/>
    <w:rsid w:val="00D72EDA"/>
    <w:rsid w:val="00D731F8"/>
    <w:rsid w:val="00D73986"/>
    <w:rsid w:val="00D74855"/>
    <w:rsid w:val="00D77220"/>
    <w:rsid w:val="00D7741A"/>
    <w:rsid w:val="00D7762D"/>
    <w:rsid w:val="00D77C2A"/>
    <w:rsid w:val="00D800FE"/>
    <w:rsid w:val="00D81261"/>
    <w:rsid w:val="00D8132B"/>
    <w:rsid w:val="00D82597"/>
    <w:rsid w:val="00D842A0"/>
    <w:rsid w:val="00D847DE"/>
    <w:rsid w:val="00D84AF7"/>
    <w:rsid w:val="00D85C9E"/>
    <w:rsid w:val="00D85F28"/>
    <w:rsid w:val="00D86C32"/>
    <w:rsid w:val="00D9011C"/>
    <w:rsid w:val="00D9035F"/>
    <w:rsid w:val="00D923DF"/>
    <w:rsid w:val="00D92BD2"/>
    <w:rsid w:val="00D92E3A"/>
    <w:rsid w:val="00D9418D"/>
    <w:rsid w:val="00D94C7A"/>
    <w:rsid w:val="00D94E38"/>
    <w:rsid w:val="00D95F8A"/>
    <w:rsid w:val="00D97017"/>
    <w:rsid w:val="00D9741F"/>
    <w:rsid w:val="00D97AA2"/>
    <w:rsid w:val="00DA07C7"/>
    <w:rsid w:val="00DA27EC"/>
    <w:rsid w:val="00DA3698"/>
    <w:rsid w:val="00DA38AD"/>
    <w:rsid w:val="00DA3989"/>
    <w:rsid w:val="00DA4748"/>
    <w:rsid w:val="00DA4D0E"/>
    <w:rsid w:val="00DA64CB"/>
    <w:rsid w:val="00DA7B6A"/>
    <w:rsid w:val="00DB0092"/>
    <w:rsid w:val="00DB0954"/>
    <w:rsid w:val="00DB1088"/>
    <w:rsid w:val="00DB18AD"/>
    <w:rsid w:val="00DB257D"/>
    <w:rsid w:val="00DB2955"/>
    <w:rsid w:val="00DB2EFE"/>
    <w:rsid w:val="00DB4798"/>
    <w:rsid w:val="00DB4970"/>
    <w:rsid w:val="00DB513D"/>
    <w:rsid w:val="00DB5B76"/>
    <w:rsid w:val="00DC1374"/>
    <w:rsid w:val="00DC36CD"/>
    <w:rsid w:val="00DC4171"/>
    <w:rsid w:val="00DC5625"/>
    <w:rsid w:val="00DC5B65"/>
    <w:rsid w:val="00DC6A28"/>
    <w:rsid w:val="00DD2397"/>
    <w:rsid w:val="00DD2BA0"/>
    <w:rsid w:val="00DD303D"/>
    <w:rsid w:val="00DD30F5"/>
    <w:rsid w:val="00DD39E9"/>
    <w:rsid w:val="00DD3D36"/>
    <w:rsid w:val="00DD4C5F"/>
    <w:rsid w:val="00DD601D"/>
    <w:rsid w:val="00DD6416"/>
    <w:rsid w:val="00DD7FB6"/>
    <w:rsid w:val="00DE072E"/>
    <w:rsid w:val="00DE185E"/>
    <w:rsid w:val="00DE1978"/>
    <w:rsid w:val="00DE1B6F"/>
    <w:rsid w:val="00DE2A3E"/>
    <w:rsid w:val="00DE4175"/>
    <w:rsid w:val="00DE5FC7"/>
    <w:rsid w:val="00DE7168"/>
    <w:rsid w:val="00DE745D"/>
    <w:rsid w:val="00DE7DE4"/>
    <w:rsid w:val="00DF0314"/>
    <w:rsid w:val="00DF04D7"/>
    <w:rsid w:val="00DF070F"/>
    <w:rsid w:val="00DF0A40"/>
    <w:rsid w:val="00DF0DF2"/>
    <w:rsid w:val="00DF284E"/>
    <w:rsid w:val="00DF2E38"/>
    <w:rsid w:val="00DF386C"/>
    <w:rsid w:val="00DF3A0F"/>
    <w:rsid w:val="00DF5173"/>
    <w:rsid w:val="00DF647A"/>
    <w:rsid w:val="00DF6824"/>
    <w:rsid w:val="00DF69F7"/>
    <w:rsid w:val="00DF6A86"/>
    <w:rsid w:val="00DF7052"/>
    <w:rsid w:val="00DF7EA2"/>
    <w:rsid w:val="00E001BA"/>
    <w:rsid w:val="00E002F8"/>
    <w:rsid w:val="00E003C0"/>
    <w:rsid w:val="00E00533"/>
    <w:rsid w:val="00E0078B"/>
    <w:rsid w:val="00E02754"/>
    <w:rsid w:val="00E03D55"/>
    <w:rsid w:val="00E0427B"/>
    <w:rsid w:val="00E04406"/>
    <w:rsid w:val="00E0525B"/>
    <w:rsid w:val="00E05645"/>
    <w:rsid w:val="00E062F2"/>
    <w:rsid w:val="00E073C2"/>
    <w:rsid w:val="00E078FD"/>
    <w:rsid w:val="00E1076D"/>
    <w:rsid w:val="00E10947"/>
    <w:rsid w:val="00E12362"/>
    <w:rsid w:val="00E12AE6"/>
    <w:rsid w:val="00E12D51"/>
    <w:rsid w:val="00E1485F"/>
    <w:rsid w:val="00E14988"/>
    <w:rsid w:val="00E155AB"/>
    <w:rsid w:val="00E1567E"/>
    <w:rsid w:val="00E15F44"/>
    <w:rsid w:val="00E16A27"/>
    <w:rsid w:val="00E1727F"/>
    <w:rsid w:val="00E17CA2"/>
    <w:rsid w:val="00E207E5"/>
    <w:rsid w:val="00E20B82"/>
    <w:rsid w:val="00E234B8"/>
    <w:rsid w:val="00E24030"/>
    <w:rsid w:val="00E251FB"/>
    <w:rsid w:val="00E254E7"/>
    <w:rsid w:val="00E255CE"/>
    <w:rsid w:val="00E25655"/>
    <w:rsid w:val="00E25BF7"/>
    <w:rsid w:val="00E25C12"/>
    <w:rsid w:val="00E26531"/>
    <w:rsid w:val="00E26C6A"/>
    <w:rsid w:val="00E27451"/>
    <w:rsid w:val="00E30044"/>
    <w:rsid w:val="00E30176"/>
    <w:rsid w:val="00E30C83"/>
    <w:rsid w:val="00E30E41"/>
    <w:rsid w:val="00E31D9B"/>
    <w:rsid w:val="00E31DF3"/>
    <w:rsid w:val="00E324C1"/>
    <w:rsid w:val="00E32918"/>
    <w:rsid w:val="00E3297A"/>
    <w:rsid w:val="00E32F5A"/>
    <w:rsid w:val="00E34EB5"/>
    <w:rsid w:val="00E377EE"/>
    <w:rsid w:val="00E401CD"/>
    <w:rsid w:val="00E40CDE"/>
    <w:rsid w:val="00E417B2"/>
    <w:rsid w:val="00E41CB5"/>
    <w:rsid w:val="00E4253A"/>
    <w:rsid w:val="00E43435"/>
    <w:rsid w:val="00E43F74"/>
    <w:rsid w:val="00E440A7"/>
    <w:rsid w:val="00E443EC"/>
    <w:rsid w:val="00E452D3"/>
    <w:rsid w:val="00E4581D"/>
    <w:rsid w:val="00E464F5"/>
    <w:rsid w:val="00E47665"/>
    <w:rsid w:val="00E47F63"/>
    <w:rsid w:val="00E50032"/>
    <w:rsid w:val="00E50A8B"/>
    <w:rsid w:val="00E50D06"/>
    <w:rsid w:val="00E5174F"/>
    <w:rsid w:val="00E5177F"/>
    <w:rsid w:val="00E52B9A"/>
    <w:rsid w:val="00E52DDF"/>
    <w:rsid w:val="00E53540"/>
    <w:rsid w:val="00E540D5"/>
    <w:rsid w:val="00E54926"/>
    <w:rsid w:val="00E54CAA"/>
    <w:rsid w:val="00E55A68"/>
    <w:rsid w:val="00E55CF1"/>
    <w:rsid w:val="00E55D8C"/>
    <w:rsid w:val="00E55F60"/>
    <w:rsid w:val="00E56052"/>
    <w:rsid w:val="00E574AD"/>
    <w:rsid w:val="00E5758C"/>
    <w:rsid w:val="00E57EBE"/>
    <w:rsid w:val="00E57F24"/>
    <w:rsid w:val="00E60606"/>
    <w:rsid w:val="00E60AF8"/>
    <w:rsid w:val="00E60C85"/>
    <w:rsid w:val="00E61FAE"/>
    <w:rsid w:val="00E62752"/>
    <w:rsid w:val="00E63631"/>
    <w:rsid w:val="00E649E3"/>
    <w:rsid w:val="00E64DCC"/>
    <w:rsid w:val="00E64F45"/>
    <w:rsid w:val="00E6689B"/>
    <w:rsid w:val="00E66FE6"/>
    <w:rsid w:val="00E674AC"/>
    <w:rsid w:val="00E674EE"/>
    <w:rsid w:val="00E707FE"/>
    <w:rsid w:val="00E71159"/>
    <w:rsid w:val="00E719A0"/>
    <w:rsid w:val="00E71DFB"/>
    <w:rsid w:val="00E720A2"/>
    <w:rsid w:val="00E73F21"/>
    <w:rsid w:val="00E73FB3"/>
    <w:rsid w:val="00E740A6"/>
    <w:rsid w:val="00E74D4F"/>
    <w:rsid w:val="00E75D70"/>
    <w:rsid w:val="00E763B6"/>
    <w:rsid w:val="00E76FD3"/>
    <w:rsid w:val="00E779D3"/>
    <w:rsid w:val="00E80BEE"/>
    <w:rsid w:val="00E80E71"/>
    <w:rsid w:val="00E825A2"/>
    <w:rsid w:val="00E82736"/>
    <w:rsid w:val="00E84339"/>
    <w:rsid w:val="00E84683"/>
    <w:rsid w:val="00E857EF"/>
    <w:rsid w:val="00E868B7"/>
    <w:rsid w:val="00E86A9E"/>
    <w:rsid w:val="00E86D25"/>
    <w:rsid w:val="00E87973"/>
    <w:rsid w:val="00E915F8"/>
    <w:rsid w:val="00E92011"/>
    <w:rsid w:val="00E92ABC"/>
    <w:rsid w:val="00E93269"/>
    <w:rsid w:val="00E934E8"/>
    <w:rsid w:val="00E93E58"/>
    <w:rsid w:val="00E943C8"/>
    <w:rsid w:val="00E94D35"/>
    <w:rsid w:val="00E95521"/>
    <w:rsid w:val="00E95541"/>
    <w:rsid w:val="00E9597E"/>
    <w:rsid w:val="00E96333"/>
    <w:rsid w:val="00E967A9"/>
    <w:rsid w:val="00E97278"/>
    <w:rsid w:val="00E97649"/>
    <w:rsid w:val="00E97937"/>
    <w:rsid w:val="00E97A1C"/>
    <w:rsid w:val="00E97EE3"/>
    <w:rsid w:val="00E97F9F"/>
    <w:rsid w:val="00EA022E"/>
    <w:rsid w:val="00EA098D"/>
    <w:rsid w:val="00EA0B5B"/>
    <w:rsid w:val="00EA0CE4"/>
    <w:rsid w:val="00EA0F0E"/>
    <w:rsid w:val="00EA1F88"/>
    <w:rsid w:val="00EA221C"/>
    <w:rsid w:val="00EA3877"/>
    <w:rsid w:val="00EA3DE3"/>
    <w:rsid w:val="00EA4887"/>
    <w:rsid w:val="00EA4AFA"/>
    <w:rsid w:val="00EA4DD3"/>
    <w:rsid w:val="00EA5385"/>
    <w:rsid w:val="00EA658F"/>
    <w:rsid w:val="00EB1218"/>
    <w:rsid w:val="00EB1EE6"/>
    <w:rsid w:val="00EB2A6A"/>
    <w:rsid w:val="00EB30B7"/>
    <w:rsid w:val="00EB3CE1"/>
    <w:rsid w:val="00EB51DF"/>
    <w:rsid w:val="00EB5A98"/>
    <w:rsid w:val="00EB5F20"/>
    <w:rsid w:val="00EB6338"/>
    <w:rsid w:val="00EB6C72"/>
    <w:rsid w:val="00EB72B6"/>
    <w:rsid w:val="00EC1088"/>
    <w:rsid w:val="00EC15F7"/>
    <w:rsid w:val="00EC162E"/>
    <w:rsid w:val="00EC1AFB"/>
    <w:rsid w:val="00EC3015"/>
    <w:rsid w:val="00EC36E8"/>
    <w:rsid w:val="00EC3831"/>
    <w:rsid w:val="00EC3FD2"/>
    <w:rsid w:val="00EC4D02"/>
    <w:rsid w:val="00EC5F1A"/>
    <w:rsid w:val="00EC601B"/>
    <w:rsid w:val="00ED0586"/>
    <w:rsid w:val="00ED1EE1"/>
    <w:rsid w:val="00ED2EE9"/>
    <w:rsid w:val="00ED33D6"/>
    <w:rsid w:val="00ED3545"/>
    <w:rsid w:val="00ED3575"/>
    <w:rsid w:val="00ED3EDE"/>
    <w:rsid w:val="00ED7181"/>
    <w:rsid w:val="00ED774F"/>
    <w:rsid w:val="00ED7B8B"/>
    <w:rsid w:val="00EE0D91"/>
    <w:rsid w:val="00EE3135"/>
    <w:rsid w:val="00EE3628"/>
    <w:rsid w:val="00EE462E"/>
    <w:rsid w:val="00EE4D6B"/>
    <w:rsid w:val="00EE602E"/>
    <w:rsid w:val="00EE6111"/>
    <w:rsid w:val="00EE66E5"/>
    <w:rsid w:val="00EE67A1"/>
    <w:rsid w:val="00EE68A0"/>
    <w:rsid w:val="00EE6A79"/>
    <w:rsid w:val="00EE7705"/>
    <w:rsid w:val="00EE79F6"/>
    <w:rsid w:val="00EF0234"/>
    <w:rsid w:val="00EF08AC"/>
    <w:rsid w:val="00EF107E"/>
    <w:rsid w:val="00EF1AD3"/>
    <w:rsid w:val="00EF2594"/>
    <w:rsid w:val="00EF2E0C"/>
    <w:rsid w:val="00EF3398"/>
    <w:rsid w:val="00EF3648"/>
    <w:rsid w:val="00EF3E5C"/>
    <w:rsid w:val="00EF3F7C"/>
    <w:rsid w:val="00EF4E4D"/>
    <w:rsid w:val="00EF5E91"/>
    <w:rsid w:val="00EF601F"/>
    <w:rsid w:val="00EF729B"/>
    <w:rsid w:val="00EF79E0"/>
    <w:rsid w:val="00F013A9"/>
    <w:rsid w:val="00F01722"/>
    <w:rsid w:val="00F024B9"/>
    <w:rsid w:val="00F024F8"/>
    <w:rsid w:val="00F0292F"/>
    <w:rsid w:val="00F02968"/>
    <w:rsid w:val="00F037C0"/>
    <w:rsid w:val="00F066B2"/>
    <w:rsid w:val="00F06BEC"/>
    <w:rsid w:val="00F11A62"/>
    <w:rsid w:val="00F1290A"/>
    <w:rsid w:val="00F13BCC"/>
    <w:rsid w:val="00F14879"/>
    <w:rsid w:val="00F15161"/>
    <w:rsid w:val="00F15447"/>
    <w:rsid w:val="00F1681F"/>
    <w:rsid w:val="00F16D96"/>
    <w:rsid w:val="00F17A8A"/>
    <w:rsid w:val="00F206ED"/>
    <w:rsid w:val="00F2072F"/>
    <w:rsid w:val="00F20735"/>
    <w:rsid w:val="00F2313D"/>
    <w:rsid w:val="00F2387E"/>
    <w:rsid w:val="00F256AB"/>
    <w:rsid w:val="00F258B7"/>
    <w:rsid w:val="00F26039"/>
    <w:rsid w:val="00F268CF"/>
    <w:rsid w:val="00F2690E"/>
    <w:rsid w:val="00F269B5"/>
    <w:rsid w:val="00F26F04"/>
    <w:rsid w:val="00F27EF7"/>
    <w:rsid w:val="00F316F5"/>
    <w:rsid w:val="00F31C40"/>
    <w:rsid w:val="00F33333"/>
    <w:rsid w:val="00F3361A"/>
    <w:rsid w:val="00F34175"/>
    <w:rsid w:val="00F342F4"/>
    <w:rsid w:val="00F34E66"/>
    <w:rsid w:val="00F35320"/>
    <w:rsid w:val="00F3582A"/>
    <w:rsid w:val="00F3591D"/>
    <w:rsid w:val="00F35C58"/>
    <w:rsid w:val="00F35DE6"/>
    <w:rsid w:val="00F36028"/>
    <w:rsid w:val="00F371AA"/>
    <w:rsid w:val="00F4102C"/>
    <w:rsid w:val="00F431D4"/>
    <w:rsid w:val="00F4382D"/>
    <w:rsid w:val="00F43852"/>
    <w:rsid w:val="00F43C49"/>
    <w:rsid w:val="00F44FF1"/>
    <w:rsid w:val="00F46E03"/>
    <w:rsid w:val="00F47911"/>
    <w:rsid w:val="00F506AF"/>
    <w:rsid w:val="00F50723"/>
    <w:rsid w:val="00F50AF2"/>
    <w:rsid w:val="00F52552"/>
    <w:rsid w:val="00F52FD0"/>
    <w:rsid w:val="00F549FE"/>
    <w:rsid w:val="00F55332"/>
    <w:rsid w:val="00F554B8"/>
    <w:rsid w:val="00F55CD9"/>
    <w:rsid w:val="00F574B3"/>
    <w:rsid w:val="00F57889"/>
    <w:rsid w:val="00F57D2B"/>
    <w:rsid w:val="00F57DFD"/>
    <w:rsid w:val="00F60243"/>
    <w:rsid w:val="00F6196D"/>
    <w:rsid w:val="00F61C6A"/>
    <w:rsid w:val="00F62EF1"/>
    <w:rsid w:val="00F633BC"/>
    <w:rsid w:val="00F64B9F"/>
    <w:rsid w:val="00F658C5"/>
    <w:rsid w:val="00F667A9"/>
    <w:rsid w:val="00F66969"/>
    <w:rsid w:val="00F670BA"/>
    <w:rsid w:val="00F6781C"/>
    <w:rsid w:val="00F67AC0"/>
    <w:rsid w:val="00F704FA"/>
    <w:rsid w:val="00F7129B"/>
    <w:rsid w:val="00F71622"/>
    <w:rsid w:val="00F71D77"/>
    <w:rsid w:val="00F71F20"/>
    <w:rsid w:val="00F729B0"/>
    <w:rsid w:val="00F72C97"/>
    <w:rsid w:val="00F73C03"/>
    <w:rsid w:val="00F73FF7"/>
    <w:rsid w:val="00F74BD6"/>
    <w:rsid w:val="00F754CC"/>
    <w:rsid w:val="00F75B01"/>
    <w:rsid w:val="00F75BFE"/>
    <w:rsid w:val="00F771E8"/>
    <w:rsid w:val="00F77D17"/>
    <w:rsid w:val="00F80E83"/>
    <w:rsid w:val="00F81F22"/>
    <w:rsid w:val="00F82385"/>
    <w:rsid w:val="00F829C8"/>
    <w:rsid w:val="00F82FB2"/>
    <w:rsid w:val="00F8412D"/>
    <w:rsid w:val="00F85C5B"/>
    <w:rsid w:val="00F86219"/>
    <w:rsid w:val="00F90118"/>
    <w:rsid w:val="00F90B36"/>
    <w:rsid w:val="00F90CB5"/>
    <w:rsid w:val="00F91A23"/>
    <w:rsid w:val="00F91D06"/>
    <w:rsid w:val="00F92112"/>
    <w:rsid w:val="00F9243D"/>
    <w:rsid w:val="00F9363A"/>
    <w:rsid w:val="00F9406B"/>
    <w:rsid w:val="00F9488C"/>
    <w:rsid w:val="00F948D8"/>
    <w:rsid w:val="00F948E4"/>
    <w:rsid w:val="00F94A22"/>
    <w:rsid w:val="00F95C5F"/>
    <w:rsid w:val="00F972BA"/>
    <w:rsid w:val="00F97733"/>
    <w:rsid w:val="00FA1BC5"/>
    <w:rsid w:val="00FA2C19"/>
    <w:rsid w:val="00FA36F6"/>
    <w:rsid w:val="00FA3715"/>
    <w:rsid w:val="00FA4353"/>
    <w:rsid w:val="00FA494F"/>
    <w:rsid w:val="00FA564B"/>
    <w:rsid w:val="00FA626F"/>
    <w:rsid w:val="00FA7218"/>
    <w:rsid w:val="00FA7B83"/>
    <w:rsid w:val="00FA7DF6"/>
    <w:rsid w:val="00FB2FE5"/>
    <w:rsid w:val="00FB57A3"/>
    <w:rsid w:val="00FB58E0"/>
    <w:rsid w:val="00FB600A"/>
    <w:rsid w:val="00FB6C90"/>
    <w:rsid w:val="00FB6E00"/>
    <w:rsid w:val="00FB6EE4"/>
    <w:rsid w:val="00FB78BD"/>
    <w:rsid w:val="00FB7B14"/>
    <w:rsid w:val="00FC03E3"/>
    <w:rsid w:val="00FC10AD"/>
    <w:rsid w:val="00FC1F73"/>
    <w:rsid w:val="00FC21CC"/>
    <w:rsid w:val="00FC28CC"/>
    <w:rsid w:val="00FC327F"/>
    <w:rsid w:val="00FC33EA"/>
    <w:rsid w:val="00FC3E36"/>
    <w:rsid w:val="00FC3EDC"/>
    <w:rsid w:val="00FC5C6C"/>
    <w:rsid w:val="00FC64B1"/>
    <w:rsid w:val="00FD130B"/>
    <w:rsid w:val="00FD144F"/>
    <w:rsid w:val="00FD1B97"/>
    <w:rsid w:val="00FD24F4"/>
    <w:rsid w:val="00FD29E0"/>
    <w:rsid w:val="00FD40C9"/>
    <w:rsid w:val="00FD524B"/>
    <w:rsid w:val="00FD5F73"/>
    <w:rsid w:val="00FD641B"/>
    <w:rsid w:val="00FD6A34"/>
    <w:rsid w:val="00FE1F12"/>
    <w:rsid w:val="00FE263C"/>
    <w:rsid w:val="00FE2931"/>
    <w:rsid w:val="00FE3D83"/>
    <w:rsid w:val="00FE41C8"/>
    <w:rsid w:val="00FE6084"/>
    <w:rsid w:val="00FE6BCA"/>
    <w:rsid w:val="00FE7E77"/>
    <w:rsid w:val="00FF0189"/>
    <w:rsid w:val="00FF0DF5"/>
    <w:rsid w:val="00FF1446"/>
    <w:rsid w:val="00FF2591"/>
    <w:rsid w:val="00FF6ABF"/>
    <w:rsid w:val="00FF7B8B"/>
    <w:rsid w:val="00FF7CFD"/>
    <w:rsid w:val="00FF7D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ABED4"/>
  <w15:chartTrackingRefBased/>
  <w15:docId w15:val="{7CA8F70B-31DC-400A-8DC4-301669827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D4A22"/>
    <w:pPr>
      <w:spacing w:after="200" w:line="288" w:lineRule="auto"/>
    </w:pPr>
    <w:rPr>
      <w:rFonts w:ascii="Arial" w:eastAsiaTheme="minorEastAsia" w:hAnsi="Arial"/>
      <w:szCs w:val="24"/>
      <w:lang w:eastAsia="ja-JP"/>
    </w:rPr>
  </w:style>
  <w:style w:type="paragraph" w:styleId="Heading1">
    <w:name w:val="heading 1"/>
    <w:basedOn w:val="Normal"/>
    <w:next w:val="Normal"/>
    <w:link w:val="Heading1Char"/>
    <w:uiPriority w:val="9"/>
    <w:qFormat/>
    <w:rsid w:val="00CC17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D4A22"/>
    <w:pPr>
      <w:pageBreakBefore/>
      <w:numPr>
        <w:numId w:val="1"/>
      </w:num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D4A22"/>
    <w:pPr>
      <w:numPr>
        <w:ilvl w:val="1"/>
        <w:numId w:val="1"/>
      </w:numPr>
      <w:outlineLvl w:val="2"/>
    </w:pPr>
    <w:rPr>
      <w:rFonts w:eastAsiaTheme="minorHAnsi"/>
      <w:b/>
      <w:color w:val="6A2875"/>
      <w:sz w:val="36"/>
      <w:szCs w:val="44"/>
    </w:rPr>
  </w:style>
  <w:style w:type="paragraph" w:styleId="Heading4">
    <w:name w:val="heading 4"/>
    <w:basedOn w:val="Heading3"/>
    <w:next w:val="Normal"/>
    <w:link w:val="Heading4Char"/>
    <w:uiPriority w:val="9"/>
    <w:unhideWhenUsed/>
    <w:qFormat/>
    <w:rsid w:val="00BD4A22"/>
    <w:pPr>
      <w:keepNext/>
      <w:numPr>
        <w:ilvl w:val="2"/>
      </w:numPr>
      <w:spacing w:before="240" w:after="240" w:line="269" w:lineRule="auto"/>
      <w:outlineLvl w:val="3"/>
    </w:pPr>
    <w:rPr>
      <w:sz w:val="30"/>
      <w:szCs w:val="30"/>
    </w:rPr>
  </w:style>
  <w:style w:type="paragraph" w:styleId="Heading5">
    <w:name w:val="heading 5"/>
    <w:basedOn w:val="Normal"/>
    <w:next w:val="Normal"/>
    <w:link w:val="Heading5Char"/>
    <w:uiPriority w:val="9"/>
    <w:unhideWhenUsed/>
    <w:qFormat/>
    <w:rsid w:val="007E344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4A22"/>
    <w:rPr>
      <w:rFonts w:ascii="Arial" w:eastAsiaTheme="majorEastAsia" w:hAnsi="Arial" w:cstheme="majorBidi"/>
      <w:b/>
      <w:bCs/>
      <w:color w:val="6A2875"/>
      <w:sz w:val="44"/>
      <w:szCs w:val="26"/>
      <w:lang w:eastAsia="ja-JP"/>
    </w:rPr>
  </w:style>
  <w:style w:type="character" w:customStyle="1" w:styleId="Heading3Char">
    <w:name w:val="Heading 3 Char"/>
    <w:basedOn w:val="DefaultParagraphFont"/>
    <w:link w:val="Heading3"/>
    <w:uiPriority w:val="9"/>
    <w:rsid w:val="00BD4A22"/>
    <w:rPr>
      <w:rFonts w:ascii="Arial" w:hAnsi="Arial"/>
      <w:b/>
      <w:color w:val="6A2875"/>
      <w:sz w:val="36"/>
      <w:szCs w:val="44"/>
      <w:lang w:eastAsia="ja-JP"/>
    </w:rPr>
  </w:style>
  <w:style w:type="character" w:customStyle="1" w:styleId="Heading4Char">
    <w:name w:val="Heading 4 Char"/>
    <w:basedOn w:val="DefaultParagraphFont"/>
    <w:link w:val="Heading4"/>
    <w:uiPriority w:val="9"/>
    <w:rsid w:val="00BD4A22"/>
    <w:rPr>
      <w:rFonts w:ascii="Arial" w:hAnsi="Arial"/>
      <w:b/>
      <w:color w:val="6A2875"/>
      <w:sz w:val="30"/>
      <w:szCs w:val="30"/>
      <w:lang w:eastAsia="ja-JP"/>
    </w:rPr>
  </w:style>
  <w:style w:type="paragraph" w:customStyle="1" w:styleId="BodyText1">
    <w:name w:val="Body Text1"/>
    <w:basedOn w:val="Normal"/>
    <w:link w:val="BodyText1Char"/>
    <w:rsid w:val="00BD4A22"/>
    <w:pPr>
      <w:spacing w:after="120" w:line="240" w:lineRule="auto"/>
    </w:pPr>
    <w:rPr>
      <w:rFonts w:eastAsia="MS Mincho" w:cs="FSMe-Bold"/>
      <w:spacing w:val="-2"/>
      <w:sz w:val="20"/>
      <w:szCs w:val="20"/>
      <w:lang w:eastAsia="en-US"/>
    </w:rPr>
  </w:style>
  <w:style w:type="character" w:styleId="CommentReference">
    <w:name w:val="annotation reference"/>
    <w:basedOn w:val="DefaultParagraphFont"/>
    <w:uiPriority w:val="99"/>
    <w:unhideWhenUsed/>
    <w:rsid w:val="00BD4A22"/>
    <w:rPr>
      <w:sz w:val="16"/>
      <w:szCs w:val="16"/>
    </w:rPr>
  </w:style>
  <w:style w:type="paragraph" w:styleId="CommentText">
    <w:name w:val="annotation text"/>
    <w:basedOn w:val="Normal"/>
    <w:link w:val="CommentTextChar"/>
    <w:uiPriority w:val="99"/>
    <w:unhideWhenUsed/>
    <w:rsid w:val="00BD4A22"/>
    <w:pPr>
      <w:spacing w:line="240" w:lineRule="auto"/>
    </w:pPr>
    <w:rPr>
      <w:sz w:val="20"/>
      <w:szCs w:val="20"/>
    </w:rPr>
  </w:style>
  <w:style w:type="character" w:customStyle="1" w:styleId="CommentTextChar">
    <w:name w:val="Comment Text Char"/>
    <w:basedOn w:val="DefaultParagraphFont"/>
    <w:link w:val="CommentText"/>
    <w:uiPriority w:val="99"/>
    <w:rsid w:val="00BD4A22"/>
    <w:rPr>
      <w:rFonts w:ascii="Arial" w:eastAsiaTheme="minorEastAsia" w:hAnsi="Arial"/>
      <w:sz w:val="20"/>
      <w:szCs w:val="20"/>
      <w:lang w:val="en-US" w:eastAsia="ja-JP"/>
    </w:rPr>
  </w:style>
  <w:style w:type="paragraph" w:customStyle="1" w:styleId="FSRHeading5">
    <w:name w:val="FSR_Heading5"/>
    <w:basedOn w:val="Normal"/>
    <w:link w:val="FSRHeading5Char"/>
    <w:qFormat/>
    <w:rsid w:val="00C76484"/>
    <w:pPr>
      <w:spacing w:before="200"/>
    </w:pPr>
    <w:rPr>
      <w:b/>
      <w:i/>
      <w:color w:val="ED7D31" w:themeColor="accent2"/>
      <w:sz w:val="24"/>
    </w:rPr>
  </w:style>
  <w:style w:type="character" w:customStyle="1" w:styleId="FSRHeading5Char">
    <w:name w:val="FSR_Heading5 Char"/>
    <w:basedOn w:val="DefaultParagraphFont"/>
    <w:link w:val="FSRHeading5"/>
    <w:rsid w:val="00C76484"/>
    <w:rPr>
      <w:rFonts w:ascii="Arial" w:eastAsiaTheme="minorEastAsia" w:hAnsi="Arial"/>
      <w:b/>
      <w:i/>
      <w:color w:val="ED7D31" w:themeColor="accent2"/>
      <w:sz w:val="24"/>
      <w:szCs w:val="24"/>
      <w:lang w:val="en-US" w:eastAsia="ja-JP"/>
    </w:rPr>
  </w:style>
  <w:style w:type="character" w:customStyle="1" w:styleId="BodyText1Char">
    <w:name w:val="Body Text1 Char"/>
    <w:basedOn w:val="DefaultParagraphFont"/>
    <w:link w:val="BodyText1"/>
    <w:locked/>
    <w:rsid w:val="00BD4A22"/>
    <w:rPr>
      <w:rFonts w:ascii="Arial" w:eastAsia="MS Mincho" w:hAnsi="Arial" w:cs="FSMe-Bold"/>
      <w:spacing w:val="-2"/>
      <w:sz w:val="20"/>
      <w:szCs w:val="20"/>
      <w:lang w:val="en-US"/>
    </w:rPr>
  </w:style>
  <w:style w:type="paragraph" w:styleId="BalloonText">
    <w:name w:val="Balloon Text"/>
    <w:basedOn w:val="Normal"/>
    <w:link w:val="BalloonTextChar"/>
    <w:uiPriority w:val="99"/>
    <w:unhideWhenUsed/>
    <w:rsid w:val="00BD4A22"/>
    <w:pPr>
      <w:numPr>
        <w:numId w:val="24"/>
      </w:num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D4A22"/>
    <w:rPr>
      <w:rFonts w:ascii="Segoe UI" w:eastAsiaTheme="minorEastAsia" w:hAnsi="Segoe UI" w:cs="Segoe UI"/>
      <w:sz w:val="18"/>
      <w:szCs w:val="18"/>
      <w:lang w:val="en-US" w:eastAsia="ja-JP"/>
    </w:rPr>
  </w:style>
  <w:style w:type="paragraph" w:styleId="Header">
    <w:name w:val="header"/>
    <w:basedOn w:val="Normal"/>
    <w:link w:val="HeaderChar"/>
    <w:uiPriority w:val="99"/>
    <w:unhideWhenUsed/>
    <w:rsid w:val="00BD4A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A22"/>
    <w:rPr>
      <w:rFonts w:ascii="Arial" w:eastAsiaTheme="minorEastAsia" w:hAnsi="Arial"/>
      <w:szCs w:val="24"/>
      <w:lang w:val="en-US" w:eastAsia="ja-JP"/>
    </w:rPr>
  </w:style>
  <w:style w:type="paragraph" w:styleId="Footer">
    <w:name w:val="footer"/>
    <w:basedOn w:val="Normal"/>
    <w:link w:val="FooterChar"/>
    <w:uiPriority w:val="99"/>
    <w:unhideWhenUsed/>
    <w:rsid w:val="00BD4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A22"/>
    <w:rPr>
      <w:rFonts w:ascii="Arial" w:eastAsiaTheme="minorEastAsia" w:hAnsi="Arial"/>
      <w:szCs w:val="24"/>
      <w:lang w:val="en-US" w:eastAsia="ja-JP"/>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Number"/>
    <w:basedOn w:val="Normal"/>
    <w:link w:val="ListParagraphChar"/>
    <w:uiPriority w:val="34"/>
    <w:qFormat/>
    <w:rsid w:val="00BD4A22"/>
    <w:pPr>
      <w:ind w:left="720"/>
      <w:contextualSpacing/>
    </w:pPr>
  </w:style>
  <w:style w:type="paragraph" w:customStyle="1" w:styleId="tablelistbullet">
    <w:name w:val="table list bullet"/>
    <w:basedOn w:val="ListParagraph"/>
    <w:rsid w:val="00BD4A22"/>
    <w:pPr>
      <w:numPr>
        <w:numId w:val="2"/>
      </w:numPr>
      <w:tabs>
        <w:tab w:val="num" w:pos="360"/>
      </w:tabs>
      <w:spacing w:after="120" w:line="240" w:lineRule="auto"/>
      <w:ind w:firstLine="0"/>
    </w:pPr>
    <w:rPr>
      <w:rFonts w:eastAsia="MS Mincho" w:cs="FSMe-Bold"/>
      <w:spacing w:val="-2"/>
      <w:sz w:val="20"/>
      <w:szCs w:val="20"/>
      <w:lang w:eastAsia="en-US"/>
    </w:r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qFormat/>
    <w:locked/>
    <w:rsid w:val="00BD4A22"/>
    <w:rPr>
      <w:rFonts w:ascii="Arial" w:eastAsiaTheme="minorEastAsia" w:hAnsi="Arial"/>
      <w:szCs w:val="24"/>
      <w:lang w:val="en-US" w:eastAsia="ja-JP"/>
    </w:rPr>
  </w:style>
  <w:style w:type="paragraph" w:customStyle="1" w:styleId="FSRlist">
    <w:name w:val="FSR_list"/>
    <w:basedOn w:val="ListParagraph"/>
    <w:link w:val="FSRlistChar"/>
    <w:qFormat/>
    <w:rsid w:val="00BD4A22"/>
    <w:pPr>
      <w:numPr>
        <w:numId w:val="4"/>
      </w:numPr>
      <w:spacing w:before="120" w:after="120"/>
      <w:contextualSpacing w:val="0"/>
    </w:pPr>
  </w:style>
  <w:style w:type="paragraph" w:customStyle="1" w:styleId="FSRsublist">
    <w:name w:val="FSR_sublist"/>
    <w:basedOn w:val="ListParagraph"/>
    <w:link w:val="FSRsublistChar"/>
    <w:qFormat/>
    <w:rsid w:val="00BD4A22"/>
    <w:pPr>
      <w:numPr>
        <w:ilvl w:val="1"/>
        <w:numId w:val="3"/>
      </w:numPr>
      <w:spacing w:after="0"/>
    </w:pPr>
  </w:style>
  <w:style w:type="character" w:customStyle="1" w:styleId="FSRlistChar">
    <w:name w:val="FSR_list Char"/>
    <w:basedOn w:val="ListParagraphChar"/>
    <w:link w:val="FSRlist"/>
    <w:rsid w:val="00BD4A22"/>
    <w:rPr>
      <w:rFonts w:ascii="Arial" w:eastAsiaTheme="minorEastAsia" w:hAnsi="Arial"/>
      <w:szCs w:val="24"/>
      <w:lang w:val="en-US" w:eastAsia="ja-JP"/>
    </w:rPr>
  </w:style>
  <w:style w:type="paragraph" w:customStyle="1" w:styleId="FSRnormal">
    <w:name w:val="FSR_normal"/>
    <w:basedOn w:val="Normal"/>
    <w:link w:val="FSRnormalChar"/>
    <w:qFormat/>
    <w:rsid w:val="00BD4A22"/>
    <w:pPr>
      <w:spacing w:before="240"/>
    </w:pPr>
  </w:style>
  <w:style w:type="character" w:customStyle="1" w:styleId="FSRnormalChar">
    <w:name w:val="FSR_normal Char"/>
    <w:basedOn w:val="DefaultParagraphFont"/>
    <w:link w:val="FSRnormal"/>
    <w:rsid w:val="00BD4A22"/>
    <w:rPr>
      <w:rFonts w:ascii="Arial" w:eastAsiaTheme="minorEastAsia" w:hAnsi="Arial"/>
      <w:szCs w:val="24"/>
      <w:lang w:val="en-US" w:eastAsia="ja-JP"/>
    </w:rPr>
  </w:style>
  <w:style w:type="paragraph" w:customStyle="1" w:styleId="FSRHeading2">
    <w:name w:val="FSR_Heading2"/>
    <w:basedOn w:val="Heading3"/>
    <w:link w:val="FSRHeading2Char"/>
    <w:qFormat/>
    <w:rsid w:val="00BD4A22"/>
    <w:pPr>
      <w:keepNext/>
      <w:numPr>
        <w:numId w:val="2"/>
      </w:numPr>
      <w:spacing w:before="480" w:after="120"/>
    </w:pPr>
  </w:style>
  <w:style w:type="character" w:customStyle="1" w:styleId="FSRHeading2Char">
    <w:name w:val="FSR_Heading2 Char"/>
    <w:basedOn w:val="Heading3Char"/>
    <w:link w:val="FSRHeading2"/>
    <w:rsid w:val="00BD4A22"/>
    <w:rPr>
      <w:rFonts w:ascii="Arial" w:hAnsi="Arial"/>
      <w:b/>
      <w:color w:val="6A2875"/>
      <w:sz w:val="36"/>
      <w:szCs w:val="44"/>
      <w:lang w:eastAsia="ja-JP"/>
    </w:rPr>
  </w:style>
  <w:style w:type="paragraph" w:customStyle="1" w:styleId="FSRzlegislation">
    <w:name w:val="FSR_zlegislation"/>
    <w:basedOn w:val="FSRsublist"/>
    <w:link w:val="FSRzlegislationChar"/>
    <w:qFormat/>
    <w:rsid w:val="00BD4A22"/>
    <w:pPr>
      <w:numPr>
        <w:ilvl w:val="0"/>
        <w:numId w:val="5"/>
      </w:numPr>
      <w:ind w:left="1208" w:hanging="357"/>
    </w:pPr>
    <w:rPr>
      <w:i/>
    </w:rPr>
  </w:style>
  <w:style w:type="character" w:customStyle="1" w:styleId="FSRzlegislationChar">
    <w:name w:val="FSR_zlegislation Char"/>
    <w:basedOn w:val="DefaultParagraphFont"/>
    <w:link w:val="FSRzlegislation"/>
    <w:rsid w:val="00BD4A22"/>
    <w:rPr>
      <w:rFonts w:ascii="Arial" w:eastAsiaTheme="minorEastAsia" w:hAnsi="Arial"/>
      <w:i/>
      <w:szCs w:val="24"/>
      <w:lang w:eastAsia="ja-JP"/>
    </w:rPr>
  </w:style>
  <w:style w:type="character" w:customStyle="1" w:styleId="Heading1Char">
    <w:name w:val="Heading 1 Char"/>
    <w:basedOn w:val="DefaultParagraphFont"/>
    <w:link w:val="Heading1"/>
    <w:uiPriority w:val="9"/>
    <w:rsid w:val="00CC17C2"/>
    <w:rPr>
      <w:rFonts w:asciiTheme="majorHAnsi" w:eastAsiaTheme="majorEastAsia" w:hAnsiTheme="majorHAnsi" w:cstheme="majorBidi"/>
      <w:color w:val="2E74B5" w:themeColor="accent1" w:themeShade="BF"/>
      <w:sz w:val="32"/>
      <w:szCs w:val="32"/>
      <w:lang w:val="en-US" w:eastAsia="ja-JP"/>
    </w:rPr>
  </w:style>
  <w:style w:type="paragraph" w:styleId="TOCHeading">
    <w:name w:val="TOC Heading"/>
    <w:basedOn w:val="Heading1"/>
    <w:next w:val="Normal"/>
    <w:uiPriority w:val="39"/>
    <w:unhideWhenUsed/>
    <w:qFormat/>
    <w:rsid w:val="00F667A9"/>
    <w:pPr>
      <w:spacing w:line="259" w:lineRule="auto"/>
      <w:outlineLvl w:val="9"/>
    </w:pPr>
    <w:rPr>
      <w:b/>
      <w:color w:val="6A2875"/>
      <w:lang w:eastAsia="en-US"/>
    </w:rPr>
  </w:style>
  <w:style w:type="paragraph" w:styleId="TOC2">
    <w:name w:val="toc 2"/>
    <w:basedOn w:val="Normal"/>
    <w:next w:val="Normal"/>
    <w:autoRedefine/>
    <w:uiPriority w:val="39"/>
    <w:unhideWhenUsed/>
    <w:rsid w:val="00E30044"/>
    <w:pPr>
      <w:tabs>
        <w:tab w:val="left" w:pos="660"/>
        <w:tab w:val="right" w:leader="dot" w:pos="9016"/>
      </w:tabs>
      <w:spacing w:after="100"/>
      <w:ind w:left="220"/>
    </w:pPr>
  </w:style>
  <w:style w:type="paragraph" w:styleId="TOC3">
    <w:name w:val="toc 3"/>
    <w:basedOn w:val="Normal"/>
    <w:next w:val="Normal"/>
    <w:autoRedefine/>
    <w:uiPriority w:val="39"/>
    <w:unhideWhenUsed/>
    <w:rsid w:val="00EC3FD2"/>
    <w:pPr>
      <w:tabs>
        <w:tab w:val="left" w:pos="1100"/>
        <w:tab w:val="right" w:leader="dot" w:pos="9016"/>
      </w:tabs>
      <w:spacing w:after="100"/>
      <w:ind w:left="440"/>
    </w:pPr>
  </w:style>
  <w:style w:type="character" w:styleId="Hyperlink">
    <w:name w:val="Hyperlink"/>
    <w:basedOn w:val="DefaultParagraphFont"/>
    <w:uiPriority w:val="99"/>
    <w:unhideWhenUsed/>
    <w:rsid w:val="00CC17C2"/>
    <w:rPr>
      <w:color w:val="0563C1" w:themeColor="hyperlink"/>
      <w:u w:val="single"/>
    </w:rPr>
  </w:style>
  <w:style w:type="paragraph" w:styleId="FootnoteText">
    <w:name w:val="footnote text"/>
    <w:basedOn w:val="Normal"/>
    <w:link w:val="FootnoteTextChar"/>
    <w:uiPriority w:val="99"/>
    <w:unhideWhenUsed/>
    <w:qFormat/>
    <w:rsid w:val="0078552F"/>
    <w:pPr>
      <w:spacing w:after="0" w:line="240" w:lineRule="auto"/>
    </w:pPr>
    <w:rPr>
      <w:sz w:val="20"/>
      <w:szCs w:val="20"/>
    </w:rPr>
  </w:style>
  <w:style w:type="character" w:customStyle="1" w:styleId="FootnoteTextChar">
    <w:name w:val="Footnote Text Char"/>
    <w:basedOn w:val="DefaultParagraphFont"/>
    <w:link w:val="FootnoteText"/>
    <w:uiPriority w:val="99"/>
    <w:rsid w:val="0078552F"/>
    <w:rPr>
      <w:rFonts w:ascii="Arial" w:eastAsiaTheme="minorEastAsia" w:hAnsi="Arial"/>
      <w:sz w:val="20"/>
      <w:szCs w:val="20"/>
      <w:lang w:val="en-US" w:eastAsia="ja-JP"/>
    </w:rPr>
  </w:style>
  <w:style w:type="character" w:styleId="FootnoteReference">
    <w:name w:val="footnote reference"/>
    <w:basedOn w:val="DefaultParagraphFont"/>
    <w:uiPriority w:val="99"/>
    <w:unhideWhenUsed/>
    <w:rsid w:val="0078552F"/>
    <w:rPr>
      <w:vertAlign w:val="superscript"/>
    </w:rPr>
  </w:style>
  <w:style w:type="paragraph" w:customStyle="1" w:styleId="sectiontext">
    <w:name w:val="section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paragraphtext">
    <w:name w:val="paragraph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subparagraphtext">
    <w:name w:val="subparagraph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styleId="Caption">
    <w:name w:val="caption"/>
    <w:basedOn w:val="Normal"/>
    <w:next w:val="Normal"/>
    <w:link w:val="CaptionChar"/>
    <w:uiPriority w:val="35"/>
    <w:unhideWhenUsed/>
    <w:qFormat/>
    <w:rsid w:val="006D2A58"/>
    <w:pPr>
      <w:spacing w:line="240" w:lineRule="auto"/>
    </w:pPr>
    <w:rPr>
      <w:b/>
      <w:iCs/>
      <w:color w:val="000000" w:themeColor="text1"/>
      <w:szCs w:val="18"/>
    </w:rPr>
  </w:style>
  <w:style w:type="paragraph" w:customStyle="1" w:styleId="FSRNumberedList">
    <w:name w:val="FSR_NumberedList"/>
    <w:basedOn w:val="FSRlist"/>
    <w:link w:val="FSRNumberedListChar"/>
    <w:qFormat/>
    <w:rsid w:val="006B42A8"/>
    <w:pPr>
      <w:numPr>
        <w:numId w:val="6"/>
      </w:numPr>
    </w:pPr>
    <w:rPr>
      <w:rFonts w:cs="Arial"/>
    </w:rPr>
  </w:style>
  <w:style w:type="character" w:customStyle="1" w:styleId="FSRNumberedListChar">
    <w:name w:val="FSR_NumberedList Char"/>
    <w:basedOn w:val="FSRlistChar"/>
    <w:link w:val="FSRNumberedList"/>
    <w:rsid w:val="006B42A8"/>
    <w:rPr>
      <w:rFonts w:ascii="Arial" w:eastAsiaTheme="minorEastAsia" w:hAnsi="Arial" w:cs="Arial"/>
      <w:szCs w:val="24"/>
      <w:lang w:val="en-US" w:eastAsia="ja-JP"/>
    </w:rPr>
  </w:style>
  <w:style w:type="paragraph" w:styleId="CommentSubject">
    <w:name w:val="annotation subject"/>
    <w:basedOn w:val="CommentText"/>
    <w:next w:val="CommentText"/>
    <w:link w:val="CommentSubjectChar"/>
    <w:uiPriority w:val="99"/>
    <w:semiHidden/>
    <w:unhideWhenUsed/>
    <w:rsid w:val="004555AD"/>
    <w:rPr>
      <w:b/>
      <w:bCs/>
    </w:rPr>
  </w:style>
  <w:style w:type="character" w:customStyle="1" w:styleId="CommentSubjectChar">
    <w:name w:val="Comment Subject Char"/>
    <w:basedOn w:val="CommentTextChar"/>
    <w:link w:val="CommentSubject"/>
    <w:uiPriority w:val="99"/>
    <w:semiHidden/>
    <w:rsid w:val="004555AD"/>
    <w:rPr>
      <w:rFonts w:ascii="Arial" w:eastAsiaTheme="minorEastAsia" w:hAnsi="Arial"/>
      <w:b/>
      <w:bCs/>
      <w:sz w:val="20"/>
      <w:szCs w:val="20"/>
      <w:lang w:val="en-US" w:eastAsia="ja-JP"/>
    </w:rPr>
  </w:style>
  <w:style w:type="paragraph" w:customStyle="1" w:styleId="Tables">
    <w:name w:val="Tables"/>
    <w:basedOn w:val="Caption"/>
    <w:link w:val="TablesChar"/>
    <w:qFormat/>
    <w:rsid w:val="00F60243"/>
    <w:pPr>
      <w:keepNext/>
      <w:spacing w:after="120"/>
    </w:pPr>
    <w:rPr>
      <w:rFonts w:eastAsiaTheme="minorHAnsi"/>
      <w:bCs/>
      <w:iCs w:val="0"/>
      <w:color w:val="auto"/>
      <w:lang w:eastAsia="en-US"/>
    </w:rPr>
  </w:style>
  <w:style w:type="character" w:customStyle="1" w:styleId="TablesChar">
    <w:name w:val="Tables Char"/>
    <w:basedOn w:val="DefaultParagraphFont"/>
    <w:link w:val="Tables"/>
    <w:rsid w:val="00F60243"/>
    <w:rPr>
      <w:rFonts w:ascii="Arial" w:hAnsi="Arial"/>
      <w:b/>
      <w:bCs/>
      <w:szCs w:val="18"/>
    </w:rPr>
  </w:style>
  <w:style w:type="table" w:styleId="TableGrid">
    <w:name w:val="Table Grid"/>
    <w:basedOn w:val="TableNormal"/>
    <w:uiPriority w:val="39"/>
    <w:rsid w:val="00F71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6D8F"/>
    <w:rPr>
      <w:color w:val="954F72" w:themeColor="followedHyperlink"/>
      <w:u w:val="single"/>
    </w:rPr>
  </w:style>
  <w:style w:type="paragraph" w:customStyle="1" w:styleId="FSRHeading4">
    <w:name w:val="FSR_Heading4"/>
    <w:basedOn w:val="Normal"/>
    <w:link w:val="FSRHeading4Char"/>
    <w:qFormat/>
    <w:rsid w:val="00BD1EFE"/>
    <w:pPr>
      <w:keepNext/>
      <w:spacing w:before="240"/>
    </w:pPr>
    <w:rPr>
      <w:b/>
      <w:i/>
      <w:color w:val="6B2976"/>
      <w:sz w:val="25"/>
    </w:rPr>
  </w:style>
  <w:style w:type="character" w:customStyle="1" w:styleId="FSRHeading4Char">
    <w:name w:val="FSR_Heading4 Char"/>
    <w:basedOn w:val="DefaultParagraphFont"/>
    <w:link w:val="FSRHeading4"/>
    <w:rsid w:val="00BD1EFE"/>
    <w:rPr>
      <w:rFonts w:ascii="Arial" w:eastAsiaTheme="minorEastAsia" w:hAnsi="Arial"/>
      <w:b/>
      <w:i/>
      <w:color w:val="6B2976"/>
      <w:sz w:val="25"/>
      <w:szCs w:val="24"/>
      <w:lang w:val="en-US" w:eastAsia="ja-JP"/>
    </w:rPr>
  </w:style>
  <w:style w:type="paragraph" w:customStyle="1" w:styleId="FSRHeading3">
    <w:name w:val="FSR_Heading3"/>
    <w:basedOn w:val="Heading4"/>
    <w:link w:val="FSRHeading3Char"/>
    <w:qFormat/>
    <w:rsid w:val="009E1218"/>
    <w:pPr>
      <w:numPr>
        <w:numId w:val="2"/>
      </w:numPr>
      <w:spacing w:before="480"/>
    </w:pPr>
  </w:style>
  <w:style w:type="character" w:customStyle="1" w:styleId="FSRHeading3Char">
    <w:name w:val="FSR_Heading3 Char"/>
    <w:basedOn w:val="Heading4Char"/>
    <w:link w:val="FSRHeading3"/>
    <w:rsid w:val="009E1218"/>
    <w:rPr>
      <w:rFonts w:ascii="Arial" w:hAnsi="Arial"/>
      <w:b/>
      <w:color w:val="6A2875"/>
      <w:sz w:val="30"/>
      <w:szCs w:val="30"/>
      <w:lang w:eastAsia="ja-JP"/>
    </w:rPr>
  </w:style>
  <w:style w:type="paragraph" w:styleId="Revision">
    <w:name w:val="Revision"/>
    <w:hidden/>
    <w:uiPriority w:val="99"/>
    <w:semiHidden/>
    <w:rsid w:val="00D056B6"/>
    <w:pPr>
      <w:spacing w:after="0" w:line="240" w:lineRule="auto"/>
    </w:pPr>
    <w:rPr>
      <w:rFonts w:ascii="Arial" w:eastAsiaTheme="minorEastAsia" w:hAnsi="Arial"/>
      <w:szCs w:val="24"/>
      <w:lang w:val="en-US" w:eastAsia="ja-JP"/>
    </w:rPr>
  </w:style>
  <w:style w:type="character" w:customStyle="1" w:styleId="FSRsublistChar">
    <w:name w:val="FSR_sublist Char"/>
    <w:basedOn w:val="ListParagraphChar"/>
    <w:link w:val="FSRsublist"/>
    <w:rsid w:val="00F02968"/>
    <w:rPr>
      <w:rFonts w:ascii="Arial" w:eastAsiaTheme="minorEastAsia" w:hAnsi="Arial"/>
      <w:szCs w:val="24"/>
      <w:lang w:val="en-US" w:eastAsia="ja-JP"/>
    </w:rPr>
  </w:style>
  <w:style w:type="table" w:styleId="GridTable5Dark-Accent1">
    <w:name w:val="Grid Table 5 Dark Accent 1"/>
    <w:basedOn w:val="TableNormal"/>
    <w:uiPriority w:val="50"/>
    <w:rsid w:val="001548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
    <w:name w:val="Table Grid1"/>
    <w:basedOn w:val="TableNormal"/>
    <w:next w:val="TableGrid"/>
    <w:uiPriority w:val="39"/>
    <w:rsid w:val="0021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s">
    <w:name w:val="Figures"/>
    <w:basedOn w:val="Tables"/>
    <w:link w:val="FiguresChar"/>
    <w:qFormat/>
    <w:rsid w:val="00650643"/>
  </w:style>
  <w:style w:type="character" w:customStyle="1" w:styleId="FiguresChar">
    <w:name w:val="Figures Char"/>
    <w:basedOn w:val="TablesChar"/>
    <w:link w:val="Figures"/>
    <w:rsid w:val="00650643"/>
    <w:rPr>
      <w:rFonts w:ascii="Arial" w:hAnsi="Arial"/>
      <w:b/>
      <w:bCs/>
      <w:szCs w:val="18"/>
    </w:rPr>
  </w:style>
  <w:style w:type="paragraph" w:styleId="NormalWeb">
    <w:name w:val="Normal (Web)"/>
    <w:basedOn w:val="Normal"/>
    <w:uiPriority w:val="99"/>
    <w:semiHidden/>
    <w:unhideWhenUsed/>
    <w:rsid w:val="00650643"/>
    <w:pPr>
      <w:spacing w:before="100" w:beforeAutospacing="1" w:after="100" w:afterAutospacing="1" w:line="240" w:lineRule="auto"/>
    </w:pPr>
    <w:rPr>
      <w:rFonts w:ascii="Times New Roman" w:hAnsi="Times New Roman" w:cs="Times New Roman"/>
      <w:sz w:val="24"/>
      <w:lang w:eastAsia="en-AU"/>
    </w:rPr>
  </w:style>
  <w:style w:type="paragraph" w:styleId="IntenseQuote">
    <w:name w:val="Intense Quote"/>
    <w:basedOn w:val="Normal"/>
    <w:next w:val="Normal"/>
    <w:link w:val="IntenseQuoteChar"/>
    <w:uiPriority w:val="30"/>
    <w:qFormat/>
    <w:rsid w:val="0040768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0768F"/>
    <w:rPr>
      <w:rFonts w:ascii="Arial" w:eastAsiaTheme="minorEastAsia" w:hAnsi="Arial"/>
      <w:b/>
      <w:bCs/>
      <w:i/>
      <w:iCs/>
      <w:szCs w:val="24"/>
      <w:lang w:val="en-US" w:eastAsia="ja-JP"/>
    </w:rPr>
  </w:style>
  <w:style w:type="character" w:customStyle="1" w:styleId="CaptionChar">
    <w:name w:val="Caption Char"/>
    <w:basedOn w:val="DefaultParagraphFont"/>
    <w:link w:val="Caption"/>
    <w:uiPriority w:val="35"/>
    <w:rsid w:val="0040768F"/>
    <w:rPr>
      <w:rFonts w:ascii="Arial" w:eastAsiaTheme="minorEastAsia" w:hAnsi="Arial"/>
      <w:b/>
      <w:iCs/>
      <w:color w:val="000000" w:themeColor="text1"/>
      <w:szCs w:val="18"/>
      <w:lang w:val="en-US" w:eastAsia="ja-JP"/>
    </w:rPr>
  </w:style>
  <w:style w:type="paragraph" w:customStyle="1" w:styleId="Heading1-Nonumbers">
    <w:name w:val="Heading 1 - No numbers"/>
    <w:basedOn w:val="Normal"/>
    <w:link w:val="Heading1-NonumbersChar"/>
    <w:rsid w:val="00FF7CFD"/>
    <w:pPr>
      <w:spacing w:before="480" w:after="320" w:line="276" w:lineRule="auto"/>
      <w:contextualSpacing/>
      <w:outlineLvl w:val="0"/>
    </w:pPr>
    <w:rPr>
      <w:rFonts w:eastAsiaTheme="majorEastAsia" w:cstheme="majorBidi"/>
      <w:b/>
      <w:bCs/>
      <w:color w:val="ED7D31" w:themeColor="accent2"/>
      <w:sz w:val="36"/>
      <w:szCs w:val="36"/>
      <w:lang w:eastAsia="en-US"/>
    </w:rPr>
  </w:style>
  <w:style w:type="character" w:customStyle="1" w:styleId="Heading1-NonumbersChar">
    <w:name w:val="Heading 1 - No numbers Char"/>
    <w:basedOn w:val="DefaultParagraphFont"/>
    <w:link w:val="Heading1-Nonumbers"/>
    <w:rsid w:val="00FF7CFD"/>
    <w:rPr>
      <w:rFonts w:ascii="Arial" w:eastAsiaTheme="majorEastAsia" w:hAnsi="Arial" w:cstheme="majorBidi"/>
      <w:b/>
      <w:bCs/>
      <w:color w:val="ED7D31" w:themeColor="accent2"/>
      <w:sz w:val="36"/>
      <w:szCs w:val="36"/>
    </w:rPr>
  </w:style>
  <w:style w:type="table" w:styleId="GridTable4-Accent6">
    <w:name w:val="Grid Table 4 Accent 6"/>
    <w:basedOn w:val="TableNormal"/>
    <w:uiPriority w:val="49"/>
    <w:rsid w:val="00286D1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5Char">
    <w:name w:val="Heading 5 Char"/>
    <w:basedOn w:val="DefaultParagraphFont"/>
    <w:link w:val="Heading5"/>
    <w:uiPriority w:val="9"/>
    <w:rsid w:val="007E3443"/>
    <w:rPr>
      <w:rFonts w:asciiTheme="majorHAnsi" w:eastAsiaTheme="majorEastAsia" w:hAnsiTheme="majorHAnsi" w:cstheme="majorBidi"/>
      <w:color w:val="2E74B5" w:themeColor="accent1" w:themeShade="BF"/>
      <w:szCs w:val="24"/>
      <w:lang w:val="en-US" w:eastAsia="ja-JP"/>
    </w:rPr>
  </w:style>
  <w:style w:type="paragraph" w:customStyle="1" w:styleId="ParagraphSection">
    <w:name w:val="ParagraphSection"/>
    <w:basedOn w:val="ListParagraph"/>
    <w:qFormat/>
    <w:rsid w:val="002236EA"/>
    <w:pPr>
      <w:numPr>
        <w:numId w:val="9"/>
      </w:numPr>
      <w:spacing w:before="240" w:after="240" w:line="276" w:lineRule="auto"/>
      <w:contextualSpacing w:val="0"/>
    </w:pPr>
  </w:style>
  <w:style w:type="paragraph" w:styleId="Quote">
    <w:name w:val="Quote"/>
    <w:basedOn w:val="Normal"/>
    <w:next w:val="Normal"/>
    <w:link w:val="QuoteChar"/>
    <w:uiPriority w:val="29"/>
    <w:qFormat/>
    <w:rsid w:val="00CB373B"/>
    <w:pPr>
      <w:spacing w:before="200" w:after="0"/>
      <w:ind w:left="360" w:right="360"/>
    </w:pPr>
    <w:rPr>
      <w:i/>
      <w:iCs/>
    </w:rPr>
  </w:style>
  <w:style w:type="character" w:customStyle="1" w:styleId="QuoteChar">
    <w:name w:val="Quote Char"/>
    <w:basedOn w:val="DefaultParagraphFont"/>
    <w:link w:val="Quote"/>
    <w:uiPriority w:val="29"/>
    <w:rsid w:val="00CB373B"/>
    <w:rPr>
      <w:rFonts w:ascii="Arial" w:eastAsiaTheme="minorEastAsia" w:hAnsi="Arial"/>
      <w:i/>
      <w:iCs/>
      <w:szCs w:val="24"/>
      <w:lang w:eastAsia="ja-JP"/>
    </w:rPr>
  </w:style>
  <w:style w:type="character" w:styleId="Strong">
    <w:name w:val="Strong"/>
    <w:basedOn w:val="DefaultParagraphFont"/>
    <w:uiPriority w:val="22"/>
    <w:qFormat/>
    <w:rsid w:val="000A3EB4"/>
    <w:rPr>
      <w:b/>
      <w:bCs/>
    </w:rPr>
  </w:style>
  <w:style w:type="paragraph" w:customStyle="1" w:styleId="1jb">
    <w:name w:val="1 jb"/>
    <w:basedOn w:val="ListParagraph"/>
    <w:link w:val="1jbChar"/>
    <w:qFormat/>
    <w:rsid w:val="00D272A2"/>
    <w:pPr>
      <w:numPr>
        <w:numId w:val="25"/>
      </w:numPr>
      <w:spacing w:after="160" w:line="259" w:lineRule="auto"/>
      <w:ind w:left="426" w:hanging="426"/>
    </w:pPr>
    <w:rPr>
      <w:rFonts w:asciiTheme="minorHAnsi" w:eastAsiaTheme="minorHAnsi" w:hAnsiTheme="minorHAnsi"/>
      <w:b/>
      <w:szCs w:val="22"/>
      <w:lang w:eastAsia="en-US"/>
    </w:rPr>
  </w:style>
  <w:style w:type="character" w:customStyle="1" w:styleId="1jbChar">
    <w:name w:val="1 jb Char"/>
    <w:basedOn w:val="DefaultParagraphFont"/>
    <w:link w:val="1jb"/>
    <w:rsid w:val="00D272A2"/>
    <w:rPr>
      <w:b/>
    </w:rPr>
  </w:style>
  <w:style w:type="character" w:styleId="PlaceholderText">
    <w:name w:val="Placeholder Text"/>
    <w:basedOn w:val="DefaultParagraphFont"/>
    <w:uiPriority w:val="99"/>
    <w:semiHidden/>
    <w:rsid w:val="000E6147"/>
    <w:rPr>
      <w:color w:val="808080"/>
    </w:rPr>
  </w:style>
  <w:style w:type="paragraph" w:styleId="NoSpacing">
    <w:name w:val="No Spacing"/>
    <w:uiPriority w:val="1"/>
    <w:qFormat/>
    <w:rsid w:val="00292A59"/>
    <w:pPr>
      <w:spacing w:after="0" w:line="240" w:lineRule="auto"/>
    </w:pPr>
    <w:rPr>
      <w:rFonts w:ascii="Arial" w:eastAsiaTheme="minorEastAsia" w:hAnsi="Arial"/>
      <w:szCs w:val="24"/>
      <w:lang w:eastAsia="ja-JP"/>
    </w:rPr>
  </w:style>
  <w:style w:type="character" w:customStyle="1" w:styleId="UnresolvedMention">
    <w:name w:val="Unresolved Mention"/>
    <w:basedOn w:val="DefaultParagraphFont"/>
    <w:uiPriority w:val="99"/>
    <w:semiHidden/>
    <w:unhideWhenUsed/>
    <w:rsid w:val="00593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0913">
      <w:bodyDiv w:val="1"/>
      <w:marLeft w:val="0"/>
      <w:marRight w:val="0"/>
      <w:marTop w:val="0"/>
      <w:marBottom w:val="0"/>
      <w:divBdr>
        <w:top w:val="none" w:sz="0" w:space="0" w:color="auto"/>
        <w:left w:val="none" w:sz="0" w:space="0" w:color="auto"/>
        <w:bottom w:val="none" w:sz="0" w:space="0" w:color="auto"/>
        <w:right w:val="none" w:sz="0" w:space="0" w:color="auto"/>
      </w:divBdr>
      <w:divsChild>
        <w:div w:id="1086683885">
          <w:marLeft w:val="547"/>
          <w:marRight w:val="0"/>
          <w:marTop w:val="0"/>
          <w:marBottom w:val="0"/>
          <w:divBdr>
            <w:top w:val="none" w:sz="0" w:space="0" w:color="auto"/>
            <w:left w:val="none" w:sz="0" w:space="0" w:color="auto"/>
            <w:bottom w:val="none" w:sz="0" w:space="0" w:color="auto"/>
            <w:right w:val="none" w:sz="0" w:space="0" w:color="auto"/>
          </w:divBdr>
        </w:div>
      </w:divsChild>
    </w:div>
    <w:div w:id="135413999">
      <w:bodyDiv w:val="1"/>
      <w:marLeft w:val="0"/>
      <w:marRight w:val="0"/>
      <w:marTop w:val="0"/>
      <w:marBottom w:val="0"/>
      <w:divBdr>
        <w:top w:val="none" w:sz="0" w:space="0" w:color="auto"/>
        <w:left w:val="none" w:sz="0" w:space="0" w:color="auto"/>
        <w:bottom w:val="none" w:sz="0" w:space="0" w:color="auto"/>
        <w:right w:val="none" w:sz="0" w:space="0" w:color="auto"/>
      </w:divBdr>
    </w:div>
    <w:div w:id="138152127">
      <w:bodyDiv w:val="1"/>
      <w:marLeft w:val="0"/>
      <w:marRight w:val="0"/>
      <w:marTop w:val="0"/>
      <w:marBottom w:val="0"/>
      <w:divBdr>
        <w:top w:val="none" w:sz="0" w:space="0" w:color="auto"/>
        <w:left w:val="none" w:sz="0" w:space="0" w:color="auto"/>
        <w:bottom w:val="none" w:sz="0" w:space="0" w:color="auto"/>
        <w:right w:val="none" w:sz="0" w:space="0" w:color="auto"/>
      </w:divBdr>
    </w:div>
    <w:div w:id="270472749">
      <w:bodyDiv w:val="1"/>
      <w:marLeft w:val="0"/>
      <w:marRight w:val="0"/>
      <w:marTop w:val="0"/>
      <w:marBottom w:val="0"/>
      <w:divBdr>
        <w:top w:val="none" w:sz="0" w:space="0" w:color="auto"/>
        <w:left w:val="none" w:sz="0" w:space="0" w:color="auto"/>
        <w:bottom w:val="none" w:sz="0" w:space="0" w:color="auto"/>
        <w:right w:val="none" w:sz="0" w:space="0" w:color="auto"/>
      </w:divBdr>
      <w:divsChild>
        <w:div w:id="1284506324">
          <w:marLeft w:val="360"/>
          <w:marRight w:val="0"/>
          <w:marTop w:val="0"/>
          <w:marBottom w:val="0"/>
          <w:divBdr>
            <w:top w:val="none" w:sz="0" w:space="0" w:color="auto"/>
            <w:left w:val="none" w:sz="0" w:space="0" w:color="auto"/>
            <w:bottom w:val="none" w:sz="0" w:space="0" w:color="auto"/>
            <w:right w:val="none" w:sz="0" w:space="0" w:color="auto"/>
          </w:divBdr>
        </w:div>
      </w:divsChild>
    </w:div>
    <w:div w:id="455107255">
      <w:bodyDiv w:val="1"/>
      <w:marLeft w:val="0"/>
      <w:marRight w:val="0"/>
      <w:marTop w:val="0"/>
      <w:marBottom w:val="0"/>
      <w:divBdr>
        <w:top w:val="none" w:sz="0" w:space="0" w:color="auto"/>
        <w:left w:val="none" w:sz="0" w:space="0" w:color="auto"/>
        <w:bottom w:val="none" w:sz="0" w:space="0" w:color="auto"/>
        <w:right w:val="none" w:sz="0" w:space="0" w:color="auto"/>
      </w:divBdr>
    </w:div>
    <w:div w:id="527448726">
      <w:bodyDiv w:val="1"/>
      <w:marLeft w:val="0"/>
      <w:marRight w:val="0"/>
      <w:marTop w:val="0"/>
      <w:marBottom w:val="0"/>
      <w:divBdr>
        <w:top w:val="none" w:sz="0" w:space="0" w:color="auto"/>
        <w:left w:val="none" w:sz="0" w:space="0" w:color="auto"/>
        <w:bottom w:val="none" w:sz="0" w:space="0" w:color="auto"/>
        <w:right w:val="none" w:sz="0" w:space="0" w:color="auto"/>
      </w:divBdr>
    </w:div>
    <w:div w:id="540938788">
      <w:bodyDiv w:val="1"/>
      <w:marLeft w:val="0"/>
      <w:marRight w:val="0"/>
      <w:marTop w:val="0"/>
      <w:marBottom w:val="0"/>
      <w:divBdr>
        <w:top w:val="none" w:sz="0" w:space="0" w:color="auto"/>
        <w:left w:val="none" w:sz="0" w:space="0" w:color="auto"/>
        <w:bottom w:val="none" w:sz="0" w:space="0" w:color="auto"/>
        <w:right w:val="none" w:sz="0" w:space="0" w:color="auto"/>
      </w:divBdr>
      <w:divsChild>
        <w:div w:id="1660570623">
          <w:marLeft w:val="0"/>
          <w:marRight w:val="0"/>
          <w:marTop w:val="0"/>
          <w:marBottom w:val="0"/>
          <w:divBdr>
            <w:top w:val="none" w:sz="0" w:space="0" w:color="auto"/>
            <w:left w:val="none" w:sz="0" w:space="0" w:color="auto"/>
            <w:bottom w:val="none" w:sz="0" w:space="0" w:color="auto"/>
            <w:right w:val="none" w:sz="0" w:space="0" w:color="auto"/>
          </w:divBdr>
        </w:div>
      </w:divsChild>
    </w:div>
    <w:div w:id="657222605">
      <w:bodyDiv w:val="1"/>
      <w:marLeft w:val="0"/>
      <w:marRight w:val="0"/>
      <w:marTop w:val="0"/>
      <w:marBottom w:val="0"/>
      <w:divBdr>
        <w:top w:val="none" w:sz="0" w:space="0" w:color="auto"/>
        <w:left w:val="none" w:sz="0" w:space="0" w:color="auto"/>
        <w:bottom w:val="none" w:sz="0" w:space="0" w:color="auto"/>
        <w:right w:val="none" w:sz="0" w:space="0" w:color="auto"/>
      </w:divBdr>
      <w:divsChild>
        <w:div w:id="1141462416">
          <w:marLeft w:val="360"/>
          <w:marRight w:val="0"/>
          <w:marTop w:val="0"/>
          <w:marBottom w:val="0"/>
          <w:divBdr>
            <w:top w:val="none" w:sz="0" w:space="0" w:color="auto"/>
            <w:left w:val="none" w:sz="0" w:space="0" w:color="auto"/>
            <w:bottom w:val="none" w:sz="0" w:space="0" w:color="auto"/>
            <w:right w:val="none" w:sz="0" w:space="0" w:color="auto"/>
          </w:divBdr>
        </w:div>
      </w:divsChild>
    </w:div>
    <w:div w:id="759718470">
      <w:bodyDiv w:val="1"/>
      <w:marLeft w:val="0"/>
      <w:marRight w:val="0"/>
      <w:marTop w:val="0"/>
      <w:marBottom w:val="0"/>
      <w:divBdr>
        <w:top w:val="none" w:sz="0" w:space="0" w:color="auto"/>
        <w:left w:val="none" w:sz="0" w:space="0" w:color="auto"/>
        <w:bottom w:val="none" w:sz="0" w:space="0" w:color="auto"/>
        <w:right w:val="none" w:sz="0" w:space="0" w:color="auto"/>
      </w:divBdr>
    </w:div>
    <w:div w:id="897286103">
      <w:bodyDiv w:val="1"/>
      <w:marLeft w:val="0"/>
      <w:marRight w:val="0"/>
      <w:marTop w:val="0"/>
      <w:marBottom w:val="0"/>
      <w:divBdr>
        <w:top w:val="none" w:sz="0" w:space="0" w:color="auto"/>
        <w:left w:val="none" w:sz="0" w:space="0" w:color="auto"/>
        <w:bottom w:val="none" w:sz="0" w:space="0" w:color="auto"/>
        <w:right w:val="none" w:sz="0" w:space="0" w:color="auto"/>
      </w:divBdr>
    </w:div>
    <w:div w:id="1006714880">
      <w:bodyDiv w:val="1"/>
      <w:marLeft w:val="0"/>
      <w:marRight w:val="0"/>
      <w:marTop w:val="0"/>
      <w:marBottom w:val="0"/>
      <w:divBdr>
        <w:top w:val="none" w:sz="0" w:space="0" w:color="auto"/>
        <w:left w:val="none" w:sz="0" w:space="0" w:color="auto"/>
        <w:bottom w:val="none" w:sz="0" w:space="0" w:color="auto"/>
        <w:right w:val="none" w:sz="0" w:space="0" w:color="auto"/>
      </w:divBdr>
    </w:div>
    <w:div w:id="1090392939">
      <w:bodyDiv w:val="1"/>
      <w:marLeft w:val="0"/>
      <w:marRight w:val="0"/>
      <w:marTop w:val="0"/>
      <w:marBottom w:val="0"/>
      <w:divBdr>
        <w:top w:val="none" w:sz="0" w:space="0" w:color="auto"/>
        <w:left w:val="none" w:sz="0" w:space="0" w:color="auto"/>
        <w:bottom w:val="none" w:sz="0" w:space="0" w:color="auto"/>
        <w:right w:val="none" w:sz="0" w:space="0" w:color="auto"/>
      </w:divBdr>
    </w:div>
    <w:div w:id="1098909866">
      <w:bodyDiv w:val="1"/>
      <w:marLeft w:val="0"/>
      <w:marRight w:val="0"/>
      <w:marTop w:val="0"/>
      <w:marBottom w:val="0"/>
      <w:divBdr>
        <w:top w:val="none" w:sz="0" w:space="0" w:color="auto"/>
        <w:left w:val="none" w:sz="0" w:space="0" w:color="auto"/>
        <w:bottom w:val="none" w:sz="0" w:space="0" w:color="auto"/>
        <w:right w:val="none" w:sz="0" w:space="0" w:color="auto"/>
      </w:divBdr>
    </w:div>
    <w:div w:id="1155532874">
      <w:bodyDiv w:val="1"/>
      <w:marLeft w:val="0"/>
      <w:marRight w:val="0"/>
      <w:marTop w:val="0"/>
      <w:marBottom w:val="0"/>
      <w:divBdr>
        <w:top w:val="none" w:sz="0" w:space="0" w:color="auto"/>
        <w:left w:val="none" w:sz="0" w:space="0" w:color="auto"/>
        <w:bottom w:val="none" w:sz="0" w:space="0" w:color="auto"/>
        <w:right w:val="none" w:sz="0" w:space="0" w:color="auto"/>
      </w:divBdr>
    </w:div>
    <w:div w:id="1161776949">
      <w:bodyDiv w:val="1"/>
      <w:marLeft w:val="0"/>
      <w:marRight w:val="0"/>
      <w:marTop w:val="0"/>
      <w:marBottom w:val="0"/>
      <w:divBdr>
        <w:top w:val="none" w:sz="0" w:space="0" w:color="auto"/>
        <w:left w:val="none" w:sz="0" w:space="0" w:color="auto"/>
        <w:bottom w:val="none" w:sz="0" w:space="0" w:color="auto"/>
        <w:right w:val="none" w:sz="0" w:space="0" w:color="auto"/>
      </w:divBdr>
    </w:div>
    <w:div w:id="1196692416">
      <w:bodyDiv w:val="1"/>
      <w:marLeft w:val="0"/>
      <w:marRight w:val="0"/>
      <w:marTop w:val="0"/>
      <w:marBottom w:val="0"/>
      <w:divBdr>
        <w:top w:val="none" w:sz="0" w:space="0" w:color="auto"/>
        <w:left w:val="none" w:sz="0" w:space="0" w:color="auto"/>
        <w:bottom w:val="none" w:sz="0" w:space="0" w:color="auto"/>
        <w:right w:val="none" w:sz="0" w:space="0" w:color="auto"/>
      </w:divBdr>
    </w:div>
    <w:div w:id="1209876703">
      <w:bodyDiv w:val="1"/>
      <w:marLeft w:val="0"/>
      <w:marRight w:val="0"/>
      <w:marTop w:val="0"/>
      <w:marBottom w:val="0"/>
      <w:divBdr>
        <w:top w:val="none" w:sz="0" w:space="0" w:color="auto"/>
        <w:left w:val="none" w:sz="0" w:space="0" w:color="auto"/>
        <w:bottom w:val="none" w:sz="0" w:space="0" w:color="auto"/>
        <w:right w:val="none" w:sz="0" w:space="0" w:color="auto"/>
      </w:divBdr>
    </w:div>
    <w:div w:id="1416586798">
      <w:bodyDiv w:val="1"/>
      <w:marLeft w:val="0"/>
      <w:marRight w:val="0"/>
      <w:marTop w:val="0"/>
      <w:marBottom w:val="0"/>
      <w:divBdr>
        <w:top w:val="none" w:sz="0" w:space="0" w:color="auto"/>
        <w:left w:val="none" w:sz="0" w:space="0" w:color="auto"/>
        <w:bottom w:val="none" w:sz="0" w:space="0" w:color="auto"/>
        <w:right w:val="none" w:sz="0" w:space="0" w:color="auto"/>
      </w:divBdr>
    </w:div>
    <w:div w:id="1487668065">
      <w:bodyDiv w:val="1"/>
      <w:marLeft w:val="0"/>
      <w:marRight w:val="0"/>
      <w:marTop w:val="0"/>
      <w:marBottom w:val="0"/>
      <w:divBdr>
        <w:top w:val="none" w:sz="0" w:space="0" w:color="auto"/>
        <w:left w:val="none" w:sz="0" w:space="0" w:color="auto"/>
        <w:bottom w:val="none" w:sz="0" w:space="0" w:color="auto"/>
        <w:right w:val="none" w:sz="0" w:space="0" w:color="auto"/>
      </w:divBdr>
    </w:div>
    <w:div w:id="183757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oter" Target="footer2.xml"/><Relationship Id="rId39" Type="http://schemas.openxmlformats.org/officeDocument/2006/relationships/image" Target="media/image22.png"/><Relationship Id="rId21" Type="http://schemas.openxmlformats.org/officeDocument/2006/relationships/header" Target="header2.xm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emf"/><Relationship Id="rId50" Type="http://schemas.openxmlformats.org/officeDocument/2006/relationships/image" Target="media/image33.emf"/><Relationship Id="rId55" Type="http://schemas.openxmlformats.org/officeDocument/2006/relationships/image" Target="media/image38.png"/><Relationship Id="rId63" Type="http://schemas.openxmlformats.org/officeDocument/2006/relationships/image" Target="media/image46.emf"/><Relationship Id="rId68" Type="http://schemas.openxmlformats.org/officeDocument/2006/relationships/image" Target="media/image50.emf"/><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4.xml"/><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hyperlink" Target="https://www.ndis.gov.au/about-us/publications/annual-repor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image" Target="media/image19.emf"/><Relationship Id="rId49" Type="http://schemas.openxmlformats.org/officeDocument/2006/relationships/image" Target="media/image32.emf"/><Relationship Id="rId57" Type="http://schemas.openxmlformats.org/officeDocument/2006/relationships/image" Target="media/image40.png"/><Relationship Id="rId61" Type="http://schemas.openxmlformats.org/officeDocument/2006/relationships/image" Target="media/image44.png"/><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14.emf"/><Relationship Id="rId44" Type="http://schemas.openxmlformats.org/officeDocument/2006/relationships/image" Target="media/image27.png"/><Relationship Id="rId52" Type="http://schemas.openxmlformats.org/officeDocument/2006/relationships/image" Target="media/image35.emf"/><Relationship Id="rId60" Type="http://schemas.openxmlformats.org/officeDocument/2006/relationships/image" Target="media/image43.png"/><Relationship Id="rId65" Type="http://schemas.openxmlformats.org/officeDocument/2006/relationships/image" Target="media/image4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emf"/><Relationship Id="rId64" Type="http://schemas.openxmlformats.org/officeDocument/2006/relationships/image" Target="media/image47.png"/><Relationship Id="rId69" Type="http://schemas.openxmlformats.org/officeDocument/2006/relationships/footer" Target="footer5.xml"/><Relationship Id="rId8" Type="http://schemas.openxmlformats.org/officeDocument/2006/relationships/image" Target="media/image1.jpg"/><Relationship Id="rId51" Type="http://schemas.openxmlformats.org/officeDocument/2006/relationships/image" Target="media/image3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header" Target="header5.xm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49.emf"/><Relationship Id="rId20" Type="http://schemas.openxmlformats.org/officeDocument/2006/relationships/header" Target="header1.xml"/><Relationship Id="rId41" Type="http://schemas.openxmlformats.org/officeDocument/2006/relationships/image" Target="media/image24.emf"/><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dis.gov.au/media/3476/download?attachment" TargetMode="External"/><Relationship Id="rId13" Type="http://schemas.openxmlformats.org/officeDocument/2006/relationships/hyperlink" Target="https://data.ndis.gov.au/media/2555/download?attachment" TargetMode="External"/><Relationship Id="rId3" Type="http://schemas.openxmlformats.org/officeDocument/2006/relationships/hyperlink" Target="https://www.dss.gov.au/sites/default/files/documents/05_2021/budget-2021-22_portfolio_budget_statements_11052021_1000.pdf" TargetMode="External"/><Relationship Id="rId7" Type="http://schemas.openxmlformats.org/officeDocument/2006/relationships/hyperlink" Target="https://data.ndis.gov.au/" TargetMode="External"/><Relationship Id="rId12" Type="http://schemas.openxmlformats.org/officeDocument/2006/relationships/hyperlink" Target="https://www.ndis.gov.au/about-us/strategies/participant-employment-strategy" TargetMode="External"/><Relationship Id="rId2" Type="http://schemas.openxmlformats.org/officeDocument/2006/relationships/hyperlink" Target="https://www.ndis.gov.au/media/833/download" TargetMode="External"/><Relationship Id="rId1" Type="http://schemas.openxmlformats.org/officeDocument/2006/relationships/hyperlink" Target="https://www.ndis.gov.au/about-us/publications" TargetMode="External"/><Relationship Id="rId6" Type="http://schemas.openxmlformats.org/officeDocument/2006/relationships/hyperlink" Target="https://data.ndis.gov.au/reports-and-analyses/outcomes-and-goals" TargetMode="External"/><Relationship Id="rId11" Type="http://schemas.openxmlformats.org/officeDocument/2006/relationships/hyperlink" Target="https://data.ndis.gov.au/media/2530/download?attachment" TargetMode="External"/><Relationship Id="rId5" Type="http://schemas.openxmlformats.org/officeDocument/2006/relationships/hyperlink" Target="https://www.ndis.gov.au/media/833/download" TargetMode="External"/><Relationship Id="rId15" Type="http://schemas.openxmlformats.org/officeDocument/2006/relationships/hyperlink" Target="https://www.ndis.gov.au/media/412/download?attachment" TargetMode="External"/><Relationship Id="rId10" Type="http://schemas.openxmlformats.org/officeDocument/2006/relationships/hyperlink" Target="https://data.ndis.gov.au/media/2521/download?attachment" TargetMode="External"/><Relationship Id="rId4" Type="http://schemas.openxmlformats.org/officeDocument/2006/relationships/hyperlink" Target="https://data.ndis.gov.au/reports-and-analyses/outcomes-and-goals" TargetMode="External"/><Relationship Id="rId9" Type="http://schemas.openxmlformats.org/officeDocument/2006/relationships/hyperlink" Target="https://data.ndis.gov.au/media/2771/download?attachment" TargetMode="External"/><Relationship Id="rId14" Type="http://schemas.openxmlformats.org/officeDocument/2006/relationships/hyperlink" Target="https://data.ndis.gov.au/media/2541/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76D5D-0231-4710-9847-DB9A2D58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124</Pages>
  <Words>31404</Words>
  <Characters>179007</Characters>
  <Application>Microsoft Office Word</Application>
  <DocSecurity>0</DocSecurity>
  <Lines>1491</Lines>
  <Paragraphs>419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209992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Stephanie</dc:creator>
  <cp:keywords/>
  <dc:description/>
  <cp:lastModifiedBy>Bishop, James</cp:lastModifiedBy>
  <cp:revision>17</cp:revision>
  <cp:lastPrinted>2021-10-14T00:54:00Z</cp:lastPrinted>
  <dcterms:created xsi:type="dcterms:W3CDTF">2021-10-13T05:39:00Z</dcterms:created>
  <dcterms:modified xsi:type="dcterms:W3CDTF">2021-10-14T00:55:00Z</dcterms:modified>
</cp:coreProperties>
</file>