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02F9" w14:textId="4AFF23B9" w:rsidR="00B6363C" w:rsidRDefault="006F3350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97567539"/>
      <w:r>
        <w:rPr>
          <w:sz w:val="36"/>
        </w:rPr>
        <w:t xml:space="preserve">Service </w:t>
      </w:r>
      <w:r w:rsidR="00F277F7"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395083">
        <w:rPr>
          <w:sz w:val="36"/>
        </w:rPr>
        <w:t>participants not r</w:t>
      </w:r>
      <w:r w:rsidR="00622F5B">
        <w:rPr>
          <w:sz w:val="36"/>
        </w:rPr>
        <w:t>eceiving SIL/SDA</w:t>
      </w:r>
      <w:r w:rsidR="00395083">
        <w:rPr>
          <w:sz w:val="36"/>
        </w:rPr>
        <w:t xml:space="preserve">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 xml:space="preserve">as at </w:t>
      </w:r>
      <w:r w:rsidR="00DB43E5">
        <w:rPr>
          <w:sz w:val="36"/>
        </w:rPr>
        <w:t>3</w:t>
      </w:r>
      <w:r w:rsidR="00607719">
        <w:rPr>
          <w:sz w:val="36"/>
        </w:rPr>
        <w:t>1</w:t>
      </w:r>
      <w:r>
        <w:rPr>
          <w:sz w:val="36"/>
        </w:rPr>
        <w:t xml:space="preserve"> </w:t>
      </w:r>
      <w:r w:rsidR="00607719">
        <w:rPr>
          <w:sz w:val="36"/>
        </w:rPr>
        <w:t>December</w:t>
      </w:r>
      <w:r>
        <w:rPr>
          <w:sz w:val="36"/>
        </w:rPr>
        <w:t xml:space="preserve"> </w:t>
      </w:r>
      <w:r w:rsidR="00F277F7">
        <w:rPr>
          <w:sz w:val="36"/>
        </w:rPr>
        <w:t>202</w:t>
      </w:r>
      <w:r>
        <w:rPr>
          <w:sz w:val="36"/>
        </w:rPr>
        <w:t>1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 w:rsidR="00F277F7">
        <w:rPr>
          <w:sz w:val="36"/>
        </w:rPr>
        <w:t xml:space="preserve">1 </w:t>
      </w:r>
      <w:r w:rsidR="00607719">
        <w:rPr>
          <w:sz w:val="36"/>
        </w:rPr>
        <w:t>April</w:t>
      </w:r>
      <w:r>
        <w:rPr>
          <w:sz w:val="36"/>
        </w:rPr>
        <w:t xml:space="preserve"> </w:t>
      </w:r>
      <w:r w:rsidR="00607719">
        <w:rPr>
          <w:sz w:val="36"/>
        </w:rPr>
        <w:t>2021</w:t>
      </w:r>
      <w:r w:rsidR="00660C99" w:rsidRPr="003C1EE2">
        <w:rPr>
          <w:sz w:val="36"/>
        </w:rPr>
        <w:t xml:space="preserve"> to </w:t>
      </w:r>
      <w:r w:rsidR="00DB43E5">
        <w:rPr>
          <w:sz w:val="36"/>
        </w:rPr>
        <w:t>3</w:t>
      </w:r>
      <w:r w:rsidR="00607719">
        <w:rPr>
          <w:sz w:val="36"/>
        </w:rPr>
        <w:t>0</w:t>
      </w:r>
      <w:r w:rsidR="00F277F7">
        <w:rPr>
          <w:sz w:val="36"/>
        </w:rPr>
        <w:t xml:space="preserve"> </w:t>
      </w:r>
      <w:r w:rsidR="00607719">
        <w:rPr>
          <w:sz w:val="36"/>
        </w:rPr>
        <w:t>September</w:t>
      </w:r>
      <w:r w:rsidR="00F277F7">
        <w:rPr>
          <w:sz w:val="36"/>
        </w:rPr>
        <w:t xml:space="preserve"> 202</w:t>
      </w:r>
      <w:r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6DA2DF59" w14:textId="77777777" w:rsidR="00D00BF7" w:rsidRPr="00D00BF7" w:rsidRDefault="00D00BF7" w:rsidP="00D00BF7"/>
    <w:bookmarkStart w:id="3" w:name="_Toc97567540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5F51D2" w14:textId="4D5CAD34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14:paraId="776D82E6" w14:textId="77777777" w:rsidR="006F3350" w:rsidRPr="005D2240" w:rsidRDefault="006F3350" w:rsidP="000953B5">
          <w:pPr>
            <w:rPr>
              <w:lang w:eastAsia="en-AU"/>
            </w:rPr>
          </w:pPr>
        </w:p>
        <w:p w14:paraId="15D2B2B8" w14:textId="3E1AF327" w:rsidR="0039508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97567539" w:history="1">
            <w:r w:rsidR="00395083" w:rsidRPr="00570B64">
              <w:rPr>
                <w:rStyle w:val="Hyperlink"/>
                <w:noProof/>
              </w:rPr>
              <w:t>Service District / Support Category Summary Dashboard – participants not receiving SIL/SDA – as at 31 December 2021 (with exposure period: 1 April 2021 to 30 September 2021)</w:t>
            </w:r>
            <w:r w:rsidR="00395083">
              <w:rPr>
                <w:noProof/>
                <w:webHidden/>
              </w:rPr>
              <w:tab/>
            </w:r>
            <w:r w:rsidR="00395083">
              <w:rPr>
                <w:noProof/>
                <w:webHidden/>
              </w:rPr>
              <w:fldChar w:fldCharType="begin"/>
            </w:r>
            <w:r w:rsidR="00395083">
              <w:rPr>
                <w:noProof/>
                <w:webHidden/>
              </w:rPr>
              <w:instrText xml:space="preserve"> PAGEREF _Toc97567539 \h </w:instrText>
            </w:r>
            <w:r w:rsidR="00395083">
              <w:rPr>
                <w:noProof/>
                <w:webHidden/>
              </w:rPr>
            </w:r>
            <w:r w:rsidR="00395083">
              <w:rPr>
                <w:noProof/>
                <w:webHidden/>
              </w:rPr>
              <w:fldChar w:fldCharType="separate"/>
            </w:r>
            <w:r w:rsidR="00395083">
              <w:rPr>
                <w:noProof/>
                <w:webHidden/>
              </w:rPr>
              <w:t>1</w:t>
            </w:r>
            <w:r w:rsidR="00395083">
              <w:rPr>
                <w:noProof/>
                <w:webHidden/>
              </w:rPr>
              <w:fldChar w:fldCharType="end"/>
            </w:r>
          </w:hyperlink>
        </w:p>
        <w:p w14:paraId="4F1EF8F0" w14:textId="1E896659" w:rsidR="00395083" w:rsidRDefault="0039508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540" w:history="1">
            <w:r w:rsidRPr="00570B64">
              <w:rPr>
                <w:rStyle w:val="Hyperlink"/>
                <w:noProof/>
                <w:lang w:eastAsia="en-AU"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0DC96" w14:textId="2980AA38" w:rsidR="00395083" w:rsidRDefault="0039508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541" w:history="1">
            <w:r w:rsidRPr="00570B64">
              <w:rPr>
                <w:rStyle w:val="Hyperlink"/>
                <w:noProof/>
              </w:rPr>
              <w:t>Page 1, Table 1: Service district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B58AF" w14:textId="308AB65A" w:rsidR="00395083" w:rsidRDefault="0039508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542" w:history="1">
            <w:r w:rsidRPr="00570B64">
              <w:rPr>
                <w:rStyle w:val="Hyperlink"/>
                <w:noProof/>
              </w:rPr>
              <w:t>Page 2, Table 1: Support category summary, for all service districts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60484" w14:textId="033CF643" w:rsidR="00395083" w:rsidRDefault="0039508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7567543" w:history="1">
            <w:r w:rsidRPr="00570B64">
              <w:rPr>
                <w:rStyle w:val="Hyperlink"/>
                <w:noProof/>
              </w:rPr>
              <w:t>Page 2, Table 2: Definitions for the indicators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_Toc97567543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5C6B8" w14:textId="4D24BF7B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56B6900B" w14:textId="34C0D0A9" w:rsidR="00922DE6" w:rsidRPr="00922DE6" w:rsidRDefault="00922DE6" w:rsidP="00922DE6">
      <w:pPr>
        <w:rPr>
          <w:lang w:val="en-US"/>
        </w:rPr>
      </w:pPr>
    </w:p>
    <w:p w14:paraId="23CE3669" w14:textId="77777777" w:rsidR="0013152A" w:rsidRPr="0013152A" w:rsidRDefault="0013152A" w:rsidP="0013152A"/>
    <w:p w14:paraId="390A1F9B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  <w:bookmarkStart w:id="4" w:name="_GoBack"/>
      <w:bookmarkEnd w:id="4"/>
    </w:p>
    <w:p w14:paraId="546B3F65" w14:textId="0AEEA9DE" w:rsidR="00B6363C" w:rsidRDefault="00BF0755" w:rsidP="00D00BF7">
      <w:pPr>
        <w:pStyle w:val="Heading2"/>
      </w:pPr>
      <w:bookmarkStart w:id="5" w:name="_Toc97567541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F277F7">
        <w:t>Service district</w:t>
      </w:r>
      <w:r w:rsidR="0013152A" w:rsidRPr="00B45A45">
        <w:t xml:space="preserve"> summary</w:t>
      </w:r>
      <w:bookmarkEnd w:id="5"/>
    </w:p>
    <w:p w14:paraId="316BE779" w14:textId="03DF0234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>participants</w:t>
      </w:r>
      <w:r w:rsidR="00622F5B">
        <w:rPr>
          <w:rFonts w:cs="Arial"/>
          <w:b/>
        </w:rPr>
        <w:t xml:space="preserve"> not receiving </w:t>
      </w:r>
      <w:r w:rsidR="00622F5B" w:rsidRPr="006F3350">
        <w:rPr>
          <w:rFonts w:cs="Arial"/>
          <w:b/>
        </w:rPr>
        <w:t>S</w:t>
      </w:r>
      <w:r w:rsidR="00622F5B" w:rsidRPr="00B45A45">
        <w:rPr>
          <w:rFonts w:cs="Arial"/>
          <w:b/>
        </w:rPr>
        <w:t xml:space="preserve">upported Independent Living </w:t>
      </w:r>
      <w:r w:rsidR="00622F5B">
        <w:rPr>
          <w:rFonts w:cs="Arial"/>
          <w:b/>
        </w:rPr>
        <w:t>(SIL)/SDA</w:t>
      </w:r>
      <w:r w:rsidR="00D12F81" w:rsidRPr="00B45A45">
        <w:rPr>
          <w:rFonts w:cs="Arial"/>
          <w:b/>
        </w:rPr>
        <w:t xml:space="preserve"> </w:t>
      </w:r>
      <w:r w:rsidR="00D12F81" w:rsidRPr="00B45A45">
        <w:rPr>
          <w:rFonts w:cs="Arial"/>
        </w:rPr>
        <w:t>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F277F7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F277F7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39BE85F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5F2E4F10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0E9C0EC1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13EEB1D8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72979FE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D39ECE7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52421569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F277F7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2A405973" w14:textId="0D12F8AA" w:rsidR="00D722CE" w:rsidRDefault="00B41A44" w:rsidP="00D722CE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D36C56">
        <w:rPr>
          <w:rFonts w:cs="Arial"/>
        </w:rPr>
        <w:t>Non-</w:t>
      </w:r>
      <w:r w:rsidR="00476601">
        <w:rPr>
          <w:rFonts w:cs="Arial"/>
        </w:rPr>
        <w:t>SIL</w:t>
      </w:r>
      <w:r w:rsidR="006F3350">
        <w:rPr>
          <w:rFonts w:cs="Arial"/>
        </w:rPr>
        <w:t>/SDA</w:t>
      </w:r>
      <w:r w:rsidR="00476601">
        <w:rPr>
          <w:rFonts w:cs="Arial"/>
        </w:rPr>
        <w:t xml:space="preserve"> </w:t>
      </w:r>
      <w:r w:rsidRPr="00B45A45">
        <w:rPr>
          <w:rFonts w:cs="Arial"/>
        </w:rPr>
        <w:t>participants with approved plans, the number of active providers, total plan budgets and total payments are also shown.</w:t>
      </w:r>
      <w:r w:rsidR="00CA1F54" w:rsidRPr="00B45A45">
        <w:rPr>
          <w:rFonts w:cs="Arial"/>
        </w:rPr>
        <w:t xml:space="preserve"> </w:t>
      </w:r>
      <w:r w:rsidR="00D722CE">
        <w:rPr>
          <w:rFonts w:cs="Arial"/>
        </w:rPr>
        <w:t>Indicators are added where the top 10</w:t>
      </w:r>
      <w:r w:rsidR="00C22CB3">
        <w:rPr>
          <w:rFonts w:cs="Arial"/>
        </w:rPr>
        <w:t xml:space="preserve"> percentile</w:t>
      </w:r>
      <w:r w:rsidR="00D722CE">
        <w:rPr>
          <w:rFonts w:cs="Arial"/>
        </w:rPr>
        <w:t xml:space="preserve"> and bottom 10</w:t>
      </w:r>
      <w:r w:rsidR="00C22CB3">
        <w:rPr>
          <w:rFonts w:cs="Arial"/>
        </w:rPr>
        <w:t xml:space="preserve"> percentile</w:t>
      </w:r>
      <w:r w:rsidR="00D722CE">
        <w:rPr>
          <w:rFonts w:cs="Arial"/>
        </w:rPr>
        <w:t xml:space="preserve"> of service districts – by gap to benchmark – are highlighted.</w:t>
      </w:r>
    </w:p>
    <w:p w14:paraId="3312EC45" w14:textId="22715B5A" w:rsidR="009A78AA" w:rsidRPr="00A31984" w:rsidRDefault="00B94DA7" w:rsidP="00D00BF7">
      <w:pPr>
        <w:jc w:val="both"/>
        <w:rPr>
          <w:rFonts w:cs="Arial"/>
        </w:rPr>
      </w:pPr>
      <w:r w:rsidRPr="00A31984">
        <w:rPr>
          <w:rFonts w:cs="Arial"/>
        </w:rPr>
        <w:t xml:space="preserve">For </w:t>
      </w:r>
      <w:r w:rsidR="00622F5B">
        <w:rPr>
          <w:rFonts w:cs="Arial"/>
          <w:b/>
        </w:rPr>
        <w:t>participants not receiving SIL/SDA</w:t>
      </w:r>
      <w:r w:rsidRPr="00A31984">
        <w:rPr>
          <w:rFonts w:cs="Arial"/>
          <w:b/>
        </w:rPr>
        <w:t xml:space="preserve"> per provider</w:t>
      </w:r>
      <w:r w:rsidRPr="00A31984">
        <w:rPr>
          <w:rFonts w:cs="Arial"/>
        </w:rPr>
        <w:t xml:space="preserve">, </w:t>
      </w:r>
      <w:r w:rsidR="009A78AA" w:rsidRPr="00A31984">
        <w:rPr>
          <w:rFonts w:cs="Arial"/>
        </w:rPr>
        <w:t>the top 10</w:t>
      </w:r>
      <w:r w:rsidR="00C22CB3">
        <w:rPr>
          <w:rFonts w:cs="Arial"/>
        </w:rPr>
        <w:t xml:space="preserve"> percentile</w:t>
      </w:r>
      <w:r w:rsidR="009A78AA" w:rsidRPr="00A31984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="009A78AA" w:rsidRPr="00A31984">
        <w:rPr>
          <w:rFonts w:cs="Arial"/>
        </w:rPr>
        <w:t>s are as follows.</w:t>
      </w:r>
    </w:p>
    <w:p w14:paraId="7100A851" w14:textId="3F14C0CE" w:rsidR="000C1641" w:rsidRDefault="000C1641" w:rsidP="000C164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0C1641">
        <w:rPr>
          <w:rFonts w:cs="Arial"/>
        </w:rPr>
        <w:t>Far West</w:t>
      </w:r>
      <w:r>
        <w:rPr>
          <w:rFonts w:cs="Arial"/>
        </w:rPr>
        <w:t xml:space="preserve"> (New South Wales) has </w:t>
      </w:r>
      <w:r w:rsidR="00C22CB3">
        <w:rPr>
          <w:rFonts w:cs="Arial"/>
        </w:rPr>
        <w:t>6.1</w:t>
      </w:r>
      <w:r>
        <w:rPr>
          <w:rFonts w:cs="Arial"/>
        </w:rPr>
        <w:t xml:space="preserve"> participants per provider.</w:t>
      </w:r>
    </w:p>
    <w:p w14:paraId="77FEE5A2" w14:textId="7F7C70ED" w:rsidR="00381417" w:rsidRDefault="00C22CB3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Sydney (New South Wales) has 7.0</w:t>
      </w:r>
      <w:r w:rsidR="00381417">
        <w:rPr>
          <w:rFonts w:cs="Arial"/>
        </w:rPr>
        <w:t xml:space="preserve">. </w:t>
      </w:r>
    </w:p>
    <w:p w14:paraId="424DB7B6" w14:textId="32206A6F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0C1641">
        <w:rPr>
          <w:rFonts w:cs="Arial"/>
        </w:rPr>
        <w:t>kly (Northern Territory) has 3.</w:t>
      </w:r>
      <w:r w:rsidR="00C22CB3">
        <w:rPr>
          <w:rFonts w:cs="Arial"/>
        </w:rPr>
        <w:t>0</w:t>
      </w:r>
      <w:r>
        <w:rPr>
          <w:rFonts w:cs="Arial"/>
        </w:rPr>
        <w:t xml:space="preserve">. </w:t>
      </w:r>
    </w:p>
    <w:p w14:paraId="3A8D9856" w14:textId="2D2B86A0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0C1641">
        <w:rPr>
          <w:rFonts w:cs="Arial"/>
        </w:rPr>
        <w:t xml:space="preserve">lia (Northern Territory) has </w:t>
      </w:r>
      <w:r w:rsidR="00DC03AB">
        <w:rPr>
          <w:rFonts w:cs="Arial"/>
        </w:rPr>
        <w:t>5.</w:t>
      </w:r>
      <w:r w:rsidR="00C22CB3">
        <w:rPr>
          <w:rFonts w:cs="Arial"/>
        </w:rPr>
        <w:t>0</w:t>
      </w:r>
      <w:r w:rsidR="000C1641">
        <w:rPr>
          <w:rFonts w:cs="Arial"/>
        </w:rPr>
        <w:t>.</w:t>
      </w:r>
      <w:r>
        <w:rPr>
          <w:rFonts w:cs="Arial"/>
        </w:rPr>
        <w:t xml:space="preserve"> </w:t>
      </w:r>
    </w:p>
    <w:p w14:paraId="296F1106" w14:textId="4196A771" w:rsidR="00DC03AB" w:rsidRDefault="00DC03AB" w:rsidP="00DC03AB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5.6. </w:t>
      </w:r>
    </w:p>
    <w:p w14:paraId="2C949E11" w14:textId="3EC771BD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0C1641">
        <w:rPr>
          <w:rFonts w:cs="Arial"/>
        </w:rPr>
        <w:t>hem (Northern Territory) has 4.</w:t>
      </w:r>
      <w:r w:rsidR="00C22CB3">
        <w:rPr>
          <w:rFonts w:cs="Arial"/>
        </w:rPr>
        <w:t>9</w:t>
      </w:r>
      <w:r>
        <w:rPr>
          <w:rFonts w:cs="Arial"/>
        </w:rPr>
        <w:t xml:space="preserve">. </w:t>
      </w:r>
    </w:p>
    <w:p w14:paraId="5C80B349" w14:textId="53C89BAA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Katherine (Northern Territory) ha</w:t>
      </w:r>
      <w:r w:rsidR="000C1641">
        <w:rPr>
          <w:rFonts w:cs="Arial"/>
        </w:rPr>
        <w:t>s 2.</w:t>
      </w:r>
      <w:r w:rsidR="00C22CB3">
        <w:rPr>
          <w:rFonts w:cs="Arial"/>
        </w:rPr>
        <w:t>4</w:t>
      </w:r>
      <w:r>
        <w:rPr>
          <w:rFonts w:cs="Arial"/>
        </w:rPr>
        <w:t>.</w:t>
      </w:r>
    </w:p>
    <w:p w14:paraId="506AF1CD" w14:textId="2D7287CC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0C1641">
        <w:rPr>
          <w:rFonts w:cs="Arial"/>
        </w:rPr>
        <w:t xml:space="preserve">Belt (Western Australia) has </w:t>
      </w:r>
      <w:r w:rsidR="00C22CB3">
        <w:rPr>
          <w:rFonts w:cs="Arial"/>
        </w:rPr>
        <w:t>5.2</w:t>
      </w:r>
      <w:r>
        <w:rPr>
          <w:rFonts w:cs="Arial"/>
        </w:rPr>
        <w:t xml:space="preserve">. </w:t>
      </w:r>
    </w:p>
    <w:p w14:paraId="31CB3019" w14:textId="18EDC27D" w:rsidR="00A31984" w:rsidRPr="005C3EEC" w:rsidRDefault="00A31984" w:rsidP="00A31984">
      <w:pPr>
        <w:jc w:val="both"/>
        <w:rPr>
          <w:rFonts w:cs="Arial"/>
        </w:rPr>
      </w:pPr>
      <w:r w:rsidRPr="005C3EEC">
        <w:rPr>
          <w:rFonts w:cs="Arial"/>
        </w:rPr>
        <w:t>The bottom 10</w:t>
      </w:r>
      <w:r w:rsidR="00C22CB3">
        <w:rPr>
          <w:rFonts w:cs="Arial"/>
        </w:rPr>
        <w:t xml:space="preserve"> percentile</w:t>
      </w:r>
      <w:r w:rsidRPr="005C3EEC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C3EEC">
        <w:rPr>
          <w:rFonts w:cs="Arial"/>
        </w:rPr>
        <w:t>s are as follows.</w:t>
      </w:r>
    </w:p>
    <w:p w14:paraId="5B00F4C4" w14:textId="2ED7CB11" w:rsidR="00A31984" w:rsidRPr="005C3EEC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EEC">
        <w:rPr>
          <w:rFonts w:cs="Arial"/>
        </w:rPr>
        <w:t xml:space="preserve">Hunter New England (New South Wales) has </w:t>
      </w:r>
      <w:r w:rsidR="005143B0">
        <w:rPr>
          <w:rFonts w:cs="Arial"/>
        </w:rPr>
        <w:t>1</w:t>
      </w:r>
      <w:r w:rsidR="00DC03AB">
        <w:rPr>
          <w:rFonts w:cs="Arial"/>
        </w:rPr>
        <w:t>7</w:t>
      </w:r>
      <w:r w:rsidR="005143B0">
        <w:rPr>
          <w:rFonts w:cs="Arial"/>
        </w:rPr>
        <w:t>.</w:t>
      </w:r>
      <w:r w:rsidR="00C22CB3">
        <w:rPr>
          <w:rFonts w:cs="Arial"/>
        </w:rPr>
        <w:t>8</w:t>
      </w:r>
      <w:r w:rsidRPr="005C3EEC">
        <w:rPr>
          <w:rFonts w:cs="Arial"/>
        </w:rPr>
        <w:t xml:space="preserve"> participants per provider.</w:t>
      </w:r>
    </w:p>
    <w:p w14:paraId="71518594" w14:textId="68BB4105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5143B0">
        <w:rPr>
          <w:rFonts w:cs="Arial"/>
        </w:rPr>
        <w:t xml:space="preserve">h Coast (New South Wales) has </w:t>
      </w:r>
      <w:r w:rsidR="00DC03AB">
        <w:rPr>
          <w:rFonts w:cs="Arial"/>
        </w:rPr>
        <w:t>18.1</w:t>
      </w:r>
      <w:r>
        <w:rPr>
          <w:rFonts w:cs="Arial"/>
        </w:rPr>
        <w:t>.</w:t>
      </w:r>
    </w:p>
    <w:p w14:paraId="5F7E81AA" w14:textId="7A51CD91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5143B0">
        <w:rPr>
          <w:rFonts w:cs="Arial"/>
        </w:rPr>
        <w:t>h Wales (New South Wales) has 17.</w:t>
      </w:r>
      <w:r w:rsidR="00C22CB3">
        <w:rPr>
          <w:rFonts w:cs="Arial"/>
        </w:rPr>
        <w:t>4</w:t>
      </w:r>
      <w:r>
        <w:rPr>
          <w:rFonts w:cs="Arial"/>
        </w:rPr>
        <w:t xml:space="preserve">. </w:t>
      </w:r>
    </w:p>
    <w:p w14:paraId="13413D30" w14:textId="482A074C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</w:t>
      </w:r>
      <w:r w:rsidR="005143B0">
        <w:rPr>
          <w:rFonts w:cs="Arial"/>
        </w:rPr>
        <w:t>side Peninsula (Victoria) has 1</w:t>
      </w:r>
      <w:r w:rsidR="00DC03AB">
        <w:rPr>
          <w:rFonts w:cs="Arial"/>
        </w:rPr>
        <w:t>7</w:t>
      </w:r>
      <w:r w:rsidR="005143B0">
        <w:rPr>
          <w:rFonts w:cs="Arial"/>
        </w:rPr>
        <w:t>.</w:t>
      </w:r>
      <w:r w:rsidR="00C22CB3">
        <w:rPr>
          <w:rFonts w:cs="Arial"/>
        </w:rPr>
        <w:t>6</w:t>
      </w:r>
      <w:r>
        <w:rPr>
          <w:rFonts w:cs="Arial"/>
        </w:rPr>
        <w:t xml:space="preserve">. </w:t>
      </w:r>
    </w:p>
    <w:p w14:paraId="34ADFD4E" w14:textId="4697B96A" w:rsidR="005143B0" w:rsidRDefault="00C22CB3" w:rsidP="005143B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District</w:t>
      </w:r>
      <w:r w:rsidR="005143B0">
        <w:rPr>
          <w:rFonts w:cs="Arial"/>
        </w:rPr>
        <w:t xml:space="preserve"> (Victoria) has 1</w:t>
      </w:r>
      <w:r w:rsidR="00DC03AB">
        <w:rPr>
          <w:rFonts w:cs="Arial"/>
        </w:rPr>
        <w:t>6</w:t>
      </w:r>
      <w:r w:rsidR="005143B0">
        <w:rPr>
          <w:rFonts w:cs="Arial"/>
        </w:rPr>
        <w:t>.</w:t>
      </w:r>
      <w:r>
        <w:rPr>
          <w:rFonts w:cs="Arial"/>
        </w:rPr>
        <w:t>7</w:t>
      </w:r>
      <w:r w:rsidR="005143B0">
        <w:rPr>
          <w:rFonts w:cs="Arial"/>
        </w:rPr>
        <w:t>.</w:t>
      </w:r>
    </w:p>
    <w:p w14:paraId="48D51987" w14:textId="30DA6DFD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5143B0">
        <w:rPr>
          <w:rFonts w:cs="Arial"/>
        </w:rPr>
        <w:t xml:space="preserve">delaide (South Australia) has </w:t>
      </w:r>
      <w:r w:rsidR="00C22CB3">
        <w:rPr>
          <w:rFonts w:cs="Arial"/>
        </w:rPr>
        <w:t>22.1</w:t>
      </w:r>
      <w:r>
        <w:rPr>
          <w:rFonts w:cs="Arial"/>
        </w:rPr>
        <w:t xml:space="preserve">. </w:t>
      </w:r>
    </w:p>
    <w:p w14:paraId="324127A3" w14:textId="1C27A3C8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Ade</w:t>
      </w:r>
      <w:r w:rsidR="00C22CB3">
        <w:rPr>
          <w:rFonts w:cs="Arial"/>
        </w:rPr>
        <w:t>laide (South Australia) has 18.6</w:t>
      </w:r>
      <w:r>
        <w:rPr>
          <w:rFonts w:cs="Arial"/>
        </w:rPr>
        <w:t xml:space="preserve">. </w:t>
      </w:r>
    </w:p>
    <w:p w14:paraId="089A58A8" w14:textId="1D5FA701" w:rsidR="006844AC" w:rsidRP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5143B0">
        <w:rPr>
          <w:rFonts w:cs="Arial"/>
        </w:rPr>
        <w:t>tr</w:t>
      </w:r>
      <w:r w:rsidR="00C22CB3">
        <w:rPr>
          <w:rFonts w:cs="Arial"/>
        </w:rPr>
        <w:t>alian Capital Territory has 19.1</w:t>
      </w:r>
      <w:r>
        <w:rPr>
          <w:rFonts w:cs="Arial"/>
        </w:rPr>
        <w:t xml:space="preserve">. </w:t>
      </w:r>
    </w:p>
    <w:p w14:paraId="2447E09A" w14:textId="0266AB17" w:rsidR="00A31984" w:rsidRPr="00BC1232" w:rsidRDefault="00A31984" w:rsidP="00A31984">
      <w:pPr>
        <w:jc w:val="both"/>
        <w:rPr>
          <w:rFonts w:cs="Arial"/>
        </w:rPr>
      </w:pPr>
      <w:r w:rsidRPr="00BC1232">
        <w:rPr>
          <w:rFonts w:cs="Arial"/>
        </w:rPr>
        <w:t xml:space="preserve">For </w:t>
      </w:r>
      <w:r w:rsidRPr="00BC1232">
        <w:rPr>
          <w:rFonts w:cs="Arial"/>
          <w:b/>
        </w:rPr>
        <w:t>provider concentration</w:t>
      </w:r>
      <w:r w:rsidRPr="00BC1232">
        <w:rPr>
          <w:rFonts w:cs="Arial"/>
        </w:rPr>
        <w:t>, the top 10</w:t>
      </w:r>
      <w:r w:rsidR="00C22CB3">
        <w:rPr>
          <w:rFonts w:cs="Arial"/>
        </w:rPr>
        <w:t xml:space="preserve"> percentile</w:t>
      </w:r>
      <w:r w:rsidRPr="00BC1232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BC1232">
        <w:rPr>
          <w:rFonts w:cs="Arial"/>
        </w:rPr>
        <w:t>s are as follows.</w:t>
      </w:r>
    </w:p>
    <w:p w14:paraId="748036EE" w14:textId="441A2516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Hunter New England (New South Wales) has provider concentration level of </w:t>
      </w:r>
      <w:r w:rsidR="00C22CB3">
        <w:rPr>
          <w:rFonts w:cs="Arial"/>
        </w:rPr>
        <w:t>32</w:t>
      </w:r>
      <w:r w:rsidRPr="00BC1232">
        <w:rPr>
          <w:rFonts w:cs="Arial"/>
        </w:rPr>
        <w:t>%.</w:t>
      </w:r>
    </w:p>
    <w:p w14:paraId="75C83122" w14:textId="47F37AFC" w:rsidR="00BC1232" w:rsidRPr="00BC1232" w:rsidRDefault="00BC1232" w:rsidP="00BC123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Nepean Blue M</w:t>
      </w:r>
      <w:r w:rsidR="00C22CB3">
        <w:rPr>
          <w:rFonts w:cs="Arial"/>
        </w:rPr>
        <w:t>ountains (New South Wales) has 42</w:t>
      </w:r>
      <w:r w:rsidRPr="00BC1232">
        <w:rPr>
          <w:rFonts w:cs="Arial"/>
        </w:rPr>
        <w:t>%.</w:t>
      </w:r>
    </w:p>
    <w:p w14:paraId="1C11DC1E" w14:textId="683A827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South Western Sydney (New South Wales) </w:t>
      </w:r>
      <w:r w:rsidR="008411F6">
        <w:rPr>
          <w:rFonts w:cs="Arial"/>
        </w:rPr>
        <w:t>has 2</w:t>
      </w:r>
      <w:r w:rsidR="00C22CB3">
        <w:rPr>
          <w:rFonts w:cs="Arial"/>
        </w:rPr>
        <w:t>8</w:t>
      </w:r>
      <w:r w:rsidRPr="00BC1232">
        <w:rPr>
          <w:rFonts w:cs="Arial"/>
        </w:rPr>
        <w:t>%.</w:t>
      </w:r>
    </w:p>
    <w:p w14:paraId="5AA86103" w14:textId="4960F202" w:rsidR="00A31984" w:rsidRPr="00BC1232" w:rsidRDefault="00BC1232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Western </w:t>
      </w:r>
      <w:r w:rsidR="00A31984" w:rsidRPr="00BC1232">
        <w:rPr>
          <w:rFonts w:cs="Arial"/>
        </w:rPr>
        <w:t xml:space="preserve">Sydney (New South Wales) </w:t>
      </w:r>
      <w:r w:rsidR="008411F6">
        <w:rPr>
          <w:rFonts w:cs="Arial"/>
        </w:rPr>
        <w:t xml:space="preserve">has </w:t>
      </w:r>
      <w:r w:rsidR="00A031F3">
        <w:rPr>
          <w:rFonts w:cs="Arial"/>
        </w:rPr>
        <w:t>31</w:t>
      </w:r>
      <w:r w:rsidRPr="00BC1232">
        <w:rPr>
          <w:rFonts w:cs="Arial"/>
        </w:rPr>
        <w:t>%.</w:t>
      </w:r>
    </w:p>
    <w:p w14:paraId="7751AA9F" w14:textId="1184B237" w:rsidR="00A31984" w:rsidRDefault="00C22CB3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Hume Moreland (Victoria</w:t>
      </w:r>
      <w:r w:rsidR="008411F6">
        <w:rPr>
          <w:rFonts w:cs="Arial"/>
        </w:rPr>
        <w:t xml:space="preserve">) has </w:t>
      </w:r>
      <w:r>
        <w:rPr>
          <w:rFonts w:cs="Arial"/>
        </w:rPr>
        <w:t>4</w:t>
      </w:r>
      <w:r w:rsidR="008411F6">
        <w:rPr>
          <w:rFonts w:cs="Arial"/>
        </w:rPr>
        <w:t>3</w:t>
      </w:r>
      <w:r w:rsidR="00BC1232" w:rsidRPr="00BC1232">
        <w:rPr>
          <w:rFonts w:cs="Arial"/>
        </w:rPr>
        <w:t>%</w:t>
      </w:r>
      <w:r w:rsidR="00A31984" w:rsidRPr="00BC1232">
        <w:rPr>
          <w:rFonts w:cs="Arial"/>
        </w:rPr>
        <w:t>.</w:t>
      </w:r>
    </w:p>
    <w:p w14:paraId="2AB59756" w14:textId="1CAEC8FF" w:rsidR="00C22CB3" w:rsidRDefault="00C22CB3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Brisbane (Queensland) has 42%.</w:t>
      </w:r>
    </w:p>
    <w:p w14:paraId="16FD5F6D" w14:textId="3ACD04BD" w:rsidR="0075460D" w:rsidRPr="00BC1232" w:rsidRDefault="0075460D" w:rsidP="0075460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North East </w:t>
      </w:r>
      <w:r w:rsidRPr="008411F6">
        <w:rPr>
          <w:rFonts w:cs="Arial"/>
        </w:rPr>
        <w:t>Metro</w:t>
      </w:r>
      <w:r>
        <w:rPr>
          <w:rFonts w:cs="Arial"/>
        </w:rPr>
        <w:t xml:space="preserve"> (Western Australia) has </w:t>
      </w:r>
      <w:r w:rsidR="00C22CB3">
        <w:rPr>
          <w:rFonts w:cs="Arial"/>
        </w:rPr>
        <w:t>42</w:t>
      </w:r>
      <w:r>
        <w:rPr>
          <w:rFonts w:cs="Arial"/>
        </w:rPr>
        <w:t xml:space="preserve">%. </w:t>
      </w:r>
    </w:p>
    <w:p w14:paraId="53E068E7" w14:textId="19D3B14D" w:rsidR="008411F6" w:rsidRPr="00BC1232" w:rsidRDefault="008411F6" w:rsidP="008411F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8411F6">
        <w:rPr>
          <w:rFonts w:cs="Arial"/>
        </w:rPr>
        <w:t>South Metro</w:t>
      </w:r>
      <w:r>
        <w:rPr>
          <w:rFonts w:cs="Arial"/>
        </w:rPr>
        <w:t xml:space="preserve"> (Western Australia) has 3</w:t>
      </w:r>
      <w:r w:rsidR="00C22CB3">
        <w:rPr>
          <w:rFonts w:cs="Arial"/>
        </w:rPr>
        <w:t>8</w:t>
      </w:r>
      <w:r>
        <w:rPr>
          <w:rFonts w:cs="Arial"/>
        </w:rPr>
        <w:t xml:space="preserve">%. </w:t>
      </w:r>
    </w:p>
    <w:p w14:paraId="3B9C77E6" w14:textId="02C5BB30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>The bottom 10</w:t>
      </w:r>
      <w:r w:rsidR="00C22CB3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7CB0851F" w14:textId="7764DB4D" w:rsidR="00BC1232" w:rsidRDefault="00BC1232" w:rsidP="00BC123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lastRenderedPageBreak/>
        <w:t>Mallee (Victoria) has provider concentration l</w:t>
      </w:r>
      <w:r w:rsidR="00E63A5D">
        <w:rPr>
          <w:rFonts w:cs="Arial"/>
        </w:rPr>
        <w:t>evel of 8</w:t>
      </w:r>
      <w:r w:rsidR="00C22CB3">
        <w:rPr>
          <w:rFonts w:cs="Arial"/>
        </w:rPr>
        <w:t>3</w:t>
      </w:r>
      <w:r w:rsidRPr="00325B09">
        <w:rPr>
          <w:rFonts w:cs="Arial"/>
        </w:rPr>
        <w:t>%.</w:t>
      </w:r>
    </w:p>
    <w:p w14:paraId="04616CC3" w14:textId="35B1E39E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Eyre and Western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</w:t>
      </w:r>
      <w:r w:rsidR="0075460D">
        <w:rPr>
          <w:rFonts w:cs="Arial"/>
        </w:rPr>
        <w:t>7</w:t>
      </w:r>
      <w:r>
        <w:rPr>
          <w:rFonts w:cs="Arial"/>
        </w:rPr>
        <w:t>%.</w:t>
      </w:r>
    </w:p>
    <w:p w14:paraId="0AE74E0C" w14:textId="2CF1AC35" w:rsidR="0075460D" w:rsidRDefault="0075460D" w:rsidP="007546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</w:t>
      </w:r>
      <w:r w:rsidR="00C22CB3">
        <w:rPr>
          <w:rFonts w:cs="Arial"/>
        </w:rPr>
        <w:t>6</w:t>
      </w:r>
      <w:r>
        <w:rPr>
          <w:rFonts w:cs="Arial"/>
        </w:rPr>
        <w:t>%.</w:t>
      </w:r>
    </w:p>
    <w:p w14:paraId="29E3E63B" w14:textId="3C2F7886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Limestone Coast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</w:t>
      </w:r>
      <w:r w:rsidR="00C22CB3">
        <w:rPr>
          <w:rFonts w:cs="Arial"/>
        </w:rPr>
        <w:t>8</w:t>
      </w:r>
      <w:r>
        <w:rPr>
          <w:rFonts w:cs="Arial"/>
        </w:rPr>
        <w:t>%.</w:t>
      </w:r>
    </w:p>
    <w:p w14:paraId="66A65DC6" w14:textId="3BCE2E3B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East Ar</w:t>
      </w:r>
      <w:r w:rsidR="00C22CB3">
        <w:rPr>
          <w:rFonts w:cs="Arial"/>
        </w:rPr>
        <w:t>nhem (Northern Territory) has 90</w:t>
      </w:r>
      <w:r w:rsidRPr="00325B09">
        <w:rPr>
          <w:rFonts w:cs="Arial"/>
        </w:rPr>
        <w:t>%.</w:t>
      </w:r>
    </w:p>
    <w:p w14:paraId="17685F41" w14:textId="0368958E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Goldfields – Espe</w:t>
      </w:r>
      <w:r w:rsidR="00E63A5D">
        <w:rPr>
          <w:rFonts w:cs="Arial"/>
        </w:rPr>
        <w:t>rance (Western Australia) has 8</w:t>
      </w:r>
      <w:r w:rsidR="00C22CB3">
        <w:rPr>
          <w:rFonts w:cs="Arial"/>
        </w:rPr>
        <w:t>4</w:t>
      </w:r>
      <w:r w:rsidRPr="00325B09">
        <w:rPr>
          <w:rFonts w:cs="Arial"/>
        </w:rPr>
        <w:t>%.</w:t>
      </w:r>
    </w:p>
    <w:p w14:paraId="1A1B10CA" w14:textId="4396176E" w:rsidR="006844AC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E63A5D">
        <w:rPr>
          <w:rFonts w:cs="Arial"/>
        </w:rPr>
        <w:t xml:space="preserve">thern (Western Australia) has </w:t>
      </w:r>
      <w:r w:rsidR="00C22CB3">
        <w:rPr>
          <w:rFonts w:cs="Arial"/>
        </w:rPr>
        <w:t>88</w:t>
      </w:r>
      <w:r>
        <w:rPr>
          <w:rFonts w:cs="Arial"/>
        </w:rPr>
        <w:t xml:space="preserve">%. </w:t>
      </w:r>
    </w:p>
    <w:p w14:paraId="46B49A0E" w14:textId="1D7183D9" w:rsidR="00A31984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</w:t>
      </w:r>
      <w:r w:rsidR="00E63A5D">
        <w:rPr>
          <w:rFonts w:cs="Arial"/>
        </w:rPr>
        <w:t xml:space="preserve">coyne (Western Australia) has </w:t>
      </w:r>
      <w:r w:rsidR="0075460D">
        <w:rPr>
          <w:rFonts w:cs="Arial"/>
        </w:rPr>
        <w:t>8</w:t>
      </w:r>
      <w:r w:rsidR="00C22CB3">
        <w:rPr>
          <w:rFonts w:cs="Arial"/>
        </w:rPr>
        <w:t>8</w:t>
      </w:r>
      <w:r>
        <w:rPr>
          <w:rFonts w:cs="Arial"/>
        </w:rPr>
        <w:t xml:space="preserve">%. </w:t>
      </w:r>
    </w:p>
    <w:p w14:paraId="1986F5B6" w14:textId="6CB4FC13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growth</w:t>
      </w:r>
      <w:r w:rsidRPr="00325B09">
        <w:rPr>
          <w:rFonts w:cs="Arial"/>
        </w:rPr>
        <w:t>, the top 10</w:t>
      </w:r>
      <w:r w:rsidR="00C22CB3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66C609A6" w14:textId="461AFA12" w:rsidR="006844AC" w:rsidRDefault="00C22CB3" w:rsidP="00E0308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Bundaberg</w:t>
      </w:r>
      <w:r w:rsidR="0075460D">
        <w:rPr>
          <w:rFonts w:cs="Arial"/>
        </w:rPr>
        <w:t xml:space="preserve"> </w:t>
      </w:r>
      <w:r w:rsidR="0075460D" w:rsidRPr="00325B09">
        <w:rPr>
          <w:rFonts w:cs="Arial"/>
        </w:rPr>
        <w:t>(</w:t>
      </w:r>
      <w:r>
        <w:rPr>
          <w:rFonts w:cs="Arial"/>
        </w:rPr>
        <w:t>Queensland</w:t>
      </w:r>
      <w:r w:rsidR="0075460D" w:rsidRPr="00325B09">
        <w:rPr>
          <w:rFonts w:cs="Arial"/>
        </w:rPr>
        <w:t>) has</w:t>
      </w:r>
      <w:r w:rsidR="0075460D" w:rsidRPr="00E03083" w:rsidDel="0075460D">
        <w:rPr>
          <w:rFonts w:cs="Arial"/>
        </w:rPr>
        <w:t xml:space="preserve"> </w:t>
      </w:r>
      <w:r>
        <w:rPr>
          <w:rFonts w:cs="Arial"/>
        </w:rPr>
        <w:t>provider growth of 15</w:t>
      </w:r>
      <w:r w:rsidR="00E03083">
        <w:rPr>
          <w:rFonts w:cs="Arial"/>
        </w:rPr>
        <w:t>% since the previous exposure period.</w:t>
      </w:r>
    </w:p>
    <w:p w14:paraId="0068C29C" w14:textId="2BA968D4" w:rsidR="0075460D" w:rsidRDefault="00C22CB3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Robina</w:t>
      </w:r>
      <w:r w:rsidR="0075460D">
        <w:rPr>
          <w:rFonts w:cs="Arial"/>
        </w:rPr>
        <w:t xml:space="preserve"> (</w:t>
      </w:r>
      <w:r>
        <w:rPr>
          <w:rFonts w:cs="Arial"/>
        </w:rPr>
        <w:t>Queensland) has 15</w:t>
      </w:r>
      <w:r w:rsidR="0075460D">
        <w:rPr>
          <w:rFonts w:cs="Arial"/>
        </w:rPr>
        <w:t>%.</w:t>
      </w:r>
    </w:p>
    <w:p w14:paraId="21FB3626" w14:textId="6CCE5FB3" w:rsidR="0075460D" w:rsidRDefault="00C22CB3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North</w:t>
      </w:r>
      <w:r w:rsidR="0075460D">
        <w:rPr>
          <w:rFonts w:cs="Arial"/>
        </w:rPr>
        <w:t xml:space="preserve"> (</w:t>
      </w:r>
      <w:r>
        <w:rPr>
          <w:rFonts w:cs="Arial"/>
        </w:rPr>
        <w:t>South Australia</w:t>
      </w:r>
      <w:r w:rsidR="0075460D">
        <w:rPr>
          <w:rFonts w:cs="Arial"/>
        </w:rPr>
        <w:t xml:space="preserve">) has 19%. </w:t>
      </w:r>
    </w:p>
    <w:p w14:paraId="443A5495" w14:textId="60ACB99A" w:rsidR="00C22CB3" w:rsidRDefault="00C22CB3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TAS North West (Tasmania) has 16%.</w:t>
      </w:r>
    </w:p>
    <w:p w14:paraId="5D593E5B" w14:textId="722DF17E" w:rsidR="00C22CB3" w:rsidRDefault="00C22CB3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Barkly (Northern Territory) has 17%.</w:t>
      </w:r>
    </w:p>
    <w:p w14:paraId="67965E44" w14:textId="68B88F33" w:rsidR="00C22CB3" w:rsidRDefault="00C22CB3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Remote (Northern Territory) has 21%.</w:t>
      </w:r>
    </w:p>
    <w:p w14:paraId="566D01D7" w14:textId="000DBF60" w:rsidR="006844AC" w:rsidRDefault="00176BFE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Kimberley – Pilbara</w:t>
      </w:r>
      <w:r w:rsidR="00E03083">
        <w:rPr>
          <w:rFonts w:cs="Arial"/>
        </w:rPr>
        <w:t xml:space="preserve"> (Western Australia) has 1</w:t>
      </w:r>
      <w:r w:rsidR="0075460D">
        <w:rPr>
          <w:rFonts w:cs="Arial"/>
        </w:rPr>
        <w:t>7</w:t>
      </w:r>
      <w:r w:rsidR="006844AC">
        <w:rPr>
          <w:rFonts w:cs="Arial"/>
        </w:rPr>
        <w:t xml:space="preserve">%. </w:t>
      </w:r>
    </w:p>
    <w:p w14:paraId="2EEC7B75" w14:textId="082789ED" w:rsidR="006844AC" w:rsidRDefault="00176BFE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Midwest – Gascoyne</w:t>
      </w:r>
      <w:r w:rsidR="00E03083">
        <w:rPr>
          <w:rFonts w:cs="Arial"/>
        </w:rPr>
        <w:t xml:space="preserve"> (Western Australia) has </w:t>
      </w:r>
      <w:r>
        <w:rPr>
          <w:rFonts w:cs="Arial"/>
        </w:rPr>
        <w:t>19</w:t>
      </w:r>
      <w:r w:rsidR="006844AC">
        <w:rPr>
          <w:rFonts w:cs="Arial"/>
        </w:rPr>
        <w:t xml:space="preserve">%. </w:t>
      </w:r>
    </w:p>
    <w:p w14:paraId="6A2ABEE3" w14:textId="6144BC88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>The bottom 10</w:t>
      </w:r>
      <w:r w:rsidR="00176BFE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4EA086C" w14:textId="3B41AF6B" w:rsidR="006844AC" w:rsidRDefault="00176BFE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West</w:t>
      </w:r>
      <w:r w:rsidR="006844AC">
        <w:rPr>
          <w:rFonts w:cs="Arial"/>
        </w:rPr>
        <w:t xml:space="preserve"> (New South Wales) has provider growth of </w:t>
      </w:r>
      <w:r>
        <w:rPr>
          <w:rFonts w:cs="Arial"/>
        </w:rPr>
        <w:t>5</w:t>
      </w:r>
      <w:r w:rsidR="006844AC">
        <w:rPr>
          <w:rFonts w:cs="Arial"/>
        </w:rPr>
        <w:t xml:space="preserve">% since the previous exposure period. </w:t>
      </w:r>
    </w:p>
    <w:p w14:paraId="2151D7AD" w14:textId="39A63D63" w:rsidR="006844AC" w:rsidRDefault="00176BFE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North Sydney</w:t>
      </w:r>
      <w:r w:rsidR="0075460D">
        <w:rPr>
          <w:rFonts w:cs="Arial"/>
        </w:rPr>
        <w:t xml:space="preserve"> </w:t>
      </w:r>
      <w:r>
        <w:rPr>
          <w:rFonts w:cs="Arial"/>
        </w:rPr>
        <w:t>(New South Wales</w:t>
      </w:r>
      <w:r w:rsidR="00B059A7">
        <w:rPr>
          <w:rFonts w:cs="Arial"/>
        </w:rPr>
        <w:t xml:space="preserve">) has </w:t>
      </w:r>
      <w:r>
        <w:rPr>
          <w:rFonts w:cs="Arial"/>
        </w:rPr>
        <w:t>7</w:t>
      </w:r>
      <w:r w:rsidR="006844AC">
        <w:rPr>
          <w:rFonts w:cs="Arial"/>
        </w:rPr>
        <w:t xml:space="preserve">%. </w:t>
      </w:r>
    </w:p>
    <w:p w14:paraId="17D9FE5D" w14:textId="46ABF700" w:rsidR="0075460D" w:rsidRDefault="00176BFE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Adelaide Hills</w:t>
      </w:r>
      <w:r w:rsidR="0075460D">
        <w:rPr>
          <w:rFonts w:cs="Arial"/>
        </w:rPr>
        <w:t xml:space="preserve"> (</w:t>
      </w:r>
      <w:r>
        <w:rPr>
          <w:rFonts w:cs="Arial"/>
        </w:rPr>
        <w:t>South Australia</w:t>
      </w:r>
      <w:r w:rsidR="0075460D">
        <w:rPr>
          <w:rFonts w:cs="Arial"/>
        </w:rPr>
        <w:t xml:space="preserve">) has </w:t>
      </w:r>
      <w:r>
        <w:rPr>
          <w:rFonts w:cs="Arial"/>
        </w:rPr>
        <w:t>5</w:t>
      </w:r>
      <w:r w:rsidR="0075460D">
        <w:rPr>
          <w:rFonts w:cs="Arial"/>
        </w:rPr>
        <w:t>%.</w:t>
      </w:r>
    </w:p>
    <w:p w14:paraId="556C10C4" w14:textId="1C8616D9" w:rsidR="0075460D" w:rsidRDefault="00176BFE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Eastern Adelaide (South Australia</w:t>
      </w:r>
      <w:r w:rsidR="0075460D">
        <w:rPr>
          <w:rFonts w:cs="Arial"/>
        </w:rPr>
        <w:t>) has</w:t>
      </w:r>
      <w:r>
        <w:rPr>
          <w:rFonts w:cs="Arial"/>
        </w:rPr>
        <w:t xml:space="preserve"> 5</w:t>
      </w:r>
      <w:r w:rsidR="0075460D">
        <w:rPr>
          <w:rFonts w:cs="Arial"/>
        </w:rPr>
        <w:t>%.</w:t>
      </w:r>
    </w:p>
    <w:p w14:paraId="77A94584" w14:textId="7E5729A4" w:rsidR="0075460D" w:rsidRDefault="00176BFE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 Western (South Australia) has 3</w:t>
      </w:r>
      <w:r w:rsidR="0075460D">
        <w:rPr>
          <w:rFonts w:cs="Arial"/>
        </w:rPr>
        <w:t>%.</w:t>
      </w:r>
    </w:p>
    <w:p w14:paraId="791B921E" w14:textId="27F30514" w:rsidR="006844AC" w:rsidRDefault="00176BFE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Limestone Coast</w:t>
      </w:r>
      <w:r w:rsidR="00B059A7">
        <w:rPr>
          <w:rFonts w:cs="Arial"/>
        </w:rPr>
        <w:t xml:space="preserve"> (South Australia) has </w:t>
      </w:r>
      <w:r>
        <w:rPr>
          <w:rFonts w:cs="Arial"/>
        </w:rPr>
        <w:t>5</w:t>
      </w:r>
      <w:r w:rsidR="006844AC">
        <w:rPr>
          <w:rFonts w:cs="Arial"/>
        </w:rPr>
        <w:t xml:space="preserve">%. </w:t>
      </w:r>
    </w:p>
    <w:p w14:paraId="31C17E50" w14:textId="3AEC3D25" w:rsidR="006844AC" w:rsidRDefault="0075460D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Murray and Mallee</w:t>
      </w:r>
      <w:r w:rsidR="00176BFE">
        <w:rPr>
          <w:rFonts w:cs="Arial"/>
        </w:rPr>
        <w:t xml:space="preserve"> (South Australia) has 7</w:t>
      </w:r>
      <w:r w:rsidR="006844AC">
        <w:rPr>
          <w:rFonts w:cs="Arial"/>
        </w:rPr>
        <w:t xml:space="preserve">%. </w:t>
      </w:r>
    </w:p>
    <w:p w14:paraId="3E9310B8" w14:textId="6A5FAEA2" w:rsidR="0075460D" w:rsidRDefault="00E4185C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East Arnhem (Northern Territory) has 0</w:t>
      </w:r>
      <w:r w:rsidR="0075460D" w:rsidRPr="0075460D">
        <w:rPr>
          <w:rFonts w:cs="Arial"/>
        </w:rPr>
        <w:t>%.</w:t>
      </w:r>
    </w:p>
    <w:p w14:paraId="0DCEB3E8" w14:textId="4B72334D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shrinkage</w:t>
      </w:r>
      <w:r w:rsidRPr="00325B09">
        <w:rPr>
          <w:rFonts w:cs="Arial"/>
        </w:rPr>
        <w:t>, the top 10</w:t>
      </w:r>
      <w:r w:rsidR="00E4185C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102A7985" w14:textId="49042D3D" w:rsidR="00790C79" w:rsidRPr="00790C79" w:rsidRDefault="00DA523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</w:t>
      </w:r>
      <w:r w:rsidR="00E4185C">
        <w:rPr>
          <w:rFonts w:cs="Arial"/>
        </w:rPr>
        <w:t xml:space="preserve">ayside Peninsula </w:t>
      </w:r>
      <w:r>
        <w:rPr>
          <w:rFonts w:cs="Arial"/>
        </w:rPr>
        <w:t xml:space="preserve">(Victoria) </w:t>
      </w:r>
      <w:r w:rsidR="00790C79">
        <w:rPr>
          <w:rFonts w:cs="Arial"/>
        </w:rPr>
        <w:t xml:space="preserve">has provider shrinkage of </w:t>
      </w:r>
      <w:r>
        <w:rPr>
          <w:rFonts w:cs="Arial"/>
        </w:rPr>
        <w:t>15</w:t>
      </w:r>
      <w:r w:rsidR="00790C79" w:rsidRPr="00325B09">
        <w:rPr>
          <w:rFonts w:cs="Arial"/>
        </w:rPr>
        <w:t>% since the previous exposure period.</w:t>
      </w:r>
    </w:p>
    <w:p w14:paraId="6DB67213" w14:textId="3832EF96" w:rsidR="00DA5239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Outer Gippsland (Victoria) has 15</w:t>
      </w:r>
      <w:r w:rsidR="00DA5239">
        <w:rPr>
          <w:rFonts w:cs="Arial"/>
        </w:rPr>
        <w:t>%.</w:t>
      </w:r>
    </w:p>
    <w:p w14:paraId="13E96518" w14:textId="0FBE0D82" w:rsidR="00DA5239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District</w:t>
      </w:r>
      <w:r w:rsidR="00007BFF">
        <w:rPr>
          <w:rFonts w:cs="Arial"/>
        </w:rPr>
        <w:t xml:space="preserve"> (</w:t>
      </w:r>
      <w:r>
        <w:rPr>
          <w:rFonts w:cs="Arial"/>
        </w:rPr>
        <w:t>Victoria</w:t>
      </w:r>
      <w:r w:rsidR="00007BFF">
        <w:rPr>
          <w:rFonts w:cs="Arial"/>
        </w:rPr>
        <w:t xml:space="preserve">) has </w:t>
      </w:r>
      <w:r>
        <w:rPr>
          <w:rFonts w:cs="Arial"/>
        </w:rPr>
        <w:t>11</w:t>
      </w:r>
      <w:r w:rsidR="00007BFF">
        <w:rPr>
          <w:rFonts w:cs="Arial"/>
        </w:rPr>
        <w:t>%</w:t>
      </w:r>
      <w:r w:rsidR="00DA5239">
        <w:rPr>
          <w:rFonts w:cs="Arial"/>
        </w:rPr>
        <w:t>.</w:t>
      </w:r>
    </w:p>
    <w:p w14:paraId="6CAA7ADC" w14:textId="77284557" w:rsidR="00DA5239" w:rsidRDefault="00E4185C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Bundaberg </w:t>
      </w:r>
      <w:r w:rsidR="00DA5239">
        <w:rPr>
          <w:rFonts w:cs="Arial"/>
        </w:rPr>
        <w:t>(</w:t>
      </w:r>
      <w:r>
        <w:rPr>
          <w:rFonts w:cs="Arial"/>
        </w:rPr>
        <w:t>Queensland) has 12</w:t>
      </w:r>
      <w:r w:rsidR="00DA5239">
        <w:rPr>
          <w:rFonts w:cs="Arial"/>
        </w:rPr>
        <w:t>%.</w:t>
      </w:r>
    </w:p>
    <w:p w14:paraId="1DEB0A21" w14:textId="7ED9652E" w:rsidR="00790C79" w:rsidRPr="00DA5239" w:rsidRDefault="00E4185C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</w:t>
      </w:r>
      <w:r w:rsidR="00790C79" w:rsidRPr="00DA5239">
        <w:rPr>
          <w:rFonts w:cs="Arial"/>
        </w:rPr>
        <w:t xml:space="preserve"> (</w:t>
      </w:r>
      <w:r>
        <w:rPr>
          <w:rFonts w:cs="Arial"/>
        </w:rPr>
        <w:t>Queensland</w:t>
      </w:r>
      <w:r w:rsidR="00790C79" w:rsidRPr="00DA5239">
        <w:rPr>
          <w:rFonts w:cs="Arial"/>
        </w:rPr>
        <w:t xml:space="preserve">) has </w:t>
      </w:r>
      <w:r>
        <w:rPr>
          <w:rFonts w:cs="Arial"/>
        </w:rPr>
        <w:t>14</w:t>
      </w:r>
      <w:r w:rsidR="00790C79" w:rsidRPr="00DA5239">
        <w:rPr>
          <w:rFonts w:cs="Arial"/>
        </w:rPr>
        <w:t xml:space="preserve">%. </w:t>
      </w:r>
    </w:p>
    <w:p w14:paraId="515D97B6" w14:textId="0974A003" w:rsidR="00007BFF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</w:t>
      </w:r>
      <w:r w:rsidR="00790C79">
        <w:rPr>
          <w:rFonts w:cs="Arial"/>
        </w:rPr>
        <w:t>(</w:t>
      </w:r>
      <w:r>
        <w:rPr>
          <w:rFonts w:cs="Arial"/>
        </w:rPr>
        <w:t>South Australia</w:t>
      </w:r>
      <w:r w:rsidR="00790C79">
        <w:rPr>
          <w:rFonts w:cs="Arial"/>
        </w:rPr>
        <w:t xml:space="preserve">) has </w:t>
      </w:r>
      <w:r>
        <w:rPr>
          <w:rFonts w:cs="Arial"/>
        </w:rPr>
        <w:t>14</w:t>
      </w:r>
      <w:r w:rsidR="00DA5239">
        <w:rPr>
          <w:rFonts w:cs="Arial"/>
        </w:rPr>
        <w:t>%</w:t>
      </w:r>
      <w:r w:rsidR="00007BFF">
        <w:rPr>
          <w:rFonts w:cs="Arial"/>
        </w:rPr>
        <w:t xml:space="preserve">. </w:t>
      </w:r>
    </w:p>
    <w:p w14:paraId="0E91F02B" w14:textId="1A80521D" w:rsidR="00007BFF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Southern</w:t>
      </w:r>
      <w:r w:rsidR="00790C79">
        <w:rPr>
          <w:rFonts w:cs="Arial"/>
        </w:rPr>
        <w:t xml:space="preserve"> (Western Australia) has</w:t>
      </w:r>
      <w:r>
        <w:rPr>
          <w:rFonts w:cs="Arial"/>
        </w:rPr>
        <w:t xml:space="preserve"> 14</w:t>
      </w:r>
      <w:r w:rsidR="00007BFF">
        <w:rPr>
          <w:rFonts w:cs="Arial"/>
        </w:rPr>
        <w:t xml:space="preserve">%. </w:t>
      </w:r>
    </w:p>
    <w:p w14:paraId="1845B1E8" w14:textId="5B6B22E8" w:rsidR="00790C79" w:rsidRPr="00790C79" w:rsidRDefault="00E4185C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="00790C79">
        <w:rPr>
          <w:rFonts w:cs="Arial"/>
        </w:rPr>
        <w:t xml:space="preserve"> (Western Australia) has </w:t>
      </w:r>
      <w:r w:rsidR="00DA5239">
        <w:rPr>
          <w:rFonts w:cs="Arial"/>
        </w:rPr>
        <w:t>15</w:t>
      </w:r>
      <w:r w:rsidR="00790C79">
        <w:rPr>
          <w:rFonts w:cs="Arial"/>
        </w:rPr>
        <w:t xml:space="preserve">%. </w:t>
      </w:r>
    </w:p>
    <w:p w14:paraId="0FB76D4D" w14:textId="69F814D6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>The bottom 10</w:t>
      </w:r>
      <w:r w:rsidR="00E4185C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AE8E7FC" w14:textId="6162B3BD" w:rsidR="00A31984" w:rsidRPr="00325B09" w:rsidRDefault="00E4185C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="00DA5239">
        <w:rPr>
          <w:rFonts w:cs="Arial"/>
        </w:rPr>
        <w:t xml:space="preserve"> (New South Wales) </w:t>
      </w:r>
      <w:r w:rsidR="004A24D1">
        <w:rPr>
          <w:rFonts w:cs="Arial"/>
        </w:rPr>
        <w:t xml:space="preserve">has provider shrinkage of </w:t>
      </w:r>
      <w:r>
        <w:rPr>
          <w:rFonts w:cs="Arial"/>
        </w:rPr>
        <w:t>38</w:t>
      </w:r>
      <w:r w:rsidR="00A31984" w:rsidRPr="00325B09">
        <w:rPr>
          <w:rFonts w:cs="Arial"/>
        </w:rPr>
        <w:t>% since the previous exposure period.</w:t>
      </w:r>
    </w:p>
    <w:p w14:paraId="318580E9" w14:textId="6DE6C363" w:rsidR="00DA5239" w:rsidRDefault="00E4185C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Limestone Coast</w:t>
      </w:r>
      <w:r w:rsidR="00DA5239">
        <w:rPr>
          <w:rFonts w:cs="Arial"/>
        </w:rPr>
        <w:t xml:space="preserve"> (</w:t>
      </w:r>
      <w:r>
        <w:rPr>
          <w:rFonts w:cs="Arial"/>
        </w:rPr>
        <w:t>South Australia) has 30</w:t>
      </w:r>
      <w:r w:rsidR="00DA5239">
        <w:rPr>
          <w:rFonts w:cs="Arial"/>
        </w:rPr>
        <w:t>%.</w:t>
      </w:r>
    </w:p>
    <w:p w14:paraId="66E8D8F3" w14:textId="01148818" w:rsidR="00DA5239" w:rsidRDefault="00E4185C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North</w:t>
      </w:r>
      <w:r w:rsidR="00DA5239" w:rsidRPr="00325B09">
        <w:rPr>
          <w:rFonts w:cs="Arial"/>
        </w:rPr>
        <w:t xml:space="preserve"> (</w:t>
      </w:r>
      <w:r>
        <w:rPr>
          <w:rFonts w:cs="Arial"/>
        </w:rPr>
        <w:t>South Australia</w:t>
      </w:r>
      <w:r w:rsidR="00DA5239">
        <w:rPr>
          <w:rFonts w:cs="Arial"/>
        </w:rPr>
        <w:t xml:space="preserve">) has </w:t>
      </w:r>
      <w:r>
        <w:rPr>
          <w:rFonts w:cs="Arial"/>
        </w:rPr>
        <w:t>27</w:t>
      </w:r>
      <w:r w:rsidR="00DA5239">
        <w:rPr>
          <w:rFonts w:cs="Arial"/>
        </w:rPr>
        <w:t>%.</w:t>
      </w:r>
    </w:p>
    <w:p w14:paraId="6B732E70" w14:textId="77777777" w:rsidR="00E4185C" w:rsidRDefault="00E4185C" w:rsidP="00E4185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North</w:t>
      </w:r>
      <w:r w:rsidR="00DA5239" w:rsidRPr="00DA5239">
        <w:rPr>
          <w:rFonts w:cs="Arial"/>
        </w:rPr>
        <w:t xml:space="preserve"> </w:t>
      </w:r>
      <w:r w:rsidR="00DA5239">
        <w:rPr>
          <w:rFonts w:cs="Arial"/>
        </w:rPr>
        <w:t>(</w:t>
      </w:r>
      <w:r>
        <w:rPr>
          <w:rFonts w:cs="Arial"/>
        </w:rPr>
        <w:t>Tasmania</w:t>
      </w:r>
      <w:r w:rsidR="004A24D1" w:rsidRPr="00DA5239">
        <w:rPr>
          <w:rFonts w:cs="Arial"/>
        </w:rPr>
        <w:t xml:space="preserve">) has </w:t>
      </w:r>
      <w:r>
        <w:rPr>
          <w:rFonts w:cs="Arial"/>
        </w:rPr>
        <w:t>30</w:t>
      </w:r>
      <w:r w:rsidR="004A24D1" w:rsidRPr="00DA5239">
        <w:rPr>
          <w:rFonts w:cs="Arial"/>
        </w:rPr>
        <w:t>%.</w:t>
      </w:r>
    </w:p>
    <w:p w14:paraId="0CFEA804" w14:textId="029A264D" w:rsidR="00DA5239" w:rsidRPr="00E4185C" w:rsidRDefault="00E4185C" w:rsidP="00E4185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Barkly</w:t>
      </w:r>
      <w:r w:rsidR="00DA5239" w:rsidRPr="00E4185C">
        <w:rPr>
          <w:rFonts w:cs="Arial"/>
        </w:rPr>
        <w:t xml:space="preserve"> (</w:t>
      </w:r>
      <w:r>
        <w:rPr>
          <w:rFonts w:cs="Arial"/>
        </w:rPr>
        <w:t>Northern Territory) has 39</w:t>
      </w:r>
      <w:r w:rsidR="00DA5239" w:rsidRPr="00E4185C">
        <w:rPr>
          <w:rFonts w:cs="Arial"/>
        </w:rPr>
        <w:t>%.</w:t>
      </w:r>
    </w:p>
    <w:p w14:paraId="170A1994" w14:textId="697C8885" w:rsidR="00007BFF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</w:t>
      </w:r>
      <w:r w:rsidR="00DA5239">
        <w:rPr>
          <w:rFonts w:cs="Arial"/>
        </w:rPr>
        <w:t>e</w:t>
      </w:r>
      <w:r>
        <w:rPr>
          <w:rFonts w:cs="Arial"/>
        </w:rPr>
        <w:t xml:space="preserve"> (Northern Territory</w:t>
      </w:r>
      <w:r w:rsidR="004A24D1">
        <w:rPr>
          <w:rFonts w:cs="Arial"/>
        </w:rPr>
        <w:t xml:space="preserve">) has </w:t>
      </w:r>
      <w:r>
        <w:rPr>
          <w:rFonts w:cs="Arial"/>
        </w:rPr>
        <w:t>32</w:t>
      </w:r>
      <w:r w:rsidR="00007BFF">
        <w:rPr>
          <w:rFonts w:cs="Arial"/>
        </w:rPr>
        <w:t xml:space="preserve">%. </w:t>
      </w:r>
    </w:p>
    <w:p w14:paraId="085CC86C" w14:textId="02ACCB6B" w:rsidR="00DA5239" w:rsidRDefault="00E4185C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44</w:t>
      </w:r>
      <w:r w:rsidR="00DA5239">
        <w:rPr>
          <w:rFonts w:cs="Arial"/>
        </w:rPr>
        <w:t xml:space="preserve">%. </w:t>
      </w:r>
    </w:p>
    <w:p w14:paraId="6251BE07" w14:textId="701B6FC7" w:rsidR="00DA5239" w:rsidRDefault="00E4185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Esperance</w:t>
      </w:r>
      <w:r w:rsidR="00DA5239">
        <w:rPr>
          <w:rFonts w:cs="Arial"/>
        </w:rPr>
        <w:t xml:space="preserve"> (</w:t>
      </w:r>
      <w:r>
        <w:rPr>
          <w:rFonts w:cs="Arial"/>
        </w:rPr>
        <w:t>Western Australia) has 27</w:t>
      </w:r>
      <w:r w:rsidR="00DA5239">
        <w:rPr>
          <w:rFonts w:cs="Arial"/>
        </w:rPr>
        <w:t>%.</w:t>
      </w:r>
    </w:p>
    <w:p w14:paraId="7F4FB796" w14:textId="1AC37423" w:rsidR="00A31984" w:rsidRPr="00325B09" w:rsidRDefault="00A31984" w:rsidP="00E4185C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utilisation</w:t>
      </w:r>
      <w:r w:rsidRPr="00325B09">
        <w:rPr>
          <w:rFonts w:cs="Arial"/>
        </w:rPr>
        <w:t>, the top 10</w:t>
      </w:r>
      <w:r w:rsidR="00E4185C">
        <w:rPr>
          <w:rFonts w:cs="Arial"/>
        </w:rPr>
        <w:t xml:space="preserve"> percentile</w:t>
      </w:r>
      <w:r w:rsidRPr="00325B09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219B18CE" w14:textId="6BB7352D" w:rsidR="00480B75" w:rsidRPr="00480B75" w:rsidRDefault="00E4185C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Beenleigh</w:t>
      </w:r>
      <w:r w:rsidR="005C0860">
        <w:rPr>
          <w:rFonts w:cs="Arial"/>
        </w:rPr>
        <w:t xml:space="preserve"> </w:t>
      </w:r>
      <w:r w:rsidR="00480B75">
        <w:rPr>
          <w:rFonts w:cs="Arial"/>
        </w:rPr>
        <w:t>(</w:t>
      </w:r>
      <w:r>
        <w:rPr>
          <w:rFonts w:cs="Arial"/>
        </w:rPr>
        <w:t>Queensland</w:t>
      </w:r>
      <w:r w:rsidR="00480B75">
        <w:rPr>
          <w:rFonts w:cs="Arial"/>
        </w:rPr>
        <w:t xml:space="preserve">) has utilisation of </w:t>
      </w:r>
      <w:r>
        <w:rPr>
          <w:rFonts w:cs="Arial"/>
        </w:rPr>
        <w:t>74</w:t>
      </w:r>
      <w:r w:rsidR="00480B75">
        <w:rPr>
          <w:rFonts w:cs="Arial"/>
        </w:rPr>
        <w:t xml:space="preserve">%. </w:t>
      </w:r>
    </w:p>
    <w:p w14:paraId="2C6DD13F" w14:textId="6F3815CF" w:rsidR="00263733" w:rsidRDefault="00E4185C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Brisbane (Queensland</w:t>
      </w:r>
      <w:r w:rsidR="00480B75">
        <w:rPr>
          <w:rFonts w:cs="Arial"/>
        </w:rPr>
        <w:t xml:space="preserve">) has </w:t>
      </w:r>
      <w:r>
        <w:rPr>
          <w:rFonts w:cs="Arial"/>
        </w:rPr>
        <w:t>72</w:t>
      </w:r>
      <w:r w:rsidR="00263733">
        <w:rPr>
          <w:rFonts w:cs="Arial"/>
        </w:rPr>
        <w:t xml:space="preserve">%. </w:t>
      </w:r>
    </w:p>
    <w:p w14:paraId="6C37E8BB" w14:textId="50C9E877" w:rsidR="00480B75" w:rsidRDefault="00E4185C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Caboolture/Strathpine (Queensland) has 72</w:t>
      </w:r>
      <w:r w:rsidR="00480B75">
        <w:rPr>
          <w:rFonts w:cs="Arial"/>
        </w:rPr>
        <w:t>%.</w:t>
      </w:r>
    </w:p>
    <w:p w14:paraId="735C3571" w14:textId="376E6EB7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</w:t>
      </w:r>
      <w:r w:rsidR="00E4185C">
        <w:rPr>
          <w:rFonts w:cs="Arial"/>
        </w:rPr>
        <w:t>aroochydore (Queensland) has 72</w:t>
      </w:r>
      <w:r>
        <w:rPr>
          <w:rFonts w:cs="Arial"/>
        </w:rPr>
        <w:t xml:space="preserve">%. </w:t>
      </w:r>
    </w:p>
    <w:p w14:paraId="130CDCDD" w14:textId="08712423" w:rsidR="005C0860" w:rsidRDefault="00480B75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Robina (Queensland) has </w:t>
      </w:r>
      <w:r w:rsidR="00E4185C">
        <w:rPr>
          <w:rFonts w:cs="Arial"/>
        </w:rPr>
        <w:t>76</w:t>
      </w:r>
      <w:r w:rsidR="00263733">
        <w:rPr>
          <w:rFonts w:cs="Arial"/>
        </w:rPr>
        <w:t>%.</w:t>
      </w:r>
    </w:p>
    <w:p w14:paraId="3107E1F9" w14:textId="38FBEDBE" w:rsidR="005C0860" w:rsidRDefault="005C0860" w:rsidP="005C0860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</w:t>
      </w:r>
      <w:r w:rsidR="00E4185C">
        <w:rPr>
          <w:rFonts w:cs="Arial"/>
        </w:rPr>
        <w:t>70</w:t>
      </w:r>
      <w:r>
        <w:rPr>
          <w:rFonts w:cs="Arial"/>
        </w:rPr>
        <w:t xml:space="preserve">%. </w:t>
      </w:r>
    </w:p>
    <w:p w14:paraId="5B302A61" w14:textId="7AD705D0" w:rsidR="005C0860" w:rsidRDefault="005C0860" w:rsidP="005C0860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South East Metro</w:t>
      </w:r>
      <w:r w:rsidRPr="00480B75">
        <w:rPr>
          <w:rFonts w:cs="Arial"/>
        </w:rPr>
        <w:t xml:space="preserve"> </w:t>
      </w:r>
      <w:r w:rsidR="00E4185C">
        <w:rPr>
          <w:rFonts w:cs="Arial"/>
        </w:rPr>
        <w:t>(Western Australia) has 69</w:t>
      </w:r>
      <w:r>
        <w:rPr>
          <w:rFonts w:cs="Arial"/>
        </w:rPr>
        <w:t xml:space="preserve">%. </w:t>
      </w:r>
    </w:p>
    <w:p w14:paraId="2EB8FAAD" w14:textId="6D577AB1" w:rsidR="00263733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>South</w:t>
      </w:r>
      <w:r w:rsidR="005C0860">
        <w:rPr>
          <w:rFonts w:cs="Arial"/>
        </w:rPr>
        <w:t xml:space="preserve"> West </w:t>
      </w:r>
      <w:r>
        <w:rPr>
          <w:rFonts w:cs="Arial"/>
        </w:rPr>
        <w:t xml:space="preserve">(Western Australia) has </w:t>
      </w:r>
      <w:r w:rsidR="00A82806">
        <w:rPr>
          <w:rFonts w:cs="Arial"/>
        </w:rPr>
        <w:t>70</w:t>
      </w:r>
      <w:r w:rsidR="00263733">
        <w:rPr>
          <w:rFonts w:cs="Arial"/>
        </w:rPr>
        <w:t xml:space="preserve">%. </w:t>
      </w:r>
    </w:p>
    <w:p w14:paraId="50DD2E87" w14:textId="768382F7" w:rsidR="00A31984" w:rsidRPr="00984998" w:rsidRDefault="00A31984" w:rsidP="00A31984">
      <w:pPr>
        <w:jc w:val="both"/>
        <w:rPr>
          <w:rFonts w:cs="Arial"/>
        </w:rPr>
      </w:pPr>
      <w:r w:rsidRPr="00984998">
        <w:rPr>
          <w:rFonts w:cs="Arial"/>
        </w:rPr>
        <w:t>The bottom 10</w:t>
      </w:r>
      <w:r w:rsidR="00E4185C">
        <w:rPr>
          <w:rFonts w:cs="Arial"/>
        </w:rPr>
        <w:t xml:space="preserve"> percentile</w:t>
      </w:r>
      <w:r w:rsidRPr="00984998">
        <w:rPr>
          <w:rFonts w:cs="Arial"/>
        </w:rPr>
        <w:t xml:space="preserve"> </w:t>
      </w:r>
      <w:r w:rsidR="006F3350">
        <w:rPr>
          <w:rFonts w:cs="Arial"/>
        </w:rPr>
        <w:t>service</w:t>
      </w:r>
      <w:r w:rsidR="006F3350" w:rsidRPr="00984998">
        <w:rPr>
          <w:rFonts w:cs="Arial"/>
        </w:rPr>
        <w:t xml:space="preserve"> </w:t>
      </w:r>
      <w:r w:rsidR="00F277F7" w:rsidRPr="00984998">
        <w:rPr>
          <w:rFonts w:cs="Arial"/>
        </w:rPr>
        <w:t>district</w:t>
      </w:r>
      <w:r w:rsidRPr="00984998">
        <w:rPr>
          <w:rFonts w:cs="Arial"/>
        </w:rPr>
        <w:t>s are as follows.</w:t>
      </w:r>
    </w:p>
    <w:p w14:paraId="27A1978C" w14:textId="77777777" w:rsidR="00DC6C36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="00263733">
        <w:rPr>
          <w:rFonts w:cs="Arial"/>
        </w:rPr>
        <w:t xml:space="preserve"> (</w:t>
      </w:r>
      <w:r>
        <w:rPr>
          <w:rFonts w:cs="Arial"/>
        </w:rPr>
        <w:t>New South Wales</w:t>
      </w:r>
      <w:r w:rsidR="00984998">
        <w:rPr>
          <w:rFonts w:cs="Arial"/>
        </w:rPr>
        <w:t xml:space="preserve">) has utilisation of </w:t>
      </w:r>
      <w:r>
        <w:rPr>
          <w:rFonts w:cs="Arial"/>
        </w:rPr>
        <w:t>54</w:t>
      </w:r>
      <w:r w:rsidR="00263733">
        <w:rPr>
          <w:rFonts w:cs="Arial"/>
        </w:rPr>
        <w:t>%.</w:t>
      </w:r>
    </w:p>
    <w:p w14:paraId="5CF17336" w14:textId="7C79CD15" w:rsidR="00263733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New South Wales (New South Wales) has 58%.</w:t>
      </w:r>
      <w:r w:rsidR="00263733">
        <w:rPr>
          <w:rFonts w:cs="Arial"/>
        </w:rPr>
        <w:t xml:space="preserve"> </w:t>
      </w:r>
    </w:p>
    <w:p w14:paraId="718017BE" w14:textId="58877505" w:rsidR="00DC6C36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55%.</w:t>
      </w:r>
    </w:p>
    <w:p w14:paraId="2F0DB917" w14:textId="37DDB13C" w:rsidR="005C0860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984998">
        <w:rPr>
          <w:rFonts w:cs="Arial"/>
        </w:rPr>
        <w:t xml:space="preserve">r North (South Australia) has </w:t>
      </w:r>
      <w:r w:rsidR="00DC6C36">
        <w:rPr>
          <w:rFonts w:cs="Arial"/>
        </w:rPr>
        <w:t>46</w:t>
      </w:r>
      <w:r>
        <w:rPr>
          <w:rFonts w:cs="Arial"/>
        </w:rPr>
        <w:t>%.</w:t>
      </w:r>
    </w:p>
    <w:p w14:paraId="7BE467B8" w14:textId="10A5E40B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984998">
        <w:rPr>
          <w:rFonts w:cs="Arial"/>
        </w:rPr>
        <w:t xml:space="preserve">rkly (Northern Territory) has </w:t>
      </w:r>
      <w:r w:rsidR="00DC6C36">
        <w:rPr>
          <w:rFonts w:cs="Arial"/>
        </w:rPr>
        <w:t>47</w:t>
      </w:r>
      <w:r>
        <w:rPr>
          <w:rFonts w:cs="Arial"/>
        </w:rPr>
        <w:t xml:space="preserve">%. </w:t>
      </w:r>
    </w:p>
    <w:p w14:paraId="7108446A" w14:textId="71423F1F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984998">
        <w:rPr>
          <w:rFonts w:cs="Arial"/>
        </w:rPr>
        <w:t xml:space="preserve">mote (Northern Territory) has </w:t>
      </w:r>
      <w:r w:rsidR="00DC6C36">
        <w:rPr>
          <w:rFonts w:cs="Arial"/>
        </w:rPr>
        <w:t>53</w:t>
      </w:r>
      <w:r>
        <w:rPr>
          <w:rFonts w:cs="Arial"/>
        </w:rPr>
        <w:t xml:space="preserve">%. </w:t>
      </w:r>
    </w:p>
    <w:p w14:paraId="4E0051C5" w14:textId="7717865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984998">
        <w:rPr>
          <w:rFonts w:cs="Arial"/>
        </w:rPr>
        <w:t xml:space="preserve">nhem (Northern Territory) has </w:t>
      </w:r>
      <w:r w:rsidR="00DC6C36">
        <w:rPr>
          <w:rFonts w:cs="Arial"/>
        </w:rPr>
        <w:t>38</w:t>
      </w:r>
      <w:r>
        <w:rPr>
          <w:rFonts w:cs="Arial"/>
        </w:rPr>
        <w:t xml:space="preserve">%. </w:t>
      </w:r>
    </w:p>
    <w:p w14:paraId="12CC80F5" w14:textId="34388EA6" w:rsidR="00263733" w:rsidRDefault="00984998" w:rsidP="0098499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84998">
        <w:rPr>
          <w:rFonts w:cs="Arial"/>
        </w:rPr>
        <w:t xml:space="preserve">Kimberley-Pilbara </w:t>
      </w:r>
      <w:r w:rsidR="00DC6C36">
        <w:rPr>
          <w:rFonts w:cs="Arial"/>
        </w:rPr>
        <w:t>(Western Australia) has 52</w:t>
      </w:r>
      <w:r w:rsidR="00263733">
        <w:rPr>
          <w:rFonts w:cs="Arial"/>
        </w:rPr>
        <w:t xml:space="preserve">%. </w:t>
      </w:r>
    </w:p>
    <w:p w14:paraId="569419FE" w14:textId="4367A08E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For </w:t>
      </w:r>
      <w:r w:rsidRPr="00C6228A">
        <w:rPr>
          <w:rFonts w:cs="Arial"/>
          <w:b/>
        </w:rPr>
        <w:t>outcomes indicator on choice and control</w:t>
      </w:r>
      <w:r w:rsidRPr="00C6228A">
        <w:rPr>
          <w:rFonts w:cs="Arial"/>
        </w:rPr>
        <w:t>, the top 10</w:t>
      </w:r>
      <w:r w:rsidR="00DC6C36">
        <w:rPr>
          <w:rFonts w:cs="Arial"/>
        </w:rPr>
        <w:t xml:space="preserve"> percentile</w:t>
      </w:r>
      <w:r w:rsidRPr="00C6228A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C3B25CD" w14:textId="4EB709F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an outcomes indicator on choice and control of 67%. </w:t>
      </w:r>
    </w:p>
    <w:p w14:paraId="260A750D" w14:textId="77777777" w:rsidR="00DC6C36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Eastern Adelaide</w:t>
      </w:r>
      <w:r w:rsidR="0040188E">
        <w:rPr>
          <w:rFonts w:cs="Arial"/>
        </w:rPr>
        <w:t xml:space="preserve"> (South Australia) has 6</w:t>
      </w:r>
      <w:r>
        <w:rPr>
          <w:rFonts w:cs="Arial"/>
        </w:rPr>
        <w:t>6</w:t>
      </w:r>
      <w:r w:rsidR="00263733">
        <w:rPr>
          <w:rFonts w:cs="Arial"/>
        </w:rPr>
        <w:t>%.</w:t>
      </w:r>
    </w:p>
    <w:p w14:paraId="2A24633F" w14:textId="6D598744" w:rsidR="00DC6C36" w:rsidRDefault="00DC6C36" w:rsidP="00DC6C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66%.</w:t>
      </w:r>
    </w:p>
    <w:p w14:paraId="15579925" w14:textId="36747824" w:rsid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40188E">
        <w:rPr>
          <w:rFonts w:cs="Arial"/>
        </w:rPr>
        <w:t>Fleurieu</w:t>
      </w:r>
      <w:proofErr w:type="spellEnd"/>
      <w:r w:rsidRPr="0040188E">
        <w:rPr>
          <w:rFonts w:cs="Arial"/>
        </w:rPr>
        <w:t xml:space="preserve"> and Kangaroo Island</w:t>
      </w:r>
      <w:r w:rsidR="00DC6C36">
        <w:rPr>
          <w:rFonts w:cs="Arial"/>
        </w:rPr>
        <w:t xml:space="preserve"> (South Australia) has 68</w:t>
      </w:r>
      <w:r>
        <w:rPr>
          <w:rFonts w:cs="Arial"/>
        </w:rPr>
        <w:t>%.</w:t>
      </w:r>
    </w:p>
    <w:p w14:paraId="3A686082" w14:textId="549EE89C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DC6C36">
        <w:rPr>
          <w:rFonts w:cs="Arial"/>
        </w:rPr>
        <w:t>e Coast (South Australia) has 67</w:t>
      </w:r>
      <w:r>
        <w:rPr>
          <w:rFonts w:cs="Arial"/>
        </w:rPr>
        <w:t xml:space="preserve">%. </w:t>
      </w:r>
    </w:p>
    <w:p w14:paraId="0BC200A2" w14:textId="14CA02C6" w:rsid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0188E">
        <w:rPr>
          <w:rFonts w:cs="Arial"/>
        </w:rPr>
        <w:t>Murray and Mallee</w:t>
      </w:r>
      <w:r>
        <w:rPr>
          <w:rFonts w:cs="Arial"/>
        </w:rPr>
        <w:t xml:space="preserve"> (South Australia) has 6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7E1A9F5D" w14:textId="24D93402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40188E">
        <w:rPr>
          <w:rFonts w:cs="Arial"/>
        </w:rPr>
        <w:t>tralian Capital Territory has 6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49C59D07" w14:textId="1DA9D8D1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7</w:t>
      </w:r>
      <w:r w:rsidR="00DC6C36">
        <w:rPr>
          <w:rFonts w:cs="Arial"/>
        </w:rPr>
        <w:t>2</w:t>
      </w:r>
      <w:r>
        <w:rPr>
          <w:rFonts w:cs="Arial"/>
        </w:rPr>
        <w:t xml:space="preserve">%. </w:t>
      </w:r>
    </w:p>
    <w:p w14:paraId="4A879AD5" w14:textId="7C6250AE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>The bottom 10</w:t>
      </w:r>
      <w:r w:rsidR="00DC6C36">
        <w:rPr>
          <w:rFonts w:cs="Arial"/>
        </w:rPr>
        <w:t xml:space="preserve"> percentile</w:t>
      </w:r>
      <w:r w:rsidRPr="00C6228A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04065AC" w14:textId="12D139BC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Eastern Sydney (New South Wales) has an outcomes indic</w:t>
      </w:r>
      <w:r w:rsidR="00DC6C36">
        <w:rPr>
          <w:rFonts w:cs="Arial"/>
        </w:rPr>
        <w:t>ator on choice and control of 51</w:t>
      </w:r>
      <w:r>
        <w:rPr>
          <w:rFonts w:cs="Arial"/>
        </w:rPr>
        <w:t xml:space="preserve">%. </w:t>
      </w:r>
    </w:p>
    <w:p w14:paraId="41892471" w14:textId="6A93BDAC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Western Sydney (New South Wales) has 4</w:t>
      </w:r>
      <w:r w:rsidR="00DC6C36">
        <w:rPr>
          <w:rFonts w:cs="Arial"/>
        </w:rPr>
        <w:t>8</w:t>
      </w:r>
      <w:r>
        <w:rPr>
          <w:rFonts w:cs="Arial"/>
        </w:rPr>
        <w:t xml:space="preserve">%. </w:t>
      </w:r>
    </w:p>
    <w:p w14:paraId="25D5600D" w14:textId="0886645D" w:rsidR="00CB2631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</w:t>
      </w:r>
      <w:r w:rsidR="00DC6C36">
        <w:rPr>
          <w:rFonts w:cs="Arial"/>
        </w:rPr>
        <w:t>alia (Northern Territory) has 50</w:t>
      </w:r>
      <w:r>
        <w:rPr>
          <w:rFonts w:cs="Arial"/>
        </w:rPr>
        <w:t>%.</w:t>
      </w:r>
    </w:p>
    <w:p w14:paraId="5E69499A" w14:textId="52618CC7" w:rsidR="00263733" w:rsidRPr="00CB2631" w:rsidRDefault="00263733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B2631">
        <w:rPr>
          <w:rFonts w:cs="Arial"/>
        </w:rPr>
        <w:t>Darwin Re</w:t>
      </w:r>
      <w:r w:rsidR="00DC6C36">
        <w:rPr>
          <w:rFonts w:cs="Arial"/>
        </w:rPr>
        <w:t>mote (Northern Territory) has 40</w:t>
      </w:r>
      <w:r w:rsidRPr="00CB2631">
        <w:rPr>
          <w:rFonts w:cs="Arial"/>
        </w:rPr>
        <w:t xml:space="preserve">%. </w:t>
      </w:r>
    </w:p>
    <w:p w14:paraId="7CC7EBFC" w14:textId="549F76EA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85182A">
        <w:rPr>
          <w:rFonts w:cs="Arial"/>
        </w:rPr>
        <w:t>nhem (Northern Territory) has 4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0D1EF830" w14:textId="5E3EEEC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85182A">
        <w:rPr>
          <w:rFonts w:cs="Arial"/>
        </w:rPr>
        <w:t>rine (Northern Territory) has 3</w:t>
      </w:r>
      <w:r w:rsidR="00DC6C36">
        <w:rPr>
          <w:rFonts w:cs="Arial"/>
        </w:rPr>
        <w:t>8</w:t>
      </w:r>
      <w:r>
        <w:rPr>
          <w:rFonts w:cs="Arial"/>
        </w:rPr>
        <w:t xml:space="preserve">%. </w:t>
      </w:r>
    </w:p>
    <w:p w14:paraId="575FB219" w14:textId="67738CEF" w:rsidR="0085182A" w:rsidRPr="0085182A" w:rsidRDefault="0085182A" w:rsidP="0085182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5182A">
        <w:rPr>
          <w:rFonts w:cs="Arial"/>
        </w:rPr>
        <w:t>Central North Metro</w:t>
      </w:r>
      <w:r w:rsidR="00DC6C36">
        <w:rPr>
          <w:rFonts w:cs="Arial"/>
        </w:rPr>
        <w:t xml:space="preserve"> (Western Australia) has 50</w:t>
      </w:r>
      <w:r>
        <w:rPr>
          <w:rFonts w:cs="Arial"/>
        </w:rPr>
        <w:t>%.</w:t>
      </w:r>
    </w:p>
    <w:p w14:paraId="56438BE1" w14:textId="6A0C6E58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85182A">
        <w:rPr>
          <w:rFonts w:cs="Arial"/>
        </w:rPr>
        <w:t>rance (Western Australia) has 4</w:t>
      </w:r>
      <w:r w:rsidR="00DC6C36">
        <w:rPr>
          <w:rFonts w:cs="Arial"/>
        </w:rPr>
        <w:t>7</w:t>
      </w:r>
      <w:r>
        <w:rPr>
          <w:rFonts w:cs="Arial"/>
        </w:rPr>
        <w:t xml:space="preserve">%. </w:t>
      </w:r>
    </w:p>
    <w:p w14:paraId="648A392C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25C0324A" w14:textId="7A874182" w:rsidR="00A31984" w:rsidRPr="0059208F" w:rsidRDefault="00A31984" w:rsidP="00A31984">
      <w:pPr>
        <w:jc w:val="both"/>
        <w:rPr>
          <w:rFonts w:cs="Arial"/>
        </w:rPr>
      </w:pPr>
      <w:r w:rsidRPr="0059208F">
        <w:rPr>
          <w:rFonts w:cs="Arial"/>
        </w:rPr>
        <w:lastRenderedPageBreak/>
        <w:t xml:space="preserve">For </w:t>
      </w:r>
      <w:r w:rsidRPr="0059208F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59208F">
        <w:rPr>
          <w:rFonts w:cs="Arial"/>
          <w:b/>
        </w:rPr>
        <w:t>?” indicator</w:t>
      </w:r>
      <w:r w:rsidRPr="0059208F">
        <w:rPr>
          <w:rFonts w:cs="Arial"/>
        </w:rPr>
        <w:t>, the top 10</w:t>
      </w:r>
      <w:r w:rsidR="00DC6C36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59560A89" w14:textId="7A7FE95A" w:rsidR="00A31984" w:rsidRPr="0059208F" w:rsidRDefault="00CB2631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Beenleigh (Queensland) </w:t>
      </w:r>
      <w:r w:rsidR="001A390D">
        <w:rPr>
          <w:rFonts w:cs="Arial"/>
        </w:rPr>
        <w:t>has an indicator of 82</w:t>
      </w:r>
      <w:r w:rsidR="00A31984" w:rsidRPr="0059208F">
        <w:rPr>
          <w:rFonts w:cs="Arial"/>
        </w:rPr>
        <w:t>%.</w:t>
      </w:r>
    </w:p>
    <w:p w14:paraId="1EF61C4C" w14:textId="089E63B6" w:rsidR="001A390D" w:rsidRP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Brisbane</w:t>
      </w:r>
      <w:r>
        <w:rPr>
          <w:rFonts w:cs="Arial"/>
        </w:rPr>
        <w:t xml:space="preserve"> (Queensland) has </w:t>
      </w:r>
      <w:r w:rsidR="00DC6C36">
        <w:rPr>
          <w:rFonts w:cs="Arial"/>
        </w:rPr>
        <w:t>81</w:t>
      </w:r>
      <w:r w:rsidRPr="0059208F">
        <w:rPr>
          <w:rFonts w:cs="Arial"/>
        </w:rPr>
        <w:t>%.</w:t>
      </w:r>
    </w:p>
    <w:p w14:paraId="0DC7C4BF" w14:textId="37093B08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Bundaberg (Queensland) has </w:t>
      </w:r>
      <w:r w:rsidR="00DC6C36">
        <w:rPr>
          <w:rFonts w:cs="Arial"/>
        </w:rPr>
        <w:t>79</w:t>
      </w:r>
      <w:r w:rsidRPr="0059208F">
        <w:rPr>
          <w:rFonts w:cs="Arial"/>
        </w:rPr>
        <w:t>%.</w:t>
      </w:r>
    </w:p>
    <w:p w14:paraId="782A7945" w14:textId="2ACD671A" w:rsidR="00DC6C36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Mackay (Queensland) has 79%.</w:t>
      </w:r>
    </w:p>
    <w:p w14:paraId="03F9C456" w14:textId="3F7E1298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8</w:t>
      </w:r>
      <w:r w:rsidR="00DC6C36">
        <w:rPr>
          <w:rFonts w:cs="Arial"/>
        </w:rPr>
        <w:t>5</w:t>
      </w:r>
      <w:r>
        <w:rPr>
          <w:rFonts w:cs="Arial"/>
        </w:rPr>
        <w:t xml:space="preserve">%. </w:t>
      </w:r>
    </w:p>
    <w:p w14:paraId="43D39D6A" w14:textId="00665501" w:rsidR="00A31984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Maryborough (Queensland) has </w:t>
      </w:r>
      <w:r w:rsidR="00CB2631">
        <w:rPr>
          <w:rFonts w:cs="Arial"/>
        </w:rPr>
        <w:t>80</w:t>
      </w:r>
      <w:r w:rsidR="00A31984" w:rsidRPr="0059208F">
        <w:rPr>
          <w:rFonts w:cs="Arial"/>
        </w:rPr>
        <w:t>%.</w:t>
      </w:r>
    </w:p>
    <w:p w14:paraId="284AD708" w14:textId="07593CA3" w:rsidR="00A31984" w:rsidRDefault="00DC6C36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81</w:t>
      </w:r>
      <w:r w:rsidR="00A31984" w:rsidRPr="0059208F">
        <w:rPr>
          <w:rFonts w:cs="Arial"/>
        </w:rPr>
        <w:t>%.</w:t>
      </w:r>
    </w:p>
    <w:p w14:paraId="77BF8A2E" w14:textId="4597C1B9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DC6C36">
        <w:rPr>
          <w:rFonts w:cs="Arial"/>
        </w:rPr>
        <w:t>rine (Northern Territory) has 85</w:t>
      </w:r>
      <w:r>
        <w:rPr>
          <w:rFonts w:cs="Arial"/>
        </w:rPr>
        <w:t xml:space="preserve">%. </w:t>
      </w:r>
    </w:p>
    <w:p w14:paraId="3ADDBAF7" w14:textId="4BE23D72" w:rsidR="00A14589" w:rsidRPr="001A390D" w:rsidRDefault="00A31984" w:rsidP="001A390D">
      <w:pPr>
        <w:jc w:val="both"/>
        <w:rPr>
          <w:rFonts w:cs="Arial"/>
        </w:rPr>
      </w:pPr>
      <w:r w:rsidRPr="0059208F">
        <w:rPr>
          <w:rFonts w:cs="Arial"/>
        </w:rPr>
        <w:t>The bottom 10</w:t>
      </w:r>
      <w:r w:rsidR="004F5027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11F2DD17" w14:textId="6918DCD0" w:rsidR="00A14589" w:rsidRDefault="00CB2631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</w:t>
      </w:r>
      <w:r w:rsidR="00A14589">
        <w:rPr>
          <w:rFonts w:cs="Arial"/>
        </w:rPr>
        <w:t xml:space="preserve">has </w:t>
      </w:r>
      <w:r w:rsidR="001A390D">
        <w:rPr>
          <w:rFonts w:cs="Arial"/>
        </w:rPr>
        <w:t xml:space="preserve">an indicator of </w:t>
      </w:r>
      <w:r w:rsidR="004F5027">
        <w:rPr>
          <w:rFonts w:cs="Arial"/>
        </w:rPr>
        <w:t>52</w:t>
      </w:r>
      <w:r w:rsidR="00A14589">
        <w:rPr>
          <w:rFonts w:cs="Arial"/>
        </w:rPr>
        <w:t xml:space="preserve">%. </w:t>
      </w:r>
    </w:p>
    <w:p w14:paraId="048AF09B" w14:textId="5517EE7D" w:rsidR="00CB2631" w:rsidRDefault="004F5027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</w:t>
      </w:r>
      <w:r w:rsidR="001A390D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1A390D">
        <w:rPr>
          <w:rFonts w:cs="Arial"/>
        </w:rPr>
        <w:t xml:space="preserve">) has </w:t>
      </w:r>
      <w:r>
        <w:rPr>
          <w:rFonts w:cs="Arial"/>
        </w:rPr>
        <w:t>63</w:t>
      </w:r>
      <w:r w:rsidR="00A14589">
        <w:rPr>
          <w:rFonts w:cs="Arial"/>
        </w:rPr>
        <w:t>%.</w:t>
      </w:r>
    </w:p>
    <w:p w14:paraId="6A3E879F" w14:textId="2A28AA36" w:rsidR="00A14589" w:rsidRPr="00CB2631" w:rsidRDefault="00A14589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B2631">
        <w:rPr>
          <w:rFonts w:cs="Arial"/>
        </w:rPr>
        <w:t>Darwin Remote (Northern Territory) has 3</w:t>
      </w:r>
      <w:r w:rsidR="004F5027">
        <w:rPr>
          <w:rFonts w:cs="Arial"/>
        </w:rPr>
        <w:t>6</w:t>
      </w:r>
      <w:r w:rsidRPr="00CB2631">
        <w:rPr>
          <w:rFonts w:cs="Arial"/>
        </w:rPr>
        <w:t xml:space="preserve">%. </w:t>
      </w:r>
    </w:p>
    <w:p w14:paraId="060F9F37" w14:textId="22F60770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</w:t>
      </w:r>
      <w:r w:rsidR="004F5027">
        <w:rPr>
          <w:rFonts w:cs="Arial"/>
        </w:rPr>
        <w:t>rnhem (Northern Territory) has 48</w:t>
      </w:r>
      <w:r>
        <w:rPr>
          <w:rFonts w:cs="Arial"/>
        </w:rPr>
        <w:t xml:space="preserve">%. </w:t>
      </w:r>
    </w:p>
    <w:p w14:paraId="5CF755B4" w14:textId="24903CCB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A390D">
        <w:rPr>
          <w:rFonts w:cs="Arial"/>
        </w:rPr>
        <w:t xml:space="preserve">rance (Western Australia) has </w:t>
      </w:r>
      <w:r w:rsidR="004F5027">
        <w:rPr>
          <w:rFonts w:cs="Arial"/>
        </w:rPr>
        <w:t>59</w:t>
      </w:r>
      <w:r>
        <w:rPr>
          <w:rFonts w:cs="Arial"/>
        </w:rPr>
        <w:t xml:space="preserve">%. </w:t>
      </w:r>
    </w:p>
    <w:p w14:paraId="56F673C9" w14:textId="043859F4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Kimberley</w:t>
      </w:r>
      <w:r w:rsidR="005B7836">
        <w:rPr>
          <w:rFonts w:cs="Arial"/>
        </w:rPr>
        <w:t xml:space="preserve"> – </w:t>
      </w:r>
      <w:r w:rsidRPr="001A390D">
        <w:rPr>
          <w:rFonts w:cs="Arial"/>
        </w:rPr>
        <w:t>Pilbara</w:t>
      </w:r>
      <w:r>
        <w:rPr>
          <w:rFonts w:cs="Arial"/>
        </w:rPr>
        <w:t xml:space="preserve"> (Western Australia) has 6</w:t>
      </w:r>
      <w:r w:rsidR="004F5027">
        <w:rPr>
          <w:rFonts w:cs="Arial"/>
        </w:rPr>
        <w:t>5</w:t>
      </w:r>
      <w:r>
        <w:rPr>
          <w:rFonts w:cs="Arial"/>
        </w:rPr>
        <w:t>%</w:t>
      </w:r>
      <w:r w:rsidR="00CB2631">
        <w:rPr>
          <w:rFonts w:cs="Arial"/>
        </w:rPr>
        <w:t>.</w:t>
      </w:r>
      <w:r>
        <w:rPr>
          <w:rFonts w:cs="Arial"/>
        </w:rPr>
        <w:t xml:space="preserve"> </w:t>
      </w:r>
    </w:p>
    <w:p w14:paraId="5F633603" w14:textId="1AC687A5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Midwest</w:t>
      </w:r>
      <w:r w:rsidR="005B7836">
        <w:rPr>
          <w:rFonts w:cs="Arial"/>
        </w:rPr>
        <w:t xml:space="preserve"> – </w:t>
      </w:r>
      <w:r w:rsidRPr="001A390D">
        <w:rPr>
          <w:rFonts w:cs="Arial"/>
        </w:rPr>
        <w:t>Gascoyne</w:t>
      </w:r>
      <w:r w:rsidR="004F5027">
        <w:rPr>
          <w:rFonts w:cs="Arial"/>
        </w:rPr>
        <w:t xml:space="preserve"> (Western Australia) has 64</w:t>
      </w:r>
      <w:r>
        <w:rPr>
          <w:rFonts w:cs="Arial"/>
        </w:rPr>
        <w:t>%.</w:t>
      </w:r>
    </w:p>
    <w:p w14:paraId="13C09D2A" w14:textId="27B8E244" w:rsidR="00CB2631" w:rsidRDefault="00CB2631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Pr="00984998">
        <w:rPr>
          <w:rFonts w:cs="Arial"/>
        </w:rPr>
        <w:t xml:space="preserve"> </w:t>
      </w:r>
      <w:r w:rsidR="004F5027">
        <w:rPr>
          <w:rFonts w:cs="Arial"/>
        </w:rPr>
        <w:t>(Western Australia) has 62</w:t>
      </w:r>
      <w:r>
        <w:rPr>
          <w:rFonts w:cs="Arial"/>
        </w:rPr>
        <w:t xml:space="preserve">%. </w:t>
      </w:r>
    </w:p>
    <w:p w14:paraId="24F86BFA" w14:textId="77777777" w:rsidR="00CB2631" w:rsidRDefault="00CB2631" w:rsidP="005D2240">
      <w:pPr>
        <w:pStyle w:val="ListParagraph"/>
        <w:jc w:val="both"/>
        <w:rPr>
          <w:rFonts w:cs="Arial"/>
        </w:rPr>
      </w:pPr>
    </w:p>
    <w:p w14:paraId="6D18AF5E" w14:textId="77777777" w:rsidR="008E073D" w:rsidRDefault="008E073D">
      <w:pPr>
        <w:rPr>
          <w:rFonts w:eastAsiaTheme="majorEastAsia" w:cs="Arial"/>
          <w:b/>
          <w:color w:val="6A2875"/>
          <w:sz w:val="28"/>
        </w:rPr>
      </w:pPr>
      <w:r>
        <w:br w:type="page"/>
      </w:r>
    </w:p>
    <w:p w14:paraId="7C546838" w14:textId="5740D42D" w:rsidR="0013152A" w:rsidRPr="0059208F" w:rsidRDefault="00BF0755" w:rsidP="00D00BF7">
      <w:pPr>
        <w:pStyle w:val="Heading2"/>
      </w:pPr>
      <w:bookmarkStart w:id="6" w:name="_Toc97567542"/>
      <w:r w:rsidRPr="0059208F">
        <w:lastRenderedPageBreak/>
        <w:t>Page</w:t>
      </w:r>
      <w:r w:rsidR="0013152A" w:rsidRPr="0059208F">
        <w:t xml:space="preserve"> 2</w:t>
      </w:r>
      <w:r w:rsidRPr="0059208F">
        <w:t>, Table 1</w:t>
      </w:r>
      <w:r w:rsidR="0013152A" w:rsidRPr="0059208F">
        <w:t xml:space="preserve">: </w:t>
      </w:r>
      <w:r w:rsidRPr="0059208F">
        <w:t xml:space="preserve">Support category summary, for all </w:t>
      </w:r>
      <w:r w:rsidR="00F277F7">
        <w:t>service district</w:t>
      </w:r>
      <w:r w:rsidRPr="0059208F">
        <w:t>s</w:t>
      </w:r>
      <w:bookmarkEnd w:id="6"/>
    </w:p>
    <w:p w14:paraId="7ED07C15" w14:textId="319C56E9" w:rsidR="00D722CE" w:rsidRDefault="00763823" w:rsidP="00D722CE">
      <w:pPr>
        <w:jc w:val="both"/>
        <w:rPr>
          <w:rFonts w:cs="Arial"/>
        </w:rPr>
      </w:pPr>
      <w:r w:rsidRPr="0059208F">
        <w:rPr>
          <w:rFonts w:cs="Arial"/>
        </w:rPr>
        <w:t>For each of the 15 support categories, the same indicators have been calculated.</w:t>
      </w:r>
      <w:r w:rsidR="00B94DA7" w:rsidRPr="0059208F">
        <w:rPr>
          <w:rFonts w:cs="Arial"/>
        </w:rPr>
        <w:t xml:space="preserve"> </w:t>
      </w:r>
      <w:r w:rsidR="00504A6B" w:rsidRPr="0059208F">
        <w:rPr>
          <w:rFonts w:cs="Arial"/>
        </w:rPr>
        <w:t>The number of active</w:t>
      </w:r>
      <w:r w:rsidR="00D12F81" w:rsidRPr="0059208F">
        <w:rPr>
          <w:rFonts w:cs="Arial"/>
        </w:rPr>
        <w:t xml:space="preserve"> </w:t>
      </w:r>
      <w:r w:rsidR="00504A6B" w:rsidRPr="0059208F">
        <w:rPr>
          <w:rFonts w:cs="Arial"/>
        </w:rPr>
        <w:t xml:space="preserve">participants </w:t>
      </w:r>
      <w:r w:rsidR="00622F5B">
        <w:rPr>
          <w:rFonts w:cs="Arial"/>
        </w:rPr>
        <w:t>not receiving SIL/SDA</w:t>
      </w:r>
      <w:r w:rsidR="00622F5B" w:rsidRPr="0059208F">
        <w:rPr>
          <w:rFonts w:cs="Arial"/>
        </w:rPr>
        <w:t xml:space="preserve"> </w:t>
      </w:r>
      <w:r w:rsidR="00504A6B" w:rsidRPr="0059208F">
        <w:rPr>
          <w:rFonts w:cs="Arial"/>
        </w:rPr>
        <w:t xml:space="preserve">with approved plans, the number of active providers, total plan budgets and total payments are also shown. </w:t>
      </w:r>
      <w:r w:rsidR="00D722CE">
        <w:rPr>
          <w:rFonts w:cs="Arial"/>
        </w:rPr>
        <w:t>Indica</w:t>
      </w:r>
      <w:r w:rsidR="00027189">
        <w:rPr>
          <w:rFonts w:cs="Arial"/>
        </w:rPr>
        <w:t>tors are added where the top 10 percentile</w:t>
      </w:r>
      <w:r w:rsidR="00D722CE">
        <w:rPr>
          <w:rFonts w:cs="Arial"/>
        </w:rPr>
        <w:t xml:space="preserve"> and bottom 10</w:t>
      </w:r>
      <w:r w:rsidR="00027189">
        <w:rPr>
          <w:rFonts w:cs="Arial"/>
        </w:rPr>
        <w:t xml:space="preserve"> percentile</w:t>
      </w:r>
      <w:r w:rsidR="00D722CE">
        <w:rPr>
          <w:rFonts w:cs="Arial"/>
        </w:rPr>
        <w:t xml:space="preserve"> of service districts – by gap to benchmark – are highlighted.</w:t>
      </w:r>
    </w:p>
    <w:p w14:paraId="253FEF05" w14:textId="07022DB0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participants per provider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59208F">
        <w:rPr>
          <w:rFonts w:cs="Arial"/>
        </w:rPr>
        <w:t xml:space="preserve"> </w:t>
      </w:r>
      <w:r w:rsidR="00D10A47" w:rsidRPr="0059208F">
        <w:rPr>
          <w:rFonts w:cs="Arial"/>
        </w:rPr>
        <w:t>support categories</w:t>
      </w:r>
      <w:r w:rsidR="009A78AA" w:rsidRPr="0059208F">
        <w:rPr>
          <w:rFonts w:cs="Arial"/>
        </w:rPr>
        <w:t xml:space="preserve"> are as follows.</w:t>
      </w:r>
    </w:p>
    <w:p w14:paraId="20C15DE6" w14:textId="7556B9CB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</w:t>
      </w:r>
      <w:r w:rsidR="003447A6">
        <w:rPr>
          <w:rFonts w:cs="Arial"/>
        </w:rPr>
        <w:t xml:space="preserve">y Building – Home Living has </w:t>
      </w:r>
      <w:r w:rsidR="00302493">
        <w:rPr>
          <w:rFonts w:cs="Arial"/>
        </w:rPr>
        <w:t>17.2</w:t>
      </w:r>
      <w:r w:rsidRPr="0059208F">
        <w:rPr>
          <w:rFonts w:cs="Arial"/>
        </w:rPr>
        <w:t xml:space="preserve"> participants per provider.</w:t>
      </w:r>
    </w:p>
    <w:p w14:paraId="353BF42E" w14:textId="5939DED5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 w:rsidR="003447A6">
        <w:rPr>
          <w:rFonts w:cs="Arial"/>
        </w:rPr>
        <w:t xml:space="preserve">ding – Lifelong Learning has </w:t>
      </w:r>
      <w:r w:rsidR="00302493">
        <w:rPr>
          <w:rFonts w:cs="Arial"/>
        </w:rPr>
        <w:t>9.1</w:t>
      </w:r>
      <w:r w:rsidRPr="0059208F">
        <w:rPr>
          <w:rFonts w:cs="Arial"/>
        </w:rPr>
        <w:t>.</w:t>
      </w:r>
    </w:p>
    <w:p w14:paraId="58136851" w14:textId="4EFC4662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7B95E2EF" w14:textId="0FC35A35" w:rsidR="00D10A47" w:rsidRPr="0059208F" w:rsidRDefault="003447A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– Transport</w:t>
      </w:r>
      <w:r w:rsidR="001F7986" w:rsidRPr="0059208F">
        <w:rPr>
          <w:rFonts w:cs="Arial"/>
        </w:rPr>
        <w:t xml:space="preserve"> </w:t>
      </w:r>
      <w:r w:rsidR="00504A6B" w:rsidRPr="0059208F">
        <w:rPr>
          <w:rFonts w:cs="Arial"/>
        </w:rPr>
        <w:t xml:space="preserve">has </w:t>
      </w:r>
      <w:r w:rsidR="00302493">
        <w:rPr>
          <w:rFonts w:cs="Arial"/>
        </w:rPr>
        <w:t>176.9</w:t>
      </w:r>
      <w:r w:rsidR="00504A6B" w:rsidRPr="0059208F">
        <w:rPr>
          <w:rFonts w:cs="Arial"/>
        </w:rPr>
        <w:t xml:space="preserve"> </w:t>
      </w:r>
      <w:r w:rsidR="00D10A47" w:rsidRPr="0059208F">
        <w:rPr>
          <w:rFonts w:cs="Arial"/>
        </w:rPr>
        <w:t>participants per provider.</w:t>
      </w:r>
    </w:p>
    <w:p w14:paraId="402FE02A" w14:textId="07A51F0A" w:rsidR="00A31EE8" w:rsidRPr="0059208F" w:rsidRDefault="003447A6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>
        <w:rPr>
          <w:rFonts w:cs="Arial"/>
        </w:rPr>
        <w:t>ding</w:t>
      </w:r>
      <w:r w:rsidR="0059208F" w:rsidRPr="0059208F">
        <w:rPr>
          <w:rFonts w:cs="Arial"/>
        </w:rPr>
        <w:t xml:space="preserve"> – </w:t>
      </w:r>
      <w:r w:rsidRPr="003447A6">
        <w:rPr>
          <w:rFonts w:cs="Arial"/>
        </w:rPr>
        <w:t>Choice and Control</w:t>
      </w:r>
      <w:r w:rsidR="0059208F" w:rsidRPr="0059208F">
        <w:rPr>
          <w:rFonts w:cs="Arial"/>
        </w:rPr>
        <w:t xml:space="preserve"> has </w:t>
      </w:r>
      <w:r w:rsidR="00302493">
        <w:rPr>
          <w:rFonts w:cs="Arial"/>
        </w:rPr>
        <w:t>218.4</w:t>
      </w:r>
      <w:r w:rsidR="00D10A47" w:rsidRPr="0059208F">
        <w:rPr>
          <w:rFonts w:cs="Arial"/>
        </w:rPr>
        <w:t>.</w:t>
      </w:r>
    </w:p>
    <w:p w14:paraId="235505F8" w14:textId="3730FCBF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concentration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0FD2B11F" w14:textId="127BC309" w:rsidR="00B94DA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Core </w:t>
      </w:r>
      <w:r w:rsidR="008E073D">
        <w:rPr>
          <w:rFonts w:cs="Arial"/>
        </w:rPr>
        <w:t xml:space="preserve">– </w:t>
      </w:r>
      <w:r w:rsidRPr="0059208F">
        <w:rPr>
          <w:rFonts w:cs="Arial"/>
        </w:rPr>
        <w:t>Community</w:t>
      </w:r>
      <w:r w:rsidR="00D10A47" w:rsidRPr="0059208F">
        <w:rPr>
          <w:rFonts w:cs="Arial"/>
        </w:rPr>
        <w:t xml:space="preserve"> has a pr</w:t>
      </w:r>
      <w:r w:rsidR="003447A6">
        <w:rPr>
          <w:rFonts w:cs="Arial"/>
        </w:rPr>
        <w:t>ovider concentration level of 2</w:t>
      </w:r>
      <w:r w:rsidR="00302493">
        <w:rPr>
          <w:rFonts w:cs="Arial"/>
        </w:rPr>
        <w:t>4</w:t>
      </w:r>
      <w:r w:rsidR="00D10A47" w:rsidRPr="0059208F">
        <w:rPr>
          <w:rFonts w:cs="Arial"/>
        </w:rPr>
        <w:t>%.</w:t>
      </w:r>
    </w:p>
    <w:p w14:paraId="20E1A451" w14:textId="0205E84F" w:rsidR="00D10A47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</w:t>
      </w:r>
      <w:r w:rsidR="003447A6">
        <w:rPr>
          <w:rFonts w:cs="Arial"/>
        </w:rPr>
        <w:t>ng – Support Coordination has 12</w:t>
      </w:r>
      <w:r w:rsidRPr="0059208F">
        <w:rPr>
          <w:rFonts w:cs="Arial"/>
        </w:rPr>
        <w:t>%.</w:t>
      </w:r>
    </w:p>
    <w:p w14:paraId="0B6977CB" w14:textId="71A08EFB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68255B58" w14:textId="5EA75D46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Building – Home Living has a pr</w:t>
      </w:r>
      <w:r w:rsidR="003447A6">
        <w:rPr>
          <w:rFonts w:cs="Arial"/>
        </w:rPr>
        <w:t>ovider concentration level of 4</w:t>
      </w:r>
      <w:r w:rsidR="00302493">
        <w:rPr>
          <w:rFonts w:cs="Arial"/>
        </w:rPr>
        <w:t>9</w:t>
      </w:r>
      <w:r w:rsidRPr="0059208F">
        <w:rPr>
          <w:rFonts w:cs="Arial"/>
        </w:rPr>
        <w:t>%.</w:t>
      </w:r>
    </w:p>
    <w:p w14:paraId="7C2E2C70" w14:textId="6EA7D154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</w:t>
      </w:r>
      <w:r w:rsidR="00302493">
        <w:rPr>
          <w:rFonts w:cs="Arial"/>
        </w:rPr>
        <w:t>lding – Lifelong Learning has 92</w:t>
      </w:r>
      <w:r w:rsidRPr="0059208F">
        <w:rPr>
          <w:rFonts w:cs="Arial"/>
        </w:rPr>
        <w:t>%.</w:t>
      </w:r>
    </w:p>
    <w:p w14:paraId="47D839C1" w14:textId="079473F4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growth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4D2C84C4" w14:textId="2536C9C7" w:rsidR="006704D5" w:rsidRPr="0059208F" w:rsidRDefault="00CB263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</w:t>
      </w:r>
      <w:r w:rsidR="00302493">
        <w:rPr>
          <w:rFonts w:cs="Arial"/>
        </w:rPr>
        <w:t>apacity Building</w:t>
      </w:r>
      <w:r w:rsidRPr="0059208F">
        <w:rPr>
          <w:rFonts w:cs="Arial"/>
        </w:rPr>
        <w:t xml:space="preserve"> </w:t>
      </w:r>
      <w:r w:rsidR="00302493">
        <w:rPr>
          <w:rFonts w:cs="Arial"/>
        </w:rPr>
        <w:t>– Home Living</w:t>
      </w:r>
      <w:r w:rsidR="0059208F"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has </w:t>
      </w:r>
      <w:r w:rsidR="006704D5" w:rsidRPr="0059208F">
        <w:rPr>
          <w:rFonts w:cs="Arial"/>
        </w:rPr>
        <w:t xml:space="preserve">provider growth of </w:t>
      </w:r>
      <w:r w:rsidR="00302493">
        <w:rPr>
          <w:rFonts w:cs="Arial"/>
        </w:rPr>
        <w:t>25</w:t>
      </w:r>
      <w:r w:rsidR="00D10A47" w:rsidRPr="0059208F">
        <w:rPr>
          <w:rFonts w:cs="Arial"/>
        </w:rPr>
        <w:t>%</w:t>
      </w:r>
      <w:r w:rsidR="006704D5" w:rsidRPr="0059208F">
        <w:rPr>
          <w:rFonts w:cs="Arial"/>
        </w:rPr>
        <w:t xml:space="preserve"> since the previous exposure period.</w:t>
      </w:r>
    </w:p>
    <w:p w14:paraId="3FEE435F" w14:textId="443C61BF" w:rsidR="00D10A47" w:rsidRPr="0059208F" w:rsidRDefault="0030249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CB2631" w:rsidRPr="0059208F">
        <w:rPr>
          <w:rFonts w:cs="Arial"/>
        </w:rPr>
        <w:t xml:space="preserve"> – </w:t>
      </w:r>
      <w:r>
        <w:rPr>
          <w:rFonts w:cs="Arial"/>
        </w:rPr>
        <w:t>Home Modifications</w:t>
      </w:r>
      <w:r w:rsidR="00CB2631" w:rsidRPr="0059208F">
        <w:rPr>
          <w:rFonts w:cs="Arial"/>
        </w:rPr>
        <w:t xml:space="preserve"> </w:t>
      </w:r>
      <w:r w:rsidR="005C38F1" w:rsidRPr="0059208F">
        <w:rPr>
          <w:rFonts w:cs="Arial"/>
        </w:rPr>
        <w:t xml:space="preserve">has </w:t>
      </w:r>
      <w:r w:rsidR="003447A6">
        <w:rPr>
          <w:rFonts w:cs="Arial"/>
        </w:rPr>
        <w:t>2</w:t>
      </w:r>
      <w:r w:rsidR="00CB2631">
        <w:rPr>
          <w:rFonts w:cs="Arial"/>
        </w:rPr>
        <w:t>0</w:t>
      </w:r>
      <w:r w:rsidR="006704D5" w:rsidRPr="0059208F">
        <w:rPr>
          <w:rFonts w:cs="Arial"/>
        </w:rPr>
        <w:t>%</w:t>
      </w:r>
      <w:r w:rsidR="00D10A47" w:rsidRPr="0059208F">
        <w:rPr>
          <w:rFonts w:cs="Arial"/>
        </w:rPr>
        <w:t>.</w:t>
      </w:r>
    </w:p>
    <w:p w14:paraId="329B6A21" w14:textId="5095D982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0F434CEE" w14:textId="21C0C07F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</w:t>
      </w:r>
      <w:r w:rsidR="00302493">
        <w:rPr>
          <w:rFonts w:cs="Arial"/>
        </w:rPr>
        <w:t xml:space="preserve">ore </w:t>
      </w:r>
      <w:r w:rsidRPr="0059208F">
        <w:rPr>
          <w:rFonts w:cs="Arial"/>
        </w:rPr>
        <w:t xml:space="preserve">– </w:t>
      </w:r>
      <w:r w:rsidR="00302493">
        <w:rPr>
          <w:rFonts w:cs="Arial"/>
        </w:rPr>
        <w:t>Transport</w:t>
      </w:r>
      <w:r w:rsidRPr="0059208F">
        <w:rPr>
          <w:rFonts w:cs="Arial"/>
        </w:rPr>
        <w:t xml:space="preserve"> has a provider growth </w:t>
      </w:r>
      <w:r>
        <w:rPr>
          <w:rFonts w:cs="Arial"/>
        </w:rPr>
        <w:t xml:space="preserve">of </w:t>
      </w:r>
      <w:r w:rsidR="00302493">
        <w:rPr>
          <w:rFonts w:cs="Arial"/>
        </w:rPr>
        <w:t>3</w:t>
      </w:r>
      <w:r w:rsidRPr="0059208F">
        <w:rPr>
          <w:rFonts w:cs="Arial"/>
        </w:rPr>
        <w:t>% since the previous exposure period.</w:t>
      </w:r>
    </w:p>
    <w:p w14:paraId="23EB113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Lifelong Learning has </w:t>
      </w:r>
      <w:r>
        <w:rPr>
          <w:rFonts w:cs="Arial"/>
        </w:rPr>
        <w:t>0</w:t>
      </w:r>
      <w:r w:rsidRPr="0059208F">
        <w:rPr>
          <w:rFonts w:cs="Arial"/>
        </w:rPr>
        <w:t>%.</w:t>
      </w:r>
    </w:p>
    <w:p w14:paraId="25739E4F" w14:textId="76FA8101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shrinkage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5F8D0C59" w14:textId="426F79BC" w:rsidR="00BF032E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CB2631">
        <w:rPr>
          <w:rFonts w:cs="Arial"/>
        </w:rPr>
        <w:t>Choice and Control</w:t>
      </w:r>
      <w:r w:rsidR="003447A6">
        <w:rPr>
          <w:rFonts w:cs="Arial"/>
        </w:rPr>
        <w:t xml:space="preserve"> has provider shrinkage of </w:t>
      </w:r>
      <w:r w:rsidR="00302493">
        <w:rPr>
          <w:rFonts w:cs="Arial"/>
        </w:rPr>
        <w:t>4</w:t>
      </w:r>
      <w:r w:rsidRPr="0059208F">
        <w:rPr>
          <w:rFonts w:cs="Arial"/>
        </w:rPr>
        <w:t>% since the previous exposure period.</w:t>
      </w:r>
    </w:p>
    <w:p w14:paraId="411F8F65" w14:textId="640710A0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3447A6" w:rsidRPr="0059208F">
        <w:rPr>
          <w:rFonts w:cs="Arial"/>
        </w:rPr>
        <w:t>Lifelong Learning</w:t>
      </w:r>
      <w:r w:rsidRPr="0059208F">
        <w:rPr>
          <w:rFonts w:cs="Arial"/>
        </w:rPr>
        <w:t xml:space="preserve"> has 0%.</w:t>
      </w:r>
    </w:p>
    <w:p w14:paraId="72CCE018" w14:textId="5A4E9D81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12041407" w14:textId="274A5862" w:rsidR="00A14589" w:rsidRPr="0059208F" w:rsidRDefault="00302493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5D2240" w:rsidRPr="000D04DC">
        <w:rPr>
          <w:rFonts w:cs="Arial"/>
        </w:rPr>
        <w:t xml:space="preserve"> – </w:t>
      </w:r>
      <w:r>
        <w:rPr>
          <w:rFonts w:cs="Arial"/>
        </w:rPr>
        <w:t>Employment</w:t>
      </w:r>
      <w:r w:rsidR="005D2240">
        <w:rPr>
          <w:rFonts w:cs="Arial"/>
        </w:rPr>
        <w:t xml:space="preserve"> </w:t>
      </w:r>
      <w:r w:rsidR="003447A6">
        <w:rPr>
          <w:rFonts w:cs="Arial"/>
        </w:rPr>
        <w:t xml:space="preserve">has provider shrinkage of </w:t>
      </w:r>
      <w:r>
        <w:rPr>
          <w:rFonts w:cs="Arial"/>
        </w:rPr>
        <w:t>45</w:t>
      </w:r>
      <w:r w:rsidR="00A14589" w:rsidRPr="0059208F">
        <w:rPr>
          <w:rFonts w:cs="Arial"/>
        </w:rPr>
        <w:t>% since the previous exposure period.</w:t>
      </w:r>
    </w:p>
    <w:p w14:paraId="54FF9F7C" w14:textId="7044D2EF" w:rsidR="00B94DA7" w:rsidRDefault="0030249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 w:rsidR="005D2240">
        <w:rPr>
          <w:rFonts w:cs="Arial"/>
        </w:rPr>
        <w:t xml:space="preserve"> </w:t>
      </w:r>
      <w:r w:rsidR="003447A6">
        <w:rPr>
          <w:rFonts w:cs="Arial"/>
        </w:rPr>
        <w:t xml:space="preserve">has </w:t>
      </w:r>
      <w:r>
        <w:rPr>
          <w:rFonts w:cs="Arial"/>
        </w:rPr>
        <w:t>33</w:t>
      </w:r>
      <w:r w:rsidR="00A14589">
        <w:rPr>
          <w:rFonts w:cs="Arial"/>
        </w:rPr>
        <w:t xml:space="preserve">%. </w:t>
      </w:r>
    </w:p>
    <w:p w14:paraId="6D9646B7" w14:textId="053CFDF2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utilisation</w:t>
      </w:r>
      <w:r w:rsidRPr="000D04DC">
        <w:rPr>
          <w:rFonts w:cs="Arial"/>
        </w:rPr>
        <w:t>, the top 10</w:t>
      </w:r>
      <w:r w:rsidR="00027189">
        <w:rPr>
          <w:rFonts w:cs="Arial"/>
        </w:rPr>
        <w:t xml:space="preserve"> percentile</w:t>
      </w:r>
      <w:r w:rsidRPr="000D04DC">
        <w:rPr>
          <w:rFonts w:cs="Arial"/>
        </w:rPr>
        <w:t xml:space="preserve"> support categories are as follows.</w:t>
      </w:r>
    </w:p>
    <w:p w14:paraId="3923BF2F" w14:textId="049F2963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 xml:space="preserve">Core – </w:t>
      </w:r>
      <w:r w:rsidR="000D04DC" w:rsidRPr="000D04DC">
        <w:rPr>
          <w:rFonts w:cs="Arial"/>
        </w:rPr>
        <w:t>Transpo</w:t>
      </w:r>
      <w:r w:rsidR="00DF6113">
        <w:rPr>
          <w:rFonts w:cs="Arial"/>
        </w:rPr>
        <w:t xml:space="preserve">rt has </w:t>
      </w:r>
      <w:r w:rsidR="00A161FD">
        <w:rPr>
          <w:rFonts w:cs="Arial"/>
        </w:rPr>
        <w:t>an</w:t>
      </w:r>
      <w:r w:rsidR="003447A6">
        <w:rPr>
          <w:rFonts w:cs="Arial"/>
        </w:rPr>
        <w:t xml:space="preserve"> utilisation rate of </w:t>
      </w:r>
      <w:r w:rsidR="000F50D2">
        <w:rPr>
          <w:rFonts w:cs="Arial"/>
        </w:rPr>
        <w:t>103</w:t>
      </w:r>
      <w:r w:rsidRPr="000D04DC">
        <w:rPr>
          <w:rFonts w:cs="Arial"/>
        </w:rPr>
        <w:t>%.</w:t>
      </w:r>
    </w:p>
    <w:p w14:paraId="2B6A4CB6" w14:textId="6D3F937D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>Capacity Building – Choice and Control has 9</w:t>
      </w:r>
      <w:r w:rsidR="000F50D2">
        <w:rPr>
          <w:rFonts w:cs="Arial"/>
        </w:rPr>
        <w:t>9</w:t>
      </w:r>
      <w:r w:rsidRPr="000D04DC">
        <w:rPr>
          <w:rFonts w:cs="Arial"/>
        </w:rPr>
        <w:t>%.</w:t>
      </w:r>
    </w:p>
    <w:p w14:paraId="280DA568" w14:textId="609961AC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0D04DC">
        <w:rPr>
          <w:rFonts w:cs="Arial"/>
        </w:rPr>
        <w:t xml:space="preserve"> support categories are as follows.</w:t>
      </w:r>
    </w:p>
    <w:p w14:paraId="2E8F3E9B" w14:textId="6A1453E1" w:rsidR="006C279D" w:rsidRPr="000D04DC" w:rsidRDefault="000D04DC" w:rsidP="006C279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Home Liv</w:t>
      </w:r>
      <w:r w:rsidR="00DF6113">
        <w:rPr>
          <w:rFonts w:cs="Arial"/>
        </w:rPr>
        <w:t xml:space="preserve">ing has </w:t>
      </w:r>
      <w:r w:rsidR="00A161FD">
        <w:rPr>
          <w:rFonts w:cs="Arial"/>
        </w:rPr>
        <w:t>an</w:t>
      </w:r>
      <w:r w:rsidR="000F50D2">
        <w:rPr>
          <w:rFonts w:cs="Arial"/>
        </w:rPr>
        <w:t xml:space="preserve"> utilisation rate of 21</w:t>
      </w:r>
      <w:r w:rsidR="006C279D" w:rsidRPr="000D04DC">
        <w:rPr>
          <w:rFonts w:cs="Arial"/>
        </w:rPr>
        <w:t>%.</w:t>
      </w:r>
    </w:p>
    <w:p w14:paraId="48618026" w14:textId="7A1733BC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lastRenderedPageBreak/>
        <w:t xml:space="preserve">Capacity Building – </w:t>
      </w:r>
      <w:r w:rsidR="000D04DC" w:rsidRPr="000D04DC">
        <w:rPr>
          <w:rFonts w:cs="Arial"/>
        </w:rPr>
        <w:t>Lifelong Learning</w:t>
      </w:r>
      <w:r w:rsidRPr="000D04DC">
        <w:rPr>
          <w:rFonts w:cs="Arial"/>
        </w:rPr>
        <w:t xml:space="preserve"> has </w:t>
      </w:r>
      <w:r w:rsidR="005D2240">
        <w:rPr>
          <w:rFonts w:cs="Arial"/>
        </w:rPr>
        <w:t>3</w:t>
      </w:r>
      <w:r w:rsidR="000F50D2">
        <w:rPr>
          <w:rFonts w:cs="Arial"/>
        </w:rPr>
        <w:t>2</w:t>
      </w:r>
      <w:r w:rsidRPr="000D04DC">
        <w:rPr>
          <w:rFonts w:cs="Arial"/>
        </w:rPr>
        <w:t>%.</w:t>
      </w:r>
    </w:p>
    <w:p w14:paraId="002D1AA7" w14:textId="7E65FB1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outcomes indicator on choice and control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0D04DC">
        <w:rPr>
          <w:rFonts w:cs="Arial"/>
        </w:rPr>
        <w:t xml:space="preserve">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5D6437FB" w14:textId="40272859" w:rsidR="00381EE6" w:rsidRPr="000D04DC" w:rsidRDefault="000D04DC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 w:rsidR="003447A6">
        <w:rPr>
          <w:rFonts w:cs="Arial"/>
        </w:rPr>
        <w:t xml:space="preserve"> has an outcomes indi</w:t>
      </w:r>
      <w:r w:rsidR="000F50D2">
        <w:rPr>
          <w:rFonts w:cs="Arial"/>
        </w:rPr>
        <w:t>cator of 69</w:t>
      </w:r>
      <w:r w:rsidR="00381EE6" w:rsidRPr="000D04DC">
        <w:rPr>
          <w:rFonts w:cs="Arial"/>
        </w:rPr>
        <w:t>%.</w:t>
      </w:r>
    </w:p>
    <w:p w14:paraId="68C484AE" w14:textId="3158EB94" w:rsidR="00B94DA7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</w:t>
      </w:r>
      <w:r w:rsidR="003447A6">
        <w:rPr>
          <w:rFonts w:cs="Arial"/>
        </w:rPr>
        <w:t>Home Modifications has 7</w:t>
      </w:r>
      <w:r w:rsidR="000F50D2">
        <w:rPr>
          <w:rFonts w:cs="Arial"/>
        </w:rPr>
        <w:t>2</w:t>
      </w:r>
      <w:r w:rsidRPr="000D04DC">
        <w:rPr>
          <w:rFonts w:cs="Arial"/>
        </w:rPr>
        <w:t>%.</w:t>
      </w:r>
    </w:p>
    <w:p w14:paraId="5622F009" w14:textId="7845D586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0D04DC">
        <w:rPr>
          <w:rFonts w:cs="Arial"/>
        </w:rPr>
        <w:t xml:space="preserve">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155F6788" w14:textId="1AEEDEB0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</w:t>
      </w:r>
      <w:r w:rsidR="00343E75" w:rsidRPr="000D04DC">
        <w:rPr>
          <w:rFonts w:cs="Arial"/>
        </w:rPr>
        <w:t xml:space="preserve">Building – </w:t>
      </w:r>
      <w:r w:rsidR="000D04DC" w:rsidRPr="000D04DC">
        <w:rPr>
          <w:rFonts w:cs="Arial"/>
        </w:rPr>
        <w:t xml:space="preserve">Lifelong Learning </w:t>
      </w:r>
      <w:r w:rsidR="00343E75" w:rsidRPr="000D04DC">
        <w:rPr>
          <w:rFonts w:cs="Arial"/>
        </w:rPr>
        <w:t>has</w:t>
      </w:r>
      <w:r w:rsidR="000F50D2">
        <w:rPr>
          <w:rFonts w:cs="Arial"/>
        </w:rPr>
        <w:t xml:space="preserve"> an outcomes indicator 36</w:t>
      </w:r>
      <w:r w:rsidRPr="000D04DC">
        <w:rPr>
          <w:rFonts w:cs="Arial"/>
        </w:rPr>
        <w:t>%.</w:t>
      </w:r>
    </w:p>
    <w:p w14:paraId="08139338" w14:textId="540B1D3B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Relationships has 2</w:t>
      </w:r>
      <w:r w:rsidR="000F50D2">
        <w:rPr>
          <w:rFonts w:cs="Arial"/>
        </w:rPr>
        <w:t>2</w:t>
      </w:r>
      <w:r w:rsidR="0059208F" w:rsidRPr="000D04DC">
        <w:rPr>
          <w:rFonts w:cs="Arial"/>
        </w:rPr>
        <w:t>%.</w:t>
      </w:r>
    </w:p>
    <w:p w14:paraId="0922871D" w14:textId="5D1186A4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0D04DC">
        <w:rPr>
          <w:rFonts w:cs="Arial"/>
          <w:b/>
        </w:rPr>
        <w:t>?” indicator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>the top 10</w:t>
      </w:r>
      <w:r w:rsidR="00027189">
        <w:rPr>
          <w:rFonts w:cs="Arial"/>
        </w:rPr>
        <w:t xml:space="preserve"> percentile</w:t>
      </w:r>
      <w:r w:rsidR="009A78AA" w:rsidRPr="000D04DC">
        <w:rPr>
          <w:rFonts w:cs="Arial"/>
        </w:rPr>
        <w:t xml:space="preserve">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0CA61F68" w14:textId="6A6EB96C" w:rsidR="006704D5" w:rsidRPr="000D04DC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Health and Wellbeing</w:t>
      </w:r>
      <w:r w:rsidR="00055BDA" w:rsidRPr="000D04DC">
        <w:rPr>
          <w:rFonts w:cs="Arial"/>
        </w:rPr>
        <w:t xml:space="preserve"> </w:t>
      </w:r>
      <w:r w:rsidR="00DF6113">
        <w:rPr>
          <w:rFonts w:cs="Arial"/>
        </w:rPr>
        <w:t>has an indicator</w:t>
      </w:r>
      <w:r w:rsidR="00DD3CEA">
        <w:rPr>
          <w:rFonts w:cs="Arial"/>
        </w:rPr>
        <w:t xml:space="preserve"> of </w:t>
      </w:r>
      <w:r w:rsidR="000F50D2">
        <w:rPr>
          <w:rFonts w:cs="Arial"/>
        </w:rPr>
        <w:t>80</w:t>
      </w:r>
      <w:r w:rsidRPr="000D04DC">
        <w:rPr>
          <w:rFonts w:cs="Arial"/>
        </w:rPr>
        <w:t>%.</w:t>
      </w:r>
    </w:p>
    <w:p w14:paraId="5C0F9147" w14:textId="2051CFF4" w:rsidR="00B94DA7" w:rsidRPr="000D04DC" w:rsidRDefault="000D04DC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Home Modifications </w:t>
      </w:r>
      <w:r w:rsidR="00282FD8" w:rsidRPr="000D04DC">
        <w:rPr>
          <w:rFonts w:cs="Arial"/>
        </w:rPr>
        <w:t>has</w:t>
      </w:r>
      <w:r w:rsidR="006704D5" w:rsidRPr="000D04DC">
        <w:rPr>
          <w:rFonts w:cs="Arial"/>
        </w:rPr>
        <w:t xml:space="preserve"> </w:t>
      </w:r>
      <w:r w:rsidR="000F50D2">
        <w:rPr>
          <w:rFonts w:cs="Arial"/>
        </w:rPr>
        <w:t>81</w:t>
      </w:r>
      <w:r w:rsidR="00282FD8" w:rsidRPr="000D04DC">
        <w:rPr>
          <w:rFonts w:cs="Arial"/>
        </w:rPr>
        <w:t>%.</w:t>
      </w:r>
    </w:p>
    <w:p w14:paraId="5C4528FB" w14:textId="3324CB9C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>The bottom 10</w:t>
      </w:r>
      <w:r w:rsidR="00027189">
        <w:rPr>
          <w:rFonts w:cs="Arial"/>
        </w:rPr>
        <w:t xml:space="preserve"> percentile</w:t>
      </w:r>
      <w:r w:rsidRPr="000D04DC">
        <w:rPr>
          <w:rFonts w:cs="Arial"/>
        </w:rPr>
        <w:t xml:space="preserve">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64421D5E" w14:textId="24F6AB69" w:rsidR="00763823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Home Living</w:t>
      </w:r>
      <w:r w:rsidRPr="000D04DC">
        <w:rPr>
          <w:rFonts w:cs="Arial"/>
        </w:rPr>
        <w:t xml:space="preserve"> has </w:t>
      </w:r>
      <w:r w:rsidR="006704D5" w:rsidRPr="000D04DC">
        <w:rPr>
          <w:rFonts w:cs="Arial"/>
        </w:rPr>
        <w:t xml:space="preserve">an indicator of </w:t>
      </w:r>
      <w:r w:rsidR="00DD3CEA">
        <w:rPr>
          <w:rFonts w:cs="Arial"/>
        </w:rPr>
        <w:t>6</w:t>
      </w:r>
      <w:r w:rsidR="000F50D2">
        <w:rPr>
          <w:rFonts w:cs="Arial"/>
        </w:rPr>
        <w:t>6</w:t>
      </w:r>
      <w:r w:rsidRPr="000D04DC">
        <w:rPr>
          <w:rFonts w:cs="Arial"/>
        </w:rPr>
        <w:t>%.</w:t>
      </w:r>
    </w:p>
    <w:p w14:paraId="576D8679" w14:textId="1CA17783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DD3CEA">
        <w:rPr>
          <w:rFonts w:cs="Arial"/>
        </w:rPr>
        <w:t>Relationships has 6</w:t>
      </w:r>
      <w:r w:rsidR="000F50D2">
        <w:rPr>
          <w:rFonts w:cs="Arial"/>
        </w:rPr>
        <w:t>8</w:t>
      </w:r>
      <w:r w:rsidR="0059208F" w:rsidRPr="000D04DC">
        <w:rPr>
          <w:rFonts w:cs="Arial"/>
        </w:rPr>
        <w:t>%.</w:t>
      </w:r>
    </w:p>
    <w:p w14:paraId="1FCCBC4E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0D781CE0" w14:textId="77777777" w:rsidR="008E073D" w:rsidRDefault="008E073D">
      <w:pPr>
        <w:rPr>
          <w:rFonts w:eastAsiaTheme="majorEastAsia" w:cs="Arial"/>
          <w:b/>
          <w:color w:val="6A2875"/>
          <w:sz w:val="28"/>
        </w:rPr>
      </w:pPr>
      <w:r>
        <w:br w:type="page"/>
      </w:r>
    </w:p>
    <w:p w14:paraId="0C60C8D7" w14:textId="4F410C0D" w:rsidR="00BF0755" w:rsidRPr="00B23DB3" w:rsidRDefault="00BF0755" w:rsidP="00D00BF7">
      <w:pPr>
        <w:pStyle w:val="Heading2"/>
      </w:pPr>
      <w:bookmarkStart w:id="7" w:name="_Toc97567543"/>
      <w:r w:rsidRPr="00B23DB3">
        <w:lastRenderedPageBreak/>
        <w:t>Page 2, Table 2: Definitions for the indicators</w:t>
      </w:r>
      <w:bookmarkEnd w:id="7"/>
    </w:p>
    <w:p w14:paraId="427DEF02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 active participants who have an approved plan and reside in the service district / have supports relating to the support category in their plan.</w:t>
      </w:r>
    </w:p>
    <w:p w14:paraId="74470AA5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647063DC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Active providers</w:t>
      </w:r>
      <w:r>
        <w:rPr>
          <w:rFonts w:cs="Arial"/>
        </w:rPr>
        <w:t xml:space="preserve"> is defined as the number of providers that received payments for supports provided to participants within the service district / support category, over the exposure period.</w:t>
      </w:r>
    </w:p>
    <w:p w14:paraId="46B3DBF1" w14:textId="77777777" w:rsidR="006F3350" w:rsidRDefault="006F3350" w:rsidP="006F3350">
      <w:pPr>
        <w:pStyle w:val="ListParagraph"/>
        <w:rPr>
          <w:rFonts w:cs="Arial"/>
        </w:rPr>
      </w:pPr>
    </w:p>
    <w:p w14:paraId="7D099167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Participants per provider</w:t>
      </w:r>
      <w:r>
        <w:rPr>
          <w:rFonts w:cs="Arial"/>
        </w:rPr>
        <w:t xml:space="preserve"> is defined as the</w:t>
      </w:r>
      <w:r>
        <w:t xml:space="preserve"> r</w:t>
      </w:r>
      <w:r>
        <w:rPr>
          <w:rFonts w:cs="Arial"/>
        </w:rPr>
        <w:t>atio between the number of active participants and the number of active providers.</w:t>
      </w:r>
    </w:p>
    <w:p w14:paraId="731C08FC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1591B365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Provider concentration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provider payments over the exposure period that were paid to the top 10 providers.</w:t>
      </w:r>
    </w:p>
    <w:p w14:paraId="119BE94F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25523758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5E21F4EC" w14:textId="77777777" w:rsidR="006F3350" w:rsidRDefault="006F3350" w:rsidP="006F3350">
      <w:pPr>
        <w:pStyle w:val="ListParagraph"/>
        <w:rPr>
          <w:rFonts w:cs="Arial"/>
        </w:rPr>
      </w:pPr>
    </w:p>
    <w:p w14:paraId="57BDE649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2B387595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3003A0A8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Total plan budgets </w:t>
      </w:r>
      <w:r>
        <w:rPr>
          <w:rFonts w:cs="Arial"/>
        </w:rPr>
        <w:t>is defined as the value of supports committed in participant plans for the exposure period.</w:t>
      </w:r>
    </w:p>
    <w:p w14:paraId="16372A78" w14:textId="77777777" w:rsidR="006F3350" w:rsidRDefault="006F3350" w:rsidP="006F3350">
      <w:pPr>
        <w:pStyle w:val="ListParagraph"/>
        <w:rPr>
          <w:rFonts w:cs="Arial"/>
        </w:rPr>
      </w:pPr>
    </w:p>
    <w:p w14:paraId="5D650479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Payments</w:t>
      </w:r>
      <w:r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14:paraId="07698FB8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77BB3FAF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Utilisation</w:t>
      </w:r>
      <w:r>
        <w:rPr>
          <w:rFonts w:cs="Arial"/>
        </w:rPr>
        <w:t xml:space="preserve"> is defined as the ratio between payments and total plan budgets.</w:t>
      </w:r>
    </w:p>
    <w:p w14:paraId="65872577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0CB5410B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participants who reported in their most recent outcomes survey that they choose who supports them.</w:t>
      </w:r>
    </w:p>
    <w:p w14:paraId="208CEB4F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592C04E6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“Has the NDIS helped with choice and control?”</w:t>
      </w:r>
      <w:r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08C4C52C" w14:textId="77777777" w:rsidR="006F3350" w:rsidRDefault="006F3350" w:rsidP="006F3350">
      <w:pPr>
        <w:pStyle w:val="ListParagraph"/>
        <w:spacing w:before="240"/>
        <w:rPr>
          <w:rFonts w:cs="Arial"/>
        </w:rPr>
      </w:pPr>
    </w:p>
    <w:p w14:paraId="164A153B" w14:textId="758AFC0F" w:rsidR="00070B03" w:rsidRPr="006F3350" w:rsidRDefault="006F3350" w:rsidP="00CB2631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 w:rsidRPr="006F3350">
        <w:rPr>
          <w:rFonts w:cs="Arial"/>
        </w:rPr>
        <w:t xml:space="preserve">Note: </w:t>
      </w:r>
      <w:r w:rsidR="00250ED1">
        <w:rPr>
          <w:rFonts w:cs="Arial"/>
        </w:rPr>
        <w:t>A higher score is considered to be ‘good’ performance under some metrics. For example, a high utilisation rate is a sign of a functioning market where participants have access to the supports they need. For other metrics, a lower score is considered to be ‘good’ performance. For example, a low provider concentration is a sign of a competitive market.</w:t>
      </w:r>
    </w:p>
    <w:sectPr w:rsidR="00070B03" w:rsidRPr="006F3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7BFF"/>
    <w:rsid w:val="00027189"/>
    <w:rsid w:val="000301E5"/>
    <w:rsid w:val="00055BDA"/>
    <w:rsid w:val="0006186D"/>
    <w:rsid w:val="00070B03"/>
    <w:rsid w:val="00076EDF"/>
    <w:rsid w:val="000953B5"/>
    <w:rsid w:val="000C1641"/>
    <w:rsid w:val="000D04DC"/>
    <w:rsid w:val="000E0877"/>
    <w:rsid w:val="000F50D2"/>
    <w:rsid w:val="0013152A"/>
    <w:rsid w:val="0015533B"/>
    <w:rsid w:val="00160B17"/>
    <w:rsid w:val="00176BFE"/>
    <w:rsid w:val="0017743D"/>
    <w:rsid w:val="001A390D"/>
    <w:rsid w:val="001D20D4"/>
    <w:rsid w:val="001D682B"/>
    <w:rsid w:val="001F7986"/>
    <w:rsid w:val="00205322"/>
    <w:rsid w:val="00205B30"/>
    <w:rsid w:val="002340FA"/>
    <w:rsid w:val="00250ED1"/>
    <w:rsid w:val="00263733"/>
    <w:rsid w:val="00281F13"/>
    <w:rsid w:val="00282FD8"/>
    <w:rsid w:val="002B2E86"/>
    <w:rsid w:val="00302493"/>
    <w:rsid w:val="00325B09"/>
    <w:rsid w:val="00330CEF"/>
    <w:rsid w:val="00343E75"/>
    <w:rsid w:val="003447A6"/>
    <w:rsid w:val="00350787"/>
    <w:rsid w:val="00360C1E"/>
    <w:rsid w:val="00376465"/>
    <w:rsid w:val="00381417"/>
    <w:rsid w:val="00381EE6"/>
    <w:rsid w:val="003853B1"/>
    <w:rsid w:val="003871BD"/>
    <w:rsid w:val="00395083"/>
    <w:rsid w:val="003B406C"/>
    <w:rsid w:val="003C1EE2"/>
    <w:rsid w:val="003C6D8E"/>
    <w:rsid w:val="003D7B16"/>
    <w:rsid w:val="003E090C"/>
    <w:rsid w:val="003F2BAC"/>
    <w:rsid w:val="0040188E"/>
    <w:rsid w:val="00430D4D"/>
    <w:rsid w:val="004367CF"/>
    <w:rsid w:val="00451FF6"/>
    <w:rsid w:val="00475003"/>
    <w:rsid w:val="00476601"/>
    <w:rsid w:val="00480B75"/>
    <w:rsid w:val="004827EA"/>
    <w:rsid w:val="00491C44"/>
    <w:rsid w:val="004A24D1"/>
    <w:rsid w:val="004F5027"/>
    <w:rsid w:val="00504A6B"/>
    <w:rsid w:val="005143B0"/>
    <w:rsid w:val="00530C08"/>
    <w:rsid w:val="00560B99"/>
    <w:rsid w:val="00584CDB"/>
    <w:rsid w:val="0059208F"/>
    <w:rsid w:val="005A0F26"/>
    <w:rsid w:val="005B7836"/>
    <w:rsid w:val="005C01C1"/>
    <w:rsid w:val="005C0860"/>
    <w:rsid w:val="005C38F1"/>
    <w:rsid w:val="005C3EEC"/>
    <w:rsid w:val="005D2240"/>
    <w:rsid w:val="00607719"/>
    <w:rsid w:val="00622F5B"/>
    <w:rsid w:val="006371B6"/>
    <w:rsid w:val="00637F72"/>
    <w:rsid w:val="00660C99"/>
    <w:rsid w:val="006704D5"/>
    <w:rsid w:val="00674AA7"/>
    <w:rsid w:val="006844AC"/>
    <w:rsid w:val="006A7787"/>
    <w:rsid w:val="006C279D"/>
    <w:rsid w:val="006F3350"/>
    <w:rsid w:val="00716B7A"/>
    <w:rsid w:val="00721ED1"/>
    <w:rsid w:val="007242A6"/>
    <w:rsid w:val="0075460D"/>
    <w:rsid w:val="00760053"/>
    <w:rsid w:val="00763823"/>
    <w:rsid w:val="00790C79"/>
    <w:rsid w:val="0079420A"/>
    <w:rsid w:val="007F052D"/>
    <w:rsid w:val="00832799"/>
    <w:rsid w:val="008411F6"/>
    <w:rsid w:val="0085182A"/>
    <w:rsid w:val="00862FC1"/>
    <w:rsid w:val="00865BC7"/>
    <w:rsid w:val="00892194"/>
    <w:rsid w:val="008B6BEB"/>
    <w:rsid w:val="008D1A47"/>
    <w:rsid w:val="008D1DBD"/>
    <w:rsid w:val="008D4CA8"/>
    <w:rsid w:val="008E073D"/>
    <w:rsid w:val="00922DE6"/>
    <w:rsid w:val="00927D99"/>
    <w:rsid w:val="009300E8"/>
    <w:rsid w:val="00937A74"/>
    <w:rsid w:val="00946467"/>
    <w:rsid w:val="00984998"/>
    <w:rsid w:val="00995758"/>
    <w:rsid w:val="009A78AA"/>
    <w:rsid w:val="009A7CA8"/>
    <w:rsid w:val="009B45AC"/>
    <w:rsid w:val="00A031F3"/>
    <w:rsid w:val="00A10ABF"/>
    <w:rsid w:val="00A14589"/>
    <w:rsid w:val="00A161FD"/>
    <w:rsid w:val="00A31984"/>
    <w:rsid w:val="00A31EE8"/>
    <w:rsid w:val="00A640AE"/>
    <w:rsid w:val="00A65372"/>
    <w:rsid w:val="00A739C7"/>
    <w:rsid w:val="00A82806"/>
    <w:rsid w:val="00AA09C4"/>
    <w:rsid w:val="00AA3B71"/>
    <w:rsid w:val="00AA5E86"/>
    <w:rsid w:val="00AF6078"/>
    <w:rsid w:val="00B059A7"/>
    <w:rsid w:val="00B23D81"/>
    <w:rsid w:val="00B23DB3"/>
    <w:rsid w:val="00B41A44"/>
    <w:rsid w:val="00B45A45"/>
    <w:rsid w:val="00B51D40"/>
    <w:rsid w:val="00B5645C"/>
    <w:rsid w:val="00B6363C"/>
    <w:rsid w:val="00B74B2A"/>
    <w:rsid w:val="00B94DA7"/>
    <w:rsid w:val="00BC1232"/>
    <w:rsid w:val="00BF032E"/>
    <w:rsid w:val="00BF0755"/>
    <w:rsid w:val="00BF3B0A"/>
    <w:rsid w:val="00C17FD9"/>
    <w:rsid w:val="00C22CB3"/>
    <w:rsid w:val="00C375F7"/>
    <w:rsid w:val="00C6228A"/>
    <w:rsid w:val="00C74709"/>
    <w:rsid w:val="00CA1F54"/>
    <w:rsid w:val="00CA58B8"/>
    <w:rsid w:val="00CB2631"/>
    <w:rsid w:val="00CC53C4"/>
    <w:rsid w:val="00CC5DA6"/>
    <w:rsid w:val="00CD47E6"/>
    <w:rsid w:val="00D00BF7"/>
    <w:rsid w:val="00D06537"/>
    <w:rsid w:val="00D10A47"/>
    <w:rsid w:val="00D12F81"/>
    <w:rsid w:val="00D36C56"/>
    <w:rsid w:val="00D374C4"/>
    <w:rsid w:val="00D554F3"/>
    <w:rsid w:val="00D722CE"/>
    <w:rsid w:val="00DA5239"/>
    <w:rsid w:val="00DB43E5"/>
    <w:rsid w:val="00DC03AB"/>
    <w:rsid w:val="00DC6C36"/>
    <w:rsid w:val="00DD3CEA"/>
    <w:rsid w:val="00DF6113"/>
    <w:rsid w:val="00E03083"/>
    <w:rsid w:val="00E4185C"/>
    <w:rsid w:val="00E63A5D"/>
    <w:rsid w:val="00E936F8"/>
    <w:rsid w:val="00EC78B5"/>
    <w:rsid w:val="00EE28E1"/>
    <w:rsid w:val="00F1296A"/>
    <w:rsid w:val="00F277F7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F6FD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3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F9B9-E9CC-44F1-8EE6-5227679E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Blake, Fergal</cp:lastModifiedBy>
  <cp:revision>86</cp:revision>
  <dcterms:created xsi:type="dcterms:W3CDTF">2019-09-16T02:25:00Z</dcterms:created>
  <dcterms:modified xsi:type="dcterms:W3CDTF">2022-03-07T06:45:00Z</dcterms:modified>
</cp:coreProperties>
</file>