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3DEDB" w14:textId="6EC19755" w:rsidR="00FA334F" w:rsidRPr="00DF2F62" w:rsidRDefault="00C65328" w:rsidP="00AE61B4">
      <w:pPr>
        <w:pStyle w:val="Heading1"/>
      </w:pPr>
      <w:bookmarkStart w:id="0" w:name="_Toc79684601"/>
      <w:bookmarkStart w:id="1" w:name="_Toc79581634"/>
      <w:bookmarkStart w:id="2" w:name="_Toc79750269"/>
      <w:bookmarkStart w:id="3" w:name="_Toc79760924"/>
      <w:bookmarkStart w:id="4" w:name="_Toc80283595"/>
      <w:bookmarkStart w:id="5" w:name="_Toc80624485"/>
      <w:bookmarkStart w:id="6" w:name="_Toc80789373"/>
      <w:bookmarkStart w:id="7" w:name="_Toc80790322"/>
      <w:bookmarkStart w:id="8" w:name="_Toc83191580"/>
      <w:bookmarkStart w:id="9" w:name="_Toc83193282"/>
      <w:bookmarkStart w:id="10" w:name="_Toc86936611"/>
      <w:bookmarkStart w:id="11" w:name="_Toc88124525"/>
      <w:bookmarkStart w:id="12" w:name="_Toc87887945"/>
      <w:bookmarkStart w:id="13" w:name="_Toc88482672"/>
      <w:bookmarkStart w:id="14" w:name="_Toc88491470"/>
      <w:bookmarkStart w:id="15" w:name="_Toc88657409"/>
      <w:bookmarkStart w:id="16" w:name="_Toc88657864"/>
      <w:bookmarkStart w:id="17" w:name="_Toc88658452"/>
      <w:bookmarkStart w:id="18" w:name="_Toc88836117"/>
      <w:bookmarkStart w:id="19" w:name="_Toc89093392"/>
      <w:bookmarkStart w:id="20" w:name="_Toc89108346"/>
      <w:bookmarkStart w:id="21" w:name="_Toc89180606"/>
      <w:bookmarkStart w:id="22" w:name="_Toc89688940"/>
      <w:bookmarkStart w:id="23" w:name="_Toc89692950"/>
      <w:r w:rsidRPr="00DF2F62">
        <w:t xml:space="preserve">NDIS </w:t>
      </w:r>
      <w:r w:rsidR="00395FE0" w:rsidRPr="00DF2F62">
        <w:t>s</w:t>
      </w:r>
      <w:r w:rsidR="000F4E9D">
        <w:t xml:space="preserve">pecialist </w:t>
      </w:r>
      <w:r w:rsidR="00395FE0" w:rsidRPr="00DF2F62">
        <w:t>d</w:t>
      </w:r>
      <w:r w:rsidR="00733FC6" w:rsidRPr="00DF2F62">
        <w:t xml:space="preserve">isability </w:t>
      </w:r>
      <w:r w:rsidR="00395FE0" w:rsidRPr="00DF2F62">
        <w:t>a</w:t>
      </w:r>
      <w:r w:rsidR="00C97703">
        <w:t>ccommodation</w:t>
      </w:r>
      <w:r w:rsidR="00C97703">
        <w:br/>
      </w:r>
      <w:r w:rsidR="00395FE0" w:rsidRPr="00DF2F62">
        <w:t>202</w:t>
      </w:r>
      <w:r w:rsidR="004C03CC">
        <w:t>1</w:t>
      </w:r>
      <w:r w:rsidR="00395FE0" w:rsidRPr="00DF2F62">
        <w:t>-2</w:t>
      </w:r>
      <w:r w:rsidR="004C03CC">
        <w:t>2</w:t>
      </w:r>
      <w:r w:rsidR="007A5A80" w:rsidRPr="00DF2F62">
        <w:t xml:space="preserve"> </w:t>
      </w:r>
      <w:r w:rsidR="004C03CC">
        <w:t>quarter 1</w:t>
      </w:r>
      <w:r w:rsidR="00733FC6" w:rsidRPr="00DF2F62">
        <w:t xml:space="preserve"> </w:t>
      </w:r>
      <w:bookmarkEnd w:id="0"/>
      <w:r w:rsidR="00395FE0" w:rsidRPr="00DF2F62">
        <w:t>r</w:t>
      </w:r>
      <w:r w:rsidR="00733FC6" w:rsidRPr="00DF2F62">
        <w:t>eport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8958E4" w14:textId="77777777" w:rsidR="00FA334F" w:rsidRPr="00DF2F62" w:rsidRDefault="001665A1" w:rsidP="00FA334F">
      <w:pPr>
        <w:pStyle w:val="Versionanddate"/>
        <w:spacing w:after="720"/>
        <w:rPr>
          <w:rStyle w:val="WebsiteChar"/>
        </w:rPr>
      </w:pPr>
      <w:r w:rsidRPr="00DF2F62">
        <w:rPr>
          <w:rFonts w:cs="Arial"/>
          <w:b/>
        </w:rPr>
        <w:br/>
      </w:r>
      <w:r w:rsidRPr="00DF2F62">
        <w:rPr>
          <w:rStyle w:val="WebsiteChar"/>
        </w:rPr>
        <w:t>ndis.gov.au</w:t>
      </w:r>
    </w:p>
    <w:p w14:paraId="6F23FACB" w14:textId="77777777" w:rsidR="00AB4CC5" w:rsidRPr="00DF2F62" w:rsidRDefault="00FA334F" w:rsidP="007219F1">
      <w:r w:rsidRPr="00DF2F62">
        <w:rPr>
          <w:noProof/>
          <w:lang w:eastAsia="en-AU"/>
        </w:rPr>
        <w:drawing>
          <wp:inline distT="0" distB="0" distL="0" distR="0" wp14:anchorId="061AF703" wp14:editId="5382D820">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p w14:paraId="52592106" w14:textId="77777777" w:rsidR="007219F1" w:rsidRPr="00DF2F62" w:rsidRDefault="00AB4CC5" w:rsidP="00AB4CC5">
      <w:pPr>
        <w:pStyle w:val="Securitymarker"/>
        <w:rPr>
          <w:sz w:val="22"/>
        </w:rPr>
      </w:pPr>
      <w:r w:rsidRPr="00DF2F62">
        <w:rPr>
          <w:color w:val="FF0000"/>
        </w:rPr>
        <w:br/>
      </w:r>
      <w:r w:rsidR="007219F1" w:rsidRPr="00DF2F62">
        <w:br w:type="page"/>
      </w:r>
    </w:p>
    <w:p w14:paraId="4054D6F2" w14:textId="77777777" w:rsidR="00E21978" w:rsidRDefault="007219F1" w:rsidP="00E21978">
      <w:pPr>
        <w:pStyle w:val="Heading2"/>
        <w:numPr>
          <w:ilvl w:val="0"/>
          <w:numId w:val="0"/>
        </w:numPr>
      </w:pPr>
      <w:bookmarkStart w:id="24" w:name="_Toc79581635"/>
      <w:bookmarkStart w:id="25" w:name="_Toc79750270"/>
      <w:bookmarkStart w:id="26" w:name="_Toc79684602"/>
      <w:bookmarkStart w:id="27" w:name="_Toc79760925"/>
      <w:bookmarkStart w:id="28" w:name="_Toc80283596"/>
      <w:bookmarkStart w:id="29" w:name="_Toc80624486"/>
      <w:bookmarkStart w:id="30" w:name="_Toc80789374"/>
      <w:bookmarkStart w:id="31" w:name="_Toc80790323"/>
      <w:bookmarkStart w:id="32" w:name="_Toc83191581"/>
      <w:bookmarkStart w:id="33" w:name="_Toc83193283"/>
      <w:bookmarkStart w:id="34" w:name="_Toc86936612"/>
      <w:bookmarkStart w:id="35" w:name="_Toc88124526"/>
      <w:bookmarkStart w:id="36" w:name="_Toc87887946"/>
      <w:bookmarkStart w:id="37" w:name="_Toc88482673"/>
      <w:bookmarkStart w:id="38" w:name="_Toc88491471"/>
      <w:bookmarkStart w:id="39" w:name="_Toc88657410"/>
      <w:bookmarkStart w:id="40" w:name="_Toc88657865"/>
      <w:bookmarkStart w:id="41" w:name="_Toc88658453"/>
      <w:bookmarkStart w:id="42" w:name="_Toc88836118"/>
      <w:bookmarkStart w:id="43" w:name="_Toc89093393"/>
      <w:bookmarkStart w:id="44" w:name="_Toc89108347"/>
      <w:bookmarkStart w:id="45" w:name="_Toc89180607"/>
      <w:bookmarkStart w:id="46" w:name="_Toc89688941"/>
      <w:bookmarkStart w:id="47" w:name="_Toc89692951"/>
      <w:r w:rsidRPr="00DF2F62">
        <w:lastRenderedPageBreak/>
        <w:t>Contents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E21978">
        <w:t xml:space="preserve"> </w:t>
      </w:r>
    </w:p>
    <w:p w14:paraId="4DF46414" w14:textId="4F014CE6" w:rsidR="00D402F6" w:rsidRDefault="0040062A" w:rsidP="00D402F6">
      <w:pPr>
        <w:pStyle w:val="TOC1"/>
        <w:rPr>
          <w:rFonts w:asciiTheme="minorHAnsi" w:hAnsiTheme="minorHAnsi"/>
          <w:noProof/>
          <w:szCs w:val="22"/>
          <w:lang w:eastAsia="en-AU"/>
        </w:rPr>
      </w:pPr>
      <w:r w:rsidRPr="00DF2F62">
        <w:rPr>
          <w:sz w:val="44"/>
        </w:rPr>
        <w:fldChar w:fldCharType="begin"/>
      </w:r>
      <w:r w:rsidRPr="00DF2F62">
        <w:instrText xml:space="preserve"> TOC \o "1-5" \h \z \u </w:instrText>
      </w:r>
      <w:r w:rsidRPr="00DF2F62">
        <w:rPr>
          <w:sz w:val="44"/>
        </w:rPr>
        <w:fldChar w:fldCharType="separate"/>
      </w:r>
    </w:p>
    <w:p w14:paraId="33B03127" w14:textId="0FB34E47" w:rsidR="00D402F6" w:rsidRDefault="00D402F6">
      <w:pPr>
        <w:pStyle w:val="TOC2"/>
        <w:rPr>
          <w:rFonts w:asciiTheme="minorHAnsi" w:hAnsiTheme="minorHAnsi"/>
          <w:noProof/>
          <w:szCs w:val="22"/>
          <w:lang w:eastAsia="en-AU"/>
        </w:rPr>
      </w:pPr>
      <w:hyperlink w:anchor="_Toc89692952" w:history="1">
        <w:r w:rsidRPr="00C8387F">
          <w:rPr>
            <w:rStyle w:val="Hyperlink"/>
            <w:noProof/>
          </w:rPr>
          <w:t>1.</w:t>
        </w:r>
        <w:r>
          <w:rPr>
            <w:rFonts w:asciiTheme="minorHAnsi" w:hAnsiTheme="minorHAnsi"/>
            <w:noProof/>
            <w:szCs w:val="22"/>
            <w:lang w:eastAsia="en-AU"/>
          </w:rPr>
          <w:tab/>
        </w:r>
        <w:r w:rsidRPr="00C8387F">
          <w:rPr>
            <w:rStyle w:val="Hyperlink"/>
            <w:noProof/>
          </w:rPr>
          <w:t>Introduction to data released by the NDIA</w:t>
        </w:r>
        <w:r>
          <w:rPr>
            <w:noProof/>
            <w:webHidden/>
          </w:rPr>
          <w:tab/>
        </w:r>
        <w:r>
          <w:rPr>
            <w:noProof/>
            <w:webHidden/>
          </w:rPr>
          <w:fldChar w:fldCharType="begin"/>
        </w:r>
        <w:r>
          <w:rPr>
            <w:noProof/>
            <w:webHidden/>
          </w:rPr>
          <w:instrText xml:space="preserve"> PAGEREF _Toc89692952 \h </w:instrText>
        </w:r>
        <w:r>
          <w:rPr>
            <w:noProof/>
            <w:webHidden/>
          </w:rPr>
        </w:r>
        <w:r>
          <w:rPr>
            <w:noProof/>
            <w:webHidden/>
          </w:rPr>
          <w:fldChar w:fldCharType="separate"/>
        </w:r>
        <w:r w:rsidR="0018669C">
          <w:rPr>
            <w:noProof/>
            <w:webHidden/>
          </w:rPr>
          <w:t>3</w:t>
        </w:r>
        <w:r>
          <w:rPr>
            <w:noProof/>
            <w:webHidden/>
          </w:rPr>
          <w:fldChar w:fldCharType="end"/>
        </w:r>
      </w:hyperlink>
    </w:p>
    <w:p w14:paraId="095A6F80" w14:textId="508970DA" w:rsidR="00D402F6" w:rsidRDefault="00D402F6">
      <w:pPr>
        <w:pStyle w:val="TOC3"/>
        <w:rPr>
          <w:rFonts w:asciiTheme="minorHAnsi" w:hAnsiTheme="minorHAnsi"/>
          <w:noProof/>
          <w:szCs w:val="22"/>
          <w:lang w:eastAsia="en-AU"/>
        </w:rPr>
      </w:pPr>
      <w:hyperlink w:anchor="_Toc89692953" w:history="1">
        <w:r w:rsidRPr="00C8387F">
          <w:rPr>
            <w:rStyle w:val="Hyperlink"/>
            <w:noProof/>
          </w:rPr>
          <w:t>1.1</w:t>
        </w:r>
        <w:r>
          <w:rPr>
            <w:rFonts w:asciiTheme="minorHAnsi" w:hAnsiTheme="minorHAnsi"/>
            <w:noProof/>
            <w:szCs w:val="22"/>
            <w:lang w:eastAsia="en-AU"/>
          </w:rPr>
          <w:tab/>
        </w:r>
        <w:r w:rsidRPr="00C8387F">
          <w:rPr>
            <w:rStyle w:val="Hyperlink"/>
            <w:noProof/>
          </w:rPr>
          <w:t>How to use this report</w:t>
        </w:r>
        <w:r>
          <w:rPr>
            <w:noProof/>
            <w:webHidden/>
          </w:rPr>
          <w:tab/>
        </w:r>
        <w:r>
          <w:rPr>
            <w:noProof/>
            <w:webHidden/>
          </w:rPr>
          <w:fldChar w:fldCharType="begin"/>
        </w:r>
        <w:r>
          <w:rPr>
            <w:noProof/>
            <w:webHidden/>
          </w:rPr>
          <w:instrText xml:space="preserve"> PAGEREF _Toc89692953 \h </w:instrText>
        </w:r>
        <w:r>
          <w:rPr>
            <w:noProof/>
            <w:webHidden/>
          </w:rPr>
        </w:r>
        <w:r>
          <w:rPr>
            <w:noProof/>
            <w:webHidden/>
          </w:rPr>
          <w:fldChar w:fldCharType="separate"/>
        </w:r>
        <w:r w:rsidR="0018669C">
          <w:rPr>
            <w:noProof/>
            <w:webHidden/>
          </w:rPr>
          <w:t>3</w:t>
        </w:r>
        <w:r>
          <w:rPr>
            <w:noProof/>
            <w:webHidden/>
          </w:rPr>
          <w:fldChar w:fldCharType="end"/>
        </w:r>
      </w:hyperlink>
    </w:p>
    <w:p w14:paraId="6D743C2B" w14:textId="01195E7F" w:rsidR="00D402F6" w:rsidRDefault="00D402F6">
      <w:pPr>
        <w:pStyle w:val="TOC3"/>
        <w:rPr>
          <w:rFonts w:asciiTheme="minorHAnsi" w:hAnsiTheme="minorHAnsi"/>
          <w:noProof/>
          <w:szCs w:val="22"/>
          <w:lang w:eastAsia="en-AU"/>
        </w:rPr>
      </w:pPr>
      <w:hyperlink w:anchor="_Toc89692954" w:history="1">
        <w:r w:rsidRPr="00C8387F">
          <w:rPr>
            <w:rStyle w:val="Hyperlink"/>
            <w:noProof/>
          </w:rPr>
          <w:t>1.2</w:t>
        </w:r>
        <w:r>
          <w:rPr>
            <w:rFonts w:asciiTheme="minorHAnsi" w:hAnsiTheme="minorHAnsi"/>
            <w:noProof/>
            <w:szCs w:val="22"/>
            <w:lang w:eastAsia="en-AU"/>
          </w:rPr>
          <w:tab/>
        </w:r>
        <w:r w:rsidRPr="00C8387F">
          <w:rPr>
            <w:rStyle w:val="Hyperlink"/>
            <w:noProof/>
          </w:rPr>
          <w:t>Commonly used terms</w:t>
        </w:r>
        <w:r>
          <w:rPr>
            <w:noProof/>
            <w:webHidden/>
          </w:rPr>
          <w:tab/>
        </w:r>
        <w:r>
          <w:rPr>
            <w:noProof/>
            <w:webHidden/>
          </w:rPr>
          <w:fldChar w:fldCharType="begin"/>
        </w:r>
        <w:r>
          <w:rPr>
            <w:noProof/>
            <w:webHidden/>
          </w:rPr>
          <w:instrText xml:space="preserve"> PAGEREF _Toc89692954 \h </w:instrText>
        </w:r>
        <w:r>
          <w:rPr>
            <w:noProof/>
            <w:webHidden/>
          </w:rPr>
        </w:r>
        <w:r>
          <w:rPr>
            <w:noProof/>
            <w:webHidden/>
          </w:rPr>
          <w:fldChar w:fldCharType="separate"/>
        </w:r>
        <w:r w:rsidR="0018669C">
          <w:rPr>
            <w:noProof/>
            <w:webHidden/>
          </w:rPr>
          <w:t>4</w:t>
        </w:r>
        <w:r>
          <w:rPr>
            <w:noProof/>
            <w:webHidden/>
          </w:rPr>
          <w:fldChar w:fldCharType="end"/>
        </w:r>
      </w:hyperlink>
    </w:p>
    <w:p w14:paraId="1F352014" w14:textId="63AFE1DD" w:rsidR="00D402F6" w:rsidRDefault="00D402F6">
      <w:pPr>
        <w:pStyle w:val="TOC2"/>
        <w:rPr>
          <w:rFonts w:asciiTheme="minorHAnsi" w:hAnsiTheme="minorHAnsi"/>
          <w:noProof/>
          <w:szCs w:val="22"/>
          <w:lang w:eastAsia="en-AU"/>
        </w:rPr>
      </w:pPr>
      <w:hyperlink w:anchor="_Toc89692955" w:history="1">
        <w:r w:rsidRPr="00C8387F">
          <w:rPr>
            <w:rStyle w:val="Hyperlink"/>
            <w:noProof/>
          </w:rPr>
          <w:t>2.</w:t>
        </w:r>
        <w:r>
          <w:rPr>
            <w:rFonts w:asciiTheme="minorHAnsi" w:hAnsiTheme="minorHAnsi"/>
            <w:noProof/>
            <w:szCs w:val="22"/>
            <w:lang w:eastAsia="en-AU"/>
          </w:rPr>
          <w:tab/>
        </w:r>
        <w:r w:rsidRPr="00C8387F">
          <w:rPr>
            <w:rStyle w:val="Hyperlink"/>
            <w:noProof/>
          </w:rPr>
          <w:t>SDA supply market overview</w:t>
        </w:r>
        <w:r>
          <w:rPr>
            <w:noProof/>
            <w:webHidden/>
          </w:rPr>
          <w:tab/>
        </w:r>
        <w:r>
          <w:rPr>
            <w:noProof/>
            <w:webHidden/>
          </w:rPr>
          <w:fldChar w:fldCharType="begin"/>
        </w:r>
        <w:r>
          <w:rPr>
            <w:noProof/>
            <w:webHidden/>
          </w:rPr>
          <w:instrText xml:space="preserve"> PAGEREF _Toc89692955 \h </w:instrText>
        </w:r>
        <w:r>
          <w:rPr>
            <w:noProof/>
            <w:webHidden/>
          </w:rPr>
        </w:r>
        <w:r>
          <w:rPr>
            <w:noProof/>
            <w:webHidden/>
          </w:rPr>
          <w:fldChar w:fldCharType="separate"/>
        </w:r>
        <w:r w:rsidR="0018669C">
          <w:rPr>
            <w:noProof/>
            <w:webHidden/>
          </w:rPr>
          <w:t>6</w:t>
        </w:r>
        <w:r>
          <w:rPr>
            <w:noProof/>
            <w:webHidden/>
          </w:rPr>
          <w:fldChar w:fldCharType="end"/>
        </w:r>
      </w:hyperlink>
    </w:p>
    <w:p w14:paraId="541C6CD1" w14:textId="4CFFA4D2" w:rsidR="00D402F6" w:rsidRDefault="00D402F6">
      <w:pPr>
        <w:pStyle w:val="TOC3"/>
        <w:rPr>
          <w:rFonts w:asciiTheme="minorHAnsi" w:hAnsiTheme="minorHAnsi"/>
          <w:noProof/>
          <w:szCs w:val="22"/>
          <w:lang w:eastAsia="en-AU"/>
        </w:rPr>
      </w:pPr>
      <w:hyperlink w:anchor="_Toc89692956" w:history="1">
        <w:r w:rsidRPr="00C8387F">
          <w:rPr>
            <w:rStyle w:val="Hyperlink"/>
            <w:noProof/>
          </w:rPr>
          <w:t>2.1</w:t>
        </w:r>
        <w:r>
          <w:rPr>
            <w:rFonts w:asciiTheme="minorHAnsi" w:hAnsiTheme="minorHAnsi"/>
            <w:noProof/>
            <w:szCs w:val="22"/>
            <w:lang w:eastAsia="en-AU"/>
          </w:rPr>
          <w:tab/>
        </w:r>
        <w:r w:rsidRPr="00C8387F">
          <w:rPr>
            <w:rStyle w:val="Hyperlink"/>
            <w:noProof/>
          </w:rPr>
          <w:t>SDA type</w:t>
        </w:r>
        <w:r>
          <w:rPr>
            <w:noProof/>
            <w:webHidden/>
          </w:rPr>
          <w:tab/>
        </w:r>
        <w:r>
          <w:rPr>
            <w:noProof/>
            <w:webHidden/>
          </w:rPr>
          <w:fldChar w:fldCharType="begin"/>
        </w:r>
        <w:r>
          <w:rPr>
            <w:noProof/>
            <w:webHidden/>
          </w:rPr>
          <w:instrText xml:space="preserve"> PAGEREF _Toc89692956 \h </w:instrText>
        </w:r>
        <w:r>
          <w:rPr>
            <w:noProof/>
            <w:webHidden/>
          </w:rPr>
        </w:r>
        <w:r>
          <w:rPr>
            <w:noProof/>
            <w:webHidden/>
          </w:rPr>
          <w:fldChar w:fldCharType="separate"/>
        </w:r>
        <w:r w:rsidR="0018669C">
          <w:rPr>
            <w:noProof/>
            <w:webHidden/>
          </w:rPr>
          <w:t>6</w:t>
        </w:r>
        <w:r>
          <w:rPr>
            <w:noProof/>
            <w:webHidden/>
          </w:rPr>
          <w:fldChar w:fldCharType="end"/>
        </w:r>
      </w:hyperlink>
    </w:p>
    <w:p w14:paraId="618767B0" w14:textId="1A265D0B" w:rsidR="00D402F6" w:rsidRDefault="00D402F6">
      <w:pPr>
        <w:pStyle w:val="TOC3"/>
        <w:rPr>
          <w:rFonts w:asciiTheme="minorHAnsi" w:hAnsiTheme="minorHAnsi"/>
          <w:noProof/>
          <w:szCs w:val="22"/>
          <w:lang w:eastAsia="en-AU"/>
        </w:rPr>
      </w:pPr>
      <w:hyperlink w:anchor="_Toc89692957" w:history="1">
        <w:r w:rsidRPr="00C8387F">
          <w:rPr>
            <w:rStyle w:val="Hyperlink"/>
            <w:noProof/>
          </w:rPr>
          <w:t>2.2</w:t>
        </w:r>
        <w:r>
          <w:rPr>
            <w:rFonts w:asciiTheme="minorHAnsi" w:hAnsiTheme="minorHAnsi"/>
            <w:noProof/>
            <w:szCs w:val="22"/>
            <w:lang w:eastAsia="en-AU"/>
          </w:rPr>
          <w:tab/>
        </w:r>
        <w:r w:rsidRPr="00C8387F">
          <w:rPr>
            <w:rStyle w:val="Hyperlink"/>
            <w:noProof/>
          </w:rPr>
          <w:t>Location</w:t>
        </w:r>
        <w:r>
          <w:rPr>
            <w:noProof/>
            <w:webHidden/>
          </w:rPr>
          <w:tab/>
        </w:r>
        <w:r>
          <w:rPr>
            <w:noProof/>
            <w:webHidden/>
          </w:rPr>
          <w:fldChar w:fldCharType="begin"/>
        </w:r>
        <w:r>
          <w:rPr>
            <w:noProof/>
            <w:webHidden/>
          </w:rPr>
          <w:instrText xml:space="preserve"> PAGEREF _Toc89692957 \h </w:instrText>
        </w:r>
        <w:r>
          <w:rPr>
            <w:noProof/>
            <w:webHidden/>
          </w:rPr>
        </w:r>
        <w:r>
          <w:rPr>
            <w:noProof/>
            <w:webHidden/>
          </w:rPr>
          <w:fldChar w:fldCharType="separate"/>
        </w:r>
        <w:r w:rsidR="0018669C">
          <w:rPr>
            <w:noProof/>
            <w:webHidden/>
          </w:rPr>
          <w:t>7</w:t>
        </w:r>
        <w:r>
          <w:rPr>
            <w:noProof/>
            <w:webHidden/>
          </w:rPr>
          <w:fldChar w:fldCharType="end"/>
        </w:r>
      </w:hyperlink>
    </w:p>
    <w:p w14:paraId="22A1BC02" w14:textId="50DCF067" w:rsidR="00D402F6" w:rsidRDefault="00D402F6">
      <w:pPr>
        <w:pStyle w:val="TOC3"/>
        <w:rPr>
          <w:rFonts w:asciiTheme="minorHAnsi" w:hAnsiTheme="minorHAnsi"/>
          <w:noProof/>
          <w:szCs w:val="22"/>
          <w:lang w:eastAsia="en-AU"/>
        </w:rPr>
      </w:pPr>
      <w:hyperlink w:anchor="_Toc89692958" w:history="1">
        <w:r w:rsidRPr="00C8387F">
          <w:rPr>
            <w:rStyle w:val="Hyperlink"/>
            <w:noProof/>
          </w:rPr>
          <w:t>2.3</w:t>
        </w:r>
        <w:r>
          <w:rPr>
            <w:rFonts w:asciiTheme="minorHAnsi" w:hAnsiTheme="minorHAnsi"/>
            <w:noProof/>
            <w:szCs w:val="22"/>
            <w:lang w:eastAsia="en-AU"/>
          </w:rPr>
          <w:tab/>
        </w:r>
        <w:r w:rsidRPr="00C8387F">
          <w:rPr>
            <w:rStyle w:val="Hyperlink"/>
            <w:noProof/>
          </w:rPr>
          <w:t>Design category</w:t>
        </w:r>
        <w:r>
          <w:rPr>
            <w:noProof/>
            <w:webHidden/>
          </w:rPr>
          <w:tab/>
        </w:r>
        <w:r>
          <w:rPr>
            <w:noProof/>
            <w:webHidden/>
          </w:rPr>
          <w:fldChar w:fldCharType="begin"/>
        </w:r>
        <w:r>
          <w:rPr>
            <w:noProof/>
            <w:webHidden/>
          </w:rPr>
          <w:instrText xml:space="preserve"> PAGEREF _Toc89692958 \h </w:instrText>
        </w:r>
        <w:r>
          <w:rPr>
            <w:noProof/>
            <w:webHidden/>
          </w:rPr>
        </w:r>
        <w:r>
          <w:rPr>
            <w:noProof/>
            <w:webHidden/>
          </w:rPr>
          <w:fldChar w:fldCharType="separate"/>
        </w:r>
        <w:r w:rsidR="0018669C">
          <w:rPr>
            <w:noProof/>
            <w:webHidden/>
          </w:rPr>
          <w:t>9</w:t>
        </w:r>
        <w:r>
          <w:rPr>
            <w:noProof/>
            <w:webHidden/>
          </w:rPr>
          <w:fldChar w:fldCharType="end"/>
        </w:r>
      </w:hyperlink>
    </w:p>
    <w:p w14:paraId="31B64FE0" w14:textId="50323DCA" w:rsidR="00D402F6" w:rsidRDefault="00D402F6">
      <w:pPr>
        <w:pStyle w:val="TOC3"/>
        <w:rPr>
          <w:rFonts w:asciiTheme="minorHAnsi" w:hAnsiTheme="minorHAnsi"/>
          <w:noProof/>
          <w:szCs w:val="22"/>
          <w:lang w:eastAsia="en-AU"/>
        </w:rPr>
      </w:pPr>
      <w:hyperlink w:anchor="_Toc89692959" w:history="1">
        <w:r w:rsidRPr="00C8387F">
          <w:rPr>
            <w:rStyle w:val="Hyperlink"/>
            <w:noProof/>
          </w:rPr>
          <w:t>2.4</w:t>
        </w:r>
        <w:r>
          <w:rPr>
            <w:rFonts w:asciiTheme="minorHAnsi" w:hAnsiTheme="minorHAnsi"/>
            <w:noProof/>
            <w:szCs w:val="22"/>
            <w:lang w:eastAsia="en-AU"/>
          </w:rPr>
          <w:tab/>
        </w:r>
        <w:r w:rsidRPr="00C8387F">
          <w:rPr>
            <w:rStyle w:val="Hyperlink"/>
            <w:noProof/>
          </w:rPr>
          <w:t>SDA building type including legacy</w:t>
        </w:r>
        <w:r>
          <w:rPr>
            <w:noProof/>
            <w:webHidden/>
          </w:rPr>
          <w:tab/>
        </w:r>
        <w:r>
          <w:rPr>
            <w:noProof/>
            <w:webHidden/>
          </w:rPr>
          <w:fldChar w:fldCharType="begin"/>
        </w:r>
        <w:r>
          <w:rPr>
            <w:noProof/>
            <w:webHidden/>
          </w:rPr>
          <w:instrText xml:space="preserve"> PAGEREF _Toc89692959 \h </w:instrText>
        </w:r>
        <w:r>
          <w:rPr>
            <w:noProof/>
            <w:webHidden/>
          </w:rPr>
        </w:r>
        <w:r>
          <w:rPr>
            <w:noProof/>
            <w:webHidden/>
          </w:rPr>
          <w:fldChar w:fldCharType="separate"/>
        </w:r>
        <w:r w:rsidR="0018669C">
          <w:rPr>
            <w:noProof/>
            <w:webHidden/>
          </w:rPr>
          <w:t>11</w:t>
        </w:r>
        <w:r>
          <w:rPr>
            <w:noProof/>
            <w:webHidden/>
          </w:rPr>
          <w:fldChar w:fldCharType="end"/>
        </w:r>
      </w:hyperlink>
    </w:p>
    <w:p w14:paraId="3A23123A" w14:textId="712DCBE1" w:rsidR="00D402F6" w:rsidRDefault="00D402F6">
      <w:pPr>
        <w:pStyle w:val="TOC3"/>
        <w:rPr>
          <w:rFonts w:asciiTheme="minorHAnsi" w:hAnsiTheme="minorHAnsi"/>
          <w:noProof/>
          <w:szCs w:val="22"/>
          <w:lang w:eastAsia="en-AU"/>
        </w:rPr>
      </w:pPr>
      <w:hyperlink w:anchor="_Toc89692960" w:history="1">
        <w:r w:rsidRPr="00C8387F">
          <w:rPr>
            <w:rStyle w:val="Hyperlink"/>
            <w:noProof/>
          </w:rPr>
          <w:t>2.5</w:t>
        </w:r>
        <w:r>
          <w:rPr>
            <w:rFonts w:asciiTheme="minorHAnsi" w:hAnsiTheme="minorHAnsi"/>
            <w:noProof/>
            <w:szCs w:val="22"/>
            <w:lang w:eastAsia="en-AU"/>
          </w:rPr>
          <w:tab/>
        </w:r>
        <w:r w:rsidRPr="00C8387F">
          <w:rPr>
            <w:rStyle w:val="Hyperlink"/>
            <w:noProof/>
          </w:rPr>
          <w:t>SDA building</w:t>
        </w:r>
        <w:bookmarkStart w:id="48" w:name="_GoBack"/>
        <w:bookmarkEnd w:id="48"/>
        <w:r w:rsidRPr="00C8387F">
          <w:rPr>
            <w:rStyle w:val="Hyperlink"/>
            <w:noProof/>
          </w:rPr>
          <w:t xml:space="preserve"> type by design category</w:t>
        </w:r>
        <w:r>
          <w:rPr>
            <w:noProof/>
            <w:webHidden/>
          </w:rPr>
          <w:tab/>
        </w:r>
        <w:r>
          <w:rPr>
            <w:noProof/>
            <w:webHidden/>
          </w:rPr>
          <w:fldChar w:fldCharType="begin"/>
        </w:r>
        <w:r>
          <w:rPr>
            <w:noProof/>
            <w:webHidden/>
          </w:rPr>
          <w:instrText xml:space="preserve"> PAGEREF _Toc89692960 \h </w:instrText>
        </w:r>
        <w:r>
          <w:rPr>
            <w:noProof/>
            <w:webHidden/>
          </w:rPr>
        </w:r>
        <w:r>
          <w:rPr>
            <w:noProof/>
            <w:webHidden/>
          </w:rPr>
          <w:fldChar w:fldCharType="separate"/>
        </w:r>
        <w:r w:rsidR="0018669C">
          <w:rPr>
            <w:noProof/>
            <w:webHidden/>
          </w:rPr>
          <w:t>12</w:t>
        </w:r>
        <w:r>
          <w:rPr>
            <w:noProof/>
            <w:webHidden/>
          </w:rPr>
          <w:fldChar w:fldCharType="end"/>
        </w:r>
      </w:hyperlink>
    </w:p>
    <w:p w14:paraId="6E7F0A58" w14:textId="06A90108" w:rsidR="00D402F6" w:rsidRDefault="00D402F6">
      <w:pPr>
        <w:pStyle w:val="TOC3"/>
        <w:rPr>
          <w:rFonts w:asciiTheme="minorHAnsi" w:hAnsiTheme="minorHAnsi"/>
          <w:noProof/>
          <w:szCs w:val="22"/>
          <w:lang w:eastAsia="en-AU"/>
        </w:rPr>
      </w:pPr>
      <w:hyperlink w:anchor="_Toc89692961" w:history="1">
        <w:r w:rsidRPr="00C8387F">
          <w:rPr>
            <w:rStyle w:val="Hyperlink"/>
            <w:noProof/>
          </w:rPr>
          <w:t>2.6</w:t>
        </w:r>
        <w:r>
          <w:rPr>
            <w:rFonts w:asciiTheme="minorHAnsi" w:hAnsiTheme="minorHAnsi"/>
            <w:noProof/>
            <w:szCs w:val="22"/>
            <w:lang w:eastAsia="en-AU"/>
          </w:rPr>
          <w:tab/>
        </w:r>
        <w:r w:rsidRPr="00C8387F">
          <w:rPr>
            <w:rStyle w:val="Hyperlink"/>
            <w:noProof/>
          </w:rPr>
          <w:t>Maximum number of residents in dwellings</w:t>
        </w:r>
        <w:r>
          <w:rPr>
            <w:noProof/>
            <w:webHidden/>
          </w:rPr>
          <w:tab/>
        </w:r>
        <w:r>
          <w:rPr>
            <w:noProof/>
            <w:webHidden/>
          </w:rPr>
          <w:fldChar w:fldCharType="begin"/>
        </w:r>
        <w:r>
          <w:rPr>
            <w:noProof/>
            <w:webHidden/>
          </w:rPr>
          <w:instrText xml:space="preserve"> PAGEREF _Toc89692961 \h </w:instrText>
        </w:r>
        <w:r>
          <w:rPr>
            <w:noProof/>
            <w:webHidden/>
          </w:rPr>
        </w:r>
        <w:r>
          <w:rPr>
            <w:noProof/>
            <w:webHidden/>
          </w:rPr>
          <w:fldChar w:fldCharType="separate"/>
        </w:r>
        <w:r w:rsidR="0018669C">
          <w:rPr>
            <w:noProof/>
            <w:webHidden/>
          </w:rPr>
          <w:t>13</w:t>
        </w:r>
        <w:r>
          <w:rPr>
            <w:noProof/>
            <w:webHidden/>
          </w:rPr>
          <w:fldChar w:fldCharType="end"/>
        </w:r>
      </w:hyperlink>
    </w:p>
    <w:p w14:paraId="1ABCB28E" w14:textId="3F86EF17" w:rsidR="00D402F6" w:rsidRDefault="00D402F6">
      <w:pPr>
        <w:pStyle w:val="TOC3"/>
        <w:rPr>
          <w:rFonts w:asciiTheme="minorHAnsi" w:hAnsiTheme="minorHAnsi"/>
          <w:noProof/>
          <w:szCs w:val="22"/>
          <w:lang w:eastAsia="en-AU"/>
        </w:rPr>
      </w:pPr>
      <w:hyperlink w:anchor="_Toc89692962" w:history="1">
        <w:r w:rsidRPr="00C8387F">
          <w:rPr>
            <w:rStyle w:val="Hyperlink"/>
            <w:noProof/>
          </w:rPr>
          <w:t>2.7</w:t>
        </w:r>
        <w:r>
          <w:rPr>
            <w:rFonts w:asciiTheme="minorHAnsi" w:hAnsiTheme="minorHAnsi"/>
            <w:noProof/>
            <w:szCs w:val="22"/>
            <w:lang w:eastAsia="en-AU"/>
          </w:rPr>
          <w:tab/>
        </w:r>
        <w:r w:rsidRPr="00C8387F">
          <w:rPr>
            <w:rStyle w:val="Hyperlink"/>
            <w:noProof/>
          </w:rPr>
          <w:t>Unfinished and/or unenrolled dwellings</w:t>
        </w:r>
        <w:r>
          <w:rPr>
            <w:noProof/>
            <w:webHidden/>
          </w:rPr>
          <w:tab/>
        </w:r>
        <w:r>
          <w:rPr>
            <w:noProof/>
            <w:webHidden/>
          </w:rPr>
          <w:fldChar w:fldCharType="begin"/>
        </w:r>
        <w:r>
          <w:rPr>
            <w:noProof/>
            <w:webHidden/>
          </w:rPr>
          <w:instrText xml:space="preserve"> PAGEREF _Toc89692962 \h </w:instrText>
        </w:r>
        <w:r>
          <w:rPr>
            <w:noProof/>
            <w:webHidden/>
          </w:rPr>
        </w:r>
        <w:r>
          <w:rPr>
            <w:noProof/>
            <w:webHidden/>
          </w:rPr>
          <w:fldChar w:fldCharType="separate"/>
        </w:r>
        <w:r w:rsidR="0018669C">
          <w:rPr>
            <w:noProof/>
            <w:webHidden/>
          </w:rPr>
          <w:t>14</w:t>
        </w:r>
        <w:r>
          <w:rPr>
            <w:noProof/>
            <w:webHidden/>
          </w:rPr>
          <w:fldChar w:fldCharType="end"/>
        </w:r>
      </w:hyperlink>
    </w:p>
    <w:p w14:paraId="541AAA4E" w14:textId="2DC05AE9" w:rsidR="00D402F6" w:rsidRDefault="00D402F6">
      <w:pPr>
        <w:pStyle w:val="TOC2"/>
        <w:rPr>
          <w:rFonts w:asciiTheme="minorHAnsi" w:hAnsiTheme="minorHAnsi"/>
          <w:noProof/>
          <w:szCs w:val="22"/>
          <w:lang w:eastAsia="en-AU"/>
        </w:rPr>
      </w:pPr>
      <w:hyperlink w:anchor="_Toc89692963" w:history="1">
        <w:r w:rsidRPr="00C8387F">
          <w:rPr>
            <w:rStyle w:val="Hyperlink"/>
            <w:noProof/>
          </w:rPr>
          <w:t>3.</w:t>
        </w:r>
        <w:r>
          <w:rPr>
            <w:rFonts w:asciiTheme="minorHAnsi" w:hAnsiTheme="minorHAnsi"/>
            <w:noProof/>
            <w:szCs w:val="22"/>
            <w:lang w:eastAsia="en-AU"/>
          </w:rPr>
          <w:tab/>
        </w:r>
        <w:r w:rsidRPr="00C8387F">
          <w:rPr>
            <w:rStyle w:val="Hyperlink"/>
            <w:noProof/>
          </w:rPr>
          <w:t>SDA participant market overview</w:t>
        </w:r>
        <w:r>
          <w:rPr>
            <w:noProof/>
            <w:webHidden/>
          </w:rPr>
          <w:tab/>
        </w:r>
        <w:r>
          <w:rPr>
            <w:noProof/>
            <w:webHidden/>
          </w:rPr>
          <w:fldChar w:fldCharType="begin"/>
        </w:r>
        <w:r>
          <w:rPr>
            <w:noProof/>
            <w:webHidden/>
          </w:rPr>
          <w:instrText xml:space="preserve"> PAGEREF _Toc89692963 \h </w:instrText>
        </w:r>
        <w:r>
          <w:rPr>
            <w:noProof/>
            <w:webHidden/>
          </w:rPr>
        </w:r>
        <w:r>
          <w:rPr>
            <w:noProof/>
            <w:webHidden/>
          </w:rPr>
          <w:fldChar w:fldCharType="separate"/>
        </w:r>
        <w:r w:rsidR="0018669C">
          <w:rPr>
            <w:noProof/>
            <w:webHidden/>
          </w:rPr>
          <w:t>17</w:t>
        </w:r>
        <w:r>
          <w:rPr>
            <w:noProof/>
            <w:webHidden/>
          </w:rPr>
          <w:fldChar w:fldCharType="end"/>
        </w:r>
      </w:hyperlink>
    </w:p>
    <w:p w14:paraId="1E045F6F" w14:textId="27B3DD17" w:rsidR="00D402F6" w:rsidRDefault="00D402F6">
      <w:pPr>
        <w:pStyle w:val="TOC3"/>
        <w:rPr>
          <w:rFonts w:asciiTheme="minorHAnsi" w:hAnsiTheme="minorHAnsi"/>
          <w:noProof/>
          <w:szCs w:val="22"/>
          <w:lang w:eastAsia="en-AU"/>
        </w:rPr>
      </w:pPr>
      <w:hyperlink w:anchor="_Toc89692964" w:history="1">
        <w:r w:rsidRPr="00C8387F">
          <w:rPr>
            <w:rStyle w:val="Hyperlink"/>
            <w:noProof/>
          </w:rPr>
          <w:t>3.1</w:t>
        </w:r>
        <w:r>
          <w:rPr>
            <w:rFonts w:asciiTheme="minorHAnsi" w:hAnsiTheme="minorHAnsi"/>
            <w:noProof/>
            <w:szCs w:val="22"/>
            <w:lang w:eastAsia="en-AU"/>
          </w:rPr>
          <w:tab/>
        </w:r>
        <w:r w:rsidRPr="00C8387F">
          <w:rPr>
            <w:rStyle w:val="Hyperlink"/>
            <w:noProof/>
          </w:rPr>
          <w:t>Eligible participant profiles</w:t>
        </w:r>
        <w:r>
          <w:rPr>
            <w:noProof/>
            <w:webHidden/>
          </w:rPr>
          <w:tab/>
        </w:r>
        <w:r>
          <w:rPr>
            <w:noProof/>
            <w:webHidden/>
          </w:rPr>
          <w:fldChar w:fldCharType="begin"/>
        </w:r>
        <w:r>
          <w:rPr>
            <w:noProof/>
            <w:webHidden/>
          </w:rPr>
          <w:instrText xml:space="preserve"> PAGEREF _Toc89692964 \h </w:instrText>
        </w:r>
        <w:r>
          <w:rPr>
            <w:noProof/>
            <w:webHidden/>
          </w:rPr>
        </w:r>
        <w:r>
          <w:rPr>
            <w:noProof/>
            <w:webHidden/>
          </w:rPr>
          <w:fldChar w:fldCharType="separate"/>
        </w:r>
        <w:r w:rsidR="0018669C">
          <w:rPr>
            <w:noProof/>
            <w:webHidden/>
          </w:rPr>
          <w:t>17</w:t>
        </w:r>
        <w:r>
          <w:rPr>
            <w:noProof/>
            <w:webHidden/>
          </w:rPr>
          <w:fldChar w:fldCharType="end"/>
        </w:r>
      </w:hyperlink>
    </w:p>
    <w:p w14:paraId="28CDEAC9" w14:textId="32A6E7FD" w:rsidR="00D402F6" w:rsidRDefault="00D402F6">
      <w:pPr>
        <w:pStyle w:val="TOC3"/>
        <w:rPr>
          <w:rFonts w:asciiTheme="minorHAnsi" w:hAnsiTheme="minorHAnsi"/>
          <w:noProof/>
          <w:szCs w:val="22"/>
          <w:lang w:eastAsia="en-AU"/>
        </w:rPr>
      </w:pPr>
      <w:hyperlink w:anchor="_Toc89692965" w:history="1">
        <w:r w:rsidRPr="00C8387F">
          <w:rPr>
            <w:rStyle w:val="Hyperlink"/>
            <w:noProof/>
          </w:rPr>
          <w:t>3.2</w:t>
        </w:r>
        <w:r>
          <w:rPr>
            <w:rFonts w:asciiTheme="minorHAnsi" w:hAnsiTheme="minorHAnsi"/>
            <w:noProof/>
            <w:szCs w:val="22"/>
            <w:lang w:eastAsia="en-AU"/>
          </w:rPr>
          <w:tab/>
        </w:r>
        <w:r w:rsidRPr="00C8387F">
          <w:rPr>
            <w:rStyle w:val="Hyperlink"/>
            <w:noProof/>
          </w:rPr>
          <w:t>Participants seeking SDA dwellings or alternatives</w:t>
        </w:r>
        <w:r>
          <w:rPr>
            <w:noProof/>
            <w:webHidden/>
          </w:rPr>
          <w:tab/>
        </w:r>
        <w:r>
          <w:rPr>
            <w:noProof/>
            <w:webHidden/>
          </w:rPr>
          <w:fldChar w:fldCharType="begin"/>
        </w:r>
        <w:r>
          <w:rPr>
            <w:noProof/>
            <w:webHidden/>
          </w:rPr>
          <w:instrText xml:space="preserve"> PAGEREF _Toc89692965 \h </w:instrText>
        </w:r>
        <w:r>
          <w:rPr>
            <w:noProof/>
            <w:webHidden/>
          </w:rPr>
        </w:r>
        <w:r>
          <w:rPr>
            <w:noProof/>
            <w:webHidden/>
          </w:rPr>
          <w:fldChar w:fldCharType="separate"/>
        </w:r>
        <w:r w:rsidR="0018669C">
          <w:rPr>
            <w:noProof/>
            <w:webHidden/>
          </w:rPr>
          <w:t>18</w:t>
        </w:r>
        <w:r>
          <w:rPr>
            <w:noProof/>
            <w:webHidden/>
          </w:rPr>
          <w:fldChar w:fldCharType="end"/>
        </w:r>
      </w:hyperlink>
    </w:p>
    <w:p w14:paraId="7EB4E31A" w14:textId="57A22148" w:rsidR="00D402F6" w:rsidRDefault="00D402F6">
      <w:pPr>
        <w:pStyle w:val="TOC3"/>
        <w:rPr>
          <w:rFonts w:asciiTheme="minorHAnsi" w:hAnsiTheme="minorHAnsi"/>
          <w:noProof/>
          <w:szCs w:val="22"/>
          <w:lang w:eastAsia="en-AU"/>
        </w:rPr>
      </w:pPr>
      <w:hyperlink w:anchor="_Toc89692966" w:history="1">
        <w:r w:rsidRPr="00C8387F">
          <w:rPr>
            <w:rStyle w:val="Hyperlink"/>
            <w:noProof/>
          </w:rPr>
          <w:t>3.3</w:t>
        </w:r>
        <w:r>
          <w:rPr>
            <w:rFonts w:asciiTheme="minorHAnsi" w:hAnsiTheme="minorHAnsi"/>
            <w:noProof/>
            <w:szCs w:val="22"/>
            <w:lang w:eastAsia="en-AU"/>
          </w:rPr>
          <w:tab/>
        </w:r>
        <w:r w:rsidRPr="00C8387F">
          <w:rPr>
            <w:rStyle w:val="Hyperlink"/>
            <w:noProof/>
          </w:rPr>
          <w:t>Participant demographics</w:t>
        </w:r>
        <w:r>
          <w:rPr>
            <w:noProof/>
            <w:webHidden/>
          </w:rPr>
          <w:tab/>
        </w:r>
        <w:r>
          <w:rPr>
            <w:noProof/>
            <w:webHidden/>
          </w:rPr>
          <w:fldChar w:fldCharType="begin"/>
        </w:r>
        <w:r>
          <w:rPr>
            <w:noProof/>
            <w:webHidden/>
          </w:rPr>
          <w:instrText xml:space="preserve"> PAGEREF _Toc89692966 \h </w:instrText>
        </w:r>
        <w:r>
          <w:rPr>
            <w:noProof/>
            <w:webHidden/>
          </w:rPr>
        </w:r>
        <w:r>
          <w:rPr>
            <w:noProof/>
            <w:webHidden/>
          </w:rPr>
          <w:fldChar w:fldCharType="separate"/>
        </w:r>
        <w:r w:rsidR="0018669C">
          <w:rPr>
            <w:noProof/>
            <w:webHidden/>
          </w:rPr>
          <w:t>20</w:t>
        </w:r>
        <w:r>
          <w:rPr>
            <w:noProof/>
            <w:webHidden/>
          </w:rPr>
          <w:fldChar w:fldCharType="end"/>
        </w:r>
      </w:hyperlink>
    </w:p>
    <w:p w14:paraId="7C796496" w14:textId="1503040B" w:rsidR="00D402F6" w:rsidRDefault="00D402F6">
      <w:pPr>
        <w:pStyle w:val="TOC4"/>
        <w:rPr>
          <w:rFonts w:asciiTheme="minorHAnsi" w:hAnsiTheme="minorHAnsi"/>
          <w:szCs w:val="22"/>
          <w:lang w:eastAsia="en-AU"/>
        </w:rPr>
      </w:pPr>
      <w:hyperlink w:anchor="_Toc89692967" w:history="1">
        <w:r w:rsidRPr="00C8387F">
          <w:rPr>
            <w:rStyle w:val="Hyperlink"/>
          </w:rPr>
          <w:t>3.3.1</w:t>
        </w:r>
        <w:r>
          <w:rPr>
            <w:rFonts w:asciiTheme="minorHAnsi" w:hAnsiTheme="minorHAnsi"/>
            <w:szCs w:val="22"/>
            <w:lang w:eastAsia="en-AU"/>
          </w:rPr>
          <w:tab/>
        </w:r>
        <w:r w:rsidRPr="00C8387F">
          <w:rPr>
            <w:rStyle w:val="Hyperlink"/>
          </w:rPr>
          <w:t>Age</w:t>
        </w:r>
        <w:r>
          <w:rPr>
            <w:webHidden/>
          </w:rPr>
          <w:tab/>
        </w:r>
        <w:r>
          <w:rPr>
            <w:webHidden/>
          </w:rPr>
          <w:fldChar w:fldCharType="begin"/>
        </w:r>
        <w:r>
          <w:rPr>
            <w:webHidden/>
          </w:rPr>
          <w:instrText xml:space="preserve"> PAGEREF _Toc89692967 \h </w:instrText>
        </w:r>
        <w:r>
          <w:rPr>
            <w:webHidden/>
          </w:rPr>
        </w:r>
        <w:r>
          <w:rPr>
            <w:webHidden/>
          </w:rPr>
          <w:fldChar w:fldCharType="separate"/>
        </w:r>
        <w:r w:rsidR="0018669C">
          <w:rPr>
            <w:webHidden/>
          </w:rPr>
          <w:t>20</w:t>
        </w:r>
        <w:r>
          <w:rPr>
            <w:webHidden/>
          </w:rPr>
          <w:fldChar w:fldCharType="end"/>
        </w:r>
      </w:hyperlink>
    </w:p>
    <w:p w14:paraId="5814D057" w14:textId="486A0646" w:rsidR="00D402F6" w:rsidRDefault="00D402F6">
      <w:pPr>
        <w:pStyle w:val="TOC4"/>
        <w:rPr>
          <w:rFonts w:asciiTheme="minorHAnsi" w:hAnsiTheme="minorHAnsi"/>
          <w:szCs w:val="22"/>
          <w:lang w:eastAsia="en-AU"/>
        </w:rPr>
      </w:pPr>
      <w:hyperlink w:anchor="_Toc89692968" w:history="1">
        <w:r w:rsidRPr="00C8387F">
          <w:rPr>
            <w:rStyle w:val="Hyperlink"/>
          </w:rPr>
          <w:t>3.3.2</w:t>
        </w:r>
        <w:r>
          <w:rPr>
            <w:rFonts w:asciiTheme="minorHAnsi" w:hAnsiTheme="minorHAnsi"/>
            <w:szCs w:val="22"/>
            <w:lang w:eastAsia="en-AU"/>
          </w:rPr>
          <w:tab/>
        </w:r>
        <w:r w:rsidRPr="00C8387F">
          <w:rPr>
            <w:rStyle w:val="Hyperlink"/>
          </w:rPr>
          <w:t>Primary disability type</w:t>
        </w:r>
        <w:r>
          <w:rPr>
            <w:webHidden/>
          </w:rPr>
          <w:tab/>
        </w:r>
        <w:r>
          <w:rPr>
            <w:webHidden/>
          </w:rPr>
          <w:fldChar w:fldCharType="begin"/>
        </w:r>
        <w:r>
          <w:rPr>
            <w:webHidden/>
          </w:rPr>
          <w:instrText xml:space="preserve"> PAGEREF _Toc89692968 \h </w:instrText>
        </w:r>
        <w:r>
          <w:rPr>
            <w:webHidden/>
          </w:rPr>
        </w:r>
        <w:r>
          <w:rPr>
            <w:webHidden/>
          </w:rPr>
          <w:fldChar w:fldCharType="separate"/>
        </w:r>
        <w:r w:rsidR="0018669C">
          <w:rPr>
            <w:webHidden/>
          </w:rPr>
          <w:t>20</w:t>
        </w:r>
        <w:r>
          <w:rPr>
            <w:webHidden/>
          </w:rPr>
          <w:fldChar w:fldCharType="end"/>
        </w:r>
      </w:hyperlink>
    </w:p>
    <w:p w14:paraId="31899191" w14:textId="0744E16E" w:rsidR="00D402F6" w:rsidRDefault="00D402F6">
      <w:pPr>
        <w:pStyle w:val="TOC4"/>
        <w:rPr>
          <w:rFonts w:asciiTheme="minorHAnsi" w:hAnsiTheme="minorHAnsi"/>
          <w:szCs w:val="22"/>
          <w:lang w:eastAsia="en-AU"/>
        </w:rPr>
      </w:pPr>
      <w:hyperlink w:anchor="_Toc89692969" w:history="1">
        <w:r w:rsidRPr="00C8387F">
          <w:rPr>
            <w:rStyle w:val="Hyperlink"/>
          </w:rPr>
          <w:t>3.3.3</w:t>
        </w:r>
        <w:r>
          <w:rPr>
            <w:rFonts w:asciiTheme="minorHAnsi" w:hAnsiTheme="minorHAnsi"/>
            <w:szCs w:val="22"/>
            <w:lang w:eastAsia="en-AU"/>
          </w:rPr>
          <w:tab/>
        </w:r>
        <w:r w:rsidRPr="00C8387F">
          <w:rPr>
            <w:rStyle w:val="Hyperlink"/>
          </w:rPr>
          <w:t>Other characteristics</w:t>
        </w:r>
        <w:r>
          <w:rPr>
            <w:webHidden/>
          </w:rPr>
          <w:tab/>
        </w:r>
        <w:r>
          <w:rPr>
            <w:webHidden/>
          </w:rPr>
          <w:fldChar w:fldCharType="begin"/>
        </w:r>
        <w:r>
          <w:rPr>
            <w:webHidden/>
          </w:rPr>
          <w:instrText xml:space="preserve"> PAGEREF _Toc89692969 \h </w:instrText>
        </w:r>
        <w:r>
          <w:rPr>
            <w:webHidden/>
          </w:rPr>
        </w:r>
        <w:r>
          <w:rPr>
            <w:webHidden/>
          </w:rPr>
          <w:fldChar w:fldCharType="separate"/>
        </w:r>
        <w:r w:rsidR="0018669C">
          <w:rPr>
            <w:webHidden/>
          </w:rPr>
          <w:t>21</w:t>
        </w:r>
        <w:r>
          <w:rPr>
            <w:webHidden/>
          </w:rPr>
          <w:fldChar w:fldCharType="end"/>
        </w:r>
      </w:hyperlink>
    </w:p>
    <w:p w14:paraId="7A247921" w14:textId="51FF251B" w:rsidR="004D32B5" w:rsidRPr="00DF2F62" w:rsidRDefault="0040062A" w:rsidP="00ED4FDD">
      <w:r w:rsidRPr="00DF2F62">
        <w:fldChar w:fldCharType="end"/>
      </w:r>
      <w:r w:rsidR="004D32B5" w:rsidRPr="00DF2F62">
        <w:br w:type="page"/>
      </w:r>
    </w:p>
    <w:p w14:paraId="6447EB76" w14:textId="77777777" w:rsidR="004D32B5" w:rsidRPr="00DF2F62" w:rsidRDefault="00733FC6" w:rsidP="00A21351">
      <w:pPr>
        <w:pStyle w:val="Heading2"/>
      </w:pPr>
      <w:bookmarkStart w:id="49" w:name="_Toc79581636"/>
      <w:bookmarkStart w:id="50" w:name="_Toc79684603"/>
      <w:bookmarkStart w:id="51" w:name="_Toc87887947"/>
      <w:bookmarkStart w:id="52" w:name="_Toc89692952"/>
      <w:r w:rsidRPr="00DF2F62">
        <w:lastRenderedPageBreak/>
        <w:t>Introduction to data released by the NDIA</w:t>
      </w:r>
      <w:bookmarkEnd w:id="49"/>
      <w:bookmarkEnd w:id="50"/>
      <w:bookmarkEnd w:id="51"/>
      <w:bookmarkEnd w:id="52"/>
    </w:p>
    <w:p w14:paraId="3620ED1A" w14:textId="77777777" w:rsidR="004C03CC" w:rsidRPr="000B2166" w:rsidRDefault="004C03CC" w:rsidP="004C03CC">
      <w:r w:rsidRPr="000B2166">
        <w:t>The National Disability Insurance Agency (NDIA</w:t>
      </w:r>
      <w:r w:rsidR="00E21978">
        <w:t>) is committed to providing the s</w:t>
      </w:r>
      <w:r w:rsidRPr="000B2166">
        <w:t xml:space="preserve">pecialist </w:t>
      </w:r>
      <w:r w:rsidR="00645399">
        <w:t>d</w:t>
      </w:r>
      <w:r w:rsidRPr="000B2166">
        <w:t xml:space="preserve">isability </w:t>
      </w:r>
      <w:r w:rsidR="00645399">
        <w:t>a</w:t>
      </w:r>
      <w:r w:rsidRPr="000B2166">
        <w:t xml:space="preserve">ccommodation (SDA) market with information needed to foster continued growth for a thriving market that delivers quality, innovative SDA for </w:t>
      </w:r>
      <w:r w:rsidR="00E21978">
        <w:t xml:space="preserve">National Disability Insurance Scheme (NDIS) </w:t>
      </w:r>
      <w:r w:rsidRPr="000B2166">
        <w:t>participants and important national infrastructure.</w:t>
      </w:r>
    </w:p>
    <w:p w14:paraId="2834D31E" w14:textId="4C92475E" w:rsidR="004C03CC" w:rsidRPr="00A6753D" w:rsidRDefault="004C03CC" w:rsidP="004C03CC">
      <w:r w:rsidRPr="000B2166" w:rsidDel="00E77F7B">
        <w:t xml:space="preserve">This report </w:t>
      </w:r>
      <w:r w:rsidRPr="000B2166">
        <w:t xml:space="preserve">is based on </w:t>
      </w:r>
      <w:r w:rsidRPr="000B2166" w:rsidDel="00E77F7B">
        <w:t xml:space="preserve">data that is released regularly through the </w:t>
      </w:r>
      <w:hyperlink r:id="rId9" w:history="1">
        <w:r w:rsidRPr="000B2166" w:rsidDel="00E77F7B">
          <w:rPr>
            <w:rStyle w:val="Hyperlink"/>
          </w:rPr>
          <w:t>NDIA’s Quarterly Reports</w:t>
        </w:r>
      </w:hyperlink>
      <w:r w:rsidRPr="000B2166" w:rsidDel="00E77F7B">
        <w:t xml:space="preserve"> and data on the </w:t>
      </w:r>
      <w:hyperlink r:id="rId10" w:history="1">
        <w:r w:rsidRPr="000B2166" w:rsidDel="00E77F7B">
          <w:rPr>
            <w:rStyle w:val="Hyperlink"/>
          </w:rPr>
          <w:t>NDIS data and insights webpage</w:t>
        </w:r>
      </w:hyperlink>
      <w:r w:rsidRPr="000B2166" w:rsidDel="00E77F7B">
        <w:t xml:space="preserve">. </w:t>
      </w:r>
      <w:r w:rsidRPr="000B2166">
        <w:t xml:space="preserve">These are the SDA data tables for ‘Appendix P’ published in the </w:t>
      </w:r>
      <w:r w:rsidR="00E43CDF">
        <w:t>q</w:t>
      </w:r>
      <w:r w:rsidRPr="000B2166">
        <w:t xml:space="preserve">uarterly reports to the </w:t>
      </w:r>
      <w:r w:rsidR="00E43CDF">
        <w:t>D</w:t>
      </w:r>
      <w:r w:rsidRPr="000B2166">
        <w:t xml:space="preserve">isability </w:t>
      </w:r>
      <w:r w:rsidR="00E43CDF">
        <w:t>M</w:t>
      </w:r>
      <w:r w:rsidRPr="000B2166">
        <w:t>inisters</w:t>
      </w:r>
      <w:r w:rsidR="00E43CDF">
        <w:t>,</w:t>
      </w:r>
      <w:r w:rsidRPr="000B2166">
        <w:t xml:space="preserve"> additional </w:t>
      </w:r>
      <w:r w:rsidRPr="00A6753D">
        <w:t>datasets for SDA enrolled dwellings</w:t>
      </w:r>
      <w:r w:rsidR="00E43CDF">
        <w:t>,</w:t>
      </w:r>
      <w:r w:rsidRPr="00A6753D">
        <w:t xml:space="preserve"> and NDIS demand data published for that quarter.</w:t>
      </w:r>
    </w:p>
    <w:p w14:paraId="0D93E31E" w14:textId="084D3E03" w:rsidR="00660733" w:rsidRPr="000B2166" w:rsidRDefault="00660733" w:rsidP="004C03CC">
      <w:r w:rsidRPr="00EA7280">
        <w:t xml:space="preserve">The NDIA recently released </w:t>
      </w:r>
      <w:r w:rsidR="00E43CDF">
        <w:t>the</w:t>
      </w:r>
      <w:r w:rsidRPr="00EA7280">
        <w:t xml:space="preserve"> </w:t>
      </w:r>
      <w:hyperlink r:id="rId11" w:history="1">
        <w:r w:rsidRPr="00B61BC2">
          <w:rPr>
            <w:rStyle w:val="Hyperlink"/>
          </w:rPr>
          <w:t xml:space="preserve">SDA </w:t>
        </w:r>
        <w:r w:rsidR="00E43CDF" w:rsidRPr="00B61BC2">
          <w:rPr>
            <w:rStyle w:val="Hyperlink"/>
          </w:rPr>
          <w:t>Finder</w:t>
        </w:r>
      </w:hyperlink>
      <w:r w:rsidRPr="00EA7280">
        <w:t xml:space="preserve"> to help participants search for accommodation vacancies that match their needs</w:t>
      </w:r>
      <w:r w:rsidR="00E43CDF">
        <w:t>. The SDA Finder</w:t>
      </w:r>
      <w:r w:rsidRPr="00EA7280">
        <w:t xml:space="preserve"> refin</w:t>
      </w:r>
      <w:r w:rsidR="00E43CDF">
        <w:t>es</w:t>
      </w:r>
      <w:r w:rsidRPr="00EA7280">
        <w:t xml:space="preserve"> search results by building type, SDA design category,</w:t>
      </w:r>
      <w:r w:rsidR="0056569C" w:rsidRPr="00EA7280">
        <w:t xml:space="preserve"> number</w:t>
      </w:r>
      <w:r w:rsidRPr="00EA7280">
        <w:t xml:space="preserve"> of residents, price </w:t>
      </w:r>
      <w:r w:rsidR="00E43CDF">
        <w:t>per participant</w:t>
      </w:r>
      <w:r w:rsidRPr="00EA7280">
        <w:t xml:space="preserve"> and more. For further information on the SDA finder, refer to the </w:t>
      </w:r>
      <w:hyperlink r:id="rId12" w:history="1">
        <w:r w:rsidRPr="00EA7280">
          <w:rPr>
            <w:rStyle w:val="Hyperlink"/>
          </w:rPr>
          <w:t>NDIS website</w:t>
        </w:r>
      </w:hyperlink>
      <w:r w:rsidRPr="00EA7280">
        <w:t>.</w:t>
      </w:r>
    </w:p>
    <w:p w14:paraId="7D7CB8BB" w14:textId="77777777" w:rsidR="004C03CC" w:rsidRDefault="004C03CC" w:rsidP="004C03CC">
      <w:r w:rsidRPr="000B2166">
        <w:t>The NDIA appreciates the response and feedback from the sector on the first SDA quarterly report. This report builds on the first report</w:t>
      </w:r>
      <w:r w:rsidR="004E01D2">
        <w:t>, incorporating</w:t>
      </w:r>
      <w:r w:rsidRPr="000B2166">
        <w:t xml:space="preserve"> feedback </w:t>
      </w:r>
      <w:r w:rsidR="004C39DC">
        <w:t>requesting the inclusion of</w:t>
      </w:r>
      <w:r w:rsidRPr="000B2166">
        <w:t xml:space="preserve"> unfinished/unenrolled</w:t>
      </w:r>
      <w:r w:rsidR="00651E78">
        <w:t xml:space="preserve"> </w:t>
      </w:r>
      <w:r w:rsidRPr="000B2166">
        <w:t xml:space="preserve">dwellings and </w:t>
      </w:r>
      <w:r w:rsidR="004E01D2">
        <w:t xml:space="preserve">including </w:t>
      </w:r>
      <w:r w:rsidRPr="000B2166">
        <w:t xml:space="preserve">further information on </w:t>
      </w:r>
      <w:r w:rsidR="00A33162">
        <w:t>demand</w:t>
      </w:r>
      <w:r w:rsidRPr="000B2166">
        <w:t xml:space="preserve">. </w:t>
      </w:r>
      <w:r w:rsidR="001A3882" w:rsidRPr="000B2166">
        <w:t xml:space="preserve">The NDIA will continue to develop and release information to the market on key features of expected SDA supply and demand in response to feedback </w:t>
      </w:r>
      <w:r w:rsidR="001A3882">
        <w:t>on</w:t>
      </w:r>
      <w:r w:rsidR="001A3882" w:rsidRPr="000B2166">
        <w:t xml:space="preserve"> ways in which these can be further enhanced for the benefit of participants and providers.</w:t>
      </w:r>
    </w:p>
    <w:p w14:paraId="34C7DF09" w14:textId="7F180CC0" w:rsidR="009D0498" w:rsidRDefault="009D0498" w:rsidP="004C03CC">
      <w:r w:rsidRPr="009D0498">
        <w:t xml:space="preserve">The impacts of coronavirus (COVID-19) </w:t>
      </w:r>
      <w:r w:rsidR="00367CD7">
        <w:t>have</w:t>
      </w:r>
      <w:r w:rsidR="00367CD7" w:rsidRPr="009D0498">
        <w:t xml:space="preserve"> </w:t>
      </w:r>
      <w:r w:rsidRPr="009D0498">
        <w:t>broadly affected th</w:t>
      </w:r>
      <w:r w:rsidR="00826701">
        <w:t>e Australian residential market</w:t>
      </w:r>
      <w:r w:rsidRPr="009D0498">
        <w:t xml:space="preserve"> </w:t>
      </w:r>
      <w:r w:rsidR="009F2FE1">
        <w:t>a</w:t>
      </w:r>
      <w:r w:rsidR="00826701">
        <w:t>nd is likely to have an impact o</w:t>
      </w:r>
      <w:r w:rsidR="009F2FE1">
        <w:t xml:space="preserve">n </w:t>
      </w:r>
      <w:r w:rsidR="007D55C5">
        <w:t xml:space="preserve">the </w:t>
      </w:r>
      <w:r w:rsidR="009F2FE1">
        <w:t>future o</w:t>
      </w:r>
      <w:r w:rsidR="00826701">
        <w:t>f</w:t>
      </w:r>
      <w:r w:rsidR="009F2FE1" w:rsidRPr="009D0498">
        <w:t xml:space="preserve"> </w:t>
      </w:r>
      <w:r w:rsidRPr="009D0498">
        <w:t xml:space="preserve">the SDA marketplace. </w:t>
      </w:r>
      <w:r w:rsidR="009F2FE1">
        <w:t xml:space="preserve">The NDIA is closely monitoring the implications of potential long term structural changes and will look to address these </w:t>
      </w:r>
      <w:r w:rsidR="007D55C5">
        <w:t>as</w:t>
      </w:r>
      <w:r w:rsidR="002A6E62">
        <w:t xml:space="preserve"> required</w:t>
      </w:r>
      <w:r w:rsidR="00DD55FB">
        <w:t>, and in the next SDA Pricing Review due in 2023</w:t>
      </w:r>
      <w:r w:rsidR="00CB021A">
        <w:t>.</w:t>
      </w:r>
    </w:p>
    <w:p w14:paraId="72C434E8" w14:textId="16509E68" w:rsidR="004C03CC" w:rsidRPr="000B2166" w:rsidRDefault="004C03CC" w:rsidP="004C03CC">
      <w:r w:rsidRPr="000B2166">
        <w:t xml:space="preserve">As this quarterly report intends to be a high level overview, more in-depth geographical information can be found on the SDA data release found on </w:t>
      </w:r>
      <w:r w:rsidRPr="000B2166" w:rsidDel="00E77F7B">
        <w:t xml:space="preserve">the </w:t>
      </w:r>
      <w:hyperlink r:id="rId13" w:history="1">
        <w:r w:rsidRPr="000B2166" w:rsidDel="00E77F7B">
          <w:rPr>
            <w:rStyle w:val="Hyperlink"/>
          </w:rPr>
          <w:t>NDIS data and insights webpage</w:t>
        </w:r>
      </w:hyperlink>
      <w:r w:rsidRPr="000B2166" w:rsidDel="00E77F7B">
        <w:t>.</w:t>
      </w:r>
      <w:r w:rsidRPr="000B2166">
        <w:t xml:space="preserve"> The NDIA intends to release further information as it becomes available</w:t>
      </w:r>
      <w:r w:rsidR="004E01D2">
        <w:t>.</w:t>
      </w:r>
    </w:p>
    <w:p w14:paraId="6C2EA3E9" w14:textId="77777777" w:rsidR="004C03CC" w:rsidRPr="00066B46" w:rsidRDefault="004C03CC" w:rsidP="004C03CC">
      <w:pPr>
        <w:pStyle w:val="Heading3"/>
        <w:shd w:val="clear" w:color="auto" w:fill="FFFFFF"/>
        <w:spacing w:after="100" w:afterAutospacing="1"/>
      </w:pPr>
      <w:bookmarkStart w:id="53" w:name="_Toc79581637"/>
      <w:bookmarkStart w:id="54" w:name="_Toc79684604"/>
      <w:bookmarkStart w:id="55" w:name="_Toc86928222"/>
      <w:bookmarkStart w:id="56" w:name="_Toc86928255"/>
      <w:bookmarkStart w:id="57" w:name="_Toc87887948"/>
      <w:bookmarkStart w:id="58" w:name="_Toc89692953"/>
      <w:r w:rsidRPr="00066B46">
        <w:t>How to use this report</w:t>
      </w:r>
      <w:bookmarkEnd w:id="53"/>
      <w:bookmarkEnd w:id="54"/>
      <w:bookmarkEnd w:id="55"/>
      <w:bookmarkEnd w:id="56"/>
      <w:bookmarkEnd w:id="57"/>
      <w:bookmarkEnd w:id="58"/>
    </w:p>
    <w:p w14:paraId="545316C2" w14:textId="15C5EA64" w:rsidR="004C03CC" w:rsidRPr="000B2166" w:rsidDel="00E77F7B" w:rsidRDefault="004C03CC" w:rsidP="004C03CC">
      <w:r w:rsidRPr="000B2166" w:rsidDel="00E77F7B">
        <w:t xml:space="preserve">This report supplements the data that is released regularly through the </w:t>
      </w:r>
      <w:hyperlink r:id="rId14" w:history="1">
        <w:r w:rsidRPr="000B2166" w:rsidDel="00E77F7B">
          <w:rPr>
            <w:rStyle w:val="Hyperlink"/>
          </w:rPr>
          <w:t>NDIA’s Quarterly Reports</w:t>
        </w:r>
      </w:hyperlink>
      <w:r w:rsidRPr="000B2166" w:rsidDel="00E77F7B">
        <w:t xml:space="preserve"> and data on the </w:t>
      </w:r>
      <w:hyperlink r:id="rId15" w:history="1">
        <w:r w:rsidRPr="000B2166" w:rsidDel="00E77F7B">
          <w:rPr>
            <w:rStyle w:val="Hyperlink"/>
          </w:rPr>
          <w:t>NDIS data and insights webpage</w:t>
        </w:r>
      </w:hyperlink>
      <w:r w:rsidRPr="000B2166" w:rsidDel="00E77F7B">
        <w:t xml:space="preserve">. </w:t>
      </w:r>
    </w:p>
    <w:p w14:paraId="129CE6B9" w14:textId="5B808756" w:rsidR="00474045" w:rsidRDefault="004C03CC" w:rsidP="00637D0A">
      <w:r w:rsidRPr="000B2166">
        <w:t xml:space="preserve">Participants, providers and other stakeholders can use this report as a starting point for engaging further with the very detailed SDA data that is contained in the </w:t>
      </w:r>
      <w:hyperlink r:id="rId16" w:history="1">
        <w:r w:rsidRPr="000B2166">
          <w:rPr>
            <w:rStyle w:val="Hyperlink"/>
          </w:rPr>
          <w:t>NDIS Quarterly Reports</w:t>
        </w:r>
      </w:hyperlink>
      <w:r w:rsidR="001A3882">
        <w:t xml:space="preserve"> </w:t>
      </w:r>
      <w:r w:rsidR="004C39DC">
        <w:t>and</w:t>
      </w:r>
      <w:r w:rsidRPr="000B2166">
        <w:t xml:space="preserve"> on the </w:t>
      </w:r>
      <w:hyperlink r:id="rId17" w:history="1">
        <w:r w:rsidRPr="000B2166">
          <w:rPr>
            <w:rStyle w:val="Hyperlink"/>
          </w:rPr>
          <w:t>NDIS data and insights webpage</w:t>
        </w:r>
      </w:hyperlink>
      <w:r w:rsidRPr="000B2166">
        <w:t xml:space="preserve">. </w:t>
      </w:r>
    </w:p>
    <w:p w14:paraId="50E203A6" w14:textId="15B8272B" w:rsidR="00D402F6" w:rsidRDefault="00D402F6">
      <w:pPr>
        <w:spacing w:line="276" w:lineRule="auto"/>
      </w:pPr>
      <w:r>
        <w:br w:type="page"/>
      </w:r>
    </w:p>
    <w:p w14:paraId="284BFD4F" w14:textId="77777777" w:rsidR="004C03CC" w:rsidRPr="007805D1" w:rsidRDefault="004C03CC" w:rsidP="004C03CC">
      <w:pPr>
        <w:pStyle w:val="Heading3"/>
        <w:shd w:val="clear" w:color="auto" w:fill="FFFFFF"/>
        <w:spacing w:after="100" w:afterAutospacing="1"/>
      </w:pPr>
      <w:bookmarkStart w:id="59" w:name="_Toc88657413"/>
      <w:bookmarkStart w:id="60" w:name="_Toc79581638"/>
      <w:bookmarkStart w:id="61" w:name="_Toc79684605"/>
      <w:bookmarkStart w:id="62" w:name="_Toc86928223"/>
      <w:bookmarkStart w:id="63" w:name="_Toc86928256"/>
      <w:bookmarkStart w:id="64" w:name="_Toc87887949"/>
      <w:bookmarkStart w:id="65" w:name="_Toc89692954"/>
      <w:bookmarkEnd w:id="59"/>
      <w:r w:rsidRPr="007805D1">
        <w:lastRenderedPageBreak/>
        <w:t>Commonly used terms</w:t>
      </w:r>
      <w:bookmarkEnd w:id="60"/>
      <w:bookmarkEnd w:id="61"/>
      <w:bookmarkEnd w:id="62"/>
      <w:bookmarkEnd w:id="63"/>
      <w:bookmarkEnd w:id="64"/>
      <w:bookmarkEnd w:id="65"/>
      <w:r w:rsidRPr="007805D1">
        <w:t xml:space="preserve"> </w:t>
      </w:r>
    </w:p>
    <w:p w14:paraId="064178B9" w14:textId="77777777" w:rsidR="004C03CC" w:rsidRPr="000B2166" w:rsidRDefault="004C03CC" w:rsidP="004C03CC">
      <w:pPr>
        <w:rPr>
          <w:szCs w:val="22"/>
        </w:rPr>
      </w:pPr>
      <w:r w:rsidRPr="000B2166">
        <w:rPr>
          <w:b/>
          <w:szCs w:val="22"/>
        </w:rPr>
        <w:t>Culturally and Linguistically Diverse (CALD):</w:t>
      </w:r>
      <w:r w:rsidRPr="000B2166">
        <w:rPr>
          <w:szCs w:val="22"/>
        </w:rPr>
        <w:t xml:space="preserve"> </w:t>
      </w:r>
      <w:r w:rsidR="004C39DC">
        <w:rPr>
          <w:szCs w:val="22"/>
        </w:rPr>
        <w:t>People whos</w:t>
      </w:r>
      <w:r w:rsidR="00B61BC2">
        <w:rPr>
          <w:szCs w:val="22"/>
        </w:rPr>
        <w:t>e</w:t>
      </w:r>
      <w:r w:rsidR="004C39DC">
        <w:rPr>
          <w:szCs w:val="22"/>
        </w:rPr>
        <w:t xml:space="preserve"> c</w:t>
      </w:r>
      <w:r w:rsidRPr="000B2166">
        <w:rPr>
          <w:szCs w:val="22"/>
        </w:rPr>
        <w:t xml:space="preserve">ountry of birth is not Australia, New Zealand, the United Kingdom, Ireland, the United States of America, Canada or South Africa, or </w:t>
      </w:r>
      <w:r w:rsidR="004C39DC">
        <w:rPr>
          <w:szCs w:val="22"/>
        </w:rPr>
        <w:t xml:space="preserve">the </w:t>
      </w:r>
      <w:r w:rsidRPr="000B2166">
        <w:rPr>
          <w:szCs w:val="22"/>
        </w:rPr>
        <w:t>primary language spoken at home is not English.</w:t>
      </w:r>
    </w:p>
    <w:p w14:paraId="18C10D74" w14:textId="77777777" w:rsidR="004C03CC" w:rsidRPr="000B2166" w:rsidRDefault="004C03CC" w:rsidP="004C03CC">
      <w:pPr>
        <w:rPr>
          <w:szCs w:val="22"/>
        </w:rPr>
      </w:pPr>
      <w:r w:rsidRPr="000B2166">
        <w:rPr>
          <w:b/>
          <w:szCs w:val="22"/>
        </w:rPr>
        <w:t>In-kind:</w:t>
      </w:r>
      <w:r w:rsidRPr="000B2166">
        <w:rPr>
          <w:szCs w:val="22"/>
        </w:rPr>
        <w:t xml:space="preserve"> Existing Commonwealth or state/territory government programs delivered under existing </w:t>
      </w:r>
      <w:r w:rsidR="001606BC" w:rsidRPr="000B2166">
        <w:rPr>
          <w:szCs w:val="22"/>
        </w:rPr>
        <w:t>block funding</w:t>
      </w:r>
      <w:r w:rsidRPr="000B2166">
        <w:rPr>
          <w:szCs w:val="22"/>
        </w:rPr>
        <w:t xml:space="preserve"> arrangements.</w:t>
      </w:r>
    </w:p>
    <w:p w14:paraId="412DD01D" w14:textId="77777777" w:rsidR="00826958" w:rsidRPr="008E1C0A" w:rsidRDefault="004C03CC" w:rsidP="008E1C0A">
      <w:pPr>
        <w:rPr>
          <w:szCs w:val="22"/>
        </w:rPr>
      </w:pPr>
      <w:r w:rsidRPr="004B4DDF">
        <w:rPr>
          <w:b/>
          <w:szCs w:val="22"/>
        </w:rPr>
        <w:t>Specialist disability accommodation</w:t>
      </w:r>
      <w:r w:rsidR="00826958" w:rsidRPr="000540DD">
        <w:rPr>
          <w:b/>
          <w:szCs w:val="22"/>
        </w:rPr>
        <w:t>:</w:t>
      </w:r>
      <w:r w:rsidRPr="008E1C0A">
        <w:rPr>
          <w:rFonts w:asciiTheme="majorHAnsi" w:hAnsiTheme="majorHAnsi" w:cstheme="majorHAnsi"/>
          <w:szCs w:val="22"/>
        </w:rPr>
        <w:t xml:space="preserve"> </w:t>
      </w:r>
      <w:r w:rsidR="00826958" w:rsidRPr="008E1C0A">
        <w:rPr>
          <w:szCs w:val="22"/>
        </w:rPr>
        <w:t xml:space="preserve">Specialist disability accommodation </w:t>
      </w:r>
      <w:r w:rsidR="004E01D2">
        <w:rPr>
          <w:szCs w:val="22"/>
        </w:rPr>
        <w:t xml:space="preserve">(SDA) </w:t>
      </w:r>
      <w:r w:rsidR="00826958" w:rsidRPr="008E1C0A">
        <w:rPr>
          <w:szCs w:val="22"/>
        </w:rPr>
        <w:t xml:space="preserve">is a range of housing designed for people with extreme functional impairment or very high </w:t>
      </w:r>
      <w:r w:rsidR="004C39DC">
        <w:rPr>
          <w:szCs w:val="22"/>
        </w:rPr>
        <w:t xml:space="preserve">support </w:t>
      </w:r>
      <w:r w:rsidR="00826958" w:rsidRPr="008E1C0A">
        <w:rPr>
          <w:szCs w:val="22"/>
        </w:rPr>
        <w:t>needs.</w:t>
      </w:r>
    </w:p>
    <w:p w14:paraId="1595D27D" w14:textId="77777777" w:rsidR="004C39DC" w:rsidRDefault="004E01D2" w:rsidP="008E1C0A">
      <w:pPr>
        <w:rPr>
          <w:szCs w:val="22"/>
        </w:rPr>
      </w:pPr>
      <w:r>
        <w:rPr>
          <w:szCs w:val="22"/>
        </w:rPr>
        <w:t>SDA</w:t>
      </w:r>
      <w:r w:rsidR="00826958" w:rsidRPr="008E1C0A">
        <w:rPr>
          <w:szCs w:val="22"/>
        </w:rPr>
        <w:t xml:space="preserve"> is designed to be more accessible for participants based on their disability related support needs. It assists participants to live more independently in their home and allows other supports to be delivered better or more safely. For example, participants might need a home with reinforced ceilings so a ceiling hoist can be installed. </w:t>
      </w:r>
    </w:p>
    <w:p w14:paraId="2FB8B2BE" w14:textId="77777777" w:rsidR="00826958" w:rsidRPr="00826958" w:rsidRDefault="004C39DC" w:rsidP="008E1C0A">
      <w:pPr>
        <w:rPr>
          <w:szCs w:val="22"/>
        </w:rPr>
      </w:pPr>
      <w:r>
        <w:rPr>
          <w:szCs w:val="22"/>
        </w:rPr>
        <w:t>SDA</w:t>
      </w:r>
      <w:r w:rsidR="00826958" w:rsidRPr="008E1C0A">
        <w:rPr>
          <w:szCs w:val="22"/>
        </w:rPr>
        <w:t xml:space="preserve"> doesn’t include the services or </w:t>
      </w:r>
      <w:r w:rsidR="00B61BC2">
        <w:rPr>
          <w:szCs w:val="22"/>
        </w:rPr>
        <w:t xml:space="preserve">the </w:t>
      </w:r>
      <w:r>
        <w:rPr>
          <w:szCs w:val="22"/>
        </w:rPr>
        <w:t>funded</w:t>
      </w:r>
      <w:r w:rsidR="00826958" w:rsidRPr="008E1C0A">
        <w:rPr>
          <w:szCs w:val="22"/>
        </w:rPr>
        <w:t xml:space="preserve"> support participants might get in their home that relate to their disability supports needs. For example, personal care </w:t>
      </w:r>
      <w:r w:rsidR="001451B7" w:rsidRPr="008E1C0A">
        <w:rPr>
          <w:szCs w:val="22"/>
        </w:rPr>
        <w:t>supports,</w:t>
      </w:r>
      <w:r w:rsidR="00826958" w:rsidRPr="008E1C0A">
        <w:rPr>
          <w:szCs w:val="22"/>
        </w:rPr>
        <w:t> supported independent living, individualised living options and some assistive technology are other types of home and living support that may be funded.</w:t>
      </w:r>
    </w:p>
    <w:p w14:paraId="5BADF8BD" w14:textId="77777777" w:rsidR="004C03CC" w:rsidRPr="000B2166" w:rsidRDefault="004C03CC" w:rsidP="004C03CC">
      <w:pPr>
        <w:rPr>
          <w:b/>
          <w:i/>
          <w:szCs w:val="22"/>
        </w:rPr>
      </w:pPr>
      <w:r w:rsidRPr="000B2166">
        <w:rPr>
          <w:b/>
          <w:i/>
          <w:szCs w:val="22"/>
        </w:rPr>
        <w:t>SDA types</w:t>
      </w:r>
    </w:p>
    <w:p w14:paraId="3C2C6312" w14:textId="25D7A83C" w:rsidR="004C03CC" w:rsidRPr="000B2166" w:rsidRDefault="004C03CC" w:rsidP="004C03CC">
      <w:pPr>
        <w:rPr>
          <w:b/>
          <w:szCs w:val="22"/>
        </w:rPr>
      </w:pPr>
      <w:r w:rsidRPr="000B2166">
        <w:rPr>
          <w:b/>
          <w:szCs w:val="22"/>
        </w:rPr>
        <w:t xml:space="preserve">Enrolled dwelling: </w:t>
      </w:r>
      <w:r w:rsidR="00EA0B0F">
        <w:rPr>
          <w:szCs w:val="22"/>
        </w:rPr>
        <w:t>M</w:t>
      </w:r>
      <w:r w:rsidRPr="000B2166">
        <w:rPr>
          <w:szCs w:val="22"/>
        </w:rPr>
        <w:t xml:space="preserve">eans a dwelling enrolled under section 26 of the </w:t>
      </w:r>
      <w:r w:rsidRPr="000B2166">
        <w:rPr>
          <w:i/>
          <w:szCs w:val="22"/>
        </w:rPr>
        <w:t>National Disability Insurance Scheme (Specialist Disability Accommodation) Rules 2020</w:t>
      </w:r>
      <w:r w:rsidRPr="000B2166">
        <w:rPr>
          <w:szCs w:val="22"/>
        </w:rPr>
        <w:t xml:space="preserve"> to provide </w:t>
      </w:r>
      <w:r w:rsidR="004E01D2">
        <w:rPr>
          <w:szCs w:val="22"/>
        </w:rPr>
        <w:t>SDA</w:t>
      </w:r>
      <w:r w:rsidRPr="000B2166">
        <w:rPr>
          <w:szCs w:val="22"/>
        </w:rPr>
        <w:t>.</w:t>
      </w:r>
    </w:p>
    <w:p w14:paraId="0DE17F69" w14:textId="77777777" w:rsidR="004C03CC" w:rsidRPr="000B2166" w:rsidRDefault="004C03CC" w:rsidP="004C03CC">
      <w:pPr>
        <w:rPr>
          <w:szCs w:val="22"/>
        </w:rPr>
      </w:pPr>
      <w:r w:rsidRPr="000B2166">
        <w:rPr>
          <w:b/>
          <w:szCs w:val="22"/>
        </w:rPr>
        <w:t>Existing:</w:t>
      </w:r>
      <w:r w:rsidRPr="000B2166">
        <w:rPr>
          <w:szCs w:val="22"/>
        </w:rPr>
        <w:t xml:space="preserve"> Dwellings built before 1 April 2016 that were used as disability related supported accommodation under a previous state, territory or commonwealth scheme. Existing dwellings must substantially comply with the requirements of a new build, and must meet the maximum resident requirement (5 residents or less).</w:t>
      </w:r>
      <w:r w:rsidR="00381C27">
        <w:rPr>
          <w:szCs w:val="22"/>
        </w:rPr>
        <w:t xml:space="preserve"> </w:t>
      </w:r>
    </w:p>
    <w:p w14:paraId="1EE198C4" w14:textId="6CD4CDEC" w:rsidR="004C03CC" w:rsidRPr="000B2166" w:rsidRDefault="004C03CC" w:rsidP="004C03CC">
      <w:pPr>
        <w:rPr>
          <w:szCs w:val="22"/>
        </w:rPr>
      </w:pPr>
      <w:r w:rsidRPr="000B2166">
        <w:rPr>
          <w:b/>
          <w:szCs w:val="22"/>
        </w:rPr>
        <w:t>Legacy:</w:t>
      </w:r>
      <w:r w:rsidRPr="000B2166">
        <w:rPr>
          <w:szCs w:val="22"/>
        </w:rPr>
        <w:t xml:space="preserve"> Existing dwellings that do not meet the maximum resident requirement of 5 residents or less. Over time, the NDIA will stop making SDA payments towards legacy dwellings</w:t>
      </w:r>
      <w:r w:rsidR="00AD2EFE">
        <w:rPr>
          <w:szCs w:val="22"/>
        </w:rPr>
        <w:t xml:space="preserve"> </w:t>
      </w:r>
      <w:r w:rsidR="00E77A6D">
        <w:rPr>
          <w:szCs w:val="22"/>
        </w:rPr>
        <w:t>(</w:t>
      </w:r>
      <w:r w:rsidR="009D0498">
        <w:rPr>
          <w:szCs w:val="22"/>
        </w:rPr>
        <w:t>f</w:t>
      </w:r>
      <w:r w:rsidR="00AD2EFE">
        <w:rPr>
          <w:szCs w:val="22"/>
        </w:rPr>
        <w:t>or more information, refer to section 7</w:t>
      </w:r>
      <w:r w:rsidR="00637D0A">
        <w:rPr>
          <w:szCs w:val="22"/>
        </w:rPr>
        <w:t>1</w:t>
      </w:r>
      <w:r w:rsidR="00AD2EFE">
        <w:rPr>
          <w:szCs w:val="22"/>
        </w:rPr>
        <w:t xml:space="preserve"> in the </w:t>
      </w:r>
      <w:hyperlink r:id="rId18" w:anchor="pricing-arrangements-for-specialist-disability-accommodation" w:history="1">
        <w:r w:rsidR="00637D0A" w:rsidRPr="000B2166">
          <w:rPr>
            <w:rStyle w:val="Hyperlink"/>
            <w:szCs w:val="22"/>
          </w:rPr>
          <w:t>Pricing Arrangements for Specialist Disability Accommodation 2021-22</w:t>
        </w:r>
      </w:hyperlink>
      <w:r w:rsidR="00E77A6D">
        <w:rPr>
          <w:rStyle w:val="Hyperlink"/>
          <w:szCs w:val="22"/>
        </w:rPr>
        <w:t>)</w:t>
      </w:r>
      <w:r w:rsidR="00AC5BF3" w:rsidRPr="00637D0A">
        <w:t>.</w:t>
      </w:r>
    </w:p>
    <w:p w14:paraId="4FAE64D4" w14:textId="2ABC69D6" w:rsidR="004C03CC" w:rsidRPr="000B2166" w:rsidRDefault="004C03CC" w:rsidP="004C03CC">
      <w:pPr>
        <w:rPr>
          <w:szCs w:val="22"/>
        </w:rPr>
      </w:pPr>
      <w:r w:rsidRPr="000B2166">
        <w:rPr>
          <w:b/>
          <w:szCs w:val="22"/>
        </w:rPr>
        <w:t xml:space="preserve">New </w:t>
      </w:r>
      <w:r w:rsidR="008E1176">
        <w:rPr>
          <w:b/>
          <w:szCs w:val="22"/>
        </w:rPr>
        <w:t>b</w:t>
      </w:r>
      <w:r w:rsidRPr="000B2166">
        <w:rPr>
          <w:b/>
          <w:szCs w:val="22"/>
        </w:rPr>
        <w:t>uild:</w:t>
      </w:r>
      <w:r w:rsidRPr="000B2166">
        <w:rPr>
          <w:szCs w:val="22"/>
        </w:rPr>
        <w:t xml:space="preserve"> An SDA dwelling that was built (has a certificate of occupancy dated) after</w:t>
      </w:r>
      <w:r w:rsidR="004E01D2">
        <w:rPr>
          <w:szCs w:val="22"/>
        </w:rPr>
        <w:t xml:space="preserve"> </w:t>
      </w:r>
      <w:r w:rsidR="001A3882">
        <w:rPr>
          <w:szCs w:val="22"/>
        </w:rPr>
        <w:t xml:space="preserve">        </w:t>
      </w:r>
      <w:r w:rsidRPr="000B2166">
        <w:rPr>
          <w:szCs w:val="22"/>
        </w:rPr>
        <w:t xml:space="preserve">1 April 2016 and meets all of the requirements under the </w:t>
      </w:r>
      <w:hyperlink r:id="rId19" w:history="1">
        <w:r w:rsidR="00AC5BF3" w:rsidRPr="00826958">
          <w:rPr>
            <w:rStyle w:val="Hyperlink"/>
            <w:szCs w:val="22"/>
          </w:rPr>
          <w:t>NDIS SDA Rules 2020</w:t>
        </w:r>
      </w:hyperlink>
      <w:r w:rsidRPr="000B2166">
        <w:rPr>
          <w:szCs w:val="22"/>
        </w:rPr>
        <w:t xml:space="preserve"> and the </w:t>
      </w:r>
      <w:hyperlink r:id="rId20" w:anchor="pricing-arrangements-for-specialist-disability-accommodation" w:history="1">
        <w:r w:rsidRPr="000B2166">
          <w:rPr>
            <w:rStyle w:val="Hyperlink"/>
            <w:szCs w:val="22"/>
          </w:rPr>
          <w:t>Pricing Arrangements for Specialist Disability Accommodation 2021-22</w:t>
        </w:r>
      </w:hyperlink>
      <w:r w:rsidRPr="000B2166">
        <w:rPr>
          <w:szCs w:val="22"/>
        </w:rPr>
        <w:t>.</w:t>
      </w:r>
    </w:p>
    <w:p w14:paraId="705EF9BF" w14:textId="43B6FF26" w:rsidR="00CB021A" w:rsidRPr="000B2166" w:rsidRDefault="004C03CC" w:rsidP="004C03CC">
      <w:pPr>
        <w:rPr>
          <w:szCs w:val="22"/>
        </w:rPr>
      </w:pPr>
      <w:r w:rsidRPr="000B2166">
        <w:rPr>
          <w:b/>
          <w:szCs w:val="22"/>
        </w:rPr>
        <w:t xml:space="preserve">New </w:t>
      </w:r>
      <w:r w:rsidR="008E1176">
        <w:rPr>
          <w:b/>
          <w:szCs w:val="22"/>
        </w:rPr>
        <w:t>b</w:t>
      </w:r>
      <w:r w:rsidRPr="000B2166">
        <w:rPr>
          <w:b/>
          <w:szCs w:val="22"/>
        </w:rPr>
        <w:t>uild (refurbished):</w:t>
      </w:r>
      <w:r w:rsidRPr="000B2166">
        <w:rPr>
          <w:szCs w:val="22"/>
        </w:rPr>
        <w:t xml:space="preserve"> A dwelling that was built before 1 April 2016 but has been significantly refurbished since and now meets all of the requirements for a new build in the </w:t>
      </w:r>
      <w:hyperlink r:id="rId21" w:history="1">
        <w:r w:rsidRPr="000B2166">
          <w:rPr>
            <w:rStyle w:val="Hyperlink"/>
            <w:szCs w:val="22"/>
          </w:rPr>
          <w:t>SDA Rules 2020</w:t>
        </w:r>
      </w:hyperlink>
      <w:r w:rsidRPr="000B2166">
        <w:rPr>
          <w:szCs w:val="22"/>
        </w:rPr>
        <w:t xml:space="preserve"> and </w:t>
      </w:r>
      <w:hyperlink r:id="rId22" w:anchor="pricing-arrangements-for-specialist-disability-accommodation" w:history="1">
        <w:r w:rsidRPr="000B2166">
          <w:rPr>
            <w:rStyle w:val="Hyperlink"/>
            <w:szCs w:val="22"/>
          </w:rPr>
          <w:t>Pricing Arrangements for Specialist Disability Accommodation 2021-22</w:t>
        </w:r>
      </w:hyperlink>
      <w:r w:rsidRPr="000B2166">
        <w:rPr>
          <w:szCs w:val="22"/>
        </w:rPr>
        <w:t xml:space="preserve">. In order to qualify a new build (refurbished), providers must spend a minimum amount. These minimum amounts are specified per dwelling type in Appendix F of the </w:t>
      </w:r>
      <w:hyperlink r:id="rId23" w:anchor="pricing-arrangements-for-specialist-disability-accommodation" w:history="1">
        <w:r w:rsidRPr="000B2166">
          <w:rPr>
            <w:rStyle w:val="Hyperlink"/>
            <w:szCs w:val="22"/>
          </w:rPr>
          <w:t>Pricing Arrangements for Specialist Disability Accommodation 2021-22</w:t>
        </w:r>
      </w:hyperlink>
      <w:r w:rsidRPr="000B2166">
        <w:rPr>
          <w:szCs w:val="22"/>
        </w:rPr>
        <w:t xml:space="preserve">. </w:t>
      </w:r>
    </w:p>
    <w:p w14:paraId="06A00156" w14:textId="5E672E58" w:rsidR="00381C27" w:rsidRDefault="00AC5BF3" w:rsidP="004C03CC">
      <w:pPr>
        <w:rPr>
          <w:szCs w:val="22"/>
        </w:rPr>
      </w:pPr>
      <w:r>
        <w:rPr>
          <w:szCs w:val="22"/>
        </w:rPr>
        <w:lastRenderedPageBreak/>
        <w:t>R</w:t>
      </w:r>
      <w:r w:rsidR="00381C27">
        <w:rPr>
          <w:szCs w:val="22"/>
        </w:rPr>
        <w:t xml:space="preserve">efer to the </w:t>
      </w:r>
      <w:hyperlink r:id="rId24" w:history="1">
        <w:r w:rsidR="008E1176" w:rsidRPr="00826958">
          <w:rPr>
            <w:rStyle w:val="Hyperlink"/>
            <w:szCs w:val="22"/>
          </w:rPr>
          <w:t>NDIS SDA Rules 2020</w:t>
        </w:r>
      </w:hyperlink>
      <w:r w:rsidR="008E1176">
        <w:rPr>
          <w:rStyle w:val="Hyperlink"/>
          <w:szCs w:val="22"/>
        </w:rPr>
        <w:t xml:space="preserve"> </w:t>
      </w:r>
      <w:r w:rsidR="00381C27">
        <w:rPr>
          <w:szCs w:val="22"/>
        </w:rPr>
        <w:t xml:space="preserve">for detailed definitions of </w:t>
      </w:r>
      <w:r w:rsidR="00894532">
        <w:rPr>
          <w:szCs w:val="22"/>
        </w:rPr>
        <w:t xml:space="preserve">all the </w:t>
      </w:r>
      <w:r w:rsidR="00381C27">
        <w:rPr>
          <w:szCs w:val="22"/>
        </w:rPr>
        <w:t xml:space="preserve">SDA </w:t>
      </w:r>
      <w:r w:rsidR="00894532">
        <w:rPr>
          <w:szCs w:val="22"/>
        </w:rPr>
        <w:t>types</w:t>
      </w:r>
      <w:r w:rsidR="00381C27">
        <w:rPr>
          <w:szCs w:val="22"/>
        </w:rPr>
        <w:t>.</w:t>
      </w:r>
    </w:p>
    <w:p w14:paraId="435FF7EA" w14:textId="77777777" w:rsidR="00CB021A" w:rsidRPr="00CB021A" w:rsidRDefault="00CB021A" w:rsidP="004C03CC">
      <w:r w:rsidRPr="00CB021A">
        <w:rPr>
          <w:b/>
        </w:rPr>
        <w:t>Pipeline (Unfinished/Unenrolled)</w:t>
      </w:r>
      <w:r>
        <w:rPr>
          <w:b/>
        </w:rPr>
        <w:t xml:space="preserve"> dwellings:</w:t>
      </w:r>
      <w:r>
        <w:t xml:space="preserve"> </w:t>
      </w:r>
      <w:r w:rsidRPr="00F77A30">
        <w:t xml:space="preserve">SDA pipeline data is based on information collected by the NDIA from SDA providers who are building properties they intend to </w:t>
      </w:r>
      <w:r>
        <w:t xml:space="preserve">enrol as SDA at a later date. </w:t>
      </w:r>
      <w:r w:rsidRPr="00F77A30">
        <w:t xml:space="preserve">This data is intended for the purpose of SDA market oversight only and there is no guarantee from the NDIA that all the dwellings listed will be enrolled as SDA. There may also be under-construction properties which will be enrolled as SDA </w:t>
      </w:r>
      <w:r w:rsidR="009F2FE1">
        <w:t xml:space="preserve">and </w:t>
      </w:r>
      <w:r w:rsidRPr="00F77A30">
        <w:t xml:space="preserve">which are not </w:t>
      </w:r>
      <w:r w:rsidR="009F2FE1">
        <w:t xml:space="preserve">yet </w:t>
      </w:r>
      <w:r w:rsidRPr="00F77A30">
        <w:t>represented in the data.</w:t>
      </w:r>
    </w:p>
    <w:p w14:paraId="53B6A446" w14:textId="77777777" w:rsidR="004C03CC" w:rsidRPr="000B2166" w:rsidRDefault="006D75E1" w:rsidP="004C03CC">
      <w:pPr>
        <w:rPr>
          <w:b/>
          <w:i/>
          <w:szCs w:val="22"/>
        </w:rPr>
      </w:pPr>
      <w:r>
        <w:rPr>
          <w:b/>
          <w:i/>
          <w:szCs w:val="22"/>
        </w:rPr>
        <w:t>SDA design categories</w:t>
      </w:r>
    </w:p>
    <w:p w14:paraId="20C8EA39" w14:textId="77777777" w:rsidR="004C03CC" w:rsidRDefault="004C03CC" w:rsidP="004C03CC">
      <w:pPr>
        <w:rPr>
          <w:szCs w:val="22"/>
        </w:rPr>
      </w:pPr>
      <w:r w:rsidRPr="000B2166">
        <w:rPr>
          <w:b/>
          <w:szCs w:val="22"/>
        </w:rPr>
        <w:t>Basic:</w:t>
      </w:r>
      <w:r w:rsidRPr="000B2166">
        <w:rPr>
          <w:szCs w:val="22"/>
        </w:rPr>
        <w:t xml:space="preserve"> Housing without specialist design features but with a location or other features that cater for the needs of people with disability and assist with the delivery of support services.</w:t>
      </w:r>
    </w:p>
    <w:p w14:paraId="56CE498C" w14:textId="3769C222" w:rsidR="00826958" w:rsidRPr="000B2166" w:rsidRDefault="00826958" w:rsidP="004C03CC">
      <w:pPr>
        <w:rPr>
          <w:szCs w:val="22"/>
        </w:rPr>
      </w:pPr>
      <w:r>
        <w:rPr>
          <w:szCs w:val="22"/>
        </w:rPr>
        <w:t xml:space="preserve">As per section 8 of the </w:t>
      </w:r>
      <w:hyperlink r:id="rId25" w:history="1">
        <w:r w:rsidRPr="00826958">
          <w:rPr>
            <w:rStyle w:val="Hyperlink"/>
            <w:szCs w:val="22"/>
          </w:rPr>
          <w:t>NDIS SDA Rules 2020</w:t>
        </w:r>
      </w:hyperlink>
      <w:r>
        <w:rPr>
          <w:szCs w:val="22"/>
        </w:rPr>
        <w:t xml:space="preserve">, from 1 April 2016, new build dwellings </w:t>
      </w:r>
      <w:r w:rsidR="00895690">
        <w:rPr>
          <w:szCs w:val="22"/>
        </w:rPr>
        <w:t xml:space="preserve">can only </w:t>
      </w:r>
      <w:r>
        <w:rPr>
          <w:szCs w:val="22"/>
        </w:rPr>
        <w:t>be for a SDA design category other than basic.</w:t>
      </w:r>
    </w:p>
    <w:p w14:paraId="42E86C95" w14:textId="77777777" w:rsidR="004C03CC" w:rsidRPr="000B2166" w:rsidRDefault="004C03CC" w:rsidP="004C03CC">
      <w:pPr>
        <w:rPr>
          <w:szCs w:val="22"/>
        </w:rPr>
      </w:pPr>
      <w:r w:rsidRPr="000B2166">
        <w:rPr>
          <w:b/>
          <w:szCs w:val="22"/>
        </w:rPr>
        <w:t>Improved liveability:</w:t>
      </w:r>
      <w:r w:rsidRPr="000B2166">
        <w:rPr>
          <w:szCs w:val="22"/>
        </w:rPr>
        <w:t xml:space="preserve"> Housing that has been designed to improve ‘liveability’ by incorporating a reasonable level of physical access and enhanced provision for people with sensory, intellectual or cognitive impairment.</w:t>
      </w:r>
    </w:p>
    <w:p w14:paraId="699A591B" w14:textId="77777777" w:rsidR="004C03CC" w:rsidRPr="000B2166" w:rsidRDefault="004C03CC" w:rsidP="004C03CC">
      <w:pPr>
        <w:rPr>
          <w:szCs w:val="22"/>
        </w:rPr>
      </w:pPr>
      <w:r w:rsidRPr="000B2166">
        <w:rPr>
          <w:b/>
          <w:szCs w:val="22"/>
        </w:rPr>
        <w:t xml:space="preserve">Fully </w:t>
      </w:r>
      <w:r w:rsidR="008E1176">
        <w:rPr>
          <w:b/>
          <w:szCs w:val="22"/>
        </w:rPr>
        <w:t>a</w:t>
      </w:r>
      <w:r w:rsidRPr="000B2166">
        <w:rPr>
          <w:b/>
          <w:szCs w:val="22"/>
        </w:rPr>
        <w:t>ccessible:</w:t>
      </w:r>
      <w:r w:rsidRPr="000B2166">
        <w:rPr>
          <w:szCs w:val="22"/>
        </w:rPr>
        <w:t xml:space="preserve"> Housing that has been designed to incorporate a high level of physical access provision for people with significant physical impairment.</w:t>
      </w:r>
    </w:p>
    <w:p w14:paraId="61595DDD" w14:textId="77777777" w:rsidR="004C03CC" w:rsidRPr="000B2166" w:rsidRDefault="004C03CC" w:rsidP="004C03CC">
      <w:pPr>
        <w:rPr>
          <w:szCs w:val="22"/>
        </w:rPr>
      </w:pPr>
      <w:r w:rsidRPr="000B2166">
        <w:rPr>
          <w:b/>
          <w:szCs w:val="22"/>
        </w:rPr>
        <w:t>Robust:</w:t>
      </w:r>
      <w:r w:rsidRPr="000B2166">
        <w:rPr>
          <w:szCs w:val="22"/>
        </w:rPr>
        <w:t xml:space="preserve"> Housing that has been designed to incorporate a high level of physical access provision and be very resilient, while reducing the likelihood of reactive maintenance and reducing the risk to the participant and the community.</w:t>
      </w:r>
    </w:p>
    <w:p w14:paraId="3C72C732" w14:textId="77777777" w:rsidR="00AD2EFE" w:rsidRDefault="004C03CC" w:rsidP="004C03CC">
      <w:pPr>
        <w:rPr>
          <w:szCs w:val="22"/>
        </w:rPr>
      </w:pPr>
      <w:r w:rsidRPr="000B2166">
        <w:rPr>
          <w:b/>
          <w:szCs w:val="22"/>
        </w:rPr>
        <w:t xml:space="preserve">High </w:t>
      </w:r>
      <w:r w:rsidR="008E1176">
        <w:rPr>
          <w:b/>
          <w:szCs w:val="22"/>
        </w:rPr>
        <w:t>p</w:t>
      </w:r>
      <w:r w:rsidRPr="000B2166">
        <w:rPr>
          <w:b/>
          <w:szCs w:val="22"/>
        </w:rPr>
        <w:t xml:space="preserve">hysical </w:t>
      </w:r>
      <w:r w:rsidR="008E1176">
        <w:rPr>
          <w:b/>
          <w:szCs w:val="22"/>
        </w:rPr>
        <w:t>s</w:t>
      </w:r>
      <w:r w:rsidRPr="000B2166">
        <w:rPr>
          <w:b/>
          <w:szCs w:val="22"/>
        </w:rPr>
        <w:t>upport:</w:t>
      </w:r>
      <w:r w:rsidRPr="000B2166">
        <w:rPr>
          <w:szCs w:val="22"/>
        </w:rPr>
        <w:t xml:space="preserve"> Housing that has been designed to incorporate a high level of physical access provision for people with significant physical impairment and requiring very high levels of support.</w:t>
      </w:r>
    </w:p>
    <w:p w14:paraId="1A508FD3" w14:textId="77777777" w:rsidR="00AD2EFE" w:rsidRDefault="00AD2EFE" w:rsidP="00AD2EFE">
      <w:pPr>
        <w:rPr>
          <w:b/>
          <w:i/>
          <w:szCs w:val="22"/>
        </w:rPr>
      </w:pPr>
      <w:r>
        <w:rPr>
          <w:b/>
          <w:i/>
          <w:szCs w:val="22"/>
        </w:rPr>
        <w:t>SDA building types</w:t>
      </w:r>
    </w:p>
    <w:p w14:paraId="1FAA5025" w14:textId="6255A8EE" w:rsidR="005843A7" w:rsidRPr="005843A7" w:rsidRDefault="005843A7" w:rsidP="005843A7">
      <w:pPr>
        <w:rPr>
          <w:color w:val="000000"/>
          <w:szCs w:val="22"/>
          <w:shd w:val="clear" w:color="auto" w:fill="FFFFFF"/>
        </w:rPr>
      </w:pPr>
      <w:r w:rsidRPr="00C41475">
        <w:rPr>
          <w:b/>
          <w:color w:val="000000"/>
          <w:szCs w:val="22"/>
          <w:shd w:val="clear" w:color="auto" w:fill="FFFFFF"/>
        </w:rPr>
        <w:t>Apartments:</w:t>
      </w:r>
      <w:r w:rsidR="00EA0B0F">
        <w:rPr>
          <w:color w:val="000000"/>
          <w:szCs w:val="22"/>
          <w:shd w:val="clear" w:color="auto" w:fill="FFFFFF"/>
        </w:rPr>
        <w:t xml:space="preserve"> S</w:t>
      </w:r>
      <w:r w:rsidRPr="005843A7">
        <w:rPr>
          <w:color w:val="000000"/>
          <w:szCs w:val="22"/>
          <w:shd w:val="clear" w:color="auto" w:fill="FFFFFF"/>
        </w:rPr>
        <w:t>elf-contained units that are part of a larger residential building.</w:t>
      </w:r>
    </w:p>
    <w:p w14:paraId="63D161A6" w14:textId="3D6D86A9" w:rsidR="005843A7" w:rsidRPr="005843A7" w:rsidRDefault="005843A7" w:rsidP="005843A7">
      <w:pPr>
        <w:rPr>
          <w:color w:val="000000"/>
          <w:szCs w:val="22"/>
          <w:shd w:val="clear" w:color="auto" w:fill="FFFFFF"/>
        </w:rPr>
      </w:pPr>
      <w:r w:rsidRPr="00C41475">
        <w:rPr>
          <w:b/>
          <w:color w:val="000000"/>
          <w:szCs w:val="22"/>
          <w:shd w:val="clear" w:color="auto" w:fill="FFFFFF"/>
        </w:rPr>
        <w:t xml:space="preserve">Duplexes, villas and townhouses: </w:t>
      </w:r>
      <w:r w:rsidR="00EA0B0F" w:rsidRPr="00EA0B0F">
        <w:rPr>
          <w:color w:val="000000"/>
          <w:szCs w:val="22"/>
          <w:shd w:val="clear" w:color="auto" w:fill="FFFFFF"/>
        </w:rPr>
        <w:t>S</w:t>
      </w:r>
      <w:r w:rsidRPr="005843A7">
        <w:rPr>
          <w:color w:val="000000"/>
          <w:szCs w:val="22"/>
          <w:shd w:val="clear" w:color="auto" w:fill="FFFFFF"/>
        </w:rPr>
        <w:t>eparate but semi-attached properties within a single land title or strata titled area. This also includes stand-alone villas or granny-flats.</w:t>
      </w:r>
    </w:p>
    <w:p w14:paraId="729BFEB5" w14:textId="69AC00A7" w:rsidR="005843A7" w:rsidRPr="005843A7" w:rsidRDefault="005843A7" w:rsidP="005843A7">
      <w:pPr>
        <w:rPr>
          <w:color w:val="000000"/>
          <w:szCs w:val="22"/>
          <w:shd w:val="clear" w:color="auto" w:fill="FFFFFF"/>
        </w:rPr>
      </w:pPr>
      <w:r w:rsidRPr="00C41475">
        <w:rPr>
          <w:b/>
          <w:color w:val="000000"/>
          <w:szCs w:val="22"/>
          <w:shd w:val="clear" w:color="auto" w:fill="FFFFFF"/>
        </w:rPr>
        <w:t>Houses:</w:t>
      </w:r>
      <w:r w:rsidR="00EA0B0F">
        <w:rPr>
          <w:color w:val="000000"/>
          <w:szCs w:val="22"/>
          <w:shd w:val="clear" w:color="auto" w:fill="FFFFFF"/>
        </w:rPr>
        <w:t xml:space="preserve"> D</w:t>
      </w:r>
      <w:r w:rsidRPr="005843A7">
        <w:rPr>
          <w:color w:val="000000"/>
          <w:szCs w:val="22"/>
          <w:shd w:val="clear" w:color="auto" w:fill="FFFFFF"/>
        </w:rPr>
        <w:t>etached low-rise buildings with garden or courtyard areas.</w:t>
      </w:r>
    </w:p>
    <w:p w14:paraId="65876B0D" w14:textId="6539C0C3" w:rsidR="005843A7" w:rsidRPr="00C41475" w:rsidRDefault="005843A7" w:rsidP="00AD2EFE">
      <w:pPr>
        <w:rPr>
          <w:color w:val="000000"/>
          <w:szCs w:val="22"/>
          <w:shd w:val="clear" w:color="auto" w:fill="FFFFFF"/>
        </w:rPr>
      </w:pPr>
      <w:r w:rsidRPr="00C41475">
        <w:rPr>
          <w:b/>
          <w:color w:val="000000"/>
          <w:szCs w:val="22"/>
          <w:shd w:val="clear" w:color="auto" w:fill="FFFFFF"/>
        </w:rPr>
        <w:t>Group homes:</w:t>
      </w:r>
      <w:r w:rsidRPr="005843A7">
        <w:rPr>
          <w:color w:val="000000"/>
          <w:szCs w:val="22"/>
          <w:shd w:val="clear" w:color="auto" w:fill="FFFFFF"/>
        </w:rPr>
        <w:t xml:space="preserve"> </w:t>
      </w:r>
      <w:r w:rsidR="00EA0B0F">
        <w:rPr>
          <w:color w:val="000000"/>
          <w:szCs w:val="22"/>
          <w:shd w:val="clear" w:color="auto" w:fill="FFFFFF"/>
        </w:rPr>
        <w:t>H</w:t>
      </w:r>
      <w:r w:rsidRPr="005843A7">
        <w:rPr>
          <w:color w:val="000000"/>
          <w:szCs w:val="22"/>
          <w:shd w:val="clear" w:color="auto" w:fill="FFFFFF"/>
        </w:rPr>
        <w:t>ouses that have 4 or 5 residents</w:t>
      </w:r>
      <w:r>
        <w:rPr>
          <w:color w:val="000000"/>
          <w:szCs w:val="22"/>
          <w:shd w:val="clear" w:color="auto" w:fill="FFFFFF"/>
        </w:rPr>
        <w:t>.</w:t>
      </w:r>
    </w:p>
    <w:p w14:paraId="1722B0F6" w14:textId="6F4955DC" w:rsidR="00AC5BF3" w:rsidRPr="00DD5DD6" w:rsidRDefault="00BF0BDC" w:rsidP="00AD2EFE">
      <w:pPr>
        <w:rPr>
          <w:szCs w:val="22"/>
        </w:rPr>
      </w:pPr>
      <w:r>
        <w:rPr>
          <w:szCs w:val="22"/>
        </w:rPr>
        <w:t>For more detailed information, r</w:t>
      </w:r>
      <w:r w:rsidR="00AC5BF3">
        <w:rPr>
          <w:szCs w:val="22"/>
        </w:rPr>
        <w:t xml:space="preserve">efer to Schedule 1 in the </w:t>
      </w:r>
      <w:hyperlink r:id="rId26" w:history="1">
        <w:r w:rsidR="00AC5BF3" w:rsidRPr="00826958">
          <w:rPr>
            <w:rStyle w:val="Hyperlink"/>
            <w:szCs w:val="22"/>
          </w:rPr>
          <w:t>NDIS SDA Rules 2020</w:t>
        </w:r>
      </w:hyperlink>
      <w:r w:rsidR="00AC5BF3">
        <w:rPr>
          <w:rStyle w:val="Hyperlink"/>
          <w:szCs w:val="22"/>
        </w:rPr>
        <w:t xml:space="preserve"> </w:t>
      </w:r>
      <w:r w:rsidR="00AC5BF3">
        <w:rPr>
          <w:szCs w:val="22"/>
        </w:rPr>
        <w:t xml:space="preserve">for </w:t>
      </w:r>
      <w:r w:rsidR="00AC5BF3">
        <w:rPr>
          <w:color w:val="000000"/>
          <w:szCs w:val="22"/>
          <w:shd w:val="clear" w:color="auto" w:fill="FFFFFF"/>
        </w:rPr>
        <w:t>SDA building types, features and Building Code of Australia classification for each building type</w:t>
      </w:r>
      <w:r w:rsidR="00AC5BF3">
        <w:rPr>
          <w:szCs w:val="22"/>
        </w:rPr>
        <w:t>.</w:t>
      </w:r>
    </w:p>
    <w:p w14:paraId="28EB7BAD" w14:textId="77777777" w:rsidR="0094431F" w:rsidRPr="004C03CC" w:rsidRDefault="0094431F" w:rsidP="004C03CC">
      <w:pPr>
        <w:rPr>
          <w:szCs w:val="22"/>
        </w:rPr>
      </w:pPr>
      <w:r w:rsidRPr="00DF2F62">
        <w:br w:type="page"/>
      </w:r>
    </w:p>
    <w:p w14:paraId="6CF45910" w14:textId="77777777" w:rsidR="007219F1" w:rsidRPr="00DF2F62" w:rsidRDefault="00CE75FA" w:rsidP="00CE75FA">
      <w:pPr>
        <w:pStyle w:val="Heading2"/>
      </w:pPr>
      <w:bookmarkStart w:id="66" w:name="_Toc79493381"/>
      <w:bookmarkStart w:id="67" w:name="_Toc79581639"/>
      <w:bookmarkStart w:id="68" w:name="_Toc79684606"/>
      <w:bookmarkStart w:id="69" w:name="_Toc87887950"/>
      <w:bookmarkStart w:id="70" w:name="_Toc89692955"/>
      <w:r w:rsidRPr="00DF2F62">
        <w:lastRenderedPageBreak/>
        <w:t>SDA supply market overview</w:t>
      </w:r>
      <w:bookmarkEnd w:id="66"/>
      <w:bookmarkEnd w:id="67"/>
      <w:bookmarkEnd w:id="68"/>
      <w:bookmarkEnd w:id="69"/>
      <w:bookmarkEnd w:id="70"/>
    </w:p>
    <w:p w14:paraId="7509A402" w14:textId="77777777" w:rsidR="00CE75FA" w:rsidRPr="00DF2F62" w:rsidRDefault="005714EA" w:rsidP="00CE75FA">
      <w:pPr>
        <w:pStyle w:val="Heading3"/>
      </w:pPr>
      <w:bookmarkStart w:id="71" w:name="_Ref89100682"/>
      <w:bookmarkStart w:id="72" w:name="_Toc89692956"/>
      <w:r>
        <w:t>SDA</w:t>
      </w:r>
      <w:r w:rsidR="007B02F7">
        <w:t xml:space="preserve"> type</w:t>
      </w:r>
      <w:bookmarkEnd w:id="71"/>
      <w:bookmarkEnd w:id="72"/>
    </w:p>
    <w:p w14:paraId="0DE5E1D5" w14:textId="77777777" w:rsidR="005A7FC9" w:rsidRDefault="005A7FC9" w:rsidP="00602F9C">
      <w:bookmarkStart w:id="73" w:name="_Toc79490508"/>
      <w:bookmarkStart w:id="74" w:name="_Toc79493359"/>
      <w:r w:rsidRPr="00CF5782">
        <w:t xml:space="preserve">Since </w:t>
      </w:r>
      <w:r w:rsidR="004E01D2">
        <w:t>Q4 FY20-21 (last quarter)</w:t>
      </w:r>
      <w:r>
        <w:t xml:space="preserve">, </w:t>
      </w:r>
      <w:r w:rsidRPr="00CF5782">
        <w:t xml:space="preserve">there </w:t>
      </w:r>
      <w:r w:rsidR="002F6984">
        <w:t>have been</w:t>
      </w:r>
      <w:r w:rsidR="002F6984" w:rsidRPr="00CF5782">
        <w:t xml:space="preserve"> </w:t>
      </w:r>
      <w:r>
        <w:t xml:space="preserve">increases in all </w:t>
      </w:r>
      <w:r w:rsidR="005714EA">
        <w:t>SDA</w:t>
      </w:r>
      <w:r>
        <w:t xml:space="preserve"> types besides legacy stock. The largest</w:t>
      </w:r>
      <w:r w:rsidR="00033194">
        <w:t xml:space="preserve"> absolute</w:t>
      </w:r>
      <w:r>
        <w:t xml:space="preserve"> </w:t>
      </w:r>
      <w:r w:rsidR="002F6984">
        <w:t xml:space="preserve">increase </w:t>
      </w:r>
      <w:r w:rsidR="00033194">
        <w:t xml:space="preserve">in dwellings </w:t>
      </w:r>
      <w:r w:rsidR="002F6984">
        <w:t>was in n</w:t>
      </w:r>
      <w:r w:rsidR="00602F9C">
        <w:t>ew build (254 dwellings or 13%).</w:t>
      </w:r>
      <w:r w:rsidR="00355453">
        <w:t xml:space="preserve"> </w:t>
      </w:r>
      <w:r w:rsidR="00602F9C">
        <w:t xml:space="preserve">New build (refurbished) </w:t>
      </w:r>
      <w:r w:rsidR="00355453">
        <w:t xml:space="preserve">had </w:t>
      </w:r>
      <w:r w:rsidR="00602F9C">
        <w:t>a larger relative increase (16%) but was much smaller in absolute terms (8 dwellings).</w:t>
      </w:r>
      <w:r>
        <w:t xml:space="preserve"> </w:t>
      </w:r>
      <w:r w:rsidR="004B4DDF">
        <w:t xml:space="preserve">Existing stock saw a 2% increase (84 dwellings). </w:t>
      </w:r>
      <w:r>
        <w:t>Legacy stock</w:t>
      </w:r>
      <w:r w:rsidR="0091380A">
        <w:t xml:space="preserve"> </w:t>
      </w:r>
      <w:r>
        <w:t>decrease</w:t>
      </w:r>
      <w:r w:rsidR="00355453">
        <w:t>d</w:t>
      </w:r>
      <w:r>
        <w:t xml:space="preserve"> </w:t>
      </w:r>
      <w:r w:rsidR="00355453">
        <w:t>by</w:t>
      </w:r>
      <w:r>
        <w:t xml:space="preserve"> 3% from the previous quarter, equivalent to 9 dwellings.</w:t>
      </w:r>
    </w:p>
    <w:p w14:paraId="47155AA8" w14:textId="77777777" w:rsidR="00602F9C" w:rsidRDefault="005A7FC9" w:rsidP="00F312B5">
      <w:r>
        <w:t xml:space="preserve">Since Q1 FY20-21 </w:t>
      </w:r>
      <w:r w:rsidRPr="00DF2F62">
        <w:t xml:space="preserve">(same time last </w:t>
      </w:r>
      <w:r w:rsidRPr="00B72D81">
        <w:t xml:space="preserve">year), </w:t>
      </w:r>
      <w:r>
        <w:t>there ha</w:t>
      </w:r>
      <w:r w:rsidR="00381C27">
        <w:t>ve</w:t>
      </w:r>
      <w:r>
        <w:t xml:space="preserve"> been overall increases within </w:t>
      </w:r>
      <w:r w:rsidR="001606BC">
        <w:t>each SDA</w:t>
      </w:r>
      <w:r>
        <w:t xml:space="preserve"> type</w:t>
      </w:r>
      <w:r w:rsidR="00602F9C">
        <w:t>.</w:t>
      </w:r>
      <w:r w:rsidR="00355453">
        <w:t xml:space="preserve"> </w:t>
      </w:r>
      <w:r w:rsidR="00602F9C">
        <w:t>There were 947 new build dwellings</w:t>
      </w:r>
      <w:r>
        <w:t xml:space="preserve">, </w:t>
      </w:r>
      <w:r w:rsidR="00602F9C">
        <w:t>and the number of new build (refurbished) almost doubled (29 new dwellings). There was an increase of 1,004 enrolled existing dwellings</w:t>
      </w:r>
      <w:r w:rsidR="00033194">
        <w:t xml:space="preserve"> mainly</w:t>
      </w:r>
      <w:r w:rsidR="00602F9C">
        <w:t xml:space="preserve"> </w:t>
      </w:r>
      <w:r w:rsidR="00D0756A">
        <w:t xml:space="preserve">from Victoria’s </w:t>
      </w:r>
      <w:r w:rsidR="00602F9C">
        <w:t>in-kind stock</w:t>
      </w:r>
      <w:r w:rsidR="00D0756A">
        <w:t xml:space="preserve"> transfers as </w:t>
      </w:r>
      <w:r w:rsidR="004E01D2">
        <w:t xml:space="preserve">outlined </w:t>
      </w:r>
      <w:r w:rsidR="00D0756A">
        <w:t>in the Q4 2020-21 SDA Report</w:t>
      </w:r>
      <w:r w:rsidR="00602F9C">
        <w:t>.</w:t>
      </w:r>
    </w:p>
    <w:p w14:paraId="1943B44D" w14:textId="6B6FCC02" w:rsidR="0044218C" w:rsidRDefault="00F312B5" w:rsidP="0044218C">
      <w:r>
        <w:t xml:space="preserve">Further breakdown </w:t>
      </w:r>
      <w:r w:rsidRPr="00C03E1F">
        <w:t>by SA4 region</w:t>
      </w:r>
      <w:r>
        <w:t xml:space="preserve">s in </w:t>
      </w:r>
      <w:r w:rsidRPr="00C03E1F">
        <w:t>state</w:t>
      </w:r>
      <w:r>
        <w:t>s</w:t>
      </w:r>
      <w:r w:rsidRPr="00C03E1F">
        <w:t xml:space="preserve"> and territories can be found within ‘Table P.4’</w:t>
      </w:r>
      <w:r>
        <w:t xml:space="preserve"> </w:t>
      </w:r>
      <w:r w:rsidRPr="00C03E1F">
        <w:t xml:space="preserve">in the </w:t>
      </w:r>
      <w:hyperlink r:id="rId27" w:history="1">
        <w:r w:rsidR="0032377B" w:rsidRPr="00821245">
          <w:rPr>
            <w:rStyle w:val="Hyperlink"/>
          </w:rPr>
          <w:t xml:space="preserve">NDIS </w:t>
        </w:r>
        <w:r w:rsidRPr="00821245">
          <w:rPr>
            <w:rStyle w:val="Hyperlink"/>
          </w:rPr>
          <w:t>quarterly report to disability ministers</w:t>
        </w:r>
      </w:hyperlink>
      <w:r w:rsidRPr="00C03E1F">
        <w:t xml:space="preserve">. </w:t>
      </w:r>
      <w:bookmarkEnd w:id="73"/>
      <w:bookmarkEnd w:id="74"/>
    </w:p>
    <w:p w14:paraId="5568BC92" w14:textId="02CC4E4A" w:rsidR="0044218C" w:rsidRDefault="0044218C" w:rsidP="00742931">
      <w:pPr>
        <w:rPr>
          <w:b/>
          <w:sz w:val="16"/>
          <w:szCs w:val="16"/>
        </w:rPr>
      </w:pPr>
      <w:r w:rsidRPr="00742931">
        <w:rPr>
          <w:b/>
          <w:sz w:val="16"/>
          <w:szCs w:val="16"/>
        </w:rPr>
        <w:t xml:space="preserve">Figure </w:t>
      </w:r>
      <w:r w:rsidR="005A7FC9" w:rsidRPr="00742931">
        <w:rPr>
          <w:b/>
          <w:sz w:val="16"/>
          <w:szCs w:val="16"/>
        </w:rPr>
        <w:fldChar w:fldCharType="begin"/>
      </w:r>
      <w:r w:rsidR="005A7FC9" w:rsidRPr="00742931">
        <w:rPr>
          <w:b/>
          <w:sz w:val="16"/>
          <w:szCs w:val="16"/>
        </w:rPr>
        <w:instrText xml:space="preserve"> SEQ Figure \* ARABIC </w:instrText>
      </w:r>
      <w:r w:rsidR="005A7FC9" w:rsidRPr="00742931">
        <w:rPr>
          <w:b/>
          <w:sz w:val="16"/>
          <w:szCs w:val="16"/>
        </w:rPr>
        <w:fldChar w:fldCharType="separate"/>
      </w:r>
      <w:r w:rsidR="00D402F6">
        <w:rPr>
          <w:b/>
          <w:noProof/>
          <w:sz w:val="16"/>
          <w:szCs w:val="16"/>
        </w:rPr>
        <w:t>1</w:t>
      </w:r>
      <w:r w:rsidR="005A7FC9" w:rsidRPr="00742931">
        <w:rPr>
          <w:b/>
          <w:noProof/>
          <w:sz w:val="16"/>
          <w:szCs w:val="16"/>
        </w:rPr>
        <w:fldChar w:fldCharType="end"/>
      </w:r>
      <w:r w:rsidRPr="00742931">
        <w:rPr>
          <w:b/>
          <w:sz w:val="16"/>
          <w:szCs w:val="16"/>
        </w:rPr>
        <w:t>: Enrolled SDA dwellings by building type</w:t>
      </w:r>
      <w:r w:rsidR="00995836" w:rsidRPr="00742931">
        <w:rPr>
          <w:b/>
          <w:sz w:val="16"/>
          <w:szCs w:val="16"/>
        </w:rPr>
        <w:t xml:space="preserve"> (excludes in-kind arrangements) </w:t>
      </w:r>
      <w:r w:rsidR="001451B7">
        <w:rPr>
          <w:b/>
          <w:sz w:val="16"/>
          <w:szCs w:val="16"/>
        </w:rPr>
        <w:t>since Q1 FY20-21</w:t>
      </w:r>
    </w:p>
    <w:p w14:paraId="2E171BA2" w14:textId="77777777" w:rsidR="009614D1" w:rsidRDefault="00E62E0D" w:rsidP="00CE75FA">
      <w:pPr>
        <w:rPr>
          <w:b/>
        </w:rPr>
      </w:pPr>
      <w:r w:rsidRPr="00E62E0D">
        <w:rPr>
          <w:noProof/>
          <w:lang w:eastAsia="en-AU"/>
        </w:rPr>
        <w:drawing>
          <wp:inline distT="0" distB="0" distL="0" distR="0" wp14:anchorId="5DAA19A4" wp14:editId="62872AF8">
            <wp:extent cx="5766534" cy="2878415"/>
            <wp:effectExtent l="0" t="0" r="5715" b="0"/>
            <wp:docPr id="27" name="Picture 27" descr="This line graph displays the number of SDA dwellings for Existing Stock, New Build, New Build (Refurbished) and Legacy stock from Q1 FY20-21 to Q1 FY21-22.&#10;&#10;Existing stock has been increasing since Q1 FY20-21 with a jump in Q4 FY20-21 (3,282 to 3,913 dwellings). Q1 FY21-22 saw an increase to 3,997 dwellings.&#10;&#10;New Builds have been steadily increasing from 1,257 dwellings in Q1 FY20-21 to 2,204 in Q1 FY21-22.&#10;&#10;New Build (Refurbished) has seen increases in the last two quarters, 13 dwellings in Q4 FY20-21 and 8 dwellings in Q1 FY21-22 (to a total of 59 dwellings).&#10;&#10;Legacy stock remained relatively stable around 200 dwellings from Q1 FY20-21 to Q3 FY20-21. In Q4 FY20-21 this increased to 310 dwellings, with a small decrease to 301 dwellings in Q1 FY21-22." title="igure 1: Enrolled SDA dwellings by building type (excludes in-kind arrangements) since Q1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85330" cy="2887797"/>
                    </a:xfrm>
                    <a:prstGeom prst="rect">
                      <a:avLst/>
                    </a:prstGeom>
                    <a:noFill/>
                    <a:ln>
                      <a:noFill/>
                    </a:ln>
                  </pic:spPr>
                </pic:pic>
              </a:graphicData>
            </a:graphic>
          </wp:inline>
        </w:drawing>
      </w:r>
    </w:p>
    <w:p w14:paraId="478BF396" w14:textId="77777777" w:rsidR="00CE75FA" w:rsidRDefault="00CE75FA" w:rsidP="00CE75FA">
      <w:pPr>
        <w:rPr>
          <w:b/>
        </w:rPr>
      </w:pPr>
      <w:r w:rsidRPr="00DF2F62">
        <w:rPr>
          <w:b/>
        </w:rPr>
        <w:t xml:space="preserve">NDIA </w:t>
      </w:r>
      <w:r w:rsidR="00227990">
        <w:rPr>
          <w:b/>
        </w:rPr>
        <w:t>observations</w:t>
      </w:r>
    </w:p>
    <w:p w14:paraId="5F0CA43F" w14:textId="36BFA3D1" w:rsidR="005A7FC9" w:rsidRDefault="005A7FC9" w:rsidP="00CE75FA">
      <w:r w:rsidRPr="005A7FC9">
        <w:t xml:space="preserve">The increase in new build stock is </w:t>
      </w:r>
      <w:r w:rsidR="00355453">
        <w:t>positive for the market</w:t>
      </w:r>
      <w:r w:rsidR="004E01D2">
        <w:t xml:space="preserve">. It is expected this growth </w:t>
      </w:r>
      <w:r w:rsidR="00355453">
        <w:t xml:space="preserve">should continue </w:t>
      </w:r>
      <w:r w:rsidRPr="005A7FC9">
        <w:t>to meet the needs of participants requiring</w:t>
      </w:r>
      <w:r w:rsidR="0091380A">
        <w:t xml:space="preserve"> supported accommodation</w:t>
      </w:r>
      <w:r w:rsidR="00033194">
        <w:t xml:space="preserve"> </w:t>
      </w:r>
      <w:r w:rsidR="0091380A">
        <w:t>(</w:t>
      </w:r>
      <w:r w:rsidR="0091380A" w:rsidRPr="008E1C0A">
        <w:t>see</w:t>
      </w:r>
      <w:r w:rsidR="00FE79DE" w:rsidRPr="008E1C0A">
        <w:t xml:space="preserve"> section</w:t>
      </w:r>
      <w:r w:rsidR="0091380A" w:rsidRPr="008E1C0A">
        <w:t xml:space="preserve"> </w:t>
      </w:r>
      <w:r w:rsidR="00FE79DE">
        <w:fldChar w:fldCharType="begin"/>
      </w:r>
      <w:r w:rsidR="00FE79DE">
        <w:instrText xml:space="preserve"> REF _Ref87950332 \r \h </w:instrText>
      </w:r>
      <w:r w:rsidR="00FE79DE">
        <w:fldChar w:fldCharType="separate"/>
      </w:r>
      <w:r w:rsidR="00D402F6">
        <w:t>2.7</w:t>
      </w:r>
      <w:r w:rsidR="00FE79DE">
        <w:fldChar w:fldCharType="end"/>
      </w:r>
      <w:r w:rsidR="0091380A" w:rsidRPr="008E1C0A">
        <w:t xml:space="preserve"> for </w:t>
      </w:r>
      <w:r w:rsidR="00E834BB">
        <w:t>pipeline</w:t>
      </w:r>
      <w:r w:rsidR="0091380A" w:rsidRPr="008E1C0A">
        <w:t xml:space="preserve"> dwellings</w:t>
      </w:r>
      <w:r w:rsidR="0091380A">
        <w:t>).</w:t>
      </w:r>
    </w:p>
    <w:p w14:paraId="0305EE2A" w14:textId="77777777" w:rsidR="00CE75FA" w:rsidRDefault="00D019F6" w:rsidP="009458B4">
      <w:r>
        <w:t>W</w:t>
      </w:r>
      <w:r w:rsidR="00CE75FA" w:rsidRPr="00DF2F62">
        <w:t xml:space="preserve">ith all jurisdictions now part of the </w:t>
      </w:r>
      <w:r w:rsidR="003D5381" w:rsidRPr="00DF2F62">
        <w:t>NDIS</w:t>
      </w:r>
      <w:r w:rsidR="00CE75FA" w:rsidRPr="00DF2F62">
        <w:t xml:space="preserve">, it is expected that the vast majority of </w:t>
      </w:r>
      <w:r w:rsidR="00160203" w:rsidRPr="00DF2F62">
        <w:t>e</w:t>
      </w:r>
      <w:r w:rsidR="00CE75FA" w:rsidRPr="00DF2F62">
        <w:t xml:space="preserve">xisting SDA </w:t>
      </w:r>
      <w:r w:rsidR="008E1C0A">
        <w:t xml:space="preserve">stock </w:t>
      </w:r>
      <w:r w:rsidR="0094431F" w:rsidRPr="00DF2F62">
        <w:t>should be</w:t>
      </w:r>
      <w:r w:rsidR="00CE75FA" w:rsidRPr="00DF2F62">
        <w:t xml:space="preserve"> accounted for in these figures.</w:t>
      </w:r>
      <w:r w:rsidR="00800E9B" w:rsidRPr="00DF2F62">
        <w:t xml:space="preserve"> </w:t>
      </w:r>
      <w:r w:rsidR="00480E70" w:rsidRPr="00DF2F62">
        <w:t xml:space="preserve">The NDIA </w:t>
      </w:r>
      <w:r w:rsidR="00670E23">
        <w:t>expects</w:t>
      </w:r>
      <w:r w:rsidR="00EF256E" w:rsidRPr="00DF2F62">
        <w:t xml:space="preserve"> some increases </w:t>
      </w:r>
      <w:r w:rsidR="00136A8B">
        <w:t xml:space="preserve">in the future </w:t>
      </w:r>
      <w:r w:rsidR="009458B4">
        <w:t>as</w:t>
      </w:r>
      <w:r w:rsidR="005811D7">
        <w:t xml:space="preserve"> </w:t>
      </w:r>
      <w:r w:rsidR="009458B4">
        <w:t xml:space="preserve">Western Australia’s </w:t>
      </w:r>
      <w:r w:rsidR="00602F9C">
        <w:t xml:space="preserve">existing </w:t>
      </w:r>
      <w:r w:rsidR="009458B4">
        <w:t>stoc</w:t>
      </w:r>
      <w:r w:rsidR="008E1176">
        <w:t>k</w:t>
      </w:r>
      <w:r w:rsidR="009458B4">
        <w:t xml:space="preserve"> is brought into the </w:t>
      </w:r>
      <w:r w:rsidR="009546F7">
        <w:t>NDIS</w:t>
      </w:r>
      <w:r w:rsidR="009458B4">
        <w:t>.</w:t>
      </w:r>
      <w:r w:rsidR="00381C27">
        <w:t xml:space="preserve"> Currently W</w:t>
      </w:r>
      <w:r w:rsidR="008E1176">
        <w:t>estern Australia’</w:t>
      </w:r>
      <w:r w:rsidR="00381C27">
        <w:t>s existing stock is</w:t>
      </w:r>
      <w:r w:rsidR="009458B4">
        <w:t xml:space="preserve"> neither enrolled nor in-kind</w:t>
      </w:r>
      <w:r w:rsidR="00381C27">
        <w:t>.</w:t>
      </w:r>
      <w:r w:rsidR="009458B4">
        <w:t xml:space="preserve"> </w:t>
      </w:r>
      <w:r w:rsidR="005E1141">
        <w:t>Tasmania</w:t>
      </w:r>
      <w:r w:rsidR="009458B4">
        <w:t xml:space="preserve"> also has</w:t>
      </w:r>
      <w:r w:rsidR="005E1141">
        <w:t xml:space="preserve"> 203 in-kind dwellings to transition in </w:t>
      </w:r>
      <w:r w:rsidR="009458B4">
        <w:t>future</w:t>
      </w:r>
      <w:r w:rsidR="005E1141">
        <w:t xml:space="preserve"> quarters</w:t>
      </w:r>
      <w:r w:rsidR="00EF256E" w:rsidRPr="00DF2F62">
        <w:t>.</w:t>
      </w:r>
    </w:p>
    <w:p w14:paraId="158E7C9B" w14:textId="70FC6C81" w:rsidR="00D513DB" w:rsidRDefault="0091380A" w:rsidP="00D513DB">
      <w:r>
        <w:lastRenderedPageBreak/>
        <w:t xml:space="preserve">Legacy stock also </w:t>
      </w:r>
      <w:r w:rsidR="00355453">
        <w:t>decreased by</w:t>
      </w:r>
      <w:r>
        <w:t xml:space="preserve"> </w:t>
      </w:r>
      <w:r w:rsidR="00602F9C">
        <w:t xml:space="preserve">3% </w:t>
      </w:r>
      <w:r>
        <w:t xml:space="preserve">over the last quarter, which </w:t>
      </w:r>
      <w:r w:rsidR="00602F9C">
        <w:t xml:space="preserve">is </w:t>
      </w:r>
      <w:r w:rsidR="002048C1">
        <w:t>the largest decrease in legacy stock since Q2 FY19-20.</w:t>
      </w:r>
      <w:r w:rsidR="00D513DB">
        <w:t xml:space="preserve"> As taken from section 71 of the </w:t>
      </w:r>
      <w:hyperlink r:id="rId29" w:anchor="pricing-arrangements-for-specialist-disability-accommodation" w:history="1">
        <w:r w:rsidR="00D513DB" w:rsidRPr="000B2166">
          <w:rPr>
            <w:rStyle w:val="Hyperlink"/>
            <w:szCs w:val="22"/>
          </w:rPr>
          <w:t>Pricing Arrangements for Specialist Disability Accommodation 2021-22</w:t>
        </w:r>
      </w:hyperlink>
      <w:r w:rsidR="00D513DB">
        <w:rPr>
          <w:szCs w:val="22"/>
        </w:rPr>
        <w:t xml:space="preserve">, for </w:t>
      </w:r>
      <w:r w:rsidR="00D513DB">
        <w:t>legacy stock:</w:t>
      </w:r>
    </w:p>
    <w:p w14:paraId="164EF465" w14:textId="77777777" w:rsidR="00D513DB" w:rsidRPr="009614D1" w:rsidRDefault="00D513DB" w:rsidP="00D513DB">
      <w:pPr>
        <w:pStyle w:val="ListParagraph"/>
        <w:numPr>
          <w:ilvl w:val="0"/>
          <w:numId w:val="43"/>
        </w:numPr>
        <w:rPr>
          <w:i/>
        </w:rPr>
      </w:pPr>
      <w:r w:rsidRPr="009614D1">
        <w:rPr>
          <w:i/>
        </w:rPr>
        <w:t>Properties with 11 or more residents, SDA Legacy Stock payments will cease after the end of the immediate five year period after the property’s location transitions into the Scheme.</w:t>
      </w:r>
    </w:p>
    <w:p w14:paraId="6E028601" w14:textId="77777777" w:rsidR="00D513DB" w:rsidRPr="009614D1" w:rsidRDefault="00D513DB" w:rsidP="00D513DB">
      <w:pPr>
        <w:pStyle w:val="ListParagraph"/>
        <w:numPr>
          <w:ilvl w:val="0"/>
          <w:numId w:val="43"/>
        </w:numPr>
        <w:rPr>
          <w:i/>
        </w:rPr>
      </w:pPr>
      <w:r w:rsidRPr="009614D1">
        <w:rPr>
          <w:i/>
        </w:rPr>
        <w:t>Properties with 6 to 10 residents, SDA Legacy Stock payments will cease after the end of the immediate ten year period after the property’s location transitions into the Scheme.</w:t>
      </w:r>
    </w:p>
    <w:p w14:paraId="71DBC0DB" w14:textId="77777777" w:rsidR="004C03CC" w:rsidRDefault="002048C1" w:rsidP="00D513DB">
      <w:r>
        <w:t xml:space="preserve">As </w:t>
      </w:r>
      <w:r w:rsidR="00D513DB">
        <w:t xml:space="preserve">all </w:t>
      </w:r>
      <w:r>
        <w:t>legacy stock is large, congregate living arrangements</w:t>
      </w:r>
      <w:r w:rsidR="008961C7">
        <w:t xml:space="preserve"> (at least 6 residents)</w:t>
      </w:r>
      <w:r>
        <w:t xml:space="preserve">, the decrease in </w:t>
      </w:r>
      <w:r w:rsidR="008961C7">
        <w:t xml:space="preserve">legacy stock </w:t>
      </w:r>
      <w:r w:rsidR="00D513DB">
        <w:t xml:space="preserve">may reflect </w:t>
      </w:r>
      <w:r w:rsidR="009427FA">
        <w:t>some dwellings having payments ceased</w:t>
      </w:r>
      <w:r w:rsidR="00822B73">
        <w:t>, being sold</w:t>
      </w:r>
      <w:r w:rsidR="009427FA">
        <w:t xml:space="preserve"> </w:t>
      </w:r>
      <w:r w:rsidR="00D513DB">
        <w:t xml:space="preserve">or </w:t>
      </w:r>
      <w:r w:rsidR="006309D9">
        <w:t xml:space="preserve">the </w:t>
      </w:r>
      <w:r w:rsidR="00D513DB">
        <w:t xml:space="preserve">possibility of dwellings being re-purposed or re-developed. </w:t>
      </w:r>
    </w:p>
    <w:p w14:paraId="1682925D" w14:textId="77777777" w:rsidR="00C41BE7" w:rsidRDefault="007B02F7" w:rsidP="00C41BE7">
      <w:pPr>
        <w:pStyle w:val="Heading3"/>
      </w:pPr>
      <w:bookmarkStart w:id="75" w:name="_Toc86928226"/>
      <w:bookmarkStart w:id="76" w:name="_Toc86928259"/>
      <w:bookmarkStart w:id="77" w:name="_Toc87887952"/>
      <w:bookmarkStart w:id="78" w:name="_Toc89692957"/>
      <w:r>
        <w:t>L</w:t>
      </w:r>
      <w:r w:rsidR="004C03CC" w:rsidRPr="007805D1">
        <w:t>ocation</w:t>
      </w:r>
      <w:bookmarkEnd w:id="75"/>
      <w:bookmarkEnd w:id="76"/>
      <w:bookmarkEnd w:id="77"/>
      <w:bookmarkEnd w:id="78"/>
    </w:p>
    <w:p w14:paraId="2A35B68E" w14:textId="77777777" w:rsidR="00C41BE7" w:rsidRDefault="00C41BE7" w:rsidP="00C41BE7">
      <w:r w:rsidRPr="00CF5782">
        <w:t xml:space="preserve">Since </w:t>
      </w:r>
      <w:r w:rsidR="004E01D2">
        <w:t>Q4 FY20-21 (last quarter)</w:t>
      </w:r>
      <w:r>
        <w:t xml:space="preserve">, all states and territories </w:t>
      </w:r>
      <w:proofErr w:type="gramStart"/>
      <w:r w:rsidR="000C5D94">
        <w:t>except</w:t>
      </w:r>
      <w:proofErr w:type="gramEnd"/>
      <w:r w:rsidR="000C5D94">
        <w:t xml:space="preserve"> the </w:t>
      </w:r>
      <w:r>
        <w:t xml:space="preserve">Northern Territory and Tasmania </w:t>
      </w:r>
      <w:r w:rsidR="00355453">
        <w:t>(</w:t>
      </w:r>
      <w:r>
        <w:t>which remain unchanged</w:t>
      </w:r>
      <w:r w:rsidR="00355453">
        <w:t>)</w:t>
      </w:r>
      <w:r w:rsidR="00021F61">
        <w:t xml:space="preserve"> </w:t>
      </w:r>
      <w:r w:rsidR="004E01D2">
        <w:t xml:space="preserve">experienced </w:t>
      </w:r>
      <w:r>
        <w:t>increase</w:t>
      </w:r>
      <w:r w:rsidR="004E01D2">
        <w:t>s</w:t>
      </w:r>
      <w:r>
        <w:t xml:space="preserve"> </w:t>
      </w:r>
      <w:r w:rsidR="004E01D2">
        <w:t xml:space="preserve">in </w:t>
      </w:r>
      <w:r>
        <w:t>enrolled dwelling</w:t>
      </w:r>
      <w:r w:rsidR="00355453">
        <w:t xml:space="preserve"> numbers</w:t>
      </w:r>
      <w:r>
        <w:t xml:space="preserve">. The largest increase </w:t>
      </w:r>
      <w:r w:rsidR="001606BC">
        <w:t>was 42</w:t>
      </w:r>
      <w:r>
        <w:t>% in Western Australian dwellings (27 dwelling increase) followed by Queensland with a 9% increase (76 dwellings).</w:t>
      </w:r>
      <w:r w:rsidR="00995836">
        <w:t xml:space="preserve"> Nationally, there was a 5% increase in overall dwellings enrolled in the last quarter. </w:t>
      </w:r>
    </w:p>
    <w:p w14:paraId="69A924F9" w14:textId="77777777" w:rsidR="00C41BE7" w:rsidRDefault="00C41BE7" w:rsidP="00C41BE7">
      <w:r>
        <w:t xml:space="preserve">Since Q1 FY20-21 </w:t>
      </w:r>
      <w:r w:rsidRPr="00DF2F62">
        <w:t xml:space="preserve">(same time last </w:t>
      </w:r>
      <w:r w:rsidRPr="00B72D81">
        <w:t>year),</w:t>
      </w:r>
      <w:r>
        <w:t xml:space="preserve"> there </w:t>
      </w:r>
      <w:r w:rsidR="00805DB9">
        <w:t xml:space="preserve">were </w:t>
      </w:r>
      <w:r>
        <w:t>three states or territories with increases over 100%</w:t>
      </w:r>
      <w:r w:rsidR="00805DB9">
        <w:t>:</w:t>
      </w:r>
      <w:r>
        <w:t xml:space="preserve"> the Australian Capital Territory (380%, 114 dwellings), Victoria (159%, 1,077 dwellings) and Western Australia (130%, 52 dwellings).</w:t>
      </w:r>
    </w:p>
    <w:p w14:paraId="18FC57ED" w14:textId="77777777" w:rsidR="006E2000" w:rsidRDefault="006E2000" w:rsidP="00C41BE7">
      <w:r>
        <w:t>Note, although Tasmania has shown no growth in enrolled stock over recent quarters, it still has up to 203 in-kind dwellings to transition over coming quarters</w:t>
      </w:r>
      <w:r w:rsidRPr="00DF2F62">
        <w:t>.</w:t>
      </w:r>
    </w:p>
    <w:p w14:paraId="23C5CF0E" w14:textId="1EDB7A11" w:rsidR="00822B73" w:rsidRDefault="004C03CC" w:rsidP="008E1C0A">
      <w:r w:rsidRPr="007805D1">
        <w:t>Further breakdown by design category, build type and SA4 region for each state and territory can be found within ‘Table P.13’</w:t>
      </w:r>
      <w:r w:rsidR="00DD55FB">
        <w:t>,</w:t>
      </w:r>
      <w:r w:rsidRPr="007805D1">
        <w:t xml:space="preserve"> ‘Table P.14’ </w:t>
      </w:r>
      <w:r w:rsidR="00DD55FB">
        <w:t xml:space="preserve">and ‘Table P.15’ </w:t>
      </w:r>
      <w:r w:rsidRPr="007805D1">
        <w:t xml:space="preserve">in the SDA data published on the </w:t>
      </w:r>
      <w:hyperlink r:id="rId30" w:history="1">
        <w:r w:rsidRPr="007805D1" w:rsidDel="00E77F7B">
          <w:rPr>
            <w:rStyle w:val="Hyperlink"/>
            <w:rFonts w:asciiTheme="majorHAnsi" w:hAnsiTheme="majorHAnsi" w:cstheme="majorHAnsi"/>
          </w:rPr>
          <w:t>NDIS data and insights webpage</w:t>
        </w:r>
      </w:hyperlink>
      <w:r w:rsidRPr="007805D1">
        <w:t xml:space="preserve">. </w:t>
      </w:r>
    </w:p>
    <w:p w14:paraId="76A50926" w14:textId="77777777" w:rsidR="00822B73" w:rsidRDefault="00822B73">
      <w:pPr>
        <w:spacing w:line="276" w:lineRule="auto"/>
      </w:pPr>
      <w:r>
        <w:br w:type="page"/>
      </w:r>
    </w:p>
    <w:p w14:paraId="345CF86F" w14:textId="78B14E5E" w:rsidR="004C03CC" w:rsidRDefault="004C03CC" w:rsidP="00742931">
      <w:pPr>
        <w:rPr>
          <w:b/>
          <w:sz w:val="16"/>
          <w:szCs w:val="16"/>
        </w:rPr>
      </w:pPr>
      <w:r w:rsidRPr="00742931">
        <w:rPr>
          <w:b/>
          <w:sz w:val="16"/>
          <w:szCs w:val="16"/>
        </w:rPr>
        <w:lastRenderedPageBreak/>
        <w:t xml:space="preserve">Figure </w:t>
      </w:r>
      <w:r w:rsidR="005A7FC9" w:rsidRPr="00742931">
        <w:rPr>
          <w:b/>
          <w:sz w:val="16"/>
          <w:szCs w:val="16"/>
        </w:rPr>
        <w:fldChar w:fldCharType="begin"/>
      </w:r>
      <w:r w:rsidR="005A7FC9" w:rsidRPr="00742931">
        <w:rPr>
          <w:b/>
          <w:sz w:val="16"/>
          <w:szCs w:val="16"/>
        </w:rPr>
        <w:instrText xml:space="preserve"> SEQ Figure \* ARABIC </w:instrText>
      </w:r>
      <w:r w:rsidR="005A7FC9" w:rsidRPr="00742931">
        <w:rPr>
          <w:b/>
          <w:sz w:val="16"/>
          <w:szCs w:val="16"/>
        </w:rPr>
        <w:fldChar w:fldCharType="separate"/>
      </w:r>
      <w:r w:rsidR="00D402F6">
        <w:rPr>
          <w:b/>
          <w:noProof/>
          <w:sz w:val="16"/>
          <w:szCs w:val="16"/>
        </w:rPr>
        <w:t>2</w:t>
      </w:r>
      <w:r w:rsidR="005A7FC9" w:rsidRPr="00742931">
        <w:rPr>
          <w:b/>
          <w:noProof/>
          <w:sz w:val="16"/>
          <w:szCs w:val="16"/>
        </w:rPr>
        <w:fldChar w:fldCharType="end"/>
      </w:r>
      <w:r w:rsidRPr="00742931">
        <w:rPr>
          <w:b/>
          <w:sz w:val="16"/>
          <w:szCs w:val="16"/>
        </w:rPr>
        <w:t>: Enrolled SDA dwellings by state and territories (excludes in-kind arrangements)</w:t>
      </w:r>
      <w:r w:rsidR="001451B7">
        <w:rPr>
          <w:b/>
          <w:sz w:val="16"/>
          <w:szCs w:val="16"/>
        </w:rPr>
        <w:t xml:space="preserve"> since Q1 FY20-21</w:t>
      </w:r>
    </w:p>
    <w:p w14:paraId="6DB37717" w14:textId="77777777" w:rsidR="00AA72F8" w:rsidRDefault="00E62E0D" w:rsidP="00742931">
      <w:pPr>
        <w:rPr>
          <w:b/>
          <w:sz w:val="16"/>
          <w:szCs w:val="16"/>
        </w:rPr>
      </w:pPr>
      <w:r w:rsidRPr="00E62E0D">
        <w:rPr>
          <w:noProof/>
          <w:lang w:eastAsia="en-AU"/>
        </w:rPr>
        <w:drawing>
          <wp:inline distT="0" distB="0" distL="0" distR="0" wp14:anchorId="4EE871E2" wp14:editId="775CBB34">
            <wp:extent cx="5755963" cy="2878455"/>
            <wp:effectExtent l="0" t="0" r="0" b="0"/>
            <wp:docPr id="28" name="Picture 28" descr="This line graph displays the trend in the total number of SDA dwellings since Q1 FY20-21 to Q1 FY21-22. Detailed numbers can be found in the following table.&#10;&#10;New South Wales (the state with the largest number of SDA dwellings), Queensland and South Australia have seen moderate growth rates in their SDA housing stock. &#10;&#10;Victoria is generally on a similar growth trend to these jurisdictions besides for Q4 FY20-21 which saw a large spike to become the second largest state for enrolled SDA dwellings. &#10;&#10;The Australian Capital Territory and Western Australia have experienced triple digit growth rates, albeit low in total dwellings (at Q1 FY21-22, 144 and 92 dwellings respectively).&#10;&#10;The Northern Territory and Tasmania has one more dwelling in Q1 FY21-22 than it did in Q1 FY20-21." title="Figure 2: Enrolled SDA dwellings by state and territories (excludes in-kind arrangements) since Q1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5963" cy="2878455"/>
                    </a:xfrm>
                    <a:prstGeom prst="rect">
                      <a:avLst/>
                    </a:prstGeom>
                    <a:noFill/>
                    <a:ln>
                      <a:noFill/>
                    </a:ln>
                  </pic:spPr>
                </pic:pic>
              </a:graphicData>
            </a:graphic>
          </wp:inline>
        </w:drawing>
      </w:r>
    </w:p>
    <w:p w14:paraId="18EC931C" w14:textId="65A99B8D" w:rsidR="004C03CC" w:rsidRPr="00742931" w:rsidRDefault="004C03CC" w:rsidP="00742931">
      <w:pPr>
        <w:rPr>
          <w:b/>
          <w:sz w:val="16"/>
          <w:szCs w:val="16"/>
        </w:rPr>
      </w:pPr>
      <w:r w:rsidRPr="00742931">
        <w:rPr>
          <w:b/>
          <w:sz w:val="16"/>
          <w:szCs w:val="16"/>
        </w:rPr>
        <w:t xml:space="preserve">Table </w:t>
      </w:r>
      <w:r w:rsidR="005A7FC9" w:rsidRPr="00742931">
        <w:rPr>
          <w:b/>
          <w:sz w:val="16"/>
          <w:szCs w:val="16"/>
        </w:rPr>
        <w:fldChar w:fldCharType="begin"/>
      </w:r>
      <w:r w:rsidR="005A7FC9" w:rsidRPr="00742931">
        <w:rPr>
          <w:b/>
          <w:sz w:val="16"/>
          <w:szCs w:val="16"/>
        </w:rPr>
        <w:instrText xml:space="preserve"> SEQ Table \* ARABIC </w:instrText>
      </w:r>
      <w:r w:rsidR="005A7FC9" w:rsidRPr="00742931">
        <w:rPr>
          <w:b/>
          <w:sz w:val="16"/>
          <w:szCs w:val="16"/>
        </w:rPr>
        <w:fldChar w:fldCharType="separate"/>
      </w:r>
      <w:r w:rsidR="00D402F6">
        <w:rPr>
          <w:b/>
          <w:noProof/>
          <w:sz w:val="16"/>
          <w:szCs w:val="16"/>
        </w:rPr>
        <w:t>1</w:t>
      </w:r>
      <w:r w:rsidR="005A7FC9" w:rsidRPr="00742931">
        <w:rPr>
          <w:b/>
          <w:noProof/>
          <w:sz w:val="16"/>
          <w:szCs w:val="16"/>
        </w:rPr>
        <w:fldChar w:fldCharType="end"/>
      </w:r>
      <w:r w:rsidRPr="00742931">
        <w:rPr>
          <w:b/>
          <w:sz w:val="16"/>
          <w:szCs w:val="16"/>
        </w:rPr>
        <w:t>: Enrolled SDA dwellings by state and territories (excludes in-kind arrangements)</w:t>
      </w:r>
      <w:r w:rsidR="001451B7" w:rsidRPr="001451B7">
        <w:rPr>
          <w:b/>
          <w:sz w:val="16"/>
          <w:szCs w:val="16"/>
        </w:rPr>
        <w:t xml:space="preserve"> </w:t>
      </w:r>
      <w:r w:rsidR="001451B7">
        <w:rPr>
          <w:b/>
          <w:sz w:val="16"/>
          <w:szCs w:val="16"/>
        </w:rPr>
        <w:t>since Q1 FY20-21</w:t>
      </w:r>
    </w:p>
    <w:tbl>
      <w:tblPr>
        <w:tblStyle w:val="LightShading-Accent4"/>
        <w:tblW w:w="9072" w:type="dxa"/>
        <w:tblLook w:val="04A0" w:firstRow="1" w:lastRow="0" w:firstColumn="1" w:lastColumn="0" w:noHBand="0" w:noVBand="1"/>
        <w:tblCaption w:val="Table 1: Enrolled SDA dwellings by state and territories (excludes in-kind arrangements) since Q1 FY20-21"/>
        <w:tblDescription w:val="This table detailed the total SDA dwelling numbers for states and territories that sit behind the previous graph for quarters Q1 FY20-21 to Q1 FY21-22."/>
      </w:tblPr>
      <w:tblGrid>
        <w:gridCol w:w="1153"/>
        <w:gridCol w:w="1257"/>
        <w:gridCol w:w="1276"/>
        <w:gridCol w:w="1276"/>
        <w:gridCol w:w="1275"/>
        <w:gridCol w:w="1281"/>
        <w:gridCol w:w="1554"/>
      </w:tblGrid>
      <w:tr w:rsidR="00F24C5E" w:rsidRPr="0010495B" w14:paraId="61587876" w14:textId="77777777" w:rsidTr="008C3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dxa"/>
          </w:tcPr>
          <w:p w14:paraId="46D4666C" w14:textId="77777777" w:rsidR="004C03CC" w:rsidRPr="008E1C0A" w:rsidRDefault="00995836" w:rsidP="0010495B">
            <w:pPr>
              <w:rPr>
                <w:rFonts w:asciiTheme="majorHAnsi" w:hAnsiTheme="majorHAnsi" w:cstheme="majorHAnsi"/>
                <w:sz w:val="16"/>
                <w:szCs w:val="16"/>
              </w:rPr>
            </w:pPr>
            <w:r w:rsidRPr="008E1C0A">
              <w:rPr>
                <w:rFonts w:asciiTheme="majorHAnsi" w:hAnsiTheme="majorHAnsi" w:cstheme="majorHAnsi"/>
                <w:sz w:val="16"/>
                <w:szCs w:val="16"/>
              </w:rPr>
              <w:t>Date / State</w:t>
            </w:r>
          </w:p>
        </w:tc>
        <w:tc>
          <w:tcPr>
            <w:tcW w:w="1257" w:type="dxa"/>
          </w:tcPr>
          <w:p w14:paraId="5D6A217D"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30-Sep-20</w:t>
            </w:r>
          </w:p>
        </w:tc>
        <w:tc>
          <w:tcPr>
            <w:tcW w:w="1276" w:type="dxa"/>
          </w:tcPr>
          <w:p w14:paraId="4B939399"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31-Dec-20</w:t>
            </w:r>
          </w:p>
        </w:tc>
        <w:tc>
          <w:tcPr>
            <w:tcW w:w="1276" w:type="dxa"/>
          </w:tcPr>
          <w:p w14:paraId="77923097"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31-Mar-21</w:t>
            </w:r>
          </w:p>
        </w:tc>
        <w:tc>
          <w:tcPr>
            <w:tcW w:w="1275" w:type="dxa"/>
          </w:tcPr>
          <w:p w14:paraId="3E5F1328"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30-Jun-21</w:t>
            </w:r>
          </w:p>
        </w:tc>
        <w:tc>
          <w:tcPr>
            <w:tcW w:w="1281" w:type="dxa"/>
          </w:tcPr>
          <w:p w14:paraId="606EBA93"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30-Sep-21</w:t>
            </w:r>
          </w:p>
        </w:tc>
        <w:tc>
          <w:tcPr>
            <w:tcW w:w="1554" w:type="dxa"/>
          </w:tcPr>
          <w:p w14:paraId="12F87977"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 xml:space="preserve">Percentage growth from </w:t>
            </w:r>
            <w:r w:rsidR="000C5D94" w:rsidRPr="008E1C0A">
              <w:rPr>
                <w:rFonts w:asciiTheme="majorHAnsi" w:hAnsiTheme="majorHAnsi" w:cstheme="majorHAnsi"/>
                <w:sz w:val="16"/>
                <w:szCs w:val="16"/>
              </w:rPr>
              <w:t>Q4 2020</w:t>
            </w:r>
          </w:p>
        </w:tc>
      </w:tr>
      <w:tr w:rsidR="00F24C5E" w:rsidRPr="0010495B" w14:paraId="4648B58F"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1A12237B"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NSW</w:t>
            </w:r>
          </w:p>
        </w:tc>
        <w:tc>
          <w:tcPr>
            <w:tcW w:w="1257" w:type="dxa"/>
          </w:tcPr>
          <w:p w14:paraId="44E7ECA4"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2,042</w:t>
            </w:r>
          </w:p>
        </w:tc>
        <w:tc>
          <w:tcPr>
            <w:tcW w:w="1276" w:type="dxa"/>
          </w:tcPr>
          <w:p w14:paraId="106E29F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2,159</w:t>
            </w:r>
          </w:p>
        </w:tc>
        <w:tc>
          <w:tcPr>
            <w:tcW w:w="1276" w:type="dxa"/>
          </w:tcPr>
          <w:p w14:paraId="6D4BDEA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2,242</w:t>
            </w:r>
          </w:p>
        </w:tc>
        <w:tc>
          <w:tcPr>
            <w:tcW w:w="1275" w:type="dxa"/>
          </w:tcPr>
          <w:p w14:paraId="12A8F62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2,285</w:t>
            </w:r>
          </w:p>
        </w:tc>
        <w:tc>
          <w:tcPr>
            <w:tcW w:w="1281" w:type="dxa"/>
          </w:tcPr>
          <w:p w14:paraId="76F6D41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2,413</w:t>
            </w:r>
          </w:p>
        </w:tc>
        <w:tc>
          <w:tcPr>
            <w:tcW w:w="1554" w:type="dxa"/>
          </w:tcPr>
          <w:p w14:paraId="76340FA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18%</w:t>
            </w:r>
          </w:p>
        </w:tc>
      </w:tr>
      <w:tr w:rsidR="00F24C5E" w:rsidRPr="0010495B" w14:paraId="0C58C578"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6A0497"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Vic</w:t>
            </w:r>
          </w:p>
        </w:tc>
        <w:tc>
          <w:tcPr>
            <w:tcW w:w="1257" w:type="dxa"/>
          </w:tcPr>
          <w:p w14:paraId="743F064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676</w:t>
            </w:r>
          </w:p>
        </w:tc>
        <w:tc>
          <w:tcPr>
            <w:tcW w:w="1276" w:type="dxa"/>
          </w:tcPr>
          <w:p w14:paraId="30E16BC0"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753</w:t>
            </w:r>
          </w:p>
        </w:tc>
        <w:tc>
          <w:tcPr>
            <w:tcW w:w="1276" w:type="dxa"/>
          </w:tcPr>
          <w:p w14:paraId="52EF6C02"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789</w:t>
            </w:r>
          </w:p>
        </w:tc>
        <w:tc>
          <w:tcPr>
            <w:tcW w:w="1275" w:type="dxa"/>
          </w:tcPr>
          <w:p w14:paraId="460F589A"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1,693</w:t>
            </w:r>
          </w:p>
        </w:tc>
        <w:tc>
          <w:tcPr>
            <w:tcW w:w="1281" w:type="dxa"/>
          </w:tcPr>
          <w:p w14:paraId="55C6D78C"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1,753</w:t>
            </w:r>
          </w:p>
        </w:tc>
        <w:tc>
          <w:tcPr>
            <w:tcW w:w="1554" w:type="dxa"/>
          </w:tcPr>
          <w:p w14:paraId="4847FA43"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159%</w:t>
            </w:r>
          </w:p>
        </w:tc>
      </w:tr>
      <w:tr w:rsidR="00F24C5E" w:rsidRPr="0010495B" w14:paraId="5D91461C"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449C3A00"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Qld</w:t>
            </w:r>
          </w:p>
        </w:tc>
        <w:tc>
          <w:tcPr>
            <w:tcW w:w="1257" w:type="dxa"/>
          </w:tcPr>
          <w:p w14:paraId="3869EEB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621</w:t>
            </w:r>
          </w:p>
        </w:tc>
        <w:tc>
          <w:tcPr>
            <w:tcW w:w="1276" w:type="dxa"/>
          </w:tcPr>
          <w:p w14:paraId="52F6A3DD"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732</w:t>
            </w:r>
          </w:p>
        </w:tc>
        <w:tc>
          <w:tcPr>
            <w:tcW w:w="1276" w:type="dxa"/>
          </w:tcPr>
          <w:p w14:paraId="5AF92B87"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765</w:t>
            </w:r>
          </w:p>
        </w:tc>
        <w:tc>
          <w:tcPr>
            <w:tcW w:w="1275" w:type="dxa"/>
          </w:tcPr>
          <w:p w14:paraId="2407B68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840</w:t>
            </w:r>
          </w:p>
        </w:tc>
        <w:tc>
          <w:tcPr>
            <w:tcW w:w="1281" w:type="dxa"/>
          </w:tcPr>
          <w:p w14:paraId="56F1523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916</w:t>
            </w:r>
          </w:p>
        </w:tc>
        <w:tc>
          <w:tcPr>
            <w:tcW w:w="1554" w:type="dxa"/>
          </w:tcPr>
          <w:p w14:paraId="02ED1D7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48%</w:t>
            </w:r>
          </w:p>
        </w:tc>
      </w:tr>
      <w:tr w:rsidR="00F24C5E" w:rsidRPr="0010495B" w14:paraId="3DA59DE8"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293B8A20"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WA</w:t>
            </w:r>
          </w:p>
        </w:tc>
        <w:tc>
          <w:tcPr>
            <w:tcW w:w="1257" w:type="dxa"/>
          </w:tcPr>
          <w:p w14:paraId="6C2EB1F5"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40</w:t>
            </w:r>
          </w:p>
        </w:tc>
        <w:tc>
          <w:tcPr>
            <w:tcW w:w="1276" w:type="dxa"/>
          </w:tcPr>
          <w:p w14:paraId="566DF705"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54</w:t>
            </w:r>
          </w:p>
        </w:tc>
        <w:tc>
          <w:tcPr>
            <w:tcW w:w="1276" w:type="dxa"/>
          </w:tcPr>
          <w:p w14:paraId="53AA4DC3"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61</w:t>
            </w:r>
          </w:p>
        </w:tc>
        <w:tc>
          <w:tcPr>
            <w:tcW w:w="1275" w:type="dxa"/>
          </w:tcPr>
          <w:p w14:paraId="47760E9A"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65</w:t>
            </w:r>
          </w:p>
        </w:tc>
        <w:tc>
          <w:tcPr>
            <w:tcW w:w="1281" w:type="dxa"/>
          </w:tcPr>
          <w:p w14:paraId="171AFED8"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92</w:t>
            </w:r>
          </w:p>
        </w:tc>
        <w:tc>
          <w:tcPr>
            <w:tcW w:w="1554" w:type="dxa"/>
          </w:tcPr>
          <w:p w14:paraId="01AF503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130%</w:t>
            </w:r>
          </w:p>
        </w:tc>
      </w:tr>
      <w:tr w:rsidR="00F24C5E" w:rsidRPr="0010495B" w14:paraId="684D204A"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15A7A926"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SA</w:t>
            </w:r>
          </w:p>
        </w:tc>
        <w:tc>
          <w:tcPr>
            <w:tcW w:w="1257" w:type="dxa"/>
          </w:tcPr>
          <w:p w14:paraId="5C10D571"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999</w:t>
            </w:r>
          </w:p>
        </w:tc>
        <w:tc>
          <w:tcPr>
            <w:tcW w:w="1276" w:type="dxa"/>
          </w:tcPr>
          <w:p w14:paraId="0CD94A9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1,010</w:t>
            </w:r>
          </w:p>
        </w:tc>
        <w:tc>
          <w:tcPr>
            <w:tcW w:w="1276" w:type="dxa"/>
          </w:tcPr>
          <w:p w14:paraId="070E291E"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1,040</w:t>
            </w:r>
          </w:p>
        </w:tc>
        <w:tc>
          <w:tcPr>
            <w:tcW w:w="1275" w:type="dxa"/>
          </w:tcPr>
          <w:p w14:paraId="454C1D38"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1,126</w:t>
            </w:r>
          </w:p>
        </w:tc>
        <w:tc>
          <w:tcPr>
            <w:tcW w:w="1281" w:type="dxa"/>
          </w:tcPr>
          <w:p w14:paraId="1409C57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1,171</w:t>
            </w:r>
          </w:p>
        </w:tc>
        <w:tc>
          <w:tcPr>
            <w:tcW w:w="1554" w:type="dxa"/>
          </w:tcPr>
          <w:p w14:paraId="55E90AB8"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17%</w:t>
            </w:r>
          </w:p>
        </w:tc>
      </w:tr>
      <w:tr w:rsidR="00F24C5E" w:rsidRPr="0010495B" w14:paraId="224904DE"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71DCA2DA"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Tas</w:t>
            </w:r>
          </w:p>
        </w:tc>
        <w:tc>
          <w:tcPr>
            <w:tcW w:w="1257" w:type="dxa"/>
          </w:tcPr>
          <w:p w14:paraId="38607B95"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42</w:t>
            </w:r>
          </w:p>
        </w:tc>
        <w:tc>
          <w:tcPr>
            <w:tcW w:w="1276" w:type="dxa"/>
          </w:tcPr>
          <w:p w14:paraId="6871DCA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43</w:t>
            </w:r>
          </w:p>
        </w:tc>
        <w:tc>
          <w:tcPr>
            <w:tcW w:w="1276" w:type="dxa"/>
          </w:tcPr>
          <w:p w14:paraId="732B6848"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42</w:t>
            </w:r>
          </w:p>
        </w:tc>
        <w:tc>
          <w:tcPr>
            <w:tcW w:w="1275" w:type="dxa"/>
          </w:tcPr>
          <w:p w14:paraId="634C7C07"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43</w:t>
            </w:r>
          </w:p>
        </w:tc>
        <w:tc>
          <w:tcPr>
            <w:tcW w:w="1281" w:type="dxa"/>
          </w:tcPr>
          <w:p w14:paraId="083F0BB6"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43</w:t>
            </w:r>
          </w:p>
        </w:tc>
        <w:tc>
          <w:tcPr>
            <w:tcW w:w="1554" w:type="dxa"/>
          </w:tcPr>
          <w:p w14:paraId="75B0FF8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w:t>
            </w:r>
          </w:p>
        </w:tc>
      </w:tr>
      <w:tr w:rsidR="00F24C5E" w:rsidRPr="0010495B" w14:paraId="0398ABC7"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64C6C1F"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ACT</w:t>
            </w:r>
          </w:p>
        </w:tc>
        <w:tc>
          <w:tcPr>
            <w:tcW w:w="1257" w:type="dxa"/>
          </w:tcPr>
          <w:p w14:paraId="1CDCD94D"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30</w:t>
            </w:r>
          </w:p>
        </w:tc>
        <w:tc>
          <w:tcPr>
            <w:tcW w:w="1276" w:type="dxa"/>
          </w:tcPr>
          <w:p w14:paraId="5F8911F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142</w:t>
            </w:r>
          </w:p>
        </w:tc>
        <w:tc>
          <w:tcPr>
            <w:tcW w:w="1276" w:type="dxa"/>
          </w:tcPr>
          <w:p w14:paraId="2884583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142</w:t>
            </w:r>
          </w:p>
        </w:tc>
        <w:tc>
          <w:tcPr>
            <w:tcW w:w="1275" w:type="dxa"/>
          </w:tcPr>
          <w:p w14:paraId="783974D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143</w:t>
            </w:r>
          </w:p>
        </w:tc>
        <w:tc>
          <w:tcPr>
            <w:tcW w:w="1281" w:type="dxa"/>
          </w:tcPr>
          <w:p w14:paraId="4F438EA1"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144</w:t>
            </w:r>
          </w:p>
        </w:tc>
        <w:tc>
          <w:tcPr>
            <w:tcW w:w="1554" w:type="dxa"/>
          </w:tcPr>
          <w:p w14:paraId="6DC39785"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380%</w:t>
            </w:r>
          </w:p>
        </w:tc>
      </w:tr>
      <w:tr w:rsidR="00F24C5E" w:rsidRPr="0010495B" w14:paraId="1375B52E" w14:textId="77777777" w:rsidTr="008E1C0A">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3" w:type="dxa"/>
          </w:tcPr>
          <w:p w14:paraId="1302987C"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NT</w:t>
            </w:r>
          </w:p>
        </w:tc>
        <w:tc>
          <w:tcPr>
            <w:tcW w:w="1257" w:type="dxa"/>
          </w:tcPr>
          <w:p w14:paraId="65A08072"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28</w:t>
            </w:r>
          </w:p>
        </w:tc>
        <w:tc>
          <w:tcPr>
            <w:tcW w:w="1276" w:type="dxa"/>
          </w:tcPr>
          <w:p w14:paraId="596C867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28</w:t>
            </w:r>
          </w:p>
        </w:tc>
        <w:tc>
          <w:tcPr>
            <w:tcW w:w="1276" w:type="dxa"/>
          </w:tcPr>
          <w:p w14:paraId="336FFA32"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28</w:t>
            </w:r>
          </w:p>
        </w:tc>
        <w:tc>
          <w:tcPr>
            <w:tcW w:w="1275" w:type="dxa"/>
          </w:tcPr>
          <w:p w14:paraId="69DE1E03"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29</w:t>
            </w:r>
          </w:p>
        </w:tc>
        <w:tc>
          <w:tcPr>
            <w:tcW w:w="1281" w:type="dxa"/>
          </w:tcPr>
          <w:p w14:paraId="09324EB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29</w:t>
            </w:r>
          </w:p>
        </w:tc>
        <w:tc>
          <w:tcPr>
            <w:tcW w:w="1554" w:type="dxa"/>
          </w:tcPr>
          <w:p w14:paraId="6A031627"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8E1C0A">
              <w:rPr>
                <w:rFonts w:asciiTheme="minorHAnsi" w:hAnsiTheme="minorHAnsi" w:cstheme="minorHAnsi"/>
                <w:sz w:val="16"/>
                <w:szCs w:val="16"/>
              </w:rPr>
              <w:t>4%</w:t>
            </w:r>
          </w:p>
        </w:tc>
      </w:tr>
      <w:tr w:rsidR="00F24C5E" w:rsidRPr="0010495B" w14:paraId="7751D578"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25B4657A" w14:textId="77777777" w:rsidR="008C1DA5" w:rsidRPr="008E1C0A" w:rsidRDefault="008C1DA5" w:rsidP="0010495B">
            <w:pPr>
              <w:rPr>
                <w:rFonts w:asciiTheme="minorHAnsi" w:hAnsiTheme="minorHAnsi" w:cstheme="minorHAnsi"/>
                <w:sz w:val="16"/>
                <w:szCs w:val="16"/>
              </w:rPr>
            </w:pPr>
            <w:r w:rsidRPr="008E1C0A">
              <w:rPr>
                <w:rFonts w:asciiTheme="minorHAnsi" w:hAnsiTheme="minorHAnsi" w:cstheme="minorHAnsi"/>
                <w:sz w:val="16"/>
                <w:szCs w:val="16"/>
              </w:rPr>
              <w:t>National</w:t>
            </w:r>
          </w:p>
        </w:tc>
        <w:tc>
          <w:tcPr>
            <w:tcW w:w="1257" w:type="dxa"/>
          </w:tcPr>
          <w:p w14:paraId="14A5C2E7"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8E1C0A">
              <w:rPr>
                <w:rFonts w:asciiTheme="minorHAnsi" w:hAnsiTheme="minorHAnsi" w:cstheme="minorHAnsi"/>
                <w:b/>
                <w:sz w:val="16"/>
                <w:szCs w:val="16"/>
              </w:rPr>
              <w:t>4,478</w:t>
            </w:r>
          </w:p>
        </w:tc>
        <w:tc>
          <w:tcPr>
            <w:tcW w:w="1276" w:type="dxa"/>
          </w:tcPr>
          <w:p w14:paraId="3632D9A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8E1C0A">
              <w:rPr>
                <w:rFonts w:asciiTheme="minorHAnsi" w:hAnsiTheme="minorHAnsi" w:cstheme="minorHAnsi"/>
                <w:b/>
                <w:sz w:val="16"/>
                <w:szCs w:val="16"/>
              </w:rPr>
              <w:t>4,921</w:t>
            </w:r>
          </w:p>
        </w:tc>
        <w:tc>
          <w:tcPr>
            <w:tcW w:w="1276" w:type="dxa"/>
          </w:tcPr>
          <w:p w14:paraId="57D3DAC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8E1C0A">
              <w:rPr>
                <w:rFonts w:asciiTheme="minorHAnsi" w:hAnsiTheme="minorHAnsi" w:cstheme="minorHAnsi"/>
                <w:b/>
                <w:sz w:val="16"/>
                <w:szCs w:val="16"/>
              </w:rPr>
              <w:t>5,109</w:t>
            </w:r>
          </w:p>
        </w:tc>
        <w:tc>
          <w:tcPr>
            <w:tcW w:w="1275" w:type="dxa"/>
          </w:tcPr>
          <w:p w14:paraId="757D676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8E1C0A">
              <w:rPr>
                <w:rFonts w:asciiTheme="minorHAnsi" w:hAnsiTheme="minorHAnsi" w:cstheme="minorHAnsi"/>
                <w:b/>
                <w:sz w:val="16"/>
                <w:szCs w:val="16"/>
              </w:rPr>
              <w:t>6,224</w:t>
            </w:r>
          </w:p>
        </w:tc>
        <w:tc>
          <w:tcPr>
            <w:tcW w:w="1281" w:type="dxa"/>
          </w:tcPr>
          <w:p w14:paraId="66F4A319"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8E1C0A">
              <w:rPr>
                <w:rFonts w:asciiTheme="minorHAnsi" w:hAnsiTheme="minorHAnsi" w:cstheme="minorHAnsi"/>
                <w:b/>
                <w:sz w:val="16"/>
                <w:szCs w:val="16"/>
              </w:rPr>
              <w:t>6,561</w:t>
            </w:r>
          </w:p>
        </w:tc>
        <w:tc>
          <w:tcPr>
            <w:tcW w:w="1554" w:type="dxa"/>
          </w:tcPr>
          <w:p w14:paraId="5221D76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8E1C0A">
              <w:rPr>
                <w:rFonts w:asciiTheme="minorHAnsi" w:hAnsiTheme="minorHAnsi" w:cstheme="minorHAnsi"/>
                <w:b/>
                <w:sz w:val="16"/>
                <w:szCs w:val="16"/>
              </w:rPr>
              <w:t>47%</w:t>
            </w:r>
          </w:p>
        </w:tc>
      </w:tr>
    </w:tbl>
    <w:p w14:paraId="1977663D" w14:textId="77777777" w:rsidR="004C03CC" w:rsidRPr="00725A2E" w:rsidRDefault="00821245" w:rsidP="004C03CC">
      <w:pPr>
        <w:rPr>
          <w:sz w:val="14"/>
          <w:szCs w:val="14"/>
        </w:rPr>
      </w:pPr>
      <w:r w:rsidRPr="00725A2E">
        <w:rPr>
          <w:sz w:val="14"/>
          <w:szCs w:val="14"/>
        </w:rPr>
        <w:t xml:space="preserve">Note: this is the number of enrolled dwellings in a jurisdiction and does not equal the total number of potential </w:t>
      </w:r>
      <w:r w:rsidR="00822B73" w:rsidRPr="00725A2E">
        <w:rPr>
          <w:sz w:val="14"/>
          <w:szCs w:val="14"/>
        </w:rPr>
        <w:t xml:space="preserve">SDA </w:t>
      </w:r>
      <w:r w:rsidRPr="00725A2E">
        <w:rPr>
          <w:sz w:val="14"/>
          <w:szCs w:val="14"/>
        </w:rPr>
        <w:t>residents.</w:t>
      </w:r>
    </w:p>
    <w:p w14:paraId="1499FF90" w14:textId="77777777" w:rsidR="004C03CC" w:rsidRPr="001F2C5F" w:rsidRDefault="004C03CC" w:rsidP="004C03CC">
      <w:pPr>
        <w:rPr>
          <w:b/>
        </w:rPr>
      </w:pPr>
      <w:r w:rsidRPr="001F2C5F">
        <w:rPr>
          <w:b/>
        </w:rPr>
        <w:t>NDIA observations</w:t>
      </w:r>
    </w:p>
    <w:p w14:paraId="72EE0323" w14:textId="77777777" w:rsidR="00995836" w:rsidRDefault="00C41BE7" w:rsidP="00C41BE7">
      <w:r w:rsidRPr="00DF2F62">
        <w:t xml:space="preserve">Total enrolled SDA dwellings have </w:t>
      </w:r>
      <w:r w:rsidR="00995836">
        <w:t>grown by 47</w:t>
      </w:r>
      <w:r w:rsidRPr="00DF2F62">
        <w:t xml:space="preserve">% from </w:t>
      </w:r>
      <w:r w:rsidR="00995836">
        <w:t>the same time last year</w:t>
      </w:r>
      <w:r w:rsidR="004E01D2">
        <w:t xml:space="preserve"> (Q1 FY20-21)</w:t>
      </w:r>
      <w:r w:rsidR="00995836">
        <w:t xml:space="preserve">. </w:t>
      </w:r>
      <w:r w:rsidR="00E765DC">
        <w:t>Further observations for Western Australia, Victoria and the Australian Capital Territory, which experienced the largest increases are as follows.</w:t>
      </w:r>
    </w:p>
    <w:p w14:paraId="2FFB4F06" w14:textId="30FDF114" w:rsidR="00995836" w:rsidRDefault="00995836" w:rsidP="00995836">
      <w:pPr>
        <w:pStyle w:val="ListParagraph"/>
        <w:numPr>
          <w:ilvl w:val="0"/>
          <w:numId w:val="33"/>
        </w:numPr>
      </w:pPr>
      <w:r>
        <w:t xml:space="preserve">Western Australia’s </w:t>
      </w:r>
      <w:r w:rsidR="00805DB9">
        <w:t xml:space="preserve">stock </w:t>
      </w:r>
      <w:r>
        <w:t xml:space="preserve">continues to grow </w:t>
      </w:r>
      <w:r w:rsidR="00805DB9">
        <w:t>because, being</w:t>
      </w:r>
      <w:r>
        <w:t xml:space="preserve"> the last </w:t>
      </w:r>
      <w:r w:rsidR="00805DB9">
        <w:t>jurisdiction</w:t>
      </w:r>
      <w:r w:rsidR="00DC6FAA">
        <w:t xml:space="preserve"> </w:t>
      </w:r>
      <w:r>
        <w:t xml:space="preserve">to join the </w:t>
      </w:r>
      <w:r w:rsidR="004E01D2">
        <w:t>NDIS</w:t>
      </w:r>
      <w:r w:rsidR="00805DB9">
        <w:t>,</w:t>
      </w:r>
      <w:r>
        <w:t xml:space="preserve"> SDA is </w:t>
      </w:r>
      <w:r w:rsidR="00805DB9">
        <w:t xml:space="preserve">still </w:t>
      </w:r>
      <w:r>
        <w:t xml:space="preserve">a </w:t>
      </w:r>
      <w:r w:rsidR="00805DB9">
        <w:t xml:space="preserve">relatively </w:t>
      </w:r>
      <w:r>
        <w:t xml:space="preserve">new </w:t>
      </w:r>
      <w:r w:rsidR="00E765DC">
        <w:t>support</w:t>
      </w:r>
      <w:r>
        <w:t xml:space="preserve">. There </w:t>
      </w:r>
      <w:r w:rsidR="00805DB9">
        <w:t xml:space="preserve">are </w:t>
      </w:r>
      <w:r>
        <w:t xml:space="preserve">likely to be further increases in </w:t>
      </w:r>
      <w:r w:rsidR="00805DB9">
        <w:t xml:space="preserve">enrolled stock over </w:t>
      </w:r>
      <w:r>
        <w:t xml:space="preserve">future quarters as the </w:t>
      </w:r>
      <w:r w:rsidR="00805DB9">
        <w:t>W</w:t>
      </w:r>
      <w:r w:rsidR="004E01D2">
        <w:t xml:space="preserve">estern </w:t>
      </w:r>
      <w:r w:rsidR="00805DB9">
        <w:t>A</w:t>
      </w:r>
      <w:r w:rsidR="004E01D2">
        <w:t>ustralian</w:t>
      </w:r>
      <w:r w:rsidR="00805DB9">
        <w:t xml:space="preserve"> </w:t>
      </w:r>
      <w:r>
        <w:t xml:space="preserve">Government </w:t>
      </w:r>
      <w:r w:rsidR="00DC45A2">
        <w:t xml:space="preserve">enrols their SDA with </w:t>
      </w:r>
      <w:r>
        <w:t>the</w:t>
      </w:r>
      <w:r w:rsidRPr="00DF2F62">
        <w:t xml:space="preserve"> NDIS</w:t>
      </w:r>
      <w:r w:rsidR="00805DB9">
        <w:t xml:space="preserve">, in </w:t>
      </w:r>
      <w:r w:rsidR="001451B7">
        <w:t>addition</w:t>
      </w:r>
      <w:r>
        <w:t xml:space="preserve"> </w:t>
      </w:r>
      <w:r w:rsidR="00805DB9">
        <w:t xml:space="preserve">to new </w:t>
      </w:r>
      <w:r>
        <w:t>dwellings</w:t>
      </w:r>
      <w:r w:rsidR="00805DB9">
        <w:t xml:space="preserve"> supplied by the market</w:t>
      </w:r>
      <w:r>
        <w:t xml:space="preserve"> (see section </w:t>
      </w:r>
      <w:r w:rsidR="00651E78">
        <w:fldChar w:fldCharType="begin"/>
      </w:r>
      <w:r w:rsidR="00651E78">
        <w:instrText xml:space="preserve"> REF _Ref87950332 \r \h </w:instrText>
      </w:r>
      <w:r w:rsidR="00651E78">
        <w:fldChar w:fldCharType="separate"/>
      </w:r>
      <w:r w:rsidR="00D402F6">
        <w:t>2.7</w:t>
      </w:r>
      <w:r w:rsidR="00651E78">
        <w:fldChar w:fldCharType="end"/>
      </w:r>
      <w:r>
        <w:t xml:space="preserve"> for </w:t>
      </w:r>
      <w:r w:rsidR="00E834BB">
        <w:t>pipeline</w:t>
      </w:r>
      <w:r>
        <w:t xml:space="preserve"> dwellings).</w:t>
      </w:r>
    </w:p>
    <w:p w14:paraId="57137604" w14:textId="77777777" w:rsidR="00995836" w:rsidRDefault="00805DB9" w:rsidP="00995836">
      <w:pPr>
        <w:pStyle w:val="ListParagraph"/>
        <w:numPr>
          <w:ilvl w:val="0"/>
          <w:numId w:val="33"/>
        </w:numPr>
      </w:pPr>
      <w:r>
        <w:t>The m</w:t>
      </w:r>
      <w:r w:rsidR="00995836">
        <w:t xml:space="preserve">ajority of Victoria’s growth in enrolled dwellings over the last year was </w:t>
      </w:r>
      <w:r w:rsidR="00C41BE7" w:rsidRPr="00DF2F62">
        <w:t xml:space="preserve">due to the transfer from in-kind arrangements completed during Q4 FY20-21. </w:t>
      </w:r>
    </w:p>
    <w:p w14:paraId="20A35351" w14:textId="77777777" w:rsidR="00C41BE7" w:rsidRDefault="00995836" w:rsidP="00995836">
      <w:pPr>
        <w:pStyle w:val="ListParagraph"/>
        <w:numPr>
          <w:ilvl w:val="0"/>
          <w:numId w:val="33"/>
        </w:numPr>
      </w:pPr>
      <w:r>
        <w:lastRenderedPageBreak/>
        <w:t>The</w:t>
      </w:r>
      <w:r w:rsidR="00C41BE7">
        <w:t xml:space="preserve"> </w:t>
      </w:r>
      <w:r w:rsidR="00C41BE7" w:rsidRPr="00DF2F62">
        <w:t>growth in the Australian Capital Territory</w:t>
      </w:r>
      <w:r>
        <w:t xml:space="preserve"> </w:t>
      </w:r>
      <w:r w:rsidR="00C10858">
        <w:t xml:space="preserve">is largely from </w:t>
      </w:r>
      <w:r w:rsidR="004E01D2">
        <w:t>Australian Capital Territory</w:t>
      </w:r>
      <w:r w:rsidR="00C41BE7" w:rsidRPr="00DF2F62">
        <w:t xml:space="preserve"> Government</w:t>
      </w:r>
      <w:r w:rsidR="00C10858">
        <w:t xml:space="preserve"> </w:t>
      </w:r>
      <w:r w:rsidR="00AA72F8">
        <w:t xml:space="preserve">owned dwellings </w:t>
      </w:r>
      <w:r w:rsidR="00C10858">
        <w:t>b</w:t>
      </w:r>
      <w:r w:rsidR="005714EA">
        <w:t>ecoming</w:t>
      </w:r>
      <w:r w:rsidR="00C10858">
        <w:t xml:space="preserve"> enrolled</w:t>
      </w:r>
      <w:r w:rsidR="00C41BE7" w:rsidRPr="00DF2F62">
        <w:t>.</w:t>
      </w:r>
    </w:p>
    <w:p w14:paraId="34C0186D" w14:textId="77777777" w:rsidR="006426B0" w:rsidRDefault="007B02F7" w:rsidP="006426B0">
      <w:pPr>
        <w:pStyle w:val="Heading3"/>
      </w:pPr>
      <w:bookmarkStart w:id="79" w:name="_Toc79414573"/>
      <w:bookmarkStart w:id="80" w:name="_Toc79493383"/>
      <w:bookmarkStart w:id="81" w:name="_Toc79684608"/>
      <w:bookmarkStart w:id="82" w:name="_Toc87887953"/>
      <w:bookmarkStart w:id="83" w:name="_Ref88141147"/>
      <w:bookmarkStart w:id="84" w:name="_Toc89692958"/>
      <w:bookmarkEnd w:id="79"/>
      <w:r>
        <w:t>D</w:t>
      </w:r>
      <w:r w:rsidR="006426B0" w:rsidRPr="00DF2F62">
        <w:t>esign category</w:t>
      </w:r>
      <w:bookmarkEnd w:id="80"/>
      <w:bookmarkEnd w:id="81"/>
      <w:bookmarkEnd w:id="82"/>
      <w:bookmarkEnd w:id="83"/>
      <w:bookmarkEnd w:id="84"/>
    </w:p>
    <w:p w14:paraId="4875EACF" w14:textId="77777777" w:rsidR="0032377B" w:rsidRDefault="0032377B" w:rsidP="0032377B">
      <w:r>
        <w:t xml:space="preserve">Since the </w:t>
      </w:r>
      <w:r w:rsidR="004E01D2">
        <w:t>Q4 FY20-21 (</w:t>
      </w:r>
      <w:r>
        <w:t>last quarter</w:t>
      </w:r>
      <w:r w:rsidR="004E01D2">
        <w:t>)</w:t>
      </w:r>
      <w:r>
        <w:t xml:space="preserve">, </w:t>
      </w:r>
      <w:r w:rsidR="00CD1D6A">
        <w:t xml:space="preserve">dwelling numbers have increased </w:t>
      </w:r>
      <w:r>
        <w:t>across all design categories</w:t>
      </w:r>
      <w:r w:rsidR="00CD1D6A">
        <w:t xml:space="preserve">. The </w:t>
      </w:r>
      <w:r>
        <w:t>largest increase</w:t>
      </w:r>
      <w:r w:rsidR="00CD1D6A">
        <w:t>, in both absolute and relative terms,</w:t>
      </w:r>
      <w:r>
        <w:t xml:space="preserve"> </w:t>
      </w:r>
      <w:r w:rsidR="006D4149">
        <w:t>were dwellings of the</w:t>
      </w:r>
      <w:r>
        <w:t xml:space="preserve"> high physical support </w:t>
      </w:r>
      <w:r w:rsidR="006D4149">
        <w:t>design category</w:t>
      </w:r>
      <w:r>
        <w:t xml:space="preserve"> (12%, 173 dwellings).</w:t>
      </w:r>
      <w:r w:rsidR="00CD1D6A">
        <w:t xml:space="preserve"> </w:t>
      </w:r>
      <w:r w:rsidR="00581628">
        <w:t>H</w:t>
      </w:r>
      <w:r w:rsidR="00CD1D6A">
        <w:t xml:space="preserve">igh physical support </w:t>
      </w:r>
      <w:r w:rsidR="006D4149">
        <w:t>dwellings</w:t>
      </w:r>
      <w:r w:rsidR="00CD1D6A">
        <w:t xml:space="preserve"> accounted for the majority (51%) of the total increase of 337 </w:t>
      </w:r>
      <w:r w:rsidR="001451B7">
        <w:t>dwellings</w:t>
      </w:r>
      <w:r w:rsidR="00CD1D6A">
        <w:t xml:space="preserve"> since last quarter.</w:t>
      </w:r>
    </w:p>
    <w:p w14:paraId="6EBDDF8A" w14:textId="77777777" w:rsidR="00CD1D6A" w:rsidRDefault="0032377B" w:rsidP="0032377B">
      <w:r>
        <w:t xml:space="preserve">Since Q1 FY20-21 </w:t>
      </w:r>
      <w:r w:rsidRPr="00DF2F62">
        <w:t xml:space="preserve">(same time last </w:t>
      </w:r>
      <w:r w:rsidRPr="00B72D81">
        <w:t>year),</w:t>
      </w:r>
      <w:r>
        <w:t xml:space="preserve"> </w:t>
      </w:r>
      <w:r w:rsidR="006D4149">
        <w:t xml:space="preserve">the number of </w:t>
      </w:r>
      <w:r>
        <w:t xml:space="preserve">high physical support dwellings </w:t>
      </w:r>
      <w:r w:rsidR="00CD1D6A">
        <w:t xml:space="preserve">has </w:t>
      </w:r>
      <w:r w:rsidR="00E765DC">
        <w:t>increased in</w:t>
      </w:r>
      <w:r>
        <w:t xml:space="preserve"> </w:t>
      </w:r>
      <w:r w:rsidR="00CD1D6A">
        <w:t xml:space="preserve">absolute and relative </w:t>
      </w:r>
      <w:r w:rsidR="001606BC">
        <w:t>terms (</w:t>
      </w:r>
      <w:r>
        <w:t>106%, 836 dwellings)</w:t>
      </w:r>
      <w:r w:rsidR="00CD1D6A">
        <w:t>.</w:t>
      </w:r>
      <w:r w:rsidR="00355453">
        <w:t xml:space="preserve"> </w:t>
      </w:r>
      <w:r w:rsidR="00CD1D6A">
        <w:t>There w</w:t>
      </w:r>
      <w:r w:rsidR="006D4149">
        <w:t>ere</w:t>
      </w:r>
      <w:r w:rsidR="00CD1D6A">
        <w:t xml:space="preserve"> also substantial increases in improved liveability (454 dwellings)</w:t>
      </w:r>
      <w:r w:rsidR="00AB31E5">
        <w:t>, fully accessible (361 dwellings)</w:t>
      </w:r>
      <w:r w:rsidR="00CD1D6A">
        <w:t xml:space="preserve"> and basic (251 dwellings)</w:t>
      </w:r>
      <w:r w:rsidR="00856D16">
        <w:t>. M</w:t>
      </w:r>
      <w:r w:rsidR="00BB7DB6">
        <w:t xml:space="preserve">uch of this </w:t>
      </w:r>
      <w:r w:rsidR="00856D16">
        <w:t xml:space="preserve">was </w:t>
      </w:r>
      <w:r w:rsidR="00BB7DB6">
        <w:t xml:space="preserve">attributable to Victoria’s </w:t>
      </w:r>
      <w:r w:rsidR="00266640">
        <w:t xml:space="preserve">in-kind stock being transferred to enrolled dwellings </w:t>
      </w:r>
      <w:r w:rsidR="00BB7DB6">
        <w:t>in Q4 FY20-21</w:t>
      </w:r>
      <w:r w:rsidR="00CD1D6A">
        <w:t xml:space="preserve">. While robust </w:t>
      </w:r>
      <w:r w:rsidR="00E765DC">
        <w:t>categories had</w:t>
      </w:r>
      <w:r w:rsidR="00CD1D6A">
        <w:t xml:space="preserve"> solid relative growth (84%) absolute numbers remain smaller than any other category (181 dwellings)</w:t>
      </w:r>
      <w:r w:rsidR="00706D08">
        <w:t>.</w:t>
      </w:r>
    </w:p>
    <w:p w14:paraId="053590E5" w14:textId="77777777" w:rsidR="00706D08" w:rsidRDefault="00706D08" w:rsidP="0032377B">
      <w:r>
        <w:t xml:space="preserve">For individual states and territories, there is </w:t>
      </w:r>
      <w:r w:rsidR="006D4149">
        <w:t xml:space="preserve">a </w:t>
      </w:r>
      <w:r>
        <w:t xml:space="preserve">noticeably large proportion of basic SDA dwelling stock in South Australia </w:t>
      </w:r>
      <w:r w:rsidR="00665A25">
        <w:t xml:space="preserve">and New South Wales </w:t>
      </w:r>
      <w:r>
        <w:t xml:space="preserve">(approximately </w:t>
      </w:r>
      <w:r w:rsidR="00665A25">
        <w:t xml:space="preserve">48% and </w:t>
      </w:r>
      <w:r>
        <w:t>4</w:t>
      </w:r>
      <w:r w:rsidR="00665A25">
        <w:t>6</w:t>
      </w:r>
      <w:r>
        <w:t>%, respectively)</w:t>
      </w:r>
      <w:r w:rsidR="009F2F36">
        <w:t>. No</w:t>
      </w:r>
      <w:r w:rsidR="00822B73">
        <w:t>t including basic stock,</w:t>
      </w:r>
      <w:r w:rsidR="009F2F36">
        <w:t xml:space="preserve"> improved liveability and high physical support dwellings </w:t>
      </w:r>
      <w:r w:rsidR="00581628">
        <w:t>have</w:t>
      </w:r>
      <w:r w:rsidR="009F2F36">
        <w:t xml:space="preserve"> the highest proportions in states and territories besides </w:t>
      </w:r>
      <w:r w:rsidR="00822B73">
        <w:t xml:space="preserve">for </w:t>
      </w:r>
      <w:r w:rsidR="00AB31E5">
        <w:t xml:space="preserve">Northern Territory </w:t>
      </w:r>
      <w:r w:rsidR="009F2F36">
        <w:t xml:space="preserve">and Western Australia </w:t>
      </w:r>
      <w:r w:rsidR="006D4149">
        <w:t xml:space="preserve">which have </w:t>
      </w:r>
      <w:r w:rsidR="009F2F36">
        <w:t xml:space="preserve">higher proportions of fully accessible dwellings. </w:t>
      </w:r>
    </w:p>
    <w:p w14:paraId="73045A0F" w14:textId="0B608B19" w:rsidR="00F312B5" w:rsidRDefault="00F312B5" w:rsidP="0094431F">
      <w:r>
        <w:t xml:space="preserve">Further breakdown </w:t>
      </w:r>
      <w:r w:rsidRPr="00C03E1F">
        <w:t>by SA4 region</w:t>
      </w:r>
      <w:r>
        <w:t xml:space="preserve">s in </w:t>
      </w:r>
      <w:r w:rsidRPr="00C03E1F">
        <w:t>state</w:t>
      </w:r>
      <w:r>
        <w:t>s</w:t>
      </w:r>
      <w:r w:rsidRPr="00C03E1F">
        <w:t xml:space="preserve"> and territories </w:t>
      </w:r>
      <w:r w:rsidR="00E765DC">
        <w:t>is in</w:t>
      </w:r>
      <w:r>
        <w:t xml:space="preserve"> ‘Table P.5’ </w:t>
      </w:r>
      <w:r w:rsidRPr="00C03E1F">
        <w:t xml:space="preserve">in the </w:t>
      </w:r>
      <w:hyperlink r:id="rId32" w:history="1">
        <w:r w:rsidR="00821245" w:rsidRPr="00821245">
          <w:rPr>
            <w:rStyle w:val="Hyperlink"/>
          </w:rPr>
          <w:t>NDIS quarterly report to disability ministers</w:t>
        </w:r>
      </w:hyperlink>
      <w:r w:rsidRPr="00C03E1F">
        <w:t xml:space="preserve">. </w:t>
      </w:r>
      <w:r w:rsidR="0032377B">
        <w:t xml:space="preserve">For a </w:t>
      </w:r>
      <w:r w:rsidR="0032377B" w:rsidRPr="007805D1">
        <w:t xml:space="preserve">breakdown by design category, </w:t>
      </w:r>
      <w:r w:rsidR="00894532">
        <w:t>SDA</w:t>
      </w:r>
      <w:r w:rsidR="0032377B" w:rsidRPr="007805D1">
        <w:t xml:space="preserve"> type</w:t>
      </w:r>
      <w:r w:rsidR="00AA72F8">
        <w:t xml:space="preserve"> and</w:t>
      </w:r>
      <w:r w:rsidR="0032377B" w:rsidRPr="007805D1">
        <w:t xml:space="preserve"> SA4 region for each state and territory</w:t>
      </w:r>
      <w:r w:rsidR="0032377B">
        <w:t xml:space="preserve">, refer to </w:t>
      </w:r>
      <w:r w:rsidR="0032377B" w:rsidRPr="007805D1">
        <w:t>‘Table P.13’</w:t>
      </w:r>
      <w:r w:rsidR="00AA72F8">
        <w:t>,</w:t>
      </w:r>
      <w:r w:rsidR="0032377B" w:rsidRPr="007805D1">
        <w:t xml:space="preserve"> ‘Table P.14’ </w:t>
      </w:r>
      <w:r w:rsidR="00AA72F8">
        <w:t xml:space="preserve">and ‘Table P.15’ </w:t>
      </w:r>
      <w:r w:rsidR="0032377B" w:rsidRPr="007805D1">
        <w:t xml:space="preserve">in the SDA data published on the </w:t>
      </w:r>
      <w:hyperlink r:id="rId33" w:history="1">
        <w:r w:rsidR="0032377B" w:rsidRPr="007805D1" w:rsidDel="00E77F7B">
          <w:rPr>
            <w:rStyle w:val="Hyperlink"/>
            <w:rFonts w:asciiTheme="majorHAnsi" w:hAnsiTheme="majorHAnsi" w:cstheme="majorHAnsi"/>
          </w:rPr>
          <w:t>NDIS data and insights webpage</w:t>
        </w:r>
      </w:hyperlink>
      <w:r w:rsidR="0032377B">
        <w:t xml:space="preserve">. </w:t>
      </w:r>
    </w:p>
    <w:p w14:paraId="08FFEC7C" w14:textId="24A118B9" w:rsidR="00E62E0D" w:rsidRDefault="00CE75FA" w:rsidP="00AA72F8">
      <w:pPr>
        <w:pStyle w:val="Caption"/>
        <w:keepNext/>
      </w:pPr>
      <w:bookmarkStart w:id="85" w:name="_Toc79490509"/>
      <w:bookmarkStart w:id="86" w:name="_Toc79493360"/>
      <w:r w:rsidRPr="00DF2F62">
        <w:rPr>
          <w:caps w:val="0"/>
          <w:szCs w:val="16"/>
        </w:rPr>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D402F6">
        <w:rPr>
          <w:caps w:val="0"/>
          <w:noProof/>
          <w:szCs w:val="16"/>
        </w:rPr>
        <w:t>3</w:t>
      </w:r>
      <w:r w:rsidR="00121539" w:rsidRPr="00DF2F62">
        <w:rPr>
          <w:caps w:val="0"/>
          <w:noProof/>
          <w:szCs w:val="16"/>
        </w:rPr>
        <w:fldChar w:fldCharType="end"/>
      </w:r>
      <w:r w:rsidRPr="00DF2F62">
        <w:rPr>
          <w:caps w:val="0"/>
          <w:szCs w:val="16"/>
        </w:rPr>
        <w:t xml:space="preserve">: Growth in </w:t>
      </w:r>
      <w:r w:rsidR="00D0756A">
        <w:rPr>
          <w:caps w:val="0"/>
          <w:szCs w:val="16"/>
        </w:rPr>
        <w:t xml:space="preserve">enrolled SDA </w:t>
      </w:r>
      <w:r w:rsidRPr="00DF2F62">
        <w:rPr>
          <w:caps w:val="0"/>
          <w:szCs w:val="16"/>
        </w:rPr>
        <w:t>dwelling by design categor</w:t>
      </w:r>
      <w:r w:rsidR="00894532">
        <w:rPr>
          <w:caps w:val="0"/>
          <w:szCs w:val="16"/>
        </w:rPr>
        <w:t>y</w:t>
      </w:r>
      <w:bookmarkEnd w:id="85"/>
      <w:bookmarkEnd w:id="86"/>
      <w:r w:rsidR="00121539" w:rsidRPr="00DF2F62">
        <w:rPr>
          <w:caps w:val="0"/>
          <w:szCs w:val="16"/>
        </w:rPr>
        <w:t xml:space="preserve"> (excludes in-kind arrangements)</w:t>
      </w:r>
      <w:r w:rsidR="001451B7">
        <w:rPr>
          <w:caps w:val="0"/>
          <w:szCs w:val="16"/>
        </w:rPr>
        <w:t xml:space="preserve"> </w:t>
      </w:r>
      <w:r w:rsidR="001451B7" w:rsidRPr="001451B7">
        <w:rPr>
          <w:caps w:val="0"/>
          <w:szCs w:val="16"/>
        </w:rPr>
        <w:t>since Q1 FY20-21</w:t>
      </w:r>
    </w:p>
    <w:p w14:paraId="5D200E69" w14:textId="77777777" w:rsidR="00E62E0D" w:rsidRDefault="00E62E0D" w:rsidP="00E62E0D">
      <w:r w:rsidRPr="00E62E0D">
        <w:rPr>
          <w:noProof/>
          <w:lang w:eastAsia="en-AU"/>
        </w:rPr>
        <w:drawing>
          <wp:inline distT="0" distB="0" distL="0" distR="0" wp14:anchorId="4A665608" wp14:editId="52FF4BF1">
            <wp:extent cx="5755963" cy="2879090"/>
            <wp:effectExtent l="0" t="0" r="0" b="0"/>
            <wp:docPr id="29" name="Picture 29" descr="This line graph displays the growth of dwellings across Q1 FY20-21 to Q1 FY21-22 for Basic, Improved Liveability, High Physical Support, Robust and Fully Accessible dwellings.&#10;&#10;Basic stock has been increasing steadily, with the highest absolute numbers at 2,188 in Q1 FY21-22. &#10;&#10;Improved Liveability dwellings have seen a steady increase until Q3 FY20-21 (1,072). This has increased to 1,315 in Q4 FY20-21 before returning to a relatively smaller increase to 1,397 dwellings in Q1 FY21-22.&#10;&#10;High Physical Support dwellings have seen relatively larger and consistent growth since Q1 FY20-21 (765 dwellings) to the current 1,621 in Q1 FY21-22.&#10;&#10;Robust dwellings have generally been increasing since Q1 FY20-21, with a larger change seen in Q4 FY20-21 (from 254 to 379 dwellings) before returning to a more modest increase to 397 in Q1 FY21-22.&#10;&#10;Fully Accessible dwellings have seen a consistent positive growth in enrolments since Q1 FY20-21 to Q3 FY20-21 (674). This has spiked up further in Q4 FY20-21 to 915, before returning to previous growth level to 958 dwellings in Q1 FY21-22." title="Figure 3: Growth in enrolled SDA dwelling by design categories (excludes in-kind arrangements) since Q1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5963" cy="2879090"/>
                    </a:xfrm>
                    <a:prstGeom prst="rect">
                      <a:avLst/>
                    </a:prstGeom>
                    <a:noFill/>
                    <a:ln>
                      <a:noFill/>
                    </a:ln>
                  </pic:spPr>
                </pic:pic>
              </a:graphicData>
            </a:graphic>
          </wp:inline>
        </w:drawing>
      </w:r>
    </w:p>
    <w:p w14:paraId="31D5C948" w14:textId="473458C4" w:rsidR="00D0756A" w:rsidRPr="00D0756A" w:rsidRDefault="005B7CBF" w:rsidP="00AA72F8">
      <w:pPr>
        <w:pStyle w:val="Caption"/>
        <w:keepNext/>
      </w:pPr>
      <w:bookmarkStart w:id="87" w:name="_Ref88132682"/>
      <w:bookmarkStart w:id="88" w:name="_Ref88132678"/>
      <w:r w:rsidRPr="00DF2F62">
        <w:rPr>
          <w:caps w:val="0"/>
          <w:szCs w:val="16"/>
        </w:rPr>
        <w:lastRenderedPageBreak/>
        <w:t xml:space="preserve">Figure </w:t>
      </w:r>
      <w:r w:rsidRPr="00DF2F62">
        <w:rPr>
          <w:caps w:val="0"/>
          <w:szCs w:val="16"/>
        </w:rPr>
        <w:fldChar w:fldCharType="begin"/>
      </w:r>
      <w:r w:rsidRPr="00DF2F62">
        <w:rPr>
          <w:caps w:val="0"/>
          <w:szCs w:val="16"/>
        </w:rPr>
        <w:instrText xml:space="preserve"> SEQ Figure \* ARABIC </w:instrText>
      </w:r>
      <w:r w:rsidRPr="00DF2F62">
        <w:rPr>
          <w:caps w:val="0"/>
          <w:szCs w:val="16"/>
        </w:rPr>
        <w:fldChar w:fldCharType="separate"/>
      </w:r>
      <w:r w:rsidR="00D402F6">
        <w:rPr>
          <w:caps w:val="0"/>
          <w:noProof/>
          <w:szCs w:val="16"/>
        </w:rPr>
        <w:t>4</w:t>
      </w:r>
      <w:r w:rsidRPr="00DF2F62">
        <w:rPr>
          <w:caps w:val="0"/>
          <w:noProof/>
          <w:szCs w:val="16"/>
        </w:rPr>
        <w:fldChar w:fldCharType="end"/>
      </w:r>
      <w:bookmarkEnd w:id="87"/>
      <w:r w:rsidRPr="00DF2F62">
        <w:rPr>
          <w:caps w:val="0"/>
          <w:szCs w:val="16"/>
        </w:rPr>
        <w:t xml:space="preserve">: </w:t>
      </w:r>
      <w:r w:rsidR="00D0756A">
        <w:rPr>
          <w:caps w:val="0"/>
          <w:szCs w:val="16"/>
        </w:rPr>
        <w:t xml:space="preserve">Enrolled </w:t>
      </w:r>
      <w:r>
        <w:rPr>
          <w:caps w:val="0"/>
          <w:szCs w:val="16"/>
        </w:rPr>
        <w:t>SDA dwellings</w:t>
      </w:r>
      <w:r w:rsidR="00D0756A">
        <w:rPr>
          <w:caps w:val="0"/>
          <w:szCs w:val="16"/>
        </w:rPr>
        <w:t xml:space="preserve"> in</w:t>
      </w:r>
      <w:r>
        <w:rPr>
          <w:caps w:val="0"/>
          <w:szCs w:val="16"/>
        </w:rPr>
        <w:t xml:space="preserve"> </w:t>
      </w:r>
      <w:r w:rsidR="00D0756A">
        <w:rPr>
          <w:caps w:val="0"/>
          <w:szCs w:val="16"/>
        </w:rPr>
        <w:t xml:space="preserve">states and territories by </w:t>
      </w:r>
      <w:r>
        <w:rPr>
          <w:caps w:val="0"/>
          <w:szCs w:val="16"/>
        </w:rPr>
        <w:t>design category</w:t>
      </w:r>
      <w:r w:rsidR="00D0756A">
        <w:rPr>
          <w:caps w:val="0"/>
          <w:szCs w:val="16"/>
        </w:rPr>
        <w:t xml:space="preserve"> </w:t>
      </w:r>
      <w:r w:rsidR="00D0756A" w:rsidRPr="00D0756A">
        <w:rPr>
          <w:caps w:val="0"/>
          <w:szCs w:val="16"/>
        </w:rPr>
        <w:t xml:space="preserve">(excludes in-kind arrangements) </w:t>
      </w:r>
      <w:r w:rsidR="00822B73">
        <w:rPr>
          <w:caps w:val="0"/>
          <w:szCs w:val="16"/>
        </w:rPr>
        <w:t xml:space="preserve">at the end of </w:t>
      </w:r>
      <w:r w:rsidR="00706D08">
        <w:rPr>
          <w:caps w:val="0"/>
          <w:szCs w:val="16"/>
        </w:rPr>
        <w:t>Q</w:t>
      </w:r>
      <w:r w:rsidR="00E72896">
        <w:rPr>
          <w:caps w:val="0"/>
          <w:szCs w:val="16"/>
        </w:rPr>
        <w:t>1</w:t>
      </w:r>
      <w:r w:rsidR="00706D08">
        <w:rPr>
          <w:caps w:val="0"/>
          <w:szCs w:val="16"/>
        </w:rPr>
        <w:t xml:space="preserve"> FY2</w:t>
      </w:r>
      <w:r w:rsidR="00E72896">
        <w:rPr>
          <w:caps w:val="0"/>
          <w:szCs w:val="16"/>
        </w:rPr>
        <w:t>1</w:t>
      </w:r>
      <w:r w:rsidR="00706D08">
        <w:rPr>
          <w:caps w:val="0"/>
          <w:szCs w:val="16"/>
        </w:rPr>
        <w:t>-2</w:t>
      </w:r>
      <w:r w:rsidR="00E72896">
        <w:rPr>
          <w:caps w:val="0"/>
          <w:szCs w:val="16"/>
        </w:rPr>
        <w:t>2</w:t>
      </w:r>
      <w:bookmarkEnd w:id="88"/>
    </w:p>
    <w:p w14:paraId="7197A1A6" w14:textId="77777777" w:rsidR="00AA72F8" w:rsidRDefault="00E62E0D" w:rsidP="00742931">
      <w:pPr>
        <w:rPr>
          <w:b/>
          <w:sz w:val="16"/>
          <w:szCs w:val="16"/>
        </w:rPr>
      </w:pPr>
      <w:r w:rsidRPr="00E62E0D">
        <w:rPr>
          <w:noProof/>
          <w:lang w:eastAsia="en-AU"/>
        </w:rPr>
        <w:drawing>
          <wp:inline distT="0" distB="0" distL="0" distR="0" wp14:anchorId="271150FE" wp14:editId="5E5CDE16">
            <wp:extent cx="5754295" cy="2880000"/>
            <wp:effectExtent l="0" t="0" r="0" b="0"/>
            <wp:docPr id="32" name="Picture 32" descr="This column chart displays SDA dwellings for Basic, Improved Liveability, High Physical Support, Robust and Fully Accessible dwellings across states and territories at the end of Q1 FY21-22. Detailed numbers can be found in the following table.&#10;&#10;There is noticeably large proportion of basic SDA dwelling stock in South Australia and New South Wales (approximately 48% and 46%, respectively). Not including basic stock, it is generally improved liveability and high physical support dwellings that are the next highest proportions in states and territories, besides Northern Territory, Tasmania and Western Australia with higher proportions of fully accessible dwellings. " title="Figure 4: Enrolled SDA dwellings in states and territories by design category (excludes in-kind arrangements)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4295" cy="2880000"/>
                    </a:xfrm>
                    <a:prstGeom prst="rect">
                      <a:avLst/>
                    </a:prstGeom>
                    <a:noFill/>
                    <a:ln>
                      <a:noFill/>
                    </a:ln>
                  </pic:spPr>
                </pic:pic>
              </a:graphicData>
            </a:graphic>
          </wp:inline>
        </w:drawing>
      </w:r>
      <w:bookmarkStart w:id="89" w:name="_Ref88132698"/>
    </w:p>
    <w:p w14:paraId="57F8F6CD" w14:textId="77F8C2BC" w:rsidR="0032377B" w:rsidRPr="00742931" w:rsidRDefault="0032377B" w:rsidP="00742931">
      <w:pPr>
        <w:rPr>
          <w:b/>
          <w:sz w:val="16"/>
          <w:szCs w:val="16"/>
        </w:rPr>
      </w:pPr>
      <w:r w:rsidRPr="00742931">
        <w:rPr>
          <w:b/>
          <w:sz w:val="16"/>
          <w:szCs w:val="16"/>
        </w:rPr>
        <w:t xml:space="preserve">Table </w:t>
      </w:r>
      <w:r w:rsidRPr="00742931">
        <w:rPr>
          <w:b/>
          <w:sz w:val="16"/>
          <w:szCs w:val="16"/>
        </w:rPr>
        <w:fldChar w:fldCharType="begin"/>
      </w:r>
      <w:r w:rsidRPr="00742931">
        <w:rPr>
          <w:b/>
          <w:sz w:val="16"/>
          <w:szCs w:val="16"/>
        </w:rPr>
        <w:instrText xml:space="preserve"> SEQ Table \* ARABIC </w:instrText>
      </w:r>
      <w:r w:rsidRPr="00742931">
        <w:rPr>
          <w:b/>
          <w:sz w:val="16"/>
          <w:szCs w:val="16"/>
        </w:rPr>
        <w:fldChar w:fldCharType="separate"/>
      </w:r>
      <w:r w:rsidR="00D402F6">
        <w:rPr>
          <w:b/>
          <w:noProof/>
          <w:sz w:val="16"/>
          <w:szCs w:val="16"/>
        </w:rPr>
        <w:t>2</w:t>
      </w:r>
      <w:r w:rsidRPr="00742931">
        <w:rPr>
          <w:b/>
          <w:sz w:val="16"/>
          <w:szCs w:val="16"/>
        </w:rPr>
        <w:fldChar w:fldCharType="end"/>
      </w:r>
      <w:bookmarkEnd w:id="89"/>
      <w:r w:rsidRPr="00742931">
        <w:rPr>
          <w:b/>
          <w:sz w:val="16"/>
          <w:szCs w:val="16"/>
        </w:rPr>
        <w:t>:</w:t>
      </w:r>
      <w:r w:rsidR="00D0756A">
        <w:rPr>
          <w:b/>
          <w:sz w:val="16"/>
          <w:szCs w:val="16"/>
        </w:rPr>
        <w:t xml:space="preserve"> Enrolled SDA dwellings in</w:t>
      </w:r>
      <w:r w:rsidR="00BF626E">
        <w:rPr>
          <w:b/>
          <w:sz w:val="16"/>
          <w:szCs w:val="16"/>
        </w:rPr>
        <w:t xml:space="preserve"> s</w:t>
      </w:r>
      <w:r w:rsidRPr="00742931">
        <w:rPr>
          <w:b/>
          <w:sz w:val="16"/>
          <w:szCs w:val="16"/>
        </w:rPr>
        <w:t>tate</w:t>
      </w:r>
      <w:r w:rsidR="00BF626E">
        <w:rPr>
          <w:b/>
          <w:sz w:val="16"/>
          <w:szCs w:val="16"/>
        </w:rPr>
        <w:t>s</w:t>
      </w:r>
      <w:r w:rsidRPr="00742931">
        <w:rPr>
          <w:b/>
          <w:sz w:val="16"/>
          <w:szCs w:val="16"/>
        </w:rPr>
        <w:t xml:space="preserve"> and </w:t>
      </w:r>
      <w:r w:rsidR="00BF626E">
        <w:rPr>
          <w:b/>
          <w:sz w:val="16"/>
          <w:szCs w:val="16"/>
        </w:rPr>
        <w:t>t</w:t>
      </w:r>
      <w:r w:rsidRPr="00742931">
        <w:rPr>
          <w:b/>
          <w:sz w:val="16"/>
          <w:szCs w:val="16"/>
        </w:rPr>
        <w:t>erritor</w:t>
      </w:r>
      <w:r w:rsidR="00BF626E">
        <w:rPr>
          <w:b/>
          <w:sz w:val="16"/>
          <w:szCs w:val="16"/>
        </w:rPr>
        <w:t xml:space="preserve">ies </w:t>
      </w:r>
      <w:r w:rsidR="00D0756A">
        <w:rPr>
          <w:b/>
          <w:sz w:val="16"/>
          <w:szCs w:val="16"/>
        </w:rPr>
        <w:t xml:space="preserve">by </w:t>
      </w:r>
      <w:r w:rsidRPr="00742931">
        <w:rPr>
          <w:b/>
          <w:sz w:val="16"/>
          <w:szCs w:val="16"/>
        </w:rPr>
        <w:t xml:space="preserve">design </w:t>
      </w:r>
      <w:r w:rsidR="007B02F7">
        <w:rPr>
          <w:b/>
          <w:sz w:val="16"/>
          <w:szCs w:val="16"/>
        </w:rPr>
        <w:t>category</w:t>
      </w:r>
      <w:r w:rsidR="00F43784" w:rsidRPr="00742931">
        <w:rPr>
          <w:b/>
          <w:sz w:val="16"/>
          <w:szCs w:val="16"/>
        </w:rPr>
        <w:t xml:space="preserve"> (</w:t>
      </w:r>
      <w:r w:rsidR="00BF626E" w:rsidRPr="00742931">
        <w:rPr>
          <w:b/>
          <w:sz w:val="16"/>
          <w:szCs w:val="16"/>
        </w:rPr>
        <w:t xml:space="preserve">excludes in-kind arrangements) </w:t>
      </w:r>
      <w:r w:rsidR="00822B73">
        <w:rPr>
          <w:b/>
          <w:sz w:val="16"/>
          <w:szCs w:val="16"/>
        </w:rPr>
        <w:t>at the end of</w:t>
      </w:r>
      <w:r w:rsidRPr="00742931">
        <w:rPr>
          <w:b/>
          <w:sz w:val="16"/>
          <w:szCs w:val="16"/>
        </w:rPr>
        <w:t xml:space="preserve"> Q</w:t>
      </w:r>
      <w:r w:rsidR="00E72896">
        <w:rPr>
          <w:b/>
          <w:sz w:val="16"/>
          <w:szCs w:val="16"/>
        </w:rPr>
        <w:t>1</w:t>
      </w:r>
      <w:r w:rsidRPr="00742931">
        <w:rPr>
          <w:b/>
          <w:sz w:val="16"/>
          <w:szCs w:val="16"/>
        </w:rPr>
        <w:t xml:space="preserve"> FY2</w:t>
      </w:r>
      <w:r w:rsidR="00E72896">
        <w:rPr>
          <w:b/>
          <w:sz w:val="16"/>
          <w:szCs w:val="16"/>
        </w:rPr>
        <w:t>1</w:t>
      </w:r>
      <w:r w:rsidRPr="00742931">
        <w:rPr>
          <w:b/>
          <w:sz w:val="16"/>
          <w:szCs w:val="16"/>
        </w:rPr>
        <w:t>-2</w:t>
      </w:r>
      <w:r w:rsidR="00E72896">
        <w:rPr>
          <w:b/>
          <w:sz w:val="16"/>
          <w:szCs w:val="16"/>
        </w:rPr>
        <w:t>2</w:t>
      </w:r>
    </w:p>
    <w:tbl>
      <w:tblPr>
        <w:tblStyle w:val="LightShading-Accent4"/>
        <w:tblW w:w="9067" w:type="dxa"/>
        <w:tblLayout w:type="fixed"/>
        <w:tblLook w:val="04A0" w:firstRow="1" w:lastRow="0" w:firstColumn="1" w:lastColumn="0" w:noHBand="0" w:noVBand="1"/>
        <w:tblCaption w:val="Table 2: Enrolled SDA dwellings in states and territories by design category (excludes in-kind arrangements) at the end of Q1 FY21-22"/>
        <w:tblDescription w:val="This table includes the SDA dwelling numbers behind the previous graph, displaying the number of SDA dwellings across states and territories for basic, improved liveability, fully accessible, robust and high physical support dwellings at the end of Q1 FY21-22. "/>
      </w:tblPr>
      <w:tblGrid>
        <w:gridCol w:w="1701"/>
        <w:gridCol w:w="993"/>
        <w:gridCol w:w="1275"/>
        <w:gridCol w:w="1418"/>
        <w:gridCol w:w="1134"/>
        <w:gridCol w:w="1134"/>
        <w:gridCol w:w="1412"/>
      </w:tblGrid>
      <w:tr w:rsidR="00E33A3C" w:rsidRPr="00E33A3C" w14:paraId="080195D4" w14:textId="77777777" w:rsidTr="001451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05210CB7" w14:textId="77777777" w:rsidR="004C03CC" w:rsidRPr="008E1C0A" w:rsidRDefault="00BF626E" w:rsidP="0010495B">
            <w:pPr>
              <w:rPr>
                <w:rFonts w:asciiTheme="majorHAnsi" w:hAnsiTheme="majorHAnsi" w:cstheme="majorHAnsi"/>
                <w:color w:val="FFFFFF"/>
                <w:sz w:val="16"/>
                <w:szCs w:val="16"/>
              </w:rPr>
            </w:pPr>
            <w:r w:rsidRPr="008E1C0A">
              <w:rPr>
                <w:rFonts w:asciiTheme="majorHAnsi" w:hAnsiTheme="majorHAnsi" w:cstheme="majorHAnsi"/>
                <w:color w:val="FFFFFF"/>
                <w:sz w:val="16"/>
                <w:szCs w:val="16"/>
              </w:rPr>
              <w:t>Design c</w:t>
            </w:r>
            <w:r w:rsidR="004C03CC" w:rsidRPr="008E1C0A">
              <w:rPr>
                <w:rFonts w:asciiTheme="majorHAnsi" w:hAnsiTheme="majorHAnsi" w:cstheme="majorHAnsi"/>
                <w:color w:val="FFFFFF"/>
                <w:sz w:val="16"/>
                <w:szCs w:val="16"/>
              </w:rPr>
              <w:t>ategory</w:t>
            </w:r>
            <w:r w:rsidR="00742931" w:rsidRPr="008E1C0A">
              <w:rPr>
                <w:rFonts w:asciiTheme="majorHAnsi" w:hAnsiTheme="majorHAnsi" w:cstheme="majorHAnsi"/>
                <w:color w:val="FFFFFF"/>
                <w:sz w:val="16"/>
                <w:szCs w:val="16"/>
              </w:rPr>
              <w:t xml:space="preserve"> / State</w:t>
            </w:r>
          </w:p>
        </w:tc>
        <w:tc>
          <w:tcPr>
            <w:tcW w:w="993" w:type="dxa"/>
          </w:tcPr>
          <w:p w14:paraId="5FF16DB8"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Basic</w:t>
            </w:r>
          </w:p>
        </w:tc>
        <w:tc>
          <w:tcPr>
            <w:tcW w:w="1275" w:type="dxa"/>
          </w:tcPr>
          <w:p w14:paraId="4C0B103F"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Improved Liveability</w:t>
            </w:r>
          </w:p>
        </w:tc>
        <w:tc>
          <w:tcPr>
            <w:tcW w:w="1418" w:type="dxa"/>
          </w:tcPr>
          <w:p w14:paraId="5F7B2A02"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Fully Accessible</w:t>
            </w:r>
          </w:p>
        </w:tc>
        <w:tc>
          <w:tcPr>
            <w:tcW w:w="1134" w:type="dxa"/>
          </w:tcPr>
          <w:p w14:paraId="130788DD"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Robust</w:t>
            </w:r>
          </w:p>
        </w:tc>
        <w:tc>
          <w:tcPr>
            <w:tcW w:w="1134" w:type="dxa"/>
          </w:tcPr>
          <w:p w14:paraId="231A3C9C"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High Physical Support</w:t>
            </w:r>
          </w:p>
        </w:tc>
        <w:tc>
          <w:tcPr>
            <w:tcW w:w="1412" w:type="dxa"/>
          </w:tcPr>
          <w:p w14:paraId="4093FA99"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Total build types</w:t>
            </w:r>
          </w:p>
        </w:tc>
      </w:tr>
      <w:tr w:rsidR="00E72896" w:rsidRPr="00E33A3C" w14:paraId="29A04B0D"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DD9C1D"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NSW</w:t>
            </w:r>
          </w:p>
        </w:tc>
        <w:tc>
          <w:tcPr>
            <w:tcW w:w="993" w:type="dxa"/>
          </w:tcPr>
          <w:p w14:paraId="33BAE3EC"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1,119</w:t>
            </w:r>
          </w:p>
        </w:tc>
        <w:tc>
          <w:tcPr>
            <w:tcW w:w="1275" w:type="dxa"/>
          </w:tcPr>
          <w:p w14:paraId="23C690FB"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443</w:t>
            </w:r>
          </w:p>
        </w:tc>
        <w:tc>
          <w:tcPr>
            <w:tcW w:w="1418" w:type="dxa"/>
          </w:tcPr>
          <w:p w14:paraId="13B4A229"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251</w:t>
            </w:r>
          </w:p>
        </w:tc>
        <w:tc>
          <w:tcPr>
            <w:tcW w:w="1134" w:type="dxa"/>
          </w:tcPr>
          <w:p w14:paraId="13BDC27C"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83</w:t>
            </w:r>
          </w:p>
        </w:tc>
        <w:tc>
          <w:tcPr>
            <w:tcW w:w="1134" w:type="dxa"/>
          </w:tcPr>
          <w:p w14:paraId="71DABC60"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517</w:t>
            </w:r>
          </w:p>
        </w:tc>
        <w:tc>
          <w:tcPr>
            <w:tcW w:w="1412" w:type="dxa"/>
          </w:tcPr>
          <w:p w14:paraId="6F79AAF4"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2,413</w:t>
            </w:r>
          </w:p>
        </w:tc>
      </w:tr>
      <w:tr w:rsidR="00E72896" w:rsidRPr="00E33A3C" w14:paraId="2A75DA42"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56C07AB"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Vic</w:t>
            </w:r>
          </w:p>
        </w:tc>
        <w:tc>
          <w:tcPr>
            <w:tcW w:w="993" w:type="dxa"/>
          </w:tcPr>
          <w:p w14:paraId="1C6EEBB6"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345</w:t>
            </w:r>
          </w:p>
        </w:tc>
        <w:tc>
          <w:tcPr>
            <w:tcW w:w="1275" w:type="dxa"/>
          </w:tcPr>
          <w:p w14:paraId="66556E9F"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421</w:t>
            </w:r>
          </w:p>
        </w:tc>
        <w:tc>
          <w:tcPr>
            <w:tcW w:w="1418" w:type="dxa"/>
          </w:tcPr>
          <w:p w14:paraId="7681AADE"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378</w:t>
            </w:r>
          </w:p>
        </w:tc>
        <w:tc>
          <w:tcPr>
            <w:tcW w:w="1134" w:type="dxa"/>
          </w:tcPr>
          <w:p w14:paraId="6784F012"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163</w:t>
            </w:r>
          </w:p>
        </w:tc>
        <w:tc>
          <w:tcPr>
            <w:tcW w:w="1134" w:type="dxa"/>
          </w:tcPr>
          <w:p w14:paraId="71FAD241"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446</w:t>
            </w:r>
          </w:p>
        </w:tc>
        <w:tc>
          <w:tcPr>
            <w:tcW w:w="1412" w:type="dxa"/>
          </w:tcPr>
          <w:p w14:paraId="3E610126"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1,753</w:t>
            </w:r>
          </w:p>
        </w:tc>
      </w:tr>
      <w:tr w:rsidR="00E72896" w:rsidRPr="00E33A3C" w14:paraId="3530D2E2"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642EC73"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Qld</w:t>
            </w:r>
          </w:p>
        </w:tc>
        <w:tc>
          <w:tcPr>
            <w:tcW w:w="993" w:type="dxa"/>
          </w:tcPr>
          <w:p w14:paraId="50759C6B"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107</w:t>
            </w:r>
          </w:p>
        </w:tc>
        <w:tc>
          <w:tcPr>
            <w:tcW w:w="1275" w:type="dxa"/>
          </w:tcPr>
          <w:p w14:paraId="4AFE87E4"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195</w:t>
            </w:r>
          </w:p>
        </w:tc>
        <w:tc>
          <w:tcPr>
            <w:tcW w:w="1418" w:type="dxa"/>
          </w:tcPr>
          <w:p w14:paraId="21B0198F"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167</w:t>
            </w:r>
          </w:p>
        </w:tc>
        <w:tc>
          <w:tcPr>
            <w:tcW w:w="1134" w:type="dxa"/>
          </w:tcPr>
          <w:p w14:paraId="7BD153B8"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79</w:t>
            </w:r>
          </w:p>
        </w:tc>
        <w:tc>
          <w:tcPr>
            <w:tcW w:w="1134" w:type="dxa"/>
          </w:tcPr>
          <w:p w14:paraId="2885B2B4"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368</w:t>
            </w:r>
          </w:p>
        </w:tc>
        <w:tc>
          <w:tcPr>
            <w:tcW w:w="1412" w:type="dxa"/>
          </w:tcPr>
          <w:p w14:paraId="2C257CC8"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916</w:t>
            </w:r>
          </w:p>
        </w:tc>
      </w:tr>
      <w:tr w:rsidR="00E72896" w:rsidRPr="00E33A3C" w14:paraId="1869B7A2"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D16F3DB"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WA</w:t>
            </w:r>
          </w:p>
        </w:tc>
        <w:tc>
          <w:tcPr>
            <w:tcW w:w="993" w:type="dxa"/>
          </w:tcPr>
          <w:p w14:paraId="6495E489"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w:t>
            </w:r>
          </w:p>
        </w:tc>
        <w:tc>
          <w:tcPr>
            <w:tcW w:w="1275" w:type="dxa"/>
          </w:tcPr>
          <w:p w14:paraId="656D3CA6"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12</w:t>
            </w:r>
          </w:p>
        </w:tc>
        <w:tc>
          <w:tcPr>
            <w:tcW w:w="1418" w:type="dxa"/>
          </w:tcPr>
          <w:p w14:paraId="2ABCA730"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27</w:t>
            </w:r>
          </w:p>
        </w:tc>
        <w:tc>
          <w:tcPr>
            <w:tcW w:w="1134" w:type="dxa"/>
          </w:tcPr>
          <w:p w14:paraId="2266B215"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w:t>
            </w:r>
          </w:p>
        </w:tc>
        <w:tc>
          <w:tcPr>
            <w:tcW w:w="1134" w:type="dxa"/>
          </w:tcPr>
          <w:p w14:paraId="58CA9AB5"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47</w:t>
            </w:r>
          </w:p>
        </w:tc>
        <w:tc>
          <w:tcPr>
            <w:tcW w:w="1412" w:type="dxa"/>
          </w:tcPr>
          <w:p w14:paraId="6F9DEBBD"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92</w:t>
            </w:r>
          </w:p>
        </w:tc>
      </w:tr>
      <w:tr w:rsidR="00E72896" w:rsidRPr="00E33A3C" w14:paraId="51A2A0E3"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B69300"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SA</w:t>
            </w:r>
          </w:p>
        </w:tc>
        <w:tc>
          <w:tcPr>
            <w:tcW w:w="993" w:type="dxa"/>
          </w:tcPr>
          <w:p w14:paraId="393235FA"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566</w:t>
            </w:r>
          </w:p>
        </w:tc>
        <w:tc>
          <w:tcPr>
            <w:tcW w:w="1275" w:type="dxa"/>
          </w:tcPr>
          <w:p w14:paraId="564D7C87"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248</w:t>
            </w:r>
          </w:p>
        </w:tc>
        <w:tc>
          <w:tcPr>
            <w:tcW w:w="1418" w:type="dxa"/>
          </w:tcPr>
          <w:p w14:paraId="75AF3689"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99</w:t>
            </w:r>
          </w:p>
        </w:tc>
        <w:tc>
          <w:tcPr>
            <w:tcW w:w="1134" w:type="dxa"/>
          </w:tcPr>
          <w:p w14:paraId="5DCC0A66"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55</w:t>
            </w:r>
          </w:p>
        </w:tc>
        <w:tc>
          <w:tcPr>
            <w:tcW w:w="1134" w:type="dxa"/>
          </w:tcPr>
          <w:p w14:paraId="77B7C2CB"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203</w:t>
            </w:r>
          </w:p>
        </w:tc>
        <w:tc>
          <w:tcPr>
            <w:tcW w:w="1412" w:type="dxa"/>
          </w:tcPr>
          <w:p w14:paraId="5FB8DA7C"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1,171</w:t>
            </w:r>
          </w:p>
        </w:tc>
      </w:tr>
      <w:tr w:rsidR="00E72896" w:rsidRPr="00E33A3C" w14:paraId="68FC7B2F"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702F622"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Tas</w:t>
            </w:r>
          </w:p>
        </w:tc>
        <w:tc>
          <w:tcPr>
            <w:tcW w:w="993" w:type="dxa"/>
          </w:tcPr>
          <w:p w14:paraId="77A9761A"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6</w:t>
            </w:r>
          </w:p>
        </w:tc>
        <w:tc>
          <w:tcPr>
            <w:tcW w:w="1275" w:type="dxa"/>
          </w:tcPr>
          <w:p w14:paraId="3B24B809"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17</w:t>
            </w:r>
          </w:p>
        </w:tc>
        <w:tc>
          <w:tcPr>
            <w:tcW w:w="1418" w:type="dxa"/>
          </w:tcPr>
          <w:p w14:paraId="0AB4FD07"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14</w:t>
            </w:r>
          </w:p>
        </w:tc>
        <w:tc>
          <w:tcPr>
            <w:tcW w:w="1134" w:type="dxa"/>
          </w:tcPr>
          <w:p w14:paraId="5C5B9B28"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w:t>
            </w:r>
          </w:p>
        </w:tc>
        <w:tc>
          <w:tcPr>
            <w:tcW w:w="1134" w:type="dxa"/>
          </w:tcPr>
          <w:p w14:paraId="415C2E6A"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w:t>
            </w:r>
          </w:p>
        </w:tc>
        <w:tc>
          <w:tcPr>
            <w:tcW w:w="1412" w:type="dxa"/>
          </w:tcPr>
          <w:p w14:paraId="086D6D08"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43</w:t>
            </w:r>
          </w:p>
        </w:tc>
      </w:tr>
      <w:tr w:rsidR="00E72896" w:rsidRPr="00E33A3C" w14:paraId="4DD188F8"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90EAB84"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ACT</w:t>
            </w:r>
          </w:p>
        </w:tc>
        <w:tc>
          <w:tcPr>
            <w:tcW w:w="993" w:type="dxa"/>
          </w:tcPr>
          <w:p w14:paraId="02D6C0F2"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32</w:t>
            </w:r>
          </w:p>
        </w:tc>
        <w:tc>
          <w:tcPr>
            <w:tcW w:w="1275" w:type="dxa"/>
          </w:tcPr>
          <w:p w14:paraId="03B4BD2A"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58</w:t>
            </w:r>
          </w:p>
        </w:tc>
        <w:tc>
          <w:tcPr>
            <w:tcW w:w="1418" w:type="dxa"/>
          </w:tcPr>
          <w:p w14:paraId="47C99F0B"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7</w:t>
            </w:r>
          </w:p>
        </w:tc>
        <w:tc>
          <w:tcPr>
            <w:tcW w:w="1134" w:type="dxa"/>
          </w:tcPr>
          <w:p w14:paraId="1CE74EF7"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14</w:t>
            </w:r>
          </w:p>
        </w:tc>
        <w:tc>
          <w:tcPr>
            <w:tcW w:w="1134" w:type="dxa"/>
          </w:tcPr>
          <w:p w14:paraId="70CD2C73"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33</w:t>
            </w:r>
          </w:p>
        </w:tc>
        <w:tc>
          <w:tcPr>
            <w:tcW w:w="1412" w:type="dxa"/>
          </w:tcPr>
          <w:p w14:paraId="0A2F2600"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144</w:t>
            </w:r>
          </w:p>
        </w:tc>
      </w:tr>
      <w:tr w:rsidR="00E72896" w:rsidRPr="00E33A3C" w14:paraId="3A2BE895"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A806A0E"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NT</w:t>
            </w:r>
          </w:p>
        </w:tc>
        <w:tc>
          <w:tcPr>
            <w:tcW w:w="993" w:type="dxa"/>
          </w:tcPr>
          <w:p w14:paraId="2B71A4BB"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8</w:t>
            </w:r>
          </w:p>
        </w:tc>
        <w:tc>
          <w:tcPr>
            <w:tcW w:w="1275" w:type="dxa"/>
          </w:tcPr>
          <w:p w14:paraId="41C96756"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w:t>
            </w:r>
          </w:p>
        </w:tc>
        <w:tc>
          <w:tcPr>
            <w:tcW w:w="1418" w:type="dxa"/>
          </w:tcPr>
          <w:p w14:paraId="668E1A11"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15</w:t>
            </w:r>
          </w:p>
        </w:tc>
        <w:tc>
          <w:tcPr>
            <w:tcW w:w="1134" w:type="dxa"/>
          </w:tcPr>
          <w:p w14:paraId="748AF77B"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134" w:type="dxa"/>
          </w:tcPr>
          <w:p w14:paraId="12452CD0"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w:t>
            </w:r>
          </w:p>
        </w:tc>
        <w:tc>
          <w:tcPr>
            <w:tcW w:w="1412" w:type="dxa"/>
          </w:tcPr>
          <w:p w14:paraId="02D4D63F"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29</w:t>
            </w:r>
          </w:p>
        </w:tc>
      </w:tr>
      <w:tr w:rsidR="00E72896" w:rsidRPr="00E33A3C" w14:paraId="7FF8898C" w14:textId="77777777" w:rsidTr="001451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01" w:type="dxa"/>
          </w:tcPr>
          <w:p w14:paraId="418670BA" w14:textId="77777777" w:rsidR="00E72896" w:rsidRPr="008E1C0A" w:rsidRDefault="00E72896" w:rsidP="00E72896">
            <w:pPr>
              <w:rPr>
                <w:rFonts w:asciiTheme="minorHAnsi" w:hAnsiTheme="minorHAnsi" w:cstheme="minorHAnsi"/>
                <w:sz w:val="16"/>
                <w:szCs w:val="16"/>
              </w:rPr>
            </w:pPr>
            <w:r w:rsidRPr="008E1C0A">
              <w:rPr>
                <w:rFonts w:asciiTheme="minorHAnsi" w:hAnsiTheme="minorHAnsi" w:cstheme="minorHAnsi"/>
                <w:sz w:val="16"/>
                <w:szCs w:val="16"/>
              </w:rPr>
              <w:t>National</w:t>
            </w:r>
          </w:p>
        </w:tc>
        <w:tc>
          <w:tcPr>
            <w:tcW w:w="993" w:type="dxa"/>
          </w:tcPr>
          <w:p w14:paraId="5D9F5CD2"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2,188</w:t>
            </w:r>
          </w:p>
        </w:tc>
        <w:tc>
          <w:tcPr>
            <w:tcW w:w="1275" w:type="dxa"/>
          </w:tcPr>
          <w:p w14:paraId="45B8C88B"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1,397</w:t>
            </w:r>
          </w:p>
        </w:tc>
        <w:tc>
          <w:tcPr>
            <w:tcW w:w="1418" w:type="dxa"/>
          </w:tcPr>
          <w:p w14:paraId="5CF257AF"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958</w:t>
            </w:r>
          </w:p>
        </w:tc>
        <w:tc>
          <w:tcPr>
            <w:tcW w:w="1134" w:type="dxa"/>
          </w:tcPr>
          <w:p w14:paraId="581AB096"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397</w:t>
            </w:r>
          </w:p>
        </w:tc>
        <w:tc>
          <w:tcPr>
            <w:tcW w:w="1134" w:type="dxa"/>
          </w:tcPr>
          <w:p w14:paraId="12F5466F"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1,621</w:t>
            </w:r>
          </w:p>
        </w:tc>
        <w:tc>
          <w:tcPr>
            <w:tcW w:w="1412" w:type="dxa"/>
          </w:tcPr>
          <w:p w14:paraId="669BBEED"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6,561</w:t>
            </w:r>
          </w:p>
        </w:tc>
      </w:tr>
    </w:tbl>
    <w:p w14:paraId="7CC1BEEF" w14:textId="77777777" w:rsidR="001E36D1" w:rsidRPr="00687A81" w:rsidRDefault="001E36D1" w:rsidP="001E36D1">
      <w:pPr>
        <w:rPr>
          <w:noProof/>
          <w:sz w:val="16"/>
          <w:szCs w:val="16"/>
          <w:lang w:eastAsia="en-AU"/>
        </w:rPr>
      </w:pPr>
    </w:p>
    <w:p w14:paraId="2FC6D96D" w14:textId="77777777" w:rsidR="00CE75FA" w:rsidRDefault="00CE75FA" w:rsidP="00CE75FA">
      <w:pPr>
        <w:rPr>
          <w:b/>
        </w:rPr>
      </w:pPr>
      <w:r w:rsidRPr="00DF2F62">
        <w:rPr>
          <w:b/>
        </w:rPr>
        <w:t xml:space="preserve">NDIA </w:t>
      </w:r>
      <w:r w:rsidR="00227990">
        <w:rPr>
          <w:b/>
        </w:rPr>
        <w:t>observations</w:t>
      </w:r>
    </w:p>
    <w:p w14:paraId="7A8FF526" w14:textId="77777777" w:rsidR="00C56014" w:rsidRDefault="00C56014" w:rsidP="00CE75FA">
      <w:r>
        <w:t xml:space="preserve">The NDIA received a large amount of dwellings </w:t>
      </w:r>
      <w:r w:rsidR="00B041C0">
        <w:t xml:space="preserve">enrolments </w:t>
      </w:r>
      <w:r>
        <w:t xml:space="preserve">from the New South Wales and South Australian Governments for basic dwellings. This </w:t>
      </w:r>
      <w:r w:rsidR="00B041C0">
        <w:t xml:space="preserve">led to </w:t>
      </w:r>
      <w:r>
        <w:t>a</w:t>
      </w:r>
      <w:r w:rsidR="00B041C0">
        <w:t xml:space="preserve">n elevated number of </w:t>
      </w:r>
      <w:r>
        <w:t>enrolled</w:t>
      </w:r>
      <w:r w:rsidR="00B041C0">
        <w:t>, basic</w:t>
      </w:r>
      <w:r>
        <w:t xml:space="preserve"> SDA dwellings in New South Wales and South Australia</w:t>
      </w:r>
      <w:r w:rsidR="00B041C0">
        <w:t xml:space="preserve"> relative to other design categories</w:t>
      </w:r>
      <w:r>
        <w:t>.</w:t>
      </w:r>
    </w:p>
    <w:p w14:paraId="7FBCA8BD" w14:textId="33111ABE" w:rsidR="00D402F6" w:rsidRDefault="001451B7" w:rsidP="00CE75FA">
      <w:r>
        <w:t>See</w:t>
      </w:r>
      <w:r w:rsidR="00CA17B4">
        <w:t xml:space="preserve"> </w:t>
      </w:r>
      <w:r w:rsidR="00CA17B4" w:rsidRPr="008E1C0A">
        <w:t>section</w:t>
      </w:r>
      <w:r w:rsidR="009F2F36">
        <w:t xml:space="preserve"> </w:t>
      </w:r>
      <w:r w:rsidR="00D402F6">
        <w:fldChar w:fldCharType="begin"/>
      </w:r>
      <w:r w:rsidR="00D402F6">
        <w:instrText xml:space="preserve"> REF _Ref89693031 \r \h </w:instrText>
      </w:r>
      <w:r w:rsidR="00D402F6">
        <w:fldChar w:fldCharType="separate"/>
      </w:r>
      <w:r w:rsidR="00D402F6">
        <w:t>3.2</w:t>
      </w:r>
      <w:r w:rsidR="00D402F6">
        <w:fldChar w:fldCharType="end"/>
      </w:r>
      <w:r w:rsidR="009F2F36">
        <w:t xml:space="preserve"> </w:t>
      </w:r>
      <w:r w:rsidR="00CA17B4" w:rsidRPr="008E1C0A">
        <w:t>for</w:t>
      </w:r>
      <w:r w:rsidR="00CA17B4">
        <w:t xml:space="preserve"> further information on participants with SDA needs seeking dwellings or alternative dwellings.</w:t>
      </w:r>
    </w:p>
    <w:p w14:paraId="72A33DB9" w14:textId="77777777" w:rsidR="00D402F6" w:rsidRDefault="00D402F6">
      <w:pPr>
        <w:spacing w:line="276" w:lineRule="auto"/>
      </w:pPr>
      <w:r>
        <w:br w:type="page"/>
      </w:r>
    </w:p>
    <w:p w14:paraId="03A25745" w14:textId="77777777" w:rsidR="004C03CC" w:rsidRDefault="006D4149" w:rsidP="00856A96">
      <w:pPr>
        <w:pStyle w:val="Heading3"/>
      </w:pPr>
      <w:bookmarkStart w:id="90" w:name="_Toc87887954"/>
      <w:bookmarkStart w:id="91" w:name="_Toc89692959"/>
      <w:r>
        <w:lastRenderedPageBreak/>
        <w:t xml:space="preserve">SDA </w:t>
      </w:r>
      <w:r w:rsidR="00AA72F8">
        <w:t>b</w:t>
      </w:r>
      <w:r>
        <w:t>uilding type</w:t>
      </w:r>
      <w:r w:rsidR="00894532">
        <w:t xml:space="preserve"> including legacy</w:t>
      </w:r>
      <w:bookmarkEnd w:id="91"/>
    </w:p>
    <w:bookmarkEnd w:id="90"/>
    <w:p w14:paraId="05FAA83E" w14:textId="77777777" w:rsidR="00742931" w:rsidRDefault="003A0695" w:rsidP="004C03CC">
      <w:pPr>
        <w:rPr>
          <w:noProof/>
          <w:lang w:eastAsia="en-AU"/>
        </w:rPr>
      </w:pPr>
      <w:r>
        <w:rPr>
          <w:noProof/>
          <w:lang w:eastAsia="en-AU"/>
        </w:rPr>
        <w:t xml:space="preserve">The most common </w:t>
      </w:r>
      <w:r w:rsidR="006D4149">
        <w:rPr>
          <w:noProof/>
          <w:lang w:eastAsia="en-AU"/>
        </w:rPr>
        <w:t>building type</w:t>
      </w:r>
      <w:r w:rsidR="00AA72F8">
        <w:rPr>
          <w:noProof/>
          <w:lang w:eastAsia="en-AU"/>
        </w:rPr>
        <w:t xml:space="preserve"> </w:t>
      </w:r>
      <w:r w:rsidR="006D4149">
        <w:rPr>
          <w:noProof/>
          <w:lang w:eastAsia="en-AU"/>
        </w:rPr>
        <w:t>of</w:t>
      </w:r>
      <w:r>
        <w:rPr>
          <w:noProof/>
          <w:lang w:eastAsia="en-AU"/>
        </w:rPr>
        <w:t xml:space="preserve"> SDA dwellings nationally are group homes</w:t>
      </w:r>
      <w:r w:rsidR="00665A25">
        <w:rPr>
          <w:noProof/>
          <w:lang w:eastAsia="en-AU"/>
        </w:rPr>
        <w:t xml:space="preserve"> and </w:t>
      </w:r>
      <w:r>
        <w:rPr>
          <w:noProof/>
          <w:lang w:eastAsia="en-AU"/>
        </w:rPr>
        <w:t>villas/duplexes/townhouses (</w:t>
      </w:r>
      <w:r w:rsidR="00665A25">
        <w:rPr>
          <w:noProof/>
          <w:lang w:eastAsia="en-AU"/>
        </w:rPr>
        <w:t xml:space="preserve">approximately </w:t>
      </w:r>
      <w:r>
        <w:rPr>
          <w:noProof/>
          <w:lang w:eastAsia="en-AU"/>
        </w:rPr>
        <w:t>32% of dwellings</w:t>
      </w:r>
      <w:r w:rsidR="00665A25">
        <w:rPr>
          <w:noProof/>
          <w:lang w:eastAsia="en-AU"/>
        </w:rPr>
        <w:t xml:space="preserve"> each</w:t>
      </w:r>
      <w:r>
        <w:rPr>
          <w:noProof/>
          <w:lang w:eastAsia="en-AU"/>
        </w:rPr>
        <w:t>).</w:t>
      </w:r>
    </w:p>
    <w:p w14:paraId="7C151282" w14:textId="77777777" w:rsidR="003A0695" w:rsidRDefault="00232DBD" w:rsidP="004C03CC">
      <w:pPr>
        <w:rPr>
          <w:noProof/>
          <w:lang w:eastAsia="en-AU"/>
        </w:rPr>
      </w:pPr>
      <w:r>
        <w:rPr>
          <w:noProof/>
          <w:lang w:eastAsia="en-AU"/>
        </w:rPr>
        <w:t>Within each of New South Wales and Victoria, the group home dwellings comprise  the largest proportion of type of dwellings (4</w:t>
      </w:r>
      <w:r w:rsidR="00665A25">
        <w:rPr>
          <w:noProof/>
          <w:lang w:eastAsia="en-AU"/>
        </w:rPr>
        <w:t>0</w:t>
      </w:r>
      <w:r>
        <w:rPr>
          <w:noProof/>
          <w:lang w:eastAsia="en-AU"/>
        </w:rPr>
        <w:t>%</w:t>
      </w:r>
      <w:r w:rsidR="00665A25">
        <w:rPr>
          <w:noProof/>
          <w:lang w:eastAsia="en-AU"/>
        </w:rPr>
        <w:t xml:space="preserve"> each</w:t>
      </w:r>
      <w:r w:rsidR="00F24C5E">
        <w:rPr>
          <w:noProof/>
          <w:lang w:eastAsia="en-AU"/>
        </w:rPr>
        <w:t>)</w:t>
      </w:r>
      <w:r>
        <w:rPr>
          <w:noProof/>
          <w:lang w:eastAsia="en-AU"/>
        </w:rPr>
        <w:t>.</w:t>
      </w:r>
      <w:r w:rsidR="00D84551">
        <w:rPr>
          <w:noProof/>
          <w:lang w:eastAsia="en-AU"/>
        </w:rPr>
        <w:t xml:space="preserve"> </w:t>
      </w:r>
      <w:r w:rsidR="006D4149">
        <w:rPr>
          <w:noProof/>
          <w:lang w:eastAsia="en-AU"/>
        </w:rPr>
        <w:t>V</w:t>
      </w:r>
      <w:r w:rsidR="003A0695">
        <w:rPr>
          <w:noProof/>
          <w:lang w:eastAsia="en-AU"/>
        </w:rPr>
        <w:t>illas/duplexes/townhouses, make up 5</w:t>
      </w:r>
      <w:r w:rsidR="00665A25">
        <w:rPr>
          <w:noProof/>
          <w:lang w:eastAsia="en-AU"/>
        </w:rPr>
        <w:t>2</w:t>
      </w:r>
      <w:r w:rsidR="003A0695">
        <w:rPr>
          <w:noProof/>
          <w:lang w:eastAsia="en-AU"/>
        </w:rPr>
        <w:t xml:space="preserve">% of </w:t>
      </w:r>
      <w:r w:rsidR="00D84551">
        <w:rPr>
          <w:noProof/>
          <w:lang w:eastAsia="en-AU"/>
        </w:rPr>
        <w:t xml:space="preserve">South Australia’s </w:t>
      </w:r>
      <w:r w:rsidR="003A0695">
        <w:rPr>
          <w:noProof/>
          <w:lang w:eastAsia="en-AU"/>
        </w:rPr>
        <w:t>enrolled dwellings.</w:t>
      </w:r>
    </w:p>
    <w:p w14:paraId="4F740A13" w14:textId="77777777" w:rsidR="003A0695" w:rsidRDefault="003A0695" w:rsidP="004C03CC">
      <w:pPr>
        <w:rPr>
          <w:noProof/>
          <w:lang w:eastAsia="en-AU"/>
        </w:rPr>
      </w:pPr>
      <w:r>
        <w:rPr>
          <w:noProof/>
          <w:lang w:eastAsia="en-AU"/>
        </w:rPr>
        <w:t>For apartments, nearly half of these are enrolled in New South Wales (48%), followed by Queensland and Victoria (23% and 1</w:t>
      </w:r>
      <w:r w:rsidR="00665A25">
        <w:rPr>
          <w:noProof/>
          <w:lang w:eastAsia="en-AU"/>
        </w:rPr>
        <w:t>8</w:t>
      </w:r>
      <w:r>
        <w:rPr>
          <w:noProof/>
          <w:lang w:eastAsia="en-AU"/>
        </w:rPr>
        <w:t>%, respectively)</w:t>
      </w:r>
      <w:r w:rsidR="00232DBD">
        <w:rPr>
          <w:noProof/>
          <w:lang w:eastAsia="en-AU"/>
        </w:rPr>
        <w:t>.</w:t>
      </w:r>
    </w:p>
    <w:p w14:paraId="31B356B1" w14:textId="77777777" w:rsidR="00BF626E" w:rsidRDefault="003A0695" w:rsidP="004C03CC">
      <w:pPr>
        <w:rPr>
          <w:noProof/>
          <w:lang w:eastAsia="en-AU"/>
        </w:rPr>
      </w:pPr>
      <w:r>
        <w:rPr>
          <w:noProof/>
          <w:lang w:eastAsia="en-AU"/>
        </w:rPr>
        <w:t>For legacy stock, the majority is in Victoria (65%), with the next highest states or territories being New South Wales (19%) and Queensland (1</w:t>
      </w:r>
      <w:r w:rsidR="00665A25">
        <w:rPr>
          <w:noProof/>
          <w:lang w:eastAsia="en-AU"/>
        </w:rPr>
        <w:t>1</w:t>
      </w:r>
      <w:r>
        <w:rPr>
          <w:noProof/>
          <w:lang w:eastAsia="en-AU"/>
        </w:rPr>
        <w:t xml:space="preserve">%). </w:t>
      </w:r>
      <w:r w:rsidR="00023C43">
        <w:rPr>
          <w:noProof/>
          <w:lang w:eastAsia="en-AU"/>
        </w:rPr>
        <w:t>In most jursidictions</w:t>
      </w:r>
      <w:r>
        <w:rPr>
          <w:noProof/>
          <w:lang w:eastAsia="en-AU"/>
        </w:rPr>
        <w:t xml:space="preserve"> legacy stock only comprise</w:t>
      </w:r>
      <w:r w:rsidR="00023C43">
        <w:rPr>
          <w:noProof/>
          <w:lang w:eastAsia="en-AU"/>
        </w:rPr>
        <w:t>s</w:t>
      </w:r>
      <w:r>
        <w:rPr>
          <w:noProof/>
          <w:lang w:eastAsia="en-AU"/>
        </w:rPr>
        <w:t xml:space="preserve"> </w:t>
      </w:r>
      <w:r w:rsidR="00023C43">
        <w:rPr>
          <w:noProof/>
          <w:lang w:eastAsia="en-AU"/>
        </w:rPr>
        <w:t xml:space="preserve">a </w:t>
      </w:r>
      <w:r>
        <w:rPr>
          <w:noProof/>
          <w:lang w:eastAsia="en-AU"/>
        </w:rPr>
        <w:t>small proportions of</w:t>
      </w:r>
      <w:r w:rsidR="00023C43">
        <w:rPr>
          <w:noProof/>
          <w:lang w:eastAsia="en-AU"/>
        </w:rPr>
        <w:t xml:space="preserve"> total stock. V</w:t>
      </w:r>
      <w:r>
        <w:rPr>
          <w:noProof/>
          <w:lang w:eastAsia="en-AU"/>
        </w:rPr>
        <w:t xml:space="preserve">ictoria </w:t>
      </w:r>
      <w:r w:rsidR="00023C43">
        <w:rPr>
          <w:noProof/>
          <w:lang w:eastAsia="en-AU"/>
        </w:rPr>
        <w:t>(1</w:t>
      </w:r>
      <w:r w:rsidR="00665A25">
        <w:rPr>
          <w:noProof/>
          <w:lang w:eastAsia="en-AU"/>
        </w:rPr>
        <w:t>1</w:t>
      </w:r>
      <w:r w:rsidR="00023C43">
        <w:rPr>
          <w:noProof/>
          <w:lang w:eastAsia="en-AU"/>
        </w:rPr>
        <w:t xml:space="preserve">%) </w:t>
      </w:r>
      <w:r>
        <w:rPr>
          <w:noProof/>
          <w:lang w:eastAsia="en-AU"/>
        </w:rPr>
        <w:t xml:space="preserve">and Northern Territory </w:t>
      </w:r>
      <w:r w:rsidR="00023C43">
        <w:rPr>
          <w:noProof/>
          <w:lang w:eastAsia="en-AU"/>
        </w:rPr>
        <w:t xml:space="preserve">(10%) are </w:t>
      </w:r>
      <w:r>
        <w:rPr>
          <w:noProof/>
          <w:lang w:eastAsia="en-AU"/>
        </w:rPr>
        <w:t>the only two</w:t>
      </w:r>
      <w:r w:rsidR="00F24C5E">
        <w:rPr>
          <w:noProof/>
          <w:lang w:eastAsia="en-AU"/>
        </w:rPr>
        <w:t xml:space="preserve"> jurisdictions</w:t>
      </w:r>
      <w:r>
        <w:rPr>
          <w:noProof/>
          <w:lang w:eastAsia="en-AU"/>
        </w:rPr>
        <w:t xml:space="preserve"> to have 10% or more of their enrolled stock as legacy.</w:t>
      </w:r>
    </w:p>
    <w:p w14:paraId="48118B55" w14:textId="794D1D73" w:rsidR="00D275F7" w:rsidRDefault="00D275F7" w:rsidP="00D275F7">
      <w:r>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SA4 region for each state and territory</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36" w:history="1">
        <w:r w:rsidRPr="007805D1" w:rsidDel="00E77F7B">
          <w:rPr>
            <w:rStyle w:val="Hyperlink"/>
            <w:rFonts w:asciiTheme="majorHAnsi" w:hAnsiTheme="majorHAnsi" w:cstheme="majorHAnsi"/>
          </w:rPr>
          <w:t>NDIS data and insights webpage</w:t>
        </w:r>
      </w:hyperlink>
      <w:r>
        <w:t xml:space="preserve">. </w:t>
      </w:r>
    </w:p>
    <w:p w14:paraId="641B1D35" w14:textId="078934F4" w:rsidR="00E62E0D" w:rsidRDefault="00BF626E" w:rsidP="009F2F36">
      <w:pPr>
        <w:rPr>
          <w:b/>
          <w:sz w:val="16"/>
          <w:szCs w:val="16"/>
        </w:rPr>
      </w:pPr>
      <w:r w:rsidRPr="00BF626E">
        <w:rPr>
          <w:b/>
          <w:sz w:val="16"/>
          <w:szCs w:val="16"/>
        </w:rPr>
        <w:t xml:space="preserve">Figure </w:t>
      </w:r>
      <w:r w:rsidRPr="00BF626E">
        <w:rPr>
          <w:b/>
          <w:sz w:val="16"/>
          <w:szCs w:val="16"/>
        </w:rPr>
        <w:fldChar w:fldCharType="begin"/>
      </w:r>
      <w:r w:rsidRPr="00BF626E">
        <w:rPr>
          <w:b/>
          <w:sz w:val="16"/>
          <w:szCs w:val="16"/>
        </w:rPr>
        <w:instrText xml:space="preserve"> SEQ Figure \* ARABIC </w:instrText>
      </w:r>
      <w:r w:rsidRPr="00BF626E">
        <w:rPr>
          <w:b/>
          <w:sz w:val="16"/>
          <w:szCs w:val="16"/>
        </w:rPr>
        <w:fldChar w:fldCharType="separate"/>
      </w:r>
      <w:r w:rsidR="00D402F6">
        <w:rPr>
          <w:b/>
          <w:noProof/>
          <w:sz w:val="16"/>
          <w:szCs w:val="16"/>
        </w:rPr>
        <w:t>5</w:t>
      </w:r>
      <w:r w:rsidRPr="00BF626E">
        <w:rPr>
          <w:b/>
          <w:sz w:val="16"/>
          <w:szCs w:val="16"/>
        </w:rPr>
        <w:fldChar w:fldCharType="end"/>
      </w:r>
      <w:r w:rsidR="00D0756A">
        <w:rPr>
          <w:b/>
          <w:sz w:val="16"/>
          <w:szCs w:val="16"/>
        </w:rPr>
        <w:t>: Enrolled SDA dwellings in</w:t>
      </w:r>
      <w:r w:rsidRPr="00BF626E">
        <w:rPr>
          <w:b/>
          <w:sz w:val="16"/>
          <w:szCs w:val="16"/>
        </w:rPr>
        <w:t xml:space="preserve"> states and territories by</w:t>
      </w:r>
      <w:r w:rsidR="001606BC">
        <w:rPr>
          <w:b/>
          <w:sz w:val="16"/>
          <w:szCs w:val="16"/>
        </w:rPr>
        <w:t xml:space="preserve"> </w:t>
      </w:r>
      <w:r w:rsidR="005714EA">
        <w:rPr>
          <w:b/>
          <w:sz w:val="16"/>
          <w:szCs w:val="16"/>
        </w:rPr>
        <w:t>SDA</w:t>
      </w:r>
      <w:r w:rsidR="001606BC">
        <w:rPr>
          <w:b/>
          <w:sz w:val="16"/>
          <w:szCs w:val="16"/>
        </w:rPr>
        <w:t xml:space="preserve"> type</w:t>
      </w:r>
      <w:r w:rsidRPr="00BF626E">
        <w:rPr>
          <w:b/>
          <w:sz w:val="16"/>
          <w:szCs w:val="16"/>
        </w:rPr>
        <w:t xml:space="preserve"> (excluding in-kind arrangements) </w:t>
      </w:r>
      <w:r w:rsidR="00822B73">
        <w:rPr>
          <w:b/>
          <w:sz w:val="16"/>
          <w:szCs w:val="16"/>
        </w:rPr>
        <w:t xml:space="preserve">at the end of </w:t>
      </w:r>
      <w:r w:rsidRPr="00BF626E">
        <w:rPr>
          <w:b/>
          <w:sz w:val="16"/>
          <w:szCs w:val="16"/>
        </w:rPr>
        <w:t>Q</w:t>
      </w:r>
      <w:r w:rsidR="00E72896">
        <w:rPr>
          <w:b/>
          <w:sz w:val="16"/>
          <w:szCs w:val="16"/>
        </w:rPr>
        <w:t>1</w:t>
      </w:r>
      <w:r w:rsidRPr="00BF626E">
        <w:rPr>
          <w:b/>
          <w:sz w:val="16"/>
          <w:szCs w:val="16"/>
        </w:rPr>
        <w:t xml:space="preserve"> FY2</w:t>
      </w:r>
      <w:r w:rsidR="00E72896">
        <w:rPr>
          <w:b/>
          <w:sz w:val="16"/>
          <w:szCs w:val="16"/>
        </w:rPr>
        <w:t>1</w:t>
      </w:r>
      <w:r w:rsidRPr="00BF626E">
        <w:rPr>
          <w:b/>
          <w:sz w:val="16"/>
          <w:szCs w:val="16"/>
        </w:rPr>
        <w:t>-2</w:t>
      </w:r>
      <w:r w:rsidR="00E72896">
        <w:rPr>
          <w:b/>
          <w:sz w:val="16"/>
          <w:szCs w:val="16"/>
        </w:rPr>
        <w:t>2</w:t>
      </w:r>
    </w:p>
    <w:p w14:paraId="7F3C7894" w14:textId="7A4B828A" w:rsidR="00095B9B" w:rsidRDefault="00E62E0D">
      <w:pPr>
        <w:spacing w:line="276" w:lineRule="auto"/>
        <w:rPr>
          <w:b/>
          <w:sz w:val="16"/>
          <w:szCs w:val="16"/>
        </w:rPr>
      </w:pPr>
      <w:r w:rsidRPr="00E62E0D">
        <w:rPr>
          <w:noProof/>
          <w:lang w:eastAsia="en-AU"/>
        </w:rPr>
        <w:drawing>
          <wp:inline distT="0" distB="0" distL="0" distR="0" wp14:anchorId="2BC0EC94" wp14:editId="7F5C059C">
            <wp:extent cx="5760633" cy="2880000"/>
            <wp:effectExtent l="0" t="0" r="0" b="0"/>
            <wp:docPr id="34" name="Picture 34" descr="This column chart displays SDA dwellings for apartment, villa/duplex/townhouse, house, group home and legacy stock dwellings across states and territories at the end of Q1 FY21-22. Detailed numbers can be found in the following table.&#10;&#10;Within each of New South Wales and Victoria, the group home dwellings comprise of the largest proportion of type of dwellings (40% each). Villas/duplexes/townhouses make up 52% of South Australia’s enrolled dwellings.&#10;&#10;For apartments, nearly half of these are enrolled in New South Wales (48%), followed by Queensland and Victoria (23% and 18%, respectively).&#10;&#10;For legacy stock, the majority is in Victoria (65%), with the next highest states or territories being New South Wales (19%) and Queensland (11%). In most jursidictions legacy stock only comprises a small proportions of total stock. Victoria (11%) and Northern Territory (10%) are the only two jurisdictions to have 10% or more of their enrolled stock as legacy. &#10;" title="Figure 5: Enrolled SDA dwellings in states and territories by SDA type (excluding in-kind arrangements)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633" cy="2880000"/>
                    </a:xfrm>
                    <a:prstGeom prst="rect">
                      <a:avLst/>
                    </a:prstGeom>
                    <a:noFill/>
                    <a:ln>
                      <a:noFill/>
                    </a:ln>
                  </pic:spPr>
                </pic:pic>
              </a:graphicData>
            </a:graphic>
          </wp:inline>
        </w:drawing>
      </w:r>
    </w:p>
    <w:p w14:paraId="3DDBD9F3" w14:textId="6D37FF1E" w:rsidR="00D402F6" w:rsidRDefault="00D402F6">
      <w:pPr>
        <w:spacing w:line="276" w:lineRule="auto"/>
        <w:rPr>
          <w:b/>
          <w:sz w:val="16"/>
          <w:szCs w:val="16"/>
        </w:rPr>
      </w:pPr>
      <w:r>
        <w:rPr>
          <w:b/>
          <w:sz w:val="16"/>
          <w:szCs w:val="16"/>
        </w:rPr>
        <w:br w:type="page"/>
      </w:r>
    </w:p>
    <w:p w14:paraId="4DEACF69" w14:textId="3BF6D489" w:rsidR="00BF626E" w:rsidRDefault="00BF626E" w:rsidP="00BF626E">
      <w:r w:rsidRPr="003A0695">
        <w:rPr>
          <w:b/>
          <w:sz w:val="16"/>
          <w:szCs w:val="16"/>
        </w:rPr>
        <w:lastRenderedPageBreak/>
        <w:t xml:space="preserve">Table </w:t>
      </w:r>
      <w:r w:rsidRPr="003A0695">
        <w:rPr>
          <w:b/>
          <w:sz w:val="16"/>
          <w:szCs w:val="16"/>
        </w:rPr>
        <w:fldChar w:fldCharType="begin"/>
      </w:r>
      <w:r w:rsidRPr="003A0695">
        <w:rPr>
          <w:b/>
          <w:sz w:val="16"/>
          <w:szCs w:val="16"/>
        </w:rPr>
        <w:instrText xml:space="preserve"> SEQ Table \* ARABIC </w:instrText>
      </w:r>
      <w:r w:rsidRPr="003A0695">
        <w:rPr>
          <w:b/>
          <w:sz w:val="16"/>
          <w:szCs w:val="16"/>
        </w:rPr>
        <w:fldChar w:fldCharType="separate"/>
      </w:r>
      <w:r w:rsidR="00D402F6">
        <w:rPr>
          <w:b/>
          <w:noProof/>
          <w:sz w:val="16"/>
          <w:szCs w:val="16"/>
        </w:rPr>
        <w:t>3</w:t>
      </w:r>
      <w:r w:rsidRPr="003A0695">
        <w:rPr>
          <w:b/>
          <w:sz w:val="16"/>
          <w:szCs w:val="16"/>
        </w:rPr>
        <w:fldChar w:fldCharType="end"/>
      </w:r>
      <w:r w:rsidRPr="003A0695">
        <w:rPr>
          <w:b/>
          <w:sz w:val="16"/>
          <w:szCs w:val="16"/>
        </w:rPr>
        <w:t>: Enrolled</w:t>
      </w:r>
      <w:r>
        <w:rPr>
          <w:b/>
          <w:sz w:val="16"/>
          <w:szCs w:val="16"/>
        </w:rPr>
        <w:t xml:space="preserve"> SDA dwellings in s</w:t>
      </w:r>
      <w:r w:rsidRPr="00BF626E">
        <w:rPr>
          <w:b/>
          <w:sz w:val="16"/>
          <w:szCs w:val="16"/>
        </w:rPr>
        <w:t>tate</w:t>
      </w:r>
      <w:r>
        <w:rPr>
          <w:b/>
          <w:sz w:val="16"/>
          <w:szCs w:val="16"/>
        </w:rPr>
        <w:t xml:space="preserve">s and territories by </w:t>
      </w:r>
      <w:r w:rsidR="00095B9B">
        <w:rPr>
          <w:b/>
          <w:sz w:val="16"/>
          <w:szCs w:val="16"/>
        </w:rPr>
        <w:t xml:space="preserve">building </w:t>
      </w:r>
      <w:r>
        <w:rPr>
          <w:b/>
          <w:sz w:val="16"/>
          <w:szCs w:val="16"/>
        </w:rPr>
        <w:t xml:space="preserve">type </w:t>
      </w:r>
      <w:r w:rsidR="00095B9B">
        <w:rPr>
          <w:b/>
          <w:sz w:val="16"/>
          <w:szCs w:val="16"/>
        </w:rPr>
        <w:t xml:space="preserve">including legacy </w:t>
      </w:r>
      <w:r w:rsidRPr="00742931">
        <w:rPr>
          <w:b/>
          <w:sz w:val="16"/>
          <w:szCs w:val="16"/>
        </w:rPr>
        <w:t xml:space="preserve">(excludes in-kind arrangements) </w:t>
      </w:r>
      <w:r w:rsidR="00822B73">
        <w:rPr>
          <w:b/>
          <w:sz w:val="16"/>
          <w:szCs w:val="16"/>
        </w:rPr>
        <w:t xml:space="preserve">at the end of </w:t>
      </w:r>
      <w:r w:rsidRPr="00BF626E">
        <w:rPr>
          <w:b/>
          <w:sz w:val="16"/>
          <w:szCs w:val="16"/>
        </w:rPr>
        <w:t>Q</w:t>
      </w:r>
      <w:r w:rsidR="00E72896">
        <w:rPr>
          <w:b/>
          <w:sz w:val="16"/>
          <w:szCs w:val="16"/>
        </w:rPr>
        <w:t>1</w:t>
      </w:r>
      <w:r w:rsidRPr="00BF626E">
        <w:rPr>
          <w:b/>
          <w:sz w:val="16"/>
          <w:szCs w:val="16"/>
        </w:rPr>
        <w:t xml:space="preserve"> FY2</w:t>
      </w:r>
      <w:r w:rsidR="00E72896">
        <w:rPr>
          <w:b/>
          <w:sz w:val="16"/>
          <w:szCs w:val="16"/>
        </w:rPr>
        <w:t>1</w:t>
      </w:r>
      <w:r w:rsidRPr="00BF626E">
        <w:rPr>
          <w:b/>
          <w:sz w:val="16"/>
          <w:szCs w:val="16"/>
        </w:rPr>
        <w:t>-2</w:t>
      </w:r>
      <w:r w:rsidR="00E72896">
        <w:rPr>
          <w:b/>
          <w:sz w:val="16"/>
          <w:szCs w:val="16"/>
        </w:rPr>
        <w:t>2</w:t>
      </w:r>
    </w:p>
    <w:tbl>
      <w:tblPr>
        <w:tblStyle w:val="LightShading-Accent4"/>
        <w:tblW w:w="9072" w:type="dxa"/>
        <w:tblLayout w:type="fixed"/>
        <w:tblLook w:val="04A0" w:firstRow="1" w:lastRow="0" w:firstColumn="1" w:lastColumn="0" w:noHBand="0" w:noVBand="1"/>
        <w:tblCaption w:val="Table 3: Enrolled SDA dwellings in states and territories by building type including legacy (excludes in-kind arrangements) at the end of Q1 FY21-22"/>
        <w:tblDescription w:val="This table includes the SDA dwelling numbers behind the previous graph, displaying the number of SDA dwellings across states and territories for apartment, villa/duplex/townhouse, house, group home and legacy stock dwellings at the end of Q1 FY21-22."/>
      </w:tblPr>
      <w:tblGrid>
        <w:gridCol w:w="1843"/>
        <w:gridCol w:w="1418"/>
        <w:gridCol w:w="1417"/>
        <w:gridCol w:w="1276"/>
        <w:gridCol w:w="992"/>
        <w:gridCol w:w="1276"/>
        <w:gridCol w:w="850"/>
      </w:tblGrid>
      <w:tr w:rsidR="009F2F36" w:rsidRPr="00E33A3C" w14:paraId="1801B6BC" w14:textId="77777777" w:rsidTr="00095B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4423BC8C" w14:textId="77777777" w:rsidR="004C03CC" w:rsidRPr="008E1C0A" w:rsidRDefault="008C30FD" w:rsidP="0010495B">
            <w:pPr>
              <w:rPr>
                <w:rFonts w:asciiTheme="majorHAnsi" w:hAnsiTheme="majorHAnsi" w:cstheme="majorHAnsi"/>
                <w:color w:val="FFFFFF"/>
                <w:sz w:val="16"/>
                <w:szCs w:val="16"/>
              </w:rPr>
            </w:pPr>
            <w:r>
              <w:rPr>
                <w:rFonts w:asciiTheme="majorHAnsi" w:hAnsiTheme="majorHAnsi" w:cstheme="majorHAnsi"/>
                <w:color w:val="FFFFFF"/>
                <w:sz w:val="16"/>
                <w:szCs w:val="16"/>
              </w:rPr>
              <w:t>Building type</w:t>
            </w:r>
            <w:r w:rsidR="00BF626E" w:rsidRPr="008E1C0A">
              <w:rPr>
                <w:rFonts w:asciiTheme="majorHAnsi" w:hAnsiTheme="majorHAnsi" w:cstheme="majorHAnsi"/>
                <w:color w:val="FFFFFF"/>
                <w:sz w:val="16"/>
                <w:szCs w:val="16"/>
              </w:rPr>
              <w:t xml:space="preserve"> / State</w:t>
            </w:r>
          </w:p>
        </w:tc>
        <w:tc>
          <w:tcPr>
            <w:tcW w:w="1418" w:type="dxa"/>
          </w:tcPr>
          <w:p w14:paraId="2A0512B0"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Apartment</w:t>
            </w:r>
          </w:p>
        </w:tc>
        <w:tc>
          <w:tcPr>
            <w:tcW w:w="1417" w:type="dxa"/>
          </w:tcPr>
          <w:p w14:paraId="1FAABCE3" w14:textId="77777777" w:rsidR="004C03CC" w:rsidRPr="008E1C0A" w:rsidRDefault="003A0695"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Villa/Duplex/Townhouse</w:t>
            </w:r>
          </w:p>
        </w:tc>
        <w:tc>
          <w:tcPr>
            <w:tcW w:w="1276" w:type="dxa"/>
          </w:tcPr>
          <w:p w14:paraId="741D06DC"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House</w:t>
            </w:r>
          </w:p>
        </w:tc>
        <w:tc>
          <w:tcPr>
            <w:tcW w:w="992" w:type="dxa"/>
          </w:tcPr>
          <w:p w14:paraId="189D212F" w14:textId="77777777" w:rsidR="004C03CC" w:rsidRPr="008E1C0A" w:rsidRDefault="003A0695"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 xml:space="preserve">Group </w:t>
            </w:r>
            <w:r w:rsidR="00402645">
              <w:rPr>
                <w:rFonts w:asciiTheme="majorHAnsi" w:hAnsiTheme="majorHAnsi" w:cstheme="majorHAnsi"/>
                <w:color w:val="FFFFFF"/>
                <w:sz w:val="16"/>
                <w:szCs w:val="16"/>
              </w:rPr>
              <w:t>h</w:t>
            </w:r>
            <w:r w:rsidRPr="008E1C0A">
              <w:rPr>
                <w:rFonts w:asciiTheme="majorHAnsi" w:hAnsiTheme="majorHAnsi" w:cstheme="majorHAnsi"/>
                <w:color w:val="FFFFFF"/>
                <w:sz w:val="16"/>
                <w:szCs w:val="16"/>
              </w:rPr>
              <w:t>ome</w:t>
            </w:r>
          </w:p>
        </w:tc>
        <w:tc>
          <w:tcPr>
            <w:tcW w:w="1276" w:type="dxa"/>
          </w:tcPr>
          <w:p w14:paraId="5F0EB3E8"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Legacy stock</w:t>
            </w:r>
            <w:r w:rsidR="00095B9B">
              <w:rPr>
                <w:rFonts w:asciiTheme="majorHAnsi" w:hAnsiTheme="majorHAnsi" w:cstheme="majorHAnsi"/>
                <w:color w:val="FFFFFF"/>
                <w:sz w:val="16"/>
                <w:szCs w:val="16"/>
              </w:rPr>
              <w:t xml:space="preserve"> (6+ residence)</w:t>
            </w:r>
          </w:p>
        </w:tc>
        <w:tc>
          <w:tcPr>
            <w:tcW w:w="850" w:type="dxa"/>
          </w:tcPr>
          <w:p w14:paraId="5218AF16"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Total</w:t>
            </w:r>
          </w:p>
        </w:tc>
      </w:tr>
      <w:tr w:rsidR="00E72896" w:rsidRPr="00E33A3C" w14:paraId="5DF7980A"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4CC18AD"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NSW</w:t>
            </w:r>
          </w:p>
        </w:tc>
        <w:tc>
          <w:tcPr>
            <w:tcW w:w="1418" w:type="dxa"/>
          </w:tcPr>
          <w:p w14:paraId="74DB582C"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558</w:t>
            </w:r>
          </w:p>
        </w:tc>
        <w:tc>
          <w:tcPr>
            <w:tcW w:w="1417" w:type="dxa"/>
          </w:tcPr>
          <w:p w14:paraId="1DD27A16"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624</w:t>
            </w:r>
          </w:p>
        </w:tc>
        <w:tc>
          <w:tcPr>
            <w:tcW w:w="1276" w:type="dxa"/>
          </w:tcPr>
          <w:p w14:paraId="2EA25943"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206</w:t>
            </w:r>
          </w:p>
        </w:tc>
        <w:tc>
          <w:tcPr>
            <w:tcW w:w="992" w:type="dxa"/>
          </w:tcPr>
          <w:p w14:paraId="25472CD1"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967</w:t>
            </w:r>
          </w:p>
        </w:tc>
        <w:tc>
          <w:tcPr>
            <w:tcW w:w="1276" w:type="dxa"/>
          </w:tcPr>
          <w:p w14:paraId="368F20B9"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58</w:t>
            </w:r>
          </w:p>
        </w:tc>
        <w:tc>
          <w:tcPr>
            <w:tcW w:w="850" w:type="dxa"/>
          </w:tcPr>
          <w:p w14:paraId="2BE72808"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2,413</w:t>
            </w:r>
          </w:p>
        </w:tc>
      </w:tr>
      <w:tr w:rsidR="00E72896" w:rsidRPr="00E33A3C" w14:paraId="2A4BA473"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E90AF5D"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Vic</w:t>
            </w:r>
          </w:p>
        </w:tc>
        <w:tc>
          <w:tcPr>
            <w:tcW w:w="1418" w:type="dxa"/>
          </w:tcPr>
          <w:p w14:paraId="0FA48D08"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203</w:t>
            </w:r>
          </w:p>
        </w:tc>
        <w:tc>
          <w:tcPr>
            <w:tcW w:w="1417" w:type="dxa"/>
          </w:tcPr>
          <w:p w14:paraId="36C32454"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488</w:t>
            </w:r>
          </w:p>
        </w:tc>
        <w:tc>
          <w:tcPr>
            <w:tcW w:w="1276" w:type="dxa"/>
          </w:tcPr>
          <w:p w14:paraId="77557BBC"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163</w:t>
            </w:r>
          </w:p>
        </w:tc>
        <w:tc>
          <w:tcPr>
            <w:tcW w:w="992" w:type="dxa"/>
          </w:tcPr>
          <w:p w14:paraId="2578D79B"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703</w:t>
            </w:r>
          </w:p>
        </w:tc>
        <w:tc>
          <w:tcPr>
            <w:tcW w:w="1276" w:type="dxa"/>
          </w:tcPr>
          <w:p w14:paraId="27F415F9"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196</w:t>
            </w:r>
          </w:p>
        </w:tc>
        <w:tc>
          <w:tcPr>
            <w:tcW w:w="850" w:type="dxa"/>
          </w:tcPr>
          <w:p w14:paraId="59FBC1EE"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1,753</w:t>
            </w:r>
          </w:p>
        </w:tc>
      </w:tr>
      <w:tr w:rsidR="00E72896" w:rsidRPr="00E33A3C" w14:paraId="3DB6E15C"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2F09337"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Qld</w:t>
            </w:r>
          </w:p>
        </w:tc>
        <w:tc>
          <w:tcPr>
            <w:tcW w:w="1418" w:type="dxa"/>
          </w:tcPr>
          <w:p w14:paraId="524C6ABD"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262</w:t>
            </w:r>
          </w:p>
        </w:tc>
        <w:tc>
          <w:tcPr>
            <w:tcW w:w="1417" w:type="dxa"/>
          </w:tcPr>
          <w:p w14:paraId="58A7B29E"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264</w:t>
            </w:r>
          </w:p>
        </w:tc>
        <w:tc>
          <w:tcPr>
            <w:tcW w:w="1276" w:type="dxa"/>
          </w:tcPr>
          <w:p w14:paraId="347C4F0F"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224</w:t>
            </w:r>
          </w:p>
        </w:tc>
        <w:tc>
          <w:tcPr>
            <w:tcW w:w="992" w:type="dxa"/>
          </w:tcPr>
          <w:p w14:paraId="1FF1CF5D"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134</w:t>
            </w:r>
          </w:p>
        </w:tc>
        <w:tc>
          <w:tcPr>
            <w:tcW w:w="1276" w:type="dxa"/>
          </w:tcPr>
          <w:p w14:paraId="1AACDF41"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32</w:t>
            </w:r>
          </w:p>
        </w:tc>
        <w:tc>
          <w:tcPr>
            <w:tcW w:w="850" w:type="dxa"/>
          </w:tcPr>
          <w:p w14:paraId="74FD8A7D"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916</w:t>
            </w:r>
          </w:p>
        </w:tc>
      </w:tr>
      <w:tr w:rsidR="00E72896" w:rsidRPr="00E33A3C" w14:paraId="2B708B20"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BF05B51"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WA</w:t>
            </w:r>
          </w:p>
        </w:tc>
        <w:tc>
          <w:tcPr>
            <w:tcW w:w="1418" w:type="dxa"/>
          </w:tcPr>
          <w:p w14:paraId="3EEC048C"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22</w:t>
            </w:r>
          </w:p>
        </w:tc>
        <w:tc>
          <w:tcPr>
            <w:tcW w:w="1417" w:type="dxa"/>
          </w:tcPr>
          <w:p w14:paraId="7F774BB1"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35</w:t>
            </w:r>
          </w:p>
        </w:tc>
        <w:tc>
          <w:tcPr>
            <w:tcW w:w="1276" w:type="dxa"/>
          </w:tcPr>
          <w:p w14:paraId="1E9FC787"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23</w:t>
            </w:r>
          </w:p>
        </w:tc>
        <w:tc>
          <w:tcPr>
            <w:tcW w:w="992" w:type="dxa"/>
          </w:tcPr>
          <w:p w14:paraId="72B65431"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w:t>
            </w:r>
          </w:p>
        </w:tc>
        <w:tc>
          <w:tcPr>
            <w:tcW w:w="1276" w:type="dxa"/>
          </w:tcPr>
          <w:p w14:paraId="57C8C6F2"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w:t>
            </w:r>
          </w:p>
        </w:tc>
        <w:tc>
          <w:tcPr>
            <w:tcW w:w="850" w:type="dxa"/>
          </w:tcPr>
          <w:p w14:paraId="4C852886"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92</w:t>
            </w:r>
          </w:p>
        </w:tc>
      </w:tr>
      <w:tr w:rsidR="00E72896" w:rsidRPr="00E33A3C" w14:paraId="5B427777"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7961A6D"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SA</w:t>
            </w:r>
          </w:p>
        </w:tc>
        <w:tc>
          <w:tcPr>
            <w:tcW w:w="1418" w:type="dxa"/>
          </w:tcPr>
          <w:p w14:paraId="74808C3B"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87</w:t>
            </w:r>
          </w:p>
        </w:tc>
        <w:tc>
          <w:tcPr>
            <w:tcW w:w="1417" w:type="dxa"/>
          </w:tcPr>
          <w:p w14:paraId="02909BF6"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606</w:t>
            </w:r>
          </w:p>
        </w:tc>
        <w:tc>
          <w:tcPr>
            <w:tcW w:w="1276" w:type="dxa"/>
          </w:tcPr>
          <w:p w14:paraId="00BBEED5"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267</w:t>
            </w:r>
          </w:p>
        </w:tc>
        <w:tc>
          <w:tcPr>
            <w:tcW w:w="992" w:type="dxa"/>
          </w:tcPr>
          <w:p w14:paraId="44C61947"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203</w:t>
            </w:r>
          </w:p>
        </w:tc>
        <w:tc>
          <w:tcPr>
            <w:tcW w:w="1276" w:type="dxa"/>
          </w:tcPr>
          <w:p w14:paraId="7EC49698"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8</w:t>
            </w:r>
          </w:p>
        </w:tc>
        <w:tc>
          <w:tcPr>
            <w:tcW w:w="850" w:type="dxa"/>
          </w:tcPr>
          <w:p w14:paraId="56D24233"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1,171</w:t>
            </w:r>
          </w:p>
        </w:tc>
      </w:tr>
      <w:tr w:rsidR="00E72896" w:rsidRPr="00E33A3C" w14:paraId="3D2BFE67"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FEE0160"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Tas</w:t>
            </w:r>
          </w:p>
        </w:tc>
        <w:tc>
          <w:tcPr>
            <w:tcW w:w="1418" w:type="dxa"/>
          </w:tcPr>
          <w:p w14:paraId="08B77DFF"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w:t>
            </w:r>
          </w:p>
        </w:tc>
        <w:tc>
          <w:tcPr>
            <w:tcW w:w="1417" w:type="dxa"/>
          </w:tcPr>
          <w:p w14:paraId="02694302"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15</w:t>
            </w:r>
          </w:p>
        </w:tc>
        <w:tc>
          <w:tcPr>
            <w:tcW w:w="1276" w:type="dxa"/>
          </w:tcPr>
          <w:p w14:paraId="1B3C4D04"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9</w:t>
            </w:r>
          </w:p>
        </w:tc>
        <w:tc>
          <w:tcPr>
            <w:tcW w:w="992" w:type="dxa"/>
          </w:tcPr>
          <w:p w14:paraId="73634926"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15</w:t>
            </w:r>
          </w:p>
        </w:tc>
        <w:tc>
          <w:tcPr>
            <w:tcW w:w="1276" w:type="dxa"/>
          </w:tcPr>
          <w:p w14:paraId="42FA3E93"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w:t>
            </w:r>
          </w:p>
        </w:tc>
        <w:tc>
          <w:tcPr>
            <w:tcW w:w="850" w:type="dxa"/>
          </w:tcPr>
          <w:p w14:paraId="153F6C57"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43</w:t>
            </w:r>
          </w:p>
        </w:tc>
      </w:tr>
      <w:tr w:rsidR="00E72896" w:rsidRPr="00E33A3C" w14:paraId="65ECDE46"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BCB831E"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ACT</w:t>
            </w:r>
          </w:p>
        </w:tc>
        <w:tc>
          <w:tcPr>
            <w:tcW w:w="1418" w:type="dxa"/>
          </w:tcPr>
          <w:p w14:paraId="2971FD9A"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18</w:t>
            </w:r>
          </w:p>
        </w:tc>
        <w:tc>
          <w:tcPr>
            <w:tcW w:w="1417" w:type="dxa"/>
          </w:tcPr>
          <w:p w14:paraId="151ABF69"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35</w:t>
            </w:r>
          </w:p>
        </w:tc>
        <w:tc>
          <w:tcPr>
            <w:tcW w:w="1276" w:type="dxa"/>
          </w:tcPr>
          <w:p w14:paraId="3E2DD70B"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58</w:t>
            </w:r>
          </w:p>
        </w:tc>
        <w:tc>
          <w:tcPr>
            <w:tcW w:w="992" w:type="dxa"/>
          </w:tcPr>
          <w:p w14:paraId="7F9F87CD"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33</w:t>
            </w:r>
          </w:p>
        </w:tc>
        <w:tc>
          <w:tcPr>
            <w:tcW w:w="1276" w:type="dxa"/>
          </w:tcPr>
          <w:p w14:paraId="2629B644"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850" w:type="dxa"/>
          </w:tcPr>
          <w:p w14:paraId="29420CAC"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144</w:t>
            </w:r>
          </w:p>
        </w:tc>
      </w:tr>
      <w:tr w:rsidR="00E72896" w:rsidRPr="00E33A3C" w14:paraId="1FF63EF0"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B1821AF"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NT</w:t>
            </w:r>
          </w:p>
        </w:tc>
        <w:tc>
          <w:tcPr>
            <w:tcW w:w="1418" w:type="dxa"/>
          </w:tcPr>
          <w:p w14:paraId="77D112E2"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8</w:t>
            </w:r>
          </w:p>
        </w:tc>
        <w:tc>
          <w:tcPr>
            <w:tcW w:w="1417" w:type="dxa"/>
          </w:tcPr>
          <w:p w14:paraId="2ACE5FEA"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276" w:type="dxa"/>
          </w:tcPr>
          <w:p w14:paraId="4A425891"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9</w:t>
            </w:r>
          </w:p>
        </w:tc>
        <w:tc>
          <w:tcPr>
            <w:tcW w:w="992" w:type="dxa"/>
          </w:tcPr>
          <w:p w14:paraId="6E4C943B"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9</w:t>
            </w:r>
          </w:p>
        </w:tc>
        <w:tc>
          <w:tcPr>
            <w:tcW w:w="1276" w:type="dxa"/>
          </w:tcPr>
          <w:p w14:paraId="0ADF884F"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w:t>
            </w:r>
          </w:p>
        </w:tc>
        <w:tc>
          <w:tcPr>
            <w:tcW w:w="850" w:type="dxa"/>
          </w:tcPr>
          <w:p w14:paraId="3C7CEF54" w14:textId="77777777" w:rsidR="00E72896" w:rsidRPr="008E1C0A" w:rsidRDefault="00E72896"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29</w:t>
            </w:r>
          </w:p>
        </w:tc>
      </w:tr>
      <w:tr w:rsidR="00E72896" w:rsidRPr="00E33A3C" w14:paraId="22F9FE15"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4D9335C" w14:textId="77777777" w:rsidR="00E72896" w:rsidRPr="008E1C0A" w:rsidRDefault="00E72896" w:rsidP="00E72896">
            <w:pPr>
              <w:rPr>
                <w:rFonts w:asciiTheme="minorHAnsi" w:hAnsiTheme="minorHAnsi" w:cstheme="minorHAnsi"/>
                <w:sz w:val="18"/>
                <w:szCs w:val="18"/>
              </w:rPr>
            </w:pPr>
            <w:r w:rsidRPr="008E1C0A">
              <w:rPr>
                <w:rFonts w:asciiTheme="minorHAnsi" w:hAnsiTheme="minorHAnsi" w:cstheme="minorHAnsi"/>
                <w:sz w:val="18"/>
                <w:szCs w:val="18"/>
              </w:rPr>
              <w:t>National</w:t>
            </w:r>
          </w:p>
        </w:tc>
        <w:tc>
          <w:tcPr>
            <w:tcW w:w="1418" w:type="dxa"/>
          </w:tcPr>
          <w:p w14:paraId="5B9436C6"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1,159</w:t>
            </w:r>
          </w:p>
        </w:tc>
        <w:tc>
          <w:tcPr>
            <w:tcW w:w="1417" w:type="dxa"/>
          </w:tcPr>
          <w:p w14:paraId="6006286A"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2,067</w:t>
            </w:r>
          </w:p>
        </w:tc>
        <w:tc>
          <w:tcPr>
            <w:tcW w:w="1276" w:type="dxa"/>
          </w:tcPr>
          <w:p w14:paraId="67494638"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959</w:t>
            </w:r>
          </w:p>
        </w:tc>
        <w:tc>
          <w:tcPr>
            <w:tcW w:w="992" w:type="dxa"/>
          </w:tcPr>
          <w:p w14:paraId="0117B8C6"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2,075</w:t>
            </w:r>
          </w:p>
        </w:tc>
        <w:tc>
          <w:tcPr>
            <w:tcW w:w="1276" w:type="dxa"/>
          </w:tcPr>
          <w:p w14:paraId="06184306"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301</w:t>
            </w:r>
          </w:p>
        </w:tc>
        <w:tc>
          <w:tcPr>
            <w:tcW w:w="850" w:type="dxa"/>
          </w:tcPr>
          <w:p w14:paraId="6BCFEE68" w14:textId="77777777" w:rsidR="00E72896" w:rsidRPr="008E1C0A" w:rsidRDefault="00E72896"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6,561</w:t>
            </w:r>
          </w:p>
        </w:tc>
      </w:tr>
    </w:tbl>
    <w:p w14:paraId="259575FD" w14:textId="77777777" w:rsidR="00A60C3D" w:rsidRPr="00A60C3D" w:rsidRDefault="00894532" w:rsidP="00C753CE">
      <w:pPr>
        <w:pStyle w:val="Heading3"/>
      </w:pPr>
      <w:bookmarkStart w:id="92" w:name="_Toc87887955"/>
      <w:bookmarkStart w:id="93" w:name="_Toc89692960"/>
      <w:r>
        <w:t xml:space="preserve">SDA </w:t>
      </w:r>
      <w:r w:rsidR="00095B9B">
        <w:t>building t</w:t>
      </w:r>
      <w:r w:rsidR="00A60C3D">
        <w:t xml:space="preserve">ype </w:t>
      </w:r>
      <w:r w:rsidR="00C52721">
        <w:t>by</w:t>
      </w:r>
      <w:r w:rsidR="00A60C3D">
        <w:t xml:space="preserve"> design category</w:t>
      </w:r>
      <w:bookmarkEnd w:id="92"/>
      <w:bookmarkEnd w:id="93"/>
      <w:r w:rsidR="00C753CE">
        <w:t xml:space="preserve"> </w:t>
      </w:r>
    </w:p>
    <w:p w14:paraId="71DC3815" w14:textId="038051FA" w:rsidR="0010495B" w:rsidRDefault="00637E42" w:rsidP="004C03CC">
      <w:r>
        <w:fldChar w:fldCharType="begin"/>
      </w:r>
      <w:r>
        <w:instrText xml:space="preserve"> REF _Ref89172487 \h  \* MERGEFORMAT </w:instrText>
      </w:r>
      <w:r>
        <w:fldChar w:fldCharType="separate"/>
      </w:r>
      <w:r w:rsidR="00D402F6" w:rsidRPr="00D402F6">
        <w:t>Figure 6</w:t>
      </w:r>
      <w:r>
        <w:fldChar w:fldCharType="end"/>
      </w:r>
      <w:r>
        <w:t xml:space="preserve"> </w:t>
      </w:r>
      <w:r w:rsidR="00D84551">
        <w:t xml:space="preserve">shows that the largest proportion of </w:t>
      </w:r>
      <w:r w:rsidR="00EE7FB3">
        <w:t>dwellings are</w:t>
      </w:r>
      <w:r w:rsidR="00D84551">
        <w:t xml:space="preserve"> of the basic design category </w:t>
      </w:r>
      <w:r w:rsidR="00EE7FB3">
        <w:t xml:space="preserve">other than </w:t>
      </w:r>
      <w:r w:rsidR="00D84551">
        <w:t>apartments</w:t>
      </w:r>
      <w:r w:rsidR="003A0695">
        <w:t xml:space="preserve">. For apartment builds, </w:t>
      </w:r>
      <w:r w:rsidR="009C460C">
        <w:t>60</w:t>
      </w:r>
      <w:r w:rsidR="003A0695">
        <w:t xml:space="preserve">% of these are </w:t>
      </w:r>
      <w:r w:rsidR="00EE7FB3">
        <w:t>in the</w:t>
      </w:r>
      <w:r w:rsidR="003A0695">
        <w:t xml:space="preserve"> high physical support </w:t>
      </w:r>
      <w:r w:rsidR="00EE7FB3">
        <w:t>design category</w:t>
      </w:r>
      <w:r w:rsidR="003A0695">
        <w:t xml:space="preserve"> which is also the largest percentage within any type of </w:t>
      </w:r>
      <w:r w:rsidR="00EE7FB3">
        <w:t>dwelling.</w:t>
      </w:r>
    </w:p>
    <w:p w14:paraId="28608148" w14:textId="77777777" w:rsidR="003A0695" w:rsidRDefault="004114BB" w:rsidP="004C03CC">
      <w:r>
        <w:t xml:space="preserve">Basic </w:t>
      </w:r>
      <w:r w:rsidR="008D43CC">
        <w:t>dwellings</w:t>
      </w:r>
      <w:r>
        <w:t xml:space="preserve"> account for a higher share of group homes (46%), houses (3</w:t>
      </w:r>
      <w:r w:rsidR="009C460C">
        <w:t>4</w:t>
      </w:r>
      <w:r>
        <w:t>%) and villas (3</w:t>
      </w:r>
      <w:r w:rsidR="009C460C">
        <w:t>6</w:t>
      </w:r>
      <w:r>
        <w:t>%) than it does of legacy</w:t>
      </w:r>
      <w:r w:rsidR="00095B9B">
        <w:t xml:space="preserve"> (6+ residence)</w:t>
      </w:r>
      <w:r>
        <w:t xml:space="preserve"> (3</w:t>
      </w:r>
      <w:r w:rsidR="009C460C">
        <w:t>2</w:t>
      </w:r>
      <w:r>
        <w:t>%)</w:t>
      </w:r>
      <w:r w:rsidR="0010495B">
        <w:t>.</w:t>
      </w:r>
      <w:r w:rsidR="000D1922">
        <w:t xml:space="preserve"> </w:t>
      </w:r>
      <w:r w:rsidR="003A0695">
        <w:t xml:space="preserve">Across all types of buildings, improved liveability is the second most common design category for the buildings whilst robust </w:t>
      </w:r>
      <w:r w:rsidR="008D43CC">
        <w:t xml:space="preserve">buildings </w:t>
      </w:r>
      <w:r w:rsidR="003A0695">
        <w:t xml:space="preserve">is the lowest </w:t>
      </w:r>
      <w:r w:rsidR="009C460C">
        <w:t xml:space="preserve">across </w:t>
      </w:r>
      <w:r w:rsidR="003A0695">
        <w:t xml:space="preserve">all types of buildings. </w:t>
      </w:r>
    </w:p>
    <w:p w14:paraId="194C602E" w14:textId="6CD5A648" w:rsidR="00822B73" w:rsidRPr="00822B73" w:rsidRDefault="00095B9B" w:rsidP="003A0695">
      <w:r>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SA4 region for each state and territory</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38" w:history="1">
        <w:r w:rsidRPr="007805D1" w:rsidDel="00E77F7B">
          <w:rPr>
            <w:rStyle w:val="Hyperlink"/>
            <w:rFonts w:asciiTheme="majorHAnsi" w:hAnsiTheme="majorHAnsi" w:cstheme="majorHAnsi"/>
          </w:rPr>
          <w:t>NDIS data and insights webpage</w:t>
        </w:r>
      </w:hyperlink>
      <w:bookmarkStart w:id="94" w:name="_Ref87627971"/>
      <w:bookmarkStart w:id="95" w:name="_Ref87627952"/>
      <w:r w:rsidR="00822B73">
        <w:t xml:space="preserve">. </w:t>
      </w:r>
    </w:p>
    <w:p w14:paraId="221280F5" w14:textId="57124D24" w:rsidR="00BF626E" w:rsidRDefault="00BF626E" w:rsidP="003A0695">
      <w:pPr>
        <w:rPr>
          <w:b/>
          <w:sz w:val="16"/>
          <w:szCs w:val="16"/>
        </w:rPr>
      </w:pPr>
      <w:bookmarkStart w:id="96" w:name="_Ref89172487"/>
      <w:r w:rsidRPr="00742931">
        <w:rPr>
          <w:b/>
          <w:sz w:val="16"/>
          <w:szCs w:val="16"/>
        </w:rPr>
        <w:t xml:space="preserve">Figure </w:t>
      </w:r>
      <w:r w:rsidRPr="00742931">
        <w:rPr>
          <w:b/>
          <w:sz w:val="16"/>
          <w:szCs w:val="16"/>
        </w:rPr>
        <w:fldChar w:fldCharType="begin"/>
      </w:r>
      <w:r w:rsidRPr="00742931">
        <w:rPr>
          <w:b/>
          <w:sz w:val="16"/>
          <w:szCs w:val="16"/>
        </w:rPr>
        <w:instrText xml:space="preserve"> SEQ Figure \* ARABIC </w:instrText>
      </w:r>
      <w:r w:rsidRPr="00742931">
        <w:rPr>
          <w:b/>
          <w:sz w:val="16"/>
          <w:szCs w:val="16"/>
        </w:rPr>
        <w:fldChar w:fldCharType="separate"/>
      </w:r>
      <w:r w:rsidR="00D402F6">
        <w:rPr>
          <w:b/>
          <w:noProof/>
          <w:sz w:val="16"/>
          <w:szCs w:val="16"/>
        </w:rPr>
        <w:t>6</w:t>
      </w:r>
      <w:r w:rsidRPr="00742931">
        <w:rPr>
          <w:b/>
          <w:sz w:val="16"/>
          <w:szCs w:val="16"/>
        </w:rPr>
        <w:fldChar w:fldCharType="end"/>
      </w:r>
      <w:bookmarkEnd w:id="94"/>
      <w:bookmarkEnd w:id="96"/>
      <w:r w:rsidRPr="00742931">
        <w:rPr>
          <w:b/>
          <w:sz w:val="16"/>
          <w:szCs w:val="16"/>
        </w:rPr>
        <w:t xml:space="preserve">: </w:t>
      </w:r>
      <w:r>
        <w:rPr>
          <w:b/>
          <w:sz w:val="16"/>
          <w:szCs w:val="16"/>
        </w:rPr>
        <w:t xml:space="preserve">Enrolled SDA dwellings by percentage </w:t>
      </w:r>
      <w:r w:rsidR="00095B9B">
        <w:rPr>
          <w:b/>
          <w:sz w:val="16"/>
          <w:szCs w:val="16"/>
        </w:rPr>
        <w:t xml:space="preserve">of </w:t>
      </w:r>
      <w:r w:rsidR="007B02F7">
        <w:rPr>
          <w:b/>
          <w:sz w:val="16"/>
          <w:szCs w:val="16"/>
        </w:rPr>
        <w:t>design category</w:t>
      </w:r>
      <w:r w:rsidR="00665A25">
        <w:rPr>
          <w:b/>
          <w:sz w:val="16"/>
          <w:szCs w:val="16"/>
        </w:rPr>
        <w:t xml:space="preserve"> </w:t>
      </w:r>
      <w:r w:rsidR="00095B9B">
        <w:rPr>
          <w:b/>
          <w:sz w:val="16"/>
          <w:szCs w:val="16"/>
        </w:rPr>
        <w:t xml:space="preserve">within </w:t>
      </w:r>
      <w:r w:rsidR="00665A25">
        <w:rPr>
          <w:b/>
          <w:sz w:val="16"/>
          <w:szCs w:val="16"/>
        </w:rPr>
        <w:t>the</w:t>
      </w:r>
      <w:r>
        <w:rPr>
          <w:b/>
          <w:sz w:val="16"/>
          <w:szCs w:val="16"/>
        </w:rPr>
        <w:t xml:space="preserve"> </w:t>
      </w:r>
      <w:r w:rsidR="00894532">
        <w:rPr>
          <w:b/>
          <w:sz w:val="16"/>
          <w:szCs w:val="16"/>
        </w:rPr>
        <w:t>SDA</w:t>
      </w:r>
      <w:r w:rsidR="00095B9B">
        <w:rPr>
          <w:b/>
          <w:sz w:val="16"/>
          <w:szCs w:val="16"/>
        </w:rPr>
        <w:t xml:space="preserve"> building </w:t>
      </w:r>
      <w:r>
        <w:rPr>
          <w:b/>
          <w:sz w:val="16"/>
          <w:szCs w:val="16"/>
        </w:rPr>
        <w:t xml:space="preserve">type </w:t>
      </w:r>
      <w:r w:rsidR="00F43784" w:rsidRPr="00742931">
        <w:rPr>
          <w:b/>
          <w:sz w:val="16"/>
          <w:szCs w:val="16"/>
        </w:rPr>
        <w:t>(</w:t>
      </w:r>
      <w:r w:rsidRPr="00742931">
        <w:rPr>
          <w:b/>
          <w:sz w:val="16"/>
          <w:szCs w:val="16"/>
        </w:rPr>
        <w:t xml:space="preserve">excludes in-kind arrangements) </w:t>
      </w:r>
      <w:r w:rsidR="00822B73">
        <w:rPr>
          <w:b/>
          <w:sz w:val="16"/>
          <w:szCs w:val="16"/>
        </w:rPr>
        <w:t xml:space="preserve">at the end of </w:t>
      </w:r>
      <w:r w:rsidRPr="00742931">
        <w:rPr>
          <w:b/>
          <w:sz w:val="16"/>
          <w:szCs w:val="16"/>
        </w:rPr>
        <w:t>Q</w:t>
      </w:r>
      <w:r w:rsidR="00665A25">
        <w:rPr>
          <w:b/>
          <w:sz w:val="16"/>
          <w:szCs w:val="16"/>
        </w:rPr>
        <w:t xml:space="preserve">1 </w:t>
      </w:r>
      <w:r w:rsidRPr="00742931">
        <w:rPr>
          <w:b/>
          <w:sz w:val="16"/>
          <w:szCs w:val="16"/>
        </w:rPr>
        <w:t>FY2</w:t>
      </w:r>
      <w:r w:rsidR="00665A25">
        <w:rPr>
          <w:b/>
          <w:sz w:val="16"/>
          <w:szCs w:val="16"/>
        </w:rPr>
        <w:t>1</w:t>
      </w:r>
      <w:r w:rsidRPr="00742931">
        <w:rPr>
          <w:b/>
          <w:sz w:val="16"/>
          <w:szCs w:val="16"/>
        </w:rPr>
        <w:t>-</w:t>
      </w:r>
      <w:bookmarkEnd w:id="95"/>
      <w:r w:rsidR="00665A25" w:rsidRPr="00742931">
        <w:rPr>
          <w:b/>
          <w:sz w:val="16"/>
          <w:szCs w:val="16"/>
        </w:rPr>
        <w:t>2</w:t>
      </w:r>
      <w:r w:rsidR="00665A25">
        <w:rPr>
          <w:b/>
          <w:sz w:val="16"/>
          <w:szCs w:val="16"/>
        </w:rPr>
        <w:t>2</w:t>
      </w:r>
    </w:p>
    <w:p w14:paraId="3AE9EBFB" w14:textId="77777777" w:rsidR="00822B73" w:rsidRDefault="00E62E0D" w:rsidP="00687A81">
      <w:pPr>
        <w:tabs>
          <w:tab w:val="left" w:pos="3796"/>
        </w:tabs>
        <w:rPr>
          <w:b/>
        </w:rPr>
      </w:pPr>
      <w:r w:rsidRPr="00E62E0D">
        <w:rPr>
          <w:noProof/>
          <w:lang w:eastAsia="en-AU"/>
        </w:rPr>
        <w:drawing>
          <wp:inline distT="0" distB="0" distL="0" distR="0" wp14:anchorId="01CE9A56" wp14:editId="6B56D379">
            <wp:extent cx="5771820" cy="2519045"/>
            <wp:effectExtent l="0" t="0" r="635" b="0"/>
            <wp:docPr id="35" name="Picture 35" descr="This column chart displays the percentage of design categories within each type of building (apartment, villa/duplex/townhouse, house, group home and legacy stock) at the end of Q1 FY21-22.&#10;&#10;Basic dwellings account for a higher share of group homes (46%), houses (34%) and villas (36%) than it does of legacy (32%). The second largest design category by percentage within each building type is improved liveability.&#10;&#10;For apartment builds, 60% of these are for participants with high physical support needs which is also the largest percentage within any type of building. &#10;&#10;Robust design category is the least number of dwellings percentage wise within each type of building." title="Figure 6: Enrolled SDA dwellings by percentage of design category within the SDA building type (excludes in-kind arrangements)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71820" cy="2519045"/>
                    </a:xfrm>
                    <a:prstGeom prst="rect">
                      <a:avLst/>
                    </a:prstGeom>
                    <a:noFill/>
                    <a:ln>
                      <a:noFill/>
                    </a:ln>
                  </pic:spPr>
                </pic:pic>
              </a:graphicData>
            </a:graphic>
          </wp:inline>
        </w:drawing>
      </w:r>
    </w:p>
    <w:p w14:paraId="3B0EBFC5" w14:textId="3425F387" w:rsidR="00822B73" w:rsidRPr="00BF626E" w:rsidRDefault="00822B73" w:rsidP="00822B73">
      <w:pPr>
        <w:rPr>
          <w:b/>
          <w:sz w:val="16"/>
          <w:szCs w:val="16"/>
        </w:rPr>
      </w:pPr>
      <w:r w:rsidRPr="00BF626E">
        <w:rPr>
          <w:b/>
          <w:sz w:val="16"/>
          <w:szCs w:val="16"/>
        </w:rPr>
        <w:lastRenderedPageBreak/>
        <w:t xml:space="preserve">Table </w:t>
      </w:r>
      <w:r w:rsidRPr="00BF626E">
        <w:rPr>
          <w:b/>
          <w:sz w:val="16"/>
          <w:szCs w:val="16"/>
        </w:rPr>
        <w:fldChar w:fldCharType="begin"/>
      </w:r>
      <w:r w:rsidRPr="00BF626E">
        <w:rPr>
          <w:b/>
          <w:sz w:val="16"/>
          <w:szCs w:val="16"/>
        </w:rPr>
        <w:instrText xml:space="preserve"> SEQ Table \* ARABIC </w:instrText>
      </w:r>
      <w:r w:rsidRPr="00BF626E">
        <w:rPr>
          <w:b/>
          <w:sz w:val="16"/>
          <w:szCs w:val="16"/>
        </w:rPr>
        <w:fldChar w:fldCharType="separate"/>
      </w:r>
      <w:r w:rsidR="00D402F6">
        <w:rPr>
          <w:b/>
          <w:noProof/>
          <w:sz w:val="16"/>
          <w:szCs w:val="16"/>
        </w:rPr>
        <w:t>4</w:t>
      </w:r>
      <w:r w:rsidRPr="00BF626E">
        <w:rPr>
          <w:b/>
          <w:sz w:val="16"/>
          <w:szCs w:val="16"/>
        </w:rPr>
        <w:fldChar w:fldCharType="end"/>
      </w:r>
      <w:r w:rsidRPr="00BF626E">
        <w:rPr>
          <w:b/>
          <w:sz w:val="16"/>
          <w:szCs w:val="16"/>
        </w:rPr>
        <w:t xml:space="preserve">: </w:t>
      </w:r>
      <w:r>
        <w:rPr>
          <w:b/>
          <w:sz w:val="16"/>
          <w:szCs w:val="16"/>
        </w:rPr>
        <w:t>Enrolled SDA dwellings by design category</w:t>
      </w:r>
      <w:r w:rsidRPr="00742931">
        <w:rPr>
          <w:b/>
          <w:sz w:val="16"/>
          <w:szCs w:val="16"/>
        </w:rPr>
        <w:t xml:space="preserve"> </w:t>
      </w:r>
      <w:r>
        <w:rPr>
          <w:b/>
          <w:sz w:val="16"/>
          <w:szCs w:val="16"/>
        </w:rPr>
        <w:t xml:space="preserve">across SDA building types </w:t>
      </w:r>
      <w:r w:rsidRPr="00742931">
        <w:rPr>
          <w:b/>
          <w:sz w:val="16"/>
          <w:szCs w:val="16"/>
        </w:rPr>
        <w:t xml:space="preserve">(excludes in-kind arrangements) </w:t>
      </w:r>
      <w:r>
        <w:rPr>
          <w:b/>
          <w:sz w:val="16"/>
          <w:szCs w:val="16"/>
        </w:rPr>
        <w:t>at the end of Q1 FY21-22</w:t>
      </w:r>
    </w:p>
    <w:tbl>
      <w:tblPr>
        <w:tblStyle w:val="LightShading-Accent4"/>
        <w:tblW w:w="0" w:type="auto"/>
        <w:tblLook w:val="04A0" w:firstRow="1" w:lastRow="0" w:firstColumn="1" w:lastColumn="0" w:noHBand="0" w:noVBand="1"/>
        <w:tblCaption w:val="Table 4: Enrolled SDA dwellings by design category across SDA building types (excludes in-kind arrangements) at the end of Q1 FY21-22"/>
        <w:tblDescription w:val="This table includes the SDA dwelling numbers displaying the number of SDA dwellings across design categories by type of building at the end of Q1 FY21-22."/>
      </w:tblPr>
      <w:tblGrid>
        <w:gridCol w:w="2285"/>
        <w:gridCol w:w="869"/>
        <w:gridCol w:w="1225"/>
        <w:gridCol w:w="1279"/>
        <w:gridCol w:w="994"/>
        <w:gridCol w:w="1256"/>
        <w:gridCol w:w="1118"/>
      </w:tblGrid>
      <w:tr w:rsidR="00822B73" w:rsidRPr="000D1922" w14:paraId="6A25BE68" w14:textId="77777777" w:rsidTr="00367C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5" w:type="dxa"/>
          </w:tcPr>
          <w:p w14:paraId="3FDFBC43" w14:textId="77777777" w:rsidR="00822B73" w:rsidRPr="000D1922" w:rsidRDefault="00822B73" w:rsidP="00367CD7">
            <w:pPr>
              <w:rPr>
                <w:rFonts w:asciiTheme="majorHAnsi" w:hAnsiTheme="majorHAnsi" w:cstheme="majorHAnsi"/>
                <w:color w:val="FFFFFF"/>
                <w:sz w:val="16"/>
                <w:szCs w:val="16"/>
              </w:rPr>
            </w:pPr>
            <w:r w:rsidRPr="000D1922">
              <w:rPr>
                <w:rFonts w:asciiTheme="majorHAnsi" w:hAnsiTheme="majorHAnsi" w:cstheme="majorHAnsi"/>
                <w:color w:val="FFFFFF"/>
                <w:sz w:val="16"/>
                <w:szCs w:val="16"/>
              </w:rPr>
              <w:t>Design category / Building type</w:t>
            </w:r>
          </w:p>
        </w:tc>
        <w:tc>
          <w:tcPr>
            <w:tcW w:w="869" w:type="dxa"/>
          </w:tcPr>
          <w:p w14:paraId="05462C10" w14:textId="77777777" w:rsidR="00822B73" w:rsidRPr="000D1922"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0D1922">
              <w:rPr>
                <w:rFonts w:asciiTheme="majorHAnsi" w:hAnsiTheme="majorHAnsi" w:cstheme="majorHAnsi"/>
                <w:color w:val="FFFFFF"/>
                <w:sz w:val="16"/>
                <w:szCs w:val="16"/>
              </w:rPr>
              <w:t>Basic</w:t>
            </w:r>
          </w:p>
        </w:tc>
        <w:tc>
          <w:tcPr>
            <w:tcW w:w="1225" w:type="dxa"/>
          </w:tcPr>
          <w:p w14:paraId="70150D7E" w14:textId="77777777" w:rsidR="00822B73" w:rsidRPr="000D1922"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0D1922">
              <w:rPr>
                <w:rFonts w:asciiTheme="majorHAnsi" w:hAnsiTheme="majorHAnsi" w:cstheme="majorHAnsi"/>
                <w:color w:val="FFFFFF"/>
                <w:sz w:val="16"/>
                <w:szCs w:val="16"/>
              </w:rPr>
              <w:t>Improved Liveability</w:t>
            </w:r>
          </w:p>
        </w:tc>
        <w:tc>
          <w:tcPr>
            <w:tcW w:w="1279" w:type="dxa"/>
          </w:tcPr>
          <w:p w14:paraId="72B39700" w14:textId="77777777" w:rsidR="00822B73" w:rsidRPr="000D1922"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0D1922">
              <w:rPr>
                <w:rFonts w:asciiTheme="majorHAnsi" w:hAnsiTheme="majorHAnsi" w:cstheme="majorHAnsi"/>
                <w:color w:val="FFFFFF"/>
                <w:sz w:val="16"/>
                <w:szCs w:val="16"/>
              </w:rPr>
              <w:t>Fully Accessible</w:t>
            </w:r>
          </w:p>
        </w:tc>
        <w:tc>
          <w:tcPr>
            <w:tcW w:w="994" w:type="dxa"/>
          </w:tcPr>
          <w:p w14:paraId="6EB4E17E" w14:textId="77777777" w:rsidR="00822B73" w:rsidRPr="000D1922"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0D1922">
              <w:rPr>
                <w:rFonts w:asciiTheme="majorHAnsi" w:hAnsiTheme="majorHAnsi" w:cstheme="majorHAnsi"/>
                <w:color w:val="FFFFFF"/>
                <w:sz w:val="16"/>
                <w:szCs w:val="16"/>
              </w:rPr>
              <w:t>Robust</w:t>
            </w:r>
          </w:p>
        </w:tc>
        <w:tc>
          <w:tcPr>
            <w:tcW w:w="1256" w:type="dxa"/>
          </w:tcPr>
          <w:p w14:paraId="2C3BA0C7" w14:textId="77777777" w:rsidR="00822B73" w:rsidRPr="000D1922"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0D1922">
              <w:rPr>
                <w:rFonts w:asciiTheme="majorHAnsi" w:hAnsiTheme="majorHAnsi" w:cstheme="majorHAnsi"/>
                <w:color w:val="FFFFFF"/>
                <w:sz w:val="16"/>
                <w:szCs w:val="16"/>
              </w:rPr>
              <w:t>High Physical Support</w:t>
            </w:r>
          </w:p>
        </w:tc>
        <w:tc>
          <w:tcPr>
            <w:tcW w:w="1118" w:type="dxa"/>
          </w:tcPr>
          <w:p w14:paraId="0693AB78" w14:textId="77777777" w:rsidR="00822B73" w:rsidRPr="000D1922"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0D1922">
              <w:rPr>
                <w:rFonts w:asciiTheme="majorHAnsi" w:hAnsiTheme="majorHAnsi" w:cstheme="majorHAnsi"/>
                <w:color w:val="FFFFFF"/>
                <w:sz w:val="16"/>
                <w:szCs w:val="16"/>
              </w:rPr>
              <w:t>Total build types</w:t>
            </w:r>
          </w:p>
        </w:tc>
      </w:tr>
      <w:tr w:rsidR="00822B73" w:rsidRPr="000D1922" w14:paraId="0AB95226" w14:textId="77777777" w:rsidTr="00367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4506953D" w14:textId="77777777" w:rsidR="00822B73" w:rsidRPr="000D1922" w:rsidRDefault="00822B73" w:rsidP="00367CD7">
            <w:pPr>
              <w:rPr>
                <w:rFonts w:asciiTheme="majorHAnsi" w:hAnsiTheme="majorHAnsi" w:cstheme="majorHAnsi"/>
                <w:sz w:val="16"/>
                <w:szCs w:val="16"/>
              </w:rPr>
            </w:pPr>
            <w:r w:rsidRPr="000D1922">
              <w:rPr>
                <w:rFonts w:asciiTheme="majorHAnsi" w:hAnsiTheme="majorHAnsi" w:cstheme="majorHAnsi"/>
                <w:sz w:val="16"/>
                <w:szCs w:val="16"/>
              </w:rPr>
              <w:t>Apartment</w:t>
            </w:r>
          </w:p>
        </w:tc>
        <w:tc>
          <w:tcPr>
            <w:tcW w:w="869" w:type="dxa"/>
          </w:tcPr>
          <w:p w14:paraId="28982FDC"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74 </w:t>
            </w:r>
          </w:p>
        </w:tc>
        <w:tc>
          <w:tcPr>
            <w:tcW w:w="1225" w:type="dxa"/>
          </w:tcPr>
          <w:p w14:paraId="7170D792"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235 </w:t>
            </w:r>
          </w:p>
        </w:tc>
        <w:tc>
          <w:tcPr>
            <w:tcW w:w="1279" w:type="dxa"/>
          </w:tcPr>
          <w:p w14:paraId="110AF547"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160 </w:t>
            </w:r>
          </w:p>
        </w:tc>
        <w:tc>
          <w:tcPr>
            <w:tcW w:w="994" w:type="dxa"/>
          </w:tcPr>
          <w:p w14:paraId="6C70545F"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   </w:t>
            </w:r>
          </w:p>
        </w:tc>
        <w:tc>
          <w:tcPr>
            <w:tcW w:w="1256" w:type="dxa"/>
          </w:tcPr>
          <w:p w14:paraId="2C61A777"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690 </w:t>
            </w:r>
          </w:p>
        </w:tc>
        <w:tc>
          <w:tcPr>
            <w:tcW w:w="1118" w:type="dxa"/>
          </w:tcPr>
          <w:p w14:paraId="396249E3"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1,159 </w:t>
            </w:r>
          </w:p>
        </w:tc>
      </w:tr>
      <w:tr w:rsidR="00822B73" w:rsidRPr="000D1922" w14:paraId="29E85906" w14:textId="77777777" w:rsidTr="00367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029136A1" w14:textId="77777777" w:rsidR="00822B73" w:rsidRPr="000D1922" w:rsidRDefault="00822B73" w:rsidP="00367CD7">
            <w:pPr>
              <w:rPr>
                <w:rFonts w:asciiTheme="majorHAnsi" w:hAnsiTheme="majorHAnsi" w:cstheme="majorHAnsi"/>
                <w:sz w:val="16"/>
                <w:szCs w:val="16"/>
              </w:rPr>
            </w:pPr>
            <w:r w:rsidRPr="000D1922">
              <w:rPr>
                <w:rFonts w:asciiTheme="majorHAnsi" w:hAnsiTheme="majorHAnsi" w:cstheme="majorHAnsi"/>
                <w:sz w:val="16"/>
                <w:szCs w:val="16"/>
              </w:rPr>
              <w:t>Villa/Duplex/Townhouse</w:t>
            </w:r>
          </w:p>
        </w:tc>
        <w:tc>
          <w:tcPr>
            <w:tcW w:w="869" w:type="dxa"/>
          </w:tcPr>
          <w:p w14:paraId="17E96228"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744 </w:t>
            </w:r>
          </w:p>
        </w:tc>
        <w:tc>
          <w:tcPr>
            <w:tcW w:w="1225" w:type="dxa"/>
          </w:tcPr>
          <w:p w14:paraId="6F675DB1"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482 </w:t>
            </w:r>
          </w:p>
        </w:tc>
        <w:tc>
          <w:tcPr>
            <w:tcW w:w="1279" w:type="dxa"/>
          </w:tcPr>
          <w:p w14:paraId="6B8232E1"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274 </w:t>
            </w:r>
          </w:p>
        </w:tc>
        <w:tc>
          <w:tcPr>
            <w:tcW w:w="994" w:type="dxa"/>
          </w:tcPr>
          <w:p w14:paraId="7CE6CB02"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177 </w:t>
            </w:r>
          </w:p>
        </w:tc>
        <w:tc>
          <w:tcPr>
            <w:tcW w:w="1256" w:type="dxa"/>
          </w:tcPr>
          <w:p w14:paraId="3D0713DF"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390 </w:t>
            </w:r>
          </w:p>
        </w:tc>
        <w:tc>
          <w:tcPr>
            <w:tcW w:w="1118" w:type="dxa"/>
          </w:tcPr>
          <w:p w14:paraId="53922D80"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2,067 </w:t>
            </w:r>
          </w:p>
        </w:tc>
      </w:tr>
      <w:tr w:rsidR="00822B73" w:rsidRPr="000D1922" w14:paraId="198F2A79" w14:textId="77777777" w:rsidTr="00367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51AC06A2" w14:textId="77777777" w:rsidR="00822B73" w:rsidRPr="000D1922" w:rsidRDefault="00822B73" w:rsidP="00367CD7">
            <w:pPr>
              <w:rPr>
                <w:rFonts w:asciiTheme="majorHAnsi" w:hAnsiTheme="majorHAnsi" w:cstheme="majorHAnsi"/>
                <w:sz w:val="16"/>
                <w:szCs w:val="16"/>
              </w:rPr>
            </w:pPr>
            <w:r w:rsidRPr="000D1922">
              <w:rPr>
                <w:rFonts w:asciiTheme="majorHAnsi" w:hAnsiTheme="majorHAnsi" w:cstheme="majorHAnsi"/>
                <w:sz w:val="16"/>
                <w:szCs w:val="16"/>
              </w:rPr>
              <w:t>House</w:t>
            </w:r>
          </w:p>
        </w:tc>
        <w:tc>
          <w:tcPr>
            <w:tcW w:w="869" w:type="dxa"/>
          </w:tcPr>
          <w:p w14:paraId="4F874B51"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326 </w:t>
            </w:r>
          </w:p>
        </w:tc>
        <w:tc>
          <w:tcPr>
            <w:tcW w:w="1225" w:type="dxa"/>
          </w:tcPr>
          <w:p w14:paraId="146153CC"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208 </w:t>
            </w:r>
          </w:p>
        </w:tc>
        <w:tc>
          <w:tcPr>
            <w:tcW w:w="1279" w:type="dxa"/>
          </w:tcPr>
          <w:p w14:paraId="74D865C4"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129 </w:t>
            </w:r>
          </w:p>
        </w:tc>
        <w:tc>
          <w:tcPr>
            <w:tcW w:w="994" w:type="dxa"/>
          </w:tcPr>
          <w:p w14:paraId="2CC4F3EF"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86 </w:t>
            </w:r>
          </w:p>
        </w:tc>
        <w:tc>
          <w:tcPr>
            <w:tcW w:w="1256" w:type="dxa"/>
          </w:tcPr>
          <w:p w14:paraId="1ACEE8AD"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210 </w:t>
            </w:r>
          </w:p>
        </w:tc>
        <w:tc>
          <w:tcPr>
            <w:tcW w:w="1118" w:type="dxa"/>
          </w:tcPr>
          <w:p w14:paraId="0EC0E7F4"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959 </w:t>
            </w:r>
          </w:p>
        </w:tc>
      </w:tr>
      <w:tr w:rsidR="00822B73" w:rsidRPr="000D1922" w14:paraId="6DC70ED3" w14:textId="77777777" w:rsidTr="00367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245D2B97" w14:textId="77777777" w:rsidR="00822B73" w:rsidRPr="000D1922" w:rsidRDefault="00822B73" w:rsidP="00367CD7">
            <w:pPr>
              <w:rPr>
                <w:rFonts w:asciiTheme="majorHAnsi" w:hAnsiTheme="majorHAnsi" w:cstheme="majorHAnsi"/>
                <w:sz w:val="16"/>
                <w:szCs w:val="16"/>
              </w:rPr>
            </w:pPr>
            <w:r w:rsidRPr="000D1922">
              <w:rPr>
                <w:rFonts w:asciiTheme="majorHAnsi" w:hAnsiTheme="majorHAnsi" w:cstheme="majorHAnsi"/>
                <w:sz w:val="16"/>
                <w:szCs w:val="16"/>
              </w:rPr>
              <w:t>Group home</w:t>
            </w:r>
          </w:p>
        </w:tc>
        <w:tc>
          <w:tcPr>
            <w:tcW w:w="869" w:type="dxa"/>
          </w:tcPr>
          <w:p w14:paraId="255E0C36"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947 </w:t>
            </w:r>
          </w:p>
        </w:tc>
        <w:tc>
          <w:tcPr>
            <w:tcW w:w="1225" w:type="dxa"/>
          </w:tcPr>
          <w:p w14:paraId="24072A9E"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399 </w:t>
            </w:r>
          </w:p>
        </w:tc>
        <w:tc>
          <w:tcPr>
            <w:tcW w:w="1279" w:type="dxa"/>
          </w:tcPr>
          <w:p w14:paraId="41FAAF50"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337 </w:t>
            </w:r>
          </w:p>
        </w:tc>
        <w:tc>
          <w:tcPr>
            <w:tcW w:w="994" w:type="dxa"/>
          </w:tcPr>
          <w:p w14:paraId="49246794"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107 </w:t>
            </w:r>
          </w:p>
        </w:tc>
        <w:tc>
          <w:tcPr>
            <w:tcW w:w="1256" w:type="dxa"/>
          </w:tcPr>
          <w:p w14:paraId="14A6789A"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285 </w:t>
            </w:r>
          </w:p>
        </w:tc>
        <w:tc>
          <w:tcPr>
            <w:tcW w:w="1118" w:type="dxa"/>
          </w:tcPr>
          <w:p w14:paraId="516D6BA2"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2,075 </w:t>
            </w:r>
          </w:p>
        </w:tc>
      </w:tr>
      <w:tr w:rsidR="00822B73" w:rsidRPr="000D1922" w14:paraId="6CC81DC5" w14:textId="77777777" w:rsidTr="00367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0890A0DA" w14:textId="77777777" w:rsidR="00822B73" w:rsidRPr="000D1922" w:rsidRDefault="00822B73" w:rsidP="00367CD7">
            <w:pPr>
              <w:rPr>
                <w:rFonts w:asciiTheme="majorHAnsi" w:hAnsiTheme="majorHAnsi" w:cstheme="majorHAnsi"/>
                <w:sz w:val="16"/>
                <w:szCs w:val="16"/>
              </w:rPr>
            </w:pPr>
            <w:r w:rsidRPr="000D1922">
              <w:rPr>
                <w:rFonts w:asciiTheme="majorHAnsi" w:hAnsiTheme="majorHAnsi" w:cstheme="majorHAnsi"/>
                <w:sz w:val="16"/>
                <w:szCs w:val="16"/>
              </w:rPr>
              <w:t>Legacy stock</w:t>
            </w:r>
          </w:p>
        </w:tc>
        <w:tc>
          <w:tcPr>
            <w:tcW w:w="869" w:type="dxa"/>
          </w:tcPr>
          <w:p w14:paraId="2F7789C3"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97 </w:t>
            </w:r>
          </w:p>
        </w:tc>
        <w:tc>
          <w:tcPr>
            <w:tcW w:w="1225" w:type="dxa"/>
          </w:tcPr>
          <w:p w14:paraId="17ECCB05"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73 </w:t>
            </w:r>
          </w:p>
        </w:tc>
        <w:tc>
          <w:tcPr>
            <w:tcW w:w="1279" w:type="dxa"/>
          </w:tcPr>
          <w:p w14:paraId="723535BC"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58 </w:t>
            </w:r>
          </w:p>
        </w:tc>
        <w:tc>
          <w:tcPr>
            <w:tcW w:w="994" w:type="dxa"/>
          </w:tcPr>
          <w:p w14:paraId="7E5B72F7"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27 </w:t>
            </w:r>
          </w:p>
        </w:tc>
        <w:tc>
          <w:tcPr>
            <w:tcW w:w="1256" w:type="dxa"/>
          </w:tcPr>
          <w:p w14:paraId="15566FBC"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0D1922">
              <w:rPr>
                <w:rFonts w:asciiTheme="majorHAnsi" w:hAnsiTheme="majorHAnsi" w:cstheme="majorHAnsi"/>
                <w:sz w:val="16"/>
                <w:szCs w:val="16"/>
              </w:rPr>
              <w:t xml:space="preserve"> 46 </w:t>
            </w:r>
          </w:p>
        </w:tc>
        <w:tc>
          <w:tcPr>
            <w:tcW w:w="1118" w:type="dxa"/>
          </w:tcPr>
          <w:p w14:paraId="30093878" w14:textId="77777777" w:rsidR="00822B73" w:rsidRPr="000D1922" w:rsidRDefault="00822B73" w:rsidP="00367CD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301 </w:t>
            </w:r>
          </w:p>
        </w:tc>
      </w:tr>
      <w:tr w:rsidR="00822B73" w:rsidRPr="000D1922" w14:paraId="121923A5" w14:textId="77777777" w:rsidTr="00367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542B0806" w14:textId="77777777" w:rsidR="00822B73" w:rsidRPr="000D1922" w:rsidRDefault="00822B73" w:rsidP="00367CD7">
            <w:pPr>
              <w:rPr>
                <w:rFonts w:asciiTheme="majorHAnsi" w:hAnsiTheme="majorHAnsi" w:cstheme="majorHAnsi"/>
                <w:sz w:val="16"/>
                <w:szCs w:val="16"/>
              </w:rPr>
            </w:pPr>
            <w:r w:rsidRPr="000D1922">
              <w:rPr>
                <w:rFonts w:asciiTheme="majorHAnsi" w:hAnsiTheme="majorHAnsi" w:cstheme="majorHAnsi"/>
                <w:sz w:val="16"/>
                <w:szCs w:val="16"/>
              </w:rPr>
              <w:t>Total design categories</w:t>
            </w:r>
          </w:p>
        </w:tc>
        <w:tc>
          <w:tcPr>
            <w:tcW w:w="869" w:type="dxa"/>
          </w:tcPr>
          <w:p w14:paraId="11DFB8F5"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2,188 </w:t>
            </w:r>
          </w:p>
        </w:tc>
        <w:tc>
          <w:tcPr>
            <w:tcW w:w="1225" w:type="dxa"/>
          </w:tcPr>
          <w:p w14:paraId="4EC73C43"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1,397 </w:t>
            </w:r>
          </w:p>
        </w:tc>
        <w:tc>
          <w:tcPr>
            <w:tcW w:w="1279" w:type="dxa"/>
          </w:tcPr>
          <w:p w14:paraId="4C5FA517"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958 </w:t>
            </w:r>
          </w:p>
        </w:tc>
        <w:tc>
          <w:tcPr>
            <w:tcW w:w="994" w:type="dxa"/>
          </w:tcPr>
          <w:p w14:paraId="0C4D3987"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397 </w:t>
            </w:r>
          </w:p>
        </w:tc>
        <w:tc>
          <w:tcPr>
            <w:tcW w:w="1256" w:type="dxa"/>
          </w:tcPr>
          <w:p w14:paraId="09A49F2D"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1,621 </w:t>
            </w:r>
          </w:p>
        </w:tc>
        <w:tc>
          <w:tcPr>
            <w:tcW w:w="1118" w:type="dxa"/>
          </w:tcPr>
          <w:p w14:paraId="0B7B3E7E" w14:textId="77777777" w:rsidR="00822B73" w:rsidRPr="000D1922" w:rsidRDefault="00822B73" w:rsidP="00367CD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0D1922">
              <w:rPr>
                <w:rFonts w:asciiTheme="majorHAnsi" w:hAnsiTheme="majorHAnsi" w:cstheme="majorHAnsi"/>
                <w:b/>
                <w:sz w:val="16"/>
                <w:szCs w:val="16"/>
              </w:rPr>
              <w:t xml:space="preserve"> 6,561 </w:t>
            </w:r>
          </w:p>
        </w:tc>
      </w:tr>
    </w:tbl>
    <w:p w14:paraId="1A952568" w14:textId="77777777" w:rsidR="00D402F6" w:rsidRDefault="00D402F6" w:rsidP="00687A81">
      <w:pPr>
        <w:tabs>
          <w:tab w:val="left" w:pos="3796"/>
        </w:tabs>
        <w:rPr>
          <w:b/>
        </w:rPr>
      </w:pPr>
    </w:p>
    <w:p w14:paraId="6979296F" w14:textId="66831471" w:rsidR="004C03CC" w:rsidRPr="001F2C5F" w:rsidRDefault="004C03CC" w:rsidP="00687A81">
      <w:pPr>
        <w:tabs>
          <w:tab w:val="left" w:pos="3796"/>
        </w:tabs>
        <w:rPr>
          <w:b/>
        </w:rPr>
      </w:pPr>
      <w:r w:rsidRPr="001F2C5F">
        <w:rPr>
          <w:b/>
        </w:rPr>
        <w:t>NDIA observations</w:t>
      </w:r>
    </w:p>
    <w:p w14:paraId="683785E0" w14:textId="6AA50F09" w:rsidR="00A37B58" w:rsidRDefault="000D1922" w:rsidP="00BF626E">
      <w:r>
        <w:t xml:space="preserve">As indicated in the </w:t>
      </w:r>
      <w:hyperlink r:id="rId40" w:history="1">
        <w:r w:rsidRPr="00651E78">
          <w:rPr>
            <w:rStyle w:val="Hyperlink"/>
          </w:rPr>
          <w:t>SDA Market Information Statement</w:t>
        </w:r>
      </w:hyperlink>
      <w:r>
        <w:t xml:space="preserve">, there may be a supply imbalance for single-resident high physical support apartments. </w:t>
      </w:r>
      <w:r w:rsidR="004114BB">
        <w:t xml:space="preserve">Not only are most existing apartments </w:t>
      </w:r>
      <w:r w:rsidR="005A0A34">
        <w:t xml:space="preserve">already </w:t>
      </w:r>
      <w:r w:rsidR="00E002D3">
        <w:t>of</w:t>
      </w:r>
      <w:r w:rsidR="009C460C">
        <w:t xml:space="preserve"> </w:t>
      </w:r>
      <w:r w:rsidR="004114BB">
        <w:t>high physical support</w:t>
      </w:r>
      <w:r w:rsidR="009C460C">
        <w:t xml:space="preserve"> design (60%)</w:t>
      </w:r>
      <w:r w:rsidR="003A0695">
        <w:t>,</w:t>
      </w:r>
      <w:r w:rsidR="004114BB">
        <w:t xml:space="preserve"> </w:t>
      </w:r>
      <w:r w:rsidR="00095B9B">
        <w:t>high physical support apartments</w:t>
      </w:r>
      <w:r w:rsidR="00D84551">
        <w:t xml:space="preserve"> </w:t>
      </w:r>
      <w:r w:rsidR="00095B9B">
        <w:t xml:space="preserve">are </w:t>
      </w:r>
      <w:r w:rsidR="00D84551">
        <w:t>also</w:t>
      </w:r>
      <w:r w:rsidR="009C460C">
        <w:t xml:space="preserve"> the largest proportion </w:t>
      </w:r>
      <w:r w:rsidR="005A0A34">
        <w:t xml:space="preserve">(41%) </w:t>
      </w:r>
      <w:r w:rsidR="009C460C">
        <w:t xml:space="preserve">of </w:t>
      </w:r>
      <w:r w:rsidR="00E834BB">
        <w:t>pipeline</w:t>
      </w:r>
      <w:r w:rsidR="00687A81">
        <w:t xml:space="preserve"> </w:t>
      </w:r>
      <w:r w:rsidR="00934373">
        <w:t>apartment</w:t>
      </w:r>
      <w:r w:rsidR="002E35C2">
        <w:t>s</w:t>
      </w:r>
      <w:r w:rsidR="0041664D">
        <w:t xml:space="preserve">. </w:t>
      </w:r>
      <w:r w:rsidR="00637E42">
        <w:t>The total number of</w:t>
      </w:r>
      <w:r w:rsidR="002E35C2">
        <w:t xml:space="preserve"> </w:t>
      </w:r>
      <w:r w:rsidR="00E834BB">
        <w:t>pipeline</w:t>
      </w:r>
      <w:r w:rsidR="00202C54">
        <w:t xml:space="preserve"> </w:t>
      </w:r>
      <w:r w:rsidR="002E35C2">
        <w:t xml:space="preserve">high physical support </w:t>
      </w:r>
      <w:r w:rsidR="00202C54">
        <w:t>dwellings</w:t>
      </w:r>
      <w:r w:rsidR="0041664D">
        <w:t xml:space="preserve"> </w:t>
      </w:r>
      <w:r w:rsidR="002E35C2">
        <w:t xml:space="preserve">was </w:t>
      </w:r>
      <w:r w:rsidR="00325A9F">
        <w:t>1,165 dwellings</w:t>
      </w:r>
      <w:r w:rsidR="00CB021A">
        <w:t xml:space="preserve"> (equivalent to 2,035 places)</w:t>
      </w:r>
      <w:r w:rsidR="002E35C2">
        <w:t xml:space="preserve">, while </w:t>
      </w:r>
      <w:r w:rsidR="00637E42">
        <w:t>the</w:t>
      </w:r>
      <w:r w:rsidR="002E35C2">
        <w:t>re wa</w:t>
      </w:r>
      <w:r w:rsidR="00637E42">
        <w:t>s 1,121 participants eligible for high physical support</w:t>
      </w:r>
      <w:r w:rsidR="002E35C2">
        <w:t>,</w:t>
      </w:r>
      <w:r w:rsidR="00637E42">
        <w:t xml:space="preserve"> seeking a dwelling</w:t>
      </w:r>
      <w:r w:rsidR="002E35C2">
        <w:t xml:space="preserve"> (section</w:t>
      </w:r>
      <w:r w:rsidR="00D402F6">
        <w:t xml:space="preserve"> </w:t>
      </w:r>
      <w:r w:rsidR="00D402F6">
        <w:fldChar w:fldCharType="begin"/>
      </w:r>
      <w:r w:rsidR="00D402F6">
        <w:instrText xml:space="preserve"> REF _Ref89693059 \r \h </w:instrText>
      </w:r>
      <w:r w:rsidR="00D402F6">
        <w:fldChar w:fldCharType="separate"/>
      </w:r>
      <w:r w:rsidR="00D402F6">
        <w:t>3.2</w:t>
      </w:r>
      <w:r w:rsidR="00D402F6">
        <w:fldChar w:fldCharType="end"/>
      </w:r>
      <w:r w:rsidR="002E35C2">
        <w:t>)</w:t>
      </w:r>
      <w:r w:rsidR="0041664D">
        <w:t>.</w:t>
      </w:r>
      <w:r w:rsidR="00325A9F">
        <w:t xml:space="preserve"> </w:t>
      </w:r>
    </w:p>
    <w:p w14:paraId="3517DA90" w14:textId="77777777" w:rsidR="00F77A30" w:rsidRDefault="003A0695" w:rsidP="00200F9C">
      <w:r>
        <w:t>There are still a large number of group homes</w:t>
      </w:r>
      <w:r w:rsidR="009C460C">
        <w:t xml:space="preserve"> (32%)</w:t>
      </w:r>
      <w:r>
        <w:t>, mostly in New Sou</w:t>
      </w:r>
      <w:r w:rsidR="005D6F64">
        <w:t>th Wales and Victoria. Overall</w:t>
      </w:r>
      <w:r w:rsidR="004114BB">
        <w:t>, the</w:t>
      </w:r>
      <w:r w:rsidR="005D6F64">
        <w:t xml:space="preserve"> majority </w:t>
      </w:r>
      <w:r>
        <w:t xml:space="preserve">of </w:t>
      </w:r>
      <w:r w:rsidR="004E01D2">
        <w:t xml:space="preserve">these are </w:t>
      </w:r>
      <w:r>
        <w:t xml:space="preserve">existing </w:t>
      </w:r>
      <w:r w:rsidR="005D6F64">
        <w:t xml:space="preserve">or legacy </w:t>
      </w:r>
      <w:r>
        <w:t xml:space="preserve">stock </w:t>
      </w:r>
      <w:r w:rsidR="005D6F64">
        <w:t>(8</w:t>
      </w:r>
      <w:r w:rsidR="009C460C">
        <w:t>7</w:t>
      </w:r>
      <w:r w:rsidR="005D6F64">
        <w:t>%),</w:t>
      </w:r>
      <w:r w:rsidR="00FE79DE">
        <w:t xml:space="preserve"> </w:t>
      </w:r>
      <w:r w:rsidR="004114BB">
        <w:t>mostly</w:t>
      </w:r>
      <w:r w:rsidR="005D6F64">
        <w:t xml:space="preserve"> from pre-existing state and territory systems.</w:t>
      </w:r>
      <w:r w:rsidR="00D9770C">
        <w:t xml:space="preserve"> </w:t>
      </w:r>
    </w:p>
    <w:p w14:paraId="6F288746" w14:textId="77777777" w:rsidR="00CE75FA" w:rsidRPr="00DF2F62" w:rsidRDefault="007B02F7" w:rsidP="00F77A30">
      <w:pPr>
        <w:pStyle w:val="Heading3"/>
      </w:pPr>
      <w:bookmarkStart w:id="97" w:name="_Toc79414575"/>
      <w:bookmarkStart w:id="98" w:name="_Toc79414576"/>
      <w:bookmarkStart w:id="99" w:name="_Toc79493384"/>
      <w:bookmarkStart w:id="100" w:name="_Toc79581642"/>
      <w:bookmarkStart w:id="101" w:name="_Toc79684609"/>
      <w:bookmarkStart w:id="102" w:name="_Toc87887956"/>
      <w:bookmarkStart w:id="103" w:name="_Toc89692961"/>
      <w:bookmarkEnd w:id="97"/>
      <w:bookmarkEnd w:id="98"/>
      <w:r>
        <w:t>M</w:t>
      </w:r>
      <w:r w:rsidR="00EA7280">
        <w:t xml:space="preserve">aximum </w:t>
      </w:r>
      <w:r w:rsidR="00CE75FA" w:rsidRPr="00DF2F62">
        <w:t>number of residents</w:t>
      </w:r>
      <w:bookmarkEnd w:id="99"/>
      <w:bookmarkEnd w:id="100"/>
      <w:bookmarkEnd w:id="101"/>
      <w:bookmarkEnd w:id="102"/>
      <w:r>
        <w:t xml:space="preserve"> in dwellings</w:t>
      </w:r>
      <w:bookmarkEnd w:id="103"/>
    </w:p>
    <w:p w14:paraId="00DA74C8" w14:textId="77777777" w:rsidR="00844E07" w:rsidRDefault="00844E07" w:rsidP="00844E07">
      <w:r>
        <w:t xml:space="preserve">Since </w:t>
      </w:r>
      <w:r w:rsidR="004E01D2">
        <w:t>Q4 FY20-21 (</w:t>
      </w:r>
      <w:r>
        <w:t>last quarter</w:t>
      </w:r>
      <w:r w:rsidR="004E01D2">
        <w:t>)</w:t>
      </w:r>
      <w:r>
        <w:t xml:space="preserve">, all </w:t>
      </w:r>
      <w:r w:rsidR="006F1FD7">
        <w:t xml:space="preserve">except </w:t>
      </w:r>
      <w:r w:rsidR="00D9770C">
        <w:t>the largest category (</w:t>
      </w:r>
      <w:r>
        <w:t>6 or more resident</w:t>
      </w:r>
      <w:r w:rsidR="00D9770C">
        <w:t>) of</w:t>
      </w:r>
      <w:r>
        <w:t xml:space="preserve"> dwellings increased</w:t>
      </w:r>
      <w:r w:rsidR="00D9770C">
        <w:t xml:space="preserve"> in number</w:t>
      </w:r>
      <w:r w:rsidR="00E63498">
        <w:t>s, with t</w:t>
      </w:r>
      <w:r>
        <w:t>he largest increase being in single-resident dwellings (12%, 212 dwellings)</w:t>
      </w:r>
      <w:r w:rsidR="00E63498">
        <w:t>.</w:t>
      </w:r>
      <w:r>
        <w:t xml:space="preserve"> 6 or more resident dwellings </w:t>
      </w:r>
      <w:r w:rsidR="008F4E04">
        <w:t>(</w:t>
      </w:r>
      <w:r w:rsidR="00CE59AB">
        <w:t>l</w:t>
      </w:r>
      <w:r w:rsidR="008F4E04">
        <w:t xml:space="preserve">egacy </w:t>
      </w:r>
      <w:r w:rsidR="00CE59AB">
        <w:t>s</w:t>
      </w:r>
      <w:r w:rsidR="008F4E04">
        <w:t>tock)</w:t>
      </w:r>
      <w:r>
        <w:t xml:space="preserve"> saw a 3% decrease.</w:t>
      </w:r>
    </w:p>
    <w:p w14:paraId="57BEC2F2" w14:textId="77777777" w:rsidR="00844E07" w:rsidRDefault="00844E07" w:rsidP="00CE75FA">
      <w:r>
        <w:t xml:space="preserve">Since Q1 FY20-21 </w:t>
      </w:r>
      <w:r w:rsidRPr="00DF2F62">
        <w:t xml:space="preserve">(same time last </w:t>
      </w:r>
      <w:r w:rsidRPr="00B72D81">
        <w:t>year),</w:t>
      </w:r>
      <w:r>
        <w:t xml:space="preserve"> 1 person, 3 persons, 5 persons and 6 or more persons dwellings </w:t>
      </w:r>
      <w:r w:rsidR="00D9770C">
        <w:t xml:space="preserve">each </w:t>
      </w:r>
      <w:r>
        <w:t>saw over 50% percentage increases</w:t>
      </w:r>
      <w:r w:rsidR="00D9770C">
        <w:t>.</w:t>
      </w:r>
      <w:r w:rsidR="00355453">
        <w:t xml:space="preserve"> </w:t>
      </w:r>
      <w:r w:rsidR="0079577B">
        <w:t>The larger residen</w:t>
      </w:r>
      <w:r w:rsidR="00200F9C">
        <w:t>t dwelling</w:t>
      </w:r>
      <w:r w:rsidR="0079577B">
        <w:t xml:space="preserve"> increases </w:t>
      </w:r>
      <w:r w:rsidR="00200F9C">
        <w:t xml:space="preserve">(5 persons and 6+ persons) </w:t>
      </w:r>
      <w:r w:rsidR="0079577B">
        <w:t>can be mainly explained by the transfer of Victoria’s in-kind stock in Q4 FY20-21, as outlined in the Q4 2020-21 SDA Report. T</w:t>
      </w:r>
      <w:r w:rsidR="00D9770C">
        <w:t xml:space="preserve">he largest absolute increase was in single resident dwellings </w:t>
      </w:r>
      <w:r w:rsidR="00C52721">
        <w:t>(706 dwellings, 56% increase).</w:t>
      </w:r>
      <w:r w:rsidR="00355453">
        <w:t xml:space="preserve"> </w:t>
      </w:r>
      <w:r w:rsidR="00C52721">
        <w:t xml:space="preserve">The </w:t>
      </w:r>
      <w:r>
        <w:t xml:space="preserve">largest </w:t>
      </w:r>
      <w:r w:rsidR="00C52721">
        <w:t xml:space="preserve">relative increase </w:t>
      </w:r>
      <w:r>
        <w:t>being for 3-</w:t>
      </w:r>
      <w:r w:rsidR="006F1FD7">
        <w:t xml:space="preserve">resident </w:t>
      </w:r>
      <w:r>
        <w:t>dwellings (58%</w:t>
      </w:r>
      <w:r w:rsidR="00C52721">
        <w:t>, 168 dwellings</w:t>
      </w:r>
      <w:r>
        <w:t>)</w:t>
      </w:r>
      <w:r w:rsidR="00C52721">
        <w:t>.</w:t>
      </w:r>
      <w:r w:rsidR="00355453">
        <w:t xml:space="preserve"> </w:t>
      </w:r>
    </w:p>
    <w:p w14:paraId="4C4990C9" w14:textId="16017D10" w:rsidR="00C753CE" w:rsidRPr="004C03CC" w:rsidRDefault="00C753CE" w:rsidP="00856A96">
      <w:r>
        <w:t xml:space="preserve">Further breakdown </w:t>
      </w:r>
      <w:r w:rsidRPr="00C03E1F">
        <w:t>by SA4 region</w:t>
      </w:r>
      <w:r>
        <w:t xml:space="preserve"> </w:t>
      </w:r>
      <w:r w:rsidRPr="00C03E1F">
        <w:t>for each state and territory can be found within ‘</w:t>
      </w:r>
      <w:r>
        <w:t>Table P.6</w:t>
      </w:r>
      <w:r w:rsidRPr="00C03E1F">
        <w:t xml:space="preserve">’ in the </w:t>
      </w:r>
      <w:hyperlink r:id="rId41" w:history="1">
        <w:r w:rsidRPr="00821245">
          <w:rPr>
            <w:rStyle w:val="Hyperlink"/>
          </w:rPr>
          <w:t>NDIS quarterly report to disability ministers</w:t>
        </w:r>
      </w:hyperlink>
      <w:r w:rsidRPr="00C03E1F">
        <w:t xml:space="preserve">. </w:t>
      </w:r>
    </w:p>
    <w:p w14:paraId="3D445047" w14:textId="3027FECA" w:rsidR="0015222A" w:rsidRPr="002647C9" w:rsidRDefault="00CE75FA" w:rsidP="00095B9B">
      <w:pPr>
        <w:pStyle w:val="Caption"/>
        <w:keepNext/>
      </w:pPr>
      <w:bookmarkStart w:id="104" w:name="_Ref79504227"/>
      <w:bookmarkStart w:id="105" w:name="_Toc79490510"/>
      <w:bookmarkStart w:id="106" w:name="_Toc79493361"/>
      <w:r w:rsidRPr="00DF2F62">
        <w:rPr>
          <w:caps w:val="0"/>
          <w:szCs w:val="16"/>
        </w:rPr>
        <w:lastRenderedPageBreak/>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D402F6">
        <w:rPr>
          <w:caps w:val="0"/>
          <w:noProof/>
          <w:szCs w:val="16"/>
        </w:rPr>
        <w:t>7</w:t>
      </w:r>
      <w:r w:rsidR="00121539" w:rsidRPr="00DF2F62">
        <w:rPr>
          <w:caps w:val="0"/>
          <w:noProof/>
          <w:szCs w:val="16"/>
        </w:rPr>
        <w:fldChar w:fldCharType="end"/>
      </w:r>
      <w:bookmarkEnd w:id="104"/>
      <w:r w:rsidRPr="00DF2F62">
        <w:rPr>
          <w:caps w:val="0"/>
          <w:szCs w:val="16"/>
        </w:rPr>
        <w:t xml:space="preserve">: </w:t>
      </w:r>
      <w:r w:rsidR="00BB7094" w:rsidRPr="00DF2F62">
        <w:rPr>
          <w:caps w:val="0"/>
          <w:szCs w:val="16"/>
        </w:rPr>
        <w:t>E</w:t>
      </w:r>
      <w:r w:rsidRPr="00DF2F62">
        <w:rPr>
          <w:caps w:val="0"/>
          <w:szCs w:val="16"/>
        </w:rPr>
        <w:t>nrolled SDA dwellings by maximum number of residents</w:t>
      </w:r>
      <w:bookmarkEnd w:id="105"/>
      <w:bookmarkEnd w:id="106"/>
      <w:r w:rsidR="00121539" w:rsidRPr="00DF2F62">
        <w:rPr>
          <w:caps w:val="0"/>
          <w:szCs w:val="16"/>
        </w:rPr>
        <w:t xml:space="preserve"> (excludes in-kind arrangements)</w:t>
      </w:r>
      <w:r w:rsidR="00D15B2D">
        <w:rPr>
          <w:caps w:val="0"/>
          <w:szCs w:val="16"/>
        </w:rPr>
        <w:t xml:space="preserve"> </w:t>
      </w:r>
      <w:r w:rsidR="00D15B2D" w:rsidRPr="001451B7">
        <w:rPr>
          <w:caps w:val="0"/>
          <w:szCs w:val="16"/>
        </w:rPr>
        <w:t>since Q1 FY20-21</w:t>
      </w:r>
    </w:p>
    <w:p w14:paraId="00C884CB" w14:textId="77777777" w:rsidR="00095B9B" w:rsidRDefault="00D15B2D" w:rsidP="00844E07">
      <w:pPr>
        <w:rPr>
          <w:b/>
          <w:sz w:val="16"/>
          <w:szCs w:val="16"/>
        </w:rPr>
      </w:pPr>
      <w:r w:rsidRPr="00D15B2D">
        <w:rPr>
          <w:noProof/>
          <w:lang w:eastAsia="en-AU"/>
        </w:rPr>
        <w:drawing>
          <wp:inline distT="0" distB="0" distL="0" distR="0" wp14:anchorId="186D0ED9" wp14:editId="2ADF6264">
            <wp:extent cx="5755963" cy="2519519"/>
            <wp:effectExtent l="0" t="0" r="0" b="0"/>
            <wp:docPr id="37" name="Picture 37" descr="This line graph displays the trend of SDA dwellings by size between Q1 FY20-21 to Q1 FY21-22 for one, two, three, four, five and six plus resident arrangements. Detailed numbers can be found in the following table.&#10;&#10;One resident dwellings have seen the most consistent and largest growth over this time period, with the largest number of dwellings in Q1 FY21-22 at 1,991.&#10;&#10;Six or more resident dwellings saw no growth until Q4 FY20-21, to 310 dwellings, which is due to former in-kind legacy stock now included (they have been transitioned over). This has decreased in Q1 FY21-22 to 301 dwellings.&#10;&#10;All other arrangements featured generally consistent positive growth. Of note is three resident dwellings which saw the second largest absolute increase, behind single-resident dwellings, in Q1 FY21-22 from 750 dwellings to 823 dwellings." title="Figure 7: Enrolled SDA dwellings by maximum number of residents (excludes in-kind arrangements) since Q1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6143" cy="2523975"/>
                    </a:xfrm>
                    <a:prstGeom prst="rect">
                      <a:avLst/>
                    </a:prstGeom>
                    <a:noFill/>
                    <a:ln>
                      <a:noFill/>
                    </a:ln>
                  </pic:spPr>
                </pic:pic>
              </a:graphicData>
            </a:graphic>
          </wp:inline>
        </w:drawing>
      </w:r>
    </w:p>
    <w:p w14:paraId="279B20C9" w14:textId="02CEC84F" w:rsidR="004C03CC" w:rsidRPr="00844E07" w:rsidRDefault="004C03CC" w:rsidP="00844E07">
      <w:pPr>
        <w:rPr>
          <w:b/>
          <w:sz w:val="16"/>
          <w:szCs w:val="16"/>
        </w:rPr>
      </w:pPr>
      <w:r w:rsidRPr="00844E07">
        <w:rPr>
          <w:b/>
          <w:sz w:val="16"/>
          <w:szCs w:val="16"/>
        </w:rPr>
        <w:t xml:space="preserve">Table </w:t>
      </w:r>
      <w:r w:rsidR="005A7FC9" w:rsidRPr="00844E07">
        <w:rPr>
          <w:b/>
          <w:sz w:val="16"/>
          <w:szCs w:val="16"/>
        </w:rPr>
        <w:fldChar w:fldCharType="begin"/>
      </w:r>
      <w:r w:rsidR="005A7FC9" w:rsidRPr="00844E07">
        <w:rPr>
          <w:b/>
          <w:sz w:val="16"/>
          <w:szCs w:val="16"/>
        </w:rPr>
        <w:instrText xml:space="preserve"> SEQ Table \* ARABIC </w:instrText>
      </w:r>
      <w:r w:rsidR="005A7FC9" w:rsidRPr="00844E07">
        <w:rPr>
          <w:b/>
          <w:sz w:val="16"/>
          <w:szCs w:val="16"/>
        </w:rPr>
        <w:fldChar w:fldCharType="separate"/>
      </w:r>
      <w:r w:rsidR="00D402F6">
        <w:rPr>
          <w:b/>
          <w:noProof/>
          <w:sz w:val="16"/>
          <w:szCs w:val="16"/>
        </w:rPr>
        <w:t>5</w:t>
      </w:r>
      <w:r w:rsidR="005A7FC9" w:rsidRPr="00844E07">
        <w:rPr>
          <w:b/>
          <w:noProof/>
          <w:sz w:val="16"/>
          <w:szCs w:val="16"/>
        </w:rPr>
        <w:fldChar w:fldCharType="end"/>
      </w:r>
      <w:r w:rsidRPr="00844E07">
        <w:rPr>
          <w:b/>
          <w:sz w:val="16"/>
          <w:szCs w:val="16"/>
        </w:rPr>
        <w:t>: Enrolled SDA dwellings by maximum number of residents (excludes in-kind arrangements)</w:t>
      </w:r>
      <w:r w:rsidR="00D15B2D">
        <w:rPr>
          <w:b/>
          <w:sz w:val="16"/>
          <w:szCs w:val="16"/>
        </w:rPr>
        <w:t xml:space="preserve"> </w:t>
      </w:r>
      <w:r w:rsidR="00D15B2D" w:rsidRPr="00D15B2D">
        <w:rPr>
          <w:b/>
          <w:sz w:val="16"/>
          <w:szCs w:val="16"/>
        </w:rPr>
        <w:t>since Q1 FY20-21</w:t>
      </w:r>
    </w:p>
    <w:tbl>
      <w:tblPr>
        <w:tblStyle w:val="LightShading-Accent4"/>
        <w:tblW w:w="9214" w:type="dxa"/>
        <w:tblLook w:val="04A0" w:firstRow="1" w:lastRow="0" w:firstColumn="1" w:lastColumn="0" w:noHBand="0" w:noVBand="1"/>
        <w:tblCaption w:val="Table 5: Enrolled SDA dwellings by maximum number of residents (excludes in-kind arrangements) since Q1 FY20-21"/>
        <w:tblDescription w:val="This table includes the dwelling numbers behind the previous graph, displaying the trend of SDA dwellings by size between Q1 FY20-21 to Q1 FY21-22 for one, two, three, four, five and six plus resident arrangements."/>
      </w:tblPr>
      <w:tblGrid>
        <w:gridCol w:w="1701"/>
        <w:gridCol w:w="1134"/>
        <w:gridCol w:w="1134"/>
        <w:gridCol w:w="1134"/>
        <w:gridCol w:w="1134"/>
        <w:gridCol w:w="1134"/>
        <w:gridCol w:w="1843"/>
      </w:tblGrid>
      <w:tr w:rsidR="00F72741" w:rsidRPr="00D6509C" w14:paraId="4E8B1012" w14:textId="77777777" w:rsidTr="008E1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05458BFA" w14:textId="77777777" w:rsidR="004C03CC" w:rsidRPr="008E1C0A" w:rsidRDefault="004C03CC" w:rsidP="00B36561">
            <w:pPr>
              <w:rPr>
                <w:color w:val="FFFFFF"/>
                <w:sz w:val="16"/>
                <w:szCs w:val="16"/>
              </w:rPr>
            </w:pPr>
            <w:r w:rsidRPr="008E1C0A">
              <w:rPr>
                <w:color w:val="FFFFFF"/>
                <w:sz w:val="16"/>
                <w:szCs w:val="16"/>
              </w:rPr>
              <w:t>Date</w:t>
            </w:r>
            <w:r w:rsidR="00844E07" w:rsidRPr="008E1C0A">
              <w:rPr>
                <w:color w:val="FFFFFF"/>
                <w:sz w:val="16"/>
                <w:szCs w:val="16"/>
              </w:rPr>
              <w:t xml:space="preserve"> / Maximum number of residents</w:t>
            </w:r>
          </w:p>
        </w:tc>
        <w:tc>
          <w:tcPr>
            <w:tcW w:w="1134" w:type="dxa"/>
          </w:tcPr>
          <w:p w14:paraId="5817A357"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8E1C0A">
              <w:rPr>
                <w:color w:val="FFFFFF"/>
                <w:sz w:val="16"/>
                <w:szCs w:val="16"/>
              </w:rPr>
              <w:t>30-Sep-20</w:t>
            </w:r>
          </w:p>
        </w:tc>
        <w:tc>
          <w:tcPr>
            <w:tcW w:w="1134" w:type="dxa"/>
          </w:tcPr>
          <w:p w14:paraId="1DE21491"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8E1C0A">
              <w:rPr>
                <w:color w:val="FFFFFF"/>
                <w:sz w:val="16"/>
                <w:szCs w:val="16"/>
              </w:rPr>
              <w:t>31-Dec-20</w:t>
            </w:r>
          </w:p>
        </w:tc>
        <w:tc>
          <w:tcPr>
            <w:tcW w:w="1134" w:type="dxa"/>
          </w:tcPr>
          <w:p w14:paraId="053BB348"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8E1C0A">
              <w:rPr>
                <w:color w:val="FFFFFF"/>
                <w:sz w:val="16"/>
                <w:szCs w:val="16"/>
              </w:rPr>
              <w:t>31-Mar-21</w:t>
            </w:r>
          </w:p>
        </w:tc>
        <w:tc>
          <w:tcPr>
            <w:tcW w:w="1134" w:type="dxa"/>
          </w:tcPr>
          <w:p w14:paraId="5E5971E6"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8E1C0A">
              <w:rPr>
                <w:color w:val="FFFFFF"/>
                <w:sz w:val="16"/>
                <w:szCs w:val="16"/>
              </w:rPr>
              <w:t>30-Jun-21</w:t>
            </w:r>
          </w:p>
        </w:tc>
        <w:tc>
          <w:tcPr>
            <w:tcW w:w="1134" w:type="dxa"/>
          </w:tcPr>
          <w:p w14:paraId="28736CDB"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8E1C0A">
              <w:rPr>
                <w:color w:val="FFFFFF"/>
                <w:sz w:val="16"/>
                <w:szCs w:val="16"/>
              </w:rPr>
              <w:t>30-Sep-21</w:t>
            </w:r>
          </w:p>
        </w:tc>
        <w:tc>
          <w:tcPr>
            <w:tcW w:w="1843" w:type="dxa"/>
          </w:tcPr>
          <w:p w14:paraId="6F23E167"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8E1C0A">
              <w:rPr>
                <w:color w:val="FFFFFF"/>
                <w:sz w:val="16"/>
                <w:szCs w:val="16"/>
              </w:rPr>
              <w:t>Percentage growth from same time last year</w:t>
            </w:r>
          </w:p>
        </w:tc>
      </w:tr>
      <w:tr w:rsidR="00F72741" w:rsidRPr="00D6509C" w14:paraId="595C554B"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F472DB" w14:textId="77777777" w:rsidR="008C1DA5" w:rsidRPr="008E1C0A" w:rsidRDefault="008C1DA5" w:rsidP="008C1DA5">
            <w:pPr>
              <w:rPr>
                <w:sz w:val="16"/>
                <w:szCs w:val="16"/>
              </w:rPr>
            </w:pPr>
            <w:r w:rsidRPr="008E1C0A">
              <w:rPr>
                <w:sz w:val="16"/>
                <w:szCs w:val="16"/>
              </w:rPr>
              <w:t>One resident</w:t>
            </w:r>
          </w:p>
        </w:tc>
        <w:tc>
          <w:tcPr>
            <w:tcW w:w="1134" w:type="dxa"/>
          </w:tcPr>
          <w:p w14:paraId="07E7201E"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1,285</w:t>
            </w:r>
          </w:p>
        </w:tc>
        <w:tc>
          <w:tcPr>
            <w:tcW w:w="1134" w:type="dxa"/>
          </w:tcPr>
          <w:p w14:paraId="48C7C93C"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1,437</w:t>
            </w:r>
          </w:p>
        </w:tc>
        <w:tc>
          <w:tcPr>
            <w:tcW w:w="1134" w:type="dxa"/>
          </w:tcPr>
          <w:p w14:paraId="337FCE5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1,495</w:t>
            </w:r>
          </w:p>
        </w:tc>
        <w:tc>
          <w:tcPr>
            <w:tcW w:w="1134" w:type="dxa"/>
          </w:tcPr>
          <w:p w14:paraId="491B239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1,779</w:t>
            </w:r>
          </w:p>
        </w:tc>
        <w:tc>
          <w:tcPr>
            <w:tcW w:w="1134" w:type="dxa"/>
          </w:tcPr>
          <w:p w14:paraId="31311EBD"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1,991</w:t>
            </w:r>
          </w:p>
        </w:tc>
        <w:tc>
          <w:tcPr>
            <w:tcW w:w="1843" w:type="dxa"/>
          </w:tcPr>
          <w:p w14:paraId="44750C0E"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55%</w:t>
            </w:r>
          </w:p>
        </w:tc>
      </w:tr>
      <w:tr w:rsidR="00F72741" w:rsidRPr="00D6509C" w14:paraId="2C34162F"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64100C7" w14:textId="77777777" w:rsidR="008C1DA5" w:rsidRPr="008E1C0A" w:rsidRDefault="008C1DA5" w:rsidP="008C1DA5">
            <w:pPr>
              <w:rPr>
                <w:sz w:val="16"/>
                <w:szCs w:val="16"/>
              </w:rPr>
            </w:pPr>
            <w:r w:rsidRPr="008E1C0A">
              <w:rPr>
                <w:sz w:val="16"/>
                <w:szCs w:val="16"/>
              </w:rPr>
              <w:t>Two residents</w:t>
            </w:r>
          </w:p>
        </w:tc>
        <w:tc>
          <w:tcPr>
            <w:tcW w:w="1134" w:type="dxa"/>
          </w:tcPr>
          <w:p w14:paraId="46C7A6AA"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1,030</w:t>
            </w:r>
          </w:p>
        </w:tc>
        <w:tc>
          <w:tcPr>
            <w:tcW w:w="1134" w:type="dxa"/>
          </w:tcPr>
          <w:p w14:paraId="74518F76"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1,147</w:t>
            </w:r>
          </w:p>
        </w:tc>
        <w:tc>
          <w:tcPr>
            <w:tcW w:w="1134" w:type="dxa"/>
          </w:tcPr>
          <w:p w14:paraId="77F99B8C"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1,217</w:t>
            </w:r>
          </w:p>
        </w:tc>
        <w:tc>
          <w:tcPr>
            <w:tcW w:w="1134" w:type="dxa"/>
          </w:tcPr>
          <w:p w14:paraId="3DD14976"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1,341</w:t>
            </w:r>
          </w:p>
        </w:tc>
        <w:tc>
          <w:tcPr>
            <w:tcW w:w="1134" w:type="dxa"/>
          </w:tcPr>
          <w:p w14:paraId="20FC1A99"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1,371</w:t>
            </w:r>
          </w:p>
        </w:tc>
        <w:tc>
          <w:tcPr>
            <w:tcW w:w="1843" w:type="dxa"/>
          </w:tcPr>
          <w:p w14:paraId="02951430"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33%</w:t>
            </w:r>
          </w:p>
        </w:tc>
      </w:tr>
      <w:tr w:rsidR="00F72741" w:rsidRPr="00D6509C" w14:paraId="14158704"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43CB03" w14:textId="77777777" w:rsidR="008C1DA5" w:rsidRPr="008E1C0A" w:rsidRDefault="008C1DA5" w:rsidP="008C1DA5">
            <w:pPr>
              <w:rPr>
                <w:sz w:val="16"/>
                <w:szCs w:val="16"/>
              </w:rPr>
            </w:pPr>
            <w:r w:rsidRPr="008E1C0A">
              <w:rPr>
                <w:sz w:val="16"/>
                <w:szCs w:val="16"/>
              </w:rPr>
              <w:t>Three residents</w:t>
            </w:r>
          </w:p>
        </w:tc>
        <w:tc>
          <w:tcPr>
            <w:tcW w:w="1134" w:type="dxa"/>
          </w:tcPr>
          <w:p w14:paraId="74D01CE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520</w:t>
            </w:r>
          </w:p>
        </w:tc>
        <w:tc>
          <w:tcPr>
            <w:tcW w:w="1134" w:type="dxa"/>
          </w:tcPr>
          <w:p w14:paraId="6EF2FDC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605</w:t>
            </w:r>
          </w:p>
        </w:tc>
        <w:tc>
          <w:tcPr>
            <w:tcW w:w="1134" w:type="dxa"/>
          </w:tcPr>
          <w:p w14:paraId="7AFE85FE"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649</w:t>
            </w:r>
          </w:p>
        </w:tc>
        <w:tc>
          <w:tcPr>
            <w:tcW w:w="1134" w:type="dxa"/>
          </w:tcPr>
          <w:p w14:paraId="1167653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750</w:t>
            </w:r>
          </w:p>
        </w:tc>
        <w:tc>
          <w:tcPr>
            <w:tcW w:w="1134" w:type="dxa"/>
          </w:tcPr>
          <w:p w14:paraId="46A3109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823</w:t>
            </w:r>
          </w:p>
        </w:tc>
        <w:tc>
          <w:tcPr>
            <w:tcW w:w="1843" w:type="dxa"/>
          </w:tcPr>
          <w:p w14:paraId="78C0B61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58%</w:t>
            </w:r>
          </w:p>
        </w:tc>
      </w:tr>
      <w:tr w:rsidR="00F72741" w:rsidRPr="00D6509C" w14:paraId="31EDBFC7"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E95A08" w14:textId="77777777" w:rsidR="008C1DA5" w:rsidRPr="008E1C0A" w:rsidRDefault="008C1DA5" w:rsidP="008C1DA5">
            <w:pPr>
              <w:rPr>
                <w:sz w:val="16"/>
                <w:szCs w:val="16"/>
              </w:rPr>
            </w:pPr>
            <w:r w:rsidRPr="008E1C0A">
              <w:rPr>
                <w:sz w:val="16"/>
                <w:szCs w:val="16"/>
              </w:rPr>
              <w:t>Four residents</w:t>
            </w:r>
          </w:p>
        </w:tc>
        <w:tc>
          <w:tcPr>
            <w:tcW w:w="1134" w:type="dxa"/>
          </w:tcPr>
          <w:p w14:paraId="4B2F9383"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558</w:t>
            </w:r>
          </w:p>
        </w:tc>
        <w:tc>
          <w:tcPr>
            <w:tcW w:w="1134" w:type="dxa"/>
          </w:tcPr>
          <w:p w14:paraId="7B3AE1AD"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597</w:t>
            </w:r>
          </w:p>
        </w:tc>
        <w:tc>
          <w:tcPr>
            <w:tcW w:w="1134" w:type="dxa"/>
          </w:tcPr>
          <w:p w14:paraId="1CF0A8EE"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609</w:t>
            </w:r>
          </w:p>
        </w:tc>
        <w:tc>
          <w:tcPr>
            <w:tcW w:w="1134" w:type="dxa"/>
          </w:tcPr>
          <w:p w14:paraId="578D6855"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712</w:t>
            </w:r>
          </w:p>
        </w:tc>
        <w:tc>
          <w:tcPr>
            <w:tcW w:w="1134" w:type="dxa"/>
          </w:tcPr>
          <w:p w14:paraId="66E875B8"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726</w:t>
            </w:r>
          </w:p>
        </w:tc>
        <w:tc>
          <w:tcPr>
            <w:tcW w:w="1843" w:type="dxa"/>
          </w:tcPr>
          <w:p w14:paraId="7EF902C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30%</w:t>
            </w:r>
          </w:p>
        </w:tc>
      </w:tr>
      <w:tr w:rsidR="00F72741" w:rsidRPr="00D6509C" w14:paraId="59F4F315"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E30372" w14:textId="77777777" w:rsidR="008C1DA5" w:rsidRPr="008E1C0A" w:rsidRDefault="008C1DA5" w:rsidP="008C1DA5">
            <w:pPr>
              <w:rPr>
                <w:sz w:val="16"/>
                <w:szCs w:val="16"/>
              </w:rPr>
            </w:pPr>
            <w:r w:rsidRPr="008E1C0A">
              <w:rPr>
                <w:sz w:val="16"/>
                <w:szCs w:val="16"/>
              </w:rPr>
              <w:t>Five residents</w:t>
            </w:r>
          </w:p>
        </w:tc>
        <w:tc>
          <w:tcPr>
            <w:tcW w:w="1134" w:type="dxa"/>
          </w:tcPr>
          <w:p w14:paraId="0807F134"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885</w:t>
            </w:r>
          </w:p>
        </w:tc>
        <w:tc>
          <w:tcPr>
            <w:tcW w:w="1134" w:type="dxa"/>
          </w:tcPr>
          <w:p w14:paraId="33BD01A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935</w:t>
            </w:r>
          </w:p>
        </w:tc>
        <w:tc>
          <w:tcPr>
            <w:tcW w:w="1134" w:type="dxa"/>
          </w:tcPr>
          <w:p w14:paraId="74F437A1"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940</w:t>
            </w:r>
          </w:p>
        </w:tc>
        <w:tc>
          <w:tcPr>
            <w:tcW w:w="1134" w:type="dxa"/>
          </w:tcPr>
          <w:p w14:paraId="580719E4"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1,332</w:t>
            </w:r>
          </w:p>
        </w:tc>
        <w:tc>
          <w:tcPr>
            <w:tcW w:w="1134" w:type="dxa"/>
          </w:tcPr>
          <w:p w14:paraId="23792A27"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1,349</w:t>
            </w:r>
          </w:p>
        </w:tc>
        <w:tc>
          <w:tcPr>
            <w:tcW w:w="1843" w:type="dxa"/>
          </w:tcPr>
          <w:p w14:paraId="7A52EA57"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8E1C0A">
              <w:rPr>
                <w:sz w:val="16"/>
                <w:szCs w:val="16"/>
              </w:rPr>
              <w:t>52%</w:t>
            </w:r>
          </w:p>
        </w:tc>
      </w:tr>
      <w:tr w:rsidR="00F72741" w:rsidRPr="00D6509C" w14:paraId="52644D3F" w14:textId="77777777" w:rsidTr="008E1C0A">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701" w:type="dxa"/>
          </w:tcPr>
          <w:p w14:paraId="251E40A0" w14:textId="77777777" w:rsidR="008C1DA5" w:rsidRPr="008E1C0A" w:rsidRDefault="008C1DA5" w:rsidP="008C1DA5">
            <w:pPr>
              <w:rPr>
                <w:sz w:val="16"/>
                <w:szCs w:val="16"/>
              </w:rPr>
            </w:pPr>
            <w:r w:rsidRPr="008E1C0A">
              <w:rPr>
                <w:sz w:val="16"/>
                <w:szCs w:val="16"/>
              </w:rPr>
              <w:t>Six or more residents</w:t>
            </w:r>
          </w:p>
        </w:tc>
        <w:tc>
          <w:tcPr>
            <w:tcW w:w="1134" w:type="dxa"/>
          </w:tcPr>
          <w:p w14:paraId="14A2055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200</w:t>
            </w:r>
          </w:p>
        </w:tc>
        <w:tc>
          <w:tcPr>
            <w:tcW w:w="1134" w:type="dxa"/>
          </w:tcPr>
          <w:p w14:paraId="26B4359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200</w:t>
            </w:r>
          </w:p>
        </w:tc>
        <w:tc>
          <w:tcPr>
            <w:tcW w:w="1134" w:type="dxa"/>
          </w:tcPr>
          <w:p w14:paraId="6A79EC20"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199</w:t>
            </w:r>
          </w:p>
        </w:tc>
        <w:tc>
          <w:tcPr>
            <w:tcW w:w="1134" w:type="dxa"/>
          </w:tcPr>
          <w:p w14:paraId="62647FE2"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310</w:t>
            </w:r>
          </w:p>
        </w:tc>
        <w:tc>
          <w:tcPr>
            <w:tcW w:w="1134" w:type="dxa"/>
          </w:tcPr>
          <w:p w14:paraId="448AEF65"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301</w:t>
            </w:r>
          </w:p>
        </w:tc>
        <w:tc>
          <w:tcPr>
            <w:tcW w:w="1843" w:type="dxa"/>
          </w:tcPr>
          <w:p w14:paraId="210EDDE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8E1C0A">
              <w:rPr>
                <w:sz w:val="16"/>
                <w:szCs w:val="16"/>
              </w:rPr>
              <w:t>51%</w:t>
            </w:r>
          </w:p>
        </w:tc>
      </w:tr>
    </w:tbl>
    <w:p w14:paraId="6CF451A9" w14:textId="77777777" w:rsidR="00E21978" w:rsidRDefault="00E21978">
      <w:pPr>
        <w:spacing w:line="276" w:lineRule="auto"/>
        <w:rPr>
          <w:sz w:val="16"/>
          <w:szCs w:val="16"/>
        </w:rPr>
      </w:pPr>
    </w:p>
    <w:p w14:paraId="73EDB02F" w14:textId="77777777" w:rsidR="00C753CE" w:rsidRDefault="00C753CE" w:rsidP="00C753CE">
      <w:pPr>
        <w:rPr>
          <w:b/>
        </w:rPr>
      </w:pPr>
      <w:r w:rsidRPr="001F2C5F">
        <w:rPr>
          <w:b/>
        </w:rPr>
        <w:t>NDIA observations</w:t>
      </w:r>
    </w:p>
    <w:p w14:paraId="008CFB95" w14:textId="28511018" w:rsidR="00E834BB" w:rsidRDefault="00C753CE" w:rsidP="00474E84">
      <w:r>
        <w:t>A</w:t>
      </w:r>
      <w:r w:rsidRPr="00DF2F62">
        <w:t xml:space="preserve">s </w:t>
      </w:r>
      <w:r w:rsidRPr="00DF2F62">
        <w:fldChar w:fldCharType="begin"/>
      </w:r>
      <w:r w:rsidRPr="00DF2F62">
        <w:instrText xml:space="preserve"> REF _Ref79504227 \h </w:instrText>
      </w:r>
      <w:r>
        <w:instrText xml:space="preserve"> \* MERGEFORMAT </w:instrText>
      </w:r>
      <w:r w:rsidRPr="00DF2F62">
        <w:fldChar w:fldCharType="separate"/>
      </w:r>
      <w:r w:rsidR="00D402F6" w:rsidRPr="00D402F6">
        <w:t xml:space="preserve">Figure </w:t>
      </w:r>
      <w:r w:rsidR="00D402F6" w:rsidRPr="00D402F6">
        <w:rPr>
          <w:noProof/>
        </w:rPr>
        <w:t>7</w:t>
      </w:r>
      <w:r w:rsidRPr="00DF2F62">
        <w:fldChar w:fldCharType="end"/>
      </w:r>
      <w:r w:rsidRPr="00DF2F62">
        <w:t xml:space="preserve"> shows, growth in single-resident enrolments </w:t>
      </w:r>
      <w:r>
        <w:t xml:space="preserve">is still larger than most other dwellings by residents and has been </w:t>
      </w:r>
      <w:r w:rsidRPr="00DF2F62">
        <w:t>for a considerable period of time.</w:t>
      </w:r>
      <w:r>
        <w:t xml:space="preserve"> The majority (51%) of existing SDA dwellings are designed for </w:t>
      </w:r>
      <w:r w:rsidR="00667977">
        <w:t>1</w:t>
      </w:r>
      <w:r>
        <w:t xml:space="preserve"> or 2 residents, as the </w:t>
      </w:r>
      <w:r w:rsidR="000D50E0">
        <w:t xml:space="preserve">market, encouraged by the </w:t>
      </w:r>
      <w:r w:rsidR="004E01D2">
        <w:t>NDIS</w:t>
      </w:r>
      <w:r w:rsidR="000D50E0">
        <w:t>,</w:t>
      </w:r>
      <w:r w:rsidR="00667977">
        <w:t xml:space="preserve"> </w:t>
      </w:r>
      <w:r>
        <w:t xml:space="preserve">moves away from </w:t>
      </w:r>
      <w:r w:rsidR="000D50E0">
        <w:t>outdated</w:t>
      </w:r>
      <w:r w:rsidR="00D80DE0">
        <w:t>,</w:t>
      </w:r>
      <w:r>
        <w:t xml:space="preserve"> large </w:t>
      </w:r>
      <w:r w:rsidR="000D50E0">
        <w:t>facility type</w:t>
      </w:r>
      <w:r>
        <w:t xml:space="preserve"> </w:t>
      </w:r>
      <w:r w:rsidR="001451B7">
        <w:t>accommodatio</w:t>
      </w:r>
      <w:r w:rsidR="00D80DE0">
        <w:t>n</w:t>
      </w:r>
      <w:r w:rsidR="001451B7">
        <w:t xml:space="preserve">. </w:t>
      </w:r>
      <w:r w:rsidR="000D50E0">
        <w:t xml:space="preserve">Legacy </w:t>
      </w:r>
      <w:r w:rsidR="00D80DE0">
        <w:t>(</w:t>
      </w:r>
      <w:r>
        <w:t>6 or more resident</w:t>
      </w:r>
      <w:r w:rsidR="00D80DE0">
        <w:t>)</w:t>
      </w:r>
      <w:r>
        <w:t xml:space="preserve"> dwellings are not expected to grow further once all states, including Western Australia, </w:t>
      </w:r>
      <w:r w:rsidR="000D50E0">
        <w:t>complete</w:t>
      </w:r>
      <w:r>
        <w:t xml:space="preserve"> their enrolments.</w:t>
      </w:r>
    </w:p>
    <w:p w14:paraId="3B9C2406" w14:textId="77777777" w:rsidR="00855520" w:rsidRDefault="00855520" w:rsidP="00855520">
      <w:pPr>
        <w:pStyle w:val="Heading3"/>
      </w:pPr>
      <w:bookmarkStart w:id="107" w:name="_Ref89177926"/>
      <w:bookmarkStart w:id="108" w:name="_Toc86928230"/>
      <w:bookmarkStart w:id="109" w:name="_Toc86928263"/>
      <w:bookmarkStart w:id="110" w:name="_Ref87950332"/>
      <w:bookmarkStart w:id="111" w:name="_Ref87950364"/>
      <w:bookmarkStart w:id="112" w:name="_Ref87950468"/>
      <w:bookmarkStart w:id="113" w:name="_Toc87887957"/>
      <w:bookmarkStart w:id="114" w:name="_Ref89085868"/>
      <w:bookmarkStart w:id="115" w:name="_Toc89692962"/>
      <w:r w:rsidRPr="007805D1">
        <w:t>U</w:t>
      </w:r>
      <w:r w:rsidR="00F84AC9">
        <w:t>nfinished</w:t>
      </w:r>
      <w:r w:rsidR="00F75AD8">
        <w:t xml:space="preserve"> and</w:t>
      </w:r>
      <w:r w:rsidR="00D80DE0">
        <w:t xml:space="preserve">/or </w:t>
      </w:r>
      <w:r w:rsidR="00F84AC9">
        <w:t>u</w:t>
      </w:r>
      <w:r w:rsidRPr="007805D1">
        <w:t>nenrolled dwellings</w:t>
      </w:r>
      <w:bookmarkEnd w:id="107"/>
      <w:bookmarkEnd w:id="115"/>
      <w:r w:rsidRPr="007805D1">
        <w:t xml:space="preserve"> </w:t>
      </w:r>
      <w:bookmarkEnd w:id="108"/>
      <w:bookmarkEnd w:id="109"/>
      <w:bookmarkEnd w:id="110"/>
      <w:bookmarkEnd w:id="111"/>
      <w:bookmarkEnd w:id="112"/>
      <w:bookmarkEnd w:id="113"/>
      <w:bookmarkEnd w:id="114"/>
    </w:p>
    <w:p w14:paraId="701ECA0D" w14:textId="77777777" w:rsidR="00D80DE0" w:rsidRDefault="00065353" w:rsidP="00424A73">
      <w:r>
        <w:t xml:space="preserve">The submission of design stage certification gives the NDIA a view of dwellings that are underway. </w:t>
      </w:r>
      <w:r w:rsidR="00200F9C">
        <w:t>At the end of</w:t>
      </w:r>
      <w:r w:rsidR="00A74F9E" w:rsidRPr="008E1C0A">
        <w:t xml:space="preserve"> Q1 FY21-22, ther</w:t>
      </w:r>
      <w:r w:rsidR="009066AF">
        <w:t xml:space="preserve">e </w:t>
      </w:r>
      <w:r w:rsidR="00F75AD8">
        <w:t>are</w:t>
      </w:r>
      <w:r w:rsidR="00A74F9E" w:rsidRPr="008E1C0A">
        <w:t xml:space="preserve"> 1,744 dwellings that are unfinished</w:t>
      </w:r>
      <w:r w:rsidR="00E834BB">
        <w:t>/</w:t>
      </w:r>
      <w:r w:rsidR="00A74F9E" w:rsidRPr="008E1C0A">
        <w:t xml:space="preserve">unenrolled. </w:t>
      </w:r>
      <w:r w:rsidR="00F84AC9">
        <w:t>Queensland has the largest number of dwellings underway (552 dwellings) spread out across the types of builds, followed by New South Wales (506 dwellings) and Victoria (405 dwellings)</w:t>
      </w:r>
      <w:r w:rsidR="001451B7">
        <w:t>.</w:t>
      </w:r>
    </w:p>
    <w:p w14:paraId="683A5227" w14:textId="549D1FE9" w:rsidR="00A74F9E" w:rsidRDefault="00A37B58" w:rsidP="00424A73">
      <w:r>
        <w:lastRenderedPageBreak/>
        <w:t xml:space="preserve">As </w:t>
      </w:r>
      <w:r>
        <w:fldChar w:fldCharType="begin"/>
      </w:r>
      <w:r>
        <w:instrText xml:space="preserve"> REF _Ref88223022 \h  \* MERGEFORMAT </w:instrText>
      </w:r>
      <w:r>
        <w:fldChar w:fldCharType="separate"/>
      </w:r>
      <w:r w:rsidR="00D402F6" w:rsidRPr="00D402F6">
        <w:t>Figure 8</w:t>
      </w:r>
      <w:r>
        <w:fldChar w:fldCharType="end"/>
      </w:r>
      <w:r w:rsidR="00F84AC9">
        <w:t xml:space="preserve"> displays</w:t>
      </w:r>
      <w:r>
        <w:t>, besides Queensland, Tasmania and Northern</w:t>
      </w:r>
      <w:r w:rsidR="00E834BB">
        <w:t xml:space="preserve"> Territory, the most unfinished/</w:t>
      </w:r>
      <w:r w:rsidR="00D80DE0">
        <w:t xml:space="preserve">unenrolled </w:t>
      </w:r>
      <w:r>
        <w:t>dwellings are apartments.</w:t>
      </w:r>
      <w:r w:rsidR="00A74F9E">
        <w:t xml:space="preserve"> In the Australian Capital Territory, Western Australia and New South Wales, the majority of </w:t>
      </w:r>
      <w:r w:rsidR="00687A81">
        <w:t>unfinished</w:t>
      </w:r>
      <w:r w:rsidR="00E834BB">
        <w:t>/</w:t>
      </w:r>
      <w:r w:rsidR="00687A81">
        <w:t>unenrolled</w:t>
      </w:r>
      <w:r w:rsidR="00A74F9E">
        <w:t xml:space="preserve"> </w:t>
      </w:r>
      <w:r w:rsidR="00687A81">
        <w:t xml:space="preserve">dwellings </w:t>
      </w:r>
      <w:r w:rsidR="00A74F9E">
        <w:t>are apartments at 91%, 73% and 57%, respectively. In Queensland, the largest proportion of dwellings unfinished</w:t>
      </w:r>
      <w:r w:rsidR="00E834BB">
        <w:t>/</w:t>
      </w:r>
      <w:r w:rsidR="00A74F9E">
        <w:t>unenrolled are houses (39%) and in Tasmania</w:t>
      </w:r>
      <w:r w:rsidR="00F75AD8">
        <w:t>,</w:t>
      </w:r>
      <w:r w:rsidR="00A74F9E">
        <w:t xml:space="preserve"> group homes (60%).</w:t>
      </w:r>
    </w:p>
    <w:p w14:paraId="206E7EB5" w14:textId="5A65F438" w:rsidR="00D80DE0" w:rsidRDefault="00F75AD8" w:rsidP="00F77A30">
      <w:r>
        <w:t>Of the</w:t>
      </w:r>
      <w:r w:rsidR="00A74F9E">
        <w:t xml:space="preserve"> unfinished</w:t>
      </w:r>
      <w:r w:rsidR="00E834BB">
        <w:t>/</w:t>
      </w:r>
      <w:r w:rsidR="00A74F9E">
        <w:t>unenrolled dwellings</w:t>
      </w:r>
      <w:r w:rsidR="00D84551">
        <w:t>,</w:t>
      </w:r>
      <w:r w:rsidR="00A74F9E">
        <w:t xml:space="preserve"> 41% are high physical support apartments (719 out of 1,744 dwellings). The next largest proportion </w:t>
      </w:r>
      <w:r w:rsidR="00D84551">
        <w:t>is</w:t>
      </w:r>
      <w:r w:rsidR="00A74F9E">
        <w:t xml:space="preserve"> high physical support group homes at 14%</w:t>
      </w:r>
      <w:r w:rsidR="00D84551">
        <w:t xml:space="preserve"> </w:t>
      </w:r>
      <w:r w:rsidR="00F77A30">
        <w:t>(</w:t>
      </w:r>
      <w:r w:rsidR="00F77A30">
        <w:fldChar w:fldCharType="begin"/>
      </w:r>
      <w:r w:rsidR="00F77A30">
        <w:instrText xml:space="preserve"> REF _Ref89105020 \h  \* MERGEFORMAT </w:instrText>
      </w:r>
      <w:r w:rsidR="00F77A30">
        <w:fldChar w:fldCharType="separate"/>
      </w:r>
      <w:r w:rsidR="00D402F6" w:rsidRPr="00D402F6">
        <w:t>Figure 9</w:t>
      </w:r>
      <w:r w:rsidR="00F77A30">
        <w:fldChar w:fldCharType="end"/>
      </w:r>
      <w:r w:rsidR="00F77A30">
        <w:t>).</w:t>
      </w:r>
    </w:p>
    <w:p w14:paraId="49FFA5BE" w14:textId="1456E914" w:rsidR="00424A73" w:rsidRPr="007805D1" w:rsidRDefault="00424A73" w:rsidP="00424A73">
      <w:r>
        <w:t>Further breakdown of unfinished</w:t>
      </w:r>
      <w:r w:rsidR="00D15B2D">
        <w:t>/unenrolled</w:t>
      </w:r>
      <w:r>
        <w:t xml:space="preserve"> dwellings by d</w:t>
      </w:r>
      <w:r w:rsidRPr="00424A73">
        <w:t xml:space="preserve">esign </w:t>
      </w:r>
      <w:r>
        <w:t>c</w:t>
      </w:r>
      <w:r w:rsidRPr="00424A73">
        <w:t xml:space="preserve">ategory, </w:t>
      </w:r>
      <w:r>
        <w:t>b</w:t>
      </w:r>
      <w:r w:rsidRPr="00424A73">
        <w:t xml:space="preserve">uild </w:t>
      </w:r>
      <w:r>
        <w:t>t</w:t>
      </w:r>
      <w:r w:rsidRPr="00424A73">
        <w:t xml:space="preserve">ype and SA4 </w:t>
      </w:r>
      <w:r>
        <w:t>r</w:t>
      </w:r>
      <w:r w:rsidRPr="00424A73">
        <w:t xml:space="preserve">egion </w:t>
      </w:r>
      <w:r>
        <w:t xml:space="preserve">can be found in </w:t>
      </w:r>
      <w:r w:rsidRPr="007805D1">
        <w:t>‘Table P.</w:t>
      </w:r>
      <w:r>
        <w:t>20’</w:t>
      </w:r>
      <w:r w:rsidRPr="007805D1">
        <w:t xml:space="preserve"> in the SDA data published on the </w:t>
      </w:r>
      <w:hyperlink r:id="rId43" w:history="1">
        <w:r w:rsidRPr="007805D1" w:rsidDel="00E77F7B">
          <w:rPr>
            <w:rStyle w:val="Hyperlink"/>
            <w:rFonts w:asciiTheme="majorHAnsi" w:hAnsiTheme="majorHAnsi" w:cstheme="majorHAnsi"/>
          </w:rPr>
          <w:t>NDIS data and insights webpage</w:t>
        </w:r>
      </w:hyperlink>
      <w:r>
        <w:t xml:space="preserve">. </w:t>
      </w:r>
    </w:p>
    <w:p w14:paraId="6F864881" w14:textId="6428E24F" w:rsidR="00D15B2D" w:rsidRDefault="008C4C0F" w:rsidP="00424A73">
      <w:pPr>
        <w:rPr>
          <w:b/>
          <w:sz w:val="16"/>
          <w:szCs w:val="16"/>
        </w:rPr>
      </w:pPr>
      <w:bookmarkStart w:id="116" w:name="_Ref88223022"/>
      <w:bookmarkStart w:id="117" w:name="_Ref88223015"/>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D402F6">
        <w:rPr>
          <w:b/>
          <w:noProof/>
          <w:sz w:val="16"/>
          <w:szCs w:val="16"/>
        </w:rPr>
        <w:t>8</w:t>
      </w:r>
      <w:r w:rsidRPr="00424A73">
        <w:rPr>
          <w:b/>
          <w:sz w:val="16"/>
          <w:szCs w:val="16"/>
        </w:rPr>
        <w:fldChar w:fldCharType="end"/>
      </w:r>
      <w:bookmarkEnd w:id="116"/>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424A73">
        <w:rPr>
          <w:b/>
          <w:sz w:val="16"/>
          <w:szCs w:val="16"/>
        </w:rPr>
        <w:t xml:space="preserve">in states and territories </w:t>
      </w:r>
      <w:r w:rsidR="00725A2E">
        <w:rPr>
          <w:b/>
          <w:sz w:val="16"/>
          <w:szCs w:val="16"/>
        </w:rPr>
        <w:t xml:space="preserve">at the end of </w:t>
      </w:r>
      <w:r w:rsidR="00A37B58">
        <w:rPr>
          <w:b/>
          <w:sz w:val="16"/>
          <w:szCs w:val="16"/>
        </w:rPr>
        <w:t>Q1 FY21-22</w:t>
      </w:r>
      <w:bookmarkEnd w:id="117"/>
    </w:p>
    <w:p w14:paraId="0D987EF1" w14:textId="77777777" w:rsidR="00E834BB" w:rsidRDefault="00D15B2D" w:rsidP="00474E84">
      <w:pPr>
        <w:rPr>
          <w:b/>
          <w:sz w:val="16"/>
          <w:szCs w:val="16"/>
        </w:rPr>
      </w:pPr>
      <w:r w:rsidRPr="00D15B2D">
        <w:rPr>
          <w:noProof/>
          <w:lang w:eastAsia="en-AU"/>
        </w:rPr>
        <w:drawing>
          <wp:inline distT="0" distB="0" distL="0" distR="0" wp14:anchorId="56CE5BB6" wp14:editId="45A13699">
            <wp:extent cx="5766534" cy="2879534"/>
            <wp:effectExtent l="0" t="0" r="5715" b="0"/>
            <wp:docPr id="38" name="Picture 38" descr="This column chart displays unfinished/unenrolled SDA dwellings for apartment, villa/duplex/townhouse, house, group home and legacy stock dwellings across states and territories at the end of Q1 FY21-22. Detailed numbers can be found in the following table.&#10;&#10;Besides for Queensland, apartments represent the largest number of buildings unfinished/unenrolled within each jurisdiction. Queensland in comparison have a larger number of houses underway.&#10;&#10;For most jurisdictions, villa/duplex/townhouses or houses are the second and third largest types of buildings unfinished/unenrolled." title="Figure 8: Number of pipeline SDA dwellings in states and territories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6534" cy="2879534"/>
                    </a:xfrm>
                    <a:prstGeom prst="rect">
                      <a:avLst/>
                    </a:prstGeom>
                    <a:noFill/>
                    <a:ln>
                      <a:noFill/>
                    </a:ln>
                  </pic:spPr>
                </pic:pic>
              </a:graphicData>
            </a:graphic>
          </wp:inline>
        </w:drawing>
      </w:r>
    </w:p>
    <w:p w14:paraId="2E4AA39E" w14:textId="57714604" w:rsidR="008C4C0F" w:rsidRPr="00424A73" w:rsidRDefault="008C4C0F" w:rsidP="00424A73">
      <w:pPr>
        <w:rPr>
          <w:b/>
          <w:sz w:val="16"/>
          <w:szCs w:val="16"/>
        </w:rPr>
      </w:pPr>
      <w:bookmarkStart w:id="118" w:name="_Ref89171821"/>
      <w:r w:rsidRPr="00424A73">
        <w:rPr>
          <w:b/>
          <w:sz w:val="16"/>
          <w:szCs w:val="16"/>
        </w:rPr>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D402F6">
        <w:rPr>
          <w:b/>
          <w:noProof/>
          <w:sz w:val="16"/>
          <w:szCs w:val="16"/>
        </w:rPr>
        <w:t>6</w:t>
      </w:r>
      <w:r w:rsidRPr="00424A73">
        <w:rPr>
          <w:b/>
          <w:sz w:val="16"/>
          <w:szCs w:val="16"/>
        </w:rPr>
        <w:fldChar w:fldCharType="end"/>
      </w:r>
      <w:bookmarkEnd w:id="118"/>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in states and territories</w:t>
      </w:r>
      <w:r w:rsidR="00D15B2D">
        <w:rPr>
          <w:b/>
          <w:sz w:val="16"/>
          <w:szCs w:val="16"/>
        </w:rPr>
        <w:t xml:space="preserve"> by </w:t>
      </w:r>
      <w:r w:rsidR="00C61E24">
        <w:rPr>
          <w:b/>
          <w:sz w:val="16"/>
          <w:szCs w:val="16"/>
        </w:rPr>
        <w:t xml:space="preserve">building </w:t>
      </w:r>
      <w:r w:rsidR="00D15B2D">
        <w:rPr>
          <w:b/>
          <w:sz w:val="16"/>
          <w:szCs w:val="16"/>
        </w:rPr>
        <w:t>type</w:t>
      </w:r>
      <w:r w:rsidR="00424A73" w:rsidRPr="00424A73">
        <w:rPr>
          <w:b/>
          <w:sz w:val="16"/>
          <w:szCs w:val="16"/>
        </w:rPr>
        <w:t xml:space="preserve"> </w:t>
      </w:r>
      <w:r w:rsidR="00725A2E" w:rsidRPr="00725A2E">
        <w:rPr>
          <w:b/>
          <w:sz w:val="16"/>
          <w:szCs w:val="16"/>
        </w:rPr>
        <w:t>at the end of</w:t>
      </w:r>
      <w:r w:rsidR="00424A73" w:rsidRPr="00424A73">
        <w:rPr>
          <w:b/>
          <w:sz w:val="16"/>
          <w:szCs w:val="16"/>
        </w:rPr>
        <w:t xml:space="preserve"> Q</w:t>
      </w:r>
      <w:r w:rsidR="00A37B58">
        <w:rPr>
          <w:b/>
          <w:sz w:val="16"/>
          <w:szCs w:val="16"/>
        </w:rPr>
        <w:t>1</w:t>
      </w:r>
      <w:r w:rsidR="00424A73" w:rsidRPr="00424A73">
        <w:rPr>
          <w:b/>
          <w:sz w:val="16"/>
          <w:szCs w:val="16"/>
        </w:rPr>
        <w:t xml:space="preserve"> FY2</w:t>
      </w:r>
      <w:r w:rsidR="00A37B58">
        <w:rPr>
          <w:b/>
          <w:sz w:val="16"/>
          <w:szCs w:val="16"/>
        </w:rPr>
        <w:t>1</w:t>
      </w:r>
      <w:r w:rsidR="00424A73" w:rsidRPr="00424A73">
        <w:rPr>
          <w:b/>
          <w:sz w:val="16"/>
          <w:szCs w:val="16"/>
        </w:rPr>
        <w:t>-2</w:t>
      </w:r>
      <w:r w:rsidR="00A37B58">
        <w:rPr>
          <w:b/>
          <w:sz w:val="16"/>
          <w:szCs w:val="16"/>
        </w:rPr>
        <w:t>2</w:t>
      </w:r>
    </w:p>
    <w:tbl>
      <w:tblPr>
        <w:tblStyle w:val="LightShading-Accent4"/>
        <w:tblW w:w="9072" w:type="dxa"/>
        <w:tblLayout w:type="fixed"/>
        <w:tblLook w:val="04A0" w:firstRow="1" w:lastRow="0" w:firstColumn="1" w:lastColumn="0" w:noHBand="0" w:noVBand="1"/>
        <w:tblCaption w:val="Table 6: Number of pipeline SDA dwellings in states and territories by building type at the end of Q1 FY21-22"/>
        <w:tblDescription w:val="This table includes the unfinished/unenrolled SDA dwelling numbers behind the previous graph, displaying the number of unfinished/unenrolled SDA dwellings across states and territories for apartment, villa/duplex/townhouse, house, group home and legacy stock dwellings at the end of Q1 FY21-22."/>
      </w:tblPr>
      <w:tblGrid>
        <w:gridCol w:w="1701"/>
        <w:gridCol w:w="1276"/>
        <w:gridCol w:w="1418"/>
        <w:gridCol w:w="992"/>
        <w:gridCol w:w="1559"/>
        <w:gridCol w:w="1276"/>
        <w:gridCol w:w="850"/>
      </w:tblGrid>
      <w:tr w:rsidR="00A37B58" w:rsidRPr="00D6509C" w14:paraId="51D554F7" w14:textId="77777777" w:rsidTr="00C61E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0073A37E" w14:textId="77777777" w:rsidR="00A37B58" w:rsidRPr="008E1C0A" w:rsidRDefault="008C30FD" w:rsidP="00A37B58">
            <w:pPr>
              <w:rPr>
                <w:rFonts w:asciiTheme="majorHAnsi" w:hAnsiTheme="majorHAnsi" w:cstheme="majorHAnsi"/>
                <w:color w:val="FFFFFF"/>
                <w:sz w:val="16"/>
                <w:szCs w:val="16"/>
              </w:rPr>
            </w:pPr>
            <w:r>
              <w:rPr>
                <w:rFonts w:asciiTheme="majorHAnsi" w:hAnsiTheme="majorHAnsi" w:cstheme="majorHAnsi"/>
                <w:color w:val="FFFFFF"/>
                <w:sz w:val="16"/>
                <w:szCs w:val="16"/>
              </w:rPr>
              <w:t>Building type</w:t>
            </w:r>
            <w:r w:rsidR="00A37B58" w:rsidRPr="008E1C0A">
              <w:rPr>
                <w:rFonts w:asciiTheme="majorHAnsi" w:hAnsiTheme="majorHAnsi" w:cstheme="majorHAnsi"/>
                <w:color w:val="FFFFFF"/>
                <w:sz w:val="16"/>
                <w:szCs w:val="16"/>
              </w:rPr>
              <w:t xml:space="preserve"> / State</w:t>
            </w:r>
          </w:p>
        </w:tc>
        <w:tc>
          <w:tcPr>
            <w:tcW w:w="1276" w:type="dxa"/>
          </w:tcPr>
          <w:p w14:paraId="6F53CA00" w14:textId="77777777" w:rsidR="00A37B58" w:rsidRPr="008E1C0A" w:rsidRDefault="00A37B58"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Apartment</w:t>
            </w:r>
          </w:p>
        </w:tc>
        <w:tc>
          <w:tcPr>
            <w:tcW w:w="1418" w:type="dxa"/>
          </w:tcPr>
          <w:p w14:paraId="7C7948CD" w14:textId="77777777" w:rsidR="00A37B58" w:rsidRPr="008E1C0A" w:rsidRDefault="00A37B58"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Villa/Duplex/Townhouse</w:t>
            </w:r>
          </w:p>
        </w:tc>
        <w:tc>
          <w:tcPr>
            <w:tcW w:w="992" w:type="dxa"/>
          </w:tcPr>
          <w:p w14:paraId="53EACDF1" w14:textId="77777777" w:rsidR="00A37B58" w:rsidRPr="008E1C0A" w:rsidRDefault="00A37B58"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House</w:t>
            </w:r>
          </w:p>
        </w:tc>
        <w:tc>
          <w:tcPr>
            <w:tcW w:w="1559" w:type="dxa"/>
          </w:tcPr>
          <w:p w14:paraId="71EB7EEC" w14:textId="77777777" w:rsidR="00A37B58" w:rsidRPr="008E1C0A" w:rsidRDefault="00A37B58"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Group Home</w:t>
            </w:r>
          </w:p>
        </w:tc>
        <w:tc>
          <w:tcPr>
            <w:tcW w:w="1276" w:type="dxa"/>
          </w:tcPr>
          <w:p w14:paraId="727124E8" w14:textId="77777777" w:rsidR="00A37B58" w:rsidRPr="004B4DDF" w:rsidRDefault="00C61E24" w:rsidP="00C61E2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Pr>
                <w:rFonts w:asciiTheme="majorHAnsi" w:hAnsiTheme="majorHAnsi" w:cstheme="majorHAnsi"/>
                <w:color w:val="FFFFFF"/>
                <w:sz w:val="16"/>
                <w:szCs w:val="16"/>
              </w:rPr>
              <w:t>Legacy stock (</w:t>
            </w:r>
            <w:r w:rsidR="00F23734">
              <w:rPr>
                <w:rFonts w:asciiTheme="majorHAnsi" w:hAnsiTheme="majorHAnsi" w:cstheme="majorHAnsi"/>
                <w:color w:val="FFFFFF"/>
                <w:sz w:val="16"/>
                <w:szCs w:val="16"/>
              </w:rPr>
              <w:t xml:space="preserve">6+ </w:t>
            </w:r>
            <w:r>
              <w:rPr>
                <w:rFonts w:asciiTheme="majorHAnsi" w:hAnsiTheme="majorHAnsi" w:cstheme="majorHAnsi"/>
                <w:color w:val="FFFFFF"/>
                <w:sz w:val="16"/>
                <w:szCs w:val="16"/>
              </w:rPr>
              <w:t>r</w:t>
            </w:r>
            <w:r w:rsidR="00F23734">
              <w:rPr>
                <w:rFonts w:asciiTheme="majorHAnsi" w:hAnsiTheme="majorHAnsi" w:cstheme="majorHAnsi"/>
                <w:color w:val="FFFFFF"/>
                <w:sz w:val="16"/>
                <w:szCs w:val="16"/>
              </w:rPr>
              <w:t>esident</w:t>
            </w:r>
            <w:r>
              <w:rPr>
                <w:rFonts w:asciiTheme="majorHAnsi" w:hAnsiTheme="majorHAnsi" w:cstheme="majorHAnsi"/>
                <w:color w:val="FFFFFF"/>
                <w:sz w:val="16"/>
                <w:szCs w:val="16"/>
              </w:rPr>
              <w:t>s)</w:t>
            </w:r>
          </w:p>
        </w:tc>
        <w:tc>
          <w:tcPr>
            <w:tcW w:w="850" w:type="dxa"/>
          </w:tcPr>
          <w:p w14:paraId="79A1DE2D" w14:textId="77777777" w:rsidR="00A37B58" w:rsidRPr="008E1C0A" w:rsidRDefault="00A37B58"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Total</w:t>
            </w:r>
          </w:p>
        </w:tc>
      </w:tr>
      <w:tr w:rsidR="00A37B58" w:rsidRPr="00D6509C" w14:paraId="6097E0D0" w14:textId="77777777" w:rsidTr="00C6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02961E0"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NSW</w:t>
            </w:r>
          </w:p>
        </w:tc>
        <w:tc>
          <w:tcPr>
            <w:tcW w:w="1276" w:type="dxa"/>
          </w:tcPr>
          <w:p w14:paraId="4E9C6F31"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287</w:t>
            </w:r>
          </w:p>
        </w:tc>
        <w:tc>
          <w:tcPr>
            <w:tcW w:w="1418" w:type="dxa"/>
          </w:tcPr>
          <w:p w14:paraId="62629A12"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131</w:t>
            </w:r>
          </w:p>
        </w:tc>
        <w:tc>
          <w:tcPr>
            <w:tcW w:w="992" w:type="dxa"/>
          </w:tcPr>
          <w:p w14:paraId="7BBD82A5"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60</w:t>
            </w:r>
          </w:p>
        </w:tc>
        <w:tc>
          <w:tcPr>
            <w:tcW w:w="1559" w:type="dxa"/>
          </w:tcPr>
          <w:p w14:paraId="3049F98A"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28</w:t>
            </w:r>
          </w:p>
        </w:tc>
        <w:tc>
          <w:tcPr>
            <w:tcW w:w="1276" w:type="dxa"/>
          </w:tcPr>
          <w:p w14:paraId="20F6F7E1" w14:textId="77777777" w:rsidR="00A37B58" w:rsidRPr="004B4DDF" w:rsidRDefault="00A37B58" w:rsidP="004B4DD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0</w:t>
            </w:r>
          </w:p>
        </w:tc>
        <w:tc>
          <w:tcPr>
            <w:tcW w:w="850" w:type="dxa"/>
          </w:tcPr>
          <w:p w14:paraId="3D9036EC"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506</w:t>
            </w:r>
          </w:p>
        </w:tc>
      </w:tr>
      <w:tr w:rsidR="00A37B58" w:rsidRPr="00D6509C" w14:paraId="1D45C38D" w14:textId="77777777" w:rsidTr="00C61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9866AD"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Vic</w:t>
            </w:r>
          </w:p>
        </w:tc>
        <w:tc>
          <w:tcPr>
            <w:tcW w:w="1276" w:type="dxa"/>
          </w:tcPr>
          <w:p w14:paraId="1AA7CFE5"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196</w:t>
            </w:r>
          </w:p>
        </w:tc>
        <w:tc>
          <w:tcPr>
            <w:tcW w:w="1418" w:type="dxa"/>
          </w:tcPr>
          <w:p w14:paraId="32DF3DE3"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144</w:t>
            </w:r>
          </w:p>
        </w:tc>
        <w:tc>
          <w:tcPr>
            <w:tcW w:w="992" w:type="dxa"/>
          </w:tcPr>
          <w:p w14:paraId="3956020F"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53</w:t>
            </w:r>
          </w:p>
        </w:tc>
        <w:tc>
          <w:tcPr>
            <w:tcW w:w="1559" w:type="dxa"/>
          </w:tcPr>
          <w:p w14:paraId="3399D610"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w:t>
            </w:r>
          </w:p>
        </w:tc>
        <w:tc>
          <w:tcPr>
            <w:tcW w:w="1276" w:type="dxa"/>
          </w:tcPr>
          <w:p w14:paraId="2FB5EAC5" w14:textId="77777777" w:rsidR="00A37B58" w:rsidRPr="004B4DDF" w:rsidRDefault="00A37B58" w:rsidP="004B4DD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1</w:t>
            </w:r>
            <w:r w:rsidR="00622510">
              <w:rPr>
                <w:rFonts w:asciiTheme="majorHAnsi" w:hAnsiTheme="majorHAnsi" w:cstheme="majorHAnsi"/>
                <w:sz w:val="16"/>
                <w:szCs w:val="16"/>
              </w:rPr>
              <w:t>*</w:t>
            </w:r>
          </w:p>
        </w:tc>
        <w:tc>
          <w:tcPr>
            <w:tcW w:w="850" w:type="dxa"/>
          </w:tcPr>
          <w:p w14:paraId="70FC61ED"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405</w:t>
            </w:r>
          </w:p>
        </w:tc>
      </w:tr>
      <w:tr w:rsidR="00A37B58" w:rsidRPr="00D6509C" w14:paraId="655AC013" w14:textId="77777777" w:rsidTr="00C6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6BB4D8"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Qld</w:t>
            </w:r>
          </w:p>
        </w:tc>
        <w:tc>
          <w:tcPr>
            <w:tcW w:w="1276" w:type="dxa"/>
          </w:tcPr>
          <w:p w14:paraId="770573EB"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197</w:t>
            </w:r>
          </w:p>
        </w:tc>
        <w:tc>
          <w:tcPr>
            <w:tcW w:w="1418" w:type="dxa"/>
          </w:tcPr>
          <w:p w14:paraId="273CFA14"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112</w:t>
            </w:r>
          </w:p>
        </w:tc>
        <w:tc>
          <w:tcPr>
            <w:tcW w:w="992" w:type="dxa"/>
          </w:tcPr>
          <w:p w14:paraId="6952A6E8"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216</w:t>
            </w:r>
          </w:p>
        </w:tc>
        <w:tc>
          <w:tcPr>
            <w:tcW w:w="1559" w:type="dxa"/>
          </w:tcPr>
          <w:p w14:paraId="22DA03BA"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27</w:t>
            </w:r>
          </w:p>
        </w:tc>
        <w:tc>
          <w:tcPr>
            <w:tcW w:w="1276" w:type="dxa"/>
          </w:tcPr>
          <w:p w14:paraId="20CDAA33" w14:textId="77777777" w:rsidR="00A37B58" w:rsidRPr="004B4DDF" w:rsidRDefault="00A37B58" w:rsidP="004B4DD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0</w:t>
            </w:r>
          </w:p>
        </w:tc>
        <w:tc>
          <w:tcPr>
            <w:tcW w:w="850" w:type="dxa"/>
          </w:tcPr>
          <w:p w14:paraId="0D071FC7"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552</w:t>
            </w:r>
          </w:p>
        </w:tc>
      </w:tr>
      <w:tr w:rsidR="00A37B58" w:rsidRPr="00D6509C" w14:paraId="663A6FF9" w14:textId="77777777" w:rsidTr="00C61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878E3D"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WA</w:t>
            </w:r>
          </w:p>
        </w:tc>
        <w:tc>
          <w:tcPr>
            <w:tcW w:w="1276" w:type="dxa"/>
          </w:tcPr>
          <w:p w14:paraId="1C68A53C"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85</w:t>
            </w:r>
          </w:p>
        </w:tc>
        <w:tc>
          <w:tcPr>
            <w:tcW w:w="1418" w:type="dxa"/>
          </w:tcPr>
          <w:p w14:paraId="7597B7ED"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14</w:t>
            </w:r>
          </w:p>
        </w:tc>
        <w:tc>
          <w:tcPr>
            <w:tcW w:w="992" w:type="dxa"/>
          </w:tcPr>
          <w:p w14:paraId="5877E3BA"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18</w:t>
            </w:r>
          </w:p>
        </w:tc>
        <w:tc>
          <w:tcPr>
            <w:tcW w:w="1559" w:type="dxa"/>
          </w:tcPr>
          <w:p w14:paraId="0A682E51"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276" w:type="dxa"/>
          </w:tcPr>
          <w:p w14:paraId="59C58170" w14:textId="77777777" w:rsidR="00A37B58" w:rsidRPr="004B4DDF" w:rsidRDefault="00A37B58" w:rsidP="004B4DD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0</w:t>
            </w:r>
          </w:p>
        </w:tc>
        <w:tc>
          <w:tcPr>
            <w:tcW w:w="850" w:type="dxa"/>
          </w:tcPr>
          <w:p w14:paraId="09037F61"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117</w:t>
            </w:r>
          </w:p>
        </w:tc>
      </w:tr>
      <w:tr w:rsidR="00A37B58" w:rsidRPr="00D6509C" w14:paraId="20ADAE88" w14:textId="77777777" w:rsidTr="00C6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AE68516"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SA</w:t>
            </w:r>
          </w:p>
        </w:tc>
        <w:tc>
          <w:tcPr>
            <w:tcW w:w="1276" w:type="dxa"/>
          </w:tcPr>
          <w:p w14:paraId="288C90D5"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56</w:t>
            </w:r>
          </w:p>
        </w:tc>
        <w:tc>
          <w:tcPr>
            <w:tcW w:w="1418" w:type="dxa"/>
          </w:tcPr>
          <w:p w14:paraId="339D0E53"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39</w:t>
            </w:r>
          </w:p>
        </w:tc>
        <w:tc>
          <w:tcPr>
            <w:tcW w:w="992" w:type="dxa"/>
          </w:tcPr>
          <w:p w14:paraId="2B3B62EA"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30</w:t>
            </w:r>
          </w:p>
        </w:tc>
        <w:tc>
          <w:tcPr>
            <w:tcW w:w="1559" w:type="dxa"/>
          </w:tcPr>
          <w:p w14:paraId="204E7FE7"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276" w:type="dxa"/>
          </w:tcPr>
          <w:p w14:paraId="7E8D9309" w14:textId="77777777" w:rsidR="00A37B58" w:rsidRPr="004B4DDF" w:rsidRDefault="00A37B58" w:rsidP="004B4DD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0</w:t>
            </w:r>
          </w:p>
        </w:tc>
        <w:tc>
          <w:tcPr>
            <w:tcW w:w="850" w:type="dxa"/>
          </w:tcPr>
          <w:p w14:paraId="184EC379"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125</w:t>
            </w:r>
          </w:p>
        </w:tc>
      </w:tr>
      <w:tr w:rsidR="00A37B58" w:rsidRPr="00D6509C" w14:paraId="1284E085" w14:textId="77777777" w:rsidTr="00C61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0D6C60"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Tas</w:t>
            </w:r>
          </w:p>
        </w:tc>
        <w:tc>
          <w:tcPr>
            <w:tcW w:w="1276" w:type="dxa"/>
          </w:tcPr>
          <w:p w14:paraId="180377F8"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418" w:type="dxa"/>
          </w:tcPr>
          <w:p w14:paraId="581E1772"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w:t>
            </w:r>
          </w:p>
        </w:tc>
        <w:tc>
          <w:tcPr>
            <w:tcW w:w="992" w:type="dxa"/>
          </w:tcPr>
          <w:p w14:paraId="15764CA7"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559" w:type="dxa"/>
          </w:tcPr>
          <w:p w14:paraId="76676D25"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w:t>
            </w:r>
          </w:p>
        </w:tc>
        <w:tc>
          <w:tcPr>
            <w:tcW w:w="1276" w:type="dxa"/>
          </w:tcPr>
          <w:p w14:paraId="78D31368" w14:textId="77777777" w:rsidR="00A37B58" w:rsidRPr="004B4DDF" w:rsidRDefault="00A37B58" w:rsidP="004B4DD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0</w:t>
            </w:r>
          </w:p>
        </w:tc>
        <w:tc>
          <w:tcPr>
            <w:tcW w:w="850" w:type="dxa"/>
          </w:tcPr>
          <w:p w14:paraId="549C7D6F"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5</w:t>
            </w:r>
          </w:p>
        </w:tc>
      </w:tr>
      <w:tr w:rsidR="00A37B58" w:rsidRPr="00D6509C" w14:paraId="10178C3F" w14:textId="77777777" w:rsidTr="00C6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EA615F4"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ACT</w:t>
            </w:r>
          </w:p>
        </w:tc>
        <w:tc>
          <w:tcPr>
            <w:tcW w:w="1276" w:type="dxa"/>
          </w:tcPr>
          <w:p w14:paraId="14A4D7A2"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31</w:t>
            </w:r>
          </w:p>
        </w:tc>
        <w:tc>
          <w:tcPr>
            <w:tcW w:w="1418" w:type="dxa"/>
          </w:tcPr>
          <w:p w14:paraId="12F118DA"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992" w:type="dxa"/>
          </w:tcPr>
          <w:p w14:paraId="4653231C"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559" w:type="dxa"/>
          </w:tcPr>
          <w:p w14:paraId="7E76C0AF"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w:t>
            </w:r>
          </w:p>
        </w:tc>
        <w:tc>
          <w:tcPr>
            <w:tcW w:w="1276" w:type="dxa"/>
          </w:tcPr>
          <w:p w14:paraId="2CCAFFC6" w14:textId="77777777" w:rsidR="00A37B58" w:rsidRPr="004B4DDF" w:rsidRDefault="00A37B58" w:rsidP="004B4DD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0</w:t>
            </w:r>
          </w:p>
        </w:tc>
        <w:tc>
          <w:tcPr>
            <w:tcW w:w="850" w:type="dxa"/>
          </w:tcPr>
          <w:p w14:paraId="02C30EB3"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34</w:t>
            </w:r>
          </w:p>
        </w:tc>
      </w:tr>
      <w:tr w:rsidR="00A37B58" w:rsidRPr="00D6509C" w14:paraId="3C53F1C0" w14:textId="77777777" w:rsidTr="00C61E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26C0E99"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NT</w:t>
            </w:r>
          </w:p>
        </w:tc>
        <w:tc>
          <w:tcPr>
            <w:tcW w:w="1276" w:type="dxa"/>
          </w:tcPr>
          <w:p w14:paraId="3678FFE4"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418" w:type="dxa"/>
          </w:tcPr>
          <w:p w14:paraId="5AFD8E7D"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992" w:type="dxa"/>
          </w:tcPr>
          <w:p w14:paraId="4C50483F"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559" w:type="dxa"/>
          </w:tcPr>
          <w:p w14:paraId="3EF075E0"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0</w:t>
            </w:r>
          </w:p>
        </w:tc>
        <w:tc>
          <w:tcPr>
            <w:tcW w:w="1276" w:type="dxa"/>
          </w:tcPr>
          <w:p w14:paraId="29E6D5D0" w14:textId="77777777" w:rsidR="00A37B58" w:rsidRPr="004B4DDF" w:rsidRDefault="00A37B58" w:rsidP="004B4DDF">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sz w:val="16"/>
                <w:szCs w:val="16"/>
              </w:rPr>
              <w:t>0</w:t>
            </w:r>
          </w:p>
        </w:tc>
        <w:tc>
          <w:tcPr>
            <w:tcW w:w="850" w:type="dxa"/>
          </w:tcPr>
          <w:p w14:paraId="17A55253" w14:textId="77777777" w:rsidR="00A37B58" w:rsidRPr="008E1C0A" w:rsidRDefault="00A37B58"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0</w:t>
            </w:r>
          </w:p>
        </w:tc>
      </w:tr>
      <w:tr w:rsidR="00A37B58" w:rsidRPr="00D6509C" w14:paraId="07416DA3" w14:textId="77777777" w:rsidTr="00C6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6E240B" w14:textId="77777777" w:rsidR="00A37B58" w:rsidRPr="008E1C0A" w:rsidRDefault="00A37B58" w:rsidP="00A37B58">
            <w:pPr>
              <w:rPr>
                <w:rFonts w:asciiTheme="majorHAnsi" w:hAnsiTheme="majorHAnsi" w:cstheme="majorHAnsi"/>
                <w:sz w:val="16"/>
                <w:szCs w:val="16"/>
              </w:rPr>
            </w:pPr>
            <w:r w:rsidRPr="008E1C0A">
              <w:rPr>
                <w:rFonts w:asciiTheme="majorHAnsi" w:hAnsiTheme="majorHAnsi" w:cstheme="majorHAnsi"/>
                <w:sz w:val="16"/>
                <w:szCs w:val="16"/>
              </w:rPr>
              <w:t>National</w:t>
            </w:r>
          </w:p>
        </w:tc>
        <w:tc>
          <w:tcPr>
            <w:tcW w:w="1276" w:type="dxa"/>
          </w:tcPr>
          <w:p w14:paraId="4B69BD45"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852</w:t>
            </w:r>
          </w:p>
        </w:tc>
        <w:tc>
          <w:tcPr>
            <w:tcW w:w="1418" w:type="dxa"/>
          </w:tcPr>
          <w:p w14:paraId="328EE2E6"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442</w:t>
            </w:r>
          </w:p>
        </w:tc>
        <w:tc>
          <w:tcPr>
            <w:tcW w:w="992" w:type="dxa"/>
          </w:tcPr>
          <w:p w14:paraId="2EA35B6F"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377</w:t>
            </w:r>
          </w:p>
        </w:tc>
        <w:tc>
          <w:tcPr>
            <w:tcW w:w="1559" w:type="dxa"/>
          </w:tcPr>
          <w:p w14:paraId="4BF78EE9"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72</w:t>
            </w:r>
          </w:p>
        </w:tc>
        <w:tc>
          <w:tcPr>
            <w:tcW w:w="1276" w:type="dxa"/>
          </w:tcPr>
          <w:p w14:paraId="73325576" w14:textId="77777777" w:rsidR="00A37B58" w:rsidRPr="004B4DDF" w:rsidRDefault="00A37B58" w:rsidP="004B4DD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8E1C0A">
              <w:rPr>
                <w:rFonts w:asciiTheme="majorHAnsi" w:hAnsiTheme="majorHAnsi" w:cstheme="majorHAnsi"/>
                <w:b/>
                <w:sz w:val="16"/>
                <w:szCs w:val="16"/>
              </w:rPr>
              <w:t>1</w:t>
            </w:r>
          </w:p>
        </w:tc>
        <w:tc>
          <w:tcPr>
            <w:tcW w:w="850" w:type="dxa"/>
          </w:tcPr>
          <w:p w14:paraId="6D058162" w14:textId="77777777" w:rsidR="00A37B58" w:rsidRPr="008E1C0A" w:rsidRDefault="00A37B58"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1,744</w:t>
            </w:r>
          </w:p>
        </w:tc>
      </w:tr>
    </w:tbl>
    <w:p w14:paraId="7417C261" w14:textId="77777777" w:rsidR="00474E84" w:rsidRDefault="00622510" w:rsidP="00474E84">
      <w:pPr>
        <w:rPr>
          <w:sz w:val="14"/>
          <w:szCs w:val="14"/>
        </w:rPr>
      </w:pPr>
      <w:bookmarkStart w:id="119" w:name="_Ref88139123"/>
      <w:r w:rsidRPr="00F77A30">
        <w:rPr>
          <w:sz w:val="14"/>
          <w:szCs w:val="14"/>
        </w:rPr>
        <w:t>*</w:t>
      </w:r>
      <w:r w:rsidR="00725A2E">
        <w:rPr>
          <w:sz w:val="14"/>
          <w:szCs w:val="14"/>
        </w:rPr>
        <w:t>As t</w:t>
      </w:r>
      <w:r w:rsidRPr="00F77A30">
        <w:rPr>
          <w:sz w:val="14"/>
          <w:szCs w:val="14"/>
        </w:rPr>
        <w:t>here was a reduction in legacy</w:t>
      </w:r>
      <w:r>
        <w:rPr>
          <w:sz w:val="14"/>
          <w:szCs w:val="14"/>
        </w:rPr>
        <w:t xml:space="preserve"> dwellings</w:t>
      </w:r>
      <w:r w:rsidR="00725A2E">
        <w:rPr>
          <w:sz w:val="14"/>
          <w:szCs w:val="14"/>
        </w:rPr>
        <w:t>, t</w:t>
      </w:r>
      <w:r w:rsidRPr="00F77A30">
        <w:rPr>
          <w:sz w:val="14"/>
          <w:szCs w:val="14"/>
        </w:rPr>
        <w:t xml:space="preserve">his </w:t>
      </w:r>
      <w:r>
        <w:rPr>
          <w:sz w:val="14"/>
          <w:szCs w:val="14"/>
        </w:rPr>
        <w:t xml:space="preserve">dwelling </w:t>
      </w:r>
      <w:r w:rsidRPr="00F77A30">
        <w:rPr>
          <w:sz w:val="14"/>
          <w:szCs w:val="14"/>
        </w:rPr>
        <w:t xml:space="preserve">is </w:t>
      </w:r>
      <w:r w:rsidR="00725A2E">
        <w:rPr>
          <w:sz w:val="14"/>
          <w:szCs w:val="14"/>
        </w:rPr>
        <w:t xml:space="preserve">a </w:t>
      </w:r>
      <w:r w:rsidRPr="00F77A30">
        <w:rPr>
          <w:sz w:val="14"/>
          <w:szCs w:val="14"/>
        </w:rPr>
        <w:t>re-enrolment (</w:t>
      </w:r>
      <w:r>
        <w:rPr>
          <w:sz w:val="14"/>
          <w:szCs w:val="14"/>
        </w:rPr>
        <w:t xml:space="preserve">so </w:t>
      </w:r>
      <w:r w:rsidRPr="00F77A30">
        <w:rPr>
          <w:sz w:val="14"/>
          <w:szCs w:val="14"/>
        </w:rPr>
        <w:t>appears unenrolled).</w:t>
      </w:r>
    </w:p>
    <w:p w14:paraId="4E88FDF8" w14:textId="77777777" w:rsidR="00474E84" w:rsidRDefault="00474E84">
      <w:pPr>
        <w:spacing w:line="276" w:lineRule="auto"/>
        <w:rPr>
          <w:szCs w:val="22"/>
        </w:rPr>
      </w:pPr>
      <w:r>
        <w:rPr>
          <w:szCs w:val="22"/>
        </w:rPr>
        <w:br w:type="page"/>
      </w:r>
    </w:p>
    <w:p w14:paraId="7884014F" w14:textId="6BCC1553" w:rsidR="00A74F9E" w:rsidRDefault="008C4C0F" w:rsidP="00424A73">
      <w:pPr>
        <w:rPr>
          <w:b/>
          <w:sz w:val="16"/>
          <w:szCs w:val="16"/>
        </w:rPr>
      </w:pPr>
      <w:bookmarkStart w:id="120" w:name="_Ref89105020"/>
      <w:r w:rsidRPr="00424A73">
        <w:rPr>
          <w:b/>
          <w:sz w:val="16"/>
          <w:szCs w:val="16"/>
        </w:rPr>
        <w:lastRenderedPageBreak/>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D402F6">
        <w:rPr>
          <w:b/>
          <w:noProof/>
          <w:sz w:val="16"/>
          <w:szCs w:val="16"/>
        </w:rPr>
        <w:t>9</w:t>
      </w:r>
      <w:r w:rsidRPr="00424A73">
        <w:rPr>
          <w:b/>
          <w:sz w:val="16"/>
          <w:szCs w:val="16"/>
        </w:rPr>
        <w:fldChar w:fldCharType="end"/>
      </w:r>
      <w:bookmarkEnd w:id="119"/>
      <w:bookmarkEnd w:id="120"/>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0A0B31">
        <w:rPr>
          <w:b/>
          <w:sz w:val="16"/>
          <w:szCs w:val="16"/>
        </w:rPr>
        <w:t>by building</w:t>
      </w:r>
      <w:r w:rsidR="00D15B2D">
        <w:rPr>
          <w:b/>
          <w:sz w:val="16"/>
          <w:szCs w:val="16"/>
        </w:rPr>
        <w:t xml:space="preserve"> type </w:t>
      </w:r>
      <w:r w:rsidR="000A0B31">
        <w:rPr>
          <w:b/>
          <w:sz w:val="16"/>
          <w:szCs w:val="16"/>
        </w:rPr>
        <w:t>(</w:t>
      </w:r>
      <w:r w:rsidR="00C61E24">
        <w:rPr>
          <w:b/>
          <w:sz w:val="16"/>
          <w:szCs w:val="16"/>
        </w:rPr>
        <w:t xml:space="preserve">including </w:t>
      </w:r>
      <w:r w:rsidR="000A0B31">
        <w:rPr>
          <w:b/>
          <w:sz w:val="16"/>
          <w:szCs w:val="16"/>
        </w:rPr>
        <w:t xml:space="preserve">legacy) and </w:t>
      </w:r>
      <w:r w:rsidR="007B02F7">
        <w:rPr>
          <w:b/>
          <w:sz w:val="16"/>
          <w:szCs w:val="16"/>
        </w:rPr>
        <w:t>design category</w:t>
      </w:r>
      <w:r w:rsidR="00424A73" w:rsidRPr="00424A73">
        <w:rPr>
          <w:b/>
          <w:sz w:val="16"/>
          <w:szCs w:val="16"/>
        </w:rPr>
        <w:t xml:space="preserve"> </w:t>
      </w:r>
      <w:r w:rsidR="00725A2E">
        <w:rPr>
          <w:b/>
          <w:sz w:val="16"/>
          <w:szCs w:val="16"/>
        </w:rPr>
        <w:t xml:space="preserve">at the end of </w:t>
      </w:r>
      <w:r w:rsidR="00424A73" w:rsidRPr="00424A73">
        <w:rPr>
          <w:b/>
          <w:sz w:val="16"/>
          <w:szCs w:val="16"/>
        </w:rPr>
        <w:t>Q</w:t>
      </w:r>
      <w:r w:rsidR="00A74F9E">
        <w:rPr>
          <w:b/>
          <w:sz w:val="16"/>
          <w:szCs w:val="16"/>
        </w:rPr>
        <w:t>1</w:t>
      </w:r>
      <w:r w:rsidR="00424A73" w:rsidRPr="00424A73">
        <w:rPr>
          <w:b/>
          <w:sz w:val="16"/>
          <w:szCs w:val="16"/>
        </w:rPr>
        <w:t xml:space="preserve"> FY2</w:t>
      </w:r>
      <w:r w:rsidR="00A74F9E">
        <w:rPr>
          <w:b/>
          <w:sz w:val="16"/>
          <w:szCs w:val="16"/>
        </w:rPr>
        <w:t>1</w:t>
      </w:r>
      <w:r w:rsidR="00424A73" w:rsidRPr="00424A73">
        <w:rPr>
          <w:b/>
          <w:sz w:val="16"/>
          <w:szCs w:val="16"/>
        </w:rPr>
        <w:t>-2</w:t>
      </w:r>
      <w:r w:rsidR="00A74F9E">
        <w:rPr>
          <w:b/>
          <w:sz w:val="16"/>
          <w:szCs w:val="16"/>
        </w:rPr>
        <w:t>2</w:t>
      </w:r>
    </w:p>
    <w:p w14:paraId="7B333B51" w14:textId="77777777" w:rsidR="00C61E24" w:rsidRDefault="00D15B2D" w:rsidP="00424A73">
      <w:pPr>
        <w:rPr>
          <w:b/>
          <w:sz w:val="16"/>
          <w:szCs w:val="16"/>
        </w:rPr>
      </w:pPr>
      <w:r w:rsidRPr="00D15B2D">
        <w:rPr>
          <w:noProof/>
          <w:lang w:eastAsia="en-AU"/>
        </w:rPr>
        <w:drawing>
          <wp:inline distT="0" distB="0" distL="0" distR="0" wp14:anchorId="54B8717C" wp14:editId="05CB1155">
            <wp:extent cx="5755963" cy="2879509"/>
            <wp:effectExtent l="0" t="0" r="0" b="0"/>
            <wp:docPr id="39" name="Picture 39" descr="This column chart displays unfinished/unenrolled SDA dwellings for design categories across type of buildings (apartment, villa/duplex/townhouse, house, group home and legacy stock) at the end of Q1 FY21-22. Detailed numbers can be found in the following table.&#10;&#10;Besides legacy, the highest number of dwellings across types of buildings are for participants with high physical support needs. The second largest design category across types of buildings, besides for group homes, is for participants with improved liveability needs.&#10;&#10;41% of total unfinished/unenrolled dwellings are for high physical support apartments (719 out of 1,744 dwellings). The next largest proportion is for high physical support group homes at 14%." title="Figure 9: Number of pipeline SDA dwellings by building type (including legacy) and design category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1499" cy="2882278"/>
                    </a:xfrm>
                    <a:prstGeom prst="rect">
                      <a:avLst/>
                    </a:prstGeom>
                    <a:noFill/>
                    <a:ln>
                      <a:noFill/>
                    </a:ln>
                  </pic:spPr>
                </pic:pic>
              </a:graphicData>
            </a:graphic>
          </wp:inline>
        </w:drawing>
      </w:r>
      <w:bookmarkStart w:id="121" w:name="_Ref88580273"/>
    </w:p>
    <w:p w14:paraId="777789EF" w14:textId="2B7E89F0" w:rsidR="008C4C0F" w:rsidRPr="00424A73" w:rsidRDefault="008C4C0F" w:rsidP="00424A73">
      <w:pPr>
        <w:rPr>
          <w:b/>
          <w:sz w:val="16"/>
          <w:szCs w:val="16"/>
        </w:rPr>
      </w:pPr>
      <w:r w:rsidRPr="00424A73">
        <w:rPr>
          <w:b/>
          <w:sz w:val="16"/>
          <w:szCs w:val="16"/>
        </w:rPr>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D402F6">
        <w:rPr>
          <w:b/>
          <w:noProof/>
          <w:sz w:val="16"/>
          <w:szCs w:val="16"/>
        </w:rPr>
        <w:t>7</w:t>
      </w:r>
      <w:r w:rsidRPr="00424A73">
        <w:rPr>
          <w:b/>
          <w:sz w:val="16"/>
          <w:szCs w:val="16"/>
        </w:rPr>
        <w:fldChar w:fldCharType="end"/>
      </w:r>
      <w:bookmarkEnd w:id="121"/>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D15B2D">
        <w:rPr>
          <w:b/>
          <w:sz w:val="16"/>
          <w:szCs w:val="16"/>
        </w:rPr>
        <w:t xml:space="preserve">across </w:t>
      </w:r>
      <w:r w:rsidR="00C61E24">
        <w:rPr>
          <w:b/>
          <w:sz w:val="16"/>
          <w:szCs w:val="16"/>
        </w:rPr>
        <w:t xml:space="preserve">building </w:t>
      </w:r>
      <w:r w:rsidR="00D15B2D">
        <w:rPr>
          <w:b/>
          <w:sz w:val="16"/>
          <w:szCs w:val="16"/>
        </w:rPr>
        <w:t xml:space="preserve">type and </w:t>
      </w:r>
      <w:r w:rsidR="00725A2E">
        <w:rPr>
          <w:b/>
          <w:sz w:val="16"/>
          <w:szCs w:val="16"/>
        </w:rPr>
        <w:t>design category</w:t>
      </w:r>
      <w:r w:rsidR="00424A73">
        <w:rPr>
          <w:b/>
          <w:sz w:val="16"/>
          <w:szCs w:val="16"/>
        </w:rPr>
        <w:t xml:space="preserve"> </w:t>
      </w:r>
      <w:r w:rsidR="00725A2E">
        <w:rPr>
          <w:b/>
          <w:sz w:val="16"/>
          <w:szCs w:val="16"/>
        </w:rPr>
        <w:t xml:space="preserve">at the end of </w:t>
      </w:r>
      <w:r w:rsidR="00424A73" w:rsidRPr="00424A73">
        <w:rPr>
          <w:b/>
          <w:sz w:val="16"/>
          <w:szCs w:val="16"/>
        </w:rPr>
        <w:t>Q</w:t>
      </w:r>
      <w:r w:rsidR="00D15B2D">
        <w:rPr>
          <w:b/>
          <w:sz w:val="16"/>
          <w:szCs w:val="16"/>
        </w:rPr>
        <w:t>1</w:t>
      </w:r>
      <w:r w:rsidR="00424A73" w:rsidRPr="00424A73">
        <w:rPr>
          <w:b/>
          <w:sz w:val="16"/>
          <w:szCs w:val="16"/>
        </w:rPr>
        <w:t xml:space="preserve"> FY2</w:t>
      </w:r>
      <w:r w:rsidR="00D15B2D">
        <w:rPr>
          <w:b/>
          <w:sz w:val="16"/>
          <w:szCs w:val="16"/>
        </w:rPr>
        <w:t>1</w:t>
      </w:r>
      <w:r w:rsidR="00424A73" w:rsidRPr="00424A73">
        <w:rPr>
          <w:b/>
          <w:sz w:val="16"/>
          <w:szCs w:val="16"/>
        </w:rPr>
        <w:t>-2</w:t>
      </w:r>
      <w:r w:rsidR="00D15B2D">
        <w:rPr>
          <w:b/>
          <w:sz w:val="16"/>
          <w:szCs w:val="16"/>
        </w:rPr>
        <w:t>2</w:t>
      </w:r>
    </w:p>
    <w:tbl>
      <w:tblPr>
        <w:tblStyle w:val="LightShading-Accent4"/>
        <w:tblW w:w="9072" w:type="dxa"/>
        <w:tblLayout w:type="fixed"/>
        <w:tblLook w:val="04A0" w:firstRow="1" w:lastRow="0" w:firstColumn="1" w:lastColumn="0" w:noHBand="0" w:noVBand="1"/>
        <w:tblCaption w:val="Table 7: Number of pipeline SDA dwellings across building type and design category at the end of Q1 FY21-22"/>
        <w:tblDescription w:val="This table includes the unfinished/unenrolled SDA dwelling numbers behind the previous graph, displaying the number of unfinished/unenrolled SDA dwellings across design categories for type of buildings (apartment, villa/duplex/townhouse, house, group home and legacy stock) at the end of Q1 FY21-22."/>
      </w:tblPr>
      <w:tblGrid>
        <w:gridCol w:w="2127"/>
        <w:gridCol w:w="1134"/>
        <w:gridCol w:w="1275"/>
        <w:gridCol w:w="993"/>
        <w:gridCol w:w="1134"/>
        <w:gridCol w:w="1417"/>
        <w:gridCol w:w="992"/>
      </w:tblGrid>
      <w:tr w:rsidR="00F84AC9" w:rsidRPr="00D6509C" w14:paraId="27CF890A" w14:textId="77777777" w:rsidTr="008E1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14:paraId="3FF38B3D" w14:textId="77777777" w:rsidR="00F84AC9" w:rsidRPr="008E1C0A" w:rsidRDefault="008C30FD" w:rsidP="008C30FD">
            <w:pPr>
              <w:rPr>
                <w:rFonts w:asciiTheme="majorHAnsi" w:hAnsiTheme="majorHAnsi" w:cstheme="majorHAnsi"/>
                <w:color w:val="FFFFFF"/>
                <w:sz w:val="14"/>
                <w:szCs w:val="14"/>
              </w:rPr>
            </w:pPr>
            <w:r>
              <w:rPr>
                <w:rFonts w:asciiTheme="majorHAnsi" w:hAnsiTheme="majorHAnsi" w:cstheme="majorHAnsi"/>
                <w:color w:val="FFFFFF"/>
                <w:sz w:val="14"/>
                <w:szCs w:val="14"/>
              </w:rPr>
              <w:t>Design category / Building type</w:t>
            </w:r>
          </w:p>
        </w:tc>
        <w:tc>
          <w:tcPr>
            <w:tcW w:w="1134" w:type="dxa"/>
          </w:tcPr>
          <w:p w14:paraId="7D316EE9" w14:textId="77777777" w:rsidR="00F84AC9" w:rsidRPr="008E1C0A" w:rsidRDefault="00F84AC9"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8E1C0A">
              <w:rPr>
                <w:rFonts w:asciiTheme="majorHAnsi" w:hAnsiTheme="majorHAnsi" w:cstheme="majorHAnsi"/>
                <w:color w:val="FFFFFF"/>
                <w:sz w:val="14"/>
                <w:szCs w:val="14"/>
              </w:rPr>
              <w:t>Improved Liveability</w:t>
            </w:r>
          </w:p>
        </w:tc>
        <w:tc>
          <w:tcPr>
            <w:tcW w:w="1275" w:type="dxa"/>
          </w:tcPr>
          <w:p w14:paraId="6C78D2FC" w14:textId="77777777" w:rsidR="00F84AC9" w:rsidRPr="008E1C0A" w:rsidRDefault="00F84AC9"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8E1C0A">
              <w:rPr>
                <w:rFonts w:asciiTheme="majorHAnsi" w:hAnsiTheme="majorHAnsi" w:cstheme="majorHAnsi"/>
                <w:color w:val="FFFFFF"/>
                <w:sz w:val="14"/>
                <w:szCs w:val="14"/>
              </w:rPr>
              <w:t>Fully Accessible</w:t>
            </w:r>
          </w:p>
        </w:tc>
        <w:tc>
          <w:tcPr>
            <w:tcW w:w="993" w:type="dxa"/>
          </w:tcPr>
          <w:p w14:paraId="7242EE94" w14:textId="77777777" w:rsidR="00F84AC9" w:rsidRPr="008E1C0A" w:rsidRDefault="00F84AC9"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8E1C0A">
              <w:rPr>
                <w:rFonts w:asciiTheme="majorHAnsi" w:hAnsiTheme="majorHAnsi" w:cstheme="majorHAnsi"/>
                <w:color w:val="FFFFFF"/>
                <w:sz w:val="14"/>
                <w:szCs w:val="14"/>
              </w:rPr>
              <w:t>Robust</w:t>
            </w:r>
          </w:p>
        </w:tc>
        <w:tc>
          <w:tcPr>
            <w:tcW w:w="1134" w:type="dxa"/>
          </w:tcPr>
          <w:p w14:paraId="0CC7864D" w14:textId="77777777" w:rsidR="00F84AC9" w:rsidRPr="008E1C0A" w:rsidRDefault="00F84AC9"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8E1C0A">
              <w:rPr>
                <w:rFonts w:asciiTheme="majorHAnsi" w:hAnsiTheme="majorHAnsi" w:cstheme="majorHAnsi"/>
                <w:color w:val="FFFFFF"/>
                <w:sz w:val="14"/>
                <w:szCs w:val="14"/>
              </w:rPr>
              <w:t>High Physical Support</w:t>
            </w:r>
          </w:p>
        </w:tc>
        <w:tc>
          <w:tcPr>
            <w:tcW w:w="1417" w:type="dxa"/>
          </w:tcPr>
          <w:p w14:paraId="5D77E60D" w14:textId="77777777" w:rsidR="00F84AC9" w:rsidRPr="008E1C0A" w:rsidRDefault="00F84AC9"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Pr>
                <w:rFonts w:asciiTheme="majorHAnsi" w:hAnsiTheme="majorHAnsi" w:cstheme="majorHAnsi"/>
                <w:color w:val="FFFFFF"/>
                <w:sz w:val="14"/>
                <w:szCs w:val="14"/>
              </w:rPr>
              <w:t>Combination of two design categories</w:t>
            </w:r>
            <w:r w:rsidR="00725A2E">
              <w:rPr>
                <w:rFonts w:asciiTheme="majorHAnsi" w:hAnsiTheme="majorHAnsi" w:cstheme="majorHAnsi"/>
                <w:color w:val="FFFFFF"/>
                <w:sz w:val="14"/>
                <w:szCs w:val="14"/>
              </w:rPr>
              <w:t>*</w:t>
            </w:r>
            <w:r>
              <w:rPr>
                <w:rFonts w:asciiTheme="majorHAnsi" w:hAnsiTheme="majorHAnsi" w:cstheme="majorHAnsi"/>
                <w:color w:val="FFFFFF"/>
                <w:sz w:val="14"/>
                <w:szCs w:val="14"/>
              </w:rPr>
              <w:t xml:space="preserve"> </w:t>
            </w:r>
          </w:p>
        </w:tc>
        <w:tc>
          <w:tcPr>
            <w:tcW w:w="992" w:type="dxa"/>
          </w:tcPr>
          <w:p w14:paraId="5BC175C2" w14:textId="77777777" w:rsidR="00F84AC9" w:rsidRPr="008E1C0A" w:rsidRDefault="00F84AC9"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8E1C0A">
              <w:rPr>
                <w:rFonts w:asciiTheme="majorHAnsi" w:hAnsiTheme="majorHAnsi" w:cstheme="majorHAnsi"/>
                <w:color w:val="FFFFFF"/>
                <w:sz w:val="14"/>
                <w:szCs w:val="14"/>
              </w:rPr>
              <w:t>Total</w:t>
            </w:r>
          </w:p>
        </w:tc>
      </w:tr>
      <w:tr w:rsidR="00F84AC9" w:rsidRPr="00D6509C" w14:paraId="0227FD91"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FC91E3F" w14:textId="77777777" w:rsidR="00F84AC9" w:rsidRPr="008E1C0A" w:rsidRDefault="00F84AC9" w:rsidP="00F84AC9">
            <w:pPr>
              <w:rPr>
                <w:rFonts w:asciiTheme="majorHAnsi" w:hAnsiTheme="majorHAnsi" w:cstheme="majorHAnsi"/>
                <w:sz w:val="14"/>
                <w:szCs w:val="14"/>
              </w:rPr>
            </w:pPr>
            <w:r w:rsidRPr="008E1C0A">
              <w:rPr>
                <w:rFonts w:asciiTheme="majorHAnsi" w:hAnsiTheme="majorHAnsi" w:cstheme="majorHAnsi"/>
                <w:sz w:val="14"/>
                <w:szCs w:val="14"/>
              </w:rPr>
              <w:t>Apartment</w:t>
            </w:r>
          </w:p>
        </w:tc>
        <w:tc>
          <w:tcPr>
            <w:tcW w:w="1134" w:type="dxa"/>
          </w:tcPr>
          <w:p w14:paraId="419A3A04"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89</w:t>
            </w:r>
          </w:p>
        </w:tc>
        <w:tc>
          <w:tcPr>
            <w:tcW w:w="1275" w:type="dxa"/>
          </w:tcPr>
          <w:p w14:paraId="54B09134"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42</w:t>
            </w:r>
          </w:p>
        </w:tc>
        <w:tc>
          <w:tcPr>
            <w:tcW w:w="993" w:type="dxa"/>
          </w:tcPr>
          <w:p w14:paraId="14BF6B5C"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w:t>
            </w:r>
          </w:p>
        </w:tc>
        <w:tc>
          <w:tcPr>
            <w:tcW w:w="1134" w:type="dxa"/>
          </w:tcPr>
          <w:p w14:paraId="0E865861"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719</w:t>
            </w:r>
          </w:p>
        </w:tc>
        <w:tc>
          <w:tcPr>
            <w:tcW w:w="1417" w:type="dxa"/>
          </w:tcPr>
          <w:p w14:paraId="52F93E4E"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0</w:t>
            </w:r>
          </w:p>
        </w:tc>
        <w:tc>
          <w:tcPr>
            <w:tcW w:w="992" w:type="dxa"/>
          </w:tcPr>
          <w:p w14:paraId="3ED81199" w14:textId="77777777" w:rsidR="00F84AC9" w:rsidRPr="00D15B2D"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852</w:t>
            </w:r>
          </w:p>
        </w:tc>
      </w:tr>
      <w:tr w:rsidR="00F84AC9" w:rsidRPr="00D6509C" w14:paraId="7BDA6774"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3375521" w14:textId="77777777" w:rsidR="00F84AC9" w:rsidRPr="008E1C0A" w:rsidRDefault="00F84AC9" w:rsidP="00F84AC9">
            <w:pPr>
              <w:rPr>
                <w:rFonts w:asciiTheme="majorHAnsi" w:hAnsiTheme="majorHAnsi" w:cstheme="majorHAnsi"/>
                <w:sz w:val="14"/>
                <w:szCs w:val="14"/>
              </w:rPr>
            </w:pPr>
            <w:r w:rsidRPr="008E1C0A">
              <w:rPr>
                <w:rFonts w:asciiTheme="majorHAnsi" w:hAnsiTheme="majorHAnsi" w:cstheme="majorHAnsi"/>
                <w:sz w:val="14"/>
                <w:szCs w:val="14"/>
              </w:rPr>
              <w:t>Villa/Duplex/Townhouse</w:t>
            </w:r>
          </w:p>
        </w:tc>
        <w:tc>
          <w:tcPr>
            <w:tcW w:w="1134" w:type="dxa"/>
          </w:tcPr>
          <w:p w14:paraId="0CC9A856"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80</w:t>
            </w:r>
          </w:p>
        </w:tc>
        <w:tc>
          <w:tcPr>
            <w:tcW w:w="1275" w:type="dxa"/>
          </w:tcPr>
          <w:p w14:paraId="2F4BB174"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58</w:t>
            </w:r>
          </w:p>
        </w:tc>
        <w:tc>
          <w:tcPr>
            <w:tcW w:w="993" w:type="dxa"/>
          </w:tcPr>
          <w:p w14:paraId="05E36A30"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136</w:t>
            </w:r>
          </w:p>
        </w:tc>
        <w:tc>
          <w:tcPr>
            <w:tcW w:w="1134" w:type="dxa"/>
          </w:tcPr>
          <w:p w14:paraId="006D6C03"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164</w:t>
            </w:r>
          </w:p>
        </w:tc>
        <w:tc>
          <w:tcPr>
            <w:tcW w:w="1417" w:type="dxa"/>
          </w:tcPr>
          <w:p w14:paraId="00D567E4"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B4DDF">
              <w:rPr>
                <w:rFonts w:asciiTheme="majorHAnsi" w:hAnsiTheme="majorHAnsi" w:cstheme="majorHAnsi"/>
                <w:color w:val="000000"/>
                <w:sz w:val="16"/>
                <w:szCs w:val="16"/>
              </w:rPr>
              <w:t>4</w:t>
            </w:r>
          </w:p>
        </w:tc>
        <w:tc>
          <w:tcPr>
            <w:tcW w:w="992" w:type="dxa"/>
          </w:tcPr>
          <w:p w14:paraId="15FF3D2B"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442</w:t>
            </w:r>
          </w:p>
        </w:tc>
      </w:tr>
      <w:tr w:rsidR="00F84AC9" w:rsidRPr="00D6509C" w14:paraId="227FD566"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4BFD3FA" w14:textId="77777777" w:rsidR="00F84AC9" w:rsidRPr="008E1C0A" w:rsidRDefault="00F84AC9" w:rsidP="00F84AC9">
            <w:pPr>
              <w:rPr>
                <w:rFonts w:asciiTheme="majorHAnsi" w:hAnsiTheme="majorHAnsi" w:cstheme="majorHAnsi"/>
                <w:sz w:val="14"/>
                <w:szCs w:val="14"/>
              </w:rPr>
            </w:pPr>
            <w:r w:rsidRPr="008E1C0A">
              <w:rPr>
                <w:rFonts w:asciiTheme="majorHAnsi" w:hAnsiTheme="majorHAnsi" w:cstheme="majorHAnsi"/>
                <w:sz w:val="14"/>
                <w:szCs w:val="14"/>
              </w:rPr>
              <w:t>House</w:t>
            </w:r>
          </w:p>
        </w:tc>
        <w:tc>
          <w:tcPr>
            <w:tcW w:w="1134" w:type="dxa"/>
          </w:tcPr>
          <w:p w14:paraId="4E33DF3B"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60</w:t>
            </w:r>
          </w:p>
        </w:tc>
        <w:tc>
          <w:tcPr>
            <w:tcW w:w="1275" w:type="dxa"/>
          </w:tcPr>
          <w:p w14:paraId="3707CA3A"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36</w:t>
            </w:r>
          </w:p>
        </w:tc>
        <w:tc>
          <w:tcPr>
            <w:tcW w:w="993" w:type="dxa"/>
          </w:tcPr>
          <w:p w14:paraId="40E5ED36"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32</w:t>
            </w:r>
          </w:p>
        </w:tc>
        <w:tc>
          <w:tcPr>
            <w:tcW w:w="1134" w:type="dxa"/>
          </w:tcPr>
          <w:p w14:paraId="4FC9F7CC"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245</w:t>
            </w:r>
          </w:p>
        </w:tc>
        <w:tc>
          <w:tcPr>
            <w:tcW w:w="1417" w:type="dxa"/>
          </w:tcPr>
          <w:p w14:paraId="12343C62"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B4DDF">
              <w:rPr>
                <w:rFonts w:asciiTheme="majorHAnsi" w:hAnsiTheme="majorHAnsi" w:cstheme="majorHAnsi"/>
                <w:color w:val="000000"/>
                <w:sz w:val="16"/>
                <w:szCs w:val="16"/>
              </w:rPr>
              <w:t>4</w:t>
            </w:r>
          </w:p>
        </w:tc>
        <w:tc>
          <w:tcPr>
            <w:tcW w:w="992" w:type="dxa"/>
          </w:tcPr>
          <w:p w14:paraId="78FD24F5" w14:textId="77777777" w:rsidR="00F84AC9" w:rsidRPr="00D15B2D"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377</w:t>
            </w:r>
          </w:p>
        </w:tc>
      </w:tr>
      <w:tr w:rsidR="00F84AC9" w:rsidRPr="00D6509C" w14:paraId="19A6F9AE"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D2A706A" w14:textId="77777777" w:rsidR="00F84AC9" w:rsidRPr="008E1C0A" w:rsidRDefault="00F84AC9" w:rsidP="00F84AC9">
            <w:pPr>
              <w:rPr>
                <w:rFonts w:asciiTheme="majorHAnsi" w:hAnsiTheme="majorHAnsi" w:cstheme="majorHAnsi"/>
                <w:sz w:val="14"/>
                <w:szCs w:val="14"/>
              </w:rPr>
            </w:pPr>
            <w:r w:rsidRPr="008E1C0A">
              <w:rPr>
                <w:rFonts w:asciiTheme="majorHAnsi" w:hAnsiTheme="majorHAnsi" w:cstheme="majorHAnsi"/>
                <w:sz w:val="14"/>
                <w:szCs w:val="14"/>
              </w:rPr>
              <w:t>Group Home</w:t>
            </w:r>
          </w:p>
        </w:tc>
        <w:tc>
          <w:tcPr>
            <w:tcW w:w="1134" w:type="dxa"/>
          </w:tcPr>
          <w:p w14:paraId="00275B7E"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4</w:t>
            </w:r>
          </w:p>
        </w:tc>
        <w:tc>
          <w:tcPr>
            <w:tcW w:w="1275" w:type="dxa"/>
          </w:tcPr>
          <w:p w14:paraId="00EDA11B"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20</w:t>
            </w:r>
          </w:p>
        </w:tc>
        <w:tc>
          <w:tcPr>
            <w:tcW w:w="993" w:type="dxa"/>
          </w:tcPr>
          <w:p w14:paraId="374A425B"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6</w:t>
            </w:r>
          </w:p>
        </w:tc>
        <w:tc>
          <w:tcPr>
            <w:tcW w:w="1134" w:type="dxa"/>
          </w:tcPr>
          <w:p w14:paraId="36E07217"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37</w:t>
            </w:r>
          </w:p>
        </w:tc>
        <w:tc>
          <w:tcPr>
            <w:tcW w:w="1417" w:type="dxa"/>
          </w:tcPr>
          <w:p w14:paraId="5B85B106" w14:textId="77777777" w:rsidR="00F84AC9" w:rsidRPr="008E1C0A"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B4DDF">
              <w:rPr>
                <w:rFonts w:asciiTheme="majorHAnsi" w:hAnsiTheme="majorHAnsi" w:cstheme="majorHAnsi"/>
                <w:color w:val="000000"/>
                <w:sz w:val="16"/>
                <w:szCs w:val="16"/>
              </w:rPr>
              <w:t>5</w:t>
            </w:r>
          </w:p>
        </w:tc>
        <w:tc>
          <w:tcPr>
            <w:tcW w:w="992" w:type="dxa"/>
          </w:tcPr>
          <w:p w14:paraId="32E516C3"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72</w:t>
            </w:r>
          </w:p>
        </w:tc>
      </w:tr>
      <w:tr w:rsidR="00F84AC9" w:rsidRPr="00D6509C" w14:paraId="2D4B3DAA"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5C53C96" w14:textId="77777777" w:rsidR="00F84AC9" w:rsidRPr="004B4DDF" w:rsidRDefault="00F84AC9" w:rsidP="00F84AC9">
            <w:pPr>
              <w:rPr>
                <w:rFonts w:asciiTheme="majorHAnsi" w:hAnsiTheme="majorHAnsi" w:cstheme="majorHAnsi"/>
                <w:sz w:val="14"/>
                <w:szCs w:val="14"/>
              </w:rPr>
            </w:pPr>
            <w:r>
              <w:rPr>
                <w:rFonts w:asciiTheme="majorHAnsi" w:hAnsiTheme="majorHAnsi" w:cstheme="majorHAnsi"/>
                <w:sz w:val="14"/>
                <w:szCs w:val="14"/>
              </w:rPr>
              <w:t>Legacy stock</w:t>
            </w:r>
          </w:p>
        </w:tc>
        <w:tc>
          <w:tcPr>
            <w:tcW w:w="1134" w:type="dxa"/>
          </w:tcPr>
          <w:p w14:paraId="6AB21F0E" w14:textId="77777777" w:rsidR="00F84AC9" w:rsidRPr="004B4DDF" w:rsidRDefault="00F84AC9" w:rsidP="004B4DDF">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8E1C0A">
              <w:rPr>
                <w:rFonts w:asciiTheme="majorHAnsi" w:hAnsiTheme="majorHAnsi" w:cstheme="majorHAnsi"/>
                <w:color w:val="000000"/>
                <w:sz w:val="16"/>
                <w:szCs w:val="16"/>
              </w:rPr>
              <w:t>0</w:t>
            </w:r>
          </w:p>
        </w:tc>
        <w:tc>
          <w:tcPr>
            <w:tcW w:w="1275" w:type="dxa"/>
          </w:tcPr>
          <w:p w14:paraId="4E5E50C0" w14:textId="77777777" w:rsidR="00F84AC9" w:rsidRPr="004B4DDF"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8E1C0A">
              <w:rPr>
                <w:rFonts w:asciiTheme="majorHAnsi" w:hAnsiTheme="majorHAnsi" w:cstheme="majorHAnsi"/>
                <w:color w:val="000000"/>
                <w:sz w:val="16"/>
                <w:szCs w:val="16"/>
              </w:rPr>
              <w:t>1</w:t>
            </w:r>
          </w:p>
        </w:tc>
        <w:tc>
          <w:tcPr>
            <w:tcW w:w="993" w:type="dxa"/>
          </w:tcPr>
          <w:p w14:paraId="134CA879" w14:textId="77777777" w:rsidR="00F84AC9" w:rsidRPr="004B4DDF"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8E1C0A">
              <w:rPr>
                <w:rFonts w:asciiTheme="majorHAnsi" w:hAnsiTheme="majorHAnsi" w:cstheme="majorHAnsi"/>
                <w:color w:val="000000"/>
                <w:sz w:val="16"/>
                <w:szCs w:val="16"/>
              </w:rPr>
              <w:t>0</w:t>
            </w:r>
          </w:p>
        </w:tc>
        <w:tc>
          <w:tcPr>
            <w:tcW w:w="1134" w:type="dxa"/>
          </w:tcPr>
          <w:p w14:paraId="7EE7F1CF" w14:textId="77777777" w:rsidR="00F84AC9" w:rsidRPr="004B4DDF"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8E1C0A">
              <w:rPr>
                <w:rFonts w:asciiTheme="majorHAnsi" w:hAnsiTheme="majorHAnsi" w:cstheme="majorHAnsi"/>
                <w:color w:val="000000"/>
                <w:sz w:val="16"/>
                <w:szCs w:val="16"/>
              </w:rPr>
              <w:t>0</w:t>
            </w:r>
          </w:p>
        </w:tc>
        <w:tc>
          <w:tcPr>
            <w:tcW w:w="1417" w:type="dxa"/>
          </w:tcPr>
          <w:p w14:paraId="233499D2" w14:textId="77777777" w:rsidR="00F84AC9" w:rsidRPr="008E1C0A"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8E1C0A">
              <w:rPr>
                <w:rFonts w:asciiTheme="majorHAnsi" w:hAnsiTheme="majorHAnsi" w:cstheme="majorHAnsi"/>
                <w:color w:val="000000"/>
                <w:sz w:val="16"/>
                <w:szCs w:val="16"/>
              </w:rPr>
              <w:t>0</w:t>
            </w:r>
          </w:p>
        </w:tc>
        <w:tc>
          <w:tcPr>
            <w:tcW w:w="992" w:type="dxa"/>
          </w:tcPr>
          <w:p w14:paraId="33FDDE70" w14:textId="77777777" w:rsidR="00F84AC9" w:rsidRPr="00D15B2D" w:rsidRDefault="00F84AC9"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D15B2D">
              <w:rPr>
                <w:rFonts w:asciiTheme="majorHAnsi" w:hAnsiTheme="majorHAnsi" w:cstheme="majorHAnsi"/>
                <w:b/>
                <w:color w:val="000000"/>
                <w:sz w:val="16"/>
                <w:szCs w:val="16"/>
              </w:rPr>
              <w:t>1</w:t>
            </w:r>
          </w:p>
        </w:tc>
      </w:tr>
      <w:tr w:rsidR="00F84AC9" w:rsidRPr="00D6509C" w14:paraId="32E620A5"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A896778" w14:textId="77777777" w:rsidR="00F84AC9" w:rsidRPr="008E1C0A" w:rsidRDefault="00F84AC9" w:rsidP="00F84AC9">
            <w:pPr>
              <w:rPr>
                <w:rFonts w:asciiTheme="majorHAnsi" w:hAnsiTheme="majorHAnsi" w:cstheme="majorHAnsi"/>
                <w:sz w:val="14"/>
                <w:szCs w:val="14"/>
              </w:rPr>
            </w:pPr>
            <w:r w:rsidRPr="008E1C0A">
              <w:rPr>
                <w:rFonts w:asciiTheme="majorHAnsi" w:hAnsiTheme="majorHAnsi" w:cstheme="majorHAnsi"/>
                <w:sz w:val="14"/>
                <w:szCs w:val="14"/>
              </w:rPr>
              <w:t>Total design categories</w:t>
            </w:r>
          </w:p>
        </w:tc>
        <w:tc>
          <w:tcPr>
            <w:tcW w:w="1134" w:type="dxa"/>
          </w:tcPr>
          <w:p w14:paraId="44532FB9"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233</w:t>
            </w:r>
          </w:p>
        </w:tc>
        <w:tc>
          <w:tcPr>
            <w:tcW w:w="1275" w:type="dxa"/>
          </w:tcPr>
          <w:p w14:paraId="465AB0D6"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157</w:t>
            </w:r>
          </w:p>
        </w:tc>
        <w:tc>
          <w:tcPr>
            <w:tcW w:w="993" w:type="dxa"/>
          </w:tcPr>
          <w:p w14:paraId="203ED969"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176</w:t>
            </w:r>
          </w:p>
        </w:tc>
        <w:tc>
          <w:tcPr>
            <w:tcW w:w="1134" w:type="dxa"/>
          </w:tcPr>
          <w:p w14:paraId="2627588E"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1,165</w:t>
            </w:r>
          </w:p>
        </w:tc>
        <w:tc>
          <w:tcPr>
            <w:tcW w:w="1417" w:type="dxa"/>
          </w:tcPr>
          <w:p w14:paraId="4E7CF708"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13</w:t>
            </w:r>
          </w:p>
        </w:tc>
        <w:tc>
          <w:tcPr>
            <w:tcW w:w="992" w:type="dxa"/>
          </w:tcPr>
          <w:p w14:paraId="2B1DD7A2" w14:textId="77777777" w:rsidR="00F84AC9" w:rsidRPr="00D15B2D" w:rsidRDefault="00F84AC9"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D15B2D">
              <w:rPr>
                <w:rFonts w:asciiTheme="majorHAnsi" w:hAnsiTheme="majorHAnsi" w:cstheme="majorHAnsi"/>
                <w:b/>
                <w:color w:val="000000"/>
                <w:sz w:val="16"/>
                <w:szCs w:val="16"/>
              </w:rPr>
              <w:t>1,744</w:t>
            </w:r>
          </w:p>
        </w:tc>
      </w:tr>
    </w:tbl>
    <w:p w14:paraId="417F15A9" w14:textId="77777777" w:rsidR="002647C9" w:rsidRPr="00725A2E" w:rsidRDefault="00F84AC9" w:rsidP="00667977">
      <w:pPr>
        <w:rPr>
          <w:sz w:val="14"/>
          <w:szCs w:val="14"/>
        </w:rPr>
      </w:pPr>
      <w:r w:rsidRPr="00725A2E">
        <w:rPr>
          <w:sz w:val="14"/>
          <w:szCs w:val="14"/>
        </w:rPr>
        <w:t>*The five combi</w:t>
      </w:r>
      <w:r w:rsidR="00725A2E">
        <w:rPr>
          <w:sz w:val="14"/>
          <w:szCs w:val="14"/>
        </w:rPr>
        <w:t>nations of design categories were</w:t>
      </w:r>
      <w:r w:rsidRPr="00725A2E">
        <w:rPr>
          <w:sz w:val="14"/>
          <w:szCs w:val="14"/>
        </w:rPr>
        <w:t xml:space="preserve">: improved liveability and fully accessible; robust and improved liveability; improved liveability and high physical support, high physical support and fully accessible; and robust and high physical support. </w:t>
      </w:r>
    </w:p>
    <w:p w14:paraId="436EC551" w14:textId="77777777" w:rsidR="00855520" w:rsidRPr="001F2C5F" w:rsidRDefault="00855520" w:rsidP="00855520">
      <w:pPr>
        <w:rPr>
          <w:b/>
        </w:rPr>
      </w:pPr>
      <w:r w:rsidRPr="001F2C5F">
        <w:rPr>
          <w:b/>
        </w:rPr>
        <w:t>NDIA observations</w:t>
      </w:r>
    </w:p>
    <w:p w14:paraId="0B9494DD" w14:textId="77777777" w:rsidR="00674AC4" w:rsidRDefault="00D84551" w:rsidP="00855520">
      <w:r>
        <w:t>A</w:t>
      </w:r>
      <w:r w:rsidR="0026771F">
        <w:t xml:space="preserve">partments are </w:t>
      </w:r>
      <w:r>
        <w:t xml:space="preserve">generally </w:t>
      </w:r>
      <w:r w:rsidR="0026771F">
        <w:t xml:space="preserve">the most common unfinished/unenrolled SDA dwellings. </w:t>
      </w:r>
      <w:r w:rsidR="000A0B31">
        <w:t>H</w:t>
      </w:r>
      <w:r w:rsidR="00674AC4">
        <w:t xml:space="preserve">igh physical </w:t>
      </w:r>
      <w:r w:rsidR="000A0B31">
        <w:t xml:space="preserve">support </w:t>
      </w:r>
      <w:r w:rsidR="00674AC4">
        <w:t xml:space="preserve">apartments </w:t>
      </w:r>
      <w:r w:rsidR="000A0B31">
        <w:t>comprise</w:t>
      </w:r>
      <w:r w:rsidR="00C61E24">
        <w:t xml:space="preserve"> </w:t>
      </w:r>
      <w:r w:rsidR="00674AC4">
        <w:t xml:space="preserve">the largest number of </w:t>
      </w:r>
      <w:r w:rsidR="00687A81">
        <w:t>unfinished/unenrolled dwellings</w:t>
      </w:r>
      <w:r w:rsidR="00674AC4">
        <w:t xml:space="preserve">. </w:t>
      </w:r>
    </w:p>
    <w:p w14:paraId="5E1F8CFE" w14:textId="77777777" w:rsidR="00674AC4" w:rsidRDefault="000A0B31" w:rsidP="00855520">
      <w:r>
        <w:t>SDA</w:t>
      </w:r>
      <w:r w:rsidR="00674AC4">
        <w:t xml:space="preserve"> stock in Western Australia</w:t>
      </w:r>
      <w:r>
        <w:t xml:space="preserve"> is relatively low compared to other states and territories</w:t>
      </w:r>
      <w:r w:rsidR="001606BC">
        <w:t>, however</w:t>
      </w:r>
      <w:r w:rsidR="00D84551">
        <w:t>,</w:t>
      </w:r>
      <w:r w:rsidR="00674AC4">
        <w:t xml:space="preserve"> </w:t>
      </w:r>
      <w:r w:rsidR="00D84551">
        <w:t xml:space="preserve">there </w:t>
      </w:r>
      <w:r>
        <w:t>are</w:t>
      </w:r>
      <w:r w:rsidR="00D84551">
        <w:t xml:space="preserve"> </w:t>
      </w:r>
      <w:r w:rsidR="00674AC4">
        <w:t>1</w:t>
      </w:r>
      <w:r w:rsidR="004B4DDF">
        <w:t>17</w:t>
      </w:r>
      <w:r w:rsidR="00674AC4">
        <w:t xml:space="preserve"> </w:t>
      </w:r>
      <w:r w:rsidR="00687A81">
        <w:t xml:space="preserve">unfinished/unenrolled dwellings </w:t>
      </w:r>
      <w:r w:rsidR="00D84551">
        <w:t>in the pipeline</w:t>
      </w:r>
      <w:r w:rsidR="00674AC4">
        <w:t>.</w:t>
      </w:r>
    </w:p>
    <w:p w14:paraId="7B70DAA4" w14:textId="77777777" w:rsidR="00E834BB" w:rsidRDefault="003F6685" w:rsidP="00474E84">
      <w:r>
        <w:t xml:space="preserve">Only completed dwellings can be enrolled as SDA. </w:t>
      </w:r>
      <w:r w:rsidRPr="00E21978">
        <w:t>From 1 July 2021</w:t>
      </w:r>
      <w:r>
        <w:t xml:space="preserve">, it became </w:t>
      </w:r>
      <w:r w:rsidRPr="00065353">
        <w:t xml:space="preserve">mandatory for </w:t>
      </w:r>
      <w:r>
        <w:t xml:space="preserve">all dwellings to be certified at both the design stage and the final as-built stage. </w:t>
      </w:r>
      <w:r w:rsidRPr="00065353">
        <w:t>SDA provide</w:t>
      </w:r>
      <w:r>
        <w:t>rs must</w:t>
      </w:r>
      <w:r w:rsidRPr="00065353">
        <w:t xml:space="preserve"> inform the NDIA at the design stage of any proposed SDA dwellings</w:t>
      </w:r>
      <w:r>
        <w:t xml:space="preserve"> to inform pipeline data. Accredited SDA Assessors must be engaged by SDA Providers to </w:t>
      </w:r>
      <w:r w:rsidR="001606BC">
        <w:t>verify compliance</w:t>
      </w:r>
      <w:r>
        <w:t xml:space="preserve"> of the dwelling against the nominated design category the dwelling is to be enrolled as.</w:t>
      </w:r>
      <w:r w:rsidR="00E834BB">
        <w:br w:type="page"/>
      </w:r>
    </w:p>
    <w:p w14:paraId="3380B4C6" w14:textId="77777777" w:rsidR="00CE75FA" w:rsidRPr="00DF2F62" w:rsidRDefault="00CE75FA" w:rsidP="00CE75FA">
      <w:pPr>
        <w:pStyle w:val="Heading2"/>
      </w:pPr>
      <w:bookmarkStart w:id="122" w:name="_Toc79414578"/>
      <w:bookmarkStart w:id="123" w:name="_Toc79493386"/>
      <w:bookmarkStart w:id="124" w:name="_Toc79581644"/>
      <w:bookmarkStart w:id="125" w:name="_Toc79684611"/>
      <w:bookmarkStart w:id="126" w:name="_Toc87887958"/>
      <w:bookmarkStart w:id="127" w:name="_Toc89692963"/>
      <w:bookmarkEnd w:id="122"/>
      <w:r w:rsidRPr="00DF2F62">
        <w:lastRenderedPageBreak/>
        <w:t>SDA participant market overview</w:t>
      </w:r>
      <w:bookmarkEnd w:id="123"/>
      <w:bookmarkEnd w:id="124"/>
      <w:bookmarkEnd w:id="125"/>
      <w:bookmarkEnd w:id="126"/>
      <w:bookmarkEnd w:id="127"/>
    </w:p>
    <w:p w14:paraId="6BA3D8AF" w14:textId="77777777" w:rsidR="00CE75FA" w:rsidRPr="00DF2F62" w:rsidRDefault="00CE75FA" w:rsidP="00CE75FA">
      <w:pPr>
        <w:pStyle w:val="Heading3"/>
      </w:pPr>
      <w:bookmarkStart w:id="128" w:name="_Toc79493387"/>
      <w:bookmarkStart w:id="129" w:name="_Toc79581645"/>
      <w:bookmarkStart w:id="130" w:name="_Toc79684612"/>
      <w:bookmarkStart w:id="131" w:name="_Toc87887959"/>
      <w:bookmarkStart w:id="132" w:name="_Toc89692964"/>
      <w:r w:rsidRPr="00DF2F62">
        <w:t>Eligible participant profiles</w:t>
      </w:r>
      <w:bookmarkEnd w:id="128"/>
      <w:bookmarkEnd w:id="129"/>
      <w:bookmarkEnd w:id="130"/>
      <w:bookmarkEnd w:id="131"/>
      <w:bookmarkEnd w:id="132"/>
    </w:p>
    <w:p w14:paraId="07BC99BA" w14:textId="77777777" w:rsidR="00CB60E1" w:rsidRDefault="00731712" w:rsidP="00CB60E1">
      <w:r>
        <w:t xml:space="preserve">There </w:t>
      </w:r>
      <w:r w:rsidR="00D81830">
        <w:t xml:space="preserve">are </w:t>
      </w:r>
      <w:r w:rsidR="0066511E">
        <w:t>16,347</w:t>
      </w:r>
      <w:r>
        <w:t xml:space="preserve"> participants with SDA </w:t>
      </w:r>
      <w:r w:rsidR="000A0B31">
        <w:t>funding</w:t>
      </w:r>
      <w:r>
        <w:t xml:space="preserve"> in their p</w:t>
      </w:r>
      <w:r w:rsidR="0066511E">
        <w:t xml:space="preserve">lans </w:t>
      </w:r>
      <w:r w:rsidR="00200F9C">
        <w:t>at the end of</w:t>
      </w:r>
      <w:r w:rsidR="0066511E">
        <w:t xml:space="preserve"> Q1 FY21</w:t>
      </w:r>
      <w:r w:rsidR="005F335D">
        <w:t>-2</w:t>
      </w:r>
      <w:r w:rsidR="00D933CA">
        <w:t>2</w:t>
      </w:r>
      <w:r>
        <w:t xml:space="preserve">. </w:t>
      </w:r>
      <w:r w:rsidR="00CB60E1" w:rsidRPr="00DF2F62">
        <w:t xml:space="preserve">New South Wales and Victoria are the </w:t>
      </w:r>
      <w:r w:rsidR="00001445" w:rsidRPr="00DF2F62">
        <w:t xml:space="preserve">2 </w:t>
      </w:r>
      <w:r w:rsidR="00424A73">
        <w:t xml:space="preserve">largest states </w:t>
      </w:r>
      <w:r w:rsidR="00CB60E1" w:rsidRPr="00DF2F62">
        <w:t>by</w:t>
      </w:r>
      <w:r w:rsidR="00D15B2D">
        <w:t xml:space="preserve"> overall participants with SDA</w:t>
      </w:r>
      <w:r w:rsidR="000A0B31">
        <w:t xml:space="preserve"> funding in their plans</w:t>
      </w:r>
      <w:r w:rsidR="00D15B2D">
        <w:t>.</w:t>
      </w:r>
    </w:p>
    <w:p w14:paraId="69623AA0" w14:textId="77777777" w:rsidR="00D15B2D" w:rsidRPr="00DF2F62" w:rsidRDefault="00D15B2D" w:rsidP="00CB60E1">
      <w:r>
        <w:t xml:space="preserve">The Australian Capital Territory had the largest percentage growth in participants with SDA </w:t>
      </w:r>
      <w:r w:rsidR="000A0B31">
        <w:t>funding in their plans</w:t>
      </w:r>
      <w:r>
        <w:t xml:space="preserve"> since the same time last year at 74%, followed by Queensland (24%). </w:t>
      </w:r>
    </w:p>
    <w:p w14:paraId="787005F5" w14:textId="1A798C34" w:rsidR="00D15B2D" w:rsidRPr="00D15B2D" w:rsidRDefault="00CE75FA" w:rsidP="00C61E24">
      <w:pPr>
        <w:pStyle w:val="Caption"/>
        <w:keepNext/>
      </w:pPr>
      <w:bookmarkStart w:id="133" w:name="_Ref78905567"/>
      <w:bookmarkStart w:id="134" w:name="_Toc79490512"/>
      <w:bookmarkStart w:id="135" w:name="_Toc79493363"/>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D402F6">
        <w:rPr>
          <w:caps w:val="0"/>
          <w:noProof/>
        </w:rPr>
        <w:t>10</w:t>
      </w:r>
      <w:r w:rsidR="006546B5" w:rsidRPr="00DF2F62">
        <w:rPr>
          <w:caps w:val="0"/>
          <w:noProof/>
        </w:rPr>
        <w:fldChar w:fldCharType="end"/>
      </w:r>
      <w:r w:rsidRPr="00DF2F62">
        <w:rPr>
          <w:caps w:val="0"/>
        </w:rPr>
        <w:t xml:space="preserve">: </w:t>
      </w:r>
      <w:r w:rsidRPr="00B72D81">
        <w:rPr>
          <w:caps w:val="0"/>
        </w:rPr>
        <w:t xml:space="preserve">Participants </w:t>
      </w:r>
      <w:r w:rsidR="003026B0" w:rsidRPr="00B72D81">
        <w:rPr>
          <w:caps w:val="0"/>
        </w:rPr>
        <w:t>with SDA</w:t>
      </w:r>
      <w:r w:rsidR="003026B0">
        <w:rPr>
          <w:caps w:val="0"/>
        </w:rPr>
        <w:t xml:space="preserve"> </w:t>
      </w:r>
      <w:r w:rsidR="00C61E24">
        <w:rPr>
          <w:caps w:val="0"/>
        </w:rPr>
        <w:t xml:space="preserve">funding in plans </w:t>
      </w:r>
      <w:r w:rsidRPr="00DF2F62">
        <w:rPr>
          <w:caps w:val="0"/>
        </w:rPr>
        <w:t xml:space="preserve">by </w:t>
      </w:r>
      <w:r w:rsidR="009D0A89" w:rsidRPr="00DF2F62">
        <w:rPr>
          <w:caps w:val="0"/>
        </w:rPr>
        <w:t>s</w:t>
      </w:r>
      <w:r w:rsidRPr="00DF2F62">
        <w:rPr>
          <w:caps w:val="0"/>
        </w:rPr>
        <w:t>tate</w:t>
      </w:r>
      <w:r w:rsidR="009559DA" w:rsidRPr="00DF2F62">
        <w:rPr>
          <w:caps w:val="0"/>
        </w:rPr>
        <w:t>s</w:t>
      </w:r>
      <w:r w:rsidRPr="00DF2F62">
        <w:rPr>
          <w:caps w:val="0"/>
        </w:rPr>
        <w:t xml:space="preserve"> or </w:t>
      </w:r>
      <w:r w:rsidR="009D0A89" w:rsidRPr="00DF2F62">
        <w:rPr>
          <w:caps w:val="0"/>
        </w:rPr>
        <w:t>t</w:t>
      </w:r>
      <w:r w:rsidRPr="00DF2F62">
        <w:rPr>
          <w:caps w:val="0"/>
        </w:rPr>
        <w:t xml:space="preserve">erritory </w:t>
      </w:r>
      <w:r w:rsidRPr="00DF2F62">
        <w:rPr>
          <w:caps w:val="0"/>
          <w:noProof/>
        </w:rPr>
        <w:t>of residence</w:t>
      </w:r>
      <w:bookmarkEnd w:id="133"/>
      <w:bookmarkEnd w:id="134"/>
      <w:bookmarkEnd w:id="135"/>
      <w:r w:rsidR="00DA49C3">
        <w:rPr>
          <w:caps w:val="0"/>
          <w:noProof/>
        </w:rPr>
        <w:t xml:space="preserve"> </w:t>
      </w:r>
      <w:r w:rsidR="00D15B2D">
        <w:rPr>
          <w:caps w:val="0"/>
          <w:noProof/>
        </w:rPr>
        <w:t xml:space="preserve">at </w:t>
      </w:r>
      <w:r w:rsidR="00725A2E">
        <w:rPr>
          <w:caps w:val="0"/>
          <w:noProof/>
        </w:rPr>
        <w:t xml:space="preserve">the end of </w:t>
      </w:r>
      <w:r w:rsidR="00D15B2D">
        <w:rPr>
          <w:caps w:val="0"/>
          <w:noProof/>
        </w:rPr>
        <w:t>Q1 FY21-22</w:t>
      </w:r>
    </w:p>
    <w:p w14:paraId="7CA16F2D" w14:textId="77777777" w:rsidR="00C61E24" w:rsidRDefault="00D15B2D" w:rsidP="00CE75FA">
      <w:pPr>
        <w:pStyle w:val="Caption"/>
        <w:keepNext/>
        <w:rPr>
          <w:caps w:val="0"/>
        </w:rPr>
      </w:pPr>
      <w:r w:rsidRPr="00D15B2D">
        <w:rPr>
          <w:noProof/>
          <w:lang w:eastAsia="en-AU"/>
        </w:rPr>
        <w:drawing>
          <wp:inline distT="0" distB="0" distL="0" distR="0" wp14:anchorId="1F598312" wp14:editId="4806075B">
            <wp:extent cx="5771820" cy="2879090"/>
            <wp:effectExtent l="0" t="0" r="635" b="0"/>
            <wp:docPr id="41" name="Picture 41" descr="This column graph displays the total number of participants with SDA at the end of Q1 FY21-22.&#10;&#10;New South Wales (5,598) and Victoria (5,383) have the two largest SDA populations followed by Queensland at 1,793 and South Australia at 1,700. Western Australia has 1,160 participants with SDA.&#10;&#10;Tasmania (396), Australian Capital Territory (184) and Northern Territory (133) have relatively lower participants with SDA populations." title="Figure 10: Participants with SDA funding in plans by states or territory of residence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83051" cy="2884692"/>
                    </a:xfrm>
                    <a:prstGeom prst="rect">
                      <a:avLst/>
                    </a:prstGeom>
                    <a:noFill/>
                    <a:ln>
                      <a:noFill/>
                    </a:ln>
                  </pic:spPr>
                </pic:pic>
              </a:graphicData>
            </a:graphic>
          </wp:inline>
        </w:drawing>
      </w:r>
    </w:p>
    <w:p w14:paraId="58331632" w14:textId="3913FB2D" w:rsidR="00CE75FA" w:rsidRDefault="00CE75FA" w:rsidP="00CE75FA">
      <w:pPr>
        <w:pStyle w:val="Caption"/>
        <w:keepNext/>
        <w:rPr>
          <w:caps w:val="0"/>
        </w:rPr>
      </w:pPr>
      <w:r w:rsidRPr="00DF2F62">
        <w:rPr>
          <w:caps w:val="0"/>
        </w:rPr>
        <w:t xml:space="preserve">Table </w:t>
      </w:r>
      <w:r w:rsidR="006546B5" w:rsidRPr="00DF2F62">
        <w:rPr>
          <w:caps w:val="0"/>
        </w:rPr>
        <w:fldChar w:fldCharType="begin"/>
      </w:r>
      <w:r w:rsidR="006546B5" w:rsidRPr="00DF2F62">
        <w:rPr>
          <w:caps w:val="0"/>
        </w:rPr>
        <w:instrText xml:space="preserve"> SEQ Table \* ARABIC </w:instrText>
      </w:r>
      <w:r w:rsidR="006546B5" w:rsidRPr="00DF2F62">
        <w:rPr>
          <w:caps w:val="0"/>
        </w:rPr>
        <w:fldChar w:fldCharType="separate"/>
      </w:r>
      <w:r w:rsidR="00D402F6">
        <w:rPr>
          <w:caps w:val="0"/>
          <w:noProof/>
        </w:rPr>
        <w:t>8</w:t>
      </w:r>
      <w:r w:rsidR="006546B5" w:rsidRPr="00DF2F62">
        <w:rPr>
          <w:caps w:val="0"/>
          <w:noProof/>
        </w:rPr>
        <w:fldChar w:fldCharType="end"/>
      </w:r>
      <w:r w:rsidRPr="00DF2F62">
        <w:rPr>
          <w:caps w:val="0"/>
        </w:rPr>
        <w:t xml:space="preserve">: </w:t>
      </w:r>
      <w:r w:rsidR="009D0A89" w:rsidRPr="00DF2F62">
        <w:rPr>
          <w:caps w:val="0"/>
        </w:rPr>
        <w:t>A</w:t>
      </w:r>
      <w:r w:rsidR="00AF7955" w:rsidRPr="00DF2F62">
        <w:rPr>
          <w:caps w:val="0"/>
        </w:rPr>
        <w:t xml:space="preserve">ctive participants with SDA funding in current NDIS plan in </w:t>
      </w:r>
      <w:r w:rsidR="009D0A89" w:rsidRPr="00DF2F62">
        <w:rPr>
          <w:caps w:val="0"/>
        </w:rPr>
        <w:t>states and territories</w:t>
      </w:r>
      <w:r w:rsidR="00D15B2D">
        <w:rPr>
          <w:caps w:val="0"/>
        </w:rPr>
        <w:t xml:space="preserve"> </w:t>
      </w:r>
      <w:r w:rsidR="00D15B2D" w:rsidRPr="001451B7">
        <w:rPr>
          <w:caps w:val="0"/>
          <w:szCs w:val="16"/>
        </w:rPr>
        <w:t>since Q1 FY20-21</w:t>
      </w:r>
    </w:p>
    <w:tbl>
      <w:tblPr>
        <w:tblStyle w:val="LightShading-Accent4"/>
        <w:tblW w:w="9214" w:type="dxa"/>
        <w:tblLook w:val="04A0" w:firstRow="1" w:lastRow="0" w:firstColumn="1" w:lastColumn="0" w:noHBand="0" w:noVBand="1"/>
        <w:tblCaption w:val="Table 8: Active participants with SDA funding in current NDIS plan in states and territories since Q1 FY20-21"/>
        <w:tblDescription w:val="This table details the total number of participants in each state and territory between Q1 FY20-21 to Q1 FY21-22."/>
      </w:tblPr>
      <w:tblGrid>
        <w:gridCol w:w="1075"/>
        <w:gridCol w:w="1243"/>
        <w:gridCol w:w="1243"/>
        <w:gridCol w:w="1244"/>
        <w:gridCol w:w="1244"/>
        <w:gridCol w:w="1241"/>
        <w:gridCol w:w="1924"/>
      </w:tblGrid>
      <w:tr w:rsidR="00855520" w:rsidRPr="00A058E0" w14:paraId="49D28461" w14:textId="77777777" w:rsidTr="008E1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14:paraId="3AE757F4" w14:textId="77777777" w:rsidR="00855520" w:rsidRPr="008E1C0A" w:rsidRDefault="00674AC4" w:rsidP="008E1C0A">
            <w:pPr>
              <w:ind w:left="0"/>
              <w:rPr>
                <w:rFonts w:asciiTheme="majorHAnsi" w:hAnsiTheme="majorHAnsi" w:cstheme="majorHAnsi"/>
                <w:color w:val="FFFFFF"/>
                <w:sz w:val="16"/>
                <w:szCs w:val="16"/>
              </w:rPr>
            </w:pPr>
            <w:r>
              <w:rPr>
                <w:rFonts w:asciiTheme="majorHAnsi" w:hAnsiTheme="majorHAnsi" w:cstheme="majorHAnsi"/>
                <w:color w:val="FFFFFF"/>
                <w:sz w:val="16"/>
                <w:szCs w:val="16"/>
              </w:rPr>
              <w:t>S</w:t>
            </w:r>
            <w:r w:rsidR="00855520" w:rsidRPr="008E1C0A">
              <w:rPr>
                <w:rFonts w:asciiTheme="majorHAnsi" w:hAnsiTheme="majorHAnsi" w:cstheme="majorHAnsi"/>
                <w:color w:val="FFFFFF"/>
                <w:sz w:val="16"/>
                <w:szCs w:val="16"/>
              </w:rPr>
              <w:t>tate / Date</w:t>
            </w:r>
          </w:p>
        </w:tc>
        <w:tc>
          <w:tcPr>
            <w:tcW w:w="1243" w:type="dxa"/>
          </w:tcPr>
          <w:p w14:paraId="5825F2AC"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30-Sep-20</w:t>
            </w:r>
          </w:p>
        </w:tc>
        <w:tc>
          <w:tcPr>
            <w:tcW w:w="1243" w:type="dxa"/>
          </w:tcPr>
          <w:p w14:paraId="42DB91D1"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31-Dec-20</w:t>
            </w:r>
          </w:p>
        </w:tc>
        <w:tc>
          <w:tcPr>
            <w:tcW w:w="1244" w:type="dxa"/>
          </w:tcPr>
          <w:p w14:paraId="7C75D6E3"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31-Mar-21</w:t>
            </w:r>
          </w:p>
        </w:tc>
        <w:tc>
          <w:tcPr>
            <w:tcW w:w="1244" w:type="dxa"/>
          </w:tcPr>
          <w:p w14:paraId="4FC1CC1C"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30-Jun-21</w:t>
            </w:r>
          </w:p>
        </w:tc>
        <w:tc>
          <w:tcPr>
            <w:tcW w:w="1241" w:type="dxa"/>
          </w:tcPr>
          <w:p w14:paraId="58C01B92"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30-Sep-21</w:t>
            </w:r>
          </w:p>
        </w:tc>
        <w:tc>
          <w:tcPr>
            <w:tcW w:w="1924" w:type="dxa"/>
          </w:tcPr>
          <w:p w14:paraId="5CEEA23A"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Percentage growth from same time last year</w:t>
            </w:r>
          </w:p>
        </w:tc>
      </w:tr>
      <w:tr w:rsidR="008C1DA5" w:rsidRPr="00A058E0" w14:paraId="24EAD60D"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C2D5A00"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NSW</w:t>
            </w:r>
          </w:p>
        </w:tc>
        <w:tc>
          <w:tcPr>
            <w:tcW w:w="1243" w:type="dxa"/>
          </w:tcPr>
          <w:p w14:paraId="62E286E4"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5,429</w:t>
            </w:r>
          </w:p>
        </w:tc>
        <w:tc>
          <w:tcPr>
            <w:tcW w:w="1243" w:type="dxa"/>
          </w:tcPr>
          <w:p w14:paraId="275DD151"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5,513</w:t>
            </w:r>
          </w:p>
        </w:tc>
        <w:tc>
          <w:tcPr>
            <w:tcW w:w="1244" w:type="dxa"/>
          </w:tcPr>
          <w:p w14:paraId="5533C6E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5,533</w:t>
            </w:r>
          </w:p>
        </w:tc>
        <w:tc>
          <w:tcPr>
            <w:tcW w:w="1244" w:type="dxa"/>
          </w:tcPr>
          <w:p w14:paraId="3E62416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5,572</w:t>
            </w:r>
          </w:p>
        </w:tc>
        <w:tc>
          <w:tcPr>
            <w:tcW w:w="1241" w:type="dxa"/>
          </w:tcPr>
          <w:p w14:paraId="5A7473D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5,598</w:t>
            </w:r>
          </w:p>
        </w:tc>
        <w:tc>
          <w:tcPr>
            <w:tcW w:w="1924" w:type="dxa"/>
          </w:tcPr>
          <w:p w14:paraId="408E0F39"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w:t>
            </w:r>
          </w:p>
        </w:tc>
      </w:tr>
      <w:tr w:rsidR="008C1DA5" w:rsidRPr="00A058E0" w14:paraId="4B50CFB8"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0226A1E"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Vic</w:t>
            </w:r>
          </w:p>
        </w:tc>
        <w:tc>
          <w:tcPr>
            <w:tcW w:w="1243" w:type="dxa"/>
          </w:tcPr>
          <w:p w14:paraId="234DDFFC"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5,004</w:t>
            </w:r>
          </w:p>
        </w:tc>
        <w:tc>
          <w:tcPr>
            <w:tcW w:w="1243" w:type="dxa"/>
          </w:tcPr>
          <w:p w14:paraId="7D968D47"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5,128</w:t>
            </w:r>
          </w:p>
        </w:tc>
        <w:tc>
          <w:tcPr>
            <w:tcW w:w="1244" w:type="dxa"/>
          </w:tcPr>
          <w:p w14:paraId="13B6C89E"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5,195</w:t>
            </w:r>
          </w:p>
        </w:tc>
        <w:tc>
          <w:tcPr>
            <w:tcW w:w="1244" w:type="dxa"/>
          </w:tcPr>
          <w:p w14:paraId="663B178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5,295</w:t>
            </w:r>
          </w:p>
        </w:tc>
        <w:tc>
          <w:tcPr>
            <w:tcW w:w="1241" w:type="dxa"/>
          </w:tcPr>
          <w:p w14:paraId="0403B1B4"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5,383</w:t>
            </w:r>
          </w:p>
        </w:tc>
        <w:tc>
          <w:tcPr>
            <w:tcW w:w="1924" w:type="dxa"/>
          </w:tcPr>
          <w:p w14:paraId="1CC4F752"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8%</w:t>
            </w:r>
          </w:p>
        </w:tc>
      </w:tr>
      <w:tr w:rsidR="008C1DA5" w:rsidRPr="00A058E0" w14:paraId="13E62422"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63D91E5"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Qld</w:t>
            </w:r>
          </w:p>
        </w:tc>
        <w:tc>
          <w:tcPr>
            <w:tcW w:w="1243" w:type="dxa"/>
          </w:tcPr>
          <w:p w14:paraId="3312E60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1,451</w:t>
            </w:r>
          </w:p>
        </w:tc>
        <w:tc>
          <w:tcPr>
            <w:tcW w:w="1243" w:type="dxa"/>
          </w:tcPr>
          <w:p w14:paraId="7710048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1,524</w:t>
            </w:r>
          </w:p>
        </w:tc>
        <w:tc>
          <w:tcPr>
            <w:tcW w:w="1244" w:type="dxa"/>
          </w:tcPr>
          <w:p w14:paraId="3C8B2C7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1,595</w:t>
            </w:r>
          </w:p>
        </w:tc>
        <w:tc>
          <w:tcPr>
            <w:tcW w:w="1244" w:type="dxa"/>
          </w:tcPr>
          <w:p w14:paraId="42351D9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1,650</w:t>
            </w:r>
          </w:p>
        </w:tc>
        <w:tc>
          <w:tcPr>
            <w:tcW w:w="1241" w:type="dxa"/>
          </w:tcPr>
          <w:p w14:paraId="0ABD976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1,793</w:t>
            </w:r>
          </w:p>
        </w:tc>
        <w:tc>
          <w:tcPr>
            <w:tcW w:w="1924" w:type="dxa"/>
          </w:tcPr>
          <w:p w14:paraId="2665367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24%</w:t>
            </w:r>
          </w:p>
        </w:tc>
      </w:tr>
      <w:tr w:rsidR="008C1DA5" w:rsidRPr="00A058E0" w14:paraId="061F6923"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F04DDBA"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WA</w:t>
            </w:r>
          </w:p>
        </w:tc>
        <w:tc>
          <w:tcPr>
            <w:tcW w:w="1243" w:type="dxa"/>
          </w:tcPr>
          <w:p w14:paraId="78BB1D4E"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1,024</w:t>
            </w:r>
          </w:p>
        </w:tc>
        <w:tc>
          <w:tcPr>
            <w:tcW w:w="1243" w:type="dxa"/>
          </w:tcPr>
          <w:p w14:paraId="3D60398A"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1,152</w:t>
            </w:r>
          </w:p>
        </w:tc>
        <w:tc>
          <w:tcPr>
            <w:tcW w:w="1244" w:type="dxa"/>
          </w:tcPr>
          <w:p w14:paraId="2F8C34E2"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1,160</w:t>
            </w:r>
          </w:p>
        </w:tc>
        <w:tc>
          <w:tcPr>
            <w:tcW w:w="1244" w:type="dxa"/>
          </w:tcPr>
          <w:p w14:paraId="30D57C19"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1,149</w:t>
            </w:r>
          </w:p>
        </w:tc>
        <w:tc>
          <w:tcPr>
            <w:tcW w:w="1241" w:type="dxa"/>
          </w:tcPr>
          <w:p w14:paraId="09069531"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1,160</w:t>
            </w:r>
          </w:p>
        </w:tc>
        <w:tc>
          <w:tcPr>
            <w:tcW w:w="1924" w:type="dxa"/>
          </w:tcPr>
          <w:p w14:paraId="5C961E90"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13%</w:t>
            </w:r>
          </w:p>
        </w:tc>
      </w:tr>
      <w:tr w:rsidR="008C1DA5" w:rsidRPr="00A058E0" w14:paraId="25F10A9F"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E1109A0"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SA</w:t>
            </w:r>
          </w:p>
        </w:tc>
        <w:tc>
          <w:tcPr>
            <w:tcW w:w="1243" w:type="dxa"/>
          </w:tcPr>
          <w:p w14:paraId="6EAB3BE1"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1,669</w:t>
            </w:r>
          </w:p>
        </w:tc>
        <w:tc>
          <w:tcPr>
            <w:tcW w:w="1243" w:type="dxa"/>
          </w:tcPr>
          <w:p w14:paraId="3A25113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1,676</w:t>
            </w:r>
          </w:p>
        </w:tc>
        <w:tc>
          <w:tcPr>
            <w:tcW w:w="1244" w:type="dxa"/>
          </w:tcPr>
          <w:p w14:paraId="3B1222CD"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1,670</w:t>
            </w:r>
          </w:p>
        </w:tc>
        <w:tc>
          <w:tcPr>
            <w:tcW w:w="1244" w:type="dxa"/>
          </w:tcPr>
          <w:p w14:paraId="41CDF8AD"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1,675</w:t>
            </w:r>
          </w:p>
        </w:tc>
        <w:tc>
          <w:tcPr>
            <w:tcW w:w="1241" w:type="dxa"/>
          </w:tcPr>
          <w:p w14:paraId="15C9D56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1,700</w:t>
            </w:r>
          </w:p>
        </w:tc>
        <w:tc>
          <w:tcPr>
            <w:tcW w:w="1924" w:type="dxa"/>
          </w:tcPr>
          <w:p w14:paraId="7B0C67A4"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2%</w:t>
            </w:r>
          </w:p>
        </w:tc>
      </w:tr>
      <w:tr w:rsidR="008C1DA5" w:rsidRPr="00A058E0" w14:paraId="41814130"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B313BF9"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Tas</w:t>
            </w:r>
          </w:p>
        </w:tc>
        <w:tc>
          <w:tcPr>
            <w:tcW w:w="1243" w:type="dxa"/>
          </w:tcPr>
          <w:p w14:paraId="1AD67A81"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424</w:t>
            </w:r>
          </w:p>
        </w:tc>
        <w:tc>
          <w:tcPr>
            <w:tcW w:w="1243" w:type="dxa"/>
          </w:tcPr>
          <w:p w14:paraId="31265F6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417</w:t>
            </w:r>
          </w:p>
        </w:tc>
        <w:tc>
          <w:tcPr>
            <w:tcW w:w="1244" w:type="dxa"/>
          </w:tcPr>
          <w:p w14:paraId="2828047C"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402</w:t>
            </w:r>
          </w:p>
        </w:tc>
        <w:tc>
          <w:tcPr>
            <w:tcW w:w="1244" w:type="dxa"/>
          </w:tcPr>
          <w:p w14:paraId="2240D6C0"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396</w:t>
            </w:r>
          </w:p>
        </w:tc>
        <w:tc>
          <w:tcPr>
            <w:tcW w:w="1241" w:type="dxa"/>
          </w:tcPr>
          <w:p w14:paraId="2C7B4517"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396</w:t>
            </w:r>
          </w:p>
        </w:tc>
        <w:tc>
          <w:tcPr>
            <w:tcW w:w="1924" w:type="dxa"/>
          </w:tcPr>
          <w:p w14:paraId="101645D2"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-7%</w:t>
            </w:r>
          </w:p>
        </w:tc>
      </w:tr>
      <w:tr w:rsidR="008C1DA5" w:rsidRPr="00A058E0" w14:paraId="136ABBA8"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6AE953F"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ACT</w:t>
            </w:r>
          </w:p>
        </w:tc>
        <w:tc>
          <w:tcPr>
            <w:tcW w:w="1243" w:type="dxa"/>
          </w:tcPr>
          <w:p w14:paraId="42A05E5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106</w:t>
            </w:r>
          </w:p>
        </w:tc>
        <w:tc>
          <w:tcPr>
            <w:tcW w:w="1243" w:type="dxa"/>
          </w:tcPr>
          <w:p w14:paraId="1D4F0765"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127</w:t>
            </w:r>
          </w:p>
        </w:tc>
        <w:tc>
          <w:tcPr>
            <w:tcW w:w="1244" w:type="dxa"/>
          </w:tcPr>
          <w:p w14:paraId="7BDB697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158</w:t>
            </w:r>
          </w:p>
        </w:tc>
        <w:tc>
          <w:tcPr>
            <w:tcW w:w="1244" w:type="dxa"/>
          </w:tcPr>
          <w:p w14:paraId="2B6A91F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170</w:t>
            </w:r>
          </w:p>
        </w:tc>
        <w:tc>
          <w:tcPr>
            <w:tcW w:w="1241" w:type="dxa"/>
          </w:tcPr>
          <w:p w14:paraId="326D809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184</w:t>
            </w:r>
          </w:p>
        </w:tc>
        <w:tc>
          <w:tcPr>
            <w:tcW w:w="1924" w:type="dxa"/>
          </w:tcPr>
          <w:p w14:paraId="2DEA5FD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74%</w:t>
            </w:r>
          </w:p>
        </w:tc>
      </w:tr>
      <w:tr w:rsidR="008C1DA5" w:rsidRPr="00A058E0" w14:paraId="61723153"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0ADD0A3"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NT</w:t>
            </w:r>
          </w:p>
        </w:tc>
        <w:tc>
          <w:tcPr>
            <w:tcW w:w="1243" w:type="dxa"/>
          </w:tcPr>
          <w:p w14:paraId="27299DF6"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132</w:t>
            </w:r>
          </w:p>
        </w:tc>
        <w:tc>
          <w:tcPr>
            <w:tcW w:w="1243" w:type="dxa"/>
          </w:tcPr>
          <w:p w14:paraId="029DA84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130</w:t>
            </w:r>
          </w:p>
        </w:tc>
        <w:tc>
          <w:tcPr>
            <w:tcW w:w="1244" w:type="dxa"/>
          </w:tcPr>
          <w:p w14:paraId="754E97AE"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129</w:t>
            </w:r>
          </w:p>
        </w:tc>
        <w:tc>
          <w:tcPr>
            <w:tcW w:w="1244" w:type="dxa"/>
          </w:tcPr>
          <w:p w14:paraId="631DE084"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126</w:t>
            </w:r>
          </w:p>
        </w:tc>
        <w:tc>
          <w:tcPr>
            <w:tcW w:w="1241" w:type="dxa"/>
          </w:tcPr>
          <w:p w14:paraId="0C3B094A"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133</w:t>
            </w:r>
          </w:p>
        </w:tc>
        <w:tc>
          <w:tcPr>
            <w:tcW w:w="1924" w:type="dxa"/>
          </w:tcPr>
          <w:p w14:paraId="4FE00D7C"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sz w:val="16"/>
                <w:szCs w:val="16"/>
              </w:rPr>
              <w:t>1%</w:t>
            </w:r>
          </w:p>
        </w:tc>
      </w:tr>
      <w:tr w:rsidR="008C1DA5" w:rsidRPr="00A058E0" w14:paraId="2987BF9F"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4DB30D7"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National</w:t>
            </w:r>
          </w:p>
        </w:tc>
        <w:tc>
          <w:tcPr>
            <w:tcW w:w="1243" w:type="dxa"/>
          </w:tcPr>
          <w:p w14:paraId="17ED9355"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15,240</w:t>
            </w:r>
          </w:p>
        </w:tc>
        <w:tc>
          <w:tcPr>
            <w:tcW w:w="1243" w:type="dxa"/>
          </w:tcPr>
          <w:p w14:paraId="1039D4A9"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15,667</w:t>
            </w:r>
          </w:p>
        </w:tc>
        <w:tc>
          <w:tcPr>
            <w:tcW w:w="1244" w:type="dxa"/>
          </w:tcPr>
          <w:p w14:paraId="15A01464"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15,842</w:t>
            </w:r>
          </w:p>
        </w:tc>
        <w:tc>
          <w:tcPr>
            <w:tcW w:w="1244" w:type="dxa"/>
          </w:tcPr>
          <w:p w14:paraId="393AEE4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16,033</w:t>
            </w:r>
          </w:p>
        </w:tc>
        <w:tc>
          <w:tcPr>
            <w:tcW w:w="1241" w:type="dxa"/>
          </w:tcPr>
          <w:p w14:paraId="24D34114"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16,347</w:t>
            </w:r>
          </w:p>
        </w:tc>
        <w:tc>
          <w:tcPr>
            <w:tcW w:w="1924" w:type="dxa"/>
          </w:tcPr>
          <w:p w14:paraId="577473B5"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sz w:val="16"/>
                <w:szCs w:val="16"/>
              </w:rPr>
              <w:t>7%</w:t>
            </w:r>
          </w:p>
        </w:tc>
      </w:tr>
    </w:tbl>
    <w:p w14:paraId="062FB89E" w14:textId="1A3503B2" w:rsidR="00D402F6" w:rsidRDefault="00D402F6" w:rsidP="00D402F6">
      <w:bookmarkStart w:id="136" w:name="_Toc88657425"/>
      <w:bookmarkStart w:id="137" w:name="_Toc86928233"/>
      <w:bookmarkStart w:id="138" w:name="_Toc86928266"/>
      <w:bookmarkStart w:id="139" w:name="_Ref87950389"/>
      <w:bookmarkStart w:id="140" w:name="_Toc87887960"/>
      <w:bookmarkStart w:id="141" w:name="_Ref88647965"/>
      <w:bookmarkStart w:id="142" w:name="_Ref89098042"/>
      <w:bookmarkStart w:id="143" w:name="_Ref89171969"/>
      <w:bookmarkStart w:id="144" w:name="_Ref89173135"/>
      <w:bookmarkStart w:id="145" w:name="_Toc79490514"/>
      <w:bookmarkEnd w:id="136"/>
    </w:p>
    <w:p w14:paraId="7EDB8BD1" w14:textId="77777777" w:rsidR="00D402F6" w:rsidRDefault="00D402F6">
      <w:pPr>
        <w:spacing w:line="276" w:lineRule="auto"/>
      </w:pPr>
      <w:r>
        <w:br w:type="page"/>
      </w:r>
    </w:p>
    <w:p w14:paraId="57CEFA92" w14:textId="37099897" w:rsidR="00855520" w:rsidRPr="007805D1" w:rsidRDefault="00855520" w:rsidP="00855520">
      <w:pPr>
        <w:pStyle w:val="Heading3"/>
      </w:pPr>
      <w:bookmarkStart w:id="146" w:name="_Toc89692965"/>
      <w:bookmarkStart w:id="147" w:name="_Ref89693031"/>
      <w:bookmarkStart w:id="148" w:name="_Ref89693059"/>
      <w:r w:rsidRPr="007805D1">
        <w:lastRenderedPageBreak/>
        <w:t>Participants seeking SDA dwellings or alternatives</w:t>
      </w:r>
      <w:bookmarkEnd w:id="137"/>
      <w:bookmarkEnd w:id="138"/>
      <w:bookmarkEnd w:id="139"/>
      <w:bookmarkEnd w:id="140"/>
      <w:bookmarkEnd w:id="141"/>
      <w:bookmarkEnd w:id="142"/>
      <w:bookmarkEnd w:id="143"/>
      <w:bookmarkEnd w:id="144"/>
      <w:bookmarkEnd w:id="146"/>
      <w:bookmarkEnd w:id="147"/>
      <w:bookmarkEnd w:id="148"/>
    </w:p>
    <w:p w14:paraId="3A6F9BA4" w14:textId="77777777" w:rsidR="00036676" w:rsidRDefault="00200F9C" w:rsidP="00424A73">
      <w:r>
        <w:t>At the end of</w:t>
      </w:r>
      <w:r w:rsidR="00036676">
        <w:t xml:space="preserve"> Q1 FY21-22, there was 18,361 participants with SDA needs. Of these, 1,843 participants with SDA were seeking an alternative dwelling whilst 2,014 participants who were not in an SDA </w:t>
      </w:r>
      <w:r w:rsidR="000A0B31">
        <w:t>dwelling</w:t>
      </w:r>
      <w:r w:rsidR="00036676">
        <w:t xml:space="preserve"> were seeking a </w:t>
      </w:r>
      <w:r w:rsidR="000A0B31">
        <w:t>vacancy</w:t>
      </w:r>
      <w:r w:rsidR="004F509A">
        <w:t xml:space="preserve"> (combined for 21% of participants with SDA needs).</w:t>
      </w:r>
    </w:p>
    <w:p w14:paraId="66B2ABEE" w14:textId="77777777" w:rsidR="00424A73" w:rsidRDefault="00424A73" w:rsidP="00424A73">
      <w:r>
        <w:t>The largest proportion of participants with SDA needs who are seeking dwellings whilst not currently in an SDA</w:t>
      </w:r>
      <w:r w:rsidR="000A0B31">
        <w:t xml:space="preserve"> dwelling</w:t>
      </w:r>
      <w:r>
        <w:t xml:space="preserve"> are in Queensland and Northern Territory</w:t>
      </w:r>
      <w:r w:rsidR="005E1F87">
        <w:t xml:space="preserve"> (21% and 19%, respectively)</w:t>
      </w:r>
      <w:r>
        <w:t>. For participants already in an SDA dwelling but seeking alternatives, Queensland and New South Wales have the largest percentage</w:t>
      </w:r>
      <w:r w:rsidR="00D81830">
        <w:t>s</w:t>
      </w:r>
      <w:r>
        <w:t xml:space="preserve"> </w:t>
      </w:r>
      <w:r w:rsidR="005E1F87">
        <w:t>at 13% each</w:t>
      </w:r>
      <w:r>
        <w:t>.</w:t>
      </w:r>
    </w:p>
    <w:p w14:paraId="6F7AC2FE" w14:textId="77777777" w:rsidR="00424A73" w:rsidRDefault="000A0B31" w:rsidP="00424A73">
      <w:r>
        <w:t>Nationally, t</w:t>
      </w:r>
      <w:r w:rsidR="00424A73">
        <w:t xml:space="preserve">he most common design category </w:t>
      </w:r>
      <w:r w:rsidR="0033770C">
        <w:t xml:space="preserve">dwellings </w:t>
      </w:r>
      <w:r w:rsidR="00424A73">
        <w:t xml:space="preserve">participants </w:t>
      </w:r>
      <w:r w:rsidR="0033770C">
        <w:t xml:space="preserve">are eligible for </w:t>
      </w:r>
      <w:r>
        <w:t>is</w:t>
      </w:r>
      <w:r w:rsidR="00424A73">
        <w:t xml:space="preserve"> improved liveability (34%), followed by high physical support (29%) and fully accessible dwellings (20%). </w:t>
      </w:r>
    </w:p>
    <w:p w14:paraId="53977BF0" w14:textId="4E97B820" w:rsidR="00424A73" w:rsidRDefault="00424A73" w:rsidP="00424A73">
      <w:r>
        <w:t>Further breakdown of participants seeking SDA dwellings by SA4 region and design categor</w:t>
      </w:r>
      <w:r w:rsidR="000A0B31">
        <w:t>y</w:t>
      </w:r>
      <w:r>
        <w:t xml:space="preserve"> </w:t>
      </w:r>
      <w:r w:rsidR="00A6737F">
        <w:t>is in</w:t>
      </w:r>
      <w:r w:rsidRPr="00C03E1F">
        <w:t xml:space="preserve"> ‘</w:t>
      </w:r>
      <w:r>
        <w:t>Table P.11</w:t>
      </w:r>
      <w:r w:rsidRPr="00C03E1F">
        <w:t xml:space="preserve">’ </w:t>
      </w:r>
      <w:r>
        <w:t xml:space="preserve">and ‘Table P.12’ </w:t>
      </w:r>
      <w:r w:rsidRPr="00C03E1F">
        <w:t xml:space="preserve">in the </w:t>
      </w:r>
      <w:hyperlink r:id="rId47" w:history="1">
        <w:r w:rsidR="00821245" w:rsidRPr="00821245">
          <w:rPr>
            <w:rStyle w:val="Hyperlink"/>
          </w:rPr>
          <w:t>NDIS quarterly report to disability ministers</w:t>
        </w:r>
      </w:hyperlink>
      <w:r w:rsidRPr="00C03E1F">
        <w:t xml:space="preserve">. </w:t>
      </w:r>
    </w:p>
    <w:p w14:paraId="757A9527" w14:textId="251923B8" w:rsidR="003D6050" w:rsidRDefault="00424A73" w:rsidP="00424A73">
      <w:pPr>
        <w:rPr>
          <w:b/>
          <w:sz w:val="16"/>
          <w:szCs w:val="16"/>
        </w:rPr>
      </w:pPr>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D402F6">
        <w:rPr>
          <w:b/>
          <w:noProof/>
          <w:sz w:val="16"/>
          <w:szCs w:val="16"/>
        </w:rPr>
        <w:t>11</w:t>
      </w:r>
      <w:r w:rsidRPr="00424A73">
        <w:rPr>
          <w:b/>
          <w:sz w:val="16"/>
          <w:szCs w:val="16"/>
        </w:rPr>
        <w:fldChar w:fldCharType="end"/>
      </w:r>
      <w:r w:rsidRPr="00424A73">
        <w:rPr>
          <w:b/>
          <w:sz w:val="16"/>
          <w:szCs w:val="16"/>
        </w:rPr>
        <w:t xml:space="preserve">: Percentage of participants with SDA needs seeking </w:t>
      </w:r>
      <w:r w:rsidR="003D6050">
        <w:rPr>
          <w:b/>
          <w:sz w:val="16"/>
          <w:szCs w:val="16"/>
        </w:rPr>
        <w:t>a SDA</w:t>
      </w:r>
      <w:r w:rsidRPr="00424A73">
        <w:rPr>
          <w:b/>
          <w:sz w:val="16"/>
          <w:szCs w:val="16"/>
        </w:rPr>
        <w:t xml:space="preserve"> dwelling at </w:t>
      </w:r>
      <w:r w:rsidR="00C47932">
        <w:rPr>
          <w:b/>
          <w:sz w:val="16"/>
          <w:szCs w:val="16"/>
        </w:rPr>
        <w:t xml:space="preserve">the end of </w:t>
      </w:r>
      <w:r w:rsidRPr="00424A73">
        <w:rPr>
          <w:b/>
          <w:sz w:val="16"/>
          <w:szCs w:val="16"/>
        </w:rPr>
        <w:t>Q</w:t>
      </w:r>
      <w:r w:rsidR="003D6050">
        <w:rPr>
          <w:b/>
          <w:sz w:val="16"/>
          <w:szCs w:val="16"/>
        </w:rPr>
        <w:t>1</w:t>
      </w:r>
      <w:r w:rsidRPr="00424A73">
        <w:rPr>
          <w:b/>
          <w:sz w:val="16"/>
          <w:szCs w:val="16"/>
        </w:rPr>
        <w:t xml:space="preserve"> FY21-22</w:t>
      </w:r>
    </w:p>
    <w:p w14:paraId="7AB8F9BE" w14:textId="77777777" w:rsidR="00C61E24" w:rsidRDefault="009D0498" w:rsidP="00C47932">
      <w:pPr>
        <w:rPr>
          <w:b/>
          <w:sz w:val="16"/>
          <w:szCs w:val="16"/>
        </w:rPr>
      </w:pPr>
      <w:r w:rsidRPr="009D0498">
        <w:rPr>
          <w:noProof/>
          <w:lang w:eastAsia="en-AU"/>
        </w:rPr>
        <w:drawing>
          <wp:inline distT="0" distB="0" distL="0" distR="0" wp14:anchorId="2A550248" wp14:editId="1A453DEE">
            <wp:extent cx="5760633" cy="2880000"/>
            <wp:effectExtent l="0" t="0" r="0" b="0"/>
            <wp:docPr id="6" name="Picture 6" descr="This column chart displays the percentage of participants with SDA needs seeking dwellings and alternative dwellings as a proportion of all participants with SDA needs across states and territories at the end of Q1 FY21-22. &#10;&#10;The largest proportion of participants with SDA needs whom are seeking dwellings whilst not currently in an SDA are in Queensland and Northern Territory (21% and 19%, respectively). For participants already in an SDA dwelling but are seeking alternatives, Queensland and New South Wales have the largest percentages at 13% each.&#10;&#10;Western Australia and Northern Territory have the lowest number of participants in their state or territory that are seeking an alternative dwelling whilst in a SDA (3% and 2%, respectively), the lowest of any jurisdiction." title="Figure 11: Percentage of participants with SDA needs seeking a SDA dwelling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633" cy="2880000"/>
                    </a:xfrm>
                    <a:prstGeom prst="rect">
                      <a:avLst/>
                    </a:prstGeom>
                    <a:noFill/>
                    <a:ln>
                      <a:noFill/>
                    </a:ln>
                  </pic:spPr>
                </pic:pic>
              </a:graphicData>
            </a:graphic>
          </wp:inline>
        </w:drawing>
      </w:r>
    </w:p>
    <w:p w14:paraId="2551E28A" w14:textId="77777777" w:rsidR="00C47932" w:rsidRDefault="00C47932">
      <w:pPr>
        <w:spacing w:line="276" w:lineRule="auto"/>
        <w:rPr>
          <w:b/>
          <w:sz w:val="16"/>
          <w:szCs w:val="16"/>
        </w:rPr>
      </w:pPr>
      <w:r>
        <w:rPr>
          <w:b/>
          <w:sz w:val="16"/>
          <w:szCs w:val="16"/>
        </w:rPr>
        <w:br w:type="page"/>
      </w:r>
    </w:p>
    <w:p w14:paraId="516C8CFE" w14:textId="5A4F1C3F" w:rsidR="00A058E0" w:rsidRDefault="00A058E0" w:rsidP="00E21978">
      <w:pPr>
        <w:spacing w:line="276" w:lineRule="auto"/>
        <w:rPr>
          <w:b/>
          <w:sz w:val="16"/>
          <w:szCs w:val="16"/>
        </w:rPr>
      </w:pPr>
      <w:r w:rsidRPr="00424A73">
        <w:rPr>
          <w:b/>
          <w:sz w:val="16"/>
          <w:szCs w:val="16"/>
        </w:rPr>
        <w:lastRenderedPageBreak/>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D402F6">
        <w:rPr>
          <w:b/>
          <w:noProof/>
          <w:sz w:val="16"/>
          <w:szCs w:val="16"/>
        </w:rPr>
        <w:t>12</w:t>
      </w:r>
      <w:r w:rsidRPr="00424A73">
        <w:rPr>
          <w:b/>
          <w:sz w:val="16"/>
          <w:szCs w:val="16"/>
        </w:rPr>
        <w:fldChar w:fldCharType="end"/>
      </w:r>
      <w:r w:rsidRPr="00424A73">
        <w:rPr>
          <w:b/>
          <w:sz w:val="16"/>
          <w:szCs w:val="16"/>
        </w:rPr>
        <w:t>:</w:t>
      </w:r>
      <w:r>
        <w:rPr>
          <w:b/>
          <w:sz w:val="16"/>
          <w:szCs w:val="16"/>
        </w:rPr>
        <w:t xml:space="preserve"> Number of participants </w:t>
      </w:r>
      <w:r w:rsidRPr="00424A73">
        <w:rPr>
          <w:b/>
          <w:sz w:val="16"/>
          <w:szCs w:val="16"/>
        </w:rPr>
        <w:t xml:space="preserve">seeking </w:t>
      </w:r>
      <w:r>
        <w:rPr>
          <w:b/>
          <w:sz w:val="16"/>
          <w:szCs w:val="16"/>
        </w:rPr>
        <w:t xml:space="preserve">a </w:t>
      </w:r>
      <w:r w:rsidRPr="00424A73">
        <w:rPr>
          <w:b/>
          <w:sz w:val="16"/>
          <w:szCs w:val="16"/>
        </w:rPr>
        <w:t>SDA</w:t>
      </w:r>
      <w:r>
        <w:rPr>
          <w:b/>
          <w:sz w:val="16"/>
          <w:szCs w:val="16"/>
        </w:rPr>
        <w:t xml:space="preserve"> dwelling</w:t>
      </w:r>
      <w:r w:rsidRPr="00424A73">
        <w:rPr>
          <w:b/>
          <w:sz w:val="16"/>
          <w:szCs w:val="16"/>
        </w:rPr>
        <w:t xml:space="preserve"> in states and territories by </w:t>
      </w:r>
      <w:r w:rsidR="00622510">
        <w:rPr>
          <w:b/>
          <w:sz w:val="16"/>
          <w:szCs w:val="16"/>
        </w:rPr>
        <w:t xml:space="preserve">eligible </w:t>
      </w:r>
      <w:r w:rsidRPr="00424A73">
        <w:rPr>
          <w:b/>
          <w:sz w:val="16"/>
          <w:szCs w:val="16"/>
        </w:rPr>
        <w:t>design categor</w:t>
      </w:r>
      <w:r w:rsidR="000A0B31">
        <w:rPr>
          <w:b/>
          <w:sz w:val="16"/>
          <w:szCs w:val="16"/>
        </w:rPr>
        <w:t>y</w:t>
      </w:r>
      <w:r w:rsidRPr="00424A73">
        <w:rPr>
          <w:b/>
          <w:sz w:val="16"/>
          <w:szCs w:val="16"/>
        </w:rPr>
        <w:t xml:space="preserve"> </w:t>
      </w:r>
      <w:r w:rsidR="00C47932">
        <w:rPr>
          <w:b/>
          <w:sz w:val="16"/>
          <w:szCs w:val="16"/>
        </w:rPr>
        <w:t xml:space="preserve">at the end of </w:t>
      </w:r>
      <w:r w:rsidRPr="00424A73">
        <w:rPr>
          <w:b/>
          <w:sz w:val="16"/>
          <w:szCs w:val="16"/>
        </w:rPr>
        <w:t>Q</w:t>
      </w:r>
      <w:r>
        <w:rPr>
          <w:b/>
          <w:sz w:val="16"/>
          <w:szCs w:val="16"/>
        </w:rPr>
        <w:t>1</w:t>
      </w:r>
      <w:r w:rsidRPr="00424A73">
        <w:rPr>
          <w:b/>
          <w:sz w:val="16"/>
          <w:szCs w:val="16"/>
        </w:rPr>
        <w:t xml:space="preserve"> FY21-22</w:t>
      </w:r>
    </w:p>
    <w:p w14:paraId="4C69C357" w14:textId="77777777" w:rsidR="00C61E24" w:rsidRDefault="00997BC4" w:rsidP="00424A73">
      <w:pPr>
        <w:rPr>
          <w:b/>
          <w:sz w:val="16"/>
          <w:szCs w:val="16"/>
        </w:rPr>
      </w:pPr>
      <w:r w:rsidRPr="00997BC4">
        <w:rPr>
          <w:noProof/>
          <w:lang w:eastAsia="en-AU"/>
        </w:rPr>
        <w:drawing>
          <wp:inline distT="0" distB="0" distL="0" distR="0" wp14:anchorId="6D6588A8" wp14:editId="6B3893E2">
            <wp:extent cx="5766534" cy="2879687"/>
            <wp:effectExtent l="0" t="0" r="5715" b="0"/>
            <wp:docPr id="44" name="Picture 44" descr="This column chart displays number of participants with SDA needs seeking dwellings by design categories across states and territories at the end of Q1 FY21-22. Detailed numbers can be found in the following table.&#10;&#10;The largest number of participants seeking dwellings can be found in New South Wales (1,377) and Victoria (1,040) - both where the highest number of participants seeking dwellings have improved liveability needs followed by high physical support needs.&#10;&#10;For all other states and territories, the largest number of participants seeking dwellings are for high physical supports, followed by improved liveability.&#10;&#10;The third highest sought after design category across all states and territories are for fully accessible dwellings." title="Figure 12: Number of participants seeking a SDA dwelling in states and territories by eligible design category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70748" cy="2881791"/>
                    </a:xfrm>
                    <a:prstGeom prst="rect">
                      <a:avLst/>
                    </a:prstGeom>
                    <a:noFill/>
                    <a:ln>
                      <a:noFill/>
                    </a:ln>
                  </pic:spPr>
                </pic:pic>
              </a:graphicData>
            </a:graphic>
          </wp:inline>
        </w:drawing>
      </w:r>
    </w:p>
    <w:p w14:paraId="1077BCFF" w14:textId="419D9615" w:rsidR="00424A73" w:rsidRPr="00424A73" w:rsidRDefault="00424A73" w:rsidP="00424A73">
      <w:pPr>
        <w:rPr>
          <w:b/>
          <w:sz w:val="16"/>
          <w:szCs w:val="16"/>
        </w:rPr>
      </w:pPr>
      <w:bookmarkStart w:id="149" w:name="_Ref88835482"/>
      <w:r w:rsidRPr="00424A73">
        <w:rPr>
          <w:b/>
          <w:sz w:val="16"/>
          <w:szCs w:val="16"/>
        </w:rPr>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D402F6">
        <w:rPr>
          <w:b/>
          <w:noProof/>
          <w:sz w:val="16"/>
          <w:szCs w:val="16"/>
        </w:rPr>
        <w:t>9</w:t>
      </w:r>
      <w:r w:rsidRPr="00424A73">
        <w:rPr>
          <w:b/>
          <w:sz w:val="16"/>
          <w:szCs w:val="16"/>
        </w:rPr>
        <w:fldChar w:fldCharType="end"/>
      </w:r>
      <w:bookmarkEnd w:id="149"/>
      <w:r w:rsidRPr="00424A73">
        <w:rPr>
          <w:b/>
          <w:sz w:val="16"/>
          <w:szCs w:val="16"/>
        </w:rPr>
        <w:t xml:space="preserve">: Number of participants with SDA needs seeking a SDA dwelling in states and territories </w:t>
      </w:r>
      <w:r w:rsidR="007B02F7">
        <w:rPr>
          <w:b/>
          <w:sz w:val="16"/>
          <w:szCs w:val="16"/>
        </w:rPr>
        <w:t>by</w:t>
      </w:r>
      <w:r w:rsidRPr="00424A73">
        <w:rPr>
          <w:b/>
          <w:sz w:val="16"/>
          <w:szCs w:val="16"/>
        </w:rPr>
        <w:t xml:space="preserve"> des</w:t>
      </w:r>
      <w:r w:rsidR="007B02F7">
        <w:rPr>
          <w:b/>
          <w:sz w:val="16"/>
          <w:szCs w:val="16"/>
        </w:rPr>
        <w:t>ign category</w:t>
      </w:r>
      <w:r w:rsidRPr="00424A73">
        <w:rPr>
          <w:b/>
          <w:sz w:val="16"/>
          <w:szCs w:val="16"/>
        </w:rPr>
        <w:t xml:space="preserve"> </w:t>
      </w:r>
      <w:r w:rsidR="00C47932">
        <w:rPr>
          <w:b/>
          <w:sz w:val="16"/>
          <w:szCs w:val="16"/>
        </w:rPr>
        <w:t xml:space="preserve">at the end of </w:t>
      </w:r>
      <w:r w:rsidRPr="00424A73">
        <w:rPr>
          <w:b/>
          <w:sz w:val="16"/>
          <w:szCs w:val="16"/>
        </w:rPr>
        <w:t>Q</w:t>
      </w:r>
      <w:r w:rsidR="003D6050">
        <w:rPr>
          <w:b/>
          <w:sz w:val="16"/>
          <w:szCs w:val="16"/>
        </w:rPr>
        <w:t>1</w:t>
      </w:r>
      <w:r w:rsidRPr="00424A73">
        <w:rPr>
          <w:b/>
          <w:sz w:val="16"/>
          <w:szCs w:val="16"/>
        </w:rPr>
        <w:t xml:space="preserve"> FY21-22</w:t>
      </w:r>
    </w:p>
    <w:tbl>
      <w:tblPr>
        <w:tblStyle w:val="LightShading-Accent4"/>
        <w:tblW w:w="0" w:type="auto"/>
        <w:tblLook w:val="04A0" w:firstRow="1" w:lastRow="0" w:firstColumn="1" w:lastColumn="0" w:noHBand="0" w:noVBand="1"/>
        <w:tblCaption w:val="Table 9: Number of participants with SDA needs seeking a SDA dwelling in states and territories by design category at the end of Q1 FY21-22"/>
        <w:tblDescription w:val="This table includes the SDA dwelling numbers behind the previous graph, displaying the number of SDA dwellings across design categories for states and territories at the end of Q1 FY21-22."/>
      </w:tblPr>
      <w:tblGrid>
        <w:gridCol w:w="1269"/>
        <w:gridCol w:w="1011"/>
        <w:gridCol w:w="1275"/>
        <w:gridCol w:w="1279"/>
        <w:gridCol w:w="994"/>
        <w:gridCol w:w="1693"/>
        <w:gridCol w:w="1505"/>
      </w:tblGrid>
      <w:tr w:rsidR="00855520" w:rsidRPr="00A058E0" w14:paraId="2A9FBB3F" w14:textId="77777777" w:rsidTr="008E1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5C9A34B0" w14:textId="77777777" w:rsidR="00855520" w:rsidRPr="008E1C0A" w:rsidRDefault="00855520" w:rsidP="00B36561">
            <w:pPr>
              <w:rPr>
                <w:rFonts w:asciiTheme="majorHAnsi" w:hAnsiTheme="majorHAnsi" w:cstheme="majorHAnsi"/>
                <w:color w:val="FFFFFF"/>
                <w:sz w:val="16"/>
                <w:szCs w:val="16"/>
              </w:rPr>
            </w:pPr>
            <w:r w:rsidRPr="008E1C0A">
              <w:rPr>
                <w:rFonts w:asciiTheme="majorHAnsi" w:hAnsiTheme="majorHAnsi" w:cstheme="majorHAnsi"/>
                <w:color w:val="FFFFFF"/>
                <w:sz w:val="16"/>
                <w:szCs w:val="16"/>
              </w:rPr>
              <w:t>Design category</w:t>
            </w:r>
            <w:r w:rsidR="00424A73" w:rsidRPr="008E1C0A">
              <w:rPr>
                <w:rFonts w:asciiTheme="majorHAnsi" w:hAnsiTheme="majorHAnsi" w:cstheme="majorHAnsi"/>
                <w:color w:val="FFFFFF"/>
                <w:sz w:val="16"/>
                <w:szCs w:val="16"/>
              </w:rPr>
              <w:t xml:space="preserve"> / State</w:t>
            </w:r>
          </w:p>
        </w:tc>
        <w:tc>
          <w:tcPr>
            <w:tcW w:w="992" w:type="dxa"/>
          </w:tcPr>
          <w:p w14:paraId="22E42AAB"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Not defined</w:t>
            </w:r>
          </w:p>
        </w:tc>
        <w:tc>
          <w:tcPr>
            <w:tcW w:w="1276" w:type="dxa"/>
          </w:tcPr>
          <w:p w14:paraId="264596B9"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Improved Liveability</w:t>
            </w:r>
          </w:p>
        </w:tc>
        <w:tc>
          <w:tcPr>
            <w:tcW w:w="1276" w:type="dxa"/>
          </w:tcPr>
          <w:p w14:paraId="56B3FE50"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Fully Accessible</w:t>
            </w:r>
          </w:p>
        </w:tc>
        <w:tc>
          <w:tcPr>
            <w:tcW w:w="992" w:type="dxa"/>
          </w:tcPr>
          <w:p w14:paraId="52302B5D"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Robust</w:t>
            </w:r>
          </w:p>
        </w:tc>
        <w:tc>
          <w:tcPr>
            <w:tcW w:w="1701" w:type="dxa"/>
          </w:tcPr>
          <w:p w14:paraId="1CFC62A2"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High Physical Support</w:t>
            </w:r>
          </w:p>
        </w:tc>
        <w:tc>
          <w:tcPr>
            <w:tcW w:w="1508" w:type="dxa"/>
          </w:tcPr>
          <w:p w14:paraId="19609E25" w14:textId="77777777" w:rsidR="00855520" w:rsidRPr="008E1C0A"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Total participant seeking SDA</w:t>
            </w:r>
          </w:p>
        </w:tc>
      </w:tr>
      <w:tr w:rsidR="008C1DA5" w:rsidRPr="00A058E0" w14:paraId="166E43F9"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DF3681"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NSW</w:t>
            </w:r>
          </w:p>
        </w:tc>
        <w:tc>
          <w:tcPr>
            <w:tcW w:w="992" w:type="dxa"/>
          </w:tcPr>
          <w:p w14:paraId="2A3ACBCE"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140</w:t>
            </w:r>
          </w:p>
        </w:tc>
        <w:tc>
          <w:tcPr>
            <w:tcW w:w="1276" w:type="dxa"/>
          </w:tcPr>
          <w:p w14:paraId="2CA9689E"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523</w:t>
            </w:r>
          </w:p>
        </w:tc>
        <w:tc>
          <w:tcPr>
            <w:tcW w:w="1276" w:type="dxa"/>
          </w:tcPr>
          <w:p w14:paraId="7A1F338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267</w:t>
            </w:r>
          </w:p>
        </w:tc>
        <w:tc>
          <w:tcPr>
            <w:tcW w:w="992" w:type="dxa"/>
          </w:tcPr>
          <w:p w14:paraId="1A0818A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71</w:t>
            </w:r>
          </w:p>
        </w:tc>
        <w:tc>
          <w:tcPr>
            <w:tcW w:w="1701" w:type="dxa"/>
          </w:tcPr>
          <w:p w14:paraId="43A7C139"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376</w:t>
            </w:r>
          </w:p>
        </w:tc>
        <w:tc>
          <w:tcPr>
            <w:tcW w:w="1508" w:type="dxa"/>
          </w:tcPr>
          <w:p w14:paraId="15AC84C5"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1,377</w:t>
            </w:r>
          </w:p>
        </w:tc>
      </w:tr>
      <w:tr w:rsidR="008C1DA5" w:rsidRPr="00A058E0" w14:paraId="2CC7CD29"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F326919"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Vic</w:t>
            </w:r>
          </w:p>
        </w:tc>
        <w:tc>
          <w:tcPr>
            <w:tcW w:w="992" w:type="dxa"/>
          </w:tcPr>
          <w:p w14:paraId="6BF69C0D"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150</w:t>
            </w:r>
          </w:p>
        </w:tc>
        <w:tc>
          <w:tcPr>
            <w:tcW w:w="1276" w:type="dxa"/>
          </w:tcPr>
          <w:p w14:paraId="6ECD92DC"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397</w:t>
            </w:r>
          </w:p>
        </w:tc>
        <w:tc>
          <w:tcPr>
            <w:tcW w:w="1276" w:type="dxa"/>
          </w:tcPr>
          <w:p w14:paraId="5F87F0BD"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183</w:t>
            </w:r>
          </w:p>
        </w:tc>
        <w:tc>
          <w:tcPr>
            <w:tcW w:w="992" w:type="dxa"/>
          </w:tcPr>
          <w:p w14:paraId="7D2B755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74</w:t>
            </w:r>
          </w:p>
        </w:tc>
        <w:tc>
          <w:tcPr>
            <w:tcW w:w="1701" w:type="dxa"/>
          </w:tcPr>
          <w:p w14:paraId="0742C13D"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236</w:t>
            </w:r>
          </w:p>
        </w:tc>
        <w:tc>
          <w:tcPr>
            <w:tcW w:w="1508" w:type="dxa"/>
          </w:tcPr>
          <w:p w14:paraId="26FC013A"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1</w:t>
            </w:r>
            <w:r w:rsidR="00424A73" w:rsidRPr="008E1C0A">
              <w:rPr>
                <w:rFonts w:asciiTheme="majorHAnsi" w:hAnsiTheme="majorHAnsi" w:cstheme="majorHAnsi"/>
                <w:b/>
                <w:color w:val="000000"/>
                <w:sz w:val="16"/>
                <w:szCs w:val="16"/>
              </w:rPr>
              <w:t>,</w:t>
            </w:r>
            <w:r w:rsidRPr="008E1C0A">
              <w:rPr>
                <w:rFonts w:asciiTheme="majorHAnsi" w:hAnsiTheme="majorHAnsi" w:cstheme="majorHAnsi"/>
                <w:b/>
                <w:color w:val="000000"/>
                <w:sz w:val="16"/>
                <w:szCs w:val="16"/>
              </w:rPr>
              <w:t>040</w:t>
            </w:r>
          </w:p>
        </w:tc>
      </w:tr>
      <w:tr w:rsidR="008C1DA5" w:rsidRPr="00A058E0" w14:paraId="20E4C036"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816757D"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Qld</w:t>
            </w:r>
          </w:p>
        </w:tc>
        <w:tc>
          <w:tcPr>
            <w:tcW w:w="992" w:type="dxa"/>
          </w:tcPr>
          <w:p w14:paraId="60A5FCD9"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52</w:t>
            </w:r>
          </w:p>
        </w:tc>
        <w:tc>
          <w:tcPr>
            <w:tcW w:w="1276" w:type="dxa"/>
          </w:tcPr>
          <w:p w14:paraId="5AE1F2C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193</w:t>
            </w:r>
          </w:p>
        </w:tc>
        <w:tc>
          <w:tcPr>
            <w:tcW w:w="1276" w:type="dxa"/>
          </w:tcPr>
          <w:p w14:paraId="292B0C31"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187</w:t>
            </w:r>
          </w:p>
        </w:tc>
        <w:tc>
          <w:tcPr>
            <w:tcW w:w="992" w:type="dxa"/>
          </w:tcPr>
          <w:p w14:paraId="737F761C"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51</w:t>
            </w:r>
          </w:p>
        </w:tc>
        <w:tc>
          <w:tcPr>
            <w:tcW w:w="1701" w:type="dxa"/>
          </w:tcPr>
          <w:p w14:paraId="7BE306D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296</w:t>
            </w:r>
          </w:p>
        </w:tc>
        <w:tc>
          <w:tcPr>
            <w:tcW w:w="1508" w:type="dxa"/>
          </w:tcPr>
          <w:p w14:paraId="4F8AF4F8"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779</w:t>
            </w:r>
          </w:p>
        </w:tc>
      </w:tr>
      <w:tr w:rsidR="008C1DA5" w:rsidRPr="00A058E0" w14:paraId="4571DAFD"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2AEA399"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WA</w:t>
            </w:r>
          </w:p>
        </w:tc>
        <w:tc>
          <w:tcPr>
            <w:tcW w:w="992" w:type="dxa"/>
          </w:tcPr>
          <w:p w14:paraId="00C6DF1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13</w:t>
            </w:r>
          </w:p>
        </w:tc>
        <w:tc>
          <w:tcPr>
            <w:tcW w:w="1276" w:type="dxa"/>
          </w:tcPr>
          <w:p w14:paraId="6869BCF7"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49</w:t>
            </w:r>
          </w:p>
        </w:tc>
        <w:tc>
          <w:tcPr>
            <w:tcW w:w="1276" w:type="dxa"/>
          </w:tcPr>
          <w:p w14:paraId="3B833C5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41</w:t>
            </w:r>
          </w:p>
        </w:tc>
        <w:tc>
          <w:tcPr>
            <w:tcW w:w="992" w:type="dxa"/>
          </w:tcPr>
          <w:p w14:paraId="34AFDDC8"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12</w:t>
            </w:r>
          </w:p>
        </w:tc>
        <w:tc>
          <w:tcPr>
            <w:tcW w:w="1701" w:type="dxa"/>
          </w:tcPr>
          <w:p w14:paraId="59DC1041"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48</w:t>
            </w:r>
          </w:p>
        </w:tc>
        <w:tc>
          <w:tcPr>
            <w:tcW w:w="1508" w:type="dxa"/>
          </w:tcPr>
          <w:p w14:paraId="6A687C35"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163</w:t>
            </w:r>
          </w:p>
        </w:tc>
      </w:tr>
      <w:tr w:rsidR="008C1DA5" w:rsidRPr="00A058E0" w14:paraId="4A55F801"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BEAFEAB"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SA</w:t>
            </w:r>
          </w:p>
        </w:tc>
        <w:tc>
          <w:tcPr>
            <w:tcW w:w="992" w:type="dxa"/>
          </w:tcPr>
          <w:p w14:paraId="4138A908"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49</w:t>
            </w:r>
          </w:p>
        </w:tc>
        <w:tc>
          <w:tcPr>
            <w:tcW w:w="1276" w:type="dxa"/>
          </w:tcPr>
          <w:p w14:paraId="35B9799D"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101</w:t>
            </w:r>
          </w:p>
        </w:tc>
        <w:tc>
          <w:tcPr>
            <w:tcW w:w="1276" w:type="dxa"/>
          </w:tcPr>
          <w:p w14:paraId="277B507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78</w:t>
            </w:r>
          </w:p>
        </w:tc>
        <w:tc>
          <w:tcPr>
            <w:tcW w:w="992" w:type="dxa"/>
          </w:tcPr>
          <w:p w14:paraId="40CB4D5C"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22</w:t>
            </w:r>
          </w:p>
        </w:tc>
        <w:tc>
          <w:tcPr>
            <w:tcW w:w="1701" w:type="dxa"/>
          </w:tcPr>
          <w:p w14:paraId="5263919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113</w:t>
            </w:r>
          </w:p>
        </w:tc>
        <w:tc>
          <w:tcPr>
            <w:tcW w:w="1508" w:type="dxa"/>
          </w:tcPr>
          <w:p w14:paraId="50D65A60"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363</w:t>
            </w:r>
          </w:p>
        </w:tc>
      </w:tr>
      <w:tr w:rsidR="008C1DA5" w:rsidRPr="00A058E0" w14:paraId="7FAB7039"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F18241D"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Tas</w:t>
            </w:r>
          </w:p>
        </w:tc>
        <w:tc>
          <w:tcPr>
            <w:tcW w:w="992" w:type="dxa"/>
          </w:tcPr>
          <w:p w14:paraId="3C2E6000"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7</w:t>
            </w:r>
          </w:p>
        </w:tc>
        <w:tc>
          <w:tcPr>
            <w:tcW w:w="1276" w:type="dxa"/>
          </w:tcPr>
          <w:p w14:paraId="5A25B651"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19</w:t>
            </w:r>
          </w:p>
        </w:tc>
        <w:tc>
          <w:tcPr>
            <w:tcW w:w="1276" w:type="dxa"/>
          </w:tcPr>
          <w:p w14:paraId="73D024DA"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12</w:t>
            </w:r>
          </w:p>
        </w:tc>
        <w:tc>
          <w:tcPr>
            <w:tcW w:w="992" w:type="dxa"/>
          </w:tcPr>
          <w:p w14:paraId="1322C0D3"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w:t>
            </w:r>
          </w:p>
        </w:tc>
        <w:tc>
          <w:tcPr>
            <w:tcW w:w="1701" w:type="dxa"/>
          </w:tcPr>
          <w:p w14:paraId="374C1B6C"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20</w:t>
            </w:r>
          </w:p>
        </w:tc>
        <w:tc>
          <w:tcPr>
            <w:tcW w:w="1508" w:type="dxa"/>
          </w:tcPr>
          <w:p w14:paraId="7DC4BD9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60</w:t>
            </w:r>
          </w:p>
        </w:tc>
      </w:tr>
      <w:tr w:rsidR="008C1DA5" w:rsidRPr="00A058E0" w14:paraId="1A92085F"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D3776"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ACT</w:t>
            </w:r>
          </w:p>
        </w:tc>
        <w:tc>
          <w:tcPr>
            <w:tcW w:w="992" w:type="dxa"/>
          </w:tcPr>
          <w:p w14:paraId="03459458"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w:t>
            </w:r>
          </w:p>
        </w:tc>
        <w:tc>
          <w:tcPr>
            <w:tcW w:w="1276" w:type="dxa"/>
          </w:tcPr>
          <w:p w14:paraId="1F58ABCB"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11</w:t>
            </w:r>
          </w:p>
        </w:tc>
        <w:tc>
          <w:tcPr>
            <w:tcW w:w="1276" w:type="dxa"/>
          </w:tcPr>
          <w:p w14:paraId="27C34A97"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9</w:t>
            </w:r>
          </w:p>
        </w:tc>
        <w:tc>
          <w:tcPr>
            <w:tcW w:w="992" w:type="dxa"/>
          </w:tcPr>
          <w:p w14:paraId="0A11440C"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w:t>
            </w:r>
          </w:p>
        </w:tc>
        <w:tc>
          <w:tcPr>
            <w:tcW w:w="1701" w:type="dxa"/>
          </w:tcPr>
          <w:p w14:paraId="536C34E2"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18</w:t>
            </w:r>
          </w:p>
        </w:tc>
        <w:tc>
          <w:tcPr>
            <w:tcW w:w="1508" w:type="dxa"/>
          </w:tcPr>
          <w:p w14:paraId="7935A89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40</w:t>
            </w:r>
          </w:p>
        </w:tc>
      </w:tr>
      <w:tr w:rsidR="008C1DA5" w:rsidRPr="00A058E0" w14:paraId="793A2A52"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F57D1B1"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NT</w:t>
            </w:r>
          </w:p>
        </w:tc>
        <w:tc>
          <w:tcPr>
            <w:tcW w:w="992" w:type="dxa"/>
          </w:tcPr>
          <w:p w14:paraId="17146173"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w:t>
            </w:r>
          </w:p>
        </w:tc>
        <w:tc>
          <w:tcPr>
            <w:tcW w:w="1276" w:type="dxa"/>
          </w:tcPr>
          <w:p w14:paraId="03EB2CDB"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9</w:t>
            </w:r>
          </w:p>
        </w:tc>
        <w:tc>
          <w:tcPr>
            <w:tcW w:w="1276" w:type="dxa"/>
          </w:tcPr>
          <w:p w14:paraId="70248A3F"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6</w:t>
            </w:r>
          </w:p>
        </w:tc>
        <w:tc>
          <w:tcPr>
            <w:tcW w:w="992" w:type="dxa"/>
          </w:tcPr>
          <w:p w14:paraId="44D89809"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5</w:t>
            </w:r>
          </w:p>
        </w:tc>
        <w:tc>
          <w:tcPr>
            <w:tcW w:w="1701" w:type="dxa"/>
          </w:tcPr>
          <w:p w14:paraId="444D6291"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color w:val="000000"/>
                <w:sz w:val="16"/>
                <w:szCs w:val="16"/>
              </w:rPr>
              <w:t>14</w:t>
            </w:r>
          </w:p>
        </w:tc>
        <w:tc>
          <w:tcPr>
            <w:tcW w:w="1508" w:type="dxa"/>
          </w:tcPr>
          <w:p w14:paraId="67CB3196" w14:textId="77777777" w:rsidR="008C1DA5" w:rsidRPr="008E1C0A" w:rsidRDefault="008C1DA5" w:rsidP="008E1C0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color w:val="000000"/>
                <w:sz w:val="16"/>
                <w:szCs w:val="16"/>
              </w:rPr>
              <w:t>35</w:t>
            </w:r>
          </w:p>
        </w:tc>
      </w:tr>
      <w:tr w:rsidR="008C1DA5" w:rsidRPr="00A058E0" w14:paraId="7AFE8ACC"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7767C08" w14:textId="77777777" w:rsidR="008C1DA5" w:rsidRPr="008E1C0A" w:rsidRDefault="008C1DA5" w:rsidP="008C1DA5">
            <w:pPr>
              <w:rPr>
                <w:rFonts w:asciiTheme="majorHAnsi" w:hAnsiTheme="majorHAnsi" w:cstheme="majorHAnsi"/>
                <w:sz w:val="16"/>
                <w:szCs w:val="16"/>
              </w:rPr>
            </w:pPr>
            <w:r w:rsidRPr="008E1C0A">
              <w:rPr>
                <w:rFonts w:asciiTheme="majorHAnsi" w:hAnsiTheme="majorHAnsi" w:cstheme="majorHAnsi"/>
                <w:sz w:val="16"/>
                <w:szCs w:val="16"/>
              </w:rPr>
              <w:t>Total</w:t>
            </w:r>
          </w:p>
        </w:tc>
        <w:tc>
          <w:tcPr>
            <w:tcW w:w="992" w:type="dxa"/>
          </w:tcPr>
          <w:p w14:paraId="27811CA5"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b/>
                <w:bCs/>
                <w:color w:val="000000"/>
                <w:sz w:val="16"/>
                <w:szCs w:val="16"/>
              </w:rPr>
              <w:t>413</w:t>
            </w:r>
          </w:p>
        </w:tc>
        <w:tc>
          <w:tcPr>
            <w:tcW w:w="1276" w:type="dxa"/>
          </w:tcPr>
          <w:p w14:paraId="1F34A256"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b/>
                <w:bCs/>
                <w:color w:val="000000"/>
                <w:sz w:val="16"/>
                <w:szCs w:val="16"/>
              </w:rPr>
              <w:t>1</w:t>
            </w:r>
            <w:r w:rsidR="00424A73" w:rsidRPr="008E1C0A">
              <w:rPr>
                <w:rFonts w:asciiTheme="majorHAnsi" w:hAnsiTheme="majorHAnsi" w:cstheme="majorHAnsi"/>
                <w:b/>
                <w:bCs/>
                <w:color w:val="000000"/>
                <w:sz w:val="16"/>
                <w:szCs w:val="16"/>
              </w:rPr>
              <w:t>,</w:t>
            </w:r>
            <w:r w:rsidRPr="008E1C0A">
              <w:rPr>
                <w:rFonts w:asciiTheme="majorHAnsi" w:hAnsiTheme="majorHAnsi" w:cstheme="majorHAnsi"/>
                <w:b/>
                <w:bCs/>
                <w:color w:val="000000"/>
                <w:sz w:val="16"/>
                <w:szCs w:val="16"/>
              </w:rPr>
              <w:t>302</w:t>
            </w:r>
          </w:p>
        </w:tc>
        <w:tc>
          <w:tcPr>
            <w:tcW w:w="1276" w:type="dxa"/>
          </w:tcPr>
          <w:p w14:paraId="41448027"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b/>
                <w:bCs/>
                <w:color w:val="000000"/>
                <w:sz w:val="16"/>
                <w:szCs w:val="16"/>
              </w:rPr>
              <w:t>783</w:t>
            </w:r>
          </w:p>
        </w:tc>
        <w:tc>
          <w:tcPr>
            <w:tcW w:w="992" w:type="dxa"/>
          </w:tcPr>
          <w:p w14:paraId="7BF539DF"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b/>
                <w:bCs/>
                <w:color w:val="000000"/>
                <w:sz w:val="16"/>
                <w:szCs w:val="16"/>
              </w:rPr>
              <w:t>238</w:t>
            </w:r>
          </w:p>
        </w:tc>
        <w:tc>
          <w:tcPr>
            <w:tcW w:w="1701" w:type="dxa"/>
          </w:tcPr>
          <w:p w14:paraId="09BA1AD3"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E1C0A">
              <w:rPr>
                <w:rFonts w:asciiTheme="majorHAnsi" w:hAnsiTheme="majorHAnsi" w:cstheme="majorHAnsi"/>
                <w:b/>
                <w:bCs/>
                <w:color w:val="000000"/>
                <w:sz w:val="16"/>
                <w:szCs w:val="16"/>
              </w:rPr>
              <w:t>1</w:t>
            </w:r>
            <w:r w:rsidR="00424A73" w:rsidRPr="008E1C0A">
              <w:rPr>
                <w:rFonts w:asciiTheme="majorHAnsi" w:hAnsiTheme="majorHAnsi" w:cstheme="majorHAnsi"/>
                <w:b/>
                <w:bCs/>
                <w:color w:val="000000"/>
                <w:sz w:val="16"/>
                <w:szCs w:val="16"/>
              </w:rPr>
              <w:t>,</w:t>
            </w:r>
            <w:r w:rsidRPr="008E1C0A">
              <w:rPr>
                <w:rFonts w:asciiTheme="majorHAnsi" w:hAnsiTheme="majorHAnsi" w:cstheme="majorHAnsi"/>
                <w:b/>
                <w:bCs/>
                <w:color w:val="000000"/>
                <w:sz w:val="16"/>
                <w:szCs w:val="16"/>
              </w:rPr>
              <w:t>121</w:t>
            </w:r>
          </w:p>
        </w:tc>
        <w:tc>
          <w:tcPr>
            <w:tcW w:w="1508" w:type="dxa"/>
          </w:tcPr>
          <w:p w14:paraId="43A3B90A" w14:textId="77777777" w:rsidR="008C1DA5" w:rsidRPr="008E1C0A" w:rsidRDefault="008C1D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E1C0A">
              <w:rPr>
                <w:rFonts w:asciiTheme="majorHAnsi" w:hAnsiTheme="majorHAnsi" w:cstheme="majorHAnsi"/>
                <w:b/>
                <w:bCs/>
                <w:color w:val="000000"/>
                <w:sz w:val="16"/>
                <w:szCs w:val="16"/>
              </w:rPr>
              <w:t>3</w:t>
            </w:r>
            <w:r w:rsidR="00424A73" w:rsidRPr="008E1C0A">
              <w:rPr>
                <w:rFonts w:asciiTheme="majorHAnsi" w:hAnsiTheme="majorHAnsi" w:cstheme="majorHAnsi"/>
                <w:b/>
                <w:bCs/>
                <w:color w:val="000000"/>
                <w:sz w:val="16"/>
                <w:szCs w:val="16"/>
              </w:rPr>
              <w:t>,</w:t>
            </w:r>
            <w:r w:rsidRPr="008E1C0A">
              <w:rPr>
                <w:rFonts w:asciiTheme="majorHAnsi" w:hAnsiTheme="majorHAnsi" w:cstheme="majorHAnsi"/>
                <w:b/>
                <w:bCs/>
                <w:color w:val="000000"/>
                <w:sz w:val="16"/>
                <w:szCs w:val="16"/>
              </w:rPr>
              <w:t>857</w:t>
            </w:r>
          </w:p>
        </w:tc>
      </w:tr>
    </w:tbl>
    <w:p w14:paraId="121FAFF8" w14:textId="77777777" w:rsidR="00855520" w:rsidRPr="00AB73AD" w:rsidRDefault="00855520" w:rsidP="00855520">
      <w:pPr>
        <w:rPr>
          <w:sz w:val="16"/>
          <w:szCs w:val="16"/>
        </w:rPr>
      </w:pPr>
    </w:p>
    <w:p w14:paraId="64AE7A4F" w14:textId="77777777" w:rsidR="00855520" w:rsidRDefault="00855520" w:rsidP="00855520">
      <w:pPr>
        <w:rPr>
          <w:b/>
        </w:rPr>
      </w:pPr>
      <w:r w:rsidRPr="001F2C5F">
        <w:rPr>
          <w:b/>
        </w:rPr>
        <w:t>NDIA observations</w:t>
      </w:r>
    </w:p>
    <w:p w14:paraId="149711E7" w14:textId="01FA4A81" w:rsidR="00C61E24" w:rsidRDefault="00636529">
      <w:pPr>
        <w:spacing w:line="276" w:lineRule="auto"/>
        <w:rPr>
          <w:highlight w:val="yellow"/>
        </w:rPr>
      </w:pPr>
      <w:r w:rsidRPr="00F77A30">
        <w:t>Currently, there is a high</w:t>
      </w:r>
      <w:r>
        <w:t>er</w:t>
      </w:r>
      <w:r w:rsidRPr="00F77A30">
        <w:t xml:space="preserve"> demand </w:t>
      </w:r>
      <w:r>
        <w:t xml:space="preserve">from participants seeking dwellings with </w:t>
      </w:r>
      <w:r w:rsidRPr="00F77A30">
        <w:t xml:space="preserve">improved liveability </w:t>
      </w:r>
      <w:r>
        <w:t xml:space="preserve">support needs </w:t>
      </w:r>
      <w:r w:rsidRPr="00F77A30">
        <w:t xml:space="preserve">across most states and territories. </w:t>
      </w:r>
      <w:r w:rsidR="00622510">
        <w:t>However,</w:t>
      </w:r>
      <w:r>
        <w:t xml:space="preserve"> </w:t>
      </w:r>
      <w:r w:rsidR="00642D59">
        <w:t>improved liveability dwellings</w:t>
      </w:r>
      <w:r>
        <w:t xml:space="preserve"> is </w:t>
      </w:r>
      <w:r w:rsidR="00642D59">
        <w:t xml:space="preserve">the third most enrolled design category (see </w:t>
      </w:r>
      <w:r w:rsidR="00622510">
        <w:t>s</w:t>
      </w:r>
      <w:r w:rsidR="00424A73" w:rsidRPr="00424A73">
        <w:t xml:space="preserve">ection </w:t>
      </w:r>
      <w:r w:rsidR="00A058E0">
        <w:fldChar w:fldCharType="begin"/>
      </w:r>
      <w:r w:rsidR="00A058E0">
        <w:instrText xml:space="preserve"> REF _Ref88141147 \r \h </w:instrText>
      </w:r>
      <w:r w:rsidR="00A058E0">
        <w:fldChar w:fldCharType="separate"/>
      </w:r>
      <w:r w:rsidR="00D402F6">
        <w:t>2.3</w:t>
      </w:r>
      <w:r w:rsidR="00A058E0">
        <w:fldChar w:fldCharType="end"/>
      </w:r>
      <w:r w:rsidR="00642D59">
        <w:t xml:space="preserve">) and </w:t>
      </w:r>
      <w:r w:rsidR="001A4D7C">
        <w:t xml:space="preserve">a distant second </w:t>
      </w:r>
      <w:r w:rsidR="00642D59">
        <w:t xml:space="preserve">for </w:t>
      </w:r>
      <w:r w:rsidR="00E834BB">
        <w:t>pipeline</w:t>
      </w:r>
      <w:r w:rsidR="00642D59">
        <w:t xml:space="preserve"> dwellings (233 dwellings compared to 1,165 high physical support dwellings, see section </w:t>
      </w:r>
      <w:r w:rsidR="00642D59">
        <w:fldChar w:fldCharType="begin"/>
      </w:r>
      <w:r w:rsidR="00642D59">
        <w:instrText xml:space="preserve"> REF _Ref89085868 \r \h </w:instrText>
      </w:r>
      <w:r w:rsidR="00642D59">
        <w:fldChar w:fldCharType="separate"/>
      </w:r>
      <w:r w:rsidR="00D402F6">
        <w:t>2.7</w:t>
      </w:r>
      <w:r w:rsidR="00642D59">
        <w:fldChar w:fldCharType="end"/>
      </w:r>
      <w:r w:rsidR="00642D59">
        <w:t>)</w:t>
      </w:r>
      <w:r w:rsidR="00C61E24">
        <w:t>.</w:t>
      </w:r>
      <w:r>
        <w:t xml:space="preserve"> Th</w:t>
      </w:r>
      <w:r w:rsidR="004B3208">
        <w:t xml:space="preserve">e data shows </w:t>
      </w:r>
      <w:r>
        <w:t>th</w:t>
      </w:r>
      <w:r w:rsidR="00AF0851">
        <w:t>ere</w:t>
      </w:r>
      <w:r>
        <w:t xml:space="preserve"> may be an opportunity for </w:t>
      </w:r>
      <w:r w:rsidR="004B3208">
        <w:t xml:space="preserve">the market to meet the demand of participants with </w:t>
      </w:r>
      <w:r>
        <w:t xml:space="preserve">improved liveability </w:t>
      </w:r>
      <w:r w:rsidR="004B3208">
        <w:t>support needs.</w:t>
      </w:r>
      <w:r w:rsidR="00C61E24">
        <w:rPr>
          <w:highlight w:val="yellow"/>
        </w:rPr>
        <w:br w:type="page"/>
      </w:r>
    </w:p>
    <w:p w14:paraId="02967F4C" w14:textId="77777777" w:rsidR="00CB60E1" w:rsidRDefault="00CC1958" w:rsidP="00855520">
      <w:pPr>
        <w:pStyle w:val="Heading3"/>
      </w:pPr>
      <w:bookmarkStart w:id="150" w:name="_Toc88657427"/>
      <w:bookmarkStart w:id="151" w:name="_Toc80283608"/>
      <w:bookmarkStart w:id="152" w:name="_Toc80283609"/>
      <w:bookmarkStart w:id="153" w:name="_Toc80283610"/>
      <w:bookmarkStart w:id="154" w:name="_Toc80283611"/>
      <w:bookmarkStart w:id="155" w:name="_Toc79581646"/>
      <w:bookmarkStart w:id="156" w:name="_Toc79684613"/>
      <w:bookmarkStart w:id="157" w:name="_Toc87887961"/>
      <w:bookmarkStart w:id="158" w:name="_Toc89692966"/>
      <w:bookmarkEnd w:id="150"/>
      <w:bookmarkEnd w:id="151"/>
      <w:bookmarkEnd w:id="152"/>
      <w:bookmarkEnd w:id="153"/>
      <w:bookmarkEnd w:id="154"/>
      <w:r>
        <w:lastRenderedPageBreak/>
        <w:t>Participant d</w:t>
      </w:r>
      <w:r w:rsidR="00CB60E1" w:rsidRPr="00DF2F62">
        <w:t>emographics</w:t>
      </w:r>
      <w:bookmarkEnd w:id="155"/>
      <w:bookmarkEnd w:id="156"/>
      <w:bookmarkEnd w:id="157"/>
      <w:bookmarkEnd w:id="158"/>
    </w:p>
    <w:p w14:paraId="629E38CF" w14:textId="77777777" w:rsidR="008175A2" w:rsidRDefault="008175A2" w:rsidP="00855520">
      <w:pPr>
        <w:pStyle w:val="Heading4"/>
      </w:pPr>
      <w:bookmarkStart w:id="159" w:name="_Toc83193295"/>
      <w:bookmarkStart w:id="160" w:name="_Toc87887962"/>
      <w:bookmarkStart w:id="161" w:name="_Toc89692967"/>
      <w:r>
        <w:t>Age</w:t>
      </w:r>
      <w:bookmarkEnd w:id="159"/>
      <w:bookmarkEnd w:id="160"/>
      <w:bookmarkEnd w:id="161"/>
    </w:p>
    <w:p w14:paraId="6AF651DD" w14:textId="77777777" w:rsidR="00094EC2" w:rsidRPr="00094EC2" w:rsidRDefault="00A721A5" w:rsidP="00094EC2">
      <w:r>
        <w:t xml:space="preserve">There </w:t>
      </w:r>
      <w:r w:rsidR="00D81830">
        <w:t>were</w:t>
      </w:r>
      <w:r>
        <w:t xml:space="preserve"> no major changes to the proportion of participants in each age band from the previous quarter, </w:t>
      </w:r>
      <w:r w:rsidR="00D81830">
        <w:t xml:space="preserve">most </w:t>
      </w:r>
      <w:r w:rsidR="00094EC2">
        <w:t>SDA-</w:t>
      </w:r>
      <w:r w:rsidR="00094EC2" w:rsidRPr="00DF2F62">
        <w:t xml:space="preserve">eligible participants </w:t>
      </w:r>
      <w:r>
        <w:t xml:space="preserve">remain in the </w:t>
      </w:r>
      <w:r w:rsidR="00094EC2" w:rsidRPr="00DF2F62">
        <w:t xml:space="preserve">45 </w:t>
      </w:r>
      <w:r>
        <w:t xml:space="preserve">to </w:t>
      </w:r>
      <w:r w:rsidR="00094EC2" w:rsidRPr="00DF2F62">
        <w:t>64</w:t>
      </w:r>
      <w:r>
        <w:t xml:space="preserve"> age bracket</w:t>
      </w:r>
      <w:r w:rsidR="00094EC2" w:rsidRPr="00DF2F62">
        <w:t>.</w:t>
      </w:r>
    </w:p>
    <w:p w14:paraId="06AF7503" w14:textId="1400A93D" w:rsidR="001E36D1" w:rsidRDefault="00CE75FA" w:rsidP="00CE75FA">
      <w:pPr>
        <w:rPr>
          <w:b/>
          <w:sz w:val="16"/>
          <w:szCs w:val="16"/>
        </w:rPr>
      </w:pPr>
      <w:bookmarkStart w:id="162" w:name="_Toc79493365"/>
      <w:r w:rsidRPr="00DF2F62">
        <w:rPr>
          <w:b/>
          <w:sz w:val="16"/>
          <w:szCs w:val="16"/>
        </w:rPr>
        <w:t xml:space="preserve">Figure </w:t>
      </w:r>
      <w:r w:rsidR="006546B5" w:rsidRPr="00DF2F62">
        <w:rPr>
          <w:b/>
          <w:sz w:val="16"/>
          <w:szCs w:val="16"/>
        </w:rPr>
        <w:fldChar w:fldCharType="begin"/>
      </w:r>
      <w:r w:rsidR="006546B5" w:rsidRPr="00DF2F62">
        <w:rPr>
          <w:b/>
          <w:sz w:val="16"/>
          <w:szCs w:val="16"/>
        </w:rPr>
        <w:instrText xml:space="preserve"> SEQ Figure \* ARABIC </w:instrText>
      </w:r>
      <w:r w:rsidR="006546B5" w:rsidRPr="00DF2F62">
        <w:rPr>
          <w:b/>
          <w:sz w:val="16"/>
          <w:szCs w:val="16"/>
        </w:rPr>
        <w:fldChar w:fldCharType="separate"/>
      </w:r>
      <w:r w:rsidR="00D402F6">
        <w:rPr>
          <w:b/>
          <w:noProof/>
          <w:sz w:val="16"/>
          <w:szCs w:val="16"/>
        </w:rPr>
        <w:t>13</w:t>
      </w:r>
      <w:r w:rsidR="006546B5" w:rsidRPr="00DF2F62">
        <w:rPr>
          <w:b/>
          <w:noProof/>
          <w:sz w:val="16"/>
          <w:szCs w:val="16"/>
        </w:rPr>
        <w:fldChar w:fldCharType="end"/>
      </w:r>
      <w:r w:rsidRPr="00DF2F62">
        <w:rPr>
          <w:b/>
          <w:sz w:val="16"/>
          <w:szCs w:val="16"/>
        </w:rPr>
        <w:t xml:space="preserve">: Participants </w:t>
      </w:r>
      <w:r w:rsidR="00AF7955" w:rsidRPr="00DF2F62">
        <w:rPr>
          <w:b/>
          <w:sz w:val="16"/>
          <w:szCs w:val="16"/>
        </w:rPr>
        <w:t xml:space="preserve">with SDA </w:t>
      </w:r>
      <w:r w:rsidRPr="00DF2F62">
        <w:rPr>
          <w:b/>
          <w:sz w:val="16"/>
          <w:szCs w:val="16"/>
        </w:rPr>
        <w:t>by age</w:t>
      </w:r>
      <w:bookmarkEnd w:id="145"/>
      <w:bookmarkEnd w:id="162"/>
      <w:r w:rsidR="00DA49C3">
        <w:rPr>
          <w:b/>
          <w:sz w:val="16"/>
          <w:szCs w:val="16"/>
        </w:rPr>
        <w:t xml:space="preserve"> </w:t>
      </w:r>
      <w:r w:rsidR="00C47932">
        <w:rPr>
          <w:b/>
          <w:sz w:val="16"/>
          <w:szCs w:val="16"/>
        </w:rPr>
        <w:t xml:space="preserve">at the end of </w:t>
      </w:r>
      <w:r w:rsidR="00B367C0" w:rsidRPr="00B367C0">
        <w:rPr>
          <w:b/>
          <w:sz w:val="16"/>
          <w:szCs w:val="16"/>
        </w:rPr>
        <w:t>Q1 FY21-22</w:t>
      </w:r>
    </w:p>
    <w:p w14:paraId="1428B2F5" w14:textId="77777777" w:rsidR="00896E72" w:rsidRDefault="00896E72" w:rsidP="00CE75FA">
      <w:pPr>
        <w:rPr>
          <w:b/>
          <w:sz w:val="16"/>
          <w:szCs w:val="16"/>
        </w:rPr>
      </w:pPr>
      <w:r w:rsidRPr="00997BC4">
        <w:rPr>
          <w:noProof/>
          <w:lang w:eastAsia="en-AU"/>
        </w:rPr>
        <w:drawing>
          <wp:inline distT="0" distB="0" distL="0" distR="0" wp14:anchorId="748E32DE" wp14:editId="0E4272E6">
            <wp:extent cx="5748536" cy="2880000"/>
            <wp:effectExtent l="0" t="0" r="5080" b="0"/>
            <wp:docPr id="45" name="Picture 45" descr="This is a column graph displaying the number of participants across age groups at the end of Q1 FY21-22.&#10;&#10;There is a relatively older population with the largest age groups being 45 to 64 of age. The next largest age groups of note being 25 to 44 years of age.&#10;&#10;0-6 = zero participants&#10;7-14 = two participants&#10;15-18 = 109 participants&#10;19-24 = 850 participants&#10;25-34 = 2,329 participants&#10;35-44 = 2,903 participants&#10;45-54 = 4,344 participants&#10;55-64 = 4,643 participants&#10;65+ = 1,167 participants" title="Figure 13: Participants with SDA by age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48536" cy="2880000"/>
                    </a:xfrm>
                    <a:prstGeom prst="rect">
                      <a:avLst/>
                    </a:prstGeom>
                    <a:noFill/>
                    <a:ln>
                      <a:noFill/>
                    </a:ln>
                  </pic:spPr>
                </pic:pic>
              </a:graphicData>
            </a:graphic>
          </wp:inline>
        </w:drawing>
      </w:r>
    </w:p>
    <w:p w14:paraId="786623B0" w14:textId="77777777" w:rsidR="008175A2" w:rsidRDefault="008175A2" w:rsidP="00855520">
      <w:pPr>
        <w:pStyle w:val="Heading4"/>
      </w:pPr>
      <w:bookmarkStart w:id="163" w:name="_Toc88657430"/>
      <w:bookmarkStart w:id="164" w:name="_Toc88657431"/>
      <w:bookmarkStart w:id="165" w:name="_Toc88657432"/>
      <w:bookmarkStart w:id="166" w:name="_Toc83193296"/>
      <w:bookmarkStart w:id="167" w:name="_Toc87887963"/>
      <w:bookmarkStart w:id="168" w:name="_Toc89692968"/>
      <w:bookmarkEnd w:id="163"/>
      <w:bookmarkEnd w:id="164"/>
      <w:bookmarkEnd w:id="165"/>
      <w:r>
        <w:t>Primary disability type</w:t>
      </w:r>
      <w:bookmarkEnd w:id="166"/>
      <w:bookmarkEnd w:id="167"/>
      <w:bookmarkEnd w:id="168"/>
    </w:p>
    <w:p w14:paraId="01740A1B" w14:textId="77777777" w:rsidR="00B367C0" w:rsidRDefault="00A6737F" w:rsidP="00B367C0">
      <w:r>
        <w:t>A</w:t>
      </w:r>
      <w:r w:rsidR="00A304A6" w:rsidRPr="00DF2F62">
        <w:t xml:space="preserve">lmost half of </w:t>
      </w:r>
      <w:r w:rsidR="00EF7104">
        <w:t xml:space="preserve">SDA eligible </w:t>
      </w:r>
      <w:r w:rsidR="001606BC" w:rsidRPr="00DF2F62">
        <w:t>participants have</w:t>
      </w:r>
      <w:r w:rsidR="00A304A6" w:rsidRPr="00DF2F62">
        <w:t xml:space="preserve"> an intellectual disability as their primary disability (4</w:t>
      </w:r>
      <w:r w:rsidR="00A721A5">
        <w:t>7</w:t>
      </w:r>
      <w:r w:rsidR="00A304A6" w:rsidRPr="00DF2F62">
        <w:t>%)</w:t>
      </w:r>
      <w:r w:rsidR="00A721A5">
        <w:t xml:space="preserve">. </w:t>
      </w:r>
      <w:r w:rsidR="00B367C0" w:rsidRPr="00DF2F62">
        <w:t xml:space="preserve">The next 2 largest </w:t>
      </w:r>
      <w:r>
        <w:t xml:space="preserve">groups are </w:t>
      </w:r>
      <w:r w:rsidR="00B367C0" w:rsidRPr="00DF2F62">
        <w:t>participants with cerebral palsy (1</w:t>
      </w:r>
      <w:r w:rsidR="0030276C">
        <w:t>1</w:t>
      </w:r>
      <w:r w:rsidR="00B367C0" w:rsidRPr="00DF2F62">
        <w:t>%) and participants with autism (1</w:t>
      </w:r>
      <w:r w:rsidR="00B367C0">
        <w:t>0</w:t>
      </w:r>
      <w:r w:rsidR="00B367C0" w:rsidRPr="00DF2F62">
        <w:t>%).</w:t>
      </w:r>
      <w:r>
        <w:t xml:space="preserve"> These figures remain </w:t>
      </w:r>
      <w:r w:rsidR="000C01B7">
        <w:t xml:space="preserve">relatively </w:t>
      </w:r>
      <w:r>
        <w:t xml:space="preserve">stable from the Q4 2020-21 </w:t>
      </w:r>
      <w:r w:rsidR="000C01B7">
        <w:t xml:space="preserve">SDA </w:t>
      </w:r>
      <w:r>
        <w:t>Report.</w:t>
      </w:r>
    </w:p>
    <w:p w14:paraId="5BB46854" w14:textId="77777777" w:rsidR="00AB73AD" w:rsidRDefault="00AB73AD" w:rsidP="00B367C0">
      <w:r>
        <w:t xml:space="preserve">The proportion of </w:t>
      </w:r>
      <w:r w:rsidR="00EF7104">
        <w:t>SDA eligible</w:t>
      </w:r>
      <w:r>
        <w:t xml:space="preserve"> participants with intellectual disability has decreased by 1% from the previous quarter (a decrease of 14 participants)</w:t>
      </w:r>
      <w:r w:rsidRPr="00DF2F62">
        <w:t>.</w:t>
      </w:r>
      <w:r>
        <w:t xml:space="preserve"> The largest increases to proportion of </w:t>
      </w:r>
      <w:r w:rsidR="00EF7104">
        <w:t xml:space="preserve">participants eligible </w:t>
      </w:r>
      <w:r w:rsidR="001606BC">
        <w:t>for SDA</w:t>
      </w:r>
      <w:r>
        <w:t xml:space="preserve"> by primary disability type came from participants with primary disabilities of other neurological (0.35%), stroke (0.27%) and multiple sclerosis (0.21%).</w:t>
      </w:r>
      <w:r w:rsidRPr="00DF2F62">
        <w:t xml:space="preserve"> </w:t>
      </w:r>
    </w:p>
    <w:p w14:paraId="33133309" w14:textId="113AEC80" w:rsidR="008175A2" w:rsidRDefault="008175A2" w:rsidP="008175A2">
      <w:pPr>
        <w:pStyle w:val="Caption"/>
        <w:keepNext/>
        <w:rPr>
          <w:caps w:val="0"/>
        </w:rPr>
      </w:pPr>
      <w:bookmarkStart w:id="169" w:name="_Ref81480264"/>
      <w:r w:rsidRPr="00DF2F62">
        <w:rPr>
          <w:caps w:val="0"/>
        </w:rPr>
        <w:t xml:space="preserve">Table </w:t>
      </w:r>
      <w:r w:rsidRPr="00DF2F62">
        <w:rPr>
          <w:caps w:val="0"/>
        </w:rPr>
        <w:fldChar w:fldCharType="begin"/>
      </w:r>
      <w:r w:rsidRPr="00DF2F62">
        <w:rPr>
          <w:caps w:val="0"/>
        </w:rPr>
        <w:instrText xml:space="preserve"> SEQ Table \* ARABIC </w:instrText>
      </w:r>
      <w:r w:rsidRPr="00DF2F62">
        <w:rPr>
          <w:caps w:val="0"/>
        </w:rPr>
        <w:fldChar w:fldCharType="separate"/>
      </w:r>
      <w:r w:rsidR="00D402F6">
        <w:rPr>
          <w:caps w:val="0"/>
          <w:noProof/>
        </w:rPr>
        <w:t>10</w:t>
      </w:r>
      <w:r w:rsidRPr="00DF2F62">
        <w:rPr>
          <w:caps w:val="0"/>
        </w:rPr>
        <w:fldChar w:fldCharType="end"/>
      </w:r>
      <w:bookmarkEnd w:id="169"/>
      <w:r w:rsidRPr="00DF2F62">
        <w:rPr>
          <w:caps w:val="0"/>
        </w:rPr>
        <w:t>: Percentage of participants with SDA by primary disability type</w:t>
      </w:r>
      <w:r>
        <w:rPr>
          <w:caps w:val="0"/>
        </w:rPr>
        <w:t xml:space="preserve"> </w:t>
      </w:r>
      <w:r w:rsidR="00C47932">
        <w:rPr>
          <w:caps w:val="0"/>
        </w:rPr>
        <w:t>at the end of</w:t>
      </w:r>
      <w:r w:rsidR="00B367C0" w:rsidRPr="00B72D81">
        <w:rPr>
          <w:caps w:val="0"/>
        </w:rPr>
        <w:t xml:space="preserve"> Q</w:t>
      </w:r>
      <w:r w:rsidR="00B367C0">
        <w:rPr>
          <w:caps w:val="0"/>
        </w:rPr>
        <w:t>1</w:t>
      </w:r>
      <w:r w:rsidR="00B367C0" w:rsidRPr="00B72D81">
        <w:rPr>
          <w:caps w:val="0"/>
        </w:rPr>
        <w:t xml:space="preserve"> FY2</w:t>
      </w:r>
      <w:r w:rsidR="00B367C0">
        <w:rPr>
          <w:caps w:val="0"/>
        </w:rPr>
        <w:t>1</w:t>
      </w:r>
      <w:r w:rsidR="00B367C0" w:rsidRPr="00B72D81">
        <w:rPr>
          <w:caps w:val="0"/>
        </w:rPr>
        <w:t>-2</w:t>
      </w:r>
      <w:r w:rsidR="00B367C0">
        <w:rPr>
          <w:caps w:val="0"/>
        </w:rPr>
        <w:t>2</w:t>
      </w:r>
    </w:p>
    <w:tbl>
      <w:tblPr>
        <w:tblStyle w:val="LightShading-Accent4"/>
        <w:tblW w:w="9067" w:type="dxa"/>
        <w:tblLook w:val="04A0" w:firstRow="1" w:lastRow="0" w:firstColumn="1" w:lastColumn="0" w:noHBand="0" w:noVBand="1"/>
        <w:tblCaption w:val="Table 10: Percentage of participants with SDA by primary disability type at the end of Q1 FY21-22"/>
        <w:tblDescription w:val="This table displays the proportion of participants with SDA by their primary disability type at the end of Q1 FY21-22.&#10;&#10;Participants with intellectual disability make up almost half of the SDA population with 47%. Participants with cerebral palsy (11%) and participants with autism (10%) are the next largest primary disabilities amongst SDA participants.&#10;&#10;Autism - 8%&#10;Acquired brain injury (ABI) - 8%&#10;Other neurological - 5%&#10;Psychosocial disability - 4%&#10;Stroke - 2%&#10;Multiple sclerosis - 2%&#10;Other physical - 1%&#10;Spinal cord injury - 1%&#10;Other disabilities - 0%&#10;Visual impairment - 0%&#10;Hearing impairment - 0%"/>
      </w:tblPr>
      <w:tblGrid>
        <w:gridCol w:w="3544"/>
        <w:gridCol w:w="2693"/>
        <w:gridCol w:w="2830"/>
      </w:tblGrid>
      <w:tr w:rsidR="00855520" w:rsidRPr="0003383D" w14:paraId="719238D1" w14:textId="77777777" w:rsidTr="008E11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0299C161" w14:textId="77777777" w:rsidR="00855520" w:rsidRPr="00E21978" w:rsidRDefault="00855520" w:rsidP="00B36561">
            <w:pPr>
              <w:rPr>
                <w:color w:val="FFFFFF"/>
                <w:sz w:val="16"/>
                <w:szCs w:val="16"/>
              </w:rPr>
            </w:pPr>
            <w:r w:rsidRPr="00E21978">
              <w:rPr>
                <w:color w:val="FFFFFF"/>
                <w:sz w:val="16"/>
                <w:szCs w:val="16"/>
              </w:rPr>
              <w:t>Primary disability type / number of participants with SDA</w:t>
            </w:r>
          </w:p>
        </w:tc>
        <w:tc>
          <w:tcPr>
            <w:tcW w:w="2693" w:type="dxa"/>
          </w:tcPr>
          <w:p w14:paraId="5F9C694C" w14:textId="77777777" w:rsidR="00855520" w:rsidRPr="00E21978" w:rsidRDefault="00855520" w:rsidP="008E1176">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E21978">
              <w:rPr>
                <w:color w:val="FFFFFF"/>
                <w:sz w:val="16"/>
                <w:szCs w:val="16"/>
              </w:rPr>
              <w:t>Number of SDA participants</w:t>
            </w:r>
          </w:p>
        </w:tc>
        <w:tc>
          <w:tcPr>
            <w:tcW w:w="2830" w:type="dxa"/>
          </w:tcPr>
          <w:p w14:paraId="0E807842" w14:textId="77777777" w:rsidR="00855520" w:rsidRPr="00E21978" w:rsidRDefault="00855520" w:rsidP="008E1176">
            <w:pPr>
              <w:jc w:val="right"/>
              <w:cnfStyle w:val="100000000000" w:firstRow="1" w:lastRow="0" w:firstColumn="0" w:lastColumn="0" w:oddVBand="0" w:evenVBand="0" w:oddHBand="0" w:evenHBand="0" w:firstRowFirstColumn="0" w:firstRowLastColumn="0" w:lastRowFirstColumn="0" w:lastRowLastColumn="0"/>
              <w:rPr>
                <w:color w:val="FFFFFF"/>
                <w:sz w:val="16"/>
                <w:szCs w:val="16"/>
              </w:rPr>
            </w:pPr>
            <w:r w:rsidRPr="00E21978">
              <w:rPr>
                <w:color w:val="FFFFFF"/>
                <w:sz w:val="16"/>
                <w:szCs w:val="16"/>
              </w:rPr>
              <w:t>Proportion of SDA participants</w:t>
            </w:r>
          </w:p>
        </w:tc>
      </w:tr>
      <w:tr w:rsidR="00A721A5" w:rsidRPr="0003383D" w14:paraId="5D144B91"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19A96A6" w14:textId="77777777" w:rsidR="00A721A5" w:rsidRPr="00E21978" w:rsidRDefault="00A721A5" w:rsidP="00A721A5">
            <w:pPr>
              <w:rPr>
                <w:sz w:val="16"/>
                <w:szCs w:val="16"/>
              </w:rPr>
            </w:pPr>
            <w:r w:rsidRPr="00E21978">
              <w:rPr>
                <w:sz w:val="16"/>
                <w:szCs w:val="16"/>
              </w:rPr>
              <w:t>Intellectual disability</w:t>
            </w:r>
          </w:p>
        </w:tc>
        <w:tc>
          <w:tcPr>
            <w:tcW w:w="2693" w:type="dxa"/>
          </w:tcPr>
          <w:p w14:paraId="7292275B"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 xml:space="preserve"> 7,647 </w:t>
            </w:r>
          </w:p>
        </w:tc>
        <w:tc>
          <w:tcPr>
            <w:tcW w:w="2830" w:type="dxa"/>
          </w:tcPr>
          <w:p w14:paraId="6BFCD214"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47%</w:t>
            </w:r>
          </w:p>
        </w:tc>
      </w:tr>
      <w:tr w:rsidR="00A721A5" w:rsidRPr="0003383D" w14:paraId="2F5D2FF2"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EA3CEB8" w14:textId="77777777" w:rsidR="00A721A5" w:rsidRPr="00E21978" w:rsidRDefault="00A721A5" w:rsidP="00A721A5">
            <w:pPr>
              <w:rPr>
                <w:sz w:val="16"/>
                <w:szCs w:val="16"/>
              </w:rPr>
            </w:pPr>
            <w:r w:rsidRPr="00E21978">
              <w:rPr>
                <w:sz w:val="16"/>
                <w:szCs w:val="16"/>
              </w:rPr>
              <w:t>Cerebral palsy</w:t>
            </w:r>
          </w:p>
        </w:tc>
        <w:tc>
          <w:tcPr>
            <w:tcW w:w="2693" w:type="dxa"/>
          </w:tcPr>
          <w:p w14:paraId="1D3E48E7"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 xml:space="preserve"> 1,873 </w:t>
            </w:r>
          </w:p>
        </w:tc>
        <w:tc>
          <w:tcPr>
            <w:tcW w:w="2830" w:type="dxa"/>
          </w:tcPr>
          <w:p w14:paraId="797F9AA9"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11%</w:t>
            </w:r>
          </w:p>
        </w:tc>
      </w:tr>
      <w:tr w:rsidR="00A721A5" w:rsidRPr="0003383D" w14:paraId="35202E60"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50515C8" w14:textId="77777777" w:rsidR="00A721A5" w:rsidRPr="00E21978" w:rsidRDefault="00A721A5" w:rsidP="00A721A5">
            <w:pPr>
              <w:rPr>
                <w:sz w:val="16"/>
                <w:szCs w:val="16"/>
              </w:rPr>
            </w:pPr>
            <w:r w:rsidRPr="00E21978">
              <w:rPr>
                <w:sz w:val="16"/>
                <w:szCs w:val="16"/>
              </w:rPr>
              <w:t>Autism</w:t>
            </w:r>
          </w:p>
        </w:tc>
        <w:tc>
          <w:tcPr>
            <w:tcW w:w="2693" w:type="dxa"/>
          </w:tcPr>
          <w:p w14:paraId="4F215C58"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 xml:space="preserve"> 1,704 </w:t>
            </w:r>
          </w:p>
        </w:tc>
        <w:tc>
          <w:tcPr>
            <w:tcW w:w="2830" w:type="dxa"/>
          </w:tcPr>
          <w:p w14:paraId="4DE068C5"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10%</w:t>
            </w:r>
          </w:p>
        </w:tc>
      </w:tr>
      <w:tr w:rsidR="00A721A5" w:rsidRPr="0003383D" w14:paraId="38DD8FEC"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E9FE66D" w14:textId="77777777" w:rsidR="00A721A5" w:rsidRPr="00E21978" w:rsidRDefault="00A721A5" w:rsidP="00A721A5">
            <w:pPr>
              <w:rPr>
                <w:sz w:val="16"/>
                <w:szCs w:val="16"/>
              </w:rPr>
            </w:pPr>
            <w:r w:rsidRPr="00E21978">
              <w:rPr>
                <w:sz w:val="16"/>
                <w:szCs w:val="16"/>
              </w:rPr>
              <w:t>Down syndrome</w:t>
            </w:r>
          </w:p>
        </w:tc>
        <w:tc>
          <w:tcPr>
            <w:tcW w:w="2693" w:type="dxa"/>
          </w:tcPr>
          <w:p w14:paraId="4757BD5D"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 xml:space="preserve"> 1,267 </w:t>
            </w:r>
          </w:p>
        </w:tc>
        <w:tc>
          <w:tcPr>
            <w:tcW w:w="2830" w:type="dxa"/>
          </w:tcPr>
          <w:p w14:paraId="0C08637E"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8%</w:t>
            </w:r>
          </w:p>
        </w:tc>
      </w:tr>
      <w:tr w:rsidR="00A721A5" w:rsidRPr="0003383D" w14:paraId="1D6AC808"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6E71E96" w14:textId="77777777" w:rsidR="00A721A5" w:rsidRPr="00E21978" w:rsidRDefault="00A721A5" w:rsidP="00A721A5">
            <w:pPr>
              <w:rPr>
                <w:sz w:val="16"/>
                <w:szCs w:val="16"/>
              </w:rPr>
            </w:pPr>
            <w:r w:rsidRPr="00E21978">
              <w:rPr>
                <w:sz w:val="16"/>
                <w:szCs w:val="16"/>
              </w:rPr>
              <w:t>Acquired brain injury (ABI)</w:t>
            </w:r>
          </w:p>
        </w:tc>
        <w:tc>
          <w:tcPr>
            <w:tcW w:w="2693" w:type="dxa"/>
          </w:tcPr>
          <w:p w14:paraId="0B8D2FC5"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 xml:space="preserve"> 1,242 </w:t>
            </w:r>
          </w:p>
        </w:tc>
        <w:tc>
          <w:tcPr>
            <w:tcW w:w="2830" w:type="dxa"/>
          </w:tcPr>
          <w:p w14:paraId="426E52C9"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8%</w:t>
            </w:r>
          </w:p>
        </w:tc>
      </w:tr>
      <w:tr w:rsidR="00A721A5" w:rsidRPr="0003383D" w14:paraId="4BBDF4C4"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4889AAC" w14:textId="77777777" w:rsidR="00A721A5" w:rsidRPr="00E21978" w:rsidRDefault="00A721A5" w:rsidP="00A721A5">
            <w:pPr>
              <w:rPr>
                <w:sz w:val="16"/>
                <w:szCs w:val="16"/>
              </w:rPr>
            </w:pPr>
            <w:r w:rsidRPr="00E21978">
              <w:rPr>
                <w:sz w:val="16"/>
                <w:szCs w:val="16"/>
              </w:rPr>
              <w:t>Other neurological</w:t>
            </w:r>
          </w:p>
        </w:tc>
        <w:tc>
          <w:tcPr>
            <w:tcW w:w="2693" w:type="dxa"/>
          </w:tcPr>
          <w:p w14:paraId="27A28211"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 xml:space="preserve"> 749 </w:t>
            </w:r>
          </w:p>
        </w:tc>
        <w:tc>
          <w:tcPr>
            <w:tcW w:w="2830" w:type="dxa"/>
          </w:tcPr>
          <w:p w14:paraId="206487E4"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5%</w:t>
            </w:r>
          </w:p>
        </w:tc>
      </w:tr>
      <w:tr w:rsidR="00A721A5" w:rsidRPr="0003383D" w14:paraId="761EE0D5"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163F338" w14:textId="77777777" w:rsidR="00A721A5" w:rsidRPr="00E21978" w:rsidRDefault="00A721A5" w:rsidP="00A721A5">
            <w:pPr>
              <w:rPr>
                <w:sz w:val="16"/>
                <w:szCs w:val="16"/>
              </w:rPr>
            </w:pPr>
            <w:r w:rsidRPr="00E21978">
              <w:rPr>
                <w:sz w:val="16"/>
                <w:szCs w:val="16"/>
              </w:rPr>
              <w:t>Psychosocial disability</w:t>
            </w:r>
          </w:p>
        </w:tc>
        <w:tc>
          <w:tcPr>
            <w:tcW w:w="2693" w:type="dxa"/>
          </w:tcPr>
          <w:p w14:paraId="02769A64"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 xml:space="preserve"> 659 </w:t>
            </w:r>
          </w:p>
        </w:tc>
        <w:tc>
          <w:tcPr>
            <w:tcW w:w="2830" w:type="dxa"/>
          </w:tcPr>
          <w:p w14:paraId="1B0DA926"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4%</w:t>
            </w:r>
          </w:p>
        </w:tc>
      </w:tr>
      <w:tr w:rsidR="00A721A5" w:rsidRPr="0003383D" w14:paraId="3C08A794"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9A44DE8" w14:textId="77777777" w:rsidR="00A721A5" w:rsidRPr="00E21978" w:rsidRDefault="00A721A5" w:rsidP="00A721A5">
            <w:pPr>
              <w:rPr>
                <w:sz w:val="16"/>
                <w:szCs w:val="16"/>
              </w:rPr>
            </w:pPr>
            <w:r w:rsidRPr="00E21978">
              <w:rPr>
                <w:sz w:val="16"/>
                <w:szCs w:val="16"/>
              </w:rPr>
              <w:t>Stroke</w:t>
            </w:r>
          </w:p>
        </w:tc>
        <w:tc>
          <w:tcPr>
            <w:tcW w:w="2693" w:type="dxa"/>
          </w:tcPr>
          <w:p w14:paraId="4F4D80F1"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 xml:space="preserve"> 317 </w:t>
            </w:r>
          </w:p>
        </w:tc>
        <w:tc>
          <w:tcPr>
            <w:tcW w:w="2830" w:type="dxa"/>
          </w:tcPr>
          <w:p w14:paraId="6B587836"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2%</w:t>
            </w:r>
          </w:p>
        </w:tc>
      </w:tr>
      <w:tr w:rsidR="00A721A5" w:rsidRPr="0003383D" w14:paraId="5F991CC1"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311AB43" w14:textId="77777777" w:rsidR="00A721A5" w:rsidRPr="00E21978" w:rsidRDefault="00A721A5" w:rsidP="00A721A5">
            <w:pPr>
              <w:rPr>
                <w:sz w:val="16"/>
                <w:szCs w:val="16"/>
              </w:rPr>
            </w:pPr>
            <w:r w:rsidRPr="00E21978">
              <w:rPr>
                <w:sz w:val="16"/>
                <w:szCs w:val="16"/>
              </w:rPr>
              <w:lastRenderedPageBreak/>
              <w:t>Multiple sclerosis</w:t>
            </w:r>
          </w:p>
        </w:tc>
        <w:tc>
          <w:tcPr>
            <w:tcW w:w="2693" w:type="dxa"/>
          </w:tcPr>
          <w:p w14:paraId="47E402A7"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 xml:space="preserve"> 292 </w:t>
            </w:r>
          </w:p>
        </w:tc>
        <w:tc>
          <w:tcPr>
            <w:tcW w:w="2830" w:type="dxa"/>
          </w:tcPr>
          <w:p w14:paraId="1146AE4B"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2%</w:t>
            </w:r>
          </w:p>
        </w:tc>
      </w:tr>
      <w:tr w:rsidR="00A721A5" w:rsidRPr="0003383D" w14:paraId="650176A8"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FF10A15" w14:textId="77777777" w:rsidR="00A721A5" w:rsidRPr="00E21978" w:rsidRDefault="00A721A5" w:rsidP="00A721A5">
            <w:pPr>
              <w:rPr>
                <w:sz w:val="16"/>
                <w:szCs w:val="16"/>
              </w:rPr>
            </w:pPr>
            <w:r w:rsidRPr="00E21978">
              <w:rPr>
                <w:sz w:val="16"/>
                <w:szCs w:val="16"/>
              </w:rPr>
              <w:t>Other physical</w:t>
            </w:r>
          </w:p>
        </w:tc>
        <w:tc>
          <w:tcPr>
            <w:tcW w:w="2693" w:type="dxa"/>
          </w:tcPr>
          <w:p w14:paraId="2D1C85AC"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 xml:space="preserve"> 245 </w:t>
            </w:r>
          </w:p>
        </w:tc>
        <w:tc>
          <w:tcPr>
            <w:tcW w:w="2830" w:type="dxa"/>
          </w:tcPr>
          <w:p w14:paraId="3A40DA3F"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1%</w:t>
            </w:r>
          </w:p>
        </w:tc>
      </w:tr>
      <w:tr w:rsidR="00A721A5" w:rsidRPr="0003383D" w14:paraId="7B15D3A8"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431E7B9" w14:textId="77777777" w:rsidR="00A721A5" w:rsidRPr="00E21978" w:rsidRDefault="00A721A5" w:rsidP="00A721A5">
            <w:pPr>
              <w:rPr>
                <w:sz w:val="16"/>
                <w:szCs w:val="16"/>
              </w:rPr>
            </w:pPr>
            <w:r w:rsidRPr="00E21978">
              <w:rPr>
                <w:sz w:val="16"/>
                <w:szCs w:val="16"/>
              </w:rPr>
              <w:t>Spinal cord injury</w:t>
            </w:r>
          </w:p>
        </w:tc>
        <w:tc>
          <w:tcPr>
            <w:tcW w:w="2693" w:type="dxa"/>
          </w:tcPr>
          <w:p w14:paraId="09934BC6"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 xml:space="preserve"> 222 </w:t>
            </w:r>
          </w:p>
        </w:tc>
        <w:tc>
          <w:tcPr>
            <w:tcW w:w="2830" w:type="dxa"/>
          </w:tcPr>
          <w:p w14:paraId="72CE9ACE"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1%</w:t>
            </w:r>
          </w:p>
        </w:tc>
      </w:tr>
      <w:tr w:rsidR="00A721A5" w:rsidRPr="0003383D" w14:paraId="575B7A12"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F65D9EE" w14:textId="77777777" w:rsidR="00A721A5" w:rsidRPr="00E21978" w:rsidRDefault="00A721A5" w:rsidP="00A721A5">
            <w:pPr>
              <w:rPr>
                <w:sz w:val="16"/>
                <w:szCs w:val="16"/>
              </w:rPr>
            </w:pPr>
            <w:r w:rsidRPr="00E21978">
              <w:rPr>
                <w:sz w:val="16"/>
                <w:szCs w:val="16"/>
              </w:rPr>
              <w:t>Other</w:t>
            </w:r>
          </w:p>
        </w:tc>
        <w:tc>
          <w:tcPr>
            <w:tcW w:w="2693" w:type="dxa"/>
          </w:tcPr>
          <w:p w14:paraId="516649B7"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 xml:space="preserve"> 71 </w:t>
            </w:r>
          </w:p>
        </w:tc>
        <w:tc>
          <w:tcPr>
            <w:tcW w:w="2830" w:type="dxa"/>
          </w:tcPr>
          <w:p w14:paraId="5C26CB8B"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0%</w:t>
            </w:r>
          </w:p>
        </w:tc>
      </w:tr>
      <w:tr w:rsidR="00A721A5" w:rsidRPr="0003383D" w14:paraId="07881083"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B66F7ED" w14:textId="77777777" w:rsidR="00A721A5" w:rsidRPr="00E21978" w:rsidRDefault="00A721A5" w:rsidP="00A721A5">
            <w:pPr>
              <w:rPr>
                <w:sz w:val="16"/>
                <w:szCs w:val="16"/>
              </w:rPr>
            </w:pPr>
            <w:r w:rsidRPr="00E21978">
              <w:rPr>
                <w:sz w:val="16"/>
                <w:szCs w:val="16"/>
              </w:rPr>
              <w:t>Visual impairment</w:t>
            </w:r>
          </w:p>
        </w:tc>
        <w:tc>
          <w:tcPr>
            <w:tcW w:w="2693" w:type="dxa"/>
          </w:tcPr>
          <w:p w14:paraId="684234CF"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 xml:space="preserve"> 55 </w:t>
            </w:r>
          </w:p>
        </w:tc>
        <w:tc>
          <w:tcPr>
            <w:tcW w:w="2830" w:type="dxa"/>
          </w:tcPr>
          <w:p w14:paraId="4EF0D0D3" w14:textId="77777777" w:rsidR="00A721A5"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sz w:val="16"/>
                <w:szCs w:val="16"/>
              </w:rPr>
            </w:pPr>
            <w:r w:rsidRPr="00E21978">
              <w:rPr>
                <w:sz w:val="16"/>
                <w:szCs w:val="16"/>
              </w:rPr>
              <w:t>0%</w:t>
            </w:r>
          </w:p>
        </w:tc>
      </w:tr>
      <w:tr w:rsidR="00A721A5" w:rsidRPr="0003383D" w14:paraId="65C7F40C"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9EE2D9C" w14:textId="77777777" w:rsidR="00A721A5" w:rsidRPr="00E21978" w:rsidRDefault="00A721A5" w:rsidP="00A721A5">
            <w:pPr>
              <w:rPr>
                <w:sz w:val="16"/>
                <w:szCs w:val="16"/>
              </w:rPr>
            </w:pPr>
            <w:r w:rsidRPr="00E21978">
              <w:rPr>
                <w:sz w:val="16"/>
                <w:szCs w:val="16"/>
              </w:rPr>
              <w:t>Hearing impairment</w:t>
            </w:r>
          </w:p>
        </w:tc>
        <w:tc>
          <w:tcPr>
            <w:tcW w:w="2693" w:type="dxa"/>
          </w:tcPr>
          <w:p w14:paraId="1158801C"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 xml:space="preserve"> 4 </w:t>
            </w:r>
          </w:p>
        </w:tc>
        <w:tc>
          <w:tcPr>
            <w:tcW w:w="2830" w:type="dxa"/>
          </w:tcPr>
          <w:p w14:paraId="0B375BC3" w14:textId="77777777" w:rsidR="00A721A5" w:rsidRPr="00E21978" w:rsidRDefault="00A721A5" w:rsidP="008E1C0A">
            <w:pPr>
              <w:jc w:val="right"/>
              <w:cnfStyle w:val="000000010000" w:firstRow="0" w:lastRow="0" w:firstColumn="0" w:lastColumn="0" w:oddVBand="0" w:evenVBand="0" w:oddHBand="0" w:evenHBand="1" w:firstRowFirstColumn="0" w:firstRowLastColumn="0" w:lastRowFirstColumn="0" w:lastRowLastColumn="0"/>
              <w:rPr>
                <w:sz w:val="16"/>
                <w:szCs w:val="16"/>
              </w:rPr>
            </w:pPr>
            <w:r w:rsidRPr="00E21978">
              <w:rPr>
                <w:sz w:val="16"/>
                <w:szCs w:val="16"/>
              </w:rPr>
              <w:t>0%</w:t>
            </w:r>
          </w:p>
        </w:tc>
      </w:tr>
      <w:tr w:rsidR="00855520" w:rsidRPr="0003383D" w14:paraId="56647808"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2EA50A4" w14:textId="77777777" w:rsidR="00855520" w:rsidRPr="00E21978" w:rsidRDefault="00855520" w:rsidP="00B36561">
            <w:pPr>
              <w:rPr>
                <w:sz w:val="16"/>
                <w:szCs w:val="16"/>
              </w:rPr>
            </w:pPr>
            <w:r w:rsidRPr="00E21978">
              <w:rPr>
                <w:sz w:val="16"/>
                <w:szCs w:val="16"/>
              </w:rPr>
              <w:t>Total</w:t>
            </w:r>
          </w:p>
        </w:tc>
        <w:tc>
          <w:tcPr>
            <w:tcW w:w="2693" w:type="dxa"/>
          </w:tcPr>
          <w:p w14:paraId="32248D14" w14:textId="77777777" w:rsidR="00855520"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b/>
                <w:sz w:val="16"/>
                <w:szCs w:val="16"/>
              </w:rPr>
            </w:pPr>
            <w:r w:rsidRPr="00E21978">
              <w:rPr>
                <w:b/>
                <w:sz w:val="16"/>
                <w:szCs w:val="16"/>
              </w:rPr>
              <w:t>16,347</w:t>
            </w:r>
          </w:p>
        </w:tc>
        <w:tc>
          <w:tcPr>
            <w:tcW w:w="2830" w:type="dxa"/>
          </w:tcPr>
          <w:p w14:paraId="3F450884" w14:textId="77777777" w:rsidR="00855520" w:rsidRPr="00E21978" w:rsidRDefault="00A721A5" w:rsidP="008E1C0A">
            <w:pPr>
              <w:jc w:val="right"/>
              <w:cnfStyle w:val="000000100000" w:firstRow="0" w:lastRow="0" w:firstColumn="0" w:lastColumn="0" w:oddVBand="0" w:evenVBand="0" w:oddHBand="1" w:evenHBand="0" w:firstRowFirstColumn="0" w:firstRowLastColumn="0" w:lastRowFirstColumn="0" w:lastRowLastColumn="0"/>
              <w:rPr>
                <w:b/>
                <w:sz w:val="16"/>
                <w:szCs w:val="16"/>
              </w:rPr>
            </w:pPr>
            <w:r w:rsidRPr="00E21978">
              <w:rPr>
                <w:b/>
                <w:sz w:val="16"/>
                <w:szCs w:val="16"/>
              </w:rPr>
              <w:t>100%</w:t>
            </w:r>
          </w:p>
        </w:tc>
      </w:tr>
    </w:tbl>
    <w:p w14:paraId="675DC111" w14:textId="77777777" w:rsidR="008175A2" w:rsidRDefault="008175A2" w:rsidP="00E21978">
      <w:pPr>
        <w:pStyle w:val="Heading4"/>
        <w:spacing w:before="240"/>
        <w:ind w:left="709" w:hanging="709"/>
      </w:pPr>
      <w:bookmarkStart w:id="170" w:name="_Toc88657434"/>
      <w:bookmarkStart w:id="171" w:name="_Toc83193297"/>
      <w:bookmarkStart w:id="172" w:name="_Toc87887964"/>
      <w:bookmarkStart w:id="173" w:name="_Toc89692969"/>
      <w:bookmarkEnd w:id="170"/>
      <w:r>
        <w:t>Other characteristics</w:t>
      </w:r>
      <w:bookmarkEnd w:id="171"/>
      <w:bookmarkEnd w:id="172"/>
      <w:bookmarkEnd w:id="173"/>
    </w:p>
    <w:p w14:paraId="12C4942D" w14:textId="1B14F0EA" w:rsidR="00896E72" w:rsidRPr="00997BC4" w:rsidRDefault="00896E72" w:rsidP="00896E72">
      <w:pPr>
        <w:pStyle w:val="Caption"/>
        <w:keepNext/>
      </w:pPr>
      <w:bookmarkStart w:id="174" w:name="_Toc79490515"/>
      <w:bookmarkStart w:id="175" w:name="_Toc79493366"/>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D402F6">
        <w:rPr>
          <w:caps w:val="0"/>
          <w:noProof/>
        </w:rPr>
        <w:t>14</w:t>
      </w:r>
      <w:r w:rsidRPr="00DF2F62">
        <w:rPr>
          <w:caps w:val="0"/>
          <w:noProof/>
        </w:rPr>
        <w:fldChar w:fldCharType="end"/>
      </w:r>
      <w:r w:rsidRPr="00DF2F62">
        <w:rPr>
          <w:caps w:val="0"/>
        </w:rPr>
        <w:t>: Participants with SDA who identify with a gender</w:t>
      </w:r>
      <w:bookmarkEnd w:id="174"/>
      <w:bookmarkEnd w:id="175"/>
      <w:r>
        <w:rPr>
          <w:caps w:val="0"/>
        </w:rPr>
        <w:t xml:space="preserve"> </w:t>
      </w:r>
      <w:r w:rsidR="009614D1" w:rsidRPr="00B72D81">
        <w:rPr>
          <w:caps w:val="0"/>
        </w:rPr>
        <w:t xml:space="preserve">at </w:t>
      </w:r>
      <w:r w:rsidR="009614D1">
        <w:rPr>
          <w:caps w:val="0"/>
        </w:rPr>
        <w:t xml:space="preserve">the end of </w:t>
      </w:r>
      <w:r w:rsidRPr="00B72D81">
        <w:rPr>
          <w:caps w:val="0"/>
        </w:rPr>
        <w:t>Q</w:t>
      </w:r>
      <w:r>
        <w:rPr>
          <w:caps w:val="0"/>
        </w:rPr>
        <w:t>1</w:t>
      </w:r>
      <w:r w:rsidRPr="00B72D81">
        <w:rPr>
          <w:caps w:val="0"/>
        </w:rPr>
        <w:t xml:space="preserve"> FY2</w:t>
      </w:r>
      <w:r>
        <w:rPr>
          <w:caps w:val="0"/>
        </w:rPr>
        <w:t>1</w:t>
      </w:r>
      <w:r w:rsidRPr="00B72D81">
        <w:rPr>
          <w:caps w:val="0"/>
        </w:rPr>
        <w:t>-2</w:t>
      </w:r>
      <w:r>
        <w:rPr>
          <w:caps w:val="0"/>
        </w:rPr>
        <w:t>2</w:t>
      </w:r>
    </w:p>
    <w:p w14:paraId="1A754483" w14:textId="77777777" w:rsidR="00896E72" w:rsidRDefault="00896E72" w:rsidP="00896E72">
      <w:pPr>
        <w:pStyle w:val="Caption"/>
        <w:keepNext/>
        <w:rPr>
          <w:caps w:val="0"/>
        </w:rPr>
      </w:pPr>
      <w:r w:rsidRPr="00D5067B">
        <w:rPr>
          <w:noProof/>
          <w:lang w:eastAsia="en-AU"/>
        </w:rPr>
        <w:drawing>
          <wp:inline distT="0" distB="0" distL="0" distR="0" wp14:anchorId="263EABF6" wp14:editId="4D57BE01">
            <wp:extent cx="2875339" cy="1258570"/>
            <wp:effectExtent l="0" t="0" r="1270" b="0"/>
            <wp:docPr id="5" name="Picture 5" descr="This pie chart displays information of the population of participantrs with SDA who identify with a gender at the end of Q1 FY21-22. &#10;&#10;59% of participants with SDA (9,575) identify as male, 40% (6,592) identify as female and 1% (180) identify as other." title="Figure 14: Participants with SDA who identify with a gender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00386" cy="1269533"/>
                    </a:xfrm>
                    <a:prstGeom prst="rect">
                      <a:avLst/>
                    </a:prstGeom>
                    <a:noFill/>
                    <a:ln>
                      <a:noFill/>
                    </a:ln>
                  </pic:spPr>
                </pic:pic>
              </a:graphicData>
            </a:graphic>
          </wp:inline>
        </w:drawing>
      </w:r>
      <w:bookmarkStart w:id="176" w:name="_Toc79490516"/>
      <w:bookmarkStart w:id="177" w:name="_Toc79493367"/>
    </w:p>
    <w:p w14:paraId="1FD217FB" w14:textId="311CA419" w:rsidR="00896E72" w:rsidRPr="00997BC4" w:rsidRDefault="00896E72" w:rsidP="00896E72">
      <w:pPr>
        <w:pStyle w:val="Caption"/>
        <w:keepNext/>
      </w:pPr>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D402F6">
        <w:rPr>
          <w:caps w:val="0"/>
          <w:noProof/>
        </w:rPr>
        <w:t>15</w:t>
      </w:r>
      <w:r w:rsidRPr="00DF2F62">
        <w:rPr>
          <w:caps w:val="0"/>
          <w:noProof/>
        </w:rPr>
        <w:fldChar w:fldCharType="end"/>
      </w:r>
      <w:r w:rsidRPr="00DF2F62">
        <w:rPr>
          <w:caps w:val="0"/>
        </w:rPr>
        <w:t>: Participants who identify as indigenou</w:t>
      </w:r>
      <w:bookmarkStart w:id="178" w:name="_Toc79490517"/>
      <w:bookmarkStart w:id="179" w:name="_Toc79493368"/>
      <w:bookmarkEnd w:id="176"/>
      <w:bookmarkEnd w:id="177"/>
      <w:r>
        <w:rPr>
          <w:caps w:val="0"/>
        </w:rPr>
        <w:t xml:space="preserve">s </w:t>
      </w:r>
      <w:r w:rsidR="009614D1" w:rsidRPr="00B72D81">
        <w:rPr>
          <w:caps w:val="0"/>
        </w:rPr>
        <w:t xml:space="preserve">at </w:t>
      </w:r>
      <w:r w:rsidR="009614D1">
        <w:rPr>
          <w:caps w:val="0"/>
        </w:rPr>
        <w:t xml:space="preserve">the end of </w:t>
      </w:r>
      <w:r w:rsidRPr="00B72D81">
        <w:rPr>
          <w:caps w:val="0"/>
        </w:rPr>
        <w:t>Q</w:t>
      </w:r>
      <w:r>
        <w:rPr>
          <w:caps w:val="0"/>
        </w:rPr>
        <w:t>1</w:t>
      </w:r>
      <w:r w:rsidRPr="00B72D81">
        <w:rPr>
          <w:caps w:val="0"/>
        </w:rPr>
        <w:t xml:space="preserve"> FY2</w:t>
      </w:r>
      <w:r>
        <w:rPr>
          <w:caps w:val="0"/>
        </w:rPr>
        <w:t>1</w:t>
      </w:r>
      <w:r w:rsidRPr="00B72D81">
        <w:rPr>
          <w:caps w:val="0"/>
        </w:rPr>
        <w:t>-2</w:t>
      </w:r>
      <w:r>
        <w:rPr>
          <w:caps w:val="0"/>
        </w:rPr>
        <w:t>2</w:t>
      </w:r>
    </w:p>
    <w:p w14:paraId="59EEA91C" w14:textId="77777777" w:rsidR="00896E72" w:rsidRPr="00896E72" w:rsidRDefault="00896E72" w:rsidP="00896E72">
      <w:pPr>
        <w:pStyle w:val="Caption"/>
        <w:keepNext/>
        <w:rPr>
          <w:caps w:val="0"/>
        </w:rPr>
      </w:pPr>
      <w:r w:rsidRPr="00D5067B">
        <w:rPr>
          <w:noProof/>
          <w:lang w:eastAsia="en-AU"/>
        </w:rPr>
        <w:drawing>
          <wp:inline distT="0" distB="0" distL="0" distR="0" wp14:anchorId="3A210AB3" wp14:editId="20A442CE">
            <wp:extent cx="2875280" cy="1258570"/>
            <wp:effectExtent l="0" t="0" r="1270" b="0"/>
            <wp:docPr id="2" name="Picture 2" descr="This pie chart displays the proportion of SDA population who identify as Indigenous at the end of Q1 FY21-22.&#10;&#10;4% (593) participants with SDA identify as Indigenous, whereas 74% (12,169) do not . 22% (3,585) of the SDA population have not stated a status." title="Figure 15: Participants who identify as indigenous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99003" cy="1268954"/>
                    </a:xfrm>
                    <a:prstGeom prst="rect">
                      <a:avLst/>
                    </a:prstGeom>
                    <a:noFill/>
                    <a:ln>
                      <a:noFill/>
                    </a:ln>
                  </pic:spPr>
                </pic:pic>
              </a:graphicData>
            </a:graphic>
          </wp:inline>
        </w:drawing>
      </w:r>
    </w:p>
    <w:p w14:paraId="33DA8877" w14:textId="5A812185" w:rsidR="00896E72" w:rsidRDefault="00896E72" w:rsidP="00896E72">
      <w:pPr>
        <w:pStyle w:val="Caption"/>
        <w:keepNext/>
        <w:rPr>
          <w:caps w:val="0"/>
        </w:rPr>
      </w:pPr>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D402F6">
        <w:rPr>
          <w:caps w:val="0"/>
          <w:noProof/>
        </w:rPr>
        <w:t>16</w:t>
      </w:r>
      <w:r w:rsidRPr="00DF2F62">
        <w:rPr>
          <w:caps w:val="0"/>
          <w:noProof/>
        </w:rPr>
        <w:fldChar w:fldCharType="end"/>
      </w:r>
      <w:r w:rsidRPr="00DF2F62">
        <w:rPr>
          <w:caps w:val="0"/>
        </w:rPr>
        <w:t>: Participants by CALD status</w:t>
      </w:r>
      <w:bookmarkEnd w:id="178"/>
      <w:bookmarkEnd w:id="179"/>
      <w:r>
        <w:rPr>
          <w:caps w:val="0"/>
        </w:rPr>
        <w:t xml:space="preserve"> </w:t>
      </w:r>
      <w:r w:rsidRPr="00B72D81">
        <w:rPr>
          <w:caps w:val="0"/>
        </w:rPr>
        <w:t xml:space="preserve">at </w:t>
      </w:r>
      <w:r w:rsidR="009614D1">
        <w:rPr>
          <w:caps w:val="0"/>
        </w:rPr>
        <w:t xml:space="preserve">the end of </w:t>
      </w:r>
      <w:r w:rsidRPr="00B72D81">
        <w:rPr>
          <w:caps w:val="0"/>
        </w:rPr>
        <w:t>Q</w:t>
      </w:r>
      <w:r>
        <w:rPr>
          <w:caps w:val="0"/>
        </w:rPr>
        <w:t>1</w:t>
      </w:r>
      <w:r w:rsidRPr="00B72D81">
        <w:rPr>
          <w:caps w:val="0"/>
        </w:rPr>
        <w:t xml:space="preserve"> FY2</w:t>
      </w:r>
      <w:r>
        <w:rPr>
          <w:caps w:val="0"/>
        </w:rPr>
        <w:t>1</w:t>
      </w:r>
      <w:r w:rsidRPr="00B72D81">
        <w:rPr>
          <w:caps w:val="0"/>
        </w:rPr>
        <w:t>-2</w:t>
      </w:r>
      <w:r>
        <w:rPr>
          <w:caps w:val="0"/>
        </w:rPr>
        <w:t>2</w:t>
      </w:r>
    </w:p>
    <w:p w14:paraId="61B20948" w14:textId="7531DD94" w:rsidR="00896E72" w:rsidRPr="00896E72" w:rsidRDefault="00896E72" w:rsidP="00896E72">
      <w:r w:rsidRPr="00AE46B7">
        <w:rPr>
          <w:noProof/>
          <w:lang w:eastAsia="en-AU"/>
        </w:rPr>
        <w:drawing>
          <wp:inline distT="0" distB="0" distL="0" distR="0" wp14:anchorId="58A3A124" wp14:editId="1869C6C9">
            <wp:extent cx="2875280" cy="1259205"/>
            <wp:effectExtent l="0" t="0" r="1270" b="0"/>
            <wp:docPr id="1" name="Picture 1" descr="This pie chart displays the proportion of SDA population by their CALD status at the end of Q1 FY21-22.&#10;&#10;5% of participants with SDA (749) identify as CALD, whereas 95% (15,488) do not. 1% (110) have not stated an answer." title="Figure 16: Participants by CALD status at the end of Q1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92513" cy="1266752"/>
                    </a:xfrm>
                    <a:prstGeom prst="rect">
                      <a:avLst/>
                    </a:prstGeom>
                    <a:noFill/>
                    <a:ln>
                      <a:noFill/>
                    </a:ln>
                  </pic:spPr>
                </pic:pic>
              </a:graphicData>
            </a:graphic>
          </wp:inline>
        </w:drawing>
      </w:r>
    </w:p>
    <w:sectPr w:rsidR="00896E72" w:rsidRPr="00896E72" w:rsidSect="00180D51">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25B5" w14:textId="77777777" w:rsidR="0018669C" w:rsidRDefault="0018669C" w:rsidP="007219F1">
      <w:pPr>
        <w:spacing w:after="0" w:line="240" w:lineRule="auto"/>
      </w:pPr>
      <w:r>
        <w:separator/>
      </w:r>
    </w:p>
    <w:p w14:paraId="57AC474D" w14:textId="77777777" w:rsidR="0018669C" w:rsidRDefault="0018669C"/>
    <w:p w14:paraId="073837CF" w14:textId="77777777" w:rsidR="0018669C" w:rsidRDefault="0018669C"/>
    <w:p w14:paraId="12C1A3B8" w14:textId="77777777" w:rsidR="0018669C" w:rsidRDefault="0018669C"/>
    <w:p w14:paraId="29B28111" w14:textId="77777777" w:rsidR="0018669C" w:rsidRDefault="0018669C"/>
    <w:p w14:paraId="400E3DFF" w14:textId="77777777" w:rsidR="0018669C" w:rsidRDefault="0018669C"/>
  </w:endnote>
  <w:endnote w:type="continuationSeparator" w:id="0">
    <w:p w14:paraId="600F6857" w14:textId="77777777" w:rsidR="0018669C" w:rsidRDefault="0018669C" w:rsidP="007219F1">
      <w:pPr>
        <w:spacing w:after="0" w:line="240" w:lineRule="auto"/>
      </w:pPr>
      <w:r>
        <w:continuationSeparator/>
      </w:r>
    </w:p>
    <w:p w14:paraId="4A22AD3E" w14:textId="77777777" w:rsidR="0018669C" w:rsidRDefault="0018669C"/>
    <w:p w14:paraId="2F5D02FC" w14:textId="77777777" w:rsidR="0018669C" w:rsidRDefault="0018669C"/>
    <w:p w14:paraId="1E4840C3" w14:textId="77777777" w:rsidR="0018669C" w:rsidRDefault="0018669C"/>
    <w:p w14:paraId="54E929B1" w14:textId="77777777" w:rsidR="0018669C" w:rsidRDefault="0018669C"/>
    <w:p w14:paraId="0FF155A1" w14:textId="77777777" w:rsidR="0018669C" w:rsidRDefault="0018669C"/>
  </w:endnote>
  <w:endnote w:type="continuationNotice" w:id="1">
    <w:p w14:paraId="08AE6A17" w14:textId="77777777" w:rsidR="0018669C" w:rsidRDefault="00186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7E00" w14:textId="77777777" w:rsidR="0018669C" w:rsidRDefault="0018669C">
    <w:pPr>
      <w:pStyle w:val="Footer"/>
    </w:pPr>
  </w:p>
  <w:p w14:paraId="21B6AD1A" w14:textId="77777777" w:rsidR="0018669C" w:rsidRDefault="0018669C"/>
  <w:p w14:paraId="781B95E2" w14:textId="77777777" w:rsidR="0018669C" w:rsidRDefault="001866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F647" w14:textId="7F82107A" w:rsidR="0018669C" w:rsidRDefault="0018669C" w:rsidP="00D402F6">
    <w:pPr>
      <w:pStyle w:val="Footer"/>
      <w:spacing w:after="480"/>
      <w:jc w:val="center"/>
      <w:rPr>
        <w:sz w:val="22"/>
        <w:szCs w:val="22"/>
      </w:rPr>
    </w:pPr>
    <w:r w:rsidRPr="00FA334F">
      <w:rPr>
        <w:b/>
        <w:bCs/>
        <w:sz w:val="22"/>
        <w:szCs w:val="22"/>
      </w:rPr>
      <w:t>Ndis.gov.au</w:t>
    </w:r>
    <w:r>
      <w:rPr>
        <w:sz w:val="22"/>
        <w:szCs w:val="22"/>
      </w:rPr>
      <w:tab/>
    </w:r>
    <w:r w:rsidRPr="002E17B0">
      <w:rPr>
        <w:sz w:val="22"/>
        <w:szCs w:val="22"/>
      </w:rPr>
      <w:t>9 December 2021 |</w:t>
    </w:r>
    <w:r w:rsidRPr="00C97703">
      <w:rPr>
        <w:sz w:val="22"/>
        <w:szCs w:val="22"/>
      </w:rPr>
      <w:t xml:space="preserve"> SDA 202</w:t>
    </w:r>
    <w:r>
      <w:rPr>
        <w:sz w:val="22"/>
        <w:szCs w:val="22"/>
      </w:rPr>
      <w:t>1</w:t>
    </w:r>
    <w:r w:rsidRPr="00C97703">
      <w:rPr>
        <w:sz w:val="22"/>
        <w:szCs w:val="22"/>
      </w:rPr>
      <w:t>-2</w:t>
    </w:r>
    <w:r>
      <w:rPr>
        <w:sz w:val="22"/>
        <w:szCs w:val="22"/>
      </w:rPr>
      <w:t>2</w:t>
    </w:r>
    <w:r w:rsidRPr="00C97703">
      <w:rPr>
        <w:sz w:val="22"/>
        <w:szCs w:val="22"/>
      </w:rPr>
      <w:t xml:space="preserve"> Q</w:t>
    </w:r>
    <w:r>
      <w:rPr>
        <w:sz w:val="22"/>
        <w:szCs w:val="22"/>
      </w:rPr>
      <w:t>1</w:t>
    </w:r>
    <w:r w:rsidRPr="00C97703">
      <w:rPr>
        <w:sz w:val="22"/>
        <w:szCs w:val="22"/>
      </w:rPr>
      <w:t xml:space="preserve"> report</w:t>
    </w:r>
    <w:r w:rsidRPr="00C97703">
      <w:rPr>
        <w:sz w:val="22"/>
        <w:szCs w:val="22"/>
      </w:rPr>
      <w:tab/>
    </w:r>
    <w:sdt>
      <w:sdtPr>
        <w:rPr>
          <w:sz w:val="22"/>
          <w:szCs w:val="22"/>
        </w:rPr>
        <w:id w:val="-619613177"/>
        <w:docPartObj>
          <w:docPartGallery w:val="Page Numbers (Bottom of Page)"/>
          <w:docPartUnique/>
        </w:docPartObj>
      </w:sdt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A325A5">
          <w:rPr>
            <w:noProof/>
            <w:sz w:val="22"/>
            <w:szCs w:val="22"/>
          </w:rPr>
          <w:t>21</w:t>
        </w:r>
        <w:r w:rsidRPr="00FA334F">
          <w:rPr>
            <w:sz w:val="22"/>
            <w:szCs w:val="22"/>
          </w:rPr>
          <w:fldChar w:fldCharType="end"/>
        </w:r>
      </w:sdtContent>
    </w:sdt>
  </w:p>
  <w:p w14:paraId="5732E945" w14:textId="77777777" w:rsidR="0018669C" w:rsidRPr="00AB4CC5" w:rsidRDefault="0018669C" w:rsidP="00AB4CC5">
    <w:pPr>
      <w:jc w:val="center"/>
      <w:rPr>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D2F4" w14:textId="77777777" w:rsidR="0018669C" w:rsidRPr="00AB4CC5" w:rsidRDefault="0018669C" w:rsidP="00AB4CC5">
    <w:pPr>
      <w:jc w:val="center"/>
      <w:rPr>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5D104" w14:textId="77777777" w:rsidR="0018669C" w:rsidRDefault="0018669C" w:rsidP="007219F1">
      <w:pPr>
        <w:spacing w:after="0" w:line="240" w:lineRule="auto"/>
      </w:pPr>
      <w:r>
        <w:separator/>
      </w:r>
    </w:p>
    <w:p w14:paraId="6BC087C7" w14:textId="77777777" w:rsidR="0018669C" w:rsidRDefault="0018669C"/>
    <w:p w14:paraId="5425CAEA" w14:textId="77777777" w:rsidR="0018669C" w:rsidRDefault="0018669C"/>
    <w:p w14:paraId="48E642F5" w14:textId="77777777" w:rsidR="0018669C" w:rsidRDefault="0018669C"/>
    <w:p w14:paraId="44A38393" w14:textId="77777777" w:rsidR="0018669C" w:rsidRDefault="0018669C"/>
    <w:p w14:paraId="4FFB7EAF" w14:textId="77777777" w:rsidR="0018669C" w:rsidRDefault="0018669C"/>
  </w:footnote>
  <w:footnote w:type="continuationSeparator" w:id="0">
    <w:p w14:paraId="41F54E27" w14:textId="77777777" w:rsidR="0018669C" w:rsidRDefault="0018669C" w:rsidP="007219F1">
      <w:pPr>
        <w:spacing w:after="0" w:line="240" w:lineRule="auto"/>
      </w:pPr>
      <w:r>
        <w:continuationSeparator/>
      </w:r>
    </w:p>
    <w:p w14:paraId="7AC3F652" w14:textId="77777777" w:rsidR="0018669C" w:rsidRDefault="0018669C"/>
    <w:p w14:paraId="4ACDA4EB" w14:textId="77777777" w:rsidR="0018669C" w:rsidRDefault="0018669C"/>
    <w:p w14:paraId="4E3CB266" w14:textId="77777777" w:rsidR="0018669C" w:rsidRDefault="0018669C"/>
    <w:p w14:paraId="0994C388" w14:textId="77777777" w:rsidR="0018669C" w:rsidRDefault="0018669C"/>
    <w:p w14:paraId="2B1DEF08" w14:textId="77777777" w:rsidR="0018669C" w:rsidRDefault="0018669C"/>
  </w:footnote>
  <w:footnote w:type="continuationNotice" w:id="1">
    <w:p w14:paraId="46A3FABA" w14:textId="77777777" w:rsidR="0018669C" w:rsidRDefault="00186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BB37" w14:textId="17CE8124" w:rsidR="0018669C" w:rsidRDefault="0018669C">
    <w:pPr>
      <w:pStyle w:val="Header"/>
    </w:pPr>
  </w:p>
  <w:p w14:paraId="2CEE1BCD" w14:textId="77777777" w:rsidR="0018669C" w:rsidRDefault="0018669C"/>
  <w:p w14:paraId="45AD53C0" w14:textId="77777777" w:rsidR="0018669C" w:rsidRDefault="001866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ED76" w14:textId="38107214" w:rsidR="0018669C" w:rsidRPr="00D402F6" w:rsidRDefault="0018669C" w:rsidP="00D402F6">
    <w:pPr>
      <w:jc w:val="center"/>
      <w:rPr>
        <w:rFonts w:cs="Arial"/>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E12B" w14:textId="1CEEFF8D" w:rsidR="0018669C" w:rsidRPr="00AB4CC5" w:rsidRDefault="0018669C" w:rsidP="00AB4CC5">
    <w:pPr>
      <w:jc w:val="center"/>
      <w:rPr>
        <w:b/>
        <w:color w:val="FF0000"/>
        <w:sz w:val="24"/>
      </w:rPr>
    </w:pPr>
    <w:r w:rsidRPr="003D7AA6">
      <w:rPr>
        <w:noProof/>
        <w:lang w:eastAsia="en-AU"/>
      </w:rPr>
      <w:drawing>
        <wp:anchor distT="0" distB="0" distL="114300" distR="114300" simplePos="0" relativeHeight="251657216" behindDoc="1" locked="0" layoutInCell="1" allowOverlap="1" wp14:anchorId="2E15214E" wp14:editId="7BAB6D65">
          <wp:simplePos x="0" y="0"/>
          <wp:positionH relativeFrom="column">
            <wp:posOffset>-872284</wp:posOffset>
          </wp:positionH>
          <wp:positionV relativeFrom="paragraph">
            <wp:posOffset>-415290</wp:posOffset>
          </wp:positionV>
          <wp:extent cx="7124700" cy="9840075"/>
          <wp:effectExtent l="0" t="0" r="0" b="8890"/>
          <wp:wrapNone/>
          <wp:docPr id="3" name="Picture 3" title="Purple background">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40075"/>
                  </a:xfrm>
                  <a:prstGeom prst="rect">
                    <a:avLst/>
                  </a:prstGeom>
                </pic:spPr>
              </pic:pic>
            </a:graphicData>
          </a:graphic>
          <wp14:sizeRelH relativeFrom="page">
            <wp14:pctWidth>0</wp14:pctWidth>
          </wp14:sizeRelH>
          <wp14:sizeRelV relativeFrom="page">
            <wp14:pctHeight>0</wp14:pctHeight>
          </wp14:sizeRelV>
        </wp:anchor>
      </w:drawing>
    </w:r>
  </w:p>
  <w:p w14:paraId="3C891AAB" w14:textId="77777777" w:rsidR="0018669C" w:rsidRDefault="00186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NDIS logo" style="width:76.6pt;height:39.95pt;visibility:visible;mso-wrap-style:square" o:bullet="t">
        <v:imagedata r:id="rId1" o:title="NDIS logo"/>
      </v:shape>
    </w:pict>
  </w:numPicBullet>
  <w:abstractNum w:abstractNumId="0" w15:restartNumberingAfterBreak="0">
    <w:nsid w:val="01486533"/>
    <w:multiLevelType w:val="hybridMultilevel"/>
    <w:tmpl w:val="FC9A5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358BC"/>
    <w:multiLevelType w:val="hybridMultilevel"/>
    <w:tmpl w:val="3DAEB582"/>
    <w:lvl w:ilvl="0" w:tplc="119E17F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B975BB"/>
    <w:multiLevelType w:val="hybridMultilevel"/>
    <w:tmpl w:val="26026E3A"/>
    <w:lvl w:ilvl="0" w:tplc="8D28DCB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A42B2"/>
    <w:multiLevelType w:val="hybridMultilevel"/>
    <w:tmpl w:val="ECCC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B24E1"/>
    <w:multiLevelType w:val="hybridMultilevel"/>
    <w:tmpl w:val="B08C652E"/>
    <w:lvl w:ilvl="0" w:tplc="F7FAB56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1533A"/>
    <w:multiLevelType w:val="hybridMultilevel"/>
    <w:tmpl w:val="2F7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121282"/>
    <w:multiLevelType w:val="hybridMultilevel"/>
    <w:tmpl w:val="FDC4D5DE"/>
    <w:lvl w:ilvl="0" w:tplc="5674F2D2">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373D9"/>
    <w:multiLevelType w:val="hybridMultilevel"/>
    <w:tmpl w:val="59C07584"/>
    <w:lvl w:ilvl="0" w:tplc="7B82986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3DBC0E18"/>
    <w:multiLevelType w:val="hybridMultilevel"/>
    <w:tmpl w:val="A9B8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7529FD"/>
    <w:multiLevelType w:val="hybridMultilevel"/>
    <w:tmpl w:val="B99C2080"/>
    <w:lvl w:ilvl="0" w:tplc="3B14C77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FD7B87"/>
    <w:multiLevelType w:val="hybridMultilevel"/>
    <w:tmpl w:val="94FE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69047E"/>
    <w:multiLevelType w:val="hybridMultilevel"/>
    <w:tmpl w:val="141A95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5B6958"/>
    <w:multiLevelType w:val="hybridMultilevel"/>
    <w:tmpl w:val="ED5C8F8A"/>
    <w:lvl w:ilvl="0" w:tplc="E740196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36134D"/>
    <w:multiLevelType w:val="multilevel"/>
    <w:tmpl w:val="396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66A8188C"/>
    <w:multiLevelType w:val="hybridMultilevel"/>
    <w:tmpl w:val="05028B2C"/>
    <w:lvl w:ilvl="0" w:tplc="ACB6567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4336C5"/>
    <w:multiLevelType w:val="hybridMultilevel"/>
    <w:tmpl w:val="3CF4AD88"/>
    <w:lvl w:ilvl="0" w:tplc="5A886FE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9F771B"/>
    <w:multiLevelType w:val="hybridMultilevel"/>
    <w:tmpl w:val="75DE46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FC63ED0"/>
    <w:multiLevelType w:val="hybridMultilevel"/>
    <w:tmpl w:val="C712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0B7E01"/>
    <w:multiLevelType w:val="hybridMultilevel"/>
    <w:tmpl w:val="78D0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4"/>
  </w:num>
  <w:num w:numId="4">
    <w:abstractNumId w:val="13"/>
  </w:num>
  <w:num w:numId="5">
    <w:abstractNumId w:val="6"/>
  </w:num>
  <w:num w:numId="6">
    <w:abstractNumId w:val="20"/>
  </w:num>
  <w:num w:numId="7">
    <w:abstractNumId w:val="3"/>
  </w:num>
  <w:num w:numId="8">
    <w:abstractNumId w:val="2"/>
  </w:num>
  <w:num w:numId="9">
    <w:abstractNumId w:val="25"/>
  </w:num>
  <w:num w:numId="10">
    <w:abstractNumId w:val="16"/>
  </w:num>
  <w:num w:numId="11">
    <w:abstractNumId w:val="7"/>
  </w:num>
  <w:num w:numId="12">
    <w:abstractNumId w:val="9"/>
  </w:num>
  <w:num w:numId="13">
    <w:abstractNumId w:val="13"/>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5"/>
  </w:num>
  <w:num w:numId="25">
    <w:abstractNumId w:val="1"/>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 w:numId="30">
    <w:abstractNumId w:val="13"/>
  </w:num>
  <w:num w:numId="31">
    <w:abstractNumId w:val="13"/>
  </w:num>
  <w:num w:numId="32">
    <w:abstractNumId w:val="18"/>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0"/>
  </w:num>
  <w:num w:numId="39">
    <w:abstractNumId w:val="23"/>
  </w:num>
  <w:num w:numId="40">
    <w:abstractNumId w:val="19"/>
  </w:num>
  <w:num w:numId="41">
    <w:abstractNumId w:val="11"/>
  </w:num>
  <w:num w:numId="42">
    <w:abstractNumId w:val="15"/>
  </w:num>
  <w:num w:numId="43">
    <w:abstractNumId w:val="22"/>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C6"/>
    <w:rsid w:val="000010C4"/>
    <w:rsid w:val="00001445"/>
    <w:rsid w:val="00002B00"/>
    <w:rsid w:val="0000746B"/>
    <w:rsid w:val="00021F61"/>
    <w:rsid w:val="00023C43"/>
    <w:rsid w:val="000254A9"/>
    <w:rsid w:val="00027760"/>
    <w:rsid w:val="00033194"/>
    <w:rsid w:val="0003383D"/>
    <w:rsid w:val="00036676"/>
    <w:rsid w:val="0004577D"/>
    <w:rsid w:val="000540DD"/>
    <w:rsid w:val="000617BB"/>
    <w:rsid w:val="0006517D"/>
    <w:rsid w:val="00065353"/>
    <w:rsid w:val="00065411"/>
    <w:rsid w:val="00067EE2"/>
    <w:rsid w:val="00074447"/>
    <w:rsid w:val="00082FD2"/>
    <w:rsid w:val="00083B1A"/>
    <w:rsid w:val="00083C7F"/>
    <w:rsid w:val="0008469B"/>
    <w:rsid w:val="00094EC2"/>
    <w:rsid w:val="00095B9B"/>
    <w:rsid w:val="000A0757"/>
    <w:rsid w:val="000A0B31"/>
    <w:rsid w:val="000A4E6D"/>
    <w:rsid w:val="000A56AE"/>
    <w:rsid w:val="000A5CCC"/>
    <w:rsid w:val="000B3C54"/>
    <w:rsid w:val="000B3CC4"/>
    <w:rsid w:val="000B5725"/>
    <w:rsid w:val="000C01B7"/>
    <w:rsid w:val="000C429F"/>
    <w:rsid w:val="000C561A"/>
    <w:rsid w:val="000C5D94"/>
    <w:rsid w:val="000D1922"/>
    <w:rsid w:val="000D1B37"/>
    <w:rsid w:val="000D4FAC"/>
    <w:rsid w:val="000D50E0"/>
    <w:rsid w:val="000E77F1"/>
    <w:rsid w:val="000F4E9D"/>
    <w:rsid w:val="0010495B"/>
    <w:rsid w:val="0010776A"/>
    <w:rsid w:val="00113604"/>
    <w:rsid w:val="001204BE"/>
    <w:rsid w:val="00121539"/>
    <w:rsid w:val="0013436A"/>
    <w:rsid w:val="00136A8B"/>
    <w:rsid w:val="00137546"/>
    <w:rsid w:val="00140750"/>
    <w:rsid w:val="00140A40"/>
    <w:rsid w:val="00141E55"/>
    <w:rsid w:val="0014207A"/>
    <w:rsid w:val="001448CA"/>
    <w:rsid w:val="001451B7"/>
    <w:rsid w:val="00150DBB"/>
    <w:rsid w:val="001518DF"/>
    <w:rsid w:val="0015222A"/>
    <w:rsid w:val="00153900"/>
    <w:rsid w:val="0015605F"/>
    <w:rsid w:val="0015622B"/>
    <w:rsid w:val="00160203"/>
    <w:rsid w:val="001606BC"/>
    <w:rsid w:val="001646E1"/>
    <w:rsid w:val="001655AD"/>
    <w:rsid w:val="001665A1"/>
    <w:rsid w:val="001701DA"/>
    <w:rsid w:val="00175B0C"/>
    <w:rsid w:val="00180921"/>
    <w:rsid w:val="00180D51"/>
    <w:rsid w:val="0018476A"/>
    <w:rsid w:val="0018601D"/>
    <w:rsid w:val="0018669C"/>
    <w:rsid w:val="00187EA6"/>
    <w:rsid w:val="001A15AB"/>
    <w:rsid w:val="001A3882"/>
    <w:rsid w:val="001A4D7C"/>
    <w:rsid w:val="001A565B"/>
    <w:rsid w:val="001B40BE"/>
    <w:rsid w:val="001C333A"/>
    <w:rsid w:val="001D42EB"/>
    <w:rsid w:val="001D6E93"/>
    <w:rsid w:val="001E36D1"/>
    <w:rsid w:val="001E415C"/>
    <w:rsid w:val="001E5FC4"/>
    <w:rsid w:val="001E630D"/>
    <w:rsid w:val="001E6FFA"/>
    <w:rsid w:val="001F32F1"/>
    <w:rsid w:val="001F707D"/>
    <w:rsid w:val="002006D4"/>
    <w:rsid w:val="00200F9C"/>
    <w:rsid w:val="00202535"/>
    <w:rsid w:val="00202C54"/>
    <w:rsid w:val="002048C1"/>
    <w:rsid w:val="002131D4"/>
    <w:rsid w:val="00216801"/>
    <w:rsid w:val="00221AD5"/>
    <w:rsid w:val="00227990"/>
    <w:rsid w:val="00227B74"/>
    <w:rsid w:val="00227F80"/>
    <w:rsid w:val="002321EA"/>
    <w:rsid w:val="00232520"/>
    <w:rsid w:val="00232DBD"/>
    <w:rsid w:val="0023603F"/>
    <w:rsid w:val="00242803"/>
    <w:rsid w:val="00250005"/>
    <w:rsid w:val="002647C9"/>
    <w:rsid w:val="002656F5"/>
    <w:rsid w:val="00266640"/>
    <w:rsid w:val="0026771F"/>
    <w:rsid w:val="00280385"/>
    <w:rsid w:val="00283D85"/>
    <w:rsid w:val="00286E90"/>
    <w:rsid w:val="00287D39"/>
    <w:rsid w:val="00296E02"/>
    <w:rsid w:val="00297F58"/>
    <w:rsid w:val="002A42FC"/>
    <w:rsid w:val="002A62CB"/>
    <w:rsid w:val="002A6E62"/>
    <w:rsid w:val="002A751A"/>
    <w:rsid w:val="002A7B97"/>
    <w:rsid w:val="002B33B8"/>
    <w:rsid w:val="002B6085"/>
    <w:rsid w:val="002B7506"/>
    <w:rsid w:val="002C0577"/>
    <w:rsid w:val="002C20B6"/>
    <w:rsid w:val="002C5839"/>
    <w:rsid w:val="002D0D74"/>
    <w:rsid w:val="002D3F50"/>
    <w:rsid w:val="002D4CD6"/>
    <w:rsid w:val="002D676F"/>
    <w:rsid w:val="002E17B0"/>
    <w:rsid w:val="002E35C2"/>
    <w:rsid w:val="002E74A0"/>
    <w:rsid w:val="002F57E4"/>
    <w:rsid w:val="002F6984"/>
    <w:rsid w:val="003026B0"/>
    <w:rsid w:val="0030276C"/>
    <w:rsid w:val="0030611F"/>
    <w:rsid w:val="00316860"/>
    <w:rsid w:val="003222F5"/>
    <w:rsid w:val="0032377B"/>
    <w:rsid w:val="00323BB7"/>
    <w:rsid w:val="00325A9F"/>
    <w:rsid w:val="00332EBF"/>
    <w:rsid w:val="00335E63"/>
    <w:rsid w:val="0033770C"/>
    <w:rsid w:val="00344D2D"/>
    <w:rsid w:val="00344E37"/>
    <w:rsid w:val="00346FB3"/>
    <w:rsid w:val="003479E1"/>
    <w:rsid w:val="00351164"/>
    <w:rsid w:val="00351EC0"/>
    <w:rsid w:val="00355453"/>
    <w:rsid w:val="00356473"/>
    <w:rsid w:val="00356B59"/>
    <w:rsid w:val="00361100"/>
    <w:rsid w:val="003622D9"/>
    <w:rsid w:val="00367CD7"/>
    <w:rsid w:val="00371169"/>
    <w:rsid w:val="003731A0"/>
    <w:rsid w:val="00380E44"/>
    <w:rsid w:val="00381C27"/>
    <w:rsid w:val="00395FE0"/>
    <w:rsid w:val="003977C6"/>
    <w:rsid w:val="003A0695"/>
    <w:rsid w:val="003A60EF"/>
    <w:rsid w:val="003A7648"/>
    <w:rsid w:val="003B0534"/>
    <w:rsid w:val="003B1156"/>
    <w:rsid w:val="003B2BB8"/>
    <w:rsid w:val="003C1B61"/>
    <w:rsid w:val="003C1C42"/>
    <w:rsid w:val="003C5415"/>
    <w:rsid w:val="003D34FF"/>
    <w:rsid w:val="003D5381"/>
    <w:rsid w:val="003D6050"/>
    <w:rsid w:val="003D61B8"/>
    <w:rsid w:val="003D73EA"/>
    <w:rsid w:val="003D7AA6"/>
    <w:rsid w:val="003E3647"/>
    <w:rsid w:val="003F6685"/>
    <w:rsid w:val="0040062A"/>
    <w:rsid w:val="00402645"/>
    <w:rsid w:val="004114BB"/>
    <w:rsid w:val="0041664D"/>
    <w:rsid w:val="00424A73"/>
    <w:rsid w:val="00430CDD"/>
    <w:rsid w:val="004358BE"/>
    <w:rsid w:val="0044218C"/>
    <w:rsid w:val="00443798"/>
    <w:rsid w:val="00450C40"/>
    <w:rsid w:val="00450CCA"/>
    <w:rsid w:val="004558D3"/>
    <w:rsid w:val="0045794E"/>
    <w:rsid w:val="00463715"/>
    <w:rsid w:val="004724D6"/>
    <w:rsid w:val="00472827"/>
    <w:rsid w:val="00474045"/>
    <w:rsid w:val="00474E84"/>
    <w:rsid w:val="00475A5C"/>
    <w:rsid w:val="0048002C"/>
    <w:rsid w:val="00480E70"/>
    <w:rsid w:val="00482AE5"/>
    <w:rsid w:val="00483EB5"/>
    <w:rsid w:val="004861C3"/>
    <w:rsid w:val="00486593"/>
    <w:rsid w:val="004876FD"/>
    <w:rsid w:val="00491BDB"/>
    <w:rsid w:val="00496B7B"/>
    <w:rsid w:val="004A64F5"/>
    <w:rsid w:val="004A712F"/>
    <w:rsid w:val="004B3208"/>
    <w:rsid w:val="004B4DDF"/>
    <w:rsid w:val="004B4E4E"/>
    <w:rsid w:val="004B54CA"/>
    <w:rsid w:val="004B7F99"/>
    <w:rsid w:val="004C03CC"/>
    <w:rsid w:val="004C14FF"/>
    <w:rsid w:val="004C2CE9"/>
    <w:rsid w:val="004C2D9C"/>
    <w:rsid w:val="004C39DC"/>
    <w:rsid w:val="004C5903"/>
    <w:rsid w:val="004C7531"/>
    <w:rsid w:val="004D0500"/>
    <w:rsid w:val="004D32B5"/>
    <w:rsid w:val="004D3998"/>
    <w:rsid w:val="004D7AAB"/>
    <w:rsid w:val="004E01D2"/>
    <w:rsid w:val="004E0AEA"/>
    <w:rsid w:val="004E461E"/>
    <w:rsid w:val="004E5CBF"/>
    <w:rsid w:val="004E7685"/>
    <w:rsid w:val="004F0126"/>
    <w:rsid w:val="004F4954"/>
    <w:rsid w:val="004F509A"/>
    <w:rsid w:val="004F7727"/>
    <w:rsid w:val="005112D9"/>
    <w:rsid w:val="00515AB6"/>
    <w:rsid w:val="00517D99"/>
    <w:rsid w:val="00521275"/>
    <w:rsid w:val="00536D36"/>
    <w:rsid w:val="00542BA6"/>
    <w:rsid w:val="005466CD"/>
    <w:rsid w:val="0055146F"/>
    <w:rsid w:val="00552F64"/>
    <w:rsid w:val="0055492D"/>
    <w:rsid w:val="00560B97"/>
    <w:rsid w:val="00561208"/>
    <w:rsid w:val="005629FA"/>
    <w:rsid w:val="0056569C"/>
    <w:rsid w:val="00567492"/>
    <w:rsid w:val="005714EA"/>
    <w:rsid w:val="00572636"/>
    <w:rsid w:val="00574B0A"/>
    <w:rsid w:val="00576162"/>
    <w:rsid w:val="005811D7"/>
    <w:rsid w:val="0058139C"/>
    <w:rsid w:val="00581628"/>
    <w:rsid w:val="005843A7"/>
    <w:rsid w:val="00585076"/>
    <w:rsid w:val="00590706"/>
    <w:rsid w:val="00593138"/>
    <w:rsid w:val="005938B8"/>
    <w:rsid w:val="00593C73"/>
    <w:rsid w:val="005A0A34"/>
    <w:rsid w:val="005A14D7"/>
    <w:rsid w:val="005A1743"/>
    <w:rsid w:val="005A6312"/>
    <w:rsid w:val="005A7602"/>
    <w:rsid w:val="005A7FC9"/>
    <w:rsid w:val="005B3D4B"/>
    <w:rsid w:val="005B7CBF"/>
    <w:rsid w:val="005C3AA9"/>
    <w:rsid w:val="005C5FC0"/>
    <w:rsid w:val="005D2C48"/>
    <w:rsid w:val="005D2F61"/>
    <w:rsid w:val="005D6F64"/>
    <w:rsid w:val="005E0575"/>
    <w:rsid w:val="005E0768"/>
    <w:rsid w:val="005E1141"/>
    <w:rsid w:val="005E1F87"/>
    <w:rsid w:val="005F19DD"/>
    <w:rsid w:val="005F335D"/>
    <w:rsid w:val="005F5619"/>
    <w:rsid w:val="005F5F33"/>
    <w:rsid w:val="005F748B"/>
    <w:rsid w:val="005F7B28"/>
    <w:rsid w:val="00602F9C"/>
    <w:rsid w:val="00603054"/>
    <w:rsid w:val="00610D51"/>
    <w:rsid w:val="00611D2B"/>
    <w:rsid w:val="00620317"/>
    <w:rsid w:val="00620817"/>
    <w:rsid w:val="00622510"/>
    <w:rsid w:val="006309D9"/>
    <w:rsid w:val="00633B98"/>
    <w:rsid w:val="00636529"/>
    <w:rsid w:val="00637D0A"/>
    <w:rsid w:val="00637E42"/>
    <w:rsid w:val="00641D49"/>
    <w:rsid w:val="006426B0"/>
    <w:rsid w:val="00642D59"/>
    <w:rsid w:val="00645399"/>
    <w:rsid w:val="00645656"/>
    <w:rsid w:val="006515CD"/>
    <w:rsid w:val="00651E78"/>
    <w:rsid w:val="00651E9A"/>
    <w:rsid w:val="006535A4"/>
    <w:rsid w:val="006546B5"/>
    <w:rsid w:val="006603E4"/>
    <w:rsid w:val="00660733"/>
    <w:rsid w:val="006630B6"/>
    <w:rsid w:val="006633A9"/>
    <w:rsid w:val="006639DE"/>
    <w:rsid w:val="00664253"/>
    <w:rsid w:val="006644E6"/>
    <w:rsid w:val="0066511E"/>
    <w:rsid w:val="00665A25"/>
    <w:rsid w:val="00667977"/>
    <w:rsid w:val="00667A63"/>
    <w:rsid w:val="00667BA6"/>
    <w:rsid w:val="00670A54"/>
    <w:rsid w:val="00670E23"/>
    <w:rsid w:val="006717F1"/>
    <w:rsid w:val="00674AC4"/>
    <w:rsid w:val="006765FF"/>
    <w:rsid w:val="006806E1"/>
    <w:rsid w:val="0068120D"/>
    <w:rsid w:val="00684039"/>
    <w:rsid w:val="00684234"/>
    <w:rsid w:val="00685363"/>
    <w:rsid w:val="00687A81"/>
    <w:rsid w:val="00692627"/>
    <w:rsid w:val="006A4CE7"/>
    <w:rsid w:val="006A5E83"/>
    <w:rsid w:val="006A7B95"/>
    <w:rsid w:val="006B136E"/>
    <w:rsid w:val="006B46BC"/>
    <w:rsid w:val="006C13CC"/>
    <w:rsid w:val="006D4149"/>
    <w:rsid w:val="006D75E1"/>
    <w:rsid w:val="006E2000"/>
    <w:rsid w:val="006E2DD9"/>
    <w:rsid w:val="006F1FD7"/>
    <w:rsid w:val="0070110B"/>
    <w:rsid w:val="00702642"/>
    <w:rsid w:val="00706D08"/>
    <w:rsid w:val="00715085"/>
    <w:rsid w:val="00717398"/>
    <w:rsid w:val="007219F1"/>
    <w:rsid w:val="00722CEA"/>
    <w:rsid w:val="00725A2E"/>
    <w:rsid w:val="00731712"/>
    <w:rsid w:val="007325FE"/>
    <w:rsid w:val="00733FC6"/>
    <w:rsid w:val="00742931"/>
    <w:rsid w:val="007443F3"/>
    <w:rsid w:val="00752F74"/>
    <w:rsid w:val="007819A4"/>
    <w:rsid w:val="00784C2F"/>
    <w:rsid w:val="00785261"/>
    <w:rsid w:val="007858B6"/>
    <w:rsid w:val="007917DA"/>
    <w:rsid w:val="0079183B"/>
    <w:rsid w:val="0079577B"/>
    <w:rsid w:val="007A0DE0"/>
    <w:rsid w:val="007A0FCA"/>
    <w:rsid w:val="007A5A80"/>
    <w:rsid w:val="007B0256"/>
    <w:rsid w:val="007B02F7"/>
    <w:rsid w:val="007B0D7F"/>
    <w:rsid w:val="007B1245"/>
    <w:rsid w:val="007C09A5"/>
    <w:rsid w:val="007C2927"/>
    <w:rsid w:val="007C7207"/>
    <w:rsid w:val="007D0641"/>
    <w:rsid w:val="007D0F84"/>
    <w:rsid w:val="007D1A7B"/>
    <w:rsid w:val="007D55C5"/>
    <w:rsid w:val="007D7FC2"/>
    <w:rsid w:val="007E10B2"/>
    <w:rsid w:val="007E288B"/>
    <w:rsid w:val="007E633B"/>
    <w:rsid w:val="007E6F4C"/>
    <w:rsid w:val="007F0700"/>
    <w:rsid w:val="007F4FE6"/>
    <w:rsid w:val="007F7FD1"/>
    <w:rsid w:val="0080001E"/>
    <w:rsid w:val="00800E9B"/>
    <w:rsid w:val="008036D7"/>
    <w:rsid w:val="00805529"/>
    <w:rsid w:val="00805DB9"/>
    <w:rsid w:val="008171A6"/>
    <w:rsid w:val="008175A2"/>
    <w:rsid w:val="00821245"/>
    <w:rsid w:val="00822B73"/>
    <w:rsid w:val="00826701"/>
    <w:rsid w:val="00826958"/>
    <w:rsid w:val="00830377"/>
    <w:rsid w:val="00830523"/>
    <w:rsid w:val="008402E2"/>
    <w:rsid w:val="00844E07"/>
    <w:rsid w:val="00855520"/>
    <w:rsid w:val="00856A96"/>
    <w:rsid w:val="00856D16"/>
    <w:rsid w:val="00867AA8"/>
    <w:rsid w:val="00874A69"/>
    <w:rsid w:val="00881DC2"/>
    <w:rsid w:val="00887867"/>
    <w:rsid w:val="00892262"/>
    <w:rsid w:val="00892DD9"/>
    <w:rsid w:val="00894532"/>
    <w:rsid w:val="00895690"/>
    <w:rsid w:val="008959ED"/>
    <w:rsid w:val="008961C7"/>
    <w:rsid w:val="00896E72"/>
    <w:rsid w:val="008A4201"/>
    <w:rsid w:val="008A7652"/>
    <w:rsid w:val="008A7B39"/>
    <w:rsid w:val="008B645F"/>
    <w:rsid w:val="008C1D08"/>
    <w:rsid w:val="008C1DA5"/>
    <w:rsid w:val="008C30FD"/>
    <w:rsid w:val="008C4C0F"/>
    <w:rsid w:val="008C7021"/>
    <w:rsid w:val="008D028D"/>
    <w:rsid w:val="008D35BC"/>
    <w:rsid w:val="008D3CB7"/>
    <w:rsid w:val="008D43CC"/>
    <w:rsid w:val="008D4B76"/>
    <w:rsid w:val="008D7A3B"/>
    <w:rsid w:val="008E1176"/>
    <w:rsid w:val="008E1C0A"/>
    <w:rsid w:val="008E25D0"/>
    <w:rsid w:val="008F4E04"/>
    <w:rsid w:val="00905783"/>
    <w:rsid w:val="009066AF"/>
    <w:rsid w:val="00911386"/>
    <w:rsid w:val="00912023"/>
    <w:rsid w:val="00912C64"/>
    <w:rsid w:val="00912FF4"/>
    <w:rsid w:val="0091380A"/>
    <w:rsid w:val="00916C51"/>
    <w:rsid w:val="009225F0"/>
    <w:rsid w:val="00923ED2"/>
    <w:rsid w:val="00934373"/>
    <w:rsid w:val="009427FA"/>
    <w:rsid w:val="0094431F"/>
    <w:rsid w:val="009458B4"/>
    <w:rsid w:val="00945E94"/>
    <w:rsid w:val="00947866"/>
    <w:rsid w:val="00950F57"/>
    <w:rsid w:val="009546F7"/>
    <w:rsid w:val="009559DA"/>
    <w:rsid w:val="009614D1"/>
    <w:rsid w:val="0097573E"/>
    <w:rsid w:val="00980CCD"/>
    <w:rsid w:val="009856F8"/>
    <w:rsid w:val="00995836"/>
    <w:rsid w:val="00997BC4"/>
    <w:rsid w:val="009B24F1"/>
    <w:rsid w:val="009B64C2"/>
    <w:rsid w:val="009C00B6"/>
    <w:rsid w:val="009C110A"/>
    <w:rsid w:val="009C460C"/>
    <w:rsid w:val="009C491C"/>
    <w:rsid w:val="009D0498"/>
    <w:rsid w:val="009D0A89"/>
    <w:rsid w:val="009D25DC"/>
    <w:rsid w:val="009E1FB8"/>
    <w:rsid w:val="009E2C9B"/>
    <w:rsid w:val="009F2F36"/>
    <w:rsid w:val="009F2FE1"/>
    <w:rsid w:val="009F640E"/>
    <w:rsid w:val="00A025B2"/>
    <w:rsid w:val="00A03CC1"/>
    <w:rsid w:val="00A058E0"/>
    <w:rsid w:val="00A0649E"/>
    <w:rsid w:val="00A20631"/>
    <w:rsid w:val="00A21351"/>
    <w:rsid w:val="00A25AC1"/>
    <w:rsid w:val="00A304A6"/>
    <w:rsid w:val="00A320E9"/>
    <w:rsid w:val="00A325A5"/>
    <w:rsid w:val="00A33162"/>
    <w:rsid w:val="00A345E1"/>
    <w:rsid w:val="00A37B58"/>
    <w:rsid w:val="00A41EBF"/>
    <w:rsid w:val="00A43DC2"/>
    <w:rsid w:val="00A466C5"/>
    <w:rsid w:val="00A47174"/>
    <w:rsid w:val="00A60C3D"/>
    <w:rsid w:val="00A651CB"/>
    <w:rsid w:val="00A6737F"/>
    <w:rsid w:val="00A6753D"/>
    <w:rsid w:val="00A721A5"/>
    <w:rsid w:val="00A72F61"/>
    <w:rsid w:val="00A74F9E"/>
    <w:rsid w:val="00A77C6B"/>
    <w:rsid w:val="00A8409C"/>
    <w:rsid w:val="00A87C06"/>
    <w:rsid w:val="00A932B8"/>
    <w:rsid w:val="00A944E4"/>
    <w:rsid w:val="00A95218"/>
    <w:rsid w:val="00AA0192"/>
    <w:rsid w:val="00AA2A46"/>
    <w:rsid w:val="00AA3405"/>
    <w:rsid w:val="00AA540F"/>
    <w:rsid w:val="00AA6762"/>
    <w:rsid w:val="00AA72F8"/>
    <w:rsid w:val="00AA73A2"/>
    <w:rsid w:val="00AB2672"/>
    <w:rsid w:val="00AB31E5"/>
    <w:rsid w:val="00AB4CC5"/>
    <w:rsid w:val="00AB6A5F"/>
    <w:rsid w:val="00AB73AD"/>
    <w:rsid w:val="00AC58E0"/>
    <w:rsid w:val="00AC5BF3"/>
    <w:rsid w:val="00AD2EFE"/>
    <w:rsid w:val="00AE1787"/>
    <w:rsid w:val="00AE46B7"/>
    <w:rsid w:val="00AE61B4"/>
    <w:rsid w:val="00AF0851"/>
    <w:rsid w:val="00AF4992"/>
    <w:rsid w:val="00AF7955"/>
    <w:rsid w:val="00B02B48"/>
    <w:rsid w:val="00B041C0"/>
    <w:rsid w:val="00B06ED6"/>
    <w:rsid w:val="00B078E1"/>
    <w:rsid w:val="00B11287"/>
    <w:rsid w:val="00B1295A"/>
    <w:rsid w:val="00B176B4"/>
    <w:rsid w:val="00B2334A"/>
    <w:rsid w:val="00B24E8D"/>
    <w:rsid w:val="00B27C7E"/>
    <w:rsid w:val="00B36561"/>
    <w:rsid w:val="00B367C0"/>
    <w:rsid w:val="00B43B7A"/>
    <w:rsid w:val="00B61BC2"/>
    <w:rsid w:val="00B63BE9"/>
    <w:rsid w:val="00B654EA"/>
    <w:rsid w:val="00B65DA4"/>
    <w:rsid w:val="00B72966"/>
    <w:rsid w:val="00B72D81"/>
    <w:rsid w:val="00B73DA2"/>
    <w:rsid w:val="00B76770"/>
    <w:rsid w:val="00B91E42"/>
    <w:rsid w:val="00B93F0C"/>
    <w:rsid w:val="00B97A26"/>
    <w:rsid w:val="00BA2DB9"/>
    <w:rsid w:val="00BA556D"/>
    <w:rsid w:val="00BB0BA4"/>
    <w:rsid w:val="00BB6B2A"/>
    <w:rsid w:val="00BB7094"/>
    <w:rsid w:val="00BB7CC4"/>
    <w:rsid w:val="00BB7DB6"/>
    <w:rsid w:val="00BC2731"/>
    <w:rsid w:val="00BC35C5"/>
    <w:rsid w:val="00BD2B22"/>
    <w:rsid w:val="00BD5993"/>
    <w:rsid w:val="00BE0AE1"/>
    <w:rsid w:val="00BE632A"/>
    <w:rsid w:val="00BE7148"/>
    <w:rsid w:val="00BF0BDC"/>
    <w:rsid w:val="00BF4DBE"/>
    <w:rsid w:val="00BF626E"/>
    <w:rsid w:val="00C00A29"/>
    <w:rsid w:val="00C013E9"/>
    <w:rsid w:val="00C07A2D"/>
    <w:rsid w:val="00C107E1"/>
    <w:rsid w:val="00C10858"/>
    <w:rsid w:val="00C11CC8"/>
    <w:rsid w:val="00C12F69"/>
    <w:rsid w:val="00C14075"/>
    <w:rsid w:val="00C21DC4"/>
    <w:rsid w:val="00C25F76"/>
    <w:rsid w:val="00C3001B"/>
    <w:rsid w:val="00C32594"/>
    <w:rsid w:val="00C41475"/>
    <w:rsid w:val="00C41BE7"/>
    <w:rsid w:val="00C427A2"/>
    <w:rsid w:val="00C47932"/>
    <w:rsid w:val="00C52721"/>
    <w:rsid w:val="00C530AF"/>
    <w:rsid w:val="00C54B33"/>
    <w:rsid w:val="00C56014"/>
    <w:rsid w:val="00C61E24"/>
    <w:rsid w:val="00C65328"/>
    <w:rsid w:val="00C66B46"/>
    <w:rsid w:val="00C753CE"/>
    <w:rsid w:val="00C81E1D"/>
    <w:rsid w:val="00C81FDD"/>
    <w:rsid w:val="00C82D30"/>
    <w:rsid w:val="00C97703"/>
    <w:rsid w:val="00CA17B4"/>
    <w:rsid w:val="00CA7F9D"/>
    <w:rsid w:val="00CB021A"/>
    <w:rsid w:val="00CB0BF3"/>
    <w:rsid w:val="00CB2835"/>
    <w:rsid w:val="00CB5398"/>
    <w:rsid w:val="00CB60E1"/>
    <w:rsid w:val="00CB6D6F"/>
    <w:rsid w:val="00CC072B"/>
    <w:rsid w:val="00CC0B56"/>
    <w:rsid w:val="00CC1958"/>
    <w:rsid w:val="00CC3E38"/>
    <w:rsid w:val="00CD1D6A"/>
    <w:rsid w:val="00CD3DF5"/>
    <w:rsid w:val="00CD5212"/>
    <w:rsid w:val="00CD5718"/>
    <w:rsid w:val="00CE0945"/>
    <w:rsid w:val="00CE59AB"/>
    <w:rsid w:val="00CE720A"/>
    <w:rsid w:val="00CE75FA"/>
    <w:rsid w:val="00CF0773"/>
    <w:rsid w:val="00CF4BD2"/>
    <w:rsid w:val="00CF549D"/>
    <w:rsid w:val="00CF5782"/>
    <w:rsid w:val="00CF74D3"/>
    <w:rsid w:val="00D019F6"/>
    <w:rsid w:val="00D03802"/>
    <w:rsid w:val="00D0756A"/>
    <w:rsid w:val="00D14701"/>
    <w:rsid w:val="00D14993"/>
    <w:rsid w:val="00D14B97"/>
    <w:rsid w:val="00D15B2D"/>
    <w:rsid w:val="00D26EDA"/>
    <w:rsid w:val="00D2732F"/>
    <w:rsid w:val="00D275F7"/>
    <w:rsid w:val="00D402F6"/>
    <w:rsid w:val="00D41EE0"/>
    <w:rsid w:val="00D4400A"/>
    <w:rsid w:val="00D45880"/>
    <w:rsid w:val="00D47E4C"/>
    <w:rsid w:val="00D5067B"/>
    <w:rsid w:val="00D512B6"/>
    <w:rsid w:val="00D513DB"/>
    <w:rsid w:val="00D51B76"/>
    <w:rsid w:val="00D541D4"/>
    <w:rsid w:val="00D5525A"/>
    <w:rsid w:val="00D564EC"/>
    <w:rsid w:val="00D5662B"/>
    <w:rsid w:val="00D6191F"/>
    <w:rsid w:val="00D62873"/>
    <w:rsid w:val="00D6509C"/>
    <w:rsid w:val="00D6766E"/>
    <w:rsid w:val="00D80DE0"/>
    <w:rsid w:val="00D81830"/>
    <w:rsid w:val="00D83050"/>
    <w:rsid w:val="00D843BD"/>
    <w:rsid w:val="00D84551"/>
    <w:rsid w:val="00D87A0F"/>
    <w:rsid w:val="00D933CA"/>
    <w:rsid w:val="00D96F88"/>
    <w:rsid w:val="00D9770C"/>
    <w:rsid w:val="00DA2A0F"/>
    <w:rsid w:val="00DA49C3"/>
    <w:rsid w:val="00DA4A10"/>
    <w:rsid w:val="00DA4D7B"/>
    <w:rsid w:val="00DB0B44"/>
    <w:rsid w:val="00DC45A2"/>
    <w:rsid w:val="00DC6FAA"/>
    <w:rsid w:val="00DD55FB"/>
    <w:rsid w:val="00DD5DD6"/>
    <w:rsid w:val="00DD6FAE"/>
    <w:rsid w:val="00DE314F"/>
    <w:rsid w:val="00DE3193"/>
    <w:rsid w:val="00DE7463"/>
    <w:rsid w:val="00DF2F62"/>
    <w:rsid w:val="00E002D3"/>
    <w:rsid w:val="00E047E2"/>
    <w:rsid w:val="00E21978"/>
    <w:rsid w:val="00E254DC"/>
    <w:rsid w:val="00E26A9E"/>
    <w:rsid w:val="00E33A3C"/>
    <w:rsid w:val="00E3443E"/>
    <w:rsid w:val="00E35833"/>
    <w:rsid w:val="00E37004"/>
    <w:rsid w:val="00E4141E"/>
    <w:rsid w:val="00E43CDF"/>
    <w:rsid w:val="00E45875"/>
    <w:rsid w:val="00E45C11"/>
    <w:rsid w:val="00E62E0D"/>
    <w:rsid w:val="00E63498"/>
    <w:rsid w:val="00E64C18"/>
    <w:rsid w:val="00E66666"/>
    <w:rsid w:val="00E724FF"/>
    <w:rsid w:val="00E72896"/>
    <w:rsid w:val="00E765DC"/>
    <w:rsid w:val="00E77658"/>
    <w:rsid w:val="00E77A6D"/>
    <w:rsid w:val="00E77F7B"/>
    <w:rsid w:val="00E80372"/>
    <w:rsid w:val="00E82C3A"/>
    <w:rsid w:val="00E834BB"/>
    <w:rsid w:val="00E836AF"/>
    <w:rsid w:val="00E84248"/>
    <w:rsid w:val="00E90EC6"/>
    <w:rsid w:val="00E9158F"/>
    <w:rsid w:val="00E932B0"/>
    <w:rsid w:val="00EA0B0F"/>
    <w:rsid w:val="00EA1019"/>
    <w:rsid w:val="00EA7280"/>
    <w:rsid w:val="00EA7D08"/>
    <w:rsid w:val="00EB6E16"/>
    <w:rsid w:val="00EC15AE"/>
    <w:rsid w:val="00EC4364"/>
    <w:rsid w:val="00EC73E8"/>
    <w:rsid w:val="00ED0B6B"/>
    <w:rsid w:val="00ED30A7"/>
    <w:rsid w:val="00ED4FDD"/>
    <w:rsid w:val="00EE54E1"/>
    <w:rsid w:val="00EE7FB3"/>
    <w:rsid w:val="00EF256E"/>
    <w:rsid w:val="00EF7104"/>
    <w:rsid w:val="00EF7F5A"/>
    <w:rsid w:val="00F0591D"/>
    <w:rsid w:val="00F132D6"/>
    <w:rsid w:val="00F20F20"/>
    <w:rsid w:val="00F23734"/>
    <w:rsid w:val="00F24C5E"/>
    <w:rsid w:val="00F307DE"/>
    <w:rsid w:val="00F312B5"/>
    <w:rsid w:val="00F35585"/>
    <w:rsid w:val="00F411F2"/>
    <w:rsid w:val="00F41392"/>
    <w:rsid w:val="00F4284A"/>
    <w:rsid w:val="00F43784"/>
    <w:rsid w:val="00F50546"/>
    <w:rsid w:val="00F51EAC"/>
    <w:rsid w:val="00F60120"/>
    <w:rsid w:val="00F72741"/>
    <w:rsid w:val="00F75AD8"/>
    <w:rsid w:val="00F77A30"/>
    <w:rsid w:val="00F83335"/>
    <w:rsid w:val="00F83582"/>
    <w:rsid w:val="00F84AC9"/>
    <w:rsid w:val="00F84C21"/>
    <w:rsid w:val="00F8782C"/>
    <w:rsid w:val="00F9034E"/>
    <w:rsid w:val="00FA334F"/>
    <w:rsid w:val="00FA452F"/>
    <w:rsid w:val="00FA7B2E"/>
    <w:rsid w:val="00FB02CF"/>
    <w:rsid w:val="00FB207A"/>
    <w:rsid w:val="00FB5514"/>
    <w:rsid w:val="00FB5A20"/>
    <w:rsid w:val="00FC0786"/>
    <w:rsid w:val="00FE0630"/>
    <w:rsid w:val="00FE3582"/>
    <w:rsid w:val="00FE4671"/>
    <w:rsid w:val="00FE6118"/>
    <w:rsid w:val="00FE79DE"/>
    <w:rsid w:val="00FF3330"/>
    <w:rsid w:val="00FF4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42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F1"/>
    <w:pPr>
      <w:spacing w:line="288" w:lineRule="auto"/>
    </w:pPr>
    <w:rPr>
      <w:rFonts w:ascii="Arial" w:eastAsiaTheme="minorEastAsia" w:hAnsi="Arial"/>
      <w:szCs w:val="24"/>
      <w:lang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A6753D"/>
    <w:pPr>
      <w:numPr>
        <w:numId w:val="4"/>
      </w:numPr>
      <w:spacing w:before="200" w:after="240"/>
      <w:outlineLvl w:val="1"/>
    </w:pPr>
    <w:rPr>
      <w:rFonts w:eastAsiaTheme="majorEastAsia" w:cstheme="majorBidi"/>
      <w:b/>
      <w:bCs/>
      <w:color w:val="6B2976"/>
      <w:sz w:val="40"/>
      <w:szCs w:val="26"/>
    </w:rPr>
  </w:style>
  <w:style w:type="paragraph" w:styleId="Heading3">
    <w:name w:val="heading 3"/>
    <w:basedOn w:val="Normal"/>
    <w:next w:val="Normal"/>
    <w:link w:val="Heading3Char"/>
    <w:uiPriority w:val="9"/>
    <w:unhideWhenUsed/>
    <w:qFormat/>
    <w:rsid w:val="004C03CC"/>
    <w:pPr>
      <w:numPr>
        <w:ilvl w:val="1"/>
        <w:numId w:val="4"/>
      </w:numPr>
      <w:spacing w:before="400"/>
      <w:outlineLvl w:val="2"/>
    </w:pPr>
    <w:rPr>
      <w:b/>
      <w:color w:val="6B2976"/>
      <w:sz w:val="28"/>
      <w:szCs w:val="30"/>
    </w:rPr>
  </w:style>
  <w:style w:type="paragraph" w:styleId="Heading4">
    <w:name w:val="heading 4"/>
    <w:basedOn w:val="Normal"/>
    <w:next w:val="Normal"/>
    <w:link w:val="Heading4Char"/>
    <w:uiPriority w:val="9"/>
    <w:unhideWhenUsed/>
    <w:qFormat/>
    <w:rsid w:val="00BE632A"/>
    <w:pPr>
      <w:numPr>
        <w:ilvl w:val="2"/>
        <w:numId w:val="4"/>
      </w:numPr>
      <w:spacing w:after="120"/>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4C03CC"/>
    <w:rPr>
      <w:rFonts w:ascii="Arial" w:eastAsiaTheme="majorEastAsia" w:hAnsi="Arial" w:cstheme="majorBidi"/>
      <w:b/>
      <w:bCs/>
      <w:color w:val="6B2976"/>
      <w:sz w:val="40"/>
      <w:szCs w:val="26"/>
      <w:lang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4C03CC"/>
    <w:rPr>
      <w:rFonts w:ascii="Arial" w:eastAsiaTheme="minorEastAsia" w:hAnsi="Arial"/>
      <w:b/>
      <w:color w:val="6B2976"/>
      <w:sz w:val="28"/>
      <w:szCs w:val="30"/>
      <w:lang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Bullet point,NFP GP Bulleted List,#List Paragraph,Figure_name,Bullet- First level,Listenabsatz1,2nd Bullet point,Number,List Paragraph111,F5 List Paragraph,Dot pt,CV text,Table text,列,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356473"/>
    <w:pPr>
      <w:tabs>
        <w:tab w:val="left" w:pos="1100"/>
        <w:tab w:val="right" w:pos="9016"/>
      </w:tabs>
      <w:spacing w:after="100"/>
      <w:ind w:left="709"/>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eastAsia="en-US"/>
    </w:rPr>
  </w:style>
  <w:style w:type="character" w:customStyle="1" w:styleId="SecuritymarkerChar">
    <w:name w:val="Security marker Char"/>
    <w:basedOn w:val="DefaultParagraphFont"/>
    <w:link w:val="Securitymarker"/>
    <w:rsid w:val="00AB4CC5"/>
    <w:rPr>
      <w:b/>
      <w:bCs/>
      <w:sz w:val="28"/>
      <w:szCs w:val="28"/>
    </w:rPr>
  </w:style>
  <w:style w:type="character" w:styleId="CommentReference">
    <w:name w:val="annotation reference"/>
    <w:basedOn w:val="DefaultParagraphFont"/>
    <w:uiPriority w:val="99"/>
    <w:semiHidden/>
    <w:unhideWhenUsed/>
    <w:rsid w:val="00733FC6"/>
    <w:rPr>
      <w:sz w:val="16"/>
      <w:szCs w:val="16"/>
    </w:rPr>
  </w:style>
  <w:style w:type="paragraph" w:styleId="CommentText">
    <w:name w:val="annotation text"/>
    <w:basedOn w:val="Normal"/>
    <w:link w:val="CommentTextChar"/>
    <w:uiPriority w:val="99"/>
    <w:unhideWhenUsed/>
    <w:rsid w:val="00733FC6"/>
    <w:pPr>
      <w:spacing w:line="240" w:lineRule="auto"/>
    </w:pPr>
    <w:rPr>
      <w:sz w:val="20"/>
      <w:szCs w:val="20"/>
    </w:rPr>
  </w:style>
  <w:style w:type="character" w:customStyle="1" w:styleId="CommentTextChar">
    <w:name w:val="Comment Text Char"/>
    <w:basedOn w:val="DefaultParagraphFont"/>
    <w:link w:val="CommentText"/>
    <w:uiPriority w:val="99"/>
    <w:rsid w:val="00733FC6"/>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94431F"/>
    <w:rPr>
      <w:b/>
      <w:bCs/>
    </w:rPr>
  </w:style>
  <w:style w:type="character" w:customStyle="1" w:styleId="CommentSubjectChar">
    <w:name w:val="Comment Subject Char"/>
    <w:basedOn w:val="CommentTextChar"/>
    <w:link w:val="CommentSubject"/>
    <w:uiPriority w:val="99"/>
    <w:semiHidden/>
    <w:rsid w:val="0094431F"/>
    <w:rPr>
      <w:rFonts w:ascii="Arial" w:eastAsiaTheme="minorEastAsia" w:hAnsi="Arial"/>
      <w:b/>
      <w:bCs/>
      <w:sz w:val="20"/>
      <w:szCs w:val="20"/>
      <w:lang w:val="en-US" w:eastAsia="ja-JP"/>
    </w:rPr>
  </w:style>
  <w:style w:type="paragraph" w:styleId="Revision">
    <w:name w:val="Revision"/>
    <w:hidden/>
    <w:uiPriority w:val="99"/>
    <w:semiHidden/>
    <w:rsid w:val="00B93F0C"/>
    <w:pPr>
      <w:spacing w:after="0" w:line="240" w:lineRule="auto"/>
    </w:pPr>
    <w:rPr>
      <w:rFonts w:ascii="Arial" w:eastAsiaTheme="minorEastAsia" w:hAnsi="Arial"/>
      <w:szCs w:val="24"/>
      <w:lang w:val="en-US" w:eastAsia="ja-JP"/>
    </w:rPr>
  </w:style>
  <w:style w:type="character" w:styleId="FollowedHyperlink">
    <w:name w:val="FollowedHyperlink"/>
    <w:basedOn w:val="DefaultParagraphFont"/>
    <w:uiPriority w:val="99"/>
    <w:semiHidden/>
    <w:unhideWhenUsed/>
    <w:rsid w:val="003D7AA6"/>
    <w:rPr>
      <w:color w:val="929292" w:themeColor="followedHyperlink"/>
      <w:u w:val="single"/>
    </w:rPr>
  </w:style>
  <w:style w:type="character" w:customStyle="1" w:styleId="ListParagraphChar">
    <w:name w:val="List Paragraph Char"/>
    <w:aliases w:val="List Paragraph1 Char,List Paragraph11 Char,Recommendation Char,L Char,Bullet point Char,NFP GP Bulleted List Char,#List Paragraph Char,Figure_name Char,Bullet- First level Char,Listenabsatz1 Char,2nd Bullet point Char,Number Char"/>
    <w:link w:val="ListParagraph"/>
    <w:uiPriority w:val="34"/>
    <w:qFormat/>
    <w:locked/>
    <w:rsid w:val="008402E2"/>
    <w:rPr>
      <w:rFonts w:ascii="Arial" w:eastAsiaTheme="minorEastAsia" w:hAnsi="Arial"/>
      <w:szCs w:val="24"/>
      <w:lang w:eastAsia="ja-JP"/>
    </w:rPr>
  </w:style>
  <w:style w:type="paragraph" w:styleId="NormalWeb">
    <w:name w:val="Normal (Web)"/>
    <w:basedOn w:val="Normal"/>
    <w:uiPriority w:val="99"/>
    <w:unhideWhenUsed/>
    <w:rsid w:val="008402E2"/>
    <w:pPr>
      <w:spacing w:before="100" w:beforeAutospacing="1" w:after="100" w:afterAutospacing="1" w:line="240" w:lineRule="auto"/>
    </w:pPr>
    <w:rPr>
      <w:rFonts w:ascii="Times New Roman" w:eastAsia="Times New Roman" w:hAnsi="Times New Roman" w:cs="Times New Roman"/>
      <w:sz w:val="24"/>
      <w:lang w:eastAsia="en-AU"/>
    </w:rPr>
  </w:style>
  <w:style w:type="paragraph" w:styleId="FootnoteText">
    <w:name w:val="footnote text"/>
    <w:basedOn w:val="Normal"/>
    <w:link w:val="FootnoteTextChar"/>
    <w:uiPriority w:val="99"/>
    <w:semiHidden/>
    <w:unhideWhenUsed/>
    <w:rsid w:val="003C5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415"/>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3C5415"/>
    <w:rPr>
      <w:vertAlign w:val="superscript"/>
    </w:rPr>
  </w:style>
  <w:style w:type="paragraph" w:customStyle="1" w:styleId="tabletext">
    <w:name w:val="tabletext"/>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tablea">
    <w:name w:val="tablea"/>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857">
      <w:bodyDiv w:val="1"/>
      <w:marLeft w:val="0"/>
      <w:marRight w:val="0"/>
      <w:marTop w:val="0"/>
      <w:marBottom w:val="0"/>
      <w:divBdr>
        <w:top w:val="none" w:sz="0" w:space="0" w:color="auto"/>
        <w:left w:val="none" w:sz="0" w:space="0" w:color="auto"/>
        <w:bottom w:val="none" w:sz="0" w:space="0" w:color="auto"/>
        <w:right w:val="none" w:sz="0" w:space="0" w:color="auto"/>
      </w:divBdr>
    </w:div>
    <w:div w:id="480777017">
      <w:bodyDiv w:val="1"/>
      <w:marLeft w:val="0"/>
      <w:marRight w:val="0"/>
      <w:marTop w:val="0"/>
      <w:marBottom w:val="0"/>
      <w:divBdr>
        <w:top w:val="none" w:sz="0" w:space="0" w:color="auto"/>
        <w:left w:val="none" w:sz="0" w:space="0" w:color="auto"/>
        <w:bottom w:val="none" w:sz="0" w:space="0" w:color="auto"/>
        <w:right w:val="none" w:sz="0" w:space="0" w:color="auto"/>
      </w:divBdr>
    </w:div>
    <w:div w:id="481578308">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
    <w:div w:id="682707194">
      <w:bodyDiv w:val="1"/>
      <w:marLeft w:val="0"/>
      <w:marRight w:val="0"/>
      <w:marTop w:val="0"/>
      <w:marBottom w:val="0"/>
      <w:divBdr>
        <w:top w:val="none" w:sz="0" w:space="0" w:color="auto"/>
        <w:left w:val="none" w:sz="0" w:space="0" w:color="auto"/>
        <w:bottom w:val="none" w:sz="0" w:space="0" w:color="auto"/>
        <w:right w:val="none" w:sz="0" w:space="0" w:color="auto"/>
      </w:divBdr>
    </w:div>
    <w:div w:id="1114594902">
      <w:bodyDiv w:val="1"/>
      <w:marLeft w:val="0"/>
      <w:marRight w:val="0"/>
      <w:marTop w:val="0"/>
      <w:marBottom w:val="0"/>
      <w:divBdr>
        <w:top w:val="none" w:sz="0" w:space="0" w:color="auto"/>
        <w:left w:val="none" w:sz="0" w:space="0" w:color="auto"/>
        <w:bottom w:val="none" w:sz="0" w:space="0" w:color="auto"/>
        <w:right w:val="none" w:sz="0" w:space="0" w:color="auto"/>
      </w:divBdr>
    </w:div>
    <w:div w:id="2080400834">
      <w:bodyDiv w:val="1"/>
      <w:marLeft w:val="0"/>
      <w:marRight w:val="0"/>
      <w:marTop w:val="0"/>
      <w:marBottom w:val="0"/>
      <w:divBdr>
        <w:top w:val="none" w:sz="0" w:space="0" w:color="auto"/>
        <w:left w:val="none" w:sz="0" w:space="0" w:color="auto"/>
        <w:bottom w:val="none" w:sz="0" w:space="0" w:color="auto"/>
        <w:right w:val="none" w:sz="0" w:space="0" w:color="auto"/>
      </w:divBdr>
    </w:div>
    <w:div w:id="21266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ndis.gov.au/" TargetMode="External"/><Relationship Id="rId18" Type="http://schemas.openxmlformats.org/officeDocument/2006/relationships/hyperlink" Target="https://www.ndis.gov.au/providers/pricing-arrangements" TargetMode="External"/><Relationship Id="rId26" Type="http://schemas.openxmlformats.org/officeDocument/2006/relationships/hyperlink" Target="https://www.legislation.gov.au/Details/F2020L00769" TargetMode="External"/><Relationship Id="rId39" Type="http://schemas.openxmlformats.org/officeDocument/2006/relationships/image" Target="media/image8.emf"/><Relationship Id="rId21" Type="http://schemas.openxmlformats.org/officeDocument/2006/relationships/hyperlink" Target="https://www.legislation.gov.au/Details/F2020L00769" TargetMode="External"/><Relationship Id="rId34" Type="http://schemas.openxmlformats.org/officeDocument/2006/relationships/image" Target="media/image5.emf"/><Relationship Id="rId42" Type="http://schemas.openxmlformats.org/officeDocument/2006/relationships/image" Target="media/image9.emf"/><Relationship Id="rId47" Type="http://schemas.openxmlformats.org/officeDocument/2006/relationships/hyperlink" Target="https://www.ndis.gov.au/about-us/publications/quarterly-reports" TargetMode="External"/><Relationship Id="rId50" Type="http://schemas.openxmlformats.org/officeDocument/2006/relationships/image" Target="media/image15.e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dis.gov.au/about-us/publications/quarterly-reports" TargetMode="External"/><Relationship Id="rId20" Type="http://schemas.openxmlformats.org/officeDocument/2006/relationships/hyperlink" Target="https://www.ndis.gov.au/providers/pricing-arrangements" TargetMode="External"/><Relationship Id="rId29" Type="http://schemas.openxmlformats.org/officeDocument/2006/relationships/hyperlink" Target="https://www.ndis.gov.au/providers/pricing-arrangements" TargetMode="External"/><Relationship Id="rId41" Type="http://schemas.openxmlformats.org/officeDocument/2006/relationships/hyperlink" Target="https://www.ndis.gov.au/about-us/publications/quarterly-report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participants/home-and-living/specialist-disability-accommodation-explained/sda-finder" TargetMode="External"/><Relationship Id="rId24" Type="http://schemas.openxmlformats.org/officeDocument/2006/relationships/hyperlink" Target="https://www.legislation.gov.au/Details/F2020L00769" TargetMode="External"/><Relationship Id="rId32" Type="http://schemas.openxmlformats.org/officeDocument/2006/relationships/hyperlink" Target="https://www.ndis.gov.au/about-us/publications/quarterly-reports" TargetMode="External"/><Relationship Id="rId37" Type="http://schemas.openxmlformats.org/officeDocument/2006/relationships/image" Target="media/image7.emf"/><Relationship Id="rId40" Type="http://schemas.openxmlformats.org/officeDocument/2006/relationships/hyperlink" Target="https://www.ndis.gov.au/media/3489/download?attachment" TargetMode="External"/><Relationship Id="rId45" Type="http://schemas.openxmlformats.org/officeDocument/2006/relationships/image" Target="media/image11.emf"/><Relationship Id="rId53" Type="http://schemas.openxmlformats.org/officeDocument/2006/relationships/image" Target="media/image18.emf"/><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ata.ndis.gov.au/" TargetMode="External"/><Relationship Id="rId23" Type="http://schemas.openxmlformats.org/officeDocument/2006/relationships/hyperlink" Target="https://www.ndis.gov.au/providers/pricing-arrangements" TargetMode="External"/><Relationship Id="rId28" Type="http://schemas.openxmlformats.org/officeDocument/2006/relationships/image" Target="media/image3.emf"/><Relationship Id="rId36" Type="http://schemas.openxmlformats.org/officeDocument/2006/relationships/hyperlink" Target="https://data.ndis.gov.au/" TargetMode="External"/><Relationship Id="rId49" Type="http://schemas.openxmlformats.org/officeDocument/2006/relationships/image" Target="media/image14.e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data.ndis.gov.au/" TargetMode="External"/><Relationship Id="rId19" Type="http://schemas.openxmlformats.org/officeDocument/2006/relationships/hyperlink" Target="https://www.legislation.gov.au/Details/F2020L00769" TargetMode="External"/><Relationship Id="rId31" Type="http://schemas.openxmlformats.org/officeDocument/2006/relationships/image" Target="media/image4.emf"/><Relationship Id="rId44" Type="http://schemas.openxmlformats.org/officeDocument/2006/relationships/image" Target="media/image10.emf"/><Relationship Id="rId52" Type="http://schemas.openxmlformats.org/officeDocument/2006/relationships/image" Target="media/image17.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dis.gov.au/about-us/publications/quarterly-reports" TargetMode="External"/><Relationship Id="rId14" Type="http://schemas.openxmlformats.org/officeDocument/2006/relationships/hyperlink" Target="https://ndis.gov.au/about-us/publications/quarterly-reports" TargetMode="External"/><Relationship Id="rId22" Type="http://schemas.openxmlformats.org/officeDocument/2006/relationships/hyperlink" Target="https://www.ndis.gov.au/providers/pricing-arrangements" TargetMode="External"/><Relationship Id="rId27" Type="http://schemas.openxmlformats.org/officeDocument/2006/relationships/hyperlink" Target="https://www.ndis.gov.au/about-us/publications/quarterly-reports" TargetMode="External"/><Relationship Id="rId30" Type="http://schemas.openxmlformats.org/officeDocument/2006/relationships/hyperlink" Target="https://data.ndis.gov.au/" TargetMode="External"/><Relationship Id="rId35" Type="http://schemas.openxmlformats.org/officeDocument/2006/relationships/image" Target="media/image6.emf"/><Relationship Id="rId43" Type="http://schemas.openxmlformats.org/officeDocument/2006/relationships/hyperlink" Target="https://data.ndis.gov.au/" TargetMode="External"/><Relationship Id="rId48" Type="http://schemas.openxmlformats.org/officeDocument/2006/relationships/image" Target="media/image13.emf"/><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16.emf"/><Relationship Id="rId3" Type="http://schemas.openxmlformats.org/officeDocument/2006/relationships/styles" Target="styles.xml"/><Relationship Id="rId12" Type="http://schemas.openxmlformats.org/officeDocument/2006/relationships/hyperlink" Target="https://www.ndis.gov.au/participants/home-and-living/specialist-disability-accommodation-explained/sda-finder" TargetMode="External"/><Relationship Id="rId17" Type="http://schemas.openxmlformats.org/officeDocument/2006/relationships/hyperlink" Target="https://data.ndis.gov.au/" TargetMode="External"/><Relationship Id="rId25" Type="http://schemas.openxmlformats.org/officeDocument/2006/relationships/hyperlink" Target="https://www.legislation.gov.au/Details/F2020L00769" TargetMode="External"/><Relationship Id="rId33" Type="http://schemas.openxmlformats.org/officeDocument/2006/relationships/hyperlink" Target="https://data.ndis.gov.au/" TargetMode="External"/><Relationship Id="rId38" Type="http://schemas.openxmlformats.org/officeDocument/2006/relationships/hyperlink" Target="https://data.ndis.gov.au/" TargetMode="External"/><Relationship Id="rId46" Type="http://schemas.openxmlformats.org/officeDocument/2006/relationships/image" Target="media/image12.emf"/><Relationship Id="rId5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9E15-2569-454A-89A7-8E93C0EE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5339</Words>
  <Characters>30436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SDA 2020-21 Q4 report</vt:lpstr>
    </vt:vector>
  </TitlesOfParts>
  <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 2020-21 Q4 report</dc:title>
  <dc:subject/>
  <dc:creator/>
  <cp:keywords/>
  <dc:description/>
  <cp:lastModifiedBy/>
  <cp:revision>1</cp:revision>
  <dcterms:created xsi:type="dcterms:W3CDTF">2021-12-05T00:43:00Z</dcterms:created>
  <dcterms:modified xsi:type="dcterms:W3CDTF">2021-12-06T03:28:00Z</dcterms:modified>
</cp:coreProperties>
</file>