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EC3E" w14:textId="780ED024" w:rsidR="00B6363C" w:rsidRDefault="009C2504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81839926"/>
      <w:bookmarkStart w:id="3" w:name="_GoBack"/>
      <w:bookmarkEnd w:id="3"/>
      <w:r>
        <w:rPr>
          <w:sz w:val="36"/>
        </w:rPr>
        <w:t xml:space="preserve">Service </w:t>
      </w:r>
      <w:r w:rsidR="000153D9"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</w:t>
      </w:r>
      <w:r w:rsidR="00530C08">
        <w:rPr>
          <w:sz w:val="36"/>
        </w:rPr>
        <w:t>SIL</w:t>
      </w:r>
      <w:r>
        <w:rPr>
          <w:sz w:val="36"/>
        </w:rPr>
        <w:t xml:space="preserve">/SDA participants </w:t>
      </w:r>
      <w:r w:rsidR="00530C08" w:rsidRPr="003C1EE2">
        <w:rPr>
          <w:sz w:val="36"/>
        </w:rPr>
        <w:t xml:space="preserve">– </w:t>
      </w:r>
      <w:r w:rsidR="00660C99" w:rsidRPr="003C1EE2">
        <w:rPr>
          <w:sz w:val="36"/>
        </w:rPr>
        <w:t>as at 3</w:t>
      </w:r>
      <w:r>
        <w:rPr>
          <w:sz w:val="36"/>
        </w:rPr>
        <w:t>0</w:t>
      </w:r>
      <w:r w:rsidR="00660C99" w:rsidRPr="003C1EE2">
        <w:rPr>
          <w:sz w:val="36"/>
        </w:rPr>
        <w:t xml:space="preserve"> </w:t>
      </w:r>
      <w:r>
        <w:rPr>
          <w:sz w:val="36"/>
        </w:rPr>
        <w:t xml:space="preserve">June </w:t>
      </w:r>
      <w:r w:rsidR="000153D9">
        <w:rPr>
          <w:sz w:val="36"/>
        </w:rPr>
        <w:t>20</w:t>
      </w:r>
      <w:bookmarkEnd w:id="0"/>
      <w:bookmarkEnd w:id="1"/>
      <w:r w:rsidR="000153D9">
        <w:rPr>
          <w:sz w:val="36"/>
        </w:rPr>
        <w:t>2</w:t>
      </w:r>
      <w:r>
        <w:rPr>
          <w:sz w:val="36"/>
        </w:rPr>
        <w:t>1</w:t>
      </w:r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1 </w:t>
      </w:r>
      <w:r>
        <w:rPr>
          <w:sz w:val="36"/>
        </w:rPr>
        <w:t xml:space="preserve">October </w:t>
      </w:r>
      <w:r w:rsidR="00DE2A20">
        <w:rPr>
          <w:sz w:val="36"/>
        </w:rPr>
        <w:t>2020</w:t>
      </w:r>
      <w:r w:rsidR="00660C99" w:rsidRPr="003C1EE2">
        <w:rPr>
          <w:sz w:val="36"/>
        </w:rPr>
        <w:t xml:space="preserve"> to 3</w:t>
      </w:r>
      <w:r>
        <w:rPr>
          <w:sz w:val="36"/>
        </w:rPr>
        <w:t>1</w:t>
      </w:r>
      <w:r w:rsidR="00660C99" w:rsidRPr="003C1EE2">
        <w:rPr>
          <w:sz w:val="36"/>
        </w:rPr>
        <w:t xml:space="preserve"> </w:t>
      </w:r>
      <w:r>
        <w:rPr>
          <w:sz w:val="36"/>
        </w:rPr>
        <w:t xml:space="preserve">March </w:t>
      </w:r>
      <w:r w:rsidR="000153D9">
        <w:rPr>
          <w:sz w:val="36"/>
        </w:rPr>
        <w:t>202</w:t>
      </w:r>
      <w:r>
        <w:rPr>
          <w:sz w:val="36"/>
        </w:rPr>
        <w:t>1</w:t>
      </w:r>
      <w:r w:rsidR="00660C99" w:rsidRPr="003C1EE2">
        <w:rPr>
          <w:sz w:val="36"/>
        </w:rPr>
        <w:t>)</w:t>
      </w:r>
      <w:bookmarkEnd w:id="2"/>
    </w:p>
    <w:p w14:paraId="5B43C10B" w14:textId="77777777" w:rsidR="00D00BF7" w:rsidRPr="00D00BF7" w:rsidRDefault="00D00BF7" w:rsidP="00D00BF7"/>
    <w:bookmarkStart w:id="4" w:name="_Toc81839927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1519784" w14:textId="77777777" w:rsidR="003C1EE2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4"/>
        </w:p>
        <w:p w14:paraId="422E7899" w14:textId="77777777" w:rsidR="009C2504" w:rsidRPr="00773751" w:rsidRDefault="009C2504" w:rsidP="00870B30">
          <w:pPr>
            <w:rPr>
              <w:lang w:eastAsia="en-AU"/>
            </w:rPr>
          </w:pPr>
        </w:p>
        <w:p w14:paraId="0C817E45" w14:textId="7B64282A" w:rsidR="00BF5B88" w:rsidRDefault="003C1EE2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81839926" w:history="1">
            <w:r w:rsidR="00BF5B88" w:rsidRPr="00864B03">
              <w:rPr>
                <w:rStyle w:val="Hyperlink"/>
                <w:noProof/>
              </w:rPr>
              <w:t>Service District / Support Category Summary Dashboard – SIL/SDA participants – as at 30 June 2021 (with exposure period: 1 October 2020 to 31 March 2021)</w:t>
            </w:r>
            <w:r w:rsidR="00BF5B88">
              <w:rPr>
                <w:noProof/>
                <w:webHidden/>
              </w:rPr>
              <w:tab/>
            </w:r>
            <w:r w:rsidR="00BF5B88">
              <w:rPr>
                <w:noProof/>
                <w:webHidden/>
              </w:rPr>
              <w:fldChar w:fldCharType="begin"/>
            </w:r>
            <w:r w:rsidR="00BF5B88">
              <w:rPr>
                <w:noProof/>
                <w:webHidden/>
              </w:rPr>
              <w:instrText xml:space="preserve"> PAGEREF _Toc81839926 \h </w:instrText>
            </w:r>
            <w:r w:rsidR="00BF5B88">
              <w:rPr>
                <w:noProof/>
                <w:webHidden/>
              </w:rPr>
            </w:r>
            <w:r w:rsidR="00BF5B88">
              <w:rPr>
                <w:noProof/>
                <w:webHidden/>
              </w:rPr>
              <w:fldChar w:fldCharType="separate"/>
            </w:r>
            <w:r w:rsidR="00BF5B88">
              <w:rPr>
                <w:noProof/>
                <w:webHidden/>
              </w:rPr>
              <w:t>1</w:t>
            </w:r>
            <w:r w:rsidR="00BF5B88">
              <w:rPr>
                <w:noProof/>
                <w:webHidden/>
              </w:rPr>
              <w:fldChar w:fldCharType="end"/>
            </w:r>
          </w:hyperlink>
        </w:p>
        <w:p w14:paraId="5ED5CFCB" w14:textId="5B69DB78" w:rsidR="00BF5B88" w:rsidRDefault="00133B0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9927" w:history="1">
            <w:r w:rsidR="00BF5B88" w:rsidRPr="00864B03">
              <w:rPr>
                <w:rStyle w:val="Hyperlink"/>
                <w:noProof/>
                <w:lang w:eastAsia="en-AU"/>
              </w:rPr>
              <w:t>Table of Contents</w:t>
            </w:r>
            <w:r w:rsidR="00BF5B88">
              <w:rPr>
                <w:noProof/>
                <w:webHidden/>
              </w:rPr>
              <w:tab/>
            </w:r>
            <w:r w:rsidR="00BF5B88">
              <w:rPr>
                <w:noProof/>
                <w:webHidden/>
              </w:rPr>
              <w:fldChar w:fldCharType="begin"/>
            </w:r>
            <w:r w:rsidR="00BF5B88">
              <w:rPr>
                <w:noProof/>
                <w:webHidden/>
              </w:rPr>
              <w:instrText xml:space="preserve"> PAGEREF _Toc81839927 \h </w:instrText>
            </w:r>
            <w:r w:rsidR="00BF5B88">
              <w:rPr>
                <w:noProof/>
                <w:webHidden/>
              </w:rPr>
            </w:r>
            <w:r w:rsidR="00BF5B88">
              <w:rPr>
                <w:noProof/>
                <w:webHidden/>
              </w:rPr>
              <w:fldChar w:fldCharType="separate"/>
            </w:r>
            <w:r w:rsidR="00BF5B88">
              <w:rPr>
                <w:noProof/>
                <w:webHidden/>
              </w:rPr>
              <w:t>1</w:t>
            </w:r>
            <w:r w:rsidR="00BF5B88">
              <w:rPr>
                <w:noProof/>
                <w:webHidden/>
              </w:rPr>
              <w:fldChar w:fldCharType="end"/>
            </w:r>
          </w:hyperlink>
        </w:p>
        <w:p w14:paraId="4B917776" w14:textId="36B98A32" w:rsidR="00BF5B88" w:rsidRDefault="00133B0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9928" w:history="1">
            <w:r w:rsidR="00BF5B88" w:rsidRPr="00864B03">
              <w:rPr>
                <w:rStyle w:val="Hyperlink"/>
                <w:noProof/>
              </w:rPr>
              <w:t>Page 1, Table 1: Service district summary</w:t>
            </w:r>
            <w:r w:rsidR="00BF5B88">
              <w:rPr>
                <w:noProof/>
                <w:webHidden/>
              </w:rPr>
              <w:tab/>
            </w:r>
            <w:r w:rsidR="00BF5B88">
              <w:rPr>
                <w:noProof/>
                <w:webHidden/>
              </w:rPr>
              <w:fldChar w:fldCharType="begin"/>
            </w:r>
            <w:r w:rsidR="00BF5B88">
              <w:rPr>
                <w:noProof/>
                <w:webHidden/>
              </w:rPr>
              <w:instrText xml:space="preserve"> PAGEREF _Toc81839928 \h </w:instrText>
            </w:r>
            <w:r w:rsidR="00BF5B88">
              <w:rPr>
                <w:noProof/>
                <w:webHidden/>
              </w:rPr>
            </w:r>
            <w:r w:rsidR="00BF5B88">
              <w:rPr>
                <w:noProof/>
                <w:webHidden/>
              </w:rPr>
              <w:fldChar w:fldCharType="separate"/>
            </w:r>
            <w:r w:rsidR="00BF5B88">
              <w:rPr>
                <w:noProof/>
                <w:webHidden/>
              </w:rPr>
              <w:t>2</w:t>
            </w:r>
            <w:r w:rsidR="00BF5B88">
              <w:rPr>
                <w:noProof/>
                <w:webHidden/>
              </w:rPr>
              <w:fldChar w:fldCharType="end"/>
            </w:r>
          </w:hyperlink>
        </w:p>
        <w:p w14:paraId="26A0C61B" w14:textId="2FE3A5C5" w:rsidR="00BF5B88" w:rsidRDefault="00133B0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9929" w:history="1">
            <w:r w:rsidR="00BF5B88" w:rsidRPr="00864B03">
              <w:rPr>
                <w:rStyle w:val="Hyperlink"/>
                <w:noProof/>
              </w:rPr>
              <w:t>Page 2, Table 1: Support category summary, for all service districts</w:t>
            </w:r>
            <w:r w:rsidR="00BF5B88">
              <w:rPr>
                <w:noProof/>
                <w:webHidden/>
              </w:rPr>
              <w:tab/>
            </w:r>
            <w:r w:rsidR="00BF5B88">
              <w:rPr>
                <w:noProof/>
                <w:webHidden/>
              </w:rPr>
              <w:fldChar w:fldCharType="begin"/>
            </w:r>
            <w:r w:rsidR="00BF5B88">
              <w:rPr>
                <w:noProof/>
                <w:webHidden/>
              </w:rPr>
              <w:instrText xml:space="preserve"> PAGEREF _Toc81839929 \h </w:instrText>
            </w:r>
            <w:r w:rsidR="00BF5B88">
              <w:rPr>
                <w:noProof/>
                <w:webHidden/>
              </w:rPr>
            </w:r>
            <w:r w:rsidR="00BF5B88">
              <w:rPr>
                <w:noProof/>
                <w:webHidden/>
              </w:rPr>
              <w:fldChar w:fldCharType="separate"/>
            </w:r>
            <w:r w:rsidR="00BF5B88">
              <w:rPr>
                <w:noProof/>
                <w:webHidden/>
              </w:rPr>
              <w:t>5</w:t>
            </w:r>
            <w:r w:rsidR="00BF5B88">
              <w:rPr>
                <w:noProof/>
                <w:webHidden/>
              </w:rPr>
              <w:fldChar w:fldCharType="end"/>
            </w:r>
          </w:hyperlink>
        </w:p>
        <w:p w14:paraId="00DCC44B" w14:textId="7F0AFF75" w:rsidR="00BF5B88" w:rsidRDefault="00133B0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9930" w:history="1">
            <w:r w:rsidR="00BF5B88" w:rsidRPr="00864B03">
              <w:rPr>
                <w:rStyle w:val="Hyperlink"/>
                <w:noProof/>
              </w:rPr>
              <w:t>Page 2, Table 2: Definitions for the indicators</w:t>
            </w:r>
            <w:r w:rsidR="00BF5B88">
              <w:rPr>
                <w:noProof/>
                <w:webHidden/>
              </w:rPr>
              <w:tab/>
            </w:r>
            <w:r w:rsidR="00BF5B88">
              <w:rPr>
                <w:noProof/>
                <w:webHidden/>
              </w:rPr>
              <w:fldChar w:fldCharType="begin"/>
            </w:r>
            <w:r w:rsidR="00BF5B88">
              <w:rPr>
                <w:noProof/>
                <w:webHidden/>
              </w:rPr>
              <w:instrText xml:space="preserve"> PAGEREF _Toc81839930 \h </w:instrText>
            </w:r>
            <w:r w:rsidR="00BF5B88">
              <w:rPr>
                <w:noProof/>
                <w:webHidden/>
              </w:rPr>
            </w:r>
            <w:r w:rsidR="00BF5B88">
              <w:rPr>
                <w:noProof/>
                <w:webHidden/>
              </w:rPr>
              <w:fldChar w:fldCharType="separate"/>
            </w:r>
            <w:r w:rsidR="00BF5B88">
              <w:rPr>
                <w:noProof/>
                <w:webHidden/>
              </w:rPr>
              <w:t>7</w:t>
            </w:r>
            <w:r w:rsidR="00BF5B88">
              <w:rPr>
                <w:noProof/>
                <w:webHidden/>
              </w:rPr>
              <w:fldChar w:fldCharType="end"/>
            </w:r>
          </w:hyperlink>
        </w:p>
        <w:p w14:paraId="14AF1F93" w14:textId="3AC757D6"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14:paraId="1D5AFB1C" w14:textId="77777777" w:rsidR="0013152A" w:rsidRDefault="0013152A" w:rsidP="003C1EE2">
      <w:pPr>
        <w:pStyle w:val="TOCHeading"/>
      </w:pPr>
    </w:p>
    <w:p w14:paraId="46601732" w14:textId="77777777" w:rsidR="0013152A" w:rsidRPr="0013152A" w:rsidRDefault="0013152A" w:rsidP="0013152A"/>
    <w:p w14:paraId="6F66B194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14:paraId="51B7617E" w14:textId="77777777" w:rsidR="00B6363C" w:rsidRPr="00B45A45" w:rsidRDefault="00BF0755" w:rsidP="00D00BF7">
      <w:pPr>
        <w:pStyle w:val="Heading2"/>
      </w:pPr>
      <w:bookmarkStart w:id="5" w:name="_Toc81839928"/>
      <w:r w:rsidRPr="00B45A45">
        <w:lastRenderedPageBreak/>
        <w:t>Page</w:t>
      </w:r>
      <w:r w:rsidR="0013152A" w:rsidRPr="00B45A45">
        <w:t xml:space="preserve"> 1</w:t>
      </w:r>
      <w:r w:rsidRPr="00B45A45">
        <w:t>, Table 1</w:t>
      </w:r>
      <w:r w:rsidR="0013152A" w:rsidRPr="00B45A45">
        <w:t xml:space="preserve">: </w:t>
      </w:r>
      <w:r w:rsidR="000153D9">
        <w:t>Service district</w:t>
      </w:r>
      <w:r w:rsidR="0013152A" w:rsidRPr="00B45A45">
        <w:t xml:space="preserve"> summary</w:t>
      </w:r>
      <w:bookmarkEnd w:id="5"/>
    </w:p>
    <w:p w14:paraId="0323F9D1" w14:textId="62EAE073" w:rsidR="00B6363C" w:rsidRPr="00B45A45" w:rsidRDefault="00076EDF" w:rsidP="00D00BF7">
      <w:pPr>
        <w:jc w:val="both"/>
        <w:rPr>
          <w:rFonts w:cs="Arial"/>
        </w:rPr>
      </w:pPr>
      <w:r w:rsidRPr="00B45A45">
        <w:rPr>
          <w:rFonts w:cs="Arial"/>
        </w:rPr>
        <w:t>For</w:t>
      </w:r>
      <w:r w:rsidR="00D12F81" w:rsidRPr="00B45A45">
        <w:rPr>
          <w:rFonts w:cs="Arial"/>
        </w:rPr>
        <w:t xml:space="preserve"> </w:t>
      </w:r>
      <w:r w:rsidR="009C2504" w:rsidRPr="00773751">
        <w:rPr>
          <w:rFonts w:cs="Arial"/>
          <w:b/>
        </w:rPr>
        <w:t xml:space="preserve">SIL/SDA </w:t>
      </w:r>
      <w:r w:rsidR="00D12F81" w:rsidRPr="009C2504">
        <w:rPr>
          <w:rFonts w:cs="Arial"/>
          <w:b/>
        </w:rPr>
        <w:t>p</w:t>
      </w:r>
      <w:r w:rsidR="00D12F81" w:rsidRPr="00B45A45">
        <w:rPr>
          <w:rFonts w:cs="Arial"/>
          <w:b/>
        </w:rPr>
        <w:t xml:space="preserve">articipants </w:t>
      </w:r>
      <w:r w:rsidR="00D12F81" w:rsidRPr="00B45A45">
        <w:rPr>
          <w:rFonts w:cs="Arial"/>
        </w:rPr>
        <w:t>across</w:t>
      </w:r>
      <w:r w:rsidRPr="00B45A45">
        <w:rPr>
          <w:rFonts w:cs="Arial"/>
        </w:rPr>
        <w:t xml:space="preserve"> each </w:t>
      </w:r>
      <w:r w:rsidR="0013152A" w:rsidRPr="00B45A45">
        <w:rPr>
          <w:rFonts w:cs="Arial"/>
        </w:rPr>
        <w:t xml:space="preserve">of the </w:t>
      </w:r>
      <w:r w:rsidR="000153D9">
        <w:rPr>
          <w:rFonts w:cs="Arial"/>
        </w:rPr>
        <w:t>80</w:t>
      </w:r>
      <w:r w:rsidR="0013152A" w:rsidRPr="00B45A45">
        <w:rPr>
          <w:rFonts w:cs="Arial"/>
        </w:rPr>
        <w:t xml:space="preserve"> </w:t>
      </w:r>
      <w:r w:rsidR="000153D9">
        <w:rPr>
          <w:rFonts w:cs="Arial"/>
        </w:rPr>
        <w:t>service district</w:t>
      </w:r>
      <w:r w:rsidR="0013152A" w:rsidRPr="00B45A45">
        <w:rPr>
          <w:rFonts w:cs="Arial"/>
        </w:rPr>
        <w:t>s</w:t>
      </w:r>
      <w:r w:rsidRPr="00B45A45">
        <w:rPr>
          <w:rFonts w:cs="Arial"/>
        </w:rPr>
        <w:t>,</w:t>
      </w:r>
      <w:r w:rsidR="00CA1F54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7</w:t>
      </w:r>
      <w:r w:rsidR="00763823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indicators</w:t>
      </w:r>
      <w:r w:rsidR="00763823" w:rsidRPr="00B45A45">
        <w:rPr>
          <w:rFonts w:cs="Arial"/>
        </w:rPr>
        <w:t xml:space="preserve"> have been calculated. These are:</w:t>
      </w:r>
    </w:p>
    <w:p w14:paraId="16336EA4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Participants per provider</w:t>
      </w:r>
      <w:r w:rsidR="00B94DA7" w:rsidRPr="00B45A45">
        <w:rPr>
          <w:rFonts w:cs="Arial"/>
        </w:rPr>
        <w:t>;</w:t>
      </w:r>
    </w:p>
    <w:p w14:paraId="4E284765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concentration</w:t>
      </w:r>
      <w:r w:rsidR="00B94DA7" w:rsidRPr="00B45A45">
        <w:rPr>
          <w:rFonts w:cs="Arial"/>
        </w:rPr>
        <w:t>;</w:t>
      </w:r>
    </w:p>
    <w:p w14:paraId="7A47D8E9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growth;</w:t>
      </w:r>
    </w:p>
    <w:p w14:paraId="31596013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shrinkage;</w:t>
      </w:r>
    </w:p>
    <w:p w14:paraId="4CC79570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Utilisation;</w:t>
      </w:r>
    </w:p>
    <w:p w14:paraId="1FBCD00B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Outcomes indicator on choice and control</w:t>
      </w:r>
      <w:r w:rsidR="00B94DA7" w:rsidRPr="00B45A45">
        <w:rPr>
          <w:rFonts w:cs="Arial"/>
        </w:rPr>
        <w:t>; and</w:t>
      </w:r>
      <w:r w:rsidRPr="00B45A45">
        <w:rPr>
          <w:rFonts w:cs="Arial"/>
        </w:rPr>
        <w:t xml:space="preserve"> </w:t>
      </w:r>
    </w:p>
    <w:p w14:paraId="2985EE1E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“</w:t>
      </w:r>
      <w:r w:rsidR="005F5990">
        <w:rPr>
          <w:rFonts w:cs="Arial"/>
        </w:rPr>
        <w:t>Has the NDIS helped with choice and control</w:t>
      </w:r>
      <w:r w:rsidRPr="00B45A45">
        <w:rPr>
          <w:rFonts w:cs="Arial"/>
        </w:rPr>
        <w:t>?” indicator</w:t>
      </w:r>
    </w:p>
    <w:p w14:paraId="120CD09D" w14:textId="40498DC4" w:rsidR="00763823" w:rsidRPr="00B45A45" w:rsidRDefault="00B41A44" w:rsidP="00D00BF7">
      <w:pPr>
        <w:jc w:val="both"/>
        <w:rPr>
          <w:rFonts w:cs="Arial"/>
        </w:rPr>
      </w:pPr>
      <w:r w:rsidRPr="00B45A45">
        <w:rPr>
          <w:rFonts w:cs="Arial"/>
        </w:rPr>
        <w:t xml:space="preserve">The number of active </w:t>
      </w:r>
      <w:r w:rsidR="00476601">
        <w:rPr>
          <w:rFonts w:cs="Arial"/>
        </w:rPr>
        <w:t>SIL</w:t>
      </w:r>
      <w:r w:rsidR="009C2504">
        <w:rPr>
          <w:rFonts w:cs="Arial"/>
        </w:rPr>
        <w:t xml:space="preserve">/SDA </w:t>
      </w:r>
      <w:r w:rsidRPr="00B45A45">
        <w:rPr>
          <w:rFonts w:cs="Arial"/>
        </w:rPr>
        <w:t>participants with approved plans, the number of active providers, total plan budgets and total payments are also shown.</w:t>
      </w:r>
      <w:r w:rsidR="00CA1F54" w:rsidRPr="00B45A45">
        <w:rPr>
          <w:rFonts w:cs="Arial"/>
        </w:rPr>
        <w:t xml:space="preserve"> </w:t>
      </w:r>
      <w:r w:rsidR="00133B0E">
        <w:rPr>
          <w:rFonts w:cs="Arial"/>
        </w:rPr>
        <w:t>In</w:t>
      </w:r>
      <w:r w:rsidR="00CA1F54" w:rsidRPr="00B45A45">
        <w:rPr>
          <w:rFonts w:cs="Arial"/>
        </w:rPr>
        <w:t>dicators</w:t>
      </w:r>
      <w:r w:rsidR="00B94DA7" w:rsidRPr="00B45A45">
        <w:rPr>
          <w:rFonts w:cs="Arial"/>
        </w:rPr>
        <w:t xml:space="preserve"> </w:t>
      </w:r>
      <w:r w:rsidR="00133B0E">
        <w:rPr>
          <w:rFonts w:cs="Arial"/>
        </w:rPr>
        <w:t>are added w</w:t>
      </w:r>
      <w:r w:rsidR="00B94DA7" w:rsidRPr="00B45A45">
        <w:rPr>
          <w:rFonts w:cs="Arial"/>
        </w:rPr>
        <w:t xml:space="preserve">here the top 10% and bottom 10% </w:t>
      </w:r>
      <w:r w:rsidR="00430D4D" w:rsidRPr="00B45A45">
        <w:rPr>
          <w:rFonts w:cs="Arial"/>
        </w:rPr>
        <w:t xml:space="preserve">of </w:t>
      </w:r>
      <w:r w:rsidR="009C2504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="00B94DA7" w:rsidRPr="00B45A45">
        <w:rPr>
          <w:rFonts w:cs="Arial"/>
        </w:rPr>
        <w:t>s</w:t>
      </w:r>
      <w:r w:rsidR="00430D4D" w:rsidRPr="00B45A45">
        <w:rPr>
          <w:rFonts w:cs="Arial"/>
        </w:rPr>
        <w:t xml:space="preserve"> – by gap to benchmark – </w:t>
      </w:r>
      <w:r w:rsidR="00B94DA7" w:rsidRPr="00B45A45">
        <w:rPr>
          <w:rFonts w:cs="Arial"/>
        </w:rPr>
        <w:t>are</w:t>
      </w:r>
      <w:r w:rsidR="00430D4D" w:rsidRPr="00B45A45">
        <w:rPr>
          <w:rFonts w:cs="Arial"/>
        </w:rPr>
        <w:t xml:space="preserve"> </w:t>
      </w:r>
      <w:r w:rsidR="00B94DA7" w:rsidRPr="00B45A45">
        <w:rPr>
          <w:rFonts w:cs="Arial"/>
        </w:rPr>
        <w:t>highlighted.</w:t>
      </w:r>
    </w:p>
    <w:p w14:paraId="10ABD71A" w14:textId="77777777" w:rsidR="00862FC1" w:rsidRPr="00D12F81" w:rsidRDefault="00862FC1" w:rsidP="00D00BF7">
      <w:pPr>
        <w:jc w:val="both"/>
        <w:rPr>
          <w:rFonts w:cs="Arial"/>
          <w:highlight w:val="yellow"/>
        </w:rPr>
      </w:pPr>
    </w:p>
    <w:p w14:paraId="2B67BF89" w14:textId="158465A1" w:rsidR="009A78AA" w:rsidRPr="0017743D" w:rsidRDefault="00B94DA7" w:rsidP="00D00BF7">
      <w:pPr>
        <w:jc w:val="both"/>
        <w:rPr>
          <w:rFonts w:cs="Arial"/>
        </w:rPr>
      </w:pPr>
      <w:r w:rsidRPr="0017743D">
        <w:rPr>
          <w:rFonts w:cs="Arial"/>
        </w:rPr>
        <w:t xml:space="preserve">For </w:t>
      </w:r>
      <w:r w:rsidR="002340FA" w:rsidRPr="00773751">
        <w:rPr>
          <w:rFonts w:cs="Arial"/>
          <w:b/>
        </w:rPr>
        <w:t>SIL</w:t>
      </w:r>
      <w:r w:rsidR="009C2504" w:rsidRPr="00773751">
        <w:rPr>
          <w:rFonts w:cs="Arial"/>
          <w:b/>
        </w:rPr>
        <w:t xml:space="preserve">/SDA </w:t>
      </w:r>
      <w:r w:rsidRPr="009C2504">
        <w:rPr>
          <w:rFonts w:cs="Arial"/>
          <w:b/>
        </w:rPr>
        <w:t>p</w:t>
      </w:r>
      <w:r w:rsidRPr="0017743D">
        <w:rPr>
          <w:rFonts w:cs="Arial"/>
          <w:b/>
        </w:rPr>
        <w:t>articipants per provider</w:t>
      </w:r>
      <w:r w:rsidRPr="0017743D">
        <w:rPr>
          <w:rFonts w:cs="Arial"/>
        </w:rPr>
        <w:t xml:space="preserve">, </w:t>
      </w:r>
      <w:r w:rsidR="009A78AA" w:rsidRPr="0017743D">
        <w:rPr>
          <w:rFonts w:cs="Arial"/>
        </w:rPr>
        <w:t xml:space="preserve">the top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="009A78AA" w:rsidRPr="0017743D">
        <w:rPr>
          <w:rFonts w:cs="Arial"/>
        </w:rPr>
        <w:t>s are as follows.</w:t>
      </w:r>
    </w:p>
    <w:p w14:paraId="462BC25C" w14:textId="4CB3218D" w:rsidR="0017743D" w:rsidRDefault="009C2504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>Hume Moreland</w:t>
      </w:r>
      <w:r>
        <w:rPr>
          <w:rFonts w:cs="Arial"/>
        </w:rPr>
        <w:t xml:space="preserve"> </w:t>
      </w:r>
      <w:r w:rsidRPr="0017743D">
        <w:rPr>
          <w:rFonts w:cs="Arial"/>
        </w:rPr>
        <w:t>(</w:t>
      </w:r>
      <w:r>
        <w:rPr>
          <w:rFonts w:cs="Arial"/>
        </w:rPr>
        <w:t xml:space="preserve">Victoria) </w:t>
      </w:r>
      <w:r w:rsidR="00311D93">
        <w:rPr>
          <w:rFonts w:cs="Arial"/>
        </w:rPr>
        <w:t>has 1.</w:t>
      </w:r>
      <w:r>
        <w:rPr>
          <w:rFonts w:cs="Arial"/>
        </w:rPr>
        <w:t>0</w:t>
      </w:r>
      <w:r w:rsidR="0017743D" w:rsidRPr="0017743D">
        <w:rPr>
          <w:rFonts w:cs="Arial"/>
        </w:rPr>
        <w:t xml:space="preserve"> SIL</w:t>
      </w:r>
      <w:r>
        <w:rPr>
          <w:rFonts w:cs="Arial"/>
        </w:rPr>
        <w:t xml:space="preserve">/SDA </w:t>
      </w:r>
      <w:r w:rsidR="0017743D" w:rsidRPr="0017743D">
        <w:rPr>
          <w:rFonts w:cs="Arial"/>
        </w:rPr>
        <w:t>participants per provider.</w:t>
      </w:r>
    </w:p>
    <w:p w14:paraId="0E7CAEA4" w14:textId="4124B5AD" w:rsidR="00476601" w:rsidRPr="0017743D" w:rsidRDefault="00476601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Barossa, Light and Lower</w:t>
      </w:r>
      <w:r w:rsidR="00311D93">
        <w:rPr>
          <w:rFonts w:cs="Arial"/>
        </w:rPr>
        <w:t xml:space="preserve"> North (South Australia) has 0.</w:t>
      </w:r>
      <w:r w:rsidR="009C2504">
        <w:rPr>
          <w:rFonts w:cs="Arial"/>
        </w:rPr>
        <w:t>6</w:t>
      </w:r>
      <w:r w:rsidRPr="0017743D">
        <w:rPr>
          <w:rFonts w:cs="Arial"/>
        </w:rPr>
        <w:t>.</w:t>
      </w:r>
    </w:p>
    <w:p w14:paraId="60448C90" w14:textId="385A818B" w:rsid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proofErr w:type="spellStart"/>
      <w:r w:rsidRPr="0017743D">
        <w:rPr>
          <w:rFonts w:cs="Arial"/>
        </w:rPr>
        <w:t>Fleurieu</w:t>
      </w:r>
      <w:proofErr w:type="spellEnd"/>
      <w:r w:rsidRPr="0017743D">
        <w:rPr>
          <w:rFonts w:cs="Arial"/>
        </w:rPr>
        <w:t xml:space="preserve"> and Kangaroo </w:t>
      </w:r>
      <w:r w:rsidR="00311D93">
        <w:rPr>
          <w:rFonts w:cs="Arial"/>
        </w:rPr>
        <w:t xml:space="preserve">Island (South Australia) has </w:t>
      </w:r>
      <w:r w:rsidR="009C2504">
        <w:rPr>
          <w:rFonts w:cs="Arial"/>
        </w:rPr>
        <w:t>1.0</w:t>
      </w:r>
      <w:r w:rsidRPr="0017743D">
        <w:rPr>
          <w:rFonts w:cs="Arial"/>
        </w:rPr>
        <w:t>.</w:t>
      </w:r>
    </w:p>
    <w:p w14:paraId="40D158FD" w14:textId="77777777" w:rsidR="00311D93" w:rsidRPr="00311D93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 xml:space="preserve">Barkly </w:t>
      </w:r>
      <w:r>
        <w:rPr>
          <w:rFonts w:cs="Arial"/>
        </w:rPr>
        <w:t xml:space="preserve">(Northern Territory) has 0.7. </w:t>
      </w:r>
    </w:p>
    <w:p w14:paraId="3A4FB23C" w14:textId="03288738" w:rsidR="000153D9" w:rsidRDefault="000153D9" w:rsidP="0047660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Arnhem (Northern Territory) has 0.</w:t>
      </w:r>
      <w:r w:rsidR="009C2504">
        <w:rPr>
          <w:rFonts w:cs="Arial"/>
        </w:rPr>
        <w:t>7</w:t>
      </w:r>
      <w:r>
        <w:rPr>
          <w:rFonts w:cs="Arial"/>
        </w:rPr>
        <w:t xml:space="preserve">. </w:t>
      </w:r>
    </w:p>
    <w:p w14:paraId="1E7576D9" w14:textId="44D81B07" w:rsidR="00311D93" w:rsidRPr="00311D93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 xml:space="preserve">Katherine </w:t>
      </w:r>
      <w:r>
        <w:rPr>
          <w:rFonts w:cs="Arial"/>
        </w:rPr>
        <w:t>(Northern Territory) has 0.</w:t>
      </w:r>
      <w:r w:rsidR="009C2504">
        <w:rPr>
          <w:rFonts w:cs="Arial"/>
        </w:rPr>
        <w:t>8</w:t>
      </w:r>
      <w:r>
        <w:rPr>
          <w:rFonts w:cs="Arial"/>
        </w:rPr>
        <w:t xml:space="preserve">. </w:t>
      </w:r>
    </w:p>
    <w:p w14:paraId="1B5D2E83" w14:textId="77777777" w:rsidR="009C2504" w:rsidRDefault="009C2504" w:rsidP="009C250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Kimberley-Pilbara</w:t>
      </w:r>
      <w:r w:rsidRPr="00311D93">
        <w:rPr>
          <w:rFonts w:cs="Arial"/>
        </w:rPr>
        <w:t xml:space="preserve"> </w:t>
      </w:r>
      <w:r>
        <w:rPr>
          <w:rFonts w:cs="Arial"/>
        </w:rPr>
        <w:t xml:space="preserve">(Western Australia) has 1.0. </w:t>
      </w:r>
    </w:p>
    <w:p w14:paraId="60CE1C99" w14:textId="3191B16A" w:rsidR="000153D9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 xml:space="preserve">Wheat Belt </w:t>
      </w:r>
      <w:r>
        <w:rPr>
          <w:rFonts w:cs="Arial"/>
        </w:rPr>
        <w:t>(Western Australia) has 0</w:t>
      </w:r>
      <w:r w:rsidR="000153D9">
        <w:rPr>
          <w:rFonts w:cs="Arial"/>
        </w:rPr>
        <w:t>.</w:t>
      </w:r>
      <w:r w:rsidR="009C2504">
        <w:rPr>
          <w:rFonts w:cs="Arial"/>
        </w:rPr>
        <w:t>8.</w:t>
      </w:r>
      <w:r w:rsidR="000153D9">
        <w:rPr>
          <w:rFonts w:cs="Arial"/>
        </w:rPr>
        <w:t xml:space="preserve"> </w:t>
      </w:r>
    </w:p>
    <w:p w14:paraId="5E2BFE95" w14:textId="7DFBB629" w:rsidR="009A78AA" w:rsidRPr="00A739C7" w:rsidRDefault="009A78AA" w:rsidP="00D00BF7">
      <w:pPr>
        <w:jc w:val="both"/>
        <w:rPr>
          <w:rFonts w:cs="Arial"/>
        </w:rPr>
      </w:pPr>
      <w:r w:rsidRPr="00A739C7">
        <w:rPr>
          <w:rFonts w:cs="Arial"/>
        </w:rPr>
        <w:t xml:space="preserve">The bottom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A739C7">
        <w:rPr>
          <w:rFonts w:cs="Arial"/>
        </w:rPr>
        <w:t>s are as follows.</w:t>
      </w:r>
    </w:p>
    <w:p w14:paraId="58D294A3" w14:textId="4B24B833" w:rsidR="009A78AA" w:rsidRPr="00A739C7" w:rsidRDefault="003C6D8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</w:t>
      </w:r>
      <w:r w:rsidR="00311D93">
        <w:rPr>
          <w:rFonts w:cs="Arial"/>
        </w:rPr>
        <w:t>2.</w:t>
      </w:r>
      <w:r w:rsidR="009C2504">
        <w:rPr>
          <w:rFonts w:cs="Arial"/>
        </w:rPr>
        <w:t>6</w:t>
      </w:r>
      <w:r w:rsidR="000153D9">
        <w:rPr>
          <w:rFonts w:cs="Arial"/>
        </w:rPr>
        <w:t xml:space="preserve"> SIL</w:t>
      </w:r>
      <w:r w:rsidR="009C2504">
        <w:rPr>
          <w:rFonts w:cs="Arial"/>
        </w:rPr>
        <w:t>/SDA</w:t>
      </w:r>
      <w:r w:rsidR="009A78AA" w:rsidRPr="00A739C7">
        <w:rPr>
          <w:rFonts w:cs="Arial"/>
        </w:rPr>
        <w:t xml:space="preserve"> participants per provider.</w:t>
      </w:r>
    </w:p>
    <w:p w14:paraId="219D0A62" w14:textId="77777777" w:rsidR="00A739C7" w:rsidRDefault="00311D93" w:rsidP="00311D9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11D93">
        <w:rPr>
          <w:rFonts w:cs="Arial"/>
        </w:rPr>
        <w:t xml:space="preserve">Murrumbidgee </w:t>
      </w:r>
      <w:r w:rsidR="000153D9">
        <w:rPr>
          <w:rFonts w:cs="Arial"/>
        </w:rPr>
        <w:t xml:space="preserve">(New South Wales) </w:t>
      </w:r>
      <w:r>
        <w:rPr>
          <w:rFonts w:cs="Arial"/>
        </w:rPr>
        <w:t>has 2.7</w:t>
      </w:r>
      <w:r w:rsidR="000153D9">
        <w:rPr>
          <w:rFonts w:cs="Arial"/>
        </w:rPr>
        <w:t xml:space="preserve">. </w:t>
      </w:r>
    </w:p>
    <w:p w14:paraId="20A40AED" w14:textId="77777777" w:rsidR="009C2504" w:rsidRDefault="009C2504" w:rsidP="009C250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Northern New South Wales (New South Wales) has 2.7. </w:t>
      </w:r>
    </w:p>
    <w:p w14:paraId="5043D7D9" w14:textId="77777777" w:rsidR="009C2504" w:rsidRDefault="009C2504" w:rsidP="009C250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Western New South Wales (New South Wales) has 2.7. </w:t>
      </w:r>
    </w:p>
    <w:p w14:paraId="3E1564CF" w14:textId="77777777" w:rsidR="00311D93" w:rsidRPr="00311D93" w:rsidRDefault="00311D93" w:rsidP="00311D9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11D93">
        <w:rPr>
          <w:rFonts w:cs="Arial"/>
        </w:rPr>
        <w:t>Bayside Peninsula</w:t>
      </w:r>
      <w:r>
        <w:rPr>
          <w:rFonts w:cs="Arial"/>
        </w:rPr>
        <w:t xml:space="preserve"> </w:t>
      </w:r>
      <w:r w:rsidRPr="00A739C7">
        <w:rPr>
          <w:rFonts w:cs="Arial"/>
        </w:rPr>
        <w:t>(Victoria) has 2.</w:t>
      </w:r>
      <w:r>
        <w:rPr>
          <w:rFonts w:cs="Arial"/>
        </w:rPr>
        <w:t>6</w:t>
      </w:r>
      <w:r w:rsidRPr="00A739C7">
        <w:rPr>
          <w:rFonts w:cs="Arial"/>
        </w:rPr>
        <w:t>.</w:t>
      </w:r>
    </w:p>
    <w:p w14:paraId="1FAFBB3A" w14:textId="5480EEF0" w:rsidR="00A739C7" w:rsidRPr="00A739C7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Wes</w:t>
      </w:r>
      <w:r w:rsidR="00311D93">
        <w:rPr>
          <w:rFonts w:cs="Arial"/>
        </w:rPr>
        <w:t>tern District (Victoria) has 3.</w:t>
      </w:r>
      <w:r w:rsidR="009C2504">
        <w:rPr>
          <w:rFonts w:cs="Arial"/>
        </w:rPr>
        <w:t>4</w:t>
      </w:r>
      <w:r w:rsidRPr="00A739C7">
        <w:rPr>
          <w:rFonts w:cs="Arial"/>
        </w:rPr>
        <w:t>.</w:t>
      </w:r>
    </w:p>
    <w:p w14:paraId="33AE533F" w14:textId="715B532A"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Northern Adelaide (South Australia) has </w:t>
      </w:r>
      <w:r w:rsidR="009C2504">
        <w:rPr>
          <w:rFonts w:cs="Arial"/>
        </w:rPr>
        <w:t>2.8</w:t>
      </w:r>
      <w:r w:rsidR="00A739C7" w:rsidRPr="00A739C7">
        <w:rPr>
          <w:rFonts w:cs="Arial"/>
        </w:rPr>
        <w:t>.</w:t>
      </w:r>
    </w:p>
    <w:p w14:paraId="41BC740C" w14:textId="57925443"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Southern Ad</w:t>
      </w:r>
      <w:r w:rsidR="00A739C7" w:rsidRPr="00A739C7">
        <w:rPr>
          <w:rFonts w:cs="Arial"/>
        </w:rPr>
        <w:t>elaide (South Australia) has 3.</w:t>
      </w:r>
      <w:r w:rsidR="009C2504">
        <w:rPr>
          <w:rFonts w:cs="Arial"/>
        </w:rPr>
        <w:t>1</w:t>
      </w:r>
      <w:r w:rsidRPr="00A739C7">
        <w:rPr>
          <w:rFonts w:cs="Arial"/>
        </w:rPr>
        <w:t>.</w:t>
      </w:r>
    </w:p>
    <w:p w14:paraId="690CFC85" w14:textId="32D4DB4F" w:rsidR="009A78AA" w:rsidRPr="00A739C7" w:rsidRDefault="00B94DA7" w:rsidP="00D00BF7">
      <w:pPr>
        <w:jc w:val="both"/>
        <w:rPr>
          <w:rFonts w:cs="Arial"/>
        </w:rPr>
      </w:pPr>
      <w:r w:rsidRPr="00A739C7">
        <w:rPr>
          <w:rFonts w:cs="Arial"/>
        </w:rPr>
        <w:t xml:space="preserve">For </w:t>
      </w:r>
      <w:r w:rsidRPr="00A739C7">
        <w:rPr>
          <w:rFonts w:cs="Arial"/>
          <w:b/>
        </w:rPr>
        <w:t>provider concentration</w:t>
      </w:r>
      <w:r w:rsidRPr="00A739C7">
        <w:rPr>
          <w:rFonts w:cs="Arial"/>
        </w:rPr>
        <w:t xml:space="preserve">, </w:t>
      </w:r>
      <w:r w:rsidR="009A78AA" w:rsidRPr="00A739C7">
        <w:rPr>
          <w:rFonts w:cs="Arial"/>
        </w:rPr>
        <w:t xml:space="preserve">the top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="009A78AA" w:rsidRPr="00A739C7">
        <w:rPr>
          <w:rFonts w:cs="Arial"/>
        </w:rPr>
        <w:t>s are as follows.</w:t>
      </w:r>
    </w:p>
    <w:p w14:paraId="32407A85" w14:textId="23956631" w:rsidR="009A78AA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provider concentration level of </w:t>
      </w:r>
      <w:r w:rsidR="00A436BB">
        <w:rPr>
          <w:rFonts w:cs="Arial"/>
        </w:rPr>
        <w:t>4</w:t>
      </w:r>
      <w:r w:rsidR="009C2504">
        <w:rPr>
          <w:rFonts w:cs="Arial"/>
        </w:rPr>
        <w:t>0</w:t>
      </w:r>
      <w:r w:rsidR="009A78AA" w:rsidRPr="00A739C7">
        <w:rPr>
          <w:rFonts w:cs="Arial"/>
        </w:rPr>
        <w:t>%.</w:t>
      </w:r>
    </w:p>
    <w:p w14:paraId="6EA911FC" w14:textId="357E3154" w:rsidR="0015533B" w:rsidRDefault="0015533B" w:rsidP="00562D1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South Western Sydney </w:t>
      </w:r>
      <w:r w:rsidR="00CA1F54" w:rsidRPr="00A739C7">
        <w:rPr>
          <w:rFonts w:cs="Arial"/>
        </w:rPr>
        <w:t xml:space="preserve">(New South Wales) </w:t>
      </w:r>
      <w:r w:rsidRPr="00A739C7">
        <w:rPr>
          <w:rFonts w:cs="Arial"/>
        </w:rPr>
        <w:t xml:space="preserve">has </w:t>
      </w:r>
      <w:r w:rsidR="00562D17">
        <w:rPr>
          <w:rFonts w:cs="Arial"/>
        </w:rPr>
        <w:t>4</w:t>
      </w:r>
      <w:r w:rsidR="009C2504">
        <w:rPr>
          <w:rFonts w:cs="Arial"/>
        </w:rPr>
        <w:t>3</w:t>
      </w:r>
      <w:r w:rsidRPr="00A739C7">
        <w:rPr>
          <w:rFonts w:cs="Arial"/>
        </w:rPr>
        <w:t>%.</w:t>
      </w:r>
    </w:p>
    <w:p w14:paraId="6723F04C" w14:textId="77777777" w:rsidR="009C2504" w:rsidRPr="00562D17" w:rsidRDefault="009C2504" w:rsidP="009C250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Western Sydney (New South Wales) has </w:t>
      </w:r>
      <w:r>
        <w:rPr>
          <w:rFonts w:cs="Arial"/>
        </w:rPr>
        <w:t>48</w:t>
      </w:r>
      <w:r w:rsidRPr="00A739C7">
        <w:rPr>
          <w:rFonts w:cs="Arial"/>
        </w:rPr>
        <w:t>%.</w:t>
      </w:r>
    </w:p>
    <w:p w14:paraId="2366B827" w14:textId="453740F4" w:rsidR="0015533B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North East Melbourne </w:t>
      </w:r>
      <w:r w:rsidR="00CA1F54" w:rsidRPr="00A739C7">
        <w:rPr>
          <w:rFonts w:cs="Arial"/>
        </w:rPr>
        <w:t xml:space="preserve">(Victoria) </w:t>
      </w:r>
      <w:r w:rsidRPr="00A739C7">
        <w:rPr>
          <w:rFonts w:cs="Arial"/>
        </w:rPr>
        <w:t xml:space="preserve">has </w:t>
      </w:r>
      <w:r w:rsidR="00562D17">
        <w:rPr>
          <w:rFonts w:cs="Arial"/>
        </w:rPr>
        <w:t>4</w:t>
      </w:r>
      <w:r w:rsidR="009C2504">
        <w:rPr>
          <w:rFonts w:cs="Arial"/>
        </w:rPr>
        <w:t>6</w:t>
      </w:r>
      <w:r w:rsidRPr="00A739C7">
        <w:rPr>
          <w:rFonts w:cs="Arial"/>
        </w:rPr>
        <w:t>%.</w:t>
      </w:r>
    </w:p>
    <w:p w14:paraId="36B37806" w14:textId="73C39785" w:rsidR="0015533B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>Brisbane</w:t>
      </w:r>
      <w:r w:rsidR="00CA1F54" w:rsidRPr="00A739C7">
        <w:rPr>
          <w:rFonts w:cs="Arial"/>
        </w:rPr>
        <w:t xml:space="preserve"> (Queensland) </w:t>
      </w:r>
      <w:r w:rsidR="00562D17">
        <w:rPr>
          <w:rFonts w:cs="Arial"/>
        </w:rPr>
        <w:t xml:space="preserve">has </w:t>
      </w:r>
      <w:r w:rsidR="009C2504">
        <w:rPr>
          <w:rFonts w:cs="Arial"/>
        </w:rPr>
        <w:t>45</w:t>
      </w:r>
      <w:r w:rsidRPr="00A739C7">
        <w:rPr>
          <w:rFonts w:cs="Arial"/>
        </w:rPr>
        <w:t>%.</w:t>
      </w:r>
    </w:p>
    <w:p w14:paraId="1E105F70" w14:textId="3198C313" w:rsidR="00562D17" w:rsidRPr="00A739C7" w:rsidRDefault="00562D17" w:rsidP="00562D1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562D17">
        <w:rPr>
          <w:rFonts w:cs="Arial"/>
        </w:rPr>
        <w:t>Caboolture/Strathpine</w:t>
      </w:r>
      <w:r>
        <w:rPr>
          <w:rFonts w:cs="Arial"/>
        </w:rPr>
        <w:t xml:space="preserve"> </w:t>
      </w:r>
      <w:r w:rsidRPr="00A739C7">
        <w:rPr>
          <w:rFonts w:cs="Arial"/>
        </w:rPr>
        <w:t xml:space="preserve">(Queensland) </w:t>
      </w:r>
      <w:r>
        <w:rPr>
          <w:rFonts w:cs="Arial"/>
        </w:rPr>
        <w:t xml:space="preserve">has </w:t>
      </w:r>
      <w:r w:rsidR="00CA0562">
        <w:rPr>
          <w:rFonts w:cs="Arial"/>
        </w:rPr>
        <w:t>47</w:t>
      </w:r>
      <w:r w:rsidRPr="00A739C7">
        <w:rPr>
          <w:rFonts w:cs="Arial"/>
        </w:rPr>
        <w:t>%.</w:t>
      </w:r>
    </w:p>
    <w:p w14:paraId="752A1CAF" w14:textId="4C80902F" w:rsidR="00637F72" w:rsidRPr="00A739C7" w:rsidRDefault="00562D1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4</w:t>
      </w:r>
      <w:r w:rsidR="00CA0562">
        <w:rPr>
          <w:rFonts w:cs="Arial"/>
        </w:rPr>
        <w:t>2</w:t>
      </w:r>
      <w:r w:rsidR="00637F72" w:rsidRPr="00A739C7">
        <w:rPr>
          <w:rFonts w:cs="Arial"/>
        </w:rPr>
        <w:t>%.</w:t>
      </w:r>
    </w:p>
    <w:p w14:paraId="6B9B4CF9" w14:textId="7B284492" w:rsidR="00A436BB" w:rsidRDefault="00562D17" w:rsidP="004E497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Maroochydore (Queensland) has 4</w:t>
      </w:r>
      <w:r w:rsidR="00CA0562">
        <w:rPr>
          <w:rFonts w:cs="Arial"/>
        </w:rPr>
        <w:t>1</w:t>
      </w:r>
      <w:r w:rsidR="00A436BB">
        <w:rPr>
          <w:rFonts w:cs="Arial"/>
        </w:rPr>
        <w:t xml:space="preserve">%. </w:t>
      </w:r>
    </w:p>
    <w:p w14:paraId="4A697763" w14:textId="011B7A56" w:rsidR="009A78AA" w:rsidRPr="00892194" w:rsidRDefault="009A78AA" w:rsidP="00D00BF7">
      <w:pPr>
        <w:jc w:val="both"/>
        <w:rPr>
          <w:rFonts w:cs="Arial"/>
        </w:rPr>
      </w:pPr>
      <w:r w:rsidRPr="00892194">
        <w:rPr>
          <w:rFonts w:cs="Arial"/>
        </w:rPr>
        <w:t xml:space="preserve">The bottom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892194">
        <w:rPr>
          <w:rFonts w:cs="Arial"/>
        </w:rPr>
        <w:t>s are as follows.</w:t>
      </w:r>
    </w:p>
    <w:p w14:paraId="4B15DD3E" w14:textId="6D7B6E6B" w:rsidR="00946467" w:rsidRDefault="00946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Far West (New South Wales) has p</w:t>
      </w:r>
      <w:r w:rsidR="00A739C7" w:rsidRPr="00892194">
        <w:rPr>
          <w:rFonts w:cs="Arial"/>
        </w:rPr>
        <w:t>r</w:t>
      </w:r>
      <w:r w:rsidR="00895B7D">
        <w:rPr>
          <w:rFonts w:cs="Arial"/>
        </w:rPr>
        <w:t xml:space="preserve">ovider concentration level of </w:t>
      </w:r>
      <w:r w:rsidR="00CA0562">
        <w:rPr>
          <w:rFonts w:cs="Arial"/>
        </w:rPr>
        <w:t>99</w:t>
      </w:r>
      <w:r w:rsidRPr="00892194">
        <w:rPr>
          <w:rFonts w:cs="Arial"/>
        </w:rPr>
        <w:t>%.</w:t>
      </w:r>
    </w:p>
    <w:p w14:paraId="20D569EB" w14:textId="77777777" w:rsidR="00562D17" w:rsidRPr="00892194" w:rsidRDefault="00562D17" w:rsidP="00562D1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</w:t>
      </w:r>
      <w:r w:rsidRPr="00562D17">
        <w:rPr>
          <w:rFonts w:cs="Arial"/>
        </w:rPr>
        <w:t>)</w:t>
      </w:r>
      <w:r>
        <w:rPr>
          <w:rFonts w:cs="Arial"/>
        </w:rPr>
        <w:t xml:space="preserve"> has 99%.</w:t>
      </w:r>
    </w:p>
    <w:p w14:paraId="364D2068" w14:textId="77777777" w:rsidR="00637F72" w:rsidRPr="00892194" w:rsidRDefault="00637F72" w:rsidP="00637F7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B</w:t>
      </w:r>
      <w:r w:rsidR="00A739C7" w:rsidRPr="00892194">
        <w:rPr>
          <w:rFonts w:cs="Arial"/>
        </w:rPr>
        <w:t>arkly (Nort</w:t>
      </w:r>
      <w:r w:rsidR="00562D17">
        <w:rPr>
          <w:rFonts w:cs="Arial"/>
        </w:rPr>
        <w:t>hern Territory) has 99</w:t>
      </w:r>
      <w:r w:rsidRPr="00892194">
        <w:rPr>
          <w:rFonts w:cs="Arial"/>
        </w:rPr>
        <w:t>%.</w:t>
      </w:r>
    </w:p>
    <w:p w14:paraId="47E10CEC" w14:textId="77777777" w:rsidR="00895B7D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100%. </w:t>
      </w:r>
    </w:p>
    <w:p w14:paraId="1FB99D17" w14:textId="77777777" w:rsidR="00637F72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Goldfields – Espe</w:t>
      </w:r>
      <w:r w:rsidR="00A739C7" w:rsidRPr="00892194">
        <w:rPr>
          <w:rFonts w:cs="Arial"/>
        </w:rPr>
        <w:t>r</w:t>
      </w:r>
      <w:r w:rsidR="00562D17">
        <w:rPr>
          <w:rFonts w:cs="Arial"/>
        </w:rPr>
        <w:t>ance (Western Australia) has 99</w:t>
      </w:r>
      <w:r w:rsidRPr="00892194">
        <w:rPr>
          <w:rFonts w:cs="Arial"/>
        </w:rPr>
        <w:t>%.</w:t>
      </w:r>
    </w:p>
    <w:p w14:paraId="6F187A67" w14:textId="4A099454" w:rsidR="00937A74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Kimberley – Pi</w:t>
      </w:r>
      <w:r w:rsidR="00A739C7" w:rsidRPr="00892194">
        <w:rPr>
          <w:rFonts w:cs="Arial"/>
        </w:rPr>
        <w:t xml:space="preserve">lbara (Western Australia) has </w:t>
      </w:r>
      <w:r w:rsidR="00CA0562">
        <w:rPr>
          <w:rFonts w:cs="Arial"/>
        </w:rPr>
        <w:t>99</w:t>
      </w:r>
      <w:r w:rsidRPr="00892194">
        <w:rPr>
          <w:rFonts w:cs="Arial"/>
        </w:rPr>
        <w:t>%.</w:t>
      </w:r>
    </w:p>
    <w:p w14:paraId="191CBF3A" w14:textId="77777777" w:rsidR="00895B7D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100%. </w:t>
      </w:r>
    </w:p>
    <w:p w14:paraId="7EE0C6A5" w14:textId="57DB8E96" w:rsidR="00CA0562" w:rsidRPr="00892194" w:rsidRDefault="00CA0562" w:rsidP="00CA056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Wheat Belt (Western Australia) has 98%. </w:t>
      </w:r>
    </w:p>
    <w:p w14:paraId="10319916" w14:textId="77777777" w:rsidR="00CA0562" w:rsidRPr="00892194" w:rsidRDefault="00CA0562" w:rsidP="00773751">
      <w:pPr>
        <w:pStyle w:val="ListParagraph"/>
        <w:jc w:val="both"/>
        <w:rPr>
          <w:rFonts w:cs="Arial"/>
        </w:rPr>
      </w:pPr>
    </w:p>
    <w:p w14:paraId="59CA9F42" w14:textId="4F754365" w:rsidR="009A78AA" w:rsidRPr="00CC2A2A" w:rsidRDefault="00B94DA7" w:rsidP="00D00BF7">
      <w:pPr>
        <w:jc w:val="both"/>
        <w:rPr>
          <w:rFonts w:cs="Arial"/>
        </w:rPr>
      </w:pPr>
      <w:r w:rsidRPr="00CC2A2A">
        <w:rPr>
          <w:rFonts w:cs="Arial"/>
        </w:rPr>
        <w:t xml:space="preserve">For </w:t>
      </w:r>
      <w:r w:rsidRPr="00CC2A2A">
        <w:rPr>
          <w:rFonts w:cs="Arial"/>
          <w:b/>
        </w:rPr>
        <w:t>provider growth</w:t>
      </w:r>
      <w:r w:rsidRPr="00CC2A2A">
        <w:rPr>
          <w:rFonts w:cs="Arial"/>
        </w:rPr>
        <w:t xml:space="preserve">, </w:t>
      </w:r>
      <w:r w:rsidR="009A78AA" w:rsidRPr="00CC2A2A">
        <w:rPr>
          <w:rFonts w:cs="Arial"/>
        </w:rPr>
        <w:t xml:space="preserve">the top 10% </w:t>
      </w:r>
      <w:r w:rsidR="00613343">
        <w:rPr>
          <w:rFonts w:cs="Arial"/>
        </w:rPr>
        <w:t>service</w:t>
      </w:r>
      <w:r w:rsidR="00613343" w:rsidRPr="00CC2A2A">
        <w:rPr>
          <w:rFonts w:cs="Arial"/>
        </w:rPr>
        <w:t xml:space="preserve"> </w:t>
      </w:r>
      <w:r w:rsidR="000153D9" w:rsidRPr="00CC2A2A">
        <w:rPr>
          <w:rFonts w:cs="Arial"/>
        </w:rPr>
        <w:t>district</w:t>
      </w:r>
      <w:r w:rsidR="009A78AA" w:rsidRPr="00CC2A2A">
        <w:rPr>
          <w:rFonts w:cs="Arial"/>
        </w:rPr>
        <w:t>s are as follows.</w:t>
      </w:r>
    </w:p>
    <w:p w14:paraId="4D4C7EA4" w14:textId="795559C1" w:rsidR="00895B7D" w:rsidRDefault="00837194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Inner Gippsland (Victoria)</w:t>
      </w:r>
      <w:r w:rsidR="00CC2A2A">
        <w:rPr>
          <w:rFonts w:cs="Arial"/>
        </w:rPr>
        <w:t xml:space="preserve"> has provider growth of </w:t>
      </w:r>
      <w:r>
        <w:rPr>
          <w:rFonts w:cs="Arial"/>
        </w:rPr>
        <w:t>28</w:t>
      </w:r>
      <w:r w:rsidR="00895B7D">
        <w:rPr>
          <w:rFonts w:cs="Arial"/>
        </w:rPr>
        <w:t xml:space="preserve">% since the previous exposure period. </w:t>
      </w:r>
    </w:p>
    <w:p w14:paraId="27255C50" w14:textId="6D513D2C" w:rsidR="00837194" w:rsidRDefault="00837194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Outer Gippsland (Victoria) has 33%.</w:t>
      </w:r>
    </w:p>
    <w:p w14:paraId="744DF485" w14:textId="6AA4E6EE" w:rsidR="00837194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Ovens Murray (Victoria) has 32%.</w:t>
      </w:r>
    </w:p>
    <w:p w14:paraId="567F9FF8" w14:textId="4E696BD1" w:rsidR="00837194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Western Melbourne (Victoria) has 24%.</w:t>
      </w:r>
    </w:p>
    <w:p w14:paraId="60A4BCFD" w14:textId="78A9B5BF" w:rsidR="00837194" w:rsidRDefault="00837194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17743D">
        <w:rPr>
          <w:rFonts w:cs="Arial"/>
        </w:rPr>
        <w:t>Barossa, Light and Lower</w:t>
      </w:r>
      <w:r>
        <w:rPr>
          <w:rFonts w:cs="Arial"/>
        </w:rPr>
        <w:t xml:space="preserve"> North (South Australia) has 25%.</w:t>
      </w:r>
    </w:p>
    <w:p w14:paraId="34F4FF25" w14:textId="65BF8541"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North </w:t>
      </w:r>
      <w:r w:rsidR="00CC2A2A">
        <w:rPr>
          <w:rFonts w:cs="Arial"/>
        </w:rPr>
        <w:t xml:space="preserve">Metro (Western Australia) has </w:t>
      </w:r>
      <w:r w:rsidR="00837194">
        <w:rPr>
          <w:rFonts w:cs="Arial"/>
        </w:rPr>
        <w:t>26</w:t>
      </w:r>
      <w:r>
        <w:rPr>
          <w:rFonts w:cs="Arial"/>
        </w:rPr>
        <w:t xml:space="preserve">%. </w:t>
      </w:r>
    </w:p>
    <w:p w14:paraId="6830A82D" w14:textId="7C048BE5" w:rsidR="00895B7D" w:rsidRDefault="0083719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Sout</w:t>
      </w:r>
      <w:r w:rsidR="00895B7D">
        <w:rPr>
          <w:rFonts w:cs="Arial"/>
        </w:rPr>
        <w:t xml:space="preserve">h </w:t>
      </w:r>
      <w:r>
        <w:rPr>
          <w:rFonts w:cs="Arial"/>
        </w:rPr>
        <w:t xml:space="preserve">East </w:t>
      </w:r>
      <w:r w:rsidR="00CC2A2A">
        <w:rPr>
          <w:rFonts w:cs="Arial"/>
        </w:rPr>
        <w:t xml:space="preserve">Metro (Western Australia) has </w:t>
      </w:r>
      <w:r>
        <w:rPr>
          <w:rFonts w:cs="Arial"/>
        </w:rPr>
        <w:t>2</w:t>
      </w:r>
      <w:r w:rsidR="00CC2A2A">
        <w:rPr>
          <w:rFonts w:cs="Arial"/>
        </w:rPr>
        <w:t>7</w:t>
      </w:r>
      <w:r w:rsidR="00895B7D">
        <w:rPr>
          <w:rFonts w:cs="Arial"/>
        </w:rPr>
        <w:t xml:space="preserve">%. </w:t>
      </w:r>
    </w:p>
    <w:p w14:paraId="2DB0A6C8" w14:textId="6D15CBF4" w:rsidR="00895B7D" w:rsidRDefault="00CC2A2A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CC2A2A">
        <w:rPr>
          <w:rFonts w:cs="Arial"/>
        </w:rPr>
        <w:t xml:space="preserve">South Metro </w:t>
      </w:r>
      <w:r>
        <w:rPr>
          <w:rFonts w:cs="Arial"/>
        </w:rPr>
        <w:t xml:space="preserve">(Western Australia) has </w:t>
      </w:r>
      <w:r w:rsidR="00837194">
        <w:rPr>
          <w:rFonts w:cs="Arial"/>
        </w:rPr>
        <w:t>2</w:t>
      </w:r>
      <w:r>
        <w:rPr>
          <w:rFonts w:cs="Arial"/>
        </w:rPr>
        <w:t>3</w:t>
      </w:r>
      <w:r w:rsidR="00895B7D">
        <w:rPr>
          <w:rFonts w:cs="Arial"/>
        </w:rPr>
        <w:t xml:space="preserve">%. </w:t>
      </w:r>
    </w:p>
    <w:p w14:paraId="6CFB17BA" w14:textId="3CAFFEF4" w:rsidR="00BF032E" w:rsidRPr="00B51D40" w:rsidRDefault="00BF032E" w:rsidP="00D00BF7">
      <w:pPr>
        <w:jc w:val="both"/>
        <w:rPr>
          <w:rFonts w:cs="Arial"/>
        </w:rPr>
      </w:pPr>
      <w:r w:rsidRPr="00B51D40">
        <w:rPr>
          <w:rFonts w:cs="Arial"/>
        </w:rPr>
        <w:t xml:space="preserve">The bottom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B51D40">
        <w:rPr>
          <w:rFonts w:cs="Arial"/>
        </w:rPr>
        <w:t>s are as follows.</w:t>
      </w:r>
    </w:p>
    <w:p w14:paraId="77CA28F0" w14:textId="783E5443" w:rsidR="005F5085" w:rsidRPr="00837194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Far North (South Australia</w:t>
      </w:r>
      <w:r w:rsidRPr="00562D17">
        <w:rPr>
          <w:rFonts w:cs="Arial"/>
        </w:rPr>
        <w:t>)</w:t>
      </w:r>
      <w:r>
        <w:rPr>
          <w:rFonts w:cs="Arial"/>
        </w:rPr>
        <w:t xml:space="preserve"> has </w:t>
      </w:r>
      <w:r w:rsidR="005F5085" w:rsidRPr="00837194">
        <w:rPr>
          <w:rFonts w:cs="Arial"/>
        </w:rPr>
        <w:t xml:space="preserve">provider growth of 0% since the previous exposure period. </w:t>
      </w:r>
    </w:p>
    <w:p w14:paraId="21916E75" w14:textId="741BDCD5" w:rsidR="005F5085" w:rsidRDefault="00837194" w:rsidP="005F5085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Limestone Coast (South Australia</w:t>
      </w:r>
      <w:r w:rsidRPr="00562D17">
        <w:rPr>
          <w:rFonts w:cs="Arial"/>
        </w:rPr>
        <w:t>)</w:t>
      </w:r>
      <w:r>
        <w:rPr>
          <w:rFonts w:cs="Arial"/>
        </w:rPr>
        <w:t xml:space="preserve"> </w:t>
      </w:r>
      <w:r w:rsidR="005F5085">
        <w:rPr>
          <w:rFonts w:cs="Arial"/>
        </w:rPr>
        <w:t>has 0%.</w:t>
      </w:r>
    </w:p>
    <w:p w14:paraId="70BEA2D9" w14:textId="1269B259" w:rsidR="00837194" w:rsidRDefault="00837194" w:rsidP="005F5085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TAS North (Tasmania) has 2%.</w:t>
      </w:r>
    </w:p>
    <w:p w14:paraId="3660C88F" w14:textId="78DD55B7" w:rsidR="00837194" w:rsidRDefault="00837194" w:rsidP="005F5085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Australian Capital Territory has 5%.</w:t>
      </w:r>
    </w:p>
    <w:p w14:paraId="1CC26464" w14:textId="4372EABC" w:rsidR="00837194" w:rsidRPr="00892194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92194">
        <w:rPr>
          <w:rFonts w:cs="Arial"/>
        </w:rPr>
        <w:t>Barkly (Nort</w:t>
      </w:r>
      <w:r>
        <w:rPr>
          <w:rFonts w:cs="Arial"/>
        </w:rPr>
        <w:t>hern Territory) has 0</w:t>
      </w:r>
      <w:r w:rsidRPr="00892194">
        <w:rPr>
          <w:rFonts w:cs="Arial"/>
        </w:rPr>
        <w:t>%.</w:t>
      </w:r>
    </w:p>
    <w:p w14:paraId="6892041A" w14:textId="1CFF88FC" w:rsidR="00837194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14:paraId="0A1FE0E6" w14:textId="29B79FF7" w:rsidR="00837194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92194">
        <w:rPr>
          <w:rFonts w:cs="Arial"/>
        </w:rPr>
        <w:t xml:space="preserve">Kimberley – Pilbara (Western Australia) has </w:t>
      </w:r>
      <w:r>
        <w:rPr>
          <w:rFonts w:cs="Arial"/>
        </w:rPr>
        <w:t>0</w:t>
      </w:r>
      <w:r w:rsidRPr="00892194">
        <w:rPr>
          <w:rFonts w:cs="Arial"/>
        </w:rPr>
        <w:t>%.</w:t>
      </w:r>
    </w:p>
    <w:p w14:paraId="04039453" w14:textId="0CBECC50" w:rsidR="00837194" w:rsidRDefault="00837194" w:rsidP="00837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0%. </w:t>
      </w:r>
    </w:p>
    <w:p w14:paraId="1D6BA36F" w14:textId="77777777" w:rsidR="00837194" w:rsidRDefault="00837194" w:rsidP="00D00BF7">
      <w:pPr>
        <w:jc w:val="both"/>
        <w:rPr>
          <w:rFonts w:cs="Arial"/>
        </w:rPr>
      </w:pPr>
    </w:p>
    <w:p w14:paraId="29925903" w14:textId="5706DEFE" w:rsidR="009A78AA" w:rsidRPr="009E1CE8" w:rsidRDefault="00B94DA7" w:rsidP="00D00BF7">
      <w:pPr>
        <w:jc w:val="both"/>
        <w:rPr>
          <w:rFonts w:cs="Arial"/>
        </w:rPr>
      </w:pPr>
      <w:r w:rsidRPr="009E1CE8">
        <w:rPr>
          <w:rFonts w:cs="Arial"/>
        </w:rPr>
        <w:t xml:space="preserve">For </w:t>
      </w:r>
      <w:r w:rsidRPr="009E1CE8">
        <w:rPr>
          <w:rFonts w:cs="Arial"/>
          <w:b/>
        </w:rPr>
        <w:t>provider shrinkage</w:t>
      </w:r>
      <w:r w:rsidRPr="009E1CE8">
        <w:rPr>
          <w:rFonts w:cs="Arial"/>
        </w:rPr>
        <w:t xml:space="preserve">, </w:t>
      </w:r>
      <w:r w:rsidR="009A78AA" w:rsidRPr="009E1CE8">
        <w:rPr>
          <w:rFonts w:cs="Arial"/>
        </w:rPr>
        <w:t xml:space="preserve">the top 10% </w:t>
      </w:r>
      <w:r w:rsidR="00613343">
        <w:rPr>
          <w:rFonts w:cs="Arial"/>
        </w:rPr>
        <w:t>service</w:t>
      </w:r>
      <w:r w:rsidR="00613343" w:rsidRPr="009E1CE8">
        <w:rPr>
          <w:rFonts w:cs="Arial"/>
        </w:rPr>
        <w:t xml:space="preserve"> </w:t>
      </w:r>
      <w:r w:rsidR="000153D9" w:rsidRPr="009E1CE8">
        <w:rPr>
          <w:rFonts w:cs="Arial"/>
        </w:rPr>
        <w:t>district</w:t>
      </w:r>
      <w:r w:rsidR="009A78AA" w:rsidRPr="009E1CE8">
        <w:rPr>
          <w:rFonts w:cs="Arial"/>
        </w:rPr>
        <w:t>s are as follows.</w:t>
      </w:r>
      <w:r w:rsidR="006371B6" w:rsidRPr="009E1CE8">
        <w:rPr>
          <w:rFonts w:cs="Arial"/>
        </w:rPr>
        <w:t xml:space="preserve"> </w:t>
      </w:r>
    </w:p>
    <w:p w14:paraId="6E6D9424" w14:textId="1DAB1D41" w:rsidR="009E1CE8" w:rsidRDefault="008E2FD7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Cairns (Queensland)</w:t>
      </w:r>
      <w:r w:rsidR="009E1CE8" w:rsidRPr="00892194">
        <w:rPr>
          <w:rFonts w:cs="Arial"/>
        </w:rPr>
        <w:t xml:space="preserve"> has</w:t>
      </w:r>
      <w:r w:rsidR="009E1CE8">
        <w:rPr>
          <w:rFonts w:cs="Arial"/>
        </w:rPr>
        <w:t xml:space="preserve"> </w:t>
      </w:r>
      <w:r w:rsidR="009E1CE8" w:rsidRPr="009E1CE8">
        <w:rPr>
          <w:rFonts w:cs="Arial"/>
        </w:rPr>
        <w:t xml:space="preserve">provider shrinkage of </w:t>
      </w:r>
      <w:r>
        <w:rPr>
          <w:rFonts w:cs="Arial"/>
        </w:rPr>
        <w:t>4</w:t>
      </w:r>
      <w:r w:rsidR="009E1CE8" w:rsidRPr="009E1CE8">
        <w:rPr>
          <w:rFonts w:cs="Arial"/>
        </w:rPr>
        <w:t>% since the previous exposure period.</w:t>
      </w:r>
    </w:p>
    <w:p w14:paraId="4D426566" w14:textId="0DD152D5" w:rsidR="008E2FD7" w:rsidRDefault="008E2FD7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Rockhampton (Queensland) has 6%.</w:t>
      </w:r>
    </w:p>
    <w:p w14:paraId="7CD910ED" w14:textId="0DF8E567" w:rsidR="00A3360F" w:rsidRDefault="008E2FD7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</w:t>
      </w:r>
      <w:r w:rsidR="00A3360F">
        <w:rPr>
          <w:rFonts w:cs="Arial"/>
        </w:rPr>
        <w:t xml:space="preserve"> (</w:t>
      </w:r>
      <w:r w:rsidR="009E1CE8">
        <w:rPr>
          <w:rFonts w:cs="Arial"/>
        </w:rPr>
        <w:t>South Australia</w:t>
      </w:r>
      <w:r w:rsidR="00A3360F">
        <w:rPr>
          <w:rFonts w:cs="Arial"/>
        </w:rPr>
        <w:t>)</w:t>
      </w:r>
      <w:r w:rsidR="009E1CE8">
        <w:rPr>
          <w:rFonts w:cs="Arial"/>
        </w:rPr>
        <w:t xml:space="preserve"> has </w:t>
      </w:r>
      <w:r>
        <w:rPr>
          <w:rFonts w:cs="Arial"/>
        </w:rPr>
        <w:t>7</w:t>
      </w:r>
      <w:r w:rsidR="009E1CE8">
        <w:rPr>
          <w:rFonts w:cs="Arial"/>
        </w:rPr>
        <w:t xml:space="preserve">%. </w:t>
      </w:r>
    </w:p>
    <w:p w14:paraId="054DD74F" w14:textId="4EF5290F" w:rsidR="008E2FD7" w:rsidRDefault="008E2FD7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Australia) has 0%.</w:t>
      </w:r>
    </w:p>
    <w:p w14:paraId="2E6B4B03" w14:textId="37F4EA5B"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</w:t>
      </w:r>
      <w:r w:rsidR="009E1CE8">
        <w:rPr>
          <w:rFonts w:cs="Arial"/>
        </w:rPr>
        <w:t xml:space="preserve"> has 0%. </w:t>
      </w:r>
    </w:p>
    <w:p w14:paraId="04E899DB" w14:textId="77777777"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Pilbara (Western Australia)</w:t>
      </w:r>
      <w:r w:rsidR="009E1CE8">
        <w:rPr>
          <w:rFonts w:cs="Arial"/>
        </w:rPr>
        <w:t xml:space="preserve"> has 0%.</w:t>
      </w:r>
    </w:p>
    <w:p w14:paraId="6A631B02" w14:textId="77777777"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Gascoyne (Western Australia)</w:t>
      </w:r>
      <w:r w:rsidR="009E1CE8">
        <w:rPr>
          <w:rFonts w:cs="Arial"/>
        </w:rPr>
        <w:t xml:space="preserve"> has 0%.</w:t>
      </w:r>
    </w:p>
    <w:p w14:paraId="77101240" w14:textId="1748C575" w:rsidR="00A3360F" w:rsidRDefault="008E2FD7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="009E1CE8" w:rsidRPr="009E1CE8">
        <w:rPr>
          <w:rFonts w:cs="Arial"/>
        </w:rPr>
        <w:t xml:space="preserve"> </w:t>
      </w:r>
      <w:r w:rsidR="00A3360F">
        <w:rPr>
          <w:rFonts w:cs="Arial"/>
        </w:rPr>
        <w:t>(Western Australia)</w:t>
      </w:r>
      <w:r w:rsidR="009E1CE8">
        <w:rPr>
          <w:rFonts w:cs="Arial"/>
        </w:rPr>
        <w:t xml:space="preserve"> has </w:t>
      </w:r>
      <w:r>
        <w:rPr>
          <w:rFonts w:cs="Arial"/>
        </w:rPr>
        <w:t>0</w:t>
      </w:r>
      <w:r w:rsidR="009E1CE8">
        <w:rPr>
          <w:rFonts w:cs="Arial"/>
        </w:rPr>
        <w:t xml:space="preserve">%. </w:t>
      </w:r>
    </w:p>
    <w:p w14:paraId="3E991FCE" w14:textId="0B2047F3" w:rsidR="00BF032E" w:rsidRPr="00AA09C4" w:rsidRDefault="00BF032E" w:rsidP="00D00BF7">
      <w:pPr>
        <w:jc w:val="both"/>
        <w:rPr>
          <w:rFonts w:cs="Arial"/>
        </w:rPr>
      </w:pPr>
      <w:r w:rsidRPr="00AA09C4">
        <w:rPr>
          <w:rFonts w:cs="Arial"/>
        </w:rPr>
        <w:t xml:space="preserve">The bottom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AA09C4">
        <w:rPr>
          <w:rFonts w:cs="Arial"/>
        </w:rPr>
        <w:t>s are as follows.</w:t>
      </w:r>
    </w:p>
    <w:p w14:paraId="5A82E6F9" w14:textId="3021D947" w:rsidR="008E2FD7" w:rsidRDefault="008E2FD7" w:rsidP="008E2FD7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Far West (New South Wales) has provider shrinkage of 33</w:t>
      </w:r>
      <w:r w:rsidRPr="00127061">
        <w:rPr>
          <w:rFonts w:cs="Arial"/>
        </w:rPr>
        <w:t xml:space="preserve">% since the previous exposure period. </w:t>
      </w:r>
    </w:p>
    <w:p w14:paraId="04DA7728" w14:textId="72742B31" w:rsidR="008E2FD7" w:rsidRDefault="008E2FD7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South Eastern Sydney (New South Wales) has 22%.</w:t>
      </w:r>
    </w:p>
    <w:p w14:paraId="153009C4" w14:textId="724049A4" w:rsidR="008E2FD7" w:rsidRDefault="008E2FD7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Barwon (Victoria) has 27%.</w:t>
      </w:r>
    </w:p>
    <w:p w14:paraId="1365F3BC" w14:textId="7046D68C" w:rsidR="00A3360F" w:rsidRDefault="00A3360F" w:rsidP="00127061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t xml:space="preserve">Central Highlands (Victoria) </w:t>
      </w:r>
      <w:r w:rsidR="00127061">
        <w:rPr>
          <w:rFonts w:cs="Arial"/>
        </w:rPr>
        <w:t xml:space="preserve">has </w:t>
      </w:r>
      <w:r w:rsidR="008E2FD7">
        <w:rPr>
          <w:rFonts w:cs="Arial"/>
        </w:rPr>
        <w:t>25%.</w:t>
      </w:r>
    </w:p>
    <w:p w14:paraId="49443B3A" w14:textId="1FFA847D" w:rsidR="00127061" w:rsidRDefault="008E2FD7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Ovens Murray</w:t>
      </w:r>
      <w:r w:rsidR="00127061">
        <w:rPr>
          <w:rFonts w:cs="Arial"/>
        </w:rPr>
        <w:t xml:space="preserve"> (</w:t>
      </w:r>
      <w:r w:rsidR="00127061" w:rsidRPr="00127061">
        <w:rPr>
          <w:rFonts w:cs="Arial"/>
        </w:rPr>
        <w:t>Victoria</w:t>
      </w:r>
      <w:r w:rsidR="00127061">
        <w:rPr>
          <w:rFonts w:cs="Arial"/>
        </w:rPr>
        <w:t xml:space="preserve">) has </w:t>
      </w:r>
      <w:r>
        <w:rPr>
          <w:rFonts w:cs="Arial"/>
        </w:rPr>
        <w:t>29</w:t>
      </w:r>
      <w:r w:rsidR="00127061">
        <w:rPr>
          <w:rFonts w:cs="Arial"/>
        </w:rPr>
        <w:t>%.</w:t>
      </w:r>
    </w:p>
    <w:p w14:paraId="73CEDAB0" w14:textId="210C8332" w:rsidR="008E2FD7" w:rsidRDefault="008E2FD7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Mackay (Queensland) has 26%.</w:t>
      </w:r>
    </w:p>
    <w:p w14:paraId="7811E975" w14:textId="3945A074" w:rsidR="008E2FD7" w:rsidRPr="00127061" w:rsidRDefault="008E2FD7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Robina (Queensland) has 23%.</w:t>
      </w:r>
    </w:p>
    <w:p w14:paraId="60FA9BBF" w14:textId="53250E85" w:rsidR="00127061" w:rsidRPr="00127061" w:rsidRDefault="008E2FD7" w:rsidP="0012706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Adelaide Hills</w:t>
      </w:r>
      <w:r w:rsidR="00127061">
        <w:rPr>
          <w:rFonts w:cs="Arial"/>
        </w:rPr>
        <w:t xml:space="preserve"> (</w:t>
      </w:r>
      <w:r>
        <w:rPr>
          <w:rFonts w:cs="Arial"/>
        </w:rPr>
        <w:t xml:space="preserve">South </w:t>
      </w:r>
      <w:r w:rsidR="00127061">
        <w:rPr>
          <w:rFonts w:cs="Arial"/>
        </w:rPr>
        <w:t xml:space="preserve">Australia) has </w:t>
      </w:r>
      <w:r>
        <w:rPr>
          <w:rFonts w:cs="Arial"/>
        </w:rPr>
        <w:t>22</w:t>
      </w:r>
      <w:r w:rsidR="00127061">
        <w:rPr>
          <w:rFonts w:cs="Arial"/>
        </w:rPr>
        <w:t xml:space="preserve">%. </w:t>
      </w:r>
    </w:p>
    <w:p w14:paraId="0935DDA9" w14:textId="5568A66F" w:rsidR="006A7787" w:rsidRPr="00865BC7" w:rsidRDefault="006A7787" w:rsidP="00D00BF7">
      <w:pPr>
        <w:jc w:val="both"/>
        <w:rPr>
          <w:rFonts w:cs="Arial"/>
        </w:rPr>
      </w:pPr>
      <w:r w:rsidRPr="00865BC7">
        <w:rPr>
          <w:rFonts w:cs="Arial"/>
        </w:rPr>
        <w:t xml:space="preserve">For </w:t>
      </w:r>
      <w:r w:rsidRPr="00865BC7">
        <w:rPr>
          <w:rFonts w:cs="Arial"/>
          <w:b/>
        </w:rPr>
        <w:t>utilisation</w:t>
      </w:r>
      <w:r w:rsidRPr="00865BC7">
        <w:rPr>
          <w:rFonts w:cs="Arial"/>
        </w:rPr>
        <w:t xml:space="preserve">, the top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865BC7">
        <w:rPr>
          <w:rFonts w:cs="Arial"/>
        </w:rPr>
        <w:t>s are as follows.</w:t>
      </w:r>
    </w:p>
    <w:p w14:paraId="728545C1" w14:textId="67DA648E" w:rsidR="00AA09C4" w:rsidRDefault="00AA583E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Mallee (Victoria</w:t>
      </w:r>
      <w:r w:rsidR="00AA09C4" w:rsidRPr="00865BC7">
        <w:rPr>
          <w:rFonts w:cs="Arial"/>
        </w:rPr>
        <w:t xml:space="preserve">) has </w:t>
      </w:r>
      <w:r w:rsidR="001A5B1A">
        <w:rPr>
          <w:rFonts w:cs="Arial"/>
        </w:rPr>
        <w:t xml:space="preserve">utilisation of </w:t>
      </w:r>
      <w:r w:rsidR="00A3360F">
        <w:rPr>
          <w:rFonts w:cs="Arial"/>
        </w:rPr>
        <w:t>9</w:t>
      </w:r>
      <w:r>
        <w:rPr>
          <w:rFonts w:cs="Arial"/>
        </w:rPr>
        <w:t>1</w:t>
      </w:r>
      <w:r w:rsidR="00A3360F">
        <w:rPr>
          <w:rFonts w:cs="Arial"/>
        </w:rPr>
        <w:t xml:space="preserve">%. </w:t>
      </w:r>
    </w:p>
    <w:p w14:paraId="7DD1E124" w14:textId="4050986B" w:rsidR="001A5B1A" w:rsidRDefault="001A5B1A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1A5B1A">
        <w:rPr>
          <w:rFonts w:cs="Arial"/>
        </w:rPr>
        <w:t>Beenleigh</w:t>
      </w:r>
      <w:r>
        <w:rPr>
          <w:rFonts w:cs="Arial"/>
        </w:rPr>
        <w:t xml:space="preserve"> (Queensland) has </w:t>
      </w:r>
      <w:r w:rsidR="00AA583E">
        <w:rPr>
          <w:rFonts w:cs="Arial"/>
        </w:rPr>
        <w:t>90</w:t>
      </w:r>
      <w:r>
        <w:rPr>
          <w:rFonts w:cs="Arial"/>
        </w:rPr>
        <w:t>%.</w:t>
      </w:r>
    </w:p>
    <w:p w14:paraId="6AA4ECD4" w14:textId="33BA93A4" w:rsidR="00AA583E" w:rsidRDefault="00AA583E" w:rsidP="00AA583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Brisbane (Queensland) has 96%. </w:t>
      </w:r>
    </w:p>
    <w:p w14:paraId="77B70ECC" w14:textId="6EF40BDF" w:rsidR="00A3360F" w:rsidRDefault="00A3360F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Bunda</w:t>
      </w:r>
      <w:r w:rsidR="001A5B1A">
        <w:rPr>
          <w:rFonts w:cs="Arial"/>
        </w:rPr>
        <w:t>berg (Queensland) has 9</w:t>
      </w:r>
      <w:r w:rsidR="00AA583E">
        <w:rPr>
          <w:rFonts w:cs="Arial"/>
        </w:rPr>
        <w:t>0</w:t>
      </w:r>
      <w:r>
        <w:rPr>
          <w:rFonts w:cs="Arial"/>
        </w:rPr>
        <w:t xml:space="preserve">%. </w:t>
      </w:r>
    </w:p>
    <w:p w14:paraId="44BF9787" w14:textId="34CBE902" w:rsidR="001A5B1A" w:rsidRDefault="00AA583E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Ipswich </w:t>
      </w:r>
      <w:r w:rsidR="001A5B1A">
        <w:rPr>
          <w:rFonts w:cs="Arial"/>
        </w:rPr>
        <w:t xml:space="preserve">(Queensland) has </w:t>
      </w:r>
      <w:r>
        <w:rPr>
          <w:rFonts w:cs="Arial"/>
        </w:rPr>
        <w:t>93</w:t>
      </w:r>
      <w:r w:rsidR="001A5B1A">
        <w:rPr>
          <w:rFonts w:cs="Arial"/>
        </w:rPr>
        <w:t>%.</w:t>
      </w:r>
    </w:p>
    <w:p w14:paraId="7AC9D71A" w14:textId="1EBD7E7B" w:rsidR="00AA583E" w:rsidRDefault="00AA583E" w:rsidP="00AA583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Townsville (Queensland) has 89%.</w:t>
      </w:r>
    </w:p>
    <w:p w14:paraId="14E4B524" w14:textId="41CCFCE1" w:rsidR="00AA583E" w:rsidRDefault="00AA583E" w:rsidP="00AA583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Central Australia (Northern Territory) has 90%. </w:t>
      </w:r>
    </w:p>
    <w:p w14:paraId="6F733C4C" w14:textId="02B7AD36" w:rsidR="00AA583E" w:rsidRDefault="00AA583E" w:rsidP="00AA583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92194">
        <w:rPr>
          <w:rFonts w:cs="Arial"/>
        </w:rPr>
        <w:t>Goldfields – Esper</w:t>
      </w:r>
      <w:r>
        <w:rPr>
          <w:rFonts w:cs="Arial"/>
        </w:rPr>
        <w:t>ance (Western Australia) has 87</w:t>
      </w:r>
      <w:r w:rsidRPr="00892194">
        <w:rPr>
          <w:rFonts w:cs="Arial"/>
        </w:rPr>
        <w:t>%.</w:t>
      </w:r>
    </w:p>
    <w:p w14:paraId="4614C5A2" w14:textId="4A9C2A6E" w:rsidR="00A3360F" w:rsidRPr="00AA583E" w:rsidRDefault="00A3360F" w:rsidP="00773751">
      <w:pPr>
        <w:ind w:left="360"/>
        <w:jc w:val="both"/>
        <w:rPr>
          <w:rFonts w:cs="Arial"/>
        </w:rPr>
      </w:pPr>
    </w:p>
    <w:p w14:paraId="25EEB357" w14:textId="3F404C4E" w:rsidR="006A7787" w:rsidRPr="00D06537" w:rsidRDefault="006A7787" w:rsidP="00D00BF7">
      <w:pPr>
        <w:jc w:val="both"/>
        <w:rPr>
          <w:rFonts w:cs="Arial"/>
        </w:rPr>
      </w:pPr>
      <w:r w:rsidRPr="00D06537">
        <w:rPr>
          <w:rFonts w:cs="Arial"/>
        </w:rPr>
        <w:t xml:space="preserve">The bottom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D06537">
        <w:rPr>
          <w:rFonts w:cs="Arial"/>
        </w:rPr>
        <w:t>s are as follows.</w:t>
      </w:r>
    </w:p>
    <w:p w14:paraId="1D2B3446" w14:textId="5A4B724D" w:rsidR="009625EF" w:rsidRPr="001A5B1A" w:rsidRDefault="009625EF" w:rsidP="009625E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Bayside Peninsula </w:t>
      </w:r>
      <w:r w:rsidR="005917B8">
        <w:rPr>
          <w:rFonts w:cs="Arial"/>
        </w:rPr>
        <w:t>(Victoria) has utilisation of 77</w:t>
      </w:r>
      <w:r>
        <w:rPr>
          <w:rFonts w:cs="Arial"/>
        </w:rPr>
        <w:t>%.</w:t>
      </w:r>
    </w:p>
    <w:p w14:paraId="46914C08" w14:textId="3CC86809" w:rsidR="005917B8" w:rsidRPr="001A5B1A" w:rsidRDefault="005917B8" w:rsidP="005917B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Brimbank</w:t>
      </w:r>
      <w:proofErr w:type="spellEnd"/>
      <w:r>
        <w:rPr>
          <w:rFonts w:cs="Arial"/>
        </w:rPr>
        <w:t xml:space="preserve"> Melton (Victoria) has utilisation of 77%.</w:t>
      </w:r>
    </w:p>
    <w:p w14:paraId="5A241951" w14:textId="7BC0ABB2" w:rsidR="001A5B1A" w:rsidRDefault="001A5B1A" w:rsidP="005917B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5B1A">
        <w:rPr>
          <w:rFonts w:cs="Arial"/>
        </w:rPr>
        <w:t>Outer East Melbourne</w:t>
      </w:r>
      <w:r>
        <w:rPr>
          <w:rFonts w:cs="Arial"/>
        </w:rPr>
        <w:t xml:space="preserve"> (Victoria) has utilisation of 7</w:t>
      </w:r>
      <w:r w:rsidR="005917B8">
        <w:rPr>
          <w:rFonts w:cs="Arial"/>
        </w:rPr>
        <w:t>9%</w:t>
      </w:r>
      <w:r w:rsidRPr="005917B8">
        <w:rPr>
          <w:rFonts w:cs="Arial"/>
        </w:rPr>
        <w:t>.</w:t>
      </w:r>
    </w:p>
    <w:p w14:paraId="35EC31D0" w14:textId="57FB6889" w:rsidR="001A5B1A" w:rsidRDefault="005917B8" w:rsidP="001A5B1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District</w:t>
      </w:r>
      <w:r w:rsidR="001A5B1A">
        <w:rPr>
          <w:rFonts w:cs="Arial"/>
        </w:rPr>
        <w:t xml:space="preserve"> (Victoria) has utilisation of </w:t>
      </w:r>
      <w:r>
        <w:rPr>
          <w:rFonts w:cs="Arial"/>
        </w:rPr>
        <w:t>80</w:t>
      </w:r>
      <w:r w:rsidR="001A5B1A">
        <w:rPr>
          <w:rFonts w:cs="Arial"/>
        </w:rPr>
        <w:t>%.</w:t>
      </w:r>
    </w:p>
    <w:p w14:paraId="413FB5EE" w14:textId="333BB2D2"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Western Melbourne (Victoria) has utilisation of </w:t>
      </w:r>
      <w:r w:rsidR="005917B8">
        <w:rPr>
          <w:rFonts w:cs="Arial"/>
        </w:rPr>
        <w:t>80</w:t>
      </w:r>
      <w:r>
        <w:rPr>
          <w:rFonts w:cs="Arial"/>
        </w:rPr>
        <w:t xml:space="preserve">%. </w:t>
      </w:r>
    </w:p>
    <w:p w14:paraId="084F02AC" w14:textId="65613360" w:rsidR="005917B8" w:rsidRDefault="005917B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 (South Australia) has 75%.</w:t>
      </w:r>
    </w:p>
    <w:p w14:paraId="0AEA581B" w14:textId="7D4C525F" w:rsidR="005917B8" w:rsidRDefault="005917B8" w:rsidP="005917B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Australia) has 76%.</w:t>
      </w:r>
    </w:p>
    <w:p w14:paraId="44333C3C" w14:textId="1447DE89"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1A5B1A">
        <w:rPr>
          <w:rFonts w:cs="Arial"/>
        </w:rPr>
        <w:t xml:space="preserve">nhem (Northern Territory) has </w:t>
      </w:r>
      <w:r w:rsidR="005917B8">
        <w:rPr>
          <w:rFonts w:cs="Arial"/>
        </w:rPr>
        <w:t>1</w:t>
      </w:r>
      <w:r w:rsidR="001A5B1A">
        <w:rPr>
          <w:rFonts w:cs="Arial"/>
        </w:rPr>
        <w:t>9</w:t>
      </w:r>
      <w:r>
        <w:rPr>
          <w:rFonts w:cs="Arial"/>
        </w:rPr>
        <w:t xml:space="preserve">%. </w:t>
      </w:r>
    </w:p>
    <w:p w14:paraId="526AC28F" w14:textId="3A4D3AB2" w:rsidR="009A78AA" w:rsidRPr="00776C56" w:rsidRDefault="00B94DA7" w:rsidP="00D00BF7">
      <w:pPr>
        <w:jc w:val="both"/>
        <w:rPr>
          <w:rFonts w:cs="Arial"/>
        </w:rPr>
      </w:pPr>
      <w:r w:rsidRPr="00776C56">
        <w:rPr>
          <w:rFonts w:cs="Arial"/>
        </w:rPr>
        <w:t xml:space="preserve">For </w:t>
      </w:r>
      <w:r w:rsidRPr="00776C56">
        <w:rPr>
          <w:rFonts w:cs="Arial"/>
          <w:b/>
        </w:rPr>
        <w:t>outcomes indicator on choice and control</w:t>
      </w:r>
      <w:r w:rsidRPr="00776C56">
        <w:rPr>
          <w:rFonts w:cs="Arial"/>
        </w:rPr>
        <w:t xml:space="preserve">, </w:t>
      </w:r>
      <w:r w:rsidR="009A78AA" w:rsidRPr="00776C56">
        <w:rPr>
          <w:rFonts w:cs="Arial"/>
        </w:rPr>
        <w:t xml:space="preserve">the top 10% </w:t>
      </w:r>
      <w:r w:rsidR="00613343">
        <w:rPr>
          <w:rFonts w:cs="Arial"/>
        </w:rPr>
        <w:t>service</w:t>
      </w:r>
      <w:r w:rsidR="00613343" w:rsidRPr="00776C56">
        <w:rPr>
          <w:rFonts w:cs="Arial"/>
        </w:rPr>
        <w:t xml:space="preserve"> </w:t>
      </w:r>
      <w:r w:rsidR="000153D9" w:rsidRPr="00776C56">
        <w:rPr>
          <w:rFonts w:cs="Arial"/>
        </w:rPr>
        <w:t>district</w:t>
      </w:r>
      <w:r w:rsidR="009A78AA" w:rsidRPr="00776C56">
        <w:rPr>
          <w:rFonts w:cs="Arial"/>
        </w:rPr>
        <w:t>s are as follows.</w:t>
      </w:r>
    </w:p>
    <w:p w14:paraId="64B6D591" w14:textId="77777777" w:rsidR="00776C56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Hunter New England</w:t>
      </w:r>
      <w:r>
        <w:rPr>
          <w:rFonts w:cs="Arial"/>
        </w:rPr>
        <w:t xml:space="preserve"> </w:t>
      </w:r>
      <w:r w:rsidRPr="00865BC7">
        <w:rPr>
          <w:rFonts w:cs="Arial"/>
        </w:rPr>
        <w:t>(New South Wales)</w:t>
      </w:r>
      <w:r>
        <w:rPr>
          <w:rFonts w:cs="Arial"/>
        </w:rPr>
        <w:t xml:space="preserve"> </w:t>
      </w:r>
      <w:r w:rsidRPr="00BF3B0A">
        <w:rPr>
          <w:rFonts w:cs="Arial"/>
        </w:rPr>
        <w:t xml:space="preserve">has an outcomes indicator on choice and control of </w:t>
      </w:r>
      <w:r>
        <w:rPr>
          <w:rFonts w:cs="Arial"/>
        </w:rPr>
        <w:t>23</w:t>
      </w:r>
      <w:r w:rsidRPr="00BF3B0A">
        <w:rPr>
          <w:rFonts w:cs="Arial"/>
        </w:rPr>
        <w:t>%.</w:t>
      </w:r>
    </w:p>
    <w:p w14:paraId="552C11E9" w14:textId="17FE1DE4" w:rsidR="00776C56" w:rsidRPr="00776C56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Barwon</w:t>
      </w:r>
      <w:r>
        <w:rPr>
          <w:rFonts w:cs="Arial"/>
        </w:rPr>
        <w:t xml:space="preserve"> </w:t>
      </w:r>
      <w:r w:rsidRPr="00BF3B0A">
        <w:rPr>
          <w:rFonts w:cs="Arial"/>
        </w:rPr>
        <w:t>(Victoria)</w:t>
      </w:r>
      <w:r>
        <w:rPr>
          <w:rFonts w:cs="Arial"/>
        </w:rPr>
        <w:t xml:space="preserve"> has 3</w:t>
      </w:r>
      <w:r w:rsidR="008067E7">
        <w:rPr>
          <w:rFonts w:cs="Arial"/>
        </w:rPr>
        <w:t>4</w:t>
      </w:r>
      <w:r>
        <w:rPr>
          <w:rFonts w:cs="Arial"/>
        </w:rPr>
        <w:t>%.</w:t>
      </w:r>
    </w:p>
    <w:p w14:paraId="2D558A14" w14:textId="77777777" w:rsidR="00776C56" w:rsidRPr="00BF3B0A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Cairns</w:t>
      </w:r>
      <w:r>
        <w:rPr>
          <w:rFonts w:cs="Arial"/>
        </w:rPr>
        <w:t xml:space="preserve"> (Queensland) has 23</w:t>
      </w:r>
      <w:r w:rsidRPr="00BF3B0A">
        <w:rPr>
          <w:rFonts w:cs="Arial"/>
        </w:rPr>
        <w:t>%.</w:t>
      </w:r>
    </w:p>
    <w:p w14:paraId="459EE407" w14:textId="0C868A4E" w:rsidR="00BF3B0A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Rockhampton (Queensland) has 2</w:t>
      </w:r>
      <w:r w:rsidR="008067E7">
        <w:rPr>
          <w:rFonts w:cs="Arial"/>
        </w:rPr>
        <w:t>5</w:t>
      </w:r>
      <w:r w:rsidR="00BF3B0A" w:rsidRPr="00BF3B0A">
        <w:rPr>
          <w:rFonts w:cs="Arial"/>
        </w:rPr>
        <w:t>%.</w:t>
      </w:r>
    </w:p>
    <w:p w14:paraId="12783DC0" w14:textId="77777777" w:rsidR="00776C56" w:rsidRPr="00776C56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Western Adelaide</w:t>
      </w:r>
      <w:r>
        <w:rPr>
          <w:rFonts w:cs="Arial"/>
        </w:rPr>
        <w:t xml:space="preserve"> (South Australia) has 24%. </w:t>
      </w:r>
    </w:p>
    <w:p w14:paraId="29E5BCC1" w14:textId="1EA6C919" w:rsidR="00D75CCE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</w:t>
      </w:r>
      <w:r w:rsidR="00776C56">
        <w:rPr>
          <w:rFonts w:cs="Arial"/>
        </w:rPr>
        <w:t>AS South West (Tasmania) has 2</w:t>
      </w:r>
      <w:r w:rsidR="008067E7">
        <w:rPr>
          <w:rFonts w:cs="Arial"/>
        </w:rPr>
        <w:t>7</w:t>
      </w:r>
      <w:r>
        <w:rPr>
          <w:rFonts w:cs="Arial"/>
        </w:rPr>
        <w:t xml:space="preserve">%. </w:t>
      </w:r>
    </w:p>
    <w:p w14:paraId="1524B2D2" w14:textId="71A8683F" w:rsidR="008067E7" w:rsidRPr="00892194" w:rsidRDefault="008067E7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Barkly (Nort</w:t>
      </w:r>
      <w:r>
        <w:rPr>
          <w:rFonts w:cs="Arial"/>
        </w:rPr>
        <w:t>hern Territory) has 25</w:t>
      </w:r>
      <w:r w:rsidRPr="00892194">
        <w:rPr>
          <w:rFonts w:cs="Arial"/>
        </w:rPr>
        <w:t>%.</w:t>
      </w:r>
    </w:p>
    <w:p w14:paraId="01674B25" w14:textId="5F7DEA5E" w:rsidR="008067E7" w:rsidRDefault="008067E7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Pilbara (Western Australia) has 26%.</w:t>
      </w:r>
    </w:p>
    <w:p w14:paraId="4712826E" w14:textId="77777777" w:rsidR="008067E7" w:rsidRDefault="008067E7" w:rsidP="00773751">
      <w:pPr>
        <w:pStyle w:val="ListParagraph"/>
        <w:jc w:val="both"/>
        <w:rPr>
          <w:rFonts w:cs="Arial"/>
        </w:rPr>
      </w:pPr>
    </w:p>
    <w:p w14:paraId="6D86EEF5" w14:textId="0ECBF374" w:rsidR="00BF032E" w:rsidRPr="00B23D81" w:rsidRDefault="00BF032E" w:rsidP="00D00BF7">
      <w:pPr>
        <w:jc w:val="both"/>
        <w:rPr>
          <w:rFonts w:cs="Arial"/>
        </w:rPr>
      </w:pPr>
      <w:r w:rsidRPr="00B23D81">
        <w:rPr>
          <w:rFonts w:cs="Arial"/>
        </w:rPr>
        <w:t xml:space="preserve">The bottom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B23D81">
        <w:rPr>
          <w:rFonts w:cs="Arial"/>
        </w:rPr>
        <w:t>s are as follows.</w:t>
      </w:r>
    </w:p>
    <w:p w14:paraId="6C8A2BB5" w14:textId="5198BDAB" w:rsidR="00776C56" w:rsidRDefault="008067E7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Inner East Melbourne (Victoria) </w:t>
      </w:r>
      <w:r w:rsidR="00776C56">
        <w:rPr>
          <w:rFonts w:cs="Arial"/>
        </w:rPr>
        <w:t xml:space="preserve">has an outcomes indicator on choice and control of </w:t>
      </w:r>
      <w:r>
        <w:rPr>
          <w:rFonts w:cs="Arial"/>
        </w:rPr>
        <w:t>9</w:t>
      </w:r>
      <w:r w:rsidR="00776C56">
        <w:rPr>
          <w:rFonts w:cs="Arial"/>
        </w:rPr>
        <w:t>%.</w:t>
      </w:r>
    </w:p>
    <w:p w14:paraId="2CF94C05" w14:textId="6B43F50D" w:rsidR="008067E7" w:rsidRDefault="008067E7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Loddon (Victoria) has</w:t>
      </w:r>
      <w:r w:rsidRPr="008067E7" w:rsidDel="008067E7">
        <w:rPr>
          <w:rFonts w:cs="Arial"/>
        </w:rPr>
        <w:t xml:space="preserve"> </w:t>
      </w:r>
      <w:r>
        <w:rPr>
          <w:rFonts w:cs="Arial"/>
        </w:rPr>
        <w:t>9%.</w:t>
      </w:r>
    </w:p>
    <w:p w14:paraId="64167DC4" w14:textId="4BA73BEA" w:rsidR="008067E7" w:rsidRDefault="008067E7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Outer East Melbourne (Victoria) has</w:t>
      </w:r>
      <w:r w:rsidRPr="008067E7" w:rsidDel="008067E7">
        <w:rPr>
          <w:rFonts w:cs="Arial"/>
        </w:rPr>
        <w:t xml:space="preserve"> </w:t>
      </w:r>
      <w:r>
        <w:rPr>
          <w:rFonts w:cs="Arial"/>
        </w:rPr>
        <w:t>9%.</w:t>
      </w:r>
    </w:p>
    <w:p w14:paraId="37BFC69F" w14:textId="7436B4A4" w:rsidR="001427D0" w:rsidRPr="008067E7" w:rsidRDefault="001427D0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067E7">
        <w:rPr>
          <w:rFonts w:cs="Arial"/>
        </w:rPr>
        <w:t xml:space="preserve">Far North (South Australia) has 4%. </w:t>
      </w:r>
    </w:p>
    <w:p w14:paraId="7A923400" w14:textId="3EA73901" w:rsidR="008067E7" w:rsidRPr="008067E7" w:rsidRDefault="008067E7" w:rsidP="008067E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Yorke</w:t>
      </w:r>
      <w:proofErr w:type="spellEnd"/>
      <w:r>
        <w:rPr>
          <w:rFonts w:cs="Arial"/>
        </w:rPr>
        <w:t xml:space="preserve"> and Mid </w:t>
      </w:r>
      <w:r w:rsidRPr="008067E7">
        <w:rPr>
          <w:rFonts w:cs="Arial"/>
        </w:rPr>
        <w:t xml:space="preserve">North (South Australia) </w:t>
      </w:r>
      <w:r>
        <w:rPr>
          <w:rFonts w:cs="Arial"/>
        </w:rPr>
        <w:t>has 9</w:t>
      </w:r>
      <w:r w:rsidRPr="008067E7">
        <w:rPr>
          <w:rFonts w:cs="Arial"/>
        </w:rPr>
        <w:t xml:space="preserve">%. </w:t>
      </w:r>
    </w:p>
    <w:p w14:paraId="6370A883" w14:textId="77777777"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14:paraId="73FD999B" w14:textId="04FBFCE1"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</w:t>
      </w:r>
      <w:r w:rsidR="00776C56">
        <w:rPr>
          <w:rFonts w:cs="Arial"/>
        </w:rPr>
        <w:t xml:space="preserve">erine (Northern Territory) has </w:t>
      </w:r>
      <w:r w:rsidR="008067E7">
        <w:rPr>
          <w:rFonts w:cs="Arial"/>
        </w:rPr>
        <w:t>4</w:t>
      </w:r>
      <w:r>
        <w:rPr>
          <w:rFonts w:cs="Arial"/>
        </w:rPr>
        <w:t xml:space="preserve">%. </w:t>
      </w:r>
    </w:p>
    <w:p w14:paraId="62FABE5A" w14:textId="52210992" w:rsidR="001427D0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Goldfields-Esperance</w:t>
      </w:r>
      <w:r>
        <w:rPr>
          <w:rFonts w:cs="Arial"/>
        </w:rPr>
        <w:t xml:space="preserve"> (Western Australia) has </w:t>
      </w:r>
      <w:r w:rsidR="008067E7">
        <w:rPr>
          <w:rFonts w:cs="Arial"/>
        </w:rPr>
        <w:t>4</w:t>
      </w:r>
      <w:r w:rsidR="001427D0">
        <w:rPr>
          <w:rFonts w:cs="Arial"/>
        </w:rPr>
        <w:t xml:space="preserve">%. </w:t>
      </w:r>
    </w:p>
    <w:p w14:paraId="48656407" w14:textId="28B87DE9" w:rsidR="00B94DA7" w:rsidRPr="00B23D81" w:rsidRDefault="00B94DA7" w:rsidP="00D00BF7">
      <w:pPr>
        <w:jc w:val="both"/>
        <w:rPr>
          <w:rFonts w:cs="Arial"/>
        </w:rPr>
      </w:pPr>
      <w:r w:rsidRPr="00B23D81">
        <w:rPr>
          <w:rFonts w:cs="Arial"/>
        </w:rPr>
        <w:t xml:space="preserve">For </w:t>
      </w:r>
      <w:r w:rsidRPr="00B23D81">
        <w:rPr>
          <w:rFonts w:cs="Arial"/>
          <w:b/>
        </w:rPr>
        <w:t>“Has</w:t>
      </w:r>
      <w:r w:rsidR="005F5990">
        <w:rPr>
          <w:rFonts w:cs="Arial"/>
          <w:b/>
        </w:rPr>
        <w:t xml:space="preserve"> the</w:t>
      </w:r>
      <w:r w:rsidRPr="00B23D81">
        <w:rPr>
          <w:rFonts w:cs="Arial"/>
          <w:b/>
        </w:rPr>
        <w:t xml:space="preserve"> NDIS helped with choice and control?” indicator</w:t>
      </w:r>
      <w:r w:rsidRPr="00B23D81">
        <w:rPr>
          <w:rFonts w:cs="Arial"/>
        </w:rPr>
        <w:t xml:space="preserve">, </w:t>
      </w:r>
      <w:r w:rsidR="009A78AA" w:rsidRPr="00B23D81">
        <w:rPr>
          <w:rFonts w:cs="Arial"/>
        </w:rPr>
        <w:t xml:space="preserve">the top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="009A78AA" w:rsidRPr="00B23D81">
        <w:rPr>
          <w:rFonts w:cs="Arial"/>
        </w:rPr>
        <w:t>s are as follows.</w:t>
      </w:r>
    </w:p>
    <w:p w14:paraId="74BB3882" w14:textId="58790AF7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 Sydney (New South Wales) has an indicator of 8</w:t>
      </w:r>
      <w:r w:rsidR="004E6A20">
        <w:rPr>
          <w:rFonts w:cs="Arial"/>
        </w:rPr>
        <w:t>8</w:t>
      </w:r>
      <w:r>
        <w:rPr>
          <w:rFonts w:cs="Arial"/>
        </w:rPr>
        <w:t xml:space="preserve">%. </w:t>
      </w:r>
    </w:p>
    <w:p w14:paraId="162BE5DC" w14:textId="210202CC" w:rsidR="004E6A20" w:rsidRDefault="004E6A20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Goulburn (Victoria) has 89%.</w:t>
      </w:r>
    </w:p>
    <w:p w14:paraId="6B2D66A0" w14:textId="73036100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Bundaberg (Queensland) has 9</w:t>
      </w:r>
      <w:r w:rsidR="004E6A20">
        <w:rPr>
          <w:rFonts w:cs="Arial"/>
        </w:rPr>
        <w:t>1</w:t>
      </w:r>
      <w:r>
        <w:rPr>
          <w:rFonts w:cs="Arial"/>
        </w:rPr>
        <w:t xml:space="preserve">%. </w:t>
      </w:r>
    </w:p>
    <w:p w14:paraId="47C6FA51" w14:textId="77777777" w:rsidR="00870741" w:rsidRDefault="0087074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70741">
        <w:rPr>
          <w:rFonts w:cs="Arial"/>
        </w:rPr>
        <w:t>Maroochydore</w:t>
      </w:r>
      <w:r>
        <w:rPr>
          <w:rFonts w:cs="Arial"/>
        </w:rPr>
        <w:t xml:space="preserve"> (Queensland) has 90%.</w:t>
      </w:r>
    </w:p>
    <w:p w14:paraId="377DC85F" w14:textId="63AD3F00" w:rsidR="005F5990" w:rsidRDefault="0087074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North West (Tasmania) has </w:t>
      </w:r>
      <w:r w:rsidR="004E6A20">
        <w:rPr>
          <w:rFonts w:cs="Arial"/>
        </w:rPr>
        <w:t>88</w:t>
      </w:r>
      <w:r w:rsidR="005F5990">
        <w:rPr>
          <w:rFonts w:cs="Arial"/>
        </w:rPr>
        <w:t xml:space="preserve">%. </w:t>
      </w:r>
    </w:p>
    <w:p w14:paraId="200F6F53" w14:textId="77777777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100%. </w:t>
      </w:r>
    </w:p>
    <w:p w14:paraId="0B2E955A" w14:textId="7986A489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100%. </w:t>
      </w:r>
    </w:p>
    <w:p w14:paraId="3D630D49" w14:textId="5D497716" w:rsidR="004E6A20" w:rsidRDefault="00870B3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Southern</w:t>
      </w:r>
      <w:r w:rsidR="004E6A20">
        <w:rPr>
          <w:rFonts w:cs="Arial"/>
        </w:rPr>
        <w:t xml:space="preserve"> (Western Australia) has 91%.</w:t>
      </w:r>
    </w:p>
    <w:p w14:paraId="15245B24" w14:textId="136E4E6B" w:rsidR="005F5990" w:rsidRPr="00870741" w:rsidRDefault="00BF032E" w:rsidP="00870741">
      <w:pPr>
        <w:jc w:val="both"/>
        <w:rPr>
          <w:rFonts w:cs="Arial"/>
        </w:rPr>
      </w:pPr>
      <w:r w:rsidRPr="00B23D81">
        <w:rPr>
          <w:rFonts w:cs="Arial"/>
        </w:rPr>
        <w:t xml:space="preserve">The bottom 10% </w:t>
      </w:r>
      <w:r w:rsidR="00613343">
        <w:rPr>
          <w:rFonts w:cs="Arial"/>
        </w:rPr>
        <w:t xml:space="preserve">service </w:t>
      </w:r>
      <w:r w:rsidR="000153D9">
        <w:rPr>
          <w:rFonts w:cs="Arial"/>
        </w:rPr>
        <w:t>district</w:t>
      </w:r>
      <w:r w:rsidRPr="00B23D81">
        <w:rPr>
          <w:rFonts w:cs="Arial"/>
        </w:rPr>
        <w:t>s are as follows.</w:t>
      </w:r>
    </w:p>
    <w:p w14:paraId="2EC92575" w14:textId="0371CBF4" w:rsidR="005F5990" w:rsidRPr="00870741" w:rsidRDefault="005F5990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Eastern Adelaide (South Australia) </w:t>
      </w:r>
      <w:r w:rsidR="00870741">
        <w:rPr>
          <w:rFonts w:cs="Arial"/>
        </w:rPr>
        <w:t>has an indicator of 6</w:t>
      </w:r>
      <w:r w:rsidR="004E6A20">
        <w:rPr>
          <w:rFonts w:cs="Arial"/>
        </w:rPr>
        <w:t>3</w:t>
      </w:r>
      <w:r w:rsidR="00870741">
        <w:rPr>
          <w:rFonts w:cs="Arial"/>
        </w:rPr>
        <w:t xml:space="preserve">%. </w:t>
      </w:r>
    </w:p>
    <w:p w14:paraId="75AEC7E0" w14:textId="3FA9FC60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Yorke</w:t>
      </w:r>
      <w:proofErr w:type="spellEnd"/>
      <w:r>
        <w:rPr>
          <w:rFonts w:cs="Arial"/>
        </w:rPr>
        <w:t xml:space="preserve"> and Mi</w:t>
      </w:r>
      <w:r w:rsidR="00870741">
        <w:rPr>
          <w:rFonts w:cs="Arial"/>
        </w:rPr>
        <w:t xml:space="preserve">d North (South Australia) has </w:t>
      </w:r>
      <w:r w:rsidR="00A7459B">
        <w:rPr>
          <w:rFonts w:cs="Arial"/>
        </w:rPr>
        <w:t>60</w:t>
      </w:r>
      <w:r>
        <w:rPr>
          <w:rFonts w:cs="Arial"/>
        </w:rPr>
        <w:t xml:space="preserve">%. </w:t>
      </w:r>
    </w:p>
    <w:p w14:paraId="4CB32BC5" w14:textId="37D48903" w:rsidR="00870741" w:rsidRPr="00870741" w:rsidRDefault="0087074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70741">
        <w:rPr>
          <w:rFonts w:cs="Arial"/>
        </w:rPr>
        <w:t>Central Australia</w:t>
      </w:r>
      <w:r>
        <w:rPr>
          <w:rFonts w:cs="Arial"/>
        </w:rPr>
        <w:t xml:space="preserve"> (Northern Territory) has 6</w:t>
      </w:r>
      <w:r w:rsidR="00A7459B">
        <w:rPr>
          <w:rFonts w:cs="Arial"/>
        </w:rPr>
        <w:t>6</w:t>
      </w:r>
      <w:r>
        <w:rPr>
          <w:rFonts w:cs="Arial"/>
        </w:rPr>
        <w:t xml:space="preserve">%. </w:t>
      </w:r>
    </w:p>
    <w:p w14:paraId="10A30D2B" w14:textId="2E1FB260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14:paraId="5A3CF3FA" w14:textId="6F9914EC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</w:t>
      </w:r>
      <w:r w:rsidR="00870741">
        <w:rPr>
          <w:rFonts w:cs="Arial"/>
        </w:rPr>
        <w:t xml:space="preserve">lbara (Western Australia) has </w:t>
      </w:r>
      <w:r w:rsidR="00A7459B">
        <w:rPr>
          <w:rFonts w:cs="Arial"/>
        </w:rPr>
        <w:t>6</w:t>
      </w:r>
      <w:r w:rsidR="00870741">
        <w:rPr>
          <w:rFonts w:cs="Arial"/>
        </w:rPr>
        <w:t>5</w:t>
      </w:r>
      <w:r>
        <w:rPr>
          <w:rFonts w:cs="Arial"/>
        </w:rPr>
        <w:t xml:space="preserve">%. </w:t>
      </w:r>
    </w:p>
    <w:p w14:paraId="6F6890FD" w14:textId="5EC4A3F5"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 </w:t>
      </w:r>
      <w:r w:rsidR="00870741">
        <w:rPr>
          <w:rFonts w:cs="Arial"/>
        </w:rPr>
        <w:t>Metro (Western Australia) has 6</w:t>
      </w:r>
      <w:r w:rsidR="00A7459B">
        <w:rPr>
          <w:rFonts w:cs="Arial"/>
        </w:rPr>
        <w:t>5</w:t>
      </w:r>
      <w:r>
        <w:rPr>
          <w:rFonts w:cs="Arial"/>
        </w:rPr>
        <w:t xml:space="preserve">%. </w:t>
      </w:r>
    </w:p>
    <w:p w14:paraId="27242075" w14:textId="0561D9C8" w:rsidR="00A7459B" w:rsidRDefault="00A7459B" w:rsidP="00A7459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West (Western Australia) has 64%. </w:t>
      </w:r>
    </w:p>
    <w:p w14:paraId="198F2B94" w14:textId="38D2E285" w:rsidR="00B23D81" w:rsidRPr="00CE264D" w:rsidRDefault="005F5990" w:rsidP="00CE264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</w:t>
      </w:r>
      <w:r w:rsidR="00870741">
        <w:rPr>
          <w:rFonts w:cs="Arial"/>
        </w:rPr>
        <w:t>t Belt (Western Australia) has 5</w:t>
      </w:r>
      <w:r w:rsidR="00A7459B">
        <w:rPr>
          <w:rFonts w:cs="Arial"/>
        </w:rPr>
        <w:t>7</w:t>
      </w:r>
      <w:r>
        <w:rPr>
          <w:rFonts w:cs="Arial"/>
        </w:rPr>
        <w:t xml:space="preserve">%. </w:t>
      </w:r>
    </w:p>
    <w:p w14:paraId="24879560" w14:textId="77777777" w:rsidR="0013152A" w:rsidRPr="001F7986" w:rsidRDefault="00BF0755" w:rsidP="00D00BF7">
      <w:pPr>
        <w:pStyle w:val="Heading2"/>
      </w:pPr>
      <w:bookmarkStart w:id="6" w:name="_Toc81839929"/>
      <w:r w:rsidRPr="001F7986">
        <w:t>Page</w:t>
      </w:r>
      <w:r w:rsidR="0013152A" w:rsidRPr="001F7986">
        <w:t xml:space="preserve"> 2</w:t>
      </w:r>
      <w:r w:rsidRPr="001F7986">
        <w:t>, Table 1</w:t>
      </w:r>
      <w:r w:rsidR="0013152A" w:rsidRPr="001F7986">
        <w:t xml:space="preserve">: </w:t>
      </w:r>
      <w:r w:rsidRPr="001F7986">
        <w:t xml:space="preserve">Support category summary, for all </w:t>
      </w:r>
      <w:r w:rsidR="000153D9">
        <w:t>service district</w:t>
      </w:r>
      <w:r w:rsidRPr="001F7986">
        <w:t>s</w:t>
      </w:r>
      <w:bookmarkEnd w:id="6"/>
    </w:p>
    <w:p w14:paraId="42F1F41B" w14:textId="77777777" w:rsidR="00133B0E" w:rsidRPr="00B45A45" w:rsidRDefault="00763823" w:rsidP="00133B0E">
      <w:pPr>
        <w:jc w:val="both"/>
        <w:rPr>
          <w:rFonts w:cs="Arial"/>
        </w:rPr>
      </w:pPr>
      <w:r w:rsidRPr="001F7986">
        <w:rPr>
          <w:rFonts w:cs="Arial"/>
        </w:rPr>
        <w:t>For each of the 15 support categories, the same indicators have been calculated.</w:t>
      </w:r>
      <w:r w:rsidR="00B94DA7" w:rsidRPr="001F7986">
        <w:rPr>
          <w:rFonts w:cs="Arial"/>
        </w:rPr>
        <w:t xml:space="preserve"> </w:t>
      </w:r>
      <w:r w:rsidR="00504A6B" w:rsidRPr="001F7986">
        <w:rPr>
          <w:rFonts w:cs="Arial"/>
        </w:rPr>
        <w:t>The number of active</w:t>
      </w:r>
      <w:r w:rsidR="00D12F81" w:rsidRPr="001F7986">
        <w:rPr>
          <w:rFonts w:cs="Arial"/>
        </w:rPr>
        <w:t xml:space="preserve"> SIL</w:t>
      </w:r>
      <w:r w:rsidR="00773751">
        <w:rPr>
          <w:rFonts w:cs="Arial"/>
        </w:rPr>
        <w:t>/SDA</w:t>
      </w:r>
      <w:r w:rsidR="00504A6B" w:rsidRPr="001F7986">
        <w:rPr>
          <w:rFonts w:cs="Arial"/>
        </w:rPr>
        <w:t xml:space="preserve"> participants with approved plans, the number of active providers, total plan budgets and total payments are also shown. </w:t>
      </w:r>
      <w:r w:rsidR="00133B0E">
        <w:rPr>
          <w:rFonts w:cs="Arial"/>
        </w:rPr>
        <w:t>In</w:t>
      </w:r>
      <w:r w:rsidR="00133B0E" w:rsidRPr="00B45A45">
        <w:rPr>
          <w:rFonts w:cs="Arial"/>
        </w:rPr>
        <w:t xml:space="preserve">dicators </w:t>
      </w:r>
      <w:r w:rsidR="00133B0E">
        <w:rPr>
          <w:rFonts w:cs="Arial"/>
        </w:rPr>
        <w:t>are added w</w:t>
      </w:r>
      <w:r w:rsidR="00133B0E" w:rsidRPr="00B45A45">
        <w:rPr>
          <w:rFonts w:cs="Arial"/>
        </w:rPr>
        <w:t xml:space="preserve">here the top 10% and bottom 10% of </w:t>
      </w:r>
      <w:r w:rsidR="00133B0E">
        <w:rPr>
          <w:rFonts w:cs="Arial"/>
        </w:rPr>
        <w:t>service district</w:t>
      </w:r>
      <w:r w:rsidR="00133B0E" w:rsidRPr="00B45A45">
        <w:rPr>
          <w:rFonts w:cs="Arial"/>
        </w:rPr>
        <w:t>s – by gap to benchmark – are highlighted.</w:t>
      </w:r>
    </w:p>
    <w:p w14:paraId="6BB8A8B8" w14:textId="77777777" w:rsidR="00B94DA7" w:rsidRPr="001F7986" w:rsidRDefault="00B94DA7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For </w:t>
      </w:r>
      <w:r w:rsidRPr="001F7986">
        <w:rPr>
          <w:rFonts w:cs="Arial"/>
          <w:b/>
        </w:rPr>
        <w:t>participants per provider</w:t>
      </w:r>
      <w:r w:rsidRPr="001F7986">
        <w:rPr>
          <w:rFonts w:cs="Arial"/>
        </w:rPr>
        <w:t xml:space="preserve">, </w:t>
      </w:r>
      <w:r w:rsidR="009A78AA" w:rsidRPr="001F7986">
        <w:rPr>
          <w:rFonts w:cs="Arial"/>
        </w:rPr>
        <w:t xml:space="preserve">the top 10% </w:t>
      </w:r>
      <w:r w:rsidR="00D10A47" w:rsidRPr="001F7986">
        <w:rPr>
          <w:rFonts w:cs="Arial"/>
        </w:rPr>
        <w:t>support categories</w:t>
      </w:r>
      <w:r w:rsidR="009A78AA" w:rsidRPr="001F7986">
        <w:rPr>
          <w:rFonts w:cs="Arial"/>
        </w:rPr>
        <w:t xml:space="preserve"> are as follows.</w:t>
      </w:r>
    </w:p>
    <w:p w14:paraId="262D85FF" w14:textId="77777777" w:rsidR="00504A6B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Capacit</w:t>
      </w:r>
      <w:r w:rsidR="00CE264D">
        <w:rPr>
          <w:rFonts w:cs="Arial"/>
        </w:rPr>
        <w:t xml:space="preserve">y Building – </w:t>
      </w:r>
      <w:r w:rsidR="00870741">
        <w:rPr>
          <w:rFonts w:cs="Arial"/>
        </w:rPr>
        <w:t>Lifelong Learning has 2.0</w:t>
      </w:r>
      <w:r w:rsidRPr="001F7986">
        <w:rPr>
          <w:rFonts w:cs="Arial"/>
        </w:rPr>
        <w:t xml:space="preserve"> participants per provider.</w:t>
      </w:r>
    </w:p>
    <w:p w14:paraId="3B7A3CE9" w14:textId="74B2B2BF" w:rsidR="00CE264D" w:rsidRPr="001F7986" w:rsidRDefault="00CE264D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70741" w:rsidRPr="00870741">
        <w:rPr>
          <w:rFonts w:cs="Arial"/>
        </w:rPr>
        <w:t xml:space="preserve">Social and Civic </w:t>
      </w:r>
      <w:r w:rsidR="00870741">
        <w:rPr>
          <w:rFonts w:cs="Arial"/>
        </w:rPr>
        <w:t xml:space="preserve">has </w:t>
      </w:r>
      <w:r w:rsidR="00773751">
        <w:rPr>
          <w:rFonts w:cs="Arial"/>
        </w:rPr>
        <w:t>4.2</w:t>
      </w:r>
      <w:r>
        <w:rPr>
          <w:rFonts w:cs="Arial"/>
        </w:rPr>
        <w:t xml:space="preserve">. </w:t>
      </w:r>
    </w:p>
    <w:p w14:paraId="5B7F961A" w14:textId="77777777" w:rsidR="00BF032E" w:rsidRPr="001F7986" w:rsidRDefault="00BF032E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The bottom 10% </w:t>
      </w:r>
      <w:r w:rsidR="00D10A47" w:rsidRPr="001F7986">
        <w:rPr>
          <w:rFonts w:cs="Arial"/>
        </w:rPr>
        <w:t xml:space="preserve">support categories </w:t>
      </w:r>
      <w:r w:rsidRPr="001F7986">
        <w:rPr>
          <w:rFonts w:cs="Arial"/>
        </w:rPr>
        <w:t>are as follows.</w:t>
      </w:r>
    </w:p>
    <w:p w14:paraId="48AE4D05" w14:textId="0680434D" w:rsidR="00D10A47" w:rsidRPr="001F7986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 xml:space="preserve">Core – </w:t>
      </w:r>
      <w:r w:rsidR="001F7986" w:rsidRPr="001F7986">
        <w:rPr>
          <w:rFonts w:cs="Arial"/>
        </w:rPr>
        <w:t xml:space="preserve">Transport </w:t>
      </w:r>
      <w:r w:rsidRPr="001F7986">
        <w:rPr>
          <w:rFonts w:cs="Arial"/>
        </w:rPr>
        <w:t xml:space="preserve">has </w:t>
      </w:r>
      <w:r w:rsidR="00870741">
        <w:rPr>
          <w:rFonts w:cs="Arial"/>
        </w:rPr>
        <w:t>4</w:t>
      </w:r>
      <w:r w:rsidR="00773751">
        <w:rPr>
          <w:rFonts w:cs="Arial"/>
        </w:rPr>
        <w:t>3</w:t>
      </w:r>
      <w:r w:rsidR="00CE264D">
        <w:rPr>
          <w:rFonts w:cs="Arial"/>
        </w:rPr>
        <w:t>.3</w:t>
      </w:r>
      <w:r w:rsidRPr="001F7986">
        <w:rPr>
          <w:rFonts w:cs="Arial"/>
        </w:rPr>
        <w:t xml:space="preserve"> </w:t>
      </w:r>
      <w:r w:rsidR="00D10A47" w:rsidRPr="001F7986">
        <w:rPr>
          <w:rFonts w:cs="Arial"/>
        </w:rPr>
        <w:t>participants per provider.</w:t>
      </w:r>
    </w:p>
    <w:p w14:paraId="61CD9008" w14:textId="01A28278" w:rsidR="00A31EE8" w:rsidRPr="001F7986" w:rsidRDefault="001F798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Capital</w:t>
      </w:r>
      <w:r w:rsidR="00721ED1" w:rsidRPr="001F7986">
        <w:rPr>
          <w:rFonts w:cs="Arial"/>
        </w:rPr>
        <w:t xml:space="preserve"> – </w:t>
      </w:r>
      <w:r w:rsidR="00870741">
        <w:rPr>
          <w:rFonts w:cs="Arial"/>
        </w:rPr>
        <w:t>Home Modifications has 5</w:t>
      </w:r>
      <w:r w:rsidR="00773751">
        <w:rPr>
          <w:rFonts w:cs="Arial"/>
        </w:rPr>
        <w:t>2</w:t>
      </w:r>
      <w:r w:rsidR="00870741">
        <w:rPr>
          <w:rFonts w:cs="Arial"/>
        </w:rPr>
        <w:t>.9</w:t>
      </w:r>
      <w:r w:rsidR="00D10A47" w:rsidRPr="001F7986">
        <w:rPr>
          <w:rFonts w:cs="Arial"/>
        </w:rPr>
        <w:t>.</w:t>
      </w:r>
    </w:p>
    <w:p w14:paraId="261B6D3B" w14:textId="77777777" w:rsidR="00BF032E" w:rsidRPr="00D12F81" w:rsidRDefault="00BF032E" w:rsidP="00D00BF7">
      <w:pPr>
        <w:jc w:val="both"/>
        <w:rPr>
          <w:rFonts w:cs="Arial"/>
          <w:highlight w:val="yellow"/>
        </w:rPr>
      </w:pPr>
    </w:p>
    <w:p w14:paraId="053A409C" w14:textId="77777777"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concentration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14:paraId="26CD61C9" w14:textId="5273F07D" w:rsidR="00B94DA7" w:rsidRPr="006C279D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Core - Community</w:t>
      </w:r>
      <w:r w:rsidR="00D10A47" w:rsidRPr="006C279D">
        <w:rPr>
          <w:rFonts w:cs="Arial"/>
        </w:rPr>
        <w:t xml:space="preserve"> has a pr</w:t>
      </w:r>
      <w:r w:rsidR="006C279D" w:rsidRPr="006C279D">
        <w:rPr>
          <w:rFonts w:cs="Arial"/>
        </w:rPr>
        <w:t>ovider concentration level of 1</w:t>
      </w:r>
      <w:r w:rsidR="00773751">
        <w:rPr>
          <w:rFonts w:cs="Arial"/>
        </w:rPr>
        <w:t>5</w:t>
      </w:r>
      <w:r w:rsidR="00D10A47" w:rsidRPr="006C279D">
        <w:rPr>
          <w:rFonts w:cs="Arial"/>
        </w:rPr>
        <w:t>%.</w:t>
      </w:r>
    </w:p>
    <w:p w14:paraId="302D2FF1" w14:textId="44DDBC69" w:rsidR="00D10A47" w:rsidRPr="006C279D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</w:t>
      </w:r>
      <w:r w:rsidR="006C279D" w:rsidRPr="006C279D">
        <w:rPr>
          <w:rFonts w:cs="Arial"/>
        </w:rPr>
        <w:t>ng – Support Coordination has 1</w:t>
      </w:r>
      <w:r w:rsidR="00773751">
        <w:rPr>
          <w:rFonts w:cs="Arial"/>
        </w:rPr>
        <w:t>5</w:t>
      </w:r>
      <w:r w:rsidRPr="006C279D">
        <w:rPr>
          <w:rFonts w:cs="Arial"/>
        </w:rPr>
        <w:t>%.</w:t>
      </w:r>
    </w:p>
    <w:p w14:paraId="5094F4CF" w14:textId="77777777"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14:paraId="7D80953E" w14:textId="77777777" w:rsidR="00504A6B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 a pr</w:t>
      </w:r>
      <w:r w:rsidR="00870741">
        <w:rPr>
          <w:rFonts w:cs="Arial"/>
        </w:rPr>
        <w:t>ovider concentration level of 100</w:t>
      </w:r>
      <w:r w:rsidRPr="006C279D">
        <w:rPr>
          <w:rFonts w:cs="Arial"/>
        </w:rPr>
        <w:t>%.</w:t>
      </w:r>
    </w:p>
    <w:p w14:paraId="48EA68E1" w14:textId="77777777"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100%. </w:t>
      </w:r>
    </w:p>
    <w:p w14:paraId="63C6553B" w14:textId="77777777" w:rsidR="00BF032E" w:rsidRPr="00D12F81" w:rsidRDefault="00BF032E" w:rsidP="00D00BF7">
      <w:pPr>
        <w:jc w:val="both"/>
        <w:rPr>
          <w:rFonts w:cs="Arial"/>
          <w:highlight w:val="yellow"/>
        </w:rPr>
      </w:pPr>
    </w:p>
    <w:p w14:paraId="4AC09BF0" w14:textId="77777777"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growth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14:paraId="5A2B286B" w14:textId="4637C16E" w:rsidR="00CE264D" w:rsidRDefault="0077375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Core</w:t>
      </w:r>
      <w:r w:rsidR="00CE264D">
        <w:rPr>
          <w:rFonts w:cs="Arial"/>
        </w:rPr>
        <w:t xml:space="preserve"> – </w:t>
      </w:r>
      <w:r>
        <w:rPr>
          <w:rFonts w:cs="Arial"/>
        </w:rPr>
        <w:t>Daily Activities h</w:t>
      </w:r>
      <w:r w:rsidR="00870741">
        <w:rPr>
          <w:rFonts w:cs="Arial"/>
        </w:rPr>
        <w:t xml:space="preserve">as provider growth of </w:t>
      </w:r>
      <w:r>
        <w:rPr>
          <w:rFonts w:cs="Arial"/>
        </w:rPr>
        <w:t>14</w:t>
      </w:r>
      <w:r w:rsidR="00CE264D">
        <w:rPr>
          <w:rFonts w:cs="Arial"/>
        </w:rPr>
        <w:t xml:space="preserve">% since the previous exposure period. </w:t>
      </w:r>
    </w:p>
    <w:p w14:paraId="44BA6FBB" w14:textId="462D3E5D" w:rsidR="00CE264D" w:rsidRDefault="0077375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Core – Community </w:t>
      </w:r>
      <w:r w:rsidR="00870741">
        <w:rPr>
          <w:rFonts w:cs="Arial"/>
        </w:rPr>
        <w:t xml:space="preserve">has </w:t>
      </w:r>
      <w:r>
        <w:rPr>
          <w:rFonts w:cs="Arial"/>
        </w:rPr>
        <w:t>15</w:t>
      </w:r>
      <w:r w:rsidR="00CE264D">
        <w:rPr>
          <w:rFonts w:cs="Arial"/>
        </w:rPr>
        <w:t xml:space="preserve">%. </w:t>
      </w:r>
    </w:p>
    <w:p w14:paraId="3F5D3120" w14:textId="77777777"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14:paraId="75326A72" w14:textId="3DD9E6D9" w:rsidR="006704D5" w:rsidRPr="00396BE6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96BE6">
        <w:rPr>
          <w:rFonts w:cs="Arial"/>
        </w:rPr>
        <w:t>Capacity Building –</w:t>
      </w:r>
      <w:r w:rsidR="00396BE6" w:rsidRPr="00396BE6">
        <w:rPr>
          <w:rFonts w:cs="Arial"/>
        </w:rPr>
        <w:t xml:space="preserve"> Choice and Control </w:t>
      </w:r>
      <w:r w:rsidR="006704D5" w:rsidRPr="00396BE6">
        <w:rPr>
          <w:rFonts w:cs="Arial"/>
        </w:rPr>
        <w:t xml:space="preserve">has provider growth of </w:t>
      </w:r>
      <w:r w:rsidRPr="00396BE6">
        <w:rPr>
          <w:rFonts w:cs="Arial"/>
        </w:rPr>
        <w:t>0</w:t>
      </w:r>
      <w:r w:rsidR="006704D5" w:rsidRPr="00396BE6">
        <w:rPr>
          <w:rFonts w:cs="Arial"/>
        </w:rPr>
        <w:t>% since the previous exposure period.</w:t>
      </w:r>
    </w:p>
    <w:p w14:paraId="3F3204CE" w14:textId="6A4BA515" w:rsidR="00396BE6" w:rsidRPr="00396BE6" w:rsidRDefault="00396BE6" w:rsidP="00396B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96BE6">
        <w:rPr>
          <w:rFonts w:cs="Arial"/>
        </w:rPr>
        <w:t xml:space="preserve">Capacity Building – Home Living has 0%. </w:t>
      </w:r>
    </w:p>
    <w:p w14:paraId="2A2A7EBE" w14:textId="77777777" w:rsidR="00CE264D" w:rsidRPr="00396BE6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96BE6">
        <w:rPr>
          <w:rFonts w:cs="Arial"/>
        </w:rPr>
        <w:t xml:space="preserve">Capacity Building – Lifelong learning has 0%. </w:t>
      </w:r>
    </w:p>
    <w:p w14:paraId="3B4D0515" w14:textId="77777777" w:rsidR="00BF032E" w:rsidRPr="00396BE6" w:rsidRDefault="00BF032E" w:rsidP="00D00BF7">
      <w:pPr>
        <w:jc w:val="both"/>
        <w:rPr>
          <w:rFonts w:cs="Arial"/>
        </w:rPr>
      </w:pPr>
    </w:p>
    <w:p w14:paraId="14C8CA1A" w14:textId="77777777"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shrinkage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14:paraId="75FE0841" w14:textId="77777777" w:rsidR="00BF032E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 provider shrinkage of 0% since the previous exposure period.</w:t>
      </w:r>
    </w:p>
    <w:p w14:paraId="2D8FAA63" w14:textId="77777777"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0%. </w:t>
      </w:r>
    </w:p>
    <w:p w14:paraId="7B886CB5" w14:textId="77777777"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14:paraId="3BBF464D" w14:textId="52E74C1A" w:rsidR="00870741" w:rsidRDefault="0077375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 xml:space="preserve">Capacity Building – </w:t>
      </w:r>
      <w:r>
        <w:rPr>
          <w:rFonts w:cs="Arial"/>
        </w:rPr>
        <w:t xml:space="preserve">Employment </w:t>
      </w:r>
      <w:r w:rsidR="00870741" w:rsidRPr="006C279D">
        <w:rPr>
          <w:rFonts w:cs="Arial"/>
        </w:rPr>
        <w:t xml:space="preserve">has provider </w:t>
      </w:r>
      <w:r w:rsidR="00870741">
        <w:rPr>
          <w:rFonts w:cs="Arial"/>
        </w:rPr>
        <w:t xml:space="preserve">shrinkage of </w:t>
      </w:r>
      <w:r>
        <w:rPr>
          <w:rFonts w:cs="Arial"/>
        </w:rPr>
        <w:t>54</w:t>
      </w:r>
      <w:r w:rsidR="00870741" w:rsidRPr="006C279D">
        <w:rPr>
          <w:rFonts w:cs="Arial"/>
        </w:rPr>
        <w:t>% since the previous exposure period.</w:t>
      </w:r>
    </w:p>
    <w:p w14:paraId="3B4B59FB" w14:textId="6B1412E6" w:rsidR="00773751" w:rsidRPr="006C279D" w:rsidRDefault="00E8581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Capital</w:t>
      </w:r>
      <w:r w:rsidR="00773751">
        <w:rPr>
          <w:rFonts w:cs="Arial"/>
        </w:rPr>
        <w:t xml:space="preserve"> </w:t>
      </w:r>
      <w:r w:rsidR="00773751" w:rsidRPr="006C279D">
        <w:rPr>
          <w:rFonts w:cs="Arial"/>
        </w:rPr>
        <w:t>–</w:t>
      </w:r>
      <w:r w:rsidR="00773751">
        <w:rPr>
          <w:rFonts w:cs="Arial"/>
        </w:rPr>
        <w:t xml:space="preserve"> Assistive Technology </w:t>
      </w:r>
      <w:r w:rsidR="00773751" w:rsidRPr="006C279D">
        <w:rPr>
          <w:rFonts w:cs="Arial"/>
        </w:rPr>
        <w:t>has</w:t>
      </w:r>
      <w:r w:rsidR="00773751">
        <w:rPr>
          <w:rFonts w:cs="Arial"/>
        </w:rPr>
        <w:t xml:space="preserve"> 46%.</w:t>
      </w:r>
    </w:p>
    <w:p w14:paraId="6D4AD693" w14:textId="77777777" w:rsidR="00B94DA7" w:rsidRPr="00D12F81" w:rsidRDefault="00B94DA7" w:rsidP="00D00BF7">
      <w:pPr>
        <w:jc w:val="both"/>
        <w:rPr>
          <w:rFonts w:cs="Arial"/>
          <w:highlight w:val="yellow"/>
        </w:rPr>
      </w:pPr>
    </w:p>
    <w:p w14:paraId="6B16B891" w14:textId="77777777"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utilisation</w:t>
      </w:r>
      <w:r w:rsidRPr="006C279D">
        <w:rPr>
          <w:rFonts w:cs="Arial"/>
        </w:rPr>
        <w:t>, the top 10% support categories are as follows.</w:t>
      </w:r>
    </w:p>
    <w:p w14:paraId="61B3738E" w14:textId="57C571A6"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 xml:space="preserve">Core – </w:t>
      </w:r>
      <w:r w:rsidR="006C279D" w:rsidRPr="006C279D">
        <w:rPr>
          <w:rFonts w:cs="Arial"/>
        </w:rPr>
        <w:t>Daily Activities</w:t>
      </w:r>
      <w:r w:rsidRPr="006C279D">
        <w:rPr>
          <w:rFonts w:cs="Arial"/>
        </w:rPr>
        <w:t xml:space="preserve"> has </w:t>
      </w:r>
      <w:r w:rsidR="00E8581E" w:rsidRPr="006C279D">
        <w:rPr>
          <w:rFonts w:cs="Arial"/>
        </w:rPr>
        <w:t>an</w:t>
      </w:r>
      <w:r w:rsidRPr="006C279D">
        <w:rPr>
          <w:rFonts w:cs="Arial"/>
        </w:rPr>
        <w:t xml:space="preserve"> utilisation rate of 9</w:t>
      </w:r>
      <w:r w:rsidR="00773751">
        <w:rPr>
          <w:rFonts w:cs="Arial"/>
        </w:rPr>
        <w:t>5</w:t>
      </w:r>
      <w:r w:rsidRPr="006C279D">
        <w:rPr>
          <w:rFonts w:cs="Arial"/>
        </w:rPr>
        <w:t>%.</w:t>
      </w:r>
    </w:p>
    <w:p w14:paraId="3C65098B" w14:textId="5A037ED5"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>Capacity Building – Choice and Control has 9</w:t>
      </w:r>
      <w:r w:rsidR="00773751">
        <w:rPr>
          <w:rFonts w:cs="Arial"/>
        </w:rPr>
        <w:t>6</w:t>
      </w:r>
      <w:r w:rsidRPr="006C279D">
        <w:rPr>
          <w:rFonts w:cs="Arial"/>
        </w:rPr>
        <w:t>%.</w:t>
      </w:r>
    </w:p>
    <w:p w14:paraId="0B2BF61C" w14:textId="77777777"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t>The bottom 10% support categories are as follows.</w:t>
      </w:r>
    </w:p>
    <w:p w14:paraId="308D5721" w14:textId="02595BAA" w:rsidR="00282FD8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</w:t>
      </w:r>
      <w:r w:rsidR="00CE264D">
        <w:rPr>
          <w:rFonts w:cs="Arial"/>
        </w:rPr>
        <w:t xml:space="preserve"> </w:t>
      </w:r>
      <w:r w:rsidR="00E8581E">
        <w:rPr>
          <w:rFonts w:cs="Arial"/>
        </w:rPr>
        <w:t>an</w:t>
      </w:r>
      <w:r w:rsidR="00CE264D">
        <w:rPr>
          <w:rFonts w:cs="Arial"/>
        </w:rPr>
        <w:t xml:space="preserve"> utilisation rate of</w:t>
      </w:r>
      <w:r w:rsidRPr="006C279D">
        <w:rPr>
          <w:rFonts w:cs="Arial"/>
        </w:rPr>
        <w:t xml:space="preserve"> </w:t>
      </w:r>
      <w:r w:rsidR="00773751">
        <w:rPr>
          <w:rFonts w:cs="Arial"/>
        </w:rPr>
        <w:t>12</w:t>
      </w:r>
      <w:r w:rsidRPr="006C279D">
        <w:rPr>
          <w:rFonts w:cs="Arial"/>
        </w:rPr>
        <w:t>%.</w:t>
      </w:r>
    </w:p>
    <w:p w14:paraId="3954675A" w14:textId="6C082381"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</w:t>
      </w:r>
      <w:r w:rsidR="00870741">
        <w:rPr>
          <w:rFonts w:cs="Arial"/>
        </w:rPr>
        <w:t xml:space="preserve">ilding – </w:t>
      </w:r>
      <w:r w:rsidR="00773751">
        <w:rPr>
          <w:rFonts w:cs="Arial"/>
        </w:rPr>
        <w:t>Lifelong Learning</w:t>
      </w:r>
      <w:r w:rsidR="00870741">
        <w:rPr>
          <w:rFonts w:cs="Arial"/>
        </w:rPr>
        <w:t xml:space="preserve"> has 2</w:t>
      </w:r>
      <w:r w:rsidR="00773751">
        <w:rPr>
          <w:rFonts w:cs="Arial"/>
        </w:rPr>
        <w:t>5</w:t>
      </w:r>
      <w:r>
        <w:rPr>
          <w:rFonts w:cs="Arial"/>
        </w:rPr>
        <w:t xml:space="preserve">%. </w:t>
      </w:r>
    </w:p>
    <w:p w14:paraId="760DC3C7" w14:textId="77777777" w:rsidR="00282FD8" w:rsidRPr="00D12F81" w:rsidRDefault="00282FD8" w:rsidP="00D00BF7">
      <w:pPr>
        <w:jc w:val="both"/>
        <w:rPr>
          <w:rFonts w:cs="Arial"/>
          <w:highlight w:val="yellow"/>
        </w:rPr>
      </w:pPr>
    </w:p>
    <w:p w14:paraId="091CB291" w14:textId="77777777" w:rsidR="00B94DA7" w:rsidRPr="002B2E86" w:rsidRDefault="00B94DA7" w:rsidP="00D00BF7">
      <w:pPr>
        <w:jc w:val="both"/>
        <w:rPr>
          <w:rFonts w:cs="Arial"/>
        </w:rPr>
      </w:pPr>
      <w:r w:rsidRPr="002B2E86">
        <w:rPr>
          <w:rFonts w:cs="Arial"/>
        </w:rPr>
        <w:t xml:space="preserve">For </w:t>
      </w:r>
      <w:r w:rsidRPr="002B2E86">
        <w:rPr>
          <w:rFonts w:cs="Arial"/>
          <w:b/>
        </w:rPr>
        <w:t>outcomes indicator on choice and control</w:t>
      </w:r>
      <w:r w:rsidRPr="002B2E86">
        <w:rPr>
          <w:rFonts w:cs="Arial"/>
        </w:rPr>
        <w:t xml:space="preserve">, </w:t>
      </w:r>
      <w:r w:rsidR="009A78AA" w:rsidRPr="002B2E86">
        <w:rPr>
          <w:rFonts w:cs="Arial"/>
        </w:rPr>
        <w:t xml:space="preserve">the top 10% </w:t>
      </w:r>
      <w:r w:rsidR="00D10A47" w:rsidRPr="002B2E86">
        <w:rPr>
          <w:rFonts w:cs="Arial"/>
        </w:rPr>
        <w:t xml:space="preserve">support categories </w:t>
      </w:r>
      <w:r w:rsidR="009A78AA" w:rsidRPr="002B2E86">
        <w:rPr>
          <w:rFonts w:cs="Arial"/>
        </w:rPr>
        <w:t>are as follows.</w:t>
      </w:r>
    </w:p>
    <w:p w14:paraId="2CFB0F29" w14:textId="77777777" w:rsidR="00381EE6" w:rsidRPr="002B2E86" w:rsidRDefault="00381EE6" w:rsidP="00381E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B2E86">
        <w:rPr>
          <w:rFonts w:cs="Arial"/>
        </w:rPr>
        <w:t>Capacity Building – Home Living</w:t>
      </w:r>
      <w:r w:rsidR="00870741">
        <w:rPr>
          <w:rFonts w:cs="Arial"/>
        </w:rPr>
        <w:t xml:space="preserve"> has an outcomes indicator of 36</w:t>
      </w:r>
      <w:r w:rsidRPr="002B2E86">
        <w:rPr>
          <w:rFonts w:cs="Arial"/>
        </w:rPr>
        <w:t>%.</w:t>
      </w:r>
    </w:p>
    <w:p w14:paraId="3681715C" w14:textId="77777777" w:rsidR="00B94DA7" w:rsidRPr="002B2E86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</w:t>
      </w:r>
      <w:r w:rsidR="00282FD8" w:rsidRPr="002B2E86">
        <w:rPr>
          <w:rFonts w:cs="Arial"/>
        </w:rPr>
        <w:t xml:space="preserve"> – </w:t>
      </w:r>
      <w:r w:rsidR="002B2E86" w:rsidRPr="002B2E86">
        <w:rPr>
          <w:rFonts w:cs="Arial"/>
        </w:rPr>
        <w:t xml:space="preserve">Social and Civic has </w:t>
      </w:r>
      <w:r w:rsidR="00870741">
        <w:rPr>
          <w:rFonts w:cs="Arial"/>
        </w:rPr>
        <w:t>22</w:t>
      </w:r>
      <w:r>
        <w:rPr>
          <w:rFonts w:cs="Arial"/>
        </w:rPr>
        <w:t xml:space="preserve">%. </w:t>
      </w:r>
    </w:p>
    <w:p w14:paraId="1EE6AB9E" w14:textId="77777777" w:rsidR="00BF032E" w:rsidRPr="00343E75" w:rsidRDefault="00BF032E" w:rsidP="00D00BF7">
      <w:pPr>
        <w:jc w:val="both"/>
        <w:rPr>
          <w:rFonts w:cs="Arial"/>
        </w:rPr>
      </w:pPr>
      <w:r w:rsidRPr="00343E75">
        <w:rPr>
          <w:rFonts w:cs="Arial"/>
        </w:rPr>
        <w:t xml:space="preserve">The bottom 10% </w:t>
      </w:r>
      <w:r w:rsidR="00D10A47" w:rsidRPr="00343E75">
        <w:rPr>
          <w:rFonts w:cs="Arial"/>
        </w:rPr>
        <w:t xml:space="preserve">support categories </w:t>
      </w:r>
      <w:r w:rsidRPr="00343E75">
        <w:rPr>
          <w:rFonts w:cs="Arial"/>
        </w:rPr>
        <w:t>are as follows.</w:t>
      </w:r>
    </w:p>
    <w:p w14:paraId="12529408" w14:textId="77777777" w:rsidR="00282FD8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43E75">
        <w:rPr>
          <w:rFonts w:cs="Arial"/>
        </w:rPr>
        <w:t xml:space="preserve">Capacity </w:t>
      </w:r>
      <w:r w:rsidR="00343E75" w:rsidRPr="00343E75">
        <w:rPr>
          <w:rFonts w:cs="Arial"/>
        </w:rPr>
        <w:t xml:space="preserve">Building – </w:t>
      </w:r>
      <w:r w:rsidR="00CE264D">
        <w:rPr>
          <w:rFonts w:cs="Arial"/>
        </w:rPr>
        <w:t>Lifelong Learning has an outcomes indicator 0</w:t>
      </w:r>
      <w:r w:rsidRPr="00343E75">
        <w:rPr>
          <w:rFonts w:cs="Arial"/>
        </w:rPr>
        <w:t>%.</w:t>
      </w:r>
    </w:p>
    <w:p w14:paraId="0505C343" w14:textId="77777777" w:rsidR="00CE264D" w:rsidRPr="00343E75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Relationships has 10%. </w:t>
      </w:r>
    </w:p>
    <w:p w14:paraId="49209856" w14:textId="77777777" w:rsidR="00BF032E" w:rsidRPr="00D12F81" w:rsidRDefault="00BF032E" w:rsidP="00D00BF7">
      <w:pPr>
        <w:jc w:val="both"/>
        <w:rPr>
          <w:rFonts w:cs="Arial"/>
          <w:highlight w:val="yellow"/>
        </w:rPr>
      </w:pPr>
    </w:p>
    <w:p w14:paraId="02810186" w14:textId="77777777" w:rsidR="00B94DA7" w:rsidRPr="00B23DB3" w:rsidRDefault="00B94DA7" w:rsidP="00D00BF7">
      <w:pPr>
        <w:jc w:val="both"/>
        <w:rPr>
          <w:rFonts w:cs="Arial"/>
        </w:rPr>
      </w:pPr>
      <w:r w:rsidRPr="00B23DB3">
        <w:rPr>
          <w:rFonts w:cs="Arial"/>
        </w:rPr>
        <w:t xml:space="preserve">For </w:t>
      </w:r>
      <w:r w:rsidRPr="00B23DB3">
        <w:rPr>
          <w:rFonts w:cs="Arial"/>
          <w:b/>
        </w:rPr>
        <w:t>“</w:t>
      </w:r>
      <w:r w:rsidR="005F5990">
        <w:rPr>
          <w:rFonts w:cs="Arial"/>
          <w:b/>
        </w:rPr>
        <w:t>Has the NDIS helped with choice and control</w:t>
      </w:r>
      <w:r w:rsidRPr="00B23DB3">
        <w:rPr>
          <w:rFonts w:cs="Arial"/>
          <w:b/>
        </w:rPr>
        <w:t>?” indicator</w:t>
      </w:r>
      <w:r w:rsidRPr="00B23DB3">
        <w:rPr>
          <w:rFonts w:cs="Arial"/>
        </w:rPr>
        <w:t xml:space="preserve">, </w:t>
      </w:r>
      <w:r w:rsidR="009A78AA" w:rsidRPr="00B23DB3">
        <w:rPr>
          <w:rFonts w:cs="Arial"/>
        </w:rPr>
        <w:t xml:space="preserve">the top 10% </w:t>
      </w:r>
      <w:r w:rsidR="00D10A47" w:rsidRPr="00B23DB3">
        <w:rPr>
          <w:rFonts w:cs="Arial"/>
        </w:rPr>
        <w:t xml:space="preserve">support categories </w:t>
      </w:r>
      <w:r w:rsidR="009A78AA" w:rsidRPr="00B23DB3">
        <w:rPr>
          <w:rFonts w:cs="Arial"/>
        </w:rPr>
        <w:t>are as follows.</w:t>
      </w:r>
    </w:p>
    <w:p w14:paraId="2A2422D6" w14:textId="0F46F969" w:rsidR="006704D5" w:rsidRPr="00B23DB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="00B23DB3" w:rsidRPr="00B23DB3">
        <w:rPr>
          <w:rFonts w:cs="Arial"/>
        </w:rPr>
        <w:t>Employment</w:t>
      </w:r>
      <w:r w:rsidR="00055BDA" w:rsidRPr="00B23DB3">
        <w:rPr>
          <w:rFonts w:cs="Arial"/>
        </w:rPr>
        <w:t xml:space="preserve"> </w:t>
      </w:r>
      <w:r w:rsidR="00CE264D">
        <w:rPr>
          <w:rFonts w:cs="Arial"/>
        </w:rPr>
        <w:t>has an indicator of 8</w:t>
      </w:r>
      <w:r w:rsidR="00773751">
        <w:rPr>
          <w:rFonts w:cs="Arial"/>
        </w:rPr>
        <w:t>2</w:t>
      </w:r>
      <w:r w:rsidRPr="00B23DB3">
        <w:rPr>
          <w:rFonts w:cs="Arial"/>
        </w:rPr>
        <w:t>%.</w:t>
      </w:r>
    </w:p>
    <w:p w14:paraId="47592537" w14:textId="5BBD5430" w:rsidR="00B94DA7" w:rsidRPr="00B23DB3" w:rsidRDefault="00CE264D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773751">
        <w:rPr>
          <w:rFonts w:cs="Arial"/>
        </w:rPr>
        <w:t>Health and Wellbeing</w:t>
      </w:r>
      <w:r w:rsidR="00870741">
        <w:rPr>
          <w:rFonts w:cs="Arial"/>
        </w:rPr>
        <w:t xml:space="preserve"> has </w:t>
      </w:r>
      <w:r w:rsidR="00773751">
        <w:rPr>
          <w:rFonts w:cs="Arial"/>
        </w:rPr>
        <w:t>8</w:t>
      </w:r>
      <w:r w:rsidR="00870741">
        <w:rPr>
          <w:rFonts w:cs="Arial"/>
        </w:rPr>
        <w:t>0</w:t>
      </w:r>
      <w:r>
        <w:rPr>
          <w:rFonts w:cs="Arial"/>
        </w:rPr>
        <w:t>%</w:t>
      </w:r>
      <w:r w:rsidR="00282FD8" w:rsidRPr="00B23DB3">
        <w:rPr>
          <w:rFonts w:cs="Arial"/>
        </w:rPr>
        <w:t>.</w:t>
      </w:r>
    </w:p>
    <w:p w14:paraId="41F585AC" w14:textId="77777777" w:rsidR="00BF032E" w:rsidRPr="00B23DB3" w:rsidRDefault="00BF032E" w:rsidP="00D00BF7">
      <w:pPr>
        <w:jc w:val="both"/>
        <w:rPr>
          <w:rFonts w:cs="Arial"/>
        </w:rPr>
      </w:pPr>
      <w:r w:rsidRPr="00B23DB3">
        <w:rPr>
          <w:rFonts w:cs="Arial"/>
        </w:rPr>
        <w:t xml:space="preserve">The bottom 10% </w:t>
      </w:r>
      <w:r w:rsidR="00D10A47" w:rsidRPr="00B23DB3">
        <w:rPr>
          <w:rFonts w:cs="Arial"/>
        </w:rPr>
        <w:t xml:space="preserve">support categories </w:t>
      </w:r>
      <w:r w:rsidRPr="00B23DB3">
        <w:rPr>
          <w:rFonts w:cs="Arial"/>
        </w:rPr>
        <w:t>are as follows.</w:t>
      </w:r>
    </w:p>
    <w:p w14:paraId="0315F766" w14:textId="0E03A543" w:rsidR="0076382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="00773751">
        <w:rPr>
          <w:rFonts w:cs="Arial"/>
        </w:rPr>
        <w:t xml:space="preserve">Lifelong </w:t>
      </w:r>
      <w:r w:rsidR="006E1801">
        <w:rPr>
          <w:rFonts w:cs="Arial"/>
        </w:rPr>
        <w:t>L</w:t>
      </w:r>
      <w:r w:rsidR="00773751">
        <w:rPr>
          <w:rFonts w:cs="Arial"/>
        </w:rPr>
        <w:t xml:space="preserve">earning </w:t>
      </w:r>
      <w:r w:rsidRPr="00B23DB3">
        <w:rPr>
          <w:rFonts w:cs="Arial"/>
        </w:rPr>
        <w:t xml:space="preserve">has </w:t>
      </w:r>
      <w:r w:rsidR="006704D5" w:rsidRPr="00B23DB3">
        <w:rPr>
          <w:rFonts w:cs="Arial"/>
        </w:rPr>
        <w:t xml:space="preserve">an indicator of </w:t>
      </w:r>
      <w:r w:rsidR="00773751">
        <w:rPr>
          <w:rFonts w:cs="Arial"/>
        </w:rPr>
        <w:t>50</w:t>
      </w:r>
      <w:r w:rsidRPr="00B23DB3">
        <w:rPr>
          <w:rFonts w:cs="Arial"/>
        </w:rPr>
        <w:t>%.</w:t>
      </w:r>
    </w:p>
    <w:p w14:paraId="7CC0A458" w14:textId="3CE7B842" w:rsidR="006E1801" w:rsidRPr="00B23DB3" w:rsidRDefault="006E180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70741" w:rsidRPr="00870741">
        <w:rPr>
          <w:rFonts w:cs="Arial"/>
        </w:rPr>
        <w:t>Social and Civic</w:t>
      </w:r>
      <w:r w:rsidR="00870741">
        <w:rPr>
          <w:rFonts w:cs="Arial"/>
        </w:rPr>
        <w:t xml:space="preserve"> has 7</w:t>
      </w:r>
      <w:r w:rsidR="00773751">
        <w:rPr>
          <w:rFonts w:cs="Arial"/>
        </w:rPr>
        <w:t>6</w:t>
      </w:r>
      <w:r>
        <w:rPr>
          <w:rFonts w:cs="Arial"/>
        </w:rPr>
        <w:t xml:space="preserve">%. </w:t>
      </w:r>
    </w:p>
    <w:p w14:paraId="056DCF31" w14:textId="77777777" w:rsidR="00BF0755" w:rsidRPr="00D12F81" w:rsidRDefault="00BF0755" w:rsidP="00D00BF7">
      <w:pPr>
        <w:jc w:val="both"/>
        <w:rPr>
          <w:rFonts w:cs="Arial"/>
          <w:highlight w:val="yellow"/>
        </w:rPr>
      </w:pPr>
    </w:p>
    <w:p w14:paraId="60B241B9" w14:textId="77777777" w:rsidR="00BF0755" w:rsidRPr="00B23DB3" w:rsidRDefault="00BF0755" w:rsidP="00D00BF7">
      <w:pPr>
        <w:pStyle w:val="Heading2"/>
      </w:pPr>
      <w:bookmarkStart w:id="7" w:name="_Toc81839930"/>
      <w:r w:rsidRPr="00B23DB3">
        <w:t>Page 2, Table 2: Definitions for the indicators</w:t>
      </w:r>
      <w:bookmarkEnd w:id="7"/>
    </w:p>
    <w:p w14:paraId="31903584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 active participants who have an approved plan and reside in the service district / have supports relating to the support category in their plan.</w:t>
      </w:r>
    </w:p>
    <w:p w14:paraId="0461E498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3A8B5451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Active providers</w:t>
      </w:r>
      <w:r>
        <w:rPr>
          <w:rFonts w:cs="Arial"/>
        </w:rPr>
        <w:t xml:space="preserve"> is defined as the number of providers that received payments for supports provided to participants within the service district / support category, over the exposure period.</w:t>
      </w:r>
    </w:p>
    <w:p w14:paraId="0E2E6AA4" w14:textId="77777777" w:rsidR="009C2504" w:rsidRDefault="009C2504" w:rsidP="009C2504">
      <w:pPr>
        <w:pStyle w:val="ListParagraph"/>
        <w:rPr>
          <w:rFonts w:cs="Arial"/>
        </w:rPr>
      </w:pPr>
    </w:p>
    <w:p w14:paraId="25BDC66F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Participants per provider</w:t>
      </w:r>
      <w:r>
        <w:rPr>
          <w:rFonts w:cs="Arial"/>
        </w:rPr>
        <w:t xml:space="preserve"> is defined as the</w:t>
      </w:r>
      <w:r>
        <w:t xml:space="preserve"> r</w:t>
      </w:r>
      <w:r>
        <w:rPr>
          <w:rFonts w:cs="Arial"/>
        </w:rPr>
        <w:t>atio between the number of active participants and the number of active providers.</w:t>
      </w:r>
    </w:p>
    <w:p w14:paraId="7C725448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491844B1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Provider concentration</w:t>
      </w:r>
      <w:r>
        <w:rPr>
          <w:rFonts w:cs="Arial"/>
        </w:rPr>
        <w:t xml:space="preserve"> is defined as the</w:t>
      </w:r>
      <w:r>
        <w:t xml:space="preserve"> p</w:t>
      </w:r>
      <w:r>
        <w:rPr>
          <w:rFonts w:cs="Arial"/>
        </w:rPr>
        <w:t>roportion of provider payments over the exposure period that were paid to the top 10 providers.</w:t>
      </w:r>
    </w:p>
    <w:p w14:paraId="431021ED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5CF262F4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14:paraId="59CB0D05" w14:textId="77777777" w:rsidR="009C2504" w:rsidRDefault="009C2504" w:rsidP="009C2504">
      <w:pPr>
        <w:pStyle w:val="ListParagraph"/>
        <w:rPr>
          <w:rFonts w:cs="Arial"/>
        </w:rPr>
      </w:pPr>
    </w:p>
    <w:p w14:paraId="5DBF659C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14:paraId="12AA07FD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2001211F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 xml:space="preserve">Total plan budgets </w:t>
      </w:r>
      <w:r>
        <w:rPr>
          <w:rFonts w:cs="Arial"/>
        </w:rPr>
        <w:t>is defined as the value of supports committed in participant plans for the exposure period.</w:t>
      </w:r>
    </w:p>
    <w:p w14:paraId="66605C2E" w14:textId="77777777" w:rsidR="009C2504" w:rsidRDefault="009C2504" w:rsidP="009C2504">
      <w:pPr>
        <w:pStyle w:val="ListParagraph"/>
        <w:rPr>
          <w:rFonts w:cs="Arial"/>
        </w:rPr>
      </w:pPr>
    </w:p>
    <w:p w14:paraId="19BD3A36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Payments</w:t>
      </w:r>
      <w:r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</w:t>
      </w:r>
      <w:proofErr w:type="gramStart"/>
      <w:r>
        <w:rPr>
          <w:rFonts w:cs="Arial"/>
        </w:rPr>
        <w:t>In</w:t>
      </w:r>
      <w:proofErr w:type="gramEnd"/>
      <w:r>
        <w:rPr>
          <w:rFonts w:cs="Arial"/>
        </w:rPr>
        <w:t xml:space="preserve"> Residential Aged Care).</w:t>
      </w:r>
    </w:p>
    <w:p w14:paraId="0B6EF9DE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3B7481BB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Utilisation</w:t>
      </w:r>
      <w:r>
        <w:rPr>
          <w:rFonts w:cs="Arial"/>
        </w:rPr>
        <w:t xml:space="preserve"> is defined as the ratio between payments and total plan budgets.</w:t>
      </w:r>
    </w:p>
    <w:p w14:paraId="7FA1B2BB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79529AEE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>
        <w:t xml:space="preserve"> p</w:t>
      </w:r>
      <w:r>
        <w:rPr>
          <w:rFonts w:cs="Arial"/>
        </w:rPr>
        <w:t>roportion of participants who reported in their most recent outcomes survey that they choose who supports them.</w:t>
      </w:r>
    </w:p>
    <w:p w14:paraId="710E84FC" w14:textId="77777777" w:rsidR="009C2504" w:rsidRDefault="009C2504" w:rsidP="009C2504">
      <w:pPr>
        <w:pStyle w:val="ListParagraph"/>
        <w:spacing w:before="240"/>
        <w:jc w:val="both"/>
        <w:rPr>
          <w:rFonts w:cs="Arial"/>
        </w:rPr>
      </w:pPr>
    </w:p>
    <w:p w14:paraId="5510A05F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  <w:b/>
        </w:rPr>
        <w:t>“Has the NDIS helped with choice and control?”</w:t>
      </w:r>
      <w:r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p w14:paraId="79E53AD8" w14:textId="77777777" w:rsidR="009C2504" w:rsidRDefault="009C2504" w:rsidP="009C2504">
      <w:pPr>
        <w:pStyle w:val="ListParagraph"/>
        <w:spacing w:before="240"/>
        <w:rPr>
          <w:rFonts w:cs="Arial"/>
        </w:rPr>
      </w:pPr>
    </w:p>
    <w:p w14:paraId="6A0F649B" w14:textId="77777777" w:rsidR="009C2504" w:rsidRDefault="009C2504" w:rsidP="009C2504">
      <w:pPr>
        <w:pStyle w:val="ListParagraph"/>
        <w:numPr>
          <w:ilvl w:val="0"/>
          <w:numId w:val="17"/>
        </w:numPr>
        <w:spacing w:before="240" w:line="254" w:lineRule="auto"/>
        <w:jc w:val="both"/>
        <w:rPr>
          <w:rFonts w:cs="Arial"/>
        </w:rPr>
      </w:pPr>
      <w:r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p w14:paraId="6B937D20" w14:textId="77777777" w:rsidR="00070B03" w:rsidRPr="009C2504" w:rsidRDefault="00070B03" w:rsidP="009C2504">
      <w:pPr>
        <w:ind w:left="360"/>
        <w:jc w:val="both"/>
        <w:rPr>
          <w:rFonts w:cs="Arial"/>
        </w:rPr>
      </w:pPr>
    </w:p>
    <w:sectPr w:rsidR="00070B03" w:rsidRPr="009C2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2078"/>
    <w:multiLevelType w:val="hybridMultilevel"/>
    <w:tmpl w:val="85884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153D9"/>
    <w:rsid w:val="000301E5"/>
    <w:rsid w:val="00055BDA"/>
    <w:rsid w:val="00070B03"/>
    <w:rsid w:val="00076EDF"/>
    <w:rsid w:val="00127061"/>
    <w:rsid w:val="0013152A"/>
    <w:rsid w:val="00133B0E"/>
    <w:rsid w:val="001427D0"/>
    <w:rsid w:val="0015533B"/>
    <w:rsid w:val="00160B17"/>
    <w:rsid w:val="0017743D"/>
    <w:rsid w:val="001A5B1A"/>
    <w:rsid w:val="001D20D4"/>
    <w:rsid w:val="001D682B"/>
    <w:rsid w:val="001F7986"/>
    <w:rsid w:val="00205322"/>
    <w:rsid w:val="00205B30"/>
    <w:rsid w:val="002340FA"/>
    <w:rsid w:val="00281F13"/>
    <w:rsid w:val="00282FD8"/>
    <w:rsid w:val="002B2E86"/>
    <w:rsid w:val="00311D93"/>
    <w:rsid w:val="00330CEF"/>
    <w:rsid w:val="00343E75"/>
    <w:rsid w:val="00350787"/>
    <w:rsid w:val="00360C1E"/>
    <w:rsid w:val="00376465"/>
    <w:rsid w:val="00381EE6"/>
    <w:rsid w:val="003853B1"/>
    <w:rsid w:val="003913E0"/>
    <w:rsid w:val="00396BE6"/>
    <w:rsid w:val="003B406C"/>
    <w:rsid w:val="003C1EE2"/>
    <w:rsid w:val="003C6D8E"/>
    <w:rsid w:val="003D7B16"/>
    <w:rsid w:val="003E090C"/>
    <w:rsid w:val="003F2BAC"/>
    <w:rsid w:val="00430D4D"/>
    <w:rsid w:val="004367CF"/>
    <w:rsid w:val="00451FF6"/>
    <w:rsid w:val="00475003"/>
    <w:rsid w:val="00476601"/>
    <w:rsid w:val="004827EA"/>
    <w:rsid w:val="00491C44"/>
    <w:rsid w:val="004E6A20"/>
    <w:rsid w:val="00504A6B"/>
    <w:rsid w:val="00530C08"/>
    <w:rsid w:val="00560B99"/>
    <w:rsid w:val="00562D17"/>
    <w:rsid w:val="00584CDB"/>
    <w:rsid w:val="005917B8"/>
    <w:rsid w:val="005A0F26"/>
    <w:rsid w:val="005C01C1"/>
    <w:rsid w:val="005C38F1"/>
    <w:rsid w:val="005F5085"/>
    <w:rsid w:val="005F5990"/>
    <w:rsid w:val="00613343"/>
    <w:rsid w:val="006371B6"/>
    <w:rsid w:val="00637F72"/>
    <w:rsid w:val="00660C99"/>
    <w:rsid w:val="006704D5"/>
    <w:rsid w:val="00674AA7"/>
    <w:rsid w:val="006A7787"/>
    <w:rsid w:val="006C279D"/>
    <w:rsid w:val="006E1801"/>
    <w:rsid w:val="00716B7A"/>
    <w:rsid w:val="00721ED1"/>
    <w:rsid w:val="007242A6"/>
    <w:rsid w:val="00760053"/>
    <w:rsid w:val="00763823"/>
    <w:rsid w:val="00773751"/>
    <w:rsid w:val="00776C56"/>
    <w:rsid w:val="0079420A"/>
    <w:rsid w:val="007F052D"/>
    <w:rsid w:val="008067E7"/>
    <w:rsid w:val="00832799"/>
    <w:rsid w:val="00837194"/>
    <w:rsid w:val="00862FC1"/>
    <w:rsid w:val="00865BC7"/>
    <w:rsid w:val="00870741"/>
    <w:rsid w:val="00870B30"/>
    <w:rsid w:val="00892194"/>
    <w:rsid w:val="00895B7D"/>
    <w:rsid w:val="008B6BEB"/>
    <w:rsid w:val="008D1A47"/>
    <w:rsid w:val="008D1DBD"/>
    <w:rsid w:val="008D4CA8"/>
    <w:rsid w:val="008E2FD7"/>
    <w:rsid w:val="00927D99"/>
    <w:rsid w:val="009300E8"/>
    <w:rsid w:val="00937A74"/>
    <w:rsid w:val="00946467"/>
    <w:rsid w:val="009625EF"/>
    <w:rsid w:val="00995758"/>
    <w:rsid w:val="009A78AA"/>
    <w:rsid w:val="009B45AC"/>
    <w:rsid w:val="009C2504"/>
    <w:rsid w:val="009E1CE8"/>
    <w:rsid w:val="00A10ABF"/>
    <w:rsid w:val="00A257ED"/>
    <w:rsid w:val="00A31EE8"/>
    <w:rsid w:val="00A3360F"/>
    <w:rsid w:val="00A436BB"/>
    <w:rsid w:val="00A640AE"/>
    <w:rsid w:val="00A65372"/>
    <w:rsid w:val="00A739C7"/>
    <w:rsid w:val="00A7459B"/>
    <w:rsid w:val="00AA09C4"/>
    <w:rsid w:val="00AA3B71"/>
    <w:rsid w:val="00AA583E"/>
    <w:rsid w:val="00AA5E86"/>
    <w:rsid w:val="00AF6078"/>
    <w:rsid w:val="00B23D81"/>
    <w:rsid w:val="00B23DB3"/>
    <w:rsid w:val="00B41A44"/>
    <w:rsid w:val="00B45A45"/>
    <w:rsid w:val="00B51D40"/>
    <w:rsid w:val="00B5645C"/>
    <w:rsid w:val="00B6363C"/>
    <w:rsid w:val="00B94DA7"/>
    <w:rsid w:val="00BF032E"/>
    <w:rsid w:val="00BF0755"/>
    <w:rsid w:val="00BF3B0A"/>
    <w:rsid w:val="00BF5B88"/>
    <w:rsid w:val="00C17FD9"/>
    <w:rsid w:val="00C375F7"/>
    <w:rsid w:val="00C74709"/>
    <w:rsid w:val="00CA0562"/>
    <w:rsid w:val="00CA1F54"/>
    <w:rsid w:val="00CA58B8"/>
    <w:rsid w:val="00CC2A2A"/>
    <w:rsid w:val="00CC53C4"/>
    <w:rsid w:val="00CC5DA6"/>
    <w:rsid w:val="00CD47E6"/>
    <w:rsid w:val="00CE264D"/>
    <w:rsid w:val="00D00BF7"/>
    <w:rsid w:val="00D06537"/>
    <w:rsid w:val="00D10A47"/>
    <w:rsid w:val="00D12F81"/>
    <w:rsid w:val="00D374C4"/>
    <w:rsid w:val="00D554F3"/>
    <w:rsid w:val="00D75CCE"/>
    <w:rsid w:val="00D85088"/>
    <w:rsid w:val="00DE2A20"/>
    <w:rsid w:val="00E8581E"/>
    <w:rsid w:val="00EC78B5"/>
    <w:rsid w:val="00EE28E1"/>
    <w:rsid w:val="00F1296A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EEB5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73751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2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4C40-E2B3-4B76-B94E-A447B182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8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Sandercock, Benjamin</dc:creator>
  <cp:keywords/>
  <dc:description/>
  <cp:lastModifiedBy>Steyn, Karin</cp:lastModifiedBy>
  <cp:revision>65</cp:revision>
  <dcterms:created xsi:type="dcterms:W3CDTF">2019-09-16T02:25:00Z</dcterms:created>
  <dcterms:modified xsi:type="dcterms:W3CDTF">2021-10-06T23:13:00Z</dcterms:modified>
</cp:coreProperties>
</file>