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89BCC" w14:textId="3E6CFB7F" w:rsidR="00FA334F" w:rsidRPr="00DF2F62" w:rsidRDefault="00C65328" w:rsidP="00AE61B4">
      <w:pPr>
        <w:pStyle w:val="Heading1"/>
      </w:pPr>
      <w:bookmarkStart w:id="0" w:name="_Toc79684601"/>
      <w:bookmarkStart w:id="1" w:name="_Toc79581634"/>
      <w:bookmarkStart w:id="2" w:name="_Toc79750269"/>
      <w:bookmarkStart w:id="3" w:name="_Toc79760924"/>
      <w:bookmarkStart w:id="4" w:name="_Toc80283595"/>
      <w:bookmarkStart w:id="5" w:name="_Toc80624485"/>
      <w:bookmarkStart w:id="6" w:name="_Toc80789373"/>
      <w:bookmarkStart w:id="7" w:name="_Toc80790322"/>
      <w:bookmarkStart w:id="8" w:name="_Toc83191580"/>
      <w:bookmarkStart w:id="9" w:name="_Toc83193282"/>
      <w:r w:rsidRPr="00DF2F62">
        <w:t xml:space="preserve">NDIS </w:t>
      </w:r>
      <w:r w:rsidR="00395FE0" w:rsidRPr="00DF2F62">
        <w:t>s</w:t>
      </w:r>
      <w:r w:rsidR="00733FC6" w:rsidRPr="00DF2F62">
        <w:t xml:space="preserve">pecialist </w:t>
      </w:r>
      <w:r w:rsidR="00395FE0" w:rsidRPr="00DF2F62">
        <w:t>d</w:t>
      </w:r>
      <w:r w:rsidR="00733FC6" w:rsidRPr="00DF2F62">
        <w:t xml:space="preserve">isability </w:t>
      </w:r>
      <w:r w:rsidR="00395FE0" w:rsidRPr="00DF2F62">
        <w:t>a</w:t>
      </w:r>
      <w:r w:rsidR="00C97703">
        <w:t>ccommodation</w:t>
      </w:r>
      <w:r w:rsidR="00C97703">
        <w:br/>
      </w:r>
      <w:r w:rsidR="00395FE0" w:rsidRPr="00DF2F62">
        <w:t>2020-21</w:t>
      </w:r>
      <w:r w:rsidR="007A5A80" w:rsidRPr="00DF2F62">
        <w:t xml:space="preserve"> </w:t>
      </w:r>
      <w:r w:rsidR="00C97703">
        <w:t>quarter 4</w:t>
      </w:r>
      <w:r w:rsidR="00733FC6" w:rsidRPr="00DF2F62">
        <w:t xml:space="preserve"> </w:t>
      </w:r>
      <w:bookmarkEnd w:id="0"/>
      <w:r w:rsidR="00395FE0" w:rsidRPr="00DF2F62">
        <w:t>r</w:t>
      </w:r>
      <w:r w:rsidR="00733FC6" w:rsidRPr="00DF2F62">
        <w:t>eport</w:t>
      </w:r>
      <w:bookmarkEnd w:id="1"/>
      <w:bookmarkEnd w:id="2"/>
      <w:bookmarkEnd w:id="3"/>
      <w:bookmarkEnd w:id="4"/>
      <w:bookmarkEnd w:id="5"/>
      <w:bookmarkEnd w:id="6"/>
      <w:bookmarkEnd w:id="7"/>
      <w:bookmarkEnd w:id="8"/>
      <w:bookmarkEnd w:id="9"/>
    </w:p>
    <w:p w14:paraId="768DA8BD" w14:textId="75F08145" w:rsidR="00FA334F" w:rsidRPr="00DF2F62" w:rsidRDefault="001665A1" w:rsidP="00FA334F">
      <w:pPr>
        <w:pStyle w:val="Versionanddate"/>
        <w:spacing w:after="720"/>
        <w:rPr>
          <w:rStyle w:val="WebsiteChar"/>
        </w:rPr>
      </w:pPr>
      <w:r w:rsidRPr="00DF2F62">
        <w:rPr>
          <w:rFonts w:cs="Arial"/>
          <w:b/>
        </w:rPr>
        <w:br/>
      </w:r>
      <w:r w:rsidRPr="00DF2F62">
        <w:rPr>
          <w:rStyle w:val="WebsiteChar"/>
        </w:rPr>
        <w:t>ndis.gov.au</w:t>
      </w:r>
    </w:p>
    <w:p w14:paraId="338F4D60" w14:textId="77777777" w:rsidR="00AB4CC5" w:rsidRPr="00DF2F62" w:rsidRDefault="00FA334F" w:rsidP="007219F1">
      <w:r w:rsidRPr="00DF2F62">
        <w:rPr>
          <w:noProof/>
          <w:lang w:eastAsia="en-AU"/>
        </w:rPr>
        <w:drawing>
          <wp:inline distT="0" distB="0" distL="0" distR="0" wp14:anchorId="7D556172" wp14:editId="4F885577">
            <wp:extent cx="969645" cy="508729"/>
            <wp:effectExtent l="0" t="0" r="1905" b="5715"/>
            <wp:docPr id="4" name="Picture 4" descr="NDIS logo" title="NDIS logo">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Asset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9645" cy="508729"/>
                    </a:xfrm>
                    <a:prstGeom prst="rect">
                      <a:avLst/>
                    </a:prstGeom>
                  </pic:spPr>
                </pic:pic>
              </a:graphicData>
            </a:graphic>
          </wp:inline>
        </w:drawing>
      </w:r>
    </w:p>
    <w:p w14:paraId="1B983950" w14:textId="269C1A58" w:rsidR="007219F1" w:rsidRPr="00DF2F62" w:rsidRDefault="00AB4CC5" w:rsidP="00AB4CC5">
      <w:pPr>
        <w:pStyle w:val="Securitymarker"/>
        <w:rPr>
          <w:sz w:val="22"/>
        </w:rPr>
      </w:pPr>
      <w:r w:rsidRPr="00DF2F62">
        <w:rPr>
          <w:color w:val="FF0000"/>
        </w:rPr>
        <w:br/>
      </w:r>
      <w:r w:rsidR="007219F1" w:rsidRPr="00DF2F62">
        <w:br w:type="page"/>
      </w:r>
    </w:p>
    <w:p w14:paraId="6ADC4E4F" w14:textId="77777777" w:rsidR="00561208" w:rsidRDefault="007219F1" w:rsidP="00C97703">
      <w:pPr>
        <w:pStyle w:val="Heading2"/>
        <w:numPr>
          <w:ilvl w:val="0"/>
          <w:numId w:val="0"/>
        </w:numPr>
        <w:ind w:left="720" w:hanging="720"/>
        <w:rPr>
          <w:noProof/>
        </w:rPr>
      </w:pPr>
      <w:bookmarkStart w:id="10" w:name="_Toc79581635"/>
      <w:bookmarkStart w:id="11" w:name="_Toc79750270"/>
      <w:bookmarkStart w:id="12" w:name="_Toc79684602"/>
      <w:bookmarkStart w:id="13" w:name="_Toc79760925"/>
      <w:bookmarkStart w:id="14" w:name="_Toc80283596"/>
      <w:bookmarkStart w:id="15" w:name="_Toc80624486"/>
      <w:bookmarkStart w:id="16" w:name="_Toc80789374"/>
      <w:bookmarkStart w:id="17" w:name="_Toc80790323"/>
      <w:bookmarkStart w:id="18" w:name="_Toc83191581"/>
      <w:bookmarkStart w:id="19" w:name="_Toc83193283"/>
      <w:r w:rsidRPr="00DF2F62">
        <w:lastRenderedPageBreak/>
        <w:t>Contents</w:t>
      </w:r>
      <w:bookmarkEnd w:id="10"/>
      <w:bookmarkEnd w:id="11"/>
      <w:bookmarkEnd w:id="12"/>
      <w:bookmarkEnd w:id="13"/>
      <w:bookmarkEnd w:id="14"/>
      <w:bookmarkEnd w:id="15"/>
      <w:bookmarkEnd w:id="16"/>
      <w:bookmarkEnd w:id="17"/>
      <w:bookmarkEnd w:id="18"/>
      <w:bookmarkEnd w:id="19"/>
      <w:r w:rsidR="0040062A" w:rsidRPr="00DF2F62">
        <w:fldChar w:fldCharType="begin"/>
      </w:r>
      <w:r w:rsidR="0040062A" w:rsidRPr="00DF2F62">
        <w:instrText xml:space="preserve"> TOC \o "1-5" \h \z \u </w:instrText>
      </w:r>
      <w:r w:rsidR="0040062A" w:rsidRPr="00DF2F62">
        <w:fldChar w:fldCharType="separate"/>
      </w:r>
    </w:p>
    <w:p w14:paraId="5B8C2991" w14:textId="2E32BD26" w:rsidR="00561208" w:rsidRDefault="00945E94">
      <w:pPr>
        <w:pStyle w:val="TOC2"/>
        <w:rPr>
          <w:rFonts w:asciiTheme="minorHAnsi" w:hAnsiTheme="minorHAnsi"/>
          <w:noProof/>
          <w:szCs w:val="22"/>
          <w:lang w:eastAsia="en-AU"/>
        </w:rPr>
      </w:pPr>
      <w:hyperlink w:anchor="_Toc83193284" w:history="1">
        <w:r w:rsidR="00561208" w:rsidRPr="00632356">
          <w:rPr>
            <w:rStyle w:val="Hyperlink"/>
            <w:noProof/>
          </w:rPr>
          <w:t>1.</w:t>
        </w:r>
        <w:r w:rsidR="00561208">
          <w:rPr>
            <w:rFonts w:asciiTheme="minorHAnsi" w:hAnsiTheme="minorHAnsi"/>
            <w:noProof/>
            <w:szCs w:val="22"/>
            <w:lang w:eastAsia="en-AU"/>
          </w:rPr>
          <w:tab/>
        </w:r>
        <w:r w:rsidR="00561208" w:rsidRPr="00632356">
          <w:rPr>
            <w:rStyle w:val="Hyperlink"/>
            <w:noProof/>
          </w:rPr>
          <w:t>Introduction to data released by the NDIA</w:t>
        </w:r>
        <w:r w:rsidR="00561208">
          <w:rPr>
            <w:noProof/>
            <w:webHidden/>
          </w:rPr>
          <w:tab/>
        </w:r>
        <w:r w:rsidR="00561208">
          <w:rPr>
            <w:noProof/>
            <w:webHidden/>
          </w:rPr>
          <w:fldChar w:fldCharType="begin"/>
        </w:r>
        <w:r w:rsidR="00561208">
          <w:rPr>
            <w:noProof/>
            <w:webHidden/>
          </w:rPr>
          <w:instrText xml:space="preserve"> PAGEREF _Toc83193284 \h </w:instrText>
        </w:r>
        <w:r w:rsidR="00561208">
          <w:rPr>
            <w:noProof/>
            <w:webHidden/>
          </w:rPr>
        </w:r>
        <w:r w:rsidR="00561208">
          <w:rPr>
            <w:noProof/>
            <w:webHidden/>
          </w:rPr>
          <w:fldChar w:fldCharType="separate"/>
        </w:r>
        <w:r>
          <w:rPr>
            <w:noProof/>
            <w:webHidden/>
          </w:rPr>
          <w:t>3</w:t>
        </w:r>
        <w:r w:rsidR="00561208">
          <w:rPr>
            <w:noProof/>
            <w:webHidden/>
          </w:rPr>
          <w:fldChar w:fldCharType="end"/>
        </w:r>
      </w:hyperlink>
    </w:p>
    <w:p w14:paraId="2B23898D" w14:textId="6DE500E2" w:rsidR="00561208" w:rsidRDefault="00945E94">
      <w:pPr>
        <w:pStyle w:val="TOC3"/>
        <w:rPr>
          <w:rFonts w:asciiTheme="minorHAnsi" w:hAnsiTheme="minorHAnsi"/>
          <w:noProof/>
          <w:szCs w:val="22"/>
          <w:lang w:eastAsia="en-AU"/>
        </w:rPr>
      </w:pPr>
      <w:hyperlink w:anchor="_Toc83193285" w:history="1">
        <w:r w:rsidR="00561208" w:rsidRPr="00632356">
          <w:rPr>
            <w:rStyle w:val="Hyperlink"/>
            <w:noProof/>
          </w:rPr>
          <w:t>1.1</w:t>
        </w:r>
        <w:r w:rsidR="00561208">
          <w:rPr>
            <w:rFonts w:asciiTheme="minorHAnsi" w:hAnsiTheme="minorHAnsi"/>
            <w:noProof/>
            <w:szCs w:val="22"/>
            <w:lang w:eastAsia="en-AU"/>
          </w:rPr>
          <w:tab/>
        </w:r>
        <w:r w:rsidR="00561208" w:rsidRPr="00632356">
          <w:rPr>
            <w:rStyle w:val="Hyperlink"/>
            <w:noProof/>
          </w:rPr>
          <w:t>Ho</w:t>
        </w:r>
        <w:bookmarkStart w:id="20" w:name="_GoBack"/>
        <w:bookmarkEnd w:id="20"/>
        <w:r w:rsidR="00561208" w:rsidRPr="00632356">
          <w:rPr>
            <w:rStyle w:val="Hyperlink"/>
            <w:noProof/>
          </w:rPr>
          <w:t>w to use this report</w:t>
        </w:r>
        <w:r w:rsidR="00561208">
          <w:rPr>
            <w:noProof/>
            <w:webHidden/>
          </w:rPr>
          <w:tab/>
        </w:r>
        <w:r w:rsidR="00561208">
          <w:rPr>
            <w:noProof/>
            <w:webHidden/>
          </w:rPr>
          <w:fldChar w:fldCharType="begin"/>
        </w:r>
        <w:r w:rsidR="00561208">
          <w:rPr>
            <w:noProof/>
            <w:webHidden/>
          </w:rPr>
          <w:instrText xml:space="preserve"> PAGEREF _Toc83193285 \h </w:instrText>
        </w:r>
        <w:r w:rsidR="00561208">
          <w:rPr>
            <w:noProof/>
            <w:webHidden/>
          </w:rPr>
        </w:r>
        <w:r w:rsidR="00561208">
          <w:rPr>
            <w:noProof/>
            <w:webHidden/>
          </w:rPr>
          <w:fldChar w:fldCharType="separate"/>
        </w:r>
        <w:r>
          <w:rPr>
            <w:noProof/>
            <w:webHidden/>
          </w:rPr>
          <w:t>3</w:t>
        </w:r>
        <w:r w:rsidR="00561208">
          <w:rPr>
            <w:noProof/>
            <w:webHidden/>
          </w:rPr>
          <w:fldChar w:fldCharType="end"/>
        </w:r>
      </w:hyperlink>
    </w:p>
    <w:p w14:paraId="0D60B2F4" w14:textId="515F45E3" w:rsidR="00561208" w:rsidRDefault="00945E94">
      <w:pPr>
        <w:pStyle w:val="TOC3"/>
        <w:rPr>
          <w:rFonts w:asciiTheme="minorHAnsi" w:hAnsiTheme="minorHAnsi"/>
          <w:noProof/>
          <w:szCs w:val="22"/>
          <w:lang w:eastAsia="en-AU"/>
        </w:rPr>
      </w:pPr>
      <w:hyperlink w:anchor="_Toc83193286" w:history="1">
        <w:r w:rsidR="00561208" w:rsidRPr="00632356">
          <w:rPr>
            <w:rStyle w:val="Hyperlink"/>
            <w:noProof/>
          </w:rPr>
          <w:t>1.2</w:t>
        </w:r>
        <w:r w:rsidR="00561208">
          <w:rPr>
            <w:rFonts w:asciiTheme="minorHAnsi" w:hAnsiTheme="minorHAnsi"/>
            <w:noProof/>
            <w:szCs w:val="22"/>
            <w:lang w:eastAsia="en-AU"/>
          </w:rPr>
          <w:tab/>
        </w:r>
        <w:r w:rsidR="00561208" w:rsidRPr="00632356">
          <w:rPr>
            <w:rStyle w:val="Hyperlink"/>
            <w:noProof/>
          </w:rPr>
          <w:t>Commonly used terms</w:t>
        </w:r>
        <w:r w:rsidR="00561208">
          <w:rPr>
            <w:noProof/>
            <w:webHidden/>
          </w:rPr>
          <w:tab/>
        </w:r>
        <w:r w:rsidR="00561208">
          <w:rPr>
            <w:noProof/>
            <w:webHidden/>
          </w:rPr>
          <w:fldChar w:fldCharType="begin"/>
        </w:r>
        <w:r w:rsidR="00561208">
          <w:rPr>
            <w:noProof/>
            <w:webHidden/>
          </w:rPr>
          <w:instrText xml:space="preserve"> PAGEREF _Toc83193286 \h </w:instrText>
        </w:r>
        <w:r w:rsidR="00561208">
          <w:rPr>
            <w:noProof/>
            <w:webHidden/>
          </w:rPr>
        </w:r>
        <w:r w:rsidR="00561208">
          <w:rPr>
            <w:noProof/>
            <w:webHidden/>
          </w:rPr>
          <w:fldChar w:fldCharType="separate"/>
        </w:r>
        <w:r>
          <w:rPr>
            <w:noProof/>
            <w:webHidden/>
          </w:rPr>
          <w:t>4</w:t>
        </w:r>
        <w:r w:rsidR="00561208">
          <w:rPr>
            <w:noProof/>
            <w:webHidden/>
          </w:rPr>
          <w:fldChar w:fldCharType="end"/>
        </w:r>
      </w:hyperlink>
    </w:p>
    <w:p w14:paraId="51BDEE1E" w14:textId="334F519D" w:rsidR="00561208" w:rsidRDefault="00945E94">
      <w:pPr>
        <w:pStyle w:val="TOC2"/>
        <w:rPr>
          <w:rFonts w:asciiTheme="minorHAnsi" w:hAnsiTheme="minorHAnsi"/>
          <w:noProof/>
          <w:szCs w:val="22"/>
          <w:lang w:eastAsia="en-AU"/>
        </w:rPr>
      </w:pPr>
      <w:hyperlink w:anchor="_Toc83193287" w:history="1">
        <w:r w:rsidR="00561208" w:rsidRPr="00632356">
          <w:rPr>
            <w:rStyle w:val="Hyperlink"/>
            <w:noProof/>
          </w:rPr>
          <w:t>2.</w:t>
        </w:r>
        <w:r w:rsidR="00561208">
          <w:rPr>
            <w:rFonts w:asciiTheme="minorHAnsi" w:hAnsiTheme="minorHAnsi"/>
            <w:noProof/>
            <w:szCs w:val="22"/>
            <w:lang w:eastAsia="en-AU"/>
          </w:rPr>
          <w:tab/>
        </w:r>
        <w:r w:rsidR="00561208" w:rsidRPr="00632356">
          <w:rPr>
            <w:rStyle w:val="Hyperlink"/>
            <w:noProof/>
          </w:rPr>
          <w:t>SDA supply market overview</w:t>
        </w:r>
        <w:r w:rsidR="00561208">
          <w:rPr>
            <w:noProof/>
            <w:webHidden/>
          </w:rPr>
          <w:tab/>
        </w:r>
        <w:r w:rsidR="00561208">
          <w:rPr>
            <w:noProof/>
            <w:webHidden/>
          </w:rPr>
          <w:fldChar w:fldCharType="begin"/>
        </w:r>
        <w:r w:rsidR="00561208">
          <w:rPr>
            <w:noProof/>
            <w:webHidden/>
          </w:rPr>
          <w:instrText xml:space="preserve"> PAGEREF _Toc83193287 \h </w:instrText>
        </w:r>
        <w:r w:rsidR="00561208">
          <w:rPr>
            <w:noProof/>
            <w:webHidden/>
          </w:rPr>
        </w:r>
        <w:r w:rsidR="00561208">
          <w:rPr>
            <w:noProof/>
            <w:webHidden/>
          </w:rPr>
          <w:fldChar w:fldCharType="separate"/>
        </w:r>
        <w:r>
          <w:rPr>
            <w:noProof/>
            <w:webHidden/>
          </w:rPr>
          <w:t>5</w:t>
        </w:r>
        <w:r w:rsidR="00561208">
          <w:rPr>
            <w:noProof/>
            <w:webHidden/>
          </w:rPr>
          <w:fldChar w:fldCharType="end"/>
        </w:r>
      </w:hyperlink>
    </w:p>
    <w:p w14:paraId="7E64C691" w14:textId="6709B132" w:rsidR="00561208" w:rsidRDefault="00945E94">
      <w:pPr>
        <w:pStyle w:val="TOC3"/>
        <w:rPr>
          <w:rFonts w:asciiTheme="minorHAnsi" w:hAnsiTheme="minorHAnsi"/>
          <w:noProof/>
          <w:szCs w:val="22"/>
          <w:lang w:eastAsia="en-AU"/>
        </w:rPr>
      </w:pPr>
      <w:hyperlink w:anchor="_Toc83193288" w:history="1">
        <w:r w:rsidR="00561208" w:rsidRPr="00632356">
          <w:rPr>
            <w:rStyle w:val="Hyperlink"/>
            <w:noProof/>
          </w:rPr>
          <w:t>2.1</w:t>
        </w:r>
        <w:r w:rsidR="00561208">
          <w:rPr>
            <w:rFonts w:asciiTheme="minorHAnsi" w:hAnsiTheme="minorHAnsi"/>
            <w:noProof/>
            <w:szCs w:val="22"/>
            <w:lang w:eastAsia="en-AU"/>
          </w:rPr>
          <w:tab/>
        </w:r>
        <w:r w:rsidR="00561208" w:rsidRPr="00632356">
          <w:rPr>
            <w:rStyle w:val="Hyperlink"/>
            <w:noProof/>
          </w:rPr>
          <w:t>Dwelling enrolments</w:t>
        </w:r>
        <w:r w:rsidR="00561208">
          <w:rPr>
            <w:noProof/>
            <w:webHidden/>
          </w:rPr>
          <w:tab/>
        </w:r>
        <w:r w:rsidR="00561208">
          <w:rPr>
            <w:noProof/>
            <w:webHidden/>
          </w:rPr>
          <w:fldChar w:fldCharType="begin"/>
        </w:r>
        <w:r w:rsidR="00561208">
          <w:rPr>
            <w:noProof/>
            <w:webHidden/>
          </w:rPr>
          <w:instrText xml:space="preserve"> PAGEREF _Toc83193288 \h </w:instrText>
        </w:r>
        <w:r w:rsidR="00561208">
          <w:rPr>
            <w:noProof/>
            <w:webHidden/>
          </w:rPr>
        </w:r>
        <w:r w:rsidR="00561208">
          <w:rPr>
            <w:noProof/>
            <w:webHidden/>
          </w:rPr>
          <w:fldChar w:fldCharType="separate"/>
        </w:r>
        <w:r>
          <w:rPr>
            <w:noProof/>
            <w:webHidden/>
          </w:rPr>
          <w:t>5</w:t>
        </w:r>
        <w:r w:rsidR="00561208">
          <w:rPr>
            <w:noProof/>
            <w:webHidden/>
          </w:rPr>
          <w:fldChar w:fldCharType="end"/>
        </w:r>
      </w:hyperlink>
    </w:p>
    <w:p w14:paraId="7B22A86D" w14:textId="2DDAE7E4" w:rsidR="00561208" w:rsidRDefault="00945E94">
      <w:pPr>
        <w:pStyle w:val="TOC3"/>
        <w:rPr>
          <w:rFonts w:asciiTheme="minorHAnsi" w:hAnsiTheme="minorHAnsi"/>
          <w:noProof/>
          <w:szCs w:val="22"/>
          <w:lang w:eastAsia="en-AU"/>
        </w:rPr>
      </w:pPr>
      <w:hyperlink w:anchor="_Toc83193289" w:history="1">
        <w:r w:rsidR="00561208" w:rsidRPr="00632356">
          <w:rPr>
            <w:rStyle w:val="Hyperlink"/>
            <w:noProof/>
          </w:rPr>
          <w:t>2.2</w:t>
        </w:r>
        <w:r w:rsidR="00561208">
          <w:rPr>
            <w:rFonts w:asciiTheme="minorHAnsi" w:hAnsiTheme="minorHAnsi"/>
            <w:noProof/>
            <w:szCs w:val="22"/>
            <w:lang w:eastAsia="en-AU"/>
          </w:rPr>
          <w:tab/>
        </w:r>
        <w:r w:rsidR="00561208" w:rsidRPr="00632356">
          <w:rPr>
            <w:rStyle w:val="Hyperlink"/>
            <w:noProof/>
          </w:rPr>
          <w:t>Dwellings by design category</w:t>
        </w:r>
        <w:r w:rsidR="00561208">
          <w:rPr>
            <w:noProof/>
            <w:webHidden/>
          </w:rPr>
          <w:tab/>
        </w:r>
        <w:r w:rsidR="00561208">
          <w:rPr>
            <w:noProof/>
            <w:webHidden/>
          </w:rPr>
          <w:fldChar w:fldCharType="begin"/>
        </w:r>
        <w:r w:rsidR="00561208">
          <w:rPr>
            <w:noProof/>
            <w:webHidden/>
          </w:rPr>
          <w:instrText xml:space="preserve"> PAGEREF _Toc83193289 \h </w:instrText>
        </w:r>
        <w:r w:rsidR="00561208">
          <w:rPr>
            <w:noProof/>
            <w:webHidden/>
          </w:rPr>
        </w:r>
        <w:r w:rsidR="00561208">
          <w:rPr>
            <w:noProof/>
            <w:webHidden/>
          </w:rPr>
          <w:fldChar w:fldCharType="separate"/>
        </w:r>
        <w:r>
          <w:rPr>
            <w:noProof/>
            <w:webHidden/>
          </w:rPr>
          <w:t>6</w:t>
        </w:r>
        <w:r w:rsidR="00561208">
          <w:rPr>
            <w:noProof/>
            <w:webHidden/>
          </w:rPr>
          <w:fldChar w:fldCharType="end"/>
        </w:r>
      </w:hyperlink>
    </w:p>
    <w:p w14:paraId="7BA45242" w14:textId="2BB8D52B" w:rsidR="00561208" w:rsidRDefault="00945E94">
      <w:pPr>
        <w:pStyle w:val="TOC3"/>
        <w:rPr>
          <w:rFonts w:asciiTheme="minorHAnsi" w:hAnsiTheme="minorHAnsi"/>
          <w:noProof/>
          <w:szCs w:val="22"/>
          <w:lang w:eastAsia="en-AU"/>
        </w:rPr>
      </w:pPr>
      <w:hyperlink w:anchor="_Toc83193290" w:history="1">
        <w:r w:rsidR="00561208" w:rsidRPr="00632356">
          <w:rPr>
            <w:rStyle w:val="Hyperlink"/>
            <w:noProof/>
          </w:rPr>
          <w:t>2.3</w:t>
        </w:r>
        <w:r w:rsidR="00561208">
          <w:rPr>
            <w:rFonts w:asciiTheme="minorHAnsi" w:hAnsiTheme="minorHAnsi"/>
            <w:noProof/>
            <w:szCs w:val="22"/>
            <w:lang w:eastAsia="en-AU"/>
          </w:rPr>
          <w:tab/>
        </w:r>
        <w:r w:rsidR="00561208" w:rsidRPr="00632356">
          <w:rPr>
            <w:rStyle w:val="Hyperlink"/>
            <w:noProof/>
          </w:rPr>
          <w:t>Dwellings by number of residents</w:t>
        </w:r>
        <w:r w:rsidR="00561208">
          <w:rPr>
            <w:noProof/>
            <w:webHidden/>
          </w:rPr>
          <w:tab/>
        </w:r>
        <w:r w:rsidR="00561208">
          <w:rPr>
            <w:noProof/>
            <w:webHidden/>
          </w:rPr>
          <w:fldChar w:fldCharType="begin"/>
        </w:r>
        <w:r w:rsidR="00561208">
          <w:rPr>
            <w:noProof/>
            <w:webHidden/>
          </w:rPr>
          <w:instrText xml:space="preserve"> PAGEREF _Toc83193290 \h </w:instrText>
        </w:r>
        <w:r w:rsidR="00561208">
          <w:rPr>
            <w:noProof/>
            <w:webHidden/>
          </w:rPr>
        </w:r>
        <w:r w:rsidR="00561208">
          <w:rPr>
            <w:noProof/>
            <w:webHidden/>
          </w:rPr>
          <w:fldChar w:fldCharType="separate"/>
        </w:r>
        <w:r>
          <w:rPr>
            <w:noProof/>
            <w:webHidden/>
          </w:rPr>
          <w:t>7</w:t>
        </w:r>
        <w:r w:rsidR="00561208">
          <w:rPr>
            <w:noProof/>
            <w:webHidden/>
          </w:rPr>
          <w:fldChar w:fldCharType="end"/>
        </w:r>
      </w:hyperlink>
    </w:p>
    <w:p w14:paraId="69F4A722" w14:textId="6F6F62D9" w:rsidR="00561208" w:rsidRDefault="00945E94">
      <w:pPr>
        <w:pStyle w:val="TOC3"/>
        <w:rPr>
          <w:rFonts w:asciiTheme="minorHAnsi" w:hAnsiTheme="minorHAnsi"/>
          <w:noProof/>
          <w:szCs w:val="22"/>
          <w:lang w:eastAsia="en-AU"/>
        </w:rPr>
      </w:pPr>
      <w:hyperlink w:anchor="_Toc83193291" w:history="1">
        <w:r w:rsidR="00561208" w:rsidRPr="00632356">
          <w:rPr>
            <w:rStyle w:val="Hyperlink"/>
            <w:noProof/>
          </w:rPr>
          <w:t>2.4</w:t>
        </w:r>
        <w:r w:rsidR="00561208">
          <w:rPr>
            <w:rFonts w:asciiTheme="minorHAnsi" w:hAnsiTheme="minorHAnsi"/>
            <w:noProof/>
            <w:szCs w:val="22"/>
            <w:lang w:eastAsia="en-AU"/>
          </w:rPr>
          <w:tab/>
        </w:r>
        <w:r w:rsidR="00561208" w:rsidRPr="00632356">
          <w:rPr>
            <w:rStyle w:val="Hyperlink"/>
            <w:noProof/>
          </w:rPr>
          <w:t>Locations</w:t>
        </w:r>
        <w:r w:rsidR="00561208">
          <w:rPr>
            <w:noProof/>
            <w:webHidden/>
          </w:rPr>
          <w:tab/>
        </w:r>
        <w:r w:rsidR="00561208">
          <w:rPr>
            <w:noProof/>
            <w:webHidden/>
          </w:rPr>
          <w:fldChar w:fldCharType="begin"/>
        </w:r>
        <w:r w:rsidR="00561208">
          <w:rPr>
            <w:noProof/>
            <w:webHidden/>
          </w:rPr>
          <w:instrText xml:space="preserve"> PAGEREF _Toc83193291 \h </w:instrText>
        </w:r>
        <w:r w:rsidR="00561208">
          <w:rPr>
            <w:noProof/>
            <w:webHidden/>
          </w:rPr>
        </w:r>
        <w:r w:rsidR="00561208">
          <w:rPr>
            <w:noProof/>
            <w:webHidden/>
          </w:rPr>
          <w:fldChar w:fldCharType="separate"/>
        </w:r>
        <w:r>
          <w:rPr>
            <w:noProof/>
            <w:webHidden/>
          </w:rPr>
          <w:t>9</w:t>
        </w:r>
        <w:r w:rsidR="00561208">
          <w:rPr>
            <w:noProof/>
            <w:webHidden/>
          </w:rPr>
          <w:fldChar w:fldCharType="end"/>
        </w:r>
      </w:hyperlink>
    </w:p>
    <w:p w14:paraId="69BCB89D" w14:textId="090565A9" w:rsidR="00561208" w:rsidRDefault="00945E94">
      <w:pPr>
        <w:pStyle w:val="TOC2"/>
        <w:rPr>
          <w:rFonts w:asciiTheme="minorHAnsi" w:hAnsiTheme="minorHAnsi"/>
          <w:noProof/>
          <w:szCs w:val="22"/>
          <w:lang w:eastAsia="en-AU"/>
        </w:rPr>
      </w:pPr>
      <w:hyperlink w:anchor="_Toc83193292" w:history="1">
        <w:r w:rsidR="00561208" w:rsidRPr="00632356">
          <w:rPr>
            <w:rStyle w:val="Hyperlink"/>
            <w:noProof/>
          </w:rPr>
          <w:t>3.</w:t>
        </w:r>
        <w:r w:rsidR="00561208">
          <w:rPr>
            <w:rFonts w:asciiTheme="minorHAnsi" w:hAnsiTheme="minorHAnsi"/>
            <w:noProof/>
            <w:szCs w:val="22"/>
            <w:lang w:eastAsia="en-AU"/>
          </w:rPr>
          <w:tab/>
        </w:r>
        <w:r w:rsidR="00561208" w:rsidRPr="00632356">
          <w:rPr>
            <w:rStyle w:val="Hyperlink"/>
            <w:noProof/>
          </w:rPr>
          <w:t>SDA participant market overview</w:t>
        </w:r>
        <w:r w:rsidR="00561208">
          <w:rPr>
            <w:noProof/>
            <w:webHidden/>
          </w:rPr>
          <w:tab/>
        </w:r>
        <w:r w:rsidR="00561208">
          <w:rPr>
            <w:noProof/>
            <w:webHidden/>
          </w:rPr>
          <w:fldChar w:fldCharType="begin"/>
        </w:r>
        <w:r w:rsidR="00561208">
          <w:rPr>
            <w:noProof/>
            <w:webHidden/>
          </w:rPr>
          <w:instrText xml:space="preserve"> PAGEREF _Toc83193292 \h </w:instrText>
        </w:r>
        <w:r w:rsidR="00561208">
          <w:rPr>
            <w:noProof/>
            <w:webHidden/>
          </w:rPr>
        </w:r>
        <w:r w:rsidR="00561208">
          <w:rPr>
            <w:noProof/>
            <w:webHidden/>
          </w:rPr>
          <w:fldChar w:fldCharType="separate"/>
        </w:r>
        <w:r>
          <w:rPr>
            <w:noProof/>
            <w:webHidden/>
          </w:rPr>
          <w:t>11</w:t>
        </w:r>
        <w:r w:rsidR="00561208">
          <w:rPr>
            <w:noProof/>
            <w:webHidden/>
          </w:rPr>
          <w:fldChar w:fldCharType="end"/>
        </w:r>
      </w:hyperlink>
    </w:p>
    <w:p w14:paraId="08034325" w14:textId="037384A8" w:rsidR="00561208" w:rsidRDefault="00945E94">
      <w:pPr>
        <w:pStyle w:val="TOC3"/>
        <w:rPr>
          <w:rFonts w:asciiTheme="minorHAnsi" w:hAnsiTheme="minorHAnsi"/>
          <w:noProof/>
          <w:szCs w:val="22"/>
          <w:lang w:eastAsia="en-AU"/>
        </w:rPr>
      </w:pPr>
      <w:hyperlink w:anchor="_Toc83193293" w:history="1">
        <w:r w:rsidR="00561208" w:rsidRPr="00632356">
          <w:rPr>
            <w:rStyle w:val="Hyperlink"/>
            <w:noProof/>
          </w:rPr>
          <w:t>3.1</w:t>
        </w:r>
        <w:r w:rsidR="00561208">
          <w:rPr>
            <w:rFonts w:asciiTheme="minorHAnsi" w:hAnsiTheme="minorHAnsi"/>
            <w:noProof/>
            <w:szCs w:val="22"/>
            <w:lang w:eastAsia="en-AU"/>
          </w:rPr>
          <w:tab/>
        </w:r>
        <w:r w:rsidR="00561208" w:rsidRPr="00632356">
          <w:rPr>
            <w:rStyle w:val="Hyperlink"/>
            <w:noProof/>
          </w:rPr>
          <w:t>Eligible participant profiles</w:t>
        </w:r>
        <w:r w:rsidR="00561208">
          <w:rPr>
            <w:noProof/>
            <w:webHidden/>
          </w:rPr>
          <w:tab/>
        </w:r>
        <w:r w:rsidR="00561208">
          <w:rPr>
            <w:noProof/>
            <w:webHidden/>
          </w:rPr>
          <w:fldChar w:fldCharType="begin"/>
        </w:r>
        <w:r w:rsidR="00561208">
          <w:rPr>
            <w:noProof/>
            <w:webHidden/>
          </w:rPr>
          <w:instrText xml:space="preserve"> PAGEREF _Toc83193293 \h </w:instrText>
        </w:r>
        <w:r w:rsidR="00561208">
          <w:rPr>
            <w:noProof/>
            <w:webHidden/>
          </w:rPr>
        </w:r>
        <w:r w:rsidR="00561208">
          <w:rPr>
            <w:noProof/>
            <w:webHidden/>
          </w:rPr>
          <w:fldChar w:fldCharType="separate"/>
        </w:r>
        <w:r>
          <w:rPr>
            <w:noProof/>
            <w:webHidden/>
          </w:rPr>
          <w:t>11</w:t>
        </w:r>
        <w:r w:rsidR="00561208">
          <w:rPr>
            <w:noProof/>
            <w:webHidden/>
          </w:rPr>
          <w:fldChar w:fldCharType="end"/>
        </w:r>
      </w:hyperlink>
    </w:p>
    <w:p w14:paraId="00338955" w14:textId="58901555" w:rsidR="00561208" w:rsidRDefault="00945E94">
      <w:pPr>
        <w:pStyle w:val="TOC4"/>
        <w:rPr>
          <w:rFonts w:asciiTheme="minorHAnsi" w:hAnsiTheme="minorHAnsi"/>
          <w:szCs w:val="22"/>
          <w:lang w:eastAsia="en-AU"/>
        </w:rPr>
      </w:pPr>
      <w:hyperlink w:anchor="_Toc83193294" w:history="1">
        <w:r w:rsidR="00561208" w:rsidRPr="00632356">
          <w:rPr>
            <w:rStyle w:val="Hyperlink"/>
          </w:rPr>
          <w:t>3.1.1</w:t>
        </w:r>
        <w:r w:rsidR="00561208">
          <w:rPr>
            <w:rFonts w:asciiTheme="minorHAnsi" w:hAnsiTheme="minorHAnsi"/>
            <w:szCs w:val="22"/>
            <w:lang w:eastAsia="en-AU"/>
          </w:rPr>
          <w:tab/>
        </w:r>
        <w:r w:rsidR="00561208" w:rsidRPr="00632356">
          <w:rPr>
            <w:rStyle w:val="Hyperlink"/>
          </w:rPr>
          <w:t>Participant demographics</w:t>
        </w:r>
        <w:r w:rsidR="00561208">
          <w:rPr>
            <w:webHidden/>
          </w:rPr>
          <w:tab/>
        </w:r>
        <w:r w:rsidR="00561208">
          <w:rPr>
            <w:webHidden/>
          </w:rPr>
          <w:fldChar w:fldCharType="begin"/>
        </w:r>
        <w:r w:rsidR="00561208">
          <w:rPr>
            <w:webHidden/>
          </w:rPr>
          <w:instrText xml:space="preserve"> PAGEREF _Toc83193294 \h </w:instrText>
        </w:r>
        <w:r w:rsidR="00561208">
          <w:rPr>
            <w:webHidden/>
          </w:rPr>
        </w:r>
        <w:r w:rsidR="00561208">
          <w:rPr>
            <w:webHidden/>
          </w:rPr>
          <w:fldChar w:fldCharType="separate"/>
        </w:r>
        <w:r>
          <w:rPr>
            <w:webHidden/>
          </w:rPr>
          <w:t>13</w:t>
        </w:r>
        <w:r w:rsidR="00561208">
          <w:rPr>
            <w:webHidden/>
          </w:rPr>
          <w:fldChar w:fldCharType="end"/>
        </w:r>
      </w:hyperlink>
    </w:p>
    <w:p w14:paraId="5E5902B6" w14:textId="00CA2268" w:rsidR="004D32B5" w:rsidRPr="00DF2F62" w:rsidRDefault="0040062A" w:rsidP="00ED4FDD">
      <w:r w:rsidRPr="00DF2F62">
        <w:fldChar w:fldCharType="end"/>
      </w:r>
      <w:r w:rsidR="004D32B5" w:rsidRPr="00DF2F62">
        <w:br w:type="page"/>
      </w:r>
    </w:p>
    <w:p w14:paraId="17C9F622" w14:textId="77777777" w:rsidR="004D32B5" w:rsidRPr="00DF2F62" w:rsidRDefault="00733FC6" w:rsidP="00A21351">
      <w:pPr>
        <w:pStyle w:val="Heading2"/>
      </w:pPr>
      <w:bookmarkStart w:id="21" w:name="_Toc79581636"/>
      <w:bookmarkStart w:id="22" w:name="_Toc79684603"/>
      <w:bookmarkStart w:id="23" w:name="_Toc83193284"/>
      <w:r w:rsidRPr="00DF2F62">
        <w:lastRenderedPageBreak/>
        <w:t>Introduction to data released by the NDIA</w:t>
      </w:r>
      <w:bookmarkEnd w:id="21"/>
      <w:bookmarkEnd w:id="22"/>
      <w:bookmarkEnd w:id="23"/>
    </w:p>
    <w:p w14:paraId="39F42D0D" w14:textId="77777777" w:rsidR="008402E2" w:rsidRDefault="008402E2" w:rsidP="008402E2">
      <w:pPr>
        <w:shd w:val="clear" w:color="auto" w:fill="FFFFFF"/>
        <w:spacing w:after="100" w:afterAutospacing="1"/>
        <w:rPr>
          <w:rFonts w:cs="Arial"/>
        </w:rPr>
      </w:pPr>
      <w:r w:rsidRPr="00AF7F54">
        <w:rPr>
          <w:rFonts w:cs="Arial"/>
        </w:rPr>
        <w:t xml:space="preserve">The </w:t>
      </w:r>
      <w:r w:rsidRPr="00DF2F62">
        <w:t xml:space="preserve">National Disability Insurance Agency </w:t>
      </w:r>
      <w:r>
        <w:t>(</w:t>
      </w:r>
      <w:r w:rsidRPr="00AF7F54">
        <w:rPr>
          <w:rFonts w:cs="Arial"/>
        </w:rPr>
        <w:t>NDIA</w:t>
      </w:r>
      <w:r>
        <w:rPr>
          <w:rFonts w:cs="Arial"/>
        </w:rPr>
        <w:t>)</w:t>
      </w:r>
      <w:r w:rsidRPr="00AF7F54">
        <w:rPr>
          <w:rFonts w:cs="Arial"/>
        </w:rPr>
        <w:t> is committed to providing the Specialist Disability Accommodation (SDA) market with the information it needs to foster continued growth for a thriving market that delivers quality, innovative SDA for participants and important national infrastructure.</w:t>
      </w:r>
    </w:p>
    <w:p w14:paraId="67711620" w14:textId="77777777" w:rsidR="00733FC6" w:rsidRPr="008402E2" w:rsidRDefault="00733FC6" w:rsidP="008402E2">
      <w:pPr>
        <w:shd w:val="clear" w:color="auto" w:fill="FFFFFF"/>
        <w:spacing w:after="100" w:afterAutospacing="1"/>
        <w:rPr>
          <w:rFonts w:cs="Arial"/>
        </w:rPr>
      </w:pPr>
      <w:r w:rsidRPr="00DF2F62">
        <w:t xml:space="preserve">The </w:t>
      </w:r>
      <w:r w:rsidR="008402E2">
        <w:t>NDIA</w:t>
      </w:r>
      <w:r w:rsidRPr="00DF2F62">
        <w:t xml:space="preserve"> has been steadily increasing the amount of data published about </w:t>
      </w:r>
      <w:r w:rsidR="008402E2">
        <w:t>SDA</w:t>
      </w:r>
      <w:r w:rsidRPr="00DF2F62">
        <w:t xml:space="preserve">. </w:t>
      </w:r>
    </w:p>
    <w:p w14:paraId="786AB19F" w14:textId="0A0E1E6A" w:rsidR="00733FC6" w:rsidRPr="00DF2F62" w:rsidRDefault="00733FC6" w:rsidP="00733FC6">
      <w:r w:rsidRPr="00DF2F62">
        <w:t>Release of data sets into a new</w:t>
      </w:r>
      <w:r w:rsidR="00CF549D" w:rsidRPr="00DF2F62">
        <w:t xml:space="preserve"> and</w:t>
      </w:r>
      <w:r w:rsidRPr="00DF2F62">
        <w:t xml:space="preserve"> growing market is a balancing exercise for </w:t>
      </w:r>
      <w:r w:rsidR="00A72F61">
        <w:t xml:space="preserve">the NDIA in </w:t>
      </w:r>
      <w:proofErr w:type="spellStart"/>
      <w:proofErr w:type="gramStart"/>
      <w:r w:rsidR="00A72F61">
        <w:t>it’s</w:t>
      </w:r>
      <w:proofErr w:type="spellEnd"/>
      <w:proofErr w:type="gramEnd"/>
      <w:r w:rsidR="00A72F61">
        <w:t xml:space="preserve"> </w:t>
      </w:r>
      <w:r w:rsidRPr="00DF2F62">
        <w:t>market stewards</w:t>
      </w:r>
      <w:r w:rsidR="00A72F61">
        <w:t>hip role</w:t>
      </w:r>
      <w:r w:rsidRPr="00DF2F62">
        <w:t xml:space="preserve">. There is a need for such releases to be done in a responsible way, as data needs to be collated, reviewed and analysed to ensure that it is providing an accurate representation of the state of the market. </w:t>
      </w:r>
    </w:p>
    <w:p w14:paraId="302D2576" w14:textId="77777777" w:rsidR="00733FC6" w:rsidRPr="00DF2F62" w:rsidRDefault="00733FC6" w:rsidP="00733FC6">
      <w:r w:rsidRPr="00DF2F62">
        <w:t xml:space="preserve">Small sample sizes are often involved early on in a market’s development – longer term trends are better at presenting a more accurate picture. </w:t>
      </w:r>
      <w:r w:rsidR="00670E23">
        <w:t>T</w:t>
      </w:r>
      <w:r w:rsidRPr="00DF2F62">
        <w:t xml:space="preserve">he NDIA has </w:t>
      </w:r>
      <w:r w:rsidR="00CF549D" w:rsidRPr="00DF2F62">
        <w:t>tried</w:t>
      </w:r>
      <w:r w:rsidRPr="00DF2F62">
        <w:t xml:space="preserve"> to provide data to the market as soon as it is possible and responsible to do so. </w:t>
      </w:r>
    </w:p>
    <w:p w14:paraId="4F02EDB8" w14:textId="77777777" w:rsidR="00733FC6" w:rsidRPr="00DF2F62" w:rsidRDefault="00733FC6" w:rsidP="00670E23">
      <w:pPr>
        <w:spacing w:after="0"/>
      </w:pPr>
      <w:r w:rsidRPr="00DF2F62">
        <w:t>Since the introduction of SDA, the NDIA now publishes the following categories of data:</w:t>
      </w:r>
    </w:p>
    <w:p w14:paraId="3E667B1E" w14:textId="77777777" w:rsidR="00733FC6" w:rsidRPr="00DF2F62" w:rsidRDefault="00CF549D" w:rsidP="00670E23">
      <w:pPr>
        <w:pStyle w:val="ListParagraph"/>
        <w:numPr>
          <w:ilvl w:val="0"/>
          <w:numId w:val="9"/>
        </w:numPr>
        <w:spacing w:after="0"/>
      </w:pPr>
      <w:r w:rsidRPr="00DF2F62">
        <w:t xml:space="preserve">participant </w:t>
      </w:r>
      <w:r w:rsidR="00733FC6" w:rsidRPr="00DF2F62">
        <w:t xml:space="preserve">funding levels, including plan utilisation and </w:t>
      </w:r>
      <w:r w:rsidR="009559DA" w:rsidRPr="00DF2F62">
        <w:t>Supported Independent Living (</w:t>
      </w:r>
      <w:r w:rsidR="00733FC6" w:rsidRPr="00DF2F62">
        <w:t>SIL</w:t>
      </w:r>
      <w:r w:rsidR="009559DA" w:rsidRPr="00DF2F62">
        <w:t>)</w:t>
      </w:r>
      <w:r w:rsidR="00733FC6" w:rsidRPr="00DF2F62">
        <w:t xml:space="preserve"> supports for SDA-eligible participants;</w:t>
      </w:r>
    </w:p>
    <w:p w14:paraId="7C8E0E7A" w14:textId="77777777" w:rsidR="00733FC6" w:rsidRPr="00DF2F62" w:rsidRDefault="00CF549D" w:rsidP="00733FC6">
      <w:pPr>
        <w:pStyle w:val="ListParagraph"/>
        <w:numPr>
          <w:ilvl w:val="0"/>
          <w:numId w:val="9"/>
        </w:numPr>
        <w:spacing w:after="0"/>
      </w:pPr>
      <w:r w:rsidRPr="00DF2F62">
        <w:t>enrolled</w:t>
      </w:r>
      <w:r w:rsidR="00733FC6" w:rsidRPr="00DF2F62">
        <w:t xml:space="preserve"> dwelling information, including design category and bedrooms, to Statistical Area Level 4 (SA4) level;</w:t>
      </w:r>
    </w:p>
    <w:p w14:paraId="70CE63B1" w14:textId="77777777" w:rsidR="00733FC6" w:rsidRPr="00DF2F62" w:rsidRDefault="00CF549D" w:rsidP="00733FC6">
      <w:pPr>
        <w:pStyle w:val="ListParagraph"/>
        <w:numPr>
          <w:ilvl w:val="0"/>
          <w:numId w:val="9"/>
        </w:numPr>
        <w:spacing w:after="0"/>
      </w:pPr>
      <w:r w:rsidRPr="00DF2F62">
        <w:t>the</w:t>
      </w:r>
      <w:r w:rsidR="00733FC6" w:rsidRPr="00DF2F62">
        <w:t xml:space="preserve"> number of in-progress or unfinishe</w:t>
      </w:r>
      <w:r w:rsidR="00670E23">
        <w:t>d SDA dwellings in the pipeline,</w:t>
      </w:r>
      <w:r w:rsidR="00733FC6" w:rsidRPr="00DF2F62">
        <w:t xml:space="preserve"> and</w:t>
      </w:r>
    </w:p>
    <w:p w14:paraId="38D3636E" w14:textId="77777777" w:rsidR="00E77F7B" w:rsidRDefault="00733FC6" w:rsidP="00E77F7B">
      <w:pPr>
        <w:numPr>
          <w:ilvl w:val="0"/>
          <w:numId w:val="9"/>
        </w:numPr>
      </w:pPr>
      <w:r w:rsidRPr="00DF2F62">
        <w:t>SDA demand data at the Statistical Area Level 3 (SA3</w:t>
      </w:r>
      <w:r w:rsidR="00216801" w:rsidRPr="00DF2F62">
        <w:t>) to</w:t>
      </w:r>
      <w:r w:rsidRPr="00DF2F62">
        <w:t xml:space="preserve"> help registered providers identify areas in need of additional supply.</w:t>
      </w:r>
    </w:p>
    <w:p w14:paraId="209A3C9E" w14:textId="77777777" w:rsidR="00E77F7B" w:rsidRPr="00DF2F62" w:rsidRDefault="001646E1" w:rsidP="001646E1">
      <w:r w:rsidRPr="00DF2F62" w:rsidDel="00E77F7B">
        <w:t xml:space="preserve">This report </w:t>
      </w:r>
      <w:r>
        <w:t xml:space="preserve">is based on </w:t>
      </w:r>
      <w:r w:rsidRPr="00DF2F62" w:rsidDel="00E77F7B">
        <w:t xml:space="preserve">the data that is released regularly through the </w:t>
      </w:r>
      <w:hyperlink r:id="rId9" w:history="1">
        <w:r w:rsidRPr="00DF2F62" w:rsidDel="00E77F7B">
          <w:rPr>
            <w:rStyle w:val="Hyperlink"/>
          </w:rPr>
          <w:t>NDIA’s Quarterly Reports</w:t>
        </w:r>
      </w:hyperlink>
      <w:r w:rsidRPr="00DF2F62" w:rsidDel="00E77F7B">
        <w:t xml:space="preserve"> and data on the </w:t>
      </w:r>
      <w:hyperlink r:id="rId10" w:history="1">
        <w:r w:rsidRPr="00DF2F62" w:rsidDel="00E77F7B">
          <w:rPr>
            <w:rStyle w:val="Hyperlink"/>
          </w:rPr>
          <w:t>NDIS data and insights webpage</w:t>
        </w:r>
      </w:hyperlink>
      <w:r w:rsidRPr="00DF2F62" w:rsidDel="00E77F7B">
        <w:t xml:space="preserve">. </w:t>
      </w:r>
      <w:r w:rsidR="00E77F7B">
        <w:t xml:space="preserve">These are the </w:t>
      </w:r>
      <w:r w:rsidR="00E77F7B" w:rsidRPr="00E77F7B">
        <w:t xml:space="preserve">SDA data tables </w:t>
      </w:r>
      <w:r w:rsidR="00E77F7B">
        <w:t xml:space="preserve">for </w:t>
      </w:r>
      <w:r w:rsidR="00E77F7B" w:rsidRPr="00E77F7B">
        <w:t>‘Appendix P’ published in the Quarterly repo</w:t>
      </w:r>
      <w:r w:rsidR="00E77F7B">
        <w:t xml:space="preserve">rts to the disability ministers and </w:t>
      </w:r>
      <w:r w:rsidR="00E77F7B" w:rsidRPr="00E77F7B">
        <w:t xml:space="preserve">additional </w:t>
      </w:r>
      <w:r w:rsidR="00E77F7B">
        <w:t xml:space="preserve">datasets for </w:t>
      </w:r>
      <w:r w:rsidR="00E77F7B" w:rsidRPr="00E77F7B">
        <w:t>SDA enrolled dwellings and NDIS demand data</w:t>
      </w:r>
      <w:r w:rsidR="00E77F7B">
        <w:t xml:space="preserve"> published for that quarter</w:t>
      </w:r>
      <w:r w:rsidR="004D3998">
        <w:t>.</w:t>
      </w:r>
    </w:p>
    <w:p w14:paraId="58144214" w14:textId="1ACC49DB" w:rsidR="00733FC6" w:rsidRDefault="00733FC6" w:rsidP="00733FC6">
      <w:r w:rsidRPr="00DF2F62">
        <w:t xml:space="preserve">This report will feature </w:t>
      </w:r>
      <w:r w:rsidR="00227990">
        <w:t>observations</w:t>
      </w:r>
      <w:r w:rsidRPr="00DF2F62">
        <w:t xml:space="preserve"> into </w:t>
      </w:r>
      <w:r w:rsidR="003D5381" w:rsidRPr="00DF2F62">
        <w:t xml:space="preserve">publically available NDIA </w:t>
      </w:r>
      <w:r w:rsidRPr="00DF2F62">
        <w:t>data</w:t>
      </w:r>
      <w:r w:rsidR="00670E23">
        <w:t xml:space="preserve"> and introduce</w:t>
      </w:r>
      <w:r w:rsidR="00B93F0C" w:rsidRPr="00DF2F62">
        <w:t xml:space="preserve"> </w:t>
      </w:r>
      <w:r w:rsidRPr="00DF2F62">
        <w:t xml:space="preserve">new </w:t>
      </w:r>
      <w:r w:rsidR="006535A4" w:rsidRPr="00DF2F62">
        <w:t xml:space="preserve">SDA </w:t>
      </w:r>
      <w:r w:rsidRPr="00DF2F62">
        <w:t>data</w:t>
      </w:r>
      <w:r w:rsidR="00B93F0C" w:rsidRPr="00DF2F62">
        <w:t>;</w:t>
      </w:r>
      <w:r w:rsidRPr="00DF2F62">
        <w:t xml:space="preserve"> participants with SDA cohort characteristic data.</w:t>
      </w:r>
    </w:p>
    <w:p w14:paraId="4ADA3975" w14:textId="187EE8E5" w:rsidR="00C427A2" w:rsidRPr="00DD6FAE" w:rsidRDefault="008402E2" w:rsidP="00DD6FAE">
      <w:r w:rsidRPr="00DD6FAE">
        <w:t xml:space="preserve">The NDIA will continue to develop the release of information and analysis to the market on key features of expected SDA supply and demand as well as continue to engage with stakeholders to gather feedback on the market information being released and ways in which these can be further enhanced for the benefit of </w:t>
      </w:r>
      <w:r w:rsidR="00472827">
        <w:t>participants and providers</w:t>
      </w:r>
      <w:r w:rsidRPr="00DD6FAE">
        <w:t>.</w:t>
      </w:r>
    </w:p>
    <w:p w14:paraId="739DC55B" w14:textId="77777777" w:rsidR="004D32B5" w:rsidRPr="00DF2F62" w:rsidRDefault="00733FC6" w:rsidP="00EC4364">
      <w:pPr>
        <w:pStyle w:val="Heading3"/>
      </w:pPr>
      <w:bookmarkStart w:id="24" w:name="_Toc79581637"/>
      <w:bookmarkStart w:id="25" w:name="_Toc79684604"/>
      <w:bookmarkStart w:id="26" w:name="_Toc83193285"/>
      <w:r w:rsidRPr="00DF2F62">
        <w:t>How to use this report</w:t>
      </w:r>
      <w:bookmarkEnd w:id="24"/>
      <w:bookmarkEnd w:id="25"/>
      <w:bookmarkEnd w:id="26"/>
    </w:p>
    <w:p w14:paraId="06A92701" w14:textId="77777777" w:rsidR="00733FC6" w:rsidRPr="00DF2F62" w:rsidDel="00E77F7B" w:rsidRDefault="00733FC6" w:rsidP="00733FC6">
      <w:r w:rsidRPr="00DF2F62" w:rsidDel="00E77F7B">
        <w:t xml:space="preserve">This report supplements the data that is released regularly through the </w:t>
      </w:r>
      <w:hyperlink r:id="rId11" w:history="1">
        <w:r w:rsidRPr="00DF2F62" w:rsidDel="00E77F7B">
          <w:rPr>
            <w:rStyle w:val="Hyperlink"/>
          </w:rPr>
          <w:t>NDIA’s Quarterly Reports</w:t>
        </w:r>
      </w:hyperlink>
      <w:r w:rsidRPr="00DF2F62" w:rsidDel="00E77F7B">
        <w:t xml:space="preserve"> and data on the </w:t>
      </w:r>
      <w:hyperlink r:id="rId12" w:history="1">
        <w:r w:rsidRPr="00DF2F62" w:rsidDel="00E77F7B">
          <w:rPr>
            <w:rStyle w:val="Hyperlink"/>
          </w:rPr>
          <w:t xml:space="preserve">NDIS </w:t>
        </w:r>
        <w:r w:rsidR="00395FE0" w:rsidRPr="00DF2F62" w:rsidDel="00E77F7B">
          <w:rPr>
            <w:rStyle w:val="Hyperlink"/>
          </w:rPr>
          <w:t>d</w:t>
        </w:r>
        <w:r w:rsidRPr="00DF2F62" w:rsidDel="00E77F7B">
          <w:rPr>
            <w:rStyle w:val="Hyperlink"/>
          </w:rPr>
          <w:t xml:space="preserve">ata </w:t>
        </w:r>
        <w:r w:rsidR="00395FE0" w:rsidRPr="00DF2F62" w:rsidDel="00E77F7B">
          <w:rPr>
            <w:rStyle w:val="Hyperlink"/>
          </w:rPr>
          <w:t>and i</w:t>
        </w:r>
        <w:r w:rsidRPr="00DF2F62" w:rsidDel="00E77F7B">
          <w:rPr>
            <w:rStyle w:val="Hyperlink"/>
          </w:rPr>
          <w:t xml:space="preserve">nsights </w:t>
        </w:r>
        <w:r w:rsidR="00395FE0" w:rsidRPr="00DF2F62" w:rsidDel="00E77F7B">
          <w:rPr>
            <w:rStyle w:val="Hyperlink"/>
          </w:rPr>
          <w:t>webpage</w:t>
        </w:r>
      </w:hyperlink>
      <w:r w:rsidRPr="00DF2F62" w:rsidDel="00E77F7B">
        <w:t xml:space="preserve">. </w:t>
      </w:r>
    </w:p>
    <w:p w14:paraId="2249F70E" w14:textId="77777777" w:rsidR="00567492" w:rsidRPr="00DF2F62" w:rsidRDefault="00733FC6" w:rsidP="008402E2">
      <w:r w:rsidRPr="00DF2F62">
        <w:lastRenderedPageBreak/>
        <w:t xml:space="preserve">Participants, providers and other stakeholders </w:t>
      </w:r>
      <w:r w:rsidR="006535A4" w:rsidRPr="00DF2F62">
        <w:t>can</w:t>
      </w:r>
      <w:r w:rsidRPr="00DF2F62">
        <w:t xml:space="preserve"> use this report as a starting point for engaging further with the very detailed SDA data that is contained in the </w:t>
      </w:r>
      <w:hyperlink r:id="rId13" w:history="1">
        <w:r w:rsidRPr="00DF2F62">
          <w:rPr>
            <w:rStyle w:val="Hyperlink"/>
          </w:rPr>
          <w:t>NDIS Quarterly Reports</w:t>
        </w:r>
      </w:hyperlink>
      <w:r w:rsidRPr="00DF2F62">
        <w:t xml:space="preserve">, either through those publications or </w:t>
      </w:r>
      <w:r w:rsidR="00CF549D" w:rsidRPr="00DF2F62">
        <w:t xml:space="preserve">on </w:t>
      </w:r>
      <w:r w:rsidR="003B1156" w:rsidRPr="00DF2F62">
        <w:t xml:space="preserve">the </w:t>
      </w:r>
      <w:hyperlink r:id="rId14" w:history="1">
        <w:r w:rsidR="003B1156" w:rsidRPr="00DF2F62">
          <w:rPr>
            <w:rStyle w:val="Hyperlink"/>
          </w:rPr>
          <w:t>NDIS data and insights webpage</w:t>
        </w:r>
      </w:hyperlink>
      <w:r w:rsidRPr="00DF2F62">
        <w:t>.</w:t>
      </w:r>
      <w:r w:rsidR="001C333A">
        <w:t xml:space="preserve"> </w:t>
      </w:r>
    </w:p>
    <w:p w14:paraId="0A979594" w14:textId="77777777" w:rsidR="00733FC6" w:rsidRPr="00DF2F62" w:rsidRDefault="00733FC6" w:rsidP="00733FC6">
      <w:pPr>
        <w:pStyle w:val="Heading3"/>
      </w:pPr>
      <w:bookmarkStart w:id="27" w:name="_Toc79581638"/>
      <w:bookmarkStart w:id="28" w:name="_Toc79684605"/>
      <w:bookmarkStart w:id="29" w:name="_Toc83193286"/>
      <w:r w:rsidRPr="00DF2F62">
        <w:t>Commonly used terms</w:t>
      </w:r>
      <w:bookmarkEnd w:id="27"/>
      <w:bookmarkEnd w:id="28"/>
      <w:bookmarkEnd w:id="29"/>
      <w:r w:rsidRPr="00DF2F62">
        <w:t xml:space="preserve"> </w:t>
      </w:r>
    </w:p>
    <w:p w14:paraId="7451F8CC" w14:textId="77777777" w:rsidR="00603054" w:rsidRDefault="00603054" w:rsidP="00603054">
      <w:r w:rsidRPr="008175A2">
        <w:rPr>
          <w:b/>
        </w:rPr>
        <w:t>Culturally and Linguistically Diverse (CALD):</w:t>
      </w:r>
      <w:r w:rsidRPr="008175A2">
        <w:t xml:space="preserve"> Country of birth is not Australia, New Zealand, the United Kingdom, Ireland, the United States of America, Canada or South Africa, or primary language spoken at home is not English.</w:t>
      </w:r>
    </w:p>
    <w:p w14:paraId="07C2A67E" w14:textId="77777777" w:rsidR="00603054" w:rsidRPr="008175A2" w:rsidRDefault="00603054" w:rsidP="00603054">
      <w:r w:rsidRPr="008175A2">
        <w:rPr>
          <w:b/>
        </w:rPr>
        <w:t>In-kind:</w:t>
      </w:r>
      <w:r w:rsidR="007B0D7F">
        <w:t xml:space="preserve"> Existing Commonwealth or state/t</w:t>
      </w:r>
      <w:r w:rsidRPr="008175A2">
        <w:t>erritory</w:t>
      </w:r>
      <w:r>
        <w:t xml:space="preserve"> </w:t>
      </w:r>
      <w:r w:rsidRPr="008175A2">
        <w:t>government programs delivered under existing</w:t>
      </w:r>
      <w:r>
        <w:t xml:space="preserve"> </w:t>
      </w:r>
      <w:r w:rsidRPr="008175A2">
        <w:t>block grant funding arrangements.</w:t>
      </w:r>
    </w:p>
    <w:p w14:paraId="5179F754" w14:textId="77777777" w:rsidR="00733FC6" w:rsidRPr="00DF2F62" w:rsidRDefault="00733FC6" w:rsidP="00733FC6">
      <w:r w:rsidRPr="00DF2F62">
        <w:rPr>
          <w:b/>
        </w:rPr>
        <w:t xml:space="preserve">Specialist </w:t>
      </w:r>
      <w:r w:rsidR="00CF549D" w:rsidRPr="00DF2F62">
        <w:rPr>
          <w:b/>
        </w:rPr>
        <w:t>disability accommodation</w:t>
      </w:r>
      <w:r w:rsidR="006535A4" w:rsidRPr="00DF2F62">
        <w:rPr>
          <w:b/>
        </w:rPr>
        <w:t xml:space="preserve"> (SDA)</w:t>
      </w:r>
      <w:r w:rsidRPr="00DF2F62">
        <w:t xml:space="preserve"> is accommodation for people who require specialist housing solutions, including to assist with the delivery of supports that cater for their extreme functional impairment or very high support needs. </w:t>
      </w:r>
    </w:p>
    <w:p w14:paraId="4F123D43" w14:textId="77777777" w:rsidR="00733FC6" w:rsidRPr="00DF2F62" w:rsidRDefault="00733FC6" w:rsidP="00733FC6">
      <w:r w:rsidRPr="00DF2F62">
        <w:t xml:space="preserve">SDA does not refer to the support services, but the homes in which these </w:t>
      </w:r>
      <w:r w:rsidR="00CF549D" w:rsidRPr="00DF2F62">
        <w:t>support services</w:t>
      </w:r>
      <w:r w:rsidRPr="00DF2F62">
        <w:t xml:space="preserve"> are delivered. SDA may include specialist designs for people with very high needs or may have a location or features that make it feasible to provide complex or costly supports for independent living.</w:t>
      </w:r>
    </w:p>
    <w:p w14:paraId="09C514D3" w14:textId="7AB8DD15" w:rsidR="00733FC6" w:rsidRPr="00DF2F62" w:rsidRDefault="00733FC6" w:rsidP="00733FC6">
      <w:pPr>
        <w:rPr>
          <w:b/>
        </w:rPr>
      </w:pPr>
      <w:r w:rsidRPr="00DF2F62">
        <w:rPr>
          <w:b/>
        </w:rPr>
        <w:t xml:space="preserve">SDA </w:t>
      </w:r>
      <w:r w:rsidR="00472827">
        <w:rPr>
          <w:b/>
        </w:rPr>
        <w:t>design categories</w:t>
      </w:r>
    </w:p>
    <w:p w14:paraId="212AFB83" w14:textId="59D2D6ED" w:rsidR="00A72F61" w:rsidRDefault="00A72F61" w:rsidP="003B1156">
      <w:pPr>
        <w:rPr>
          <w:b/>
        </w:rPr>
      </w:pPr>
      <w:r>
        <w:rPr>
          <w:b/>
        </w:rPr>
        <w:t xml:space="preserve">Enrolled dwelling: </w:t>
      </w:r>
      <w:r w:rsidRPr="00A72F61">
        <w:t xml:space="preserve">means a dwelling enrolled under section 26 </w:t>
      </w:r>
      <w:r w:rsidR="00227990">
        <w:t xml:space="preserve">of the </w:t>
      </w:r>
      <w:r w:rsidR="00227990" w:rsidRPr="007B1245">
        <w:rPr>
          <w:i/>
        </w:rPr>
        <w:t>National Disability Insurance Scheme (Specialist Disability Accommodation) Rules 2020</w:t>
      </w:r>
      <w:r w:rsidR="00227990">
        <w:t xml:space="preserve"> </w:t>
      </w:r>
      <w:r w:rsidRPr="00A72F61">
        <w:t>to provide specialist disability accommodation.</w:t>
      </w:r>
    </w:p>
    <w:p w14:paraId="68BCA230" w14:textId="70F27979" w:rsidR="00733FC6" w:rsidRPr="00DF2F62" w:rsidRDefault="00733FC6" w:rsidP="003B1156">
      <w:r w:rsidRPr="00DF2F62">
        <w:rPr>
          <w:b/>
        </w:rPr>
        <w:t>Existing:</w:t>
      </w:r>
      <w:r w:rsidRPr="00DF2F62">
        <w:t xml:space="preserve"> Dwellings built before 1 April 2016 that were used as disability related supported accommodation under a previous </w:t>
      </w:r>
      <w:r w:rsidR="009559DA" w:rsidRPr="00DF2F62">
        <w:t>s</w:t>
      </w:r>
      <w:r w:rsidRPr="00DF2F62">
        <w:t xml:space="preserve">tate, </w:t>
      </w:r>
      <w:r w:rsidR="00BC2731" w:rsidRPr="00DF2F62">
        <w:t>t</w:t>
      </w:r>
      <w:r w:rsidRPr="00DF2F62">
        <w:t xml:space="preserve">erritory or </w:t>
      </w:r>
      <w:r w:rsidR="009559DA" w:rsidRPr="00DF2F62">
        <w:t>c</w:t>
      </w:r>
      <w:r w:rsidRPr="00DF2F62">
        <w:t>ommonwealth scheme. Existing dwellings must substantially com</w:t>
      </w:r>
      <w:r w:rsidR="00BA556D" w:rsidRPr="00DF2F62">
        <w:t xml:space="preserve">ply with the requirements of a </w:t>
      </w:r>
      <w:r w:rsidR="0000746B" w:rsidRPr="00DF2F62">
        <w:t>n</w:t>
      </w:r>
      <w:r w:rsidRPr="00DF2F62">
        <w:t xml:space="preserve">ew </w:t>
      </w:r>
      <w:r w:rsidR="0000746B" w:rsidRPr="00DF2F62">
        <w:t>b</w:t>
      </w:r>
      <w:r w:rsidRPr="00DF2F62">
        <w:t>uild, and must meet the maximum resident requirement (</w:t>
      </w:r>
      <w:r w:rsidR="00001445" w:rsidRPr="00DF2F62">
        <w:t>5</w:t>
      </w:r>
      <w:r w:rsidRPr="00DF2F62">
        <w:t xml:space="preserve"> residents or less).</w:t>
      </w:r>
    </w:p>
    <w:p w14:paraId="27A70CD7" w14:textId="77777777" w:rsidR="00733FC6" w:rsidRPr="00DF2F62" w:rsidRDefault="00733FC6" w:rsidP="003B1156">
      <w:r w:rsidRPr="00DF2F62">
        <w:rPr>
          <w:b/>
        </w:rPr>
        <w:t>Legacy:</w:t>
      </w:r>
      <w:r w:rsidRPr="00DF2F62">
        <w:t xml:space="preserve"> Existing dwellings that do not meet the maximum resident requirement of </w:t>
      </w:r>
      <w:r w:rsidR="00001445" w:rsidRPr="00DF2F62">
        <w:t>5</w:t>
      </w:r>
      <w:r w:rsidRPr="00DF2F62">
        <w:t xml:space="preserve"> residents or less. Over time, the NDIA will stop making SDA payments towards </w:t>
      </w:r>
      <w:r w:rsidR="00BC2731" w:rsidRPr="00DF2F62">
        <w:t>l</w:t>
      </w:r>
      <w:r w:rsidRPr="00DF2F62">
        <w:t>egacy dwellings.</w:t>
      </w:r>
    </w:p>
    <w:p w14:paraId="4EA4622E" w14:textId="77777777" w:rsidR="00733FC6" w:rsidRPr="00DF2F62" w:rsidRDefault="00BA556D" w:rsidP="003B1156">
      <w:r w:rsidRPr="00DF2F62">
        <w:rPr>
          <w:b/>
        </w:rPr>
        <w:t>New B</w:t>
      </w:r>
      <w:r w:rsidR="00733FC6" w:rsidRPr="00DF2F62">
        <w:rPr>
          <w:b/>
        </w:rPr>
        <w:t>uild:</w:t>
      </w:r>
      <w:r w:rsidR="00733FC6" w:rsidRPr="00DF2F62">
        <w:t xml:space="preserve"> An SDA dwelling that was built (has a certificate of occupancy dated) after </w:t>
      </w:r>
      <w:r w:rsidR="006535A4" w:rsidRPr="00DF2F62">
        <w:t xml:space="preserve">         </w:t>
      </w:r>
      <w:r w:rsidR="00733FC6" w:rsidRPr="00DF2F62">
        <w:t xml:space="preserve">1 April 2016 and meets all of the requirements under the </w:t>
      </w:r>
      <w:hyperlink r:id="rId15" w:history="1">
        <w:r w:rsidR="00733FC6" w:rsidRPr="00DF2F62">
          <w:rPr>
            <w:rStyle w:val="Hyperlink"/>
          </w:rPr>
          <w:t xml:space="preserve">SDA Rules </w:t>
        </w:r>
        <w:r w:rsidR="00BC2731" w:rsidRPr="00DF2F62">
          <w:rPr>
            <w:rStyle w:val="Hyperlink"/>
          </w:rPr>
          <w:t>2020</w:t>
        </w:r>
      </w:hyperlink>
      <w:r w:rsidR="00BC2731" w:rsidRPr="00DF2F62">
        <w:t xml:space="preserve"> </w:t>
      </w:r>
      <w:r w:rsidR="00733FC6" w:rsidRPr="00DF2F62">
        <w:t xml:space="preserve">and </w:t>
      </w:r>
      <w:r w:rsidR="00B93F0C" w:rsidRPr="00DF2F62">
        <w:t>the</w:t>
      </w:r>
      <w:r w:rsidR="0000746B" w:rsidRPr="00DF2F62">
        <w:t xml:space="preserve"> </w:t>
      </w:r>
      <w:hyperlink r:id="rId16" w:anchor="pricing-arrangements-for-specialist-disability-accommodation" w:history="1">
        <w:r w:rsidR="00B93F0C" w:rsidRPr="00DF2F62">
          <w:rPr>
            <w:rStyle w:val="Hyperlink"/>
          </w:rPr>
          <w:t xml:space="preserve">Pricing </w:t>
        </w:r>
        <w:r w:rsidR="00BC2731" w:rsidRPr="00DF2F62">
          <w:rPr>
            <w:rStyle w:val="Hyperlink"/>
          </w:rPr>
          <w:t>Arrangements</w:t>
        </w:r>
        <w:r w:rsidR="00B93F0C" w:rsidRPr="00DF2F62">
          <w:rPr>
            <w:rStyle w:val="Hyperlink"/>
          </w:rPr>
          <w:t xml:space="preserve"> for </w:t>
        </w:r>
        <w:r w:rsidR="00CC072B" w:rsidRPr="00DF2F62">
          <w:rPr>
            <w:rStyle w:val="Hyperlink"/>
          </w:rPr>
          <w:t>Specialist Disability Accommodation</w:t>
        </w:r>
        <w:r w:rsidR="00BC2731" w:rsidRPr="00DF2F62">
          <w:rPr>
            <w:rStyle w:val="Hyperlink"/>
          </w:rPr>
          <w:t xml:space="preserve"> 2021-22</w:t>
        </w:r>
      </w:hyperlink>
      <w:r w:rsidR="00733FC6" w:rsidRPr="00DF2F62">
        <w:t>.</w:t>
      </w:r>
    </w:p>
    <w:p w14:paraId="1A79990D" w14:textId="0BDE15C0" w:rsidR="0094431F" w:rsidRPr="00DF2F62" w:rsidRDefault="00BA556D" w:rsidP="003B1156">
      <w:pPr>
        <w:spacing w:line="276" w:lineRule="auto"/>
      </w:pPr>
      <w:r w:rsidRPr="00DF2F62">
        <w:rPr>
          <w:b/>
        </w:rPr>
        <w:t>New B</w:t>
      </w:r>
      <w:r w:rsidR="00733FC6" w:rsidRPr="00DF2F62">
        <w:rPr>
          <w:b/>
        </w:rPr>
        <w:t>uild (refurbished):</w:t>
      </w:r>
      <w:r w:rsidR="00733FC6" w:rsidRPr="00DF2F62">
        <w:t xml:space="preserve"> A dwelling that was built before 1 April 2016 but has been significantly refurbished since and now meets all of the requirements for a </w:t>
      </w:r>
      <w:r w:rsidR="0000746B" w:rsidRPr="00DF2F62">
        <w:t>n</w:t>
      </w:r>
      <w:r w:rsidR="00733FC6" w:rsidRPr="00DF2F62">
        <w:t xml:space="preserve">ew </w:t>
      </w:r>
      <w:r w:rsidR="0000746B" w:rsidRPr="00DF2F62">
        <w:t>b</w:t>
      </w:r>
      <w:r w:rsidR="00733FC6" w:rsidRPr="00DF2F62">
        <w:t xml:space="preserve">uild in the </w:t>
      </w:r>
      <w:hyperlink r:id="rId17" w:history="1">
        <w:r w:rsidR="00733FC6" w:rsidRPr="00DF2F62">
          <w:rPr>
            <w:rStyle w:val="Hyperlink"/>
          </w:rPr>
          <w:t xml:space="preserve">SDA Rules </w:t>
        </w:r>
        <w:r w:rsidR="00BC2731" w:rsidRPr="00DF2F62">
          <w:rPr>
            <w:rStyle w:val="Hyperlink"/>
          </w:rPr>
          <w:t>2020</w:t>
        </w:r>
      </w:hyperlink>
      <w:r w:rsidR="00733FC6" w:rsidRPr="00DF2F62">
        <w:t xml:space="preserve"> and </w:t>
      </w:r>
      <w:hyperlink r:id="rId18" w:anchor="pricing-arrangements-for-specialist-disability-accommodation" w:history="1">
        <w:r w:rsidR="0000746B" w:rsidRPr="00DF2F62">
          <w:rPr>
            <w:rStyle w:val="Hyperlink"/>
          </w:rPr>
          <w:t>Pricing Arrangements for Specialist Disability Accommodation 2021-22</w:t>
        </w:r>
      </w:hyperlink>
      <w:r w:rsidR="00733FC6" w:rsidRPr="00DF2F62">
        <w:t>.</w:t>
      </w:r>
      <w:r w:rsidR="00892DD9">
        <w:t xml:space="preserve"> </w:t>
      </w:r>
      <w:r w:rsidR="00733FC6" w:rsidRPr="00DF2F62">
        <w:t xml:space="preserve">In order to qualify a </w:t>
      </w:r>
      <w:r w:rsidR="00BC2731" w:rsidRPr="00DF2F62">
        <w:t>n</w:t>
      </w:r>
      <w:r w:rsidR="00733FC6" w:rsidRPr="00DF2F62">
        <w:t xml:space="preserve">ew </w:t>
      </w:r>
      <w:r w:rsidR="00BC2731" w:rsidRPr="00DF2F62">
        <w:t>b</w:t>
      </w:r>
      <w:r w:rsidR="00733FC6" w:rsidRPr="00DF2F62">
        <w:t>uild (refurbished)</w:t>
      </w:r>
      <w:r w:rsidR="00892DD9">
        <w:t>,</w:t>
      </w:r>
      <w:r w:rsidR="00733FC6" w:rsidRPr="00DF2F62">
        <w:t xml:space="preserve"> providers must spend a minimum amount. These minimum amounts are specified per dwelling type in </w:t>
      </w:r>
      <w:r w:rsidR="00B93F0C" w:rsidRPr="00DF2F62">
        <w:t xml:space="preserve">Appendix F of the </w:t>
      </w:r>
      <w:hyperlink r:id="rId19" w:anchor="pricing-arrangements-for-specialist-disability-accommodation" w:history="1">
        <w:r w:rsidR="0000746B" w:rsidRPr="00DF2F62">
          <w:rPr>
            <w:rStyle w:val="Hyperlink"/>
          </w:rPr>
          <w:t>Pricing Arrangements for Specialist Disability Accommodation 2021-22</w:t>
        </w:r>
      </w:hyperlink>
      <w:r w:rsidR="0000746B" w:rsidRPr="00DF2F62">
        <w:t xml:space="preserve">. </w:t>
      </w:r>
      <w:r w:rsidR="0094431F" w:rsidRPr="00DF2F62">
        <w:br w:type="page"/>
      </w:r>
    </w:p>
    <w:p w14:paraId="45F1417E" w14:textId="77777777" w:rsidR="007219F1" w:rsidRPr="00DF2F62" w:rsidRDefault="00CE75FA" w:rsidP="00CE75FA">
      <w:pPr>
        <w:pStyle w:val="Heading2"/>
      </w:pPr>
      <w:bookmarkStart w:id="30" w:name="_Toc79493381"/>
      <w:bookmarkStart w:id="31" w:name="_Toc79581639"/>
      <w:bookmarkStart w:id="32" w:name="_Toc79684606"/>
      <w:bookmarkStart w:id="33" w:name="_Toc83193287"/>
      <w:r w:rsidRPr="00DF2F62">
        <w:lastRenderedPageBreak/>
        <w:t>SDA supply market overview</w:t>
      </w:r>
      <w:bookmarkEnd w:id="30"/>
      <w:bookmarkEnd w:id="31"/>
      <w:bookmarkEnd w:id="32"/>
      <w:bookmarkEnd w:id="33"/>
    </w:p>
    <w:p w14:paraId="536A5A56" w14:textId="77777777" w:rsidR="00CE75FA" w:rsidRPr="00DF2F62" w:rsidRDefault="00CE75FA" w:rsidP="00CE75FA">
      <w:pPr>
        <w:pStyle w:val="Heading3"/>
      </w:pPr>
      <w:bookmarkStart w:id="34" w:name="_Toc79493382"/>
      <w:bookmarkStart w:id="35" w:name="_Toc79581640"/>
      <w:bookmarkStart w:id="36" w:name="_Toc79684607"/>
      <w:bookmarkStart w:id="37" w:name="_Toc83193288"/>
      <w:r w:rsidRPr="00DF2F62">
        <w:t>Dwelling enrolments</w:t>
      </w:r>
      <w:bookmarkEnd w:id="34"/>
      <w:bookmarkEnd w:id="35"/>
      <w:bookmarkEnd w:id="36"/>
      <w:bookmarkEnd w:id="37"/>
    </w:p>
    <w:p w14:paraId="32186DBC" w14:textId="09B54B95" w:rsidR="00CE75FA" w:rsidRPr="00DF2F62" w:rsidRDefault="006806E1" w:rsidP="00CE75FA">
      <w:bookmarkStart w:id="38" w:name="_Toc79490508"/>
      <w:bookmarkStart w:id="39" w:name="_Toc79493359"/>
      <w:r w:rsidRPr="00DF2F62">
        <w:t>Since Q2 FY</w:t>
      </w:r>
      <w:r w:rsidR="0000746B" w:rsidRPr="00DF2F62">
        <w:t>19-20</w:t>
      </w:r>
      <w:r w:rsidR="00CE75FA" w:rsidRPr="00DF2F62">
        <w:t xml:space="preserve">, </w:t>
      </w:r>
      <w:r w:rsidR="00517D99">
        <w:t xml:space="preserve">just over half </w:t>
      </w:r>
      <w:r w:rsidR="00CE75FA" w:rsidRPr="00DF2F62">
        <w:t xml:space="preserve">of the growth in </w:t>
      </w:r>
      <w:r w:rsidR="0045794E">
        <w:t xml:space="preserve">total </w:t>
      </w:r>
      <w:r w:rsidR="00CE75FA" w:rsidRPr="00DF2F62">
        <w:t xml:space="preserve">SDA stock (52%) has come from </w:t>
      </w:r>
      <w:r w:rsidR="00BC2731" w:rsidRPr="00DF2F62">
        <w:t>n</w:t>
      </w:r>
      <w:r w:rsidR="00CE75FA" w:rsidRPr="00DF2F62">
        <w:t xml:space="preserve">ew </w:t>
      </w:r>
      <w:r w:rsidR="00BC2731" w:rsidRPr="00DF2F62">
        <w:t>b</w:t>
      </w:r>
      <w:r w:rsidR="00CE75FA" w:rsidRPr="00DF2F62">
        <w:t>uild</w:t>
      </w:r>
      <w:r w:rsidR="0045794E">
        <w:t>s</w:t>
      </w:r>
      <w:r w:rsidR="00651E9A">
        <w:t xml:space="preserve"> (1,185 dwellings)</w:t>
      </w:r>
      <w:r w:rsidR="00536D36" w:rsidRPr="00DF2F62">
        <w:t>.</w:t>
      </w:r>
      <w:r w:rsidR="005811D7">
        <w:t xml:space="preserve"> </w:t>
      </w:r>
      <w:r w:rsidR="00F60120">
        <w:t>42% of dwellings came from existing stock (961 dwellings), 5% for legacy stock (111), whereas n</w:t>
      </w:r>
      <w:r w:rsidR="00536D36" w:rsidRPr="00DF2F62">
        <w:t>ew build</w:t>
      </w:r>
      <w:r w:rsidR="00BC2731" w:rsidRPr="00DF2F62">
        <w:t xml:space="preserve"> (refurbished)</w:t>
      </w:r>
      <w:r w:rsidR="0000746B" w:rsidRPr="00DF2F62">
        <w:t xml:space="preserve"> only contributed to 1% of </w:t>
      </w:r>
      <w:r w:rsidR="00651E9A">
        <w:t xml:space="preserve">overall SDA dwelling </w:t>
      </w:r>
      <w:r w:rsidR="0000746B" w:rsidRPr="00DF2F62">
        <w:t xml:space="preserve">increase </w:t>
      </w:r>
      <w:r w:rsidR="00651E9A">
        <w:t>in the same timeframe (29 of 2,286 dwellings)</w:t>
      </w:r>
      <w:r w:rsidR="00CE75FA" w:rsidRPr="00DF2F62">
        <w:t>.</w:t>
      </w:r>
    </w:p>
    <w:p w14:paraId="6E368CA0" w14:textId="77777777" w:rsidR="00CE75FA" w:rsidRPr="00CF5782" w:rsidRDefault="0000746B" w:rsidP="00CE75FA">
      <w:r w:rsidRPr="00DF2F62">
        <w:t>Since Q4 FY19-2</w:t>
      </w:r>
      <w:r w:rsidR="009D0A89" w:rsidRPr="00DF2F62">
        <w:t>0</w:t>
      </w:r>
      <w:r w:rsidRPr="00DF2F62">
        <w:t xml:space="preserve"> (same time </w:t>
      </w:r>
      <w:r w:rsidR="00CE75FA" w:rsidRPr="00DF2F62">
        <w:t xml:space="preserve">last </w:t>
      </w:r>
      <w:r w:rsidR="00CE75FA" w:rsidRPr="00B72D81">
        <w:t>year</w:t>
      </w:r>
      <w:r w:rsidRPr="00B72D81">
        <w:t>)</w:t>
      </w:r>
      <w:r w:rsidR="00CE75FA" w:rsidRPr="00B72D81">
        <w:t xml:space="preserve">, </w:t>
      </w:r>
      <w:r w:rsidR="00651E9A">
        <w:t xml:space="preserve">within each build type, </w:t>
      </w:r>
      <w:r w:rsidR="00BC2731" w:rsidRPr="00B72D81">
        <w:t>n</w:t>
      </w:r>
      <w:r w:rsidR="00CE75FA" w:rsidRPr="00B72D81">
        <w:t xml:space="preserve">ew </w:t>
      </w:r>
      <w:r w:rsidR="00BC2731" w:rsidRPr="00B72D81">
        <w:t>b</w:t>
      </w:r>
      <w:r w:rsidR="00CE75FA" w:rsidRPr="00B72D81">
        <w:t xml:space="preserve">uild </w:t>
      </w:r>
      <w:r w:rsidR="00BC2731" w:rsidRPr="00B72D81">
        <w:t xml:space="preserve">dwellings </w:t>
      </w:r>
      <w:r w:rsidR="00CE75FA" w:rsidRPr="00B72D81">
        <w:t>has seen steady growth, with a 7</w:t>
      </w:r>
      <w:r w:rsidR="002D676F" w:rsidRPr="00B72D81">
        <w:t>0</w:t>
      </w:r>
      <w:r w:rsidR="00CE75FA" w:rsidRPr="00B72D81">
        <w:t xml:space="preserve">% growth in stock enrolled since </w:t>
      </w:r>
      <w:r w:rsidR="00645656" w:rsidRPr="00B72D81">
        <w:t>then</w:t>
      </w:r>
      <w:r w:rsidR="00B654EA">
        <w:t>.</w:t>
      </w:r>
    </w:p>
    <w:p w14:paraId="3DBDD355" w14:textId="7DFC78F3" w:rsidR="00CE75FA" w:rsidRDefault="00CE75FA" w:rsidP="00CE75FA">
      <w:r w:rsidRPr="00CF5782">
        <w:t xml:space="preserve">Since </w:t>
      </w:r>
      <w:r w:rsidR="0000746B" w:rsidRPr="00CF5782">
        <w:t>Q3 FY20-21</w:t>
      </w:r>
      <w:r w:rsidRPr="00CF5782">
        <w:t xml:space="preserve">, there has been a 23% increase in </w:t>
      </w:r>
      <w:r w:rsidR="00BC2731" w:rsidRPr="00CF5782">
        <w:t>n</w:t>
      </w:r>
      <w:r w:rsidRPr="00CF5782">
        <w:t xml:space="preserve">ew </w:t>
      </w:r>
      <w:r w:rsidR="00BC2731" w:rsidRPr="00CF5782">
        <w:t>b</w:t>
      </w:r>
      <w:r w:rsidRPr="00CF5782">
        <w:t xml:space="preserve">uild. </w:t>
      </w:r>
      <w:r w:rsidR="00651E9A">
        <w:t>Also s</w:t>
      </w:r>
      <w:r w:rsidRPr="00DF2F62">
        <w:t xml:space="preserve">ince </w:t>
      </w:r>
      <w:r w:rsidR="0000746B" w:rsidRPr="00DF2F62">
        <w:t>Q3 FY20-21</w:t>
      </w:r>
      <w:r w:rsidRPr="00DF2F62">
        <w:t xml:space="preserve">, the stock of </w:t>
      </w:r>
      <w:r w:rsidR="00CC072B" w:rsidRPr="00DF2F62">
        <w:t>l</w:t>
      </w:r>
      <w:r w:rsidRPr="00DF2F62">
        <w:t>egacy housing increased by 56%</w:t>
      </w:r>
      <w:r w:rsidR="006717F1">
        <w:t xml:space="preserve"> and e</w:t>
      </w:r>
      <w:r w:rsidRPr="00DF2F62">
        <w:t xml:space="preserve">xisting SDA stock numbers saw a 19% growth from the previous quarter, </w:t>
      </w:r>
      <w:r w:rsidR="006717F1">
        <w:t xml:space="preserve">both </w:t>
      </w:r>
      <w:r w:rsidRPr="00DF2F62">
        <w:t>considerably larger than</w:t>
      </w:r>
      <w:r w:rsidR="007D0641" w:rsidRPr="00DF2F62">
        <w:t xml:space="preserve"> </w:t>
      </w:r>
      <w:r w:rsidRPr="00DF2F62">
        <w:t>previous quarters</w:t>
      </w:r>
      <w:r w:rsidR="006717F1">
        <w:t xml:space="preserve"> mostly due to Victoria’s transition of in-kind arrangements (</w:t>
      </w:r>
      <w:r w:rsidR="0045794E">
        <w:t>explained further</w:t>
      </w:r>
      <w:r w:rsidR="006717F1">
        <w:t xml:space="preserve"> in NDIA </w:t>
      </w:r>
      <w:r w:rsidR="00227990">
        <w:t>Observations</w:t>
      </w:r>
      <w:r w:rsidR="006717F1">
        <w:t xml:space="preserve"> section</w:t>
      </w:r>
      <w:r w:rsidR="007B0D7F">
        <w:t xml:space="preserve"> below</w:t>
      </w:r>
      <w:r w:rsidR="006717F1">
        <w:t>)</w:t>
      </w:r>
      <w:r w:rsidRPr="00DF2F62">
        <w:t xml:space="preserve">. </w:t>
      </w:r>
    </w:p>
    <w:p w14:paraId="36612B70" w14:textId="77777777" w:rsidR="00F312B5" w:rsidRPr="00DF2F62" w:rsidRDefault="00F312B5" w:rsidP="00F312B5">
      <w:r>
        <w:t xml:space="preserve">Further breakdown </w:t>
      </w:r>
      <w:r w:rsidRPr="00C03E1F">
        <w:t>by SA4 region</w:t>
      </w:r>
      <w:r>
        <w:t xml:space="preserve">s in </w:t>
      </w:r>
      <w:r w:rsidRPr="00C03E1F">
        <w:t>state</w:t>
      </w:r>
      <w:r>
        <w:t>s</w:t>
      </w:r>
      <w:r w:rsidRPr="00C03E1F">
        <w:t xml:space="preserve"> and territories can be found within ‘Table P.4’</w:t>
      </w:r>
      <w:r>
        <w:t xml:space="preserve"> </w:t>
      </w:r>
      <w:r w:rsidRPr="00C03E1F">
        <w:t xml:space="preserve">in the SDA quarterly report to disability ministers. </w:t>
      </w:r>
    </w:p>
    <w:p w14:paraId="5BE9ED05" w14:textId="77777777" w:rsidR="00CE75FA" w:rsidRDefault="00CE75FA" w:rsidP="008A7B39">
      <w:pPr>
        <w:pStyle w:val="Caption"/>
        <w:keepNext/>
        <w:rPr>
          <w:caps w:val="0"/>
          <w:szCs w:val="16"/>
        </w:rPr>
      </w:pPr>
      <w:r w:rsidRPr="00DF2F62">
        <w:rPr>
          <w:caps w:val="0"/>
        </w:rPr>
        <w:t xml:space="preserve">Figure </w:t>
      </w:r>
      <w:r w:rsidR="006546B5" w:rsidRPr="00DF2F62">
        <w:rPr>
          <w:caps w:val="0"/>
        </w:rPr>
        <w:fldChar w:fldCharType="begin"/>
      </w:r>
      <w:r w:rsidR="006546B5" w:rsidRPr="00DF2F62">
        <w:rPr>
          <w:caps w:val="0"/>
        </w:rPr>
        <w:instrText xml:space="preserve"> SEQ Figure \* ARABIC </w:instrText>
      </w:r>
      <w:r w:rsidR="006546B5" w:rsidRPr="00DF2F62">
        <w:rPr>
          <w:caps w:val="0"/>
        </w:rPr>
        <w:fldChar w:fldCharType="separate"/>
      </w:r>
      <w:r w:rsidR="00CF5782">
        <w:rPr>
          <w:caps w:val="0"/>
          <w:noProof/>
        </w:rPr>
        <w:t>1</w:t>
      </w:r>
      <w:r w:rsidR="006546B5" w:rsidRPr="00DF2F62">
        <w:rPr>
          <w:caps w:val="0"/>
          <w:noProof/>
        </w:rPr>
        <w:fldChar w:fldCharType="end"/>
      </w:r>
      <w:r w:rsidRPr="00DF2F62">
        <w:rPr>
          <w:caps w:val="0"/>
        </w:rPr>
        <w:t xml:space="preserve">: </w:t>
      </w:r>
      <w:r w:rsidR="0000746B" w:rsidRPr="00DF2F62">
        <w:rPr>
          <w:caps w:val="0"/>
        </w:rPr>
        <w:t>E</w:t>
      </w:r>
      <w:r w:rsidRPr="00DF2F62">
        <w:rPr>
          <w:caps w:val="0"/>
        </w:rPr>
        <w:t xml:space="preserve">nrolled SDA </w:t>
      </w:r>
      <w:r w:rsidRPr="00DF2F62">
        <w:rPr>
          <w:caps w:val="0"/>
          <w:szCs w:val="16"/>
        </w:rPr>
        <w:t>dwellings by building type</w:t>
      </w:r>
      <w:r w:rsidRPr="00DF2F62">
        <w:rPr>
          <w:caps w:val="0"/>
        </w:rPr>
        <w:t xml:space="preserve"> </w:t>
      </w:r>
      <w:bookmarkEnd w:id="38"/>
      <w:bookmarkEnd w:id="39"/>
      <w:r w:rsidR="00121539" w:rsidRPr="00DF2F62">
        <w:rPr>
          <w:caps w:val="0"/>
          <w:szCs w:val="16"/>
        </w:rPr>
        <w:t>(excludes in-kind arrangements)</w:t>
      </w:r>
    </w:p>
    <w:p w14:paraId="3836BEB8" w14:textId="77777777" w:rsidR="00C07A2D" w:rsidRDefault="00CF5782" w:rsidP="00CE75FA">
      <w:pPr>
        <w:rPr>
          <w:b/>
        </w:rPr>
      </w:pPr>
      <w:r>
        <w:rPr>
          <w:noProof/>
          <w:lang w:eastAsia="en-AU"/>
        </w:rPr>
        <w:drawing>
          <wp:inline distT="0" distB="0" distL="0" distR="0" wp14:anchorId="3C43843B" wp14:editId="0534A8A6">
            <wp:extent cx="5760000" cy="3060000"/>
            <wp:effectExtent l="0" t="0" r="12700" b="7620"/>
            <wp:docPr id="5" name="Chart 5" descr="This line graph displays the number of SDA dwellings for Existing Stock, New Build, New Build (Refurbished) and Legacy stock from Q2 FY19-20 to Q4 FY20-21.&#10;&#10;Existing stock remained relative stable until Q1 FY20-21 (2,993 at this quarter). It then begun increasing over the following quarters, with a relatively large increase from Q3 to Q4 FY20-21 (19% growth).&#10;&#10;New Builds have been steadily increasing from 765 dwellings in Q2 FY19-20 to 1,950 in Q4 FY20-21.&#10;&#10;New Build (Refurbished) remains relatively low with a 13 dwelling increase to 51 overall from Q3 to Q4 FY20-21.&#10;&#10;Legacy stock remained relatively stable around 200 dwellings from Q2 FY19-20 to Q3 FY20-21. In Q4 FY20-21 this increased to 310 dwellings." title="Figure 1: Enrolled SDA dwellings by building type (excludes in-kind arrangeme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73F73E2" w14:textId="4E91992C" w:rsidR="00CE75FA" w:rsidRDefault="00CE75FA" w:rsidP="00CE75FA">
      <w:pPr>
        <w:rPr>
          <w:b/>
        </w:rPr>
      </w:pPr>
      <w:r w:rsidRPr="00DF2F62">
        <w:rPr>
          <w:b/>
        </w:rPr>
        <w:t xml:space="preserve">NDIA </w:t>
      </w:r>
      <w:r w:rsidR="00227990">
        <w:rPr>
          <w:b/>
        </w:rPr>
        <w:t>observations</w:t>
      </w:r>
    </w:p>
    <w:p w14:paraId="484D732D" w14:textId="77777777" w:rsidR="009C00B6" w:rsidRDefault="009C00B6" w:rsidP="00CE75FA">
      <w:r>
        <w:t xml:space="preserve">The stock of enrolled SDA dwellings is increasing steadily, having grown by </w:t>
      </w:r>
      <w:r w:rsidR="009C491C">
        <w:t>58%</w:t>
      </w:r>
      <w:r>
        <w:t xml:space="preserve"> since Q2 FY19-20 (although </w:t>
      </w:r>
      <w:r w:rsidR="009C491C">
        <w:t>partly due to</w:t>
      </w:r>
      <w:r>
        <w:t xml:space="preserve"> </w:t>
      </w:r>
      <w:r w:rsidR="009C491C">
        <w:t xml:space="preserve">state government </w:t>
      </w:r>
      <w:r>
        <w:t xml:space="preserve">in-kind </w:t>
      </w:r>
      <w:r w:rsidR="009C491C">
        <w:t>stock being transferred to enrolled dwellings</w:t>
      </w:r>
      <w:r>
        <w:t>).</w:t>
      </w:r>
    </w:p>
    <w:p w14:paraId="5E486986" w14:textId="6D5BA685" w:rsidR="00AE1787" w:rsidRPr="00DF2F62" w:rsidRDefault="00AE1787" w:rsidP="00CE75FA">
      <w:pPr>
        <w:rPr>
          <w:b/>
        </w:rPr>
      </w:pPr>
      <w:r>
        <w:lastRenderedPageBreak/>
        <w:t>New build stock</w:t>
      </w:r>
      <w:r w:rsidR="00667BA6">
        <w:t xml:space="preserve"> </w:t>
      </w:r>
      <w:r w:rsidR="00667BA6">
        <w:noBreakHyphen/>
      </w:r>
      <w:r w:rsidR="009C00B6">
        <w:t xml:space="preserve"> the main source of growth</w:t>
      </w:r>
      <w:r w:rsidR="00667BA6">
        <w:t xml:space="preserve"> </w:t>
      </w:r>
      <w:r w:rsidR="00667BA6">
        <w:noBreakHyphen/>
      </w:r>
      <w:r w:rsidR="009C00B6">
        <w:t xml:space="preserve"> </w:t>
      </w:r>
      <w:r>
        <w:t xml:space="preserve">has seen stable increases over each quarter since Q2 FY19-20. </w:t>
      </w:r>
      <w:r w:rsidR="00667BA6">
        <w:t xml:space="preserve"> Nearly all recent additions have come from the marketplace, with on</w:t>
      </w:r>
      <w:r>
        <w:t xml:space="preserve">ly 12% of new build </w:t>
      </w:r>
      <w:r w:rsidR="00667BA6">
        <w:t>and</w:t>
      </w:r>
      <w:r>
        <w:t xml:space="preserve"> new build (refurbished) dwellings added over the last quarter </w:t>
      </w:r>
      <w:r w:rsidR="00667BA6">
        <w:t>being due to</w:t>
      </w:r>
      <w:r>
        <w:t xml:space="preserve"> in-kind transition</w:t>
      </w:r>
      <w:r w:rsidR="00667BA6">
        <w:t>s.</w:t>
      </w:r>
    </w:p>
    <w:p w14:paraId="1B053444" w14:textId="77777777" w:rsidR="00136A8B" w:rsidRDefault="00136A8B" w:rsidP="009458B4">
      <w:r>
        <w:t>Enrolled e</w:t>
      </w:r>
      <w:r w:rsidR="00CE75FA" w:rsidRPr="00DF2F62">
        <w:t xml:space="preserve">xisting </w:t>
      </w:r>
      <w:r>
        <w:t xml:space="preserve">category </w:t>
      </w:r>
      <w:r w:rsidR="00CE75FA" w:rsidRPr="00DF2F62">
        <w:t>SDA stock numbers have remained relatively stable</w:t>
      </w:r>
      <w:r w:rsidR="0094431F" w:rsidRPr="00DF2F62">
        <w:t xml:space="preserve"> until more recent quarters</w:t>
      </w:r>
      <w:r w:rsidR="00CE75FA" w:rsidRPr="00DF2F62">
        <w:t xml:space="preserve">. </w:t>
      </w:r>
      <w:r w:rsidR="00667BA6">
        <w:t>When Victoria completed its transfers to enrolled stock from in-kind last quarter, 95% of the total 861 newly enrolled dwellings were existing stock</w:t>
      </w:r>
      <w:r w:rsidR="009546F7">
        <w:t xml:space="preserve"> (w</w:t>
      </w:r>
      <w:r w:rsidR="00667BA6">
        <w:t xml:space="preserve">hich </w:t>
      </w:r>
      <w:r w:rsidR="00286E90">
        <w:t xml:space="preserve">explains the </w:t>
      </w:r>
      <w:r w:rsidR="00EF256E" w:rsidRPr="00DF2F62">
        <w:t xml:space="preserve">jump in </w:t>
      </w:r>
      <w:r w:rsidR="00521275" w:rsidRPr="00DF2F62">
        <w:t>e</w:t>
      </w:r>
      <w:r w:rsidR="00EF256E" w:rsidRPr="00DF2F62">
        <w:t xml:space="preserve">xisting </w:t>
      </w:r>
      <w:r w:rsidR="00480E70" w:rsidRPr="00DF2F62">
        <w:t xml:space="preserve">and legacy </w:t>
      </w:r>
      <w:r w:rsidR="00521275" w:rsidRPr="00DF2F62">
        <w:t>s</w:t>
      </w:r>
      <w:r w:rsidR="00EF256E" w:rsidRPr="00DF2F62">
        <w:t>tock in the last quarter</w:t>
      </w:r>
      <w:r w:rsidR="00667BA6">
        <w:t>)</w:t>
      </w:r>
      <w:r w:rsidR="005811D7">
        <w:t>.</w:t>
      </w:r>
    </w:p>
    <w:p w14:paraId="31B2CE79" w14:textId="77777777" w:rsidR="00CE75FA" w:rsidRPr="00DF2F62" w:rsidRDefault="00D019F6" w:rsidP="009458B4">
      <w:r>
        <w:t>W</w:t>
      </w:r>
      <w:r w:rsidR="00CE75FA" w:rsidRPr="00DF2F62">
        <w:t xml:space="preserve">ith all jurisdictions now part of the </w:t>
      </w:r>
      <w:r w:rsidR="003D5381" w:rsidRPr="00DF2F62">
        <w:t>NDIS</w:t>
      </w:r>
      <w:r w:rsidR="00CE75FA" w:rsidRPr="00DF2F62">
        <w:t xml:space="preserve">, it is expected that the vast majority of </w:t>
      </w:r>
      <w:r w:rsidR="00160203" w:rsidRPr="00DF2F62">
        <w:t>e</w:t>
      </w:r>
      <w:r w:rsidR="00CE75FA" w:rsidRPr="00DF2F62">
        <w:t xml:space="preserve">xisting SDA </w:t>
      </w:r>
      <w:r w:rsidR="0094431F" w:rsidRPr="00DF2F62">
        <w:t>should be</w:t>
      </w:r>
      <w:r w:rsidR="00CE75FA" w:rsidRPr="00DF2F62">
        <w:t xml:space="preserve"> accounted for in these figures.</w:t>
      </w:r>
      <w:r w:rsidR="00800E9B" w:rsidRPr="00DF2F62">
        <w:t xml:space="preserve"> </w:t>
      </w:r>
      <w:r w:rsidR="00480E70" w:rsidRPr="00DF2F62">
        <w:t xml:space="preserve">The NDIA </w:t>
      </w:r>
      <w:r w:rsidR="00670E23">
        <w:t>expects</w:t>
      </w:r>
      <w:r w:rsidR="00EF256E" w:rsidRPr="00DF2F62">
        <w:t xml:space="preserve"> some increases </w:t>
      </w:r>
      <w:r w:rsidR="00136A8B">
        <w:t xml:space="preserve">in the future </w:t>
      </w:r>
      <w:r w:rsidR="009458B4">
        <w:t>as</w:t>
      </w:r>
      <w:r w:rsidR="005811D7">
        <w:t xml:space="preserve"> </w:t>
      </w:r>
      <w:r w:rsidR="009458B4">
        <w:t xml:space="preserve">Western Australia’s stock (which is currently neither enrolled nor in-kind) is brought into the </w:t>
      </w:r>
      <w:r w:rsidR="009546F7">
        <w:t>NDIS</w:t>
      </w:r>
      <w:r w:rsidR="009458B4">
        <w:t xml:space="preserve">. </w:t>
      </w:r>
      <w:r w:rsidR="005E1141">
        <w:t>Tasmania</w:t>
      </w:r>
      <w:r w:rsidR="009458B4">
        <w:t xml:space="preserve"> also has</w:t>
      </w:r>
      <w:r w:rsidR="005E1141">
        <w:t xml:space="preserve"> 203 in-kind dwellings to transition in </w:t>
      </w:r>
      <w:r w:rsidR="009458B4">
        <w:t>future</w:t>
      </w:r>
      <w:r w:rsidR="005E1141">
        <w:t xml:space="preserve"> quarters</w:t>
      </w:r>
      <w:r w:rsidR="00EF256E" w:rsidRPr="00DF2F62">
        <w:t>.</w:t>
      </w:r>
    </w:p>
    <w:p w14:paraId="33A7D385" w14:textId="77777777" w:rsidR="006426B0" w:rsidRPr="00DF2F62" w:rsidRDefault="006426B0" w:rsidP="006426B0">
      <w:pPr>
        <w:pStyle w:val="Heading3"/>
      </w:pPr>
      <w:bookmarkStart w:id="40" w:name="_Toc79414573"/>
      <w:bookmarkStart w:id="41" w:name="_Toc79493383"/>
      <w:bookmarkStart w:id="42" w:name="_Toc79684608"/>
      <w:bookmarkStart w:id="43" w:name="_Toc83193289"/>
      <w:bookmarkEnd w:id="40"/>
      <w:r w:rsidRPr="00DF2F62">
        <w:t>Dwellings by design category</w:t>
      </w:r>
      <w:bookmarkEnd w:id="41"/>
      <w:bookmarkEnd w:id="42"/>
      <w:bookmarkEnd w:id="43"/>
    </w:p>
    <w:p w14:paraId="486A6DCE" w14:textId="77777777" w:rsidR="00CE75FA" w:rsidRPr="00E84248" w:rsidRDefault="006806E1" w:rsidP="00CE75FA">
      <w:r w:rsidRPr="00DF2F62">
        <w:t>Since Q2 FY</w:t>
      </w:r>
      <w:r w:rsidR="00521275" w:rsidRPr="00DF2F62">
        <w:t>19-20</w:t>
      </w:r>
      <w:r w:rsidR="00160203" w:rsidRPr="00DF2F62">
        <w:t>, high physical supports stock has increased by 218%.</w:t>
      </w:r>
      <w:r w:rsidR="00CE75FA" w:rsidRPr="00DF2F62">
        <w:t xml:space="preserve"> This is more than double the increases in </w:t>
      </w:r>
      <w:r w:rsidR="00160203" w:rsidRPr="00DF2F62">
        <w:t>r</w:t>
      </w:r>
      <w:r w:rsidR="00CE75FA" w:rsidRPr="00DF2F62">
        <w:t xml:space="preserve">obust (98%), almost triple </w:t>
      </w:r>
      <w:r w:rsidR="00160203" w:rsidRPr="00DF2F62">
        <w:t>f</w:t>
      </w:r>
      <w:r w:rsidR="00CE75FA" w:rsidRPr="00DF2F62">
        <w:t xml:space="preserve">ully </w:t>
      </w:r>
      <w:r w:rsidR="00160203" w:rsidRPr="00DF2F62">
        <w:t>a</w:t>
      </w:r>
      <w:r w:rsidR="00CE75FA" w:rsidRPr="00DF2F62">
        <w:t xml:space="preserve">ccessible (79%), and almost quadruple </w:t>
      </w:r>
      <w:r w:rsidR="00160203" w:rsidRPr="00DF2F62">
        <w:t>i</w:t>
      </w:r>
      <w:r w:rsidR="00CE75FA" w:rsidRPr="00DF2F62">
        <w:t xml:space="preserve">mproved </w:t>
      </w:r>
      <w:r w:rsidR="00160203" w:rsidRPr="00DF2F62">
        <w:t>l</w:t>
      </w:r>
      <w:r w:rsidR="00CE75FA" w:rsidRPr="00DF2F62">
        <w:t>iv</w:t>
      </w:r>
      <w:r w:rsidR="00E3443E" w:rsidRPr="00DF2F62">
        <w:t>e</w:t>
      </w:r>
      <w:r w:rsidR="00CE75FA" w:rsidRPr="00DF2F62">
        <w:t>ability (55%</w:t>
      </w:r>
      <w:r w:rsidR="00480E70" w:rsidRPr="00DF2F62">
        <w:t xml:space="preserve">). Basic stock </w:t>
      </w:r>
      <w:r w:rsidR="00CE75FA" w:rsidRPr="00DF2F62">
        <w:t>inc</w:t>
      </w:r>
      <w:r w:rsidR="00536D36" w:rsidRPr="00DF2F62">
        <w:t xml:space="preserve">reased by 12% over this </w:t>
      </w:r>
      <w:r w:rsidR="0094431F" w:rsidRPr="00DF2F62">
        <w:t>period</w:t>
      </w:r>
      <w:r w:rsidR="00480E70" w:rsidRPr="00DF2F62">
        <w:t xml:space="preserve"> which </w:t>
      </w:r>
      <w:r w:rsidR="00A20631">
        <w:t xml:space="preserve">is </w:t>
      </w:r>
      <w:r w:rsidR="00480E70" w:rsidRPr="00DF2F62">
        <w:t>mostly attributable to Victoria’s transition of in-kind arrangements</w:t>
      </w:r>
      <w:r w:rsidR="0094431F" w:rsidRPr="00DF2F62">
        <w:t xml:space="preserve">. </w:t>
      </w:r>
      <w:r w:rsidR="00CE75FA" w:rsidRPr="00DF2F62">
        <w:t xml:space="preserve">Moreover, for all categories other than </w:t>
      </w:r>
      <w:r w:rsidR="00160203" w:rsidRPr="00DF2F62">
        <w:t>high physical supports</w:t>
      </w:r>
      <w:r w:rsidR="00CE75FA" w:rsidRPr="00DF2F62">
        <w:t xml:space="preserve">, most of this increase only occurred in the most </w:t>
      </w:r>
      <w:r w:rsidR="00CE75FA" w:rsidRPr="00E84248">
        <w:t>recent quarter</w:t>
      </w:r>
      <w:r w:rsidR="00113604">
        <w:t xml:space="preserve"> </w:t>
      </w:r>
      <w:r w:rsidR="00A20631">
        <w:t>due to</w:t>
      </w:r>
      <w:r w:rsidR="00113604">
        <w:t xml:space="preserve"> Victoria’s transition of its in-kind portfolio</w:t>
      </w:r>
      <w:r w:rsidR="00CE75FA" w:rsidRPr="00E84248">
        <w:t xml:space="preserve">. </w:t>
      </w:r>
    </w:p>
    <w:p w14:paraId="36036588" w14:textId="5E032791" w:rsidR="00E84248" w:rsidRPr="00E84248" w:rsidRDefault="00E84248" w:rsidP="00E84248">
      <w:pPr>
        <w:rPr>
          <w:rFonts w:eastAsiaTheme="minorHAnsi" w:cs="Arial"/>
          <w:szCs w:val="22"/>
        </w:rPr>
      </w:pPr>
      <w:r w:rsidRPr="00E84248">
        <w:t>The increase in high physical support dwellings over the period since Q2 FY19-20 (993 dwellings) was more than double the number of either new increased improved liveability dwellings (468) or of fully accessible dwellings (404). The increase in high physical support dwellings over this period was also more than quadruple that of either basic dwellings (233) or robust dwellings (188).</w:t>
      </w:r>
    </w:p>
    <w:p w14:paraId="3B5AE940" w14:textId="77777777" w:rsidR="00CE75FA" w:rsidRDefault="006806E1" w:rsidP="0094431F">
      <w:r w:rsidRPr="00DF2F62">
        <w:t>Since Q4 FY19-20</w:t>
      </w:r>
      <w:r w:rsidR="00CE75FA" w:rsidRPr="00DF2F62">
        <w:t>, the largest percentage growth i</w:t>
      </w:r>
      <w:r w:rsidR="00227B74" w:rsidRPr="00DF2F62">
        <w:t>n</w:t>
      </w:r>
      <w:r w:rsidR="00CE75FA" w:rsidRPr="00DF2F62">
        <w:t xml:space="preserve"> enrolments has been seen in </w:t>
      </w:r>
      <w:r w:rsidR="00160203" w:rsidRPr="00DF2F62">
        <w:t xml:space="preserve">high physical support </w:t>
      </w:r>
      <w:r w:rsidR="00CE75FA" w:rsidRPr="00DF2F62">
        <w:t xml:space="preserve">dwellings (110%), followed by </w:t>
      </w:r>
      <w:r w:rsidR="00160203" w:rsidRPr="00DF2F62">
        <w:t>r</w:t>
      </w:r>
      <w:r w:rsidR="00CE75FA" w:rsidRPr="00DF2F62">
        <w:t xml:space="preserve">obust dwellings (75%) and </w:t>
      </w:r>
      <w:r w:rsidR="00160203" w:rsidRPr="00DF2F62">
        <w:t>f</w:t>
      </w:r>
      <w:r w:rsidR="00CE75FA" w:rsidRPr="00DF2F62">
        <w:t xml:space="preserve">ully </w:t>
      </w:r>
      <w:r w:rsidR="00160203" w:rsidRPr="00DF2F62">
        <w:t>a</w:t>
      </w:r>
      <w:r w:rsidR="00CE75FA" w:rsidRPr="00DF2F62">
        <w:t xml:space="preserve">ccessible dwellings (55%). From </w:t>
      </w:r>
      <w:r w:rsidR="00521275" w:rsidRPr="00DF2F62">
        <w:t>Q3 FY20-21</w:t>
      </w:r>
      <w:r w:rsidR="00CE75FA" w:rsidRPr="00DF2F62">
        <w:t xml:space="preserve">, these </w:t>
      </w:r>
      <w:r w:rsidR="00001445" w:rsidRPr="00DF2F62">
        <w:t>3</w:t>
      </w:r>
      <w:r w:rsidR="00CE75FA" w:rsidRPr="00DF2F62">
        <w:t xml:space="preserve"> dwelling types continue to be the fastest growing (</w:t>
      </w:r>
      <w:r w:rsidR="000C561A" w:rsidRPr="00DF2F62">
        <w:t>3</w:t>
      </w:r>
      <w:r w:rsidR="00CE75FA" w:rsidRPr="00DF2F62">
        <w:t>4%, 49% and 36%, respectively).</w:t>
      </w:r>
    </w:p>
    <w:p w14:paraId="29B303BC" w14:textId="77777777" w:rsidR="00F312B5" w:rsidRPr="00DF2F62" w:rsidRDefault="00F312B5" w:rsidP="00F312B5">
      <w:r>
        <w:t xml:space="preserve">Further breakdown </w:t>
      </w:r>
      <w:r w:rsidRPr="00C03E1F">
        <w:t>by SA4 region</w:t>
      </w:r>
      <w:r>
        <w:t xml:space="preserve">s in </w:t>
      </w:r>
      <w:r w:rsidRPr="00C03E1F">
        <w:t>state</w:t>
      </w:r>
      <w:r>
        <w:t>s</w:t>
      </w:r>
      <w:r w:rsidRPr="00C03E1F">
        <w:t xml:space="preserve"> and territories can be found within</w:t>
      </w:r>
      <w:r>
        <w:t xml:space="preserve"> ‘Table P.5’ </w:t>
      </w:r>
      <w:r w:rsidRPr="00C03E1F">
        <w:t xml:space="preserve">in the SDA quarterly report to disability ministers. </w:t>
      </w:r>
    </w:p>
    <w:p w14:paraId="53A301B6" w14:textId="77777777" w:rsidR="00F312B5" w:rsidRDefault="00F312B5" w:rsidP="0094431F"/>
    <w:p w14:paraId="30DAE05F" w14:textId="77777777" w:rsidR="00CE75FA" w:rsidRDefault="00CE75FA" w:rsidP="008A7B39">
      <w:pPr>
        <w:pStyle w:val="Caption"/>
        <w:keepNext/>
        <w:rPr>
          <w:caps w:val="0"/>
          <w:szCs w:val="16"/>
        </w:rPr>
      </w:pPr>
      <w:bookmarkStart w:id="44" w:name="_Toc79490509"/>
      <w:bookmarkStart w:id="45" w:name="_Toc79493360"/>
      <w:r w:rsidRPr="00DF2F62">
        <w:rPr>
          <w:caps w:val="0"/>
          <w:szCs w:val="16"/>
        </w:rPr>
        <w:lastRenderedPageBreak/>
        <w:t xml:space="preserve">Figure </w:t>
      </w:r>
      <w:r w:rsidR="00121539" w:rsidRPr="00DF2F62">
        <w:rPr>
          <w:caps w:val="0"/>
          <w:szCs w:val="16"/>
        </w:rPr>
        <w:fldChar w:fldCharType="begin"/>
      </w:r>
      <w:r w:rsidR="00121539" w:rsidRPr="00DF2F62">
        <w:rPr>
          <w:caps w:val="0"/>
          <w:szCs w:val="16"/>
        </w:rPr>
        <w:instrText xml:space="preserve"> SEQ Figure \* ARABIC </w:instrText>
      </w:r>
      <w:r w:rsidR="00121539" w:rsidRPr="00DF2F62">
        <w:rPr>
          <w:caps w:val="0"/>
          <w:szCs w:val="16"/>
        </w:rPr>
        <w:fldChar w:fldCharType="separate"/>
      </w:r>
      <w:r w:rsidR="00B72D81">
        <w:rPr>
          <w:caps w:val="0"/>
          <w:noProof/>
          <w:szCs w:val="16"/>
        </w:rPr>
        <w:t>2</w:t>
      </w:r>
      <w:r w:rsidR="00121539" w:rsidRPr="00DF2F62">
        <w:rPr>
          <w:caps w:val="0"/>
          <w:noProof/>
          <w:szCs w:val="16"/>
        </w:rPr>
        <w:fldChar w:fldCharType="end"/>
      </w:r>
      <w:r w:rsidRPr="00DF2F62">
        <w:rPr>
          <w:caps w:val="0"/>
          <w:szCs w:val="16"/>
        </w:rPr>
        <w:t>: Growth in dwelling enrolments</w:t>
      </w:r>
      <w:r w:rsidR="00CB60E1" w:rsidRPr="00DF2F62">
        <w:rPr>
          <w:caps w:val="0"/>
          <w:szCs w:val="16"/>
        </w:rPr>
        <w:t xml:space="preserve"> </w:t>
      </w:r>
      <w:r w:rsidRPr="00DF2F62">
        <w:rPr>
          <w:caps w:val="0"/>
          <w:szCs w:val="16"/>
        </w:rPr>
        <w:t>by design categorie</w:t>
      </w:r>
      <w:r w:rsidR="00521275" w:rsidRPr="00DF2F62">
        <w:rPr>
          <w:caps w:val="0"/>
          <w:szCs w:val="16"/>
        </w:rPr>
        <w:t>s</w:t>
      </w:r>
      <w:bookmarkEnd w:id="44"/>
      <w:bookmarkEnd w:id="45"/>
      <w:r w:rsidR="00121539" w:rsidRPr="00DF2F62">
        <w:rPr>
          <w:caps w:val="0"/>
          <w:szCs w:val="16"/>
        </w:rPr>
        <w:t xml:space="preserve"> (excludes in-kind arrangements)</w:t>
      </w:r>
    </w:p>
    <w:p w14:paraId="57DE7B12" w14:textId="77777777" w:rsidR="001E36D1" w:rsidRDefault="001E36D1" w:rsidP="001E36D1">
      <w:r w:rsidRPr="00DF2F62">
        <w:rPr>
          <w:noProof/>
          <w:lang w:eastAsia="en-AU"/>
        </w:rPr>
        <w:drawing>
          <wp:inline distT="0" distB="0" distL="0" distR="0" wp14:anchorId="50369A48" wp14:editId="59C99BEA">
            <wp:extent cx="5760000" cy="3060000"/>
            <wp:effectExtent l="0" t="0" r="12700" b="7620"/>
            <wp:docPr id="7" name="Chart 7" descr="This line graph displays the growth of dwellings across Q2 FY19-20 to Q4 FY20-21 for Basic, Improved Liveability, High Physical Support, Robust and Fully Accessible dwellings.&#10;&#10;Basic stock has the highest absolute numbers which hovered between 1,906 to 2,030 between Q2 FY19-20 and Q3 FY20-21. This has seen an increase in Q4 FY20-21 to 2,167.&#10;&#10;Improved Liveability dwellings have seen a steady increase between Q2 FY19-20 (847 dwellings) to Q3 FY20-21 (1,072). This has increased to 1,315 in Q4 FY20-21.&#10;&#10;High Physical Support dwellings have seen relatively larger and consistent growth since Q2 FY19-20 (455 dwellings) to the current 1,448 in Q4 FY20-21.&#10;&#10;Robust dwellings have generally been increasing since Q2 FY19-20 (191 dwellings). Since Q2 FY20-21 this has been seeing larger growth than previous quarters, with Q4 FY20-21 featuring the largest percentage growth for robust dwellings ending with 379 dwellings.&#10;&#10;Fully Accessible dwellings have seen a consistent positive growth in enrolments since Q2 FY19-20 (511 dwellings) to Q3 FY20-21 (674). This has spiked up further in Q4 FY20-21 to 915." title="Figure 2: Growth in dwelling enrolments by design categories (excludes in-kind arrangeme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D244439" w14:textId="6D4E507B" w:rsidR="00CE75FA" w:rsidRPr="00DF2F62" w:rsidRDefault="00CE75FA" w:rsidP="00CE75FA">
      <w:pPr>
        <w:rPr>
          <w:b/>
        </w:rPr>
      </w:pPr>
      <w:r w:rsidRPr="00DF2F62">
        <w:rPr>
          <w:b/>
        </w:rPr>
        <w:t xml:space="preserve">NDIA </w:t>
      </w:r>
      <w:r w:rsidR="00227990">
        <w:rPr>
          <w:b/>
        </w:rPr>
        <w:t>observations</w:t>
      </w:r>
    </w:p>
    <w:p w14:paraId="4359FAA6" w14:textId="1D08E5DD" w:rsidR="00113604" w:rsidRDefault="00CE75FA" w:rsidP="00CE75FA">
      <w:r w:rsidRPr="00DF2F62">
        <w:t xml:space="preserve">While </w:t>
      </w:r>
      <w:r w:rsidR="00160203" w:rsidRPr="00DF2F62">
        <w:t>high physical support</w:t>
      </w:r>
      <w:r w:rsidRPr="00DF2F62">
        <w:t xml:space="preserve"> has the largest increase in dwellings,</w:t>
      </w:r>
      <w:r w:rsidR="000B3CC4" w:rsidRPr="00DF2F62">
        <w:t xml:space="preserve"> </w:t>
      </w:r>
      <w:r w:rsidR="006426B0" w:rsidRPr="00DF2F62">
        <w:t xml:space="preserve">all design categories have seen increases in their build type since Q2 FY19-20. </w:t>
      </w:r>
      <w:r w:rsidR="00113604">
        <w:t xml:space="preserve">The increase across all design categories in Q4 FY20-21 can be mostly </w:t>
      </w:r>
      <w:r w:rsidR="00472827">
        <w:t>at</w:t>
      </w:r>
      <w:r w:rsidR="00113604">
        <w:t xml:space="preserve">tributed to Victoria’s in-kind transition and these dwelling numbers now appearing in this data. In Q3 FY20-21, Victoria’s in-kind stock was 91 basic, 230 improved liveability, </w:t>
      </w:r>
      <w:proofErr w:type="gramStart"/>
      <w:r w:rsidR="00113604">
        <w:t>155</w:t>
      </w:r>
      <w:proofErr w:type="gramEnd"/>
      <w:r w:rsidR="00113604">
        <w:t xml:space="preserve"> high physical support, 108 robust and 277 fully accessible dwellings, which all have been transitioned. </w:t>
      </w:r>
    </w:p>
    <w:p w14:paraId="6DF19821" w14:textId="54B4017F" w:rsidR="00CE75FA" w:rsidRPr="00DF2F62" w:rsidRDefault="00A20631" w:rsidP="00CE75FA">
      <w:r>
        <w:t xml:space="preserve">The majority of growth in high physical support is not from Victoria’s in-kind </w:t>
      </w:r>
      <w:r w:rsidR="0097573E">
        <w:t>transition</w:t>
      </w:r>
      <w:r>
        <w:t xml:space="preserve"> but from market</w:t>
      </w:r>
      <w:r w:rsidR="00227990">
        <w:t>place providers</w:t>
      </w:r>
      <w:r>
        <w:t xml:space="preserve">. </w:t>
      </w:r>
    </w:p>
    <w:p w14:paraId="6866246B" w14:textId="77777777" w:rsidR="00CE75FA" w:rsidRPr="00DF2F62" w:rsidRDefault="00CE75FA" w:rsidP="00CE75FA">
      <w:pPr>
        <w:pStyle w:val="Heading3"/>
      </w:pPr>
      <w:bookmarkStart w:id="46" w:name="_Toc79414575"/>
      <w:bookmarkStart w:id="47" w:name="_Toc79414576"/>
      <w:bookmarkStart w:id="48" w:name="_Toc79493384"/>
      <w:bookmarkStart w:id="49" w:name="_Toc79581642"/>
      <w:bookmarkStart w:id="50" w:name="_Toc79684609"/>
      <w:bookmarkStart w:id="51" w:name="_Toc83193290"/>
      <w:bookmarkEnd w:id="46"/>
      <w:bookmarkEnd w:id="47"/>
      <w:r w:rsidRPr="00DF2F62">
        <w:t>Dwellings by number of residents</w:t>
      </w:r>
      <w:bookmarkEnd w:id="48"/>
      <w:bookmarkEnd w:id="49"/>
      <w:bookmarkEnd w:id="50"/>
      <w:bookmarkEnd w:id="51"/>
    </w:p>
    <w:p w14:paraId="31901595" w14:textId="0ED382BB" w:rsidR="00CE75FA" w:rsidRPr="00DF2F62" w:rsidRDefault="00450C40" w:rsidP="00CE75FA">
      <w:r w:rsidRPr="00DF2F62">
        <w:t xml:space="preserve">Since Q2 FY19-20, </w:t>
      </w:r>
      <w:r w:rsidR="00CE75FA" w:rsidRPr="00DF2F62">
        <w:t xml:space="preserve">the </w:t>
      </w:r>
      <w:r w:rsidR="00D6191F" w:rsidRPr="00DF2F62">
        <w:t>larges</w:t>
      </w:r>
      <w:r w:rsidR="00CE75FA" w:rsidRPr="00DF2F62">
        <w:t xml:space="preserve">t growth has been in single resident dwellings, both in absolute terms (819 </w:t>
      </w:r>
      <w:r w:rsidR="00D6191F" w:rsidRPr="00DF2F62">
        <w:t>dwellings</w:t>
      </w:r>
      <w:r w:rsidR="00CE75FA" w:rsidRPr="00DF2F62">
        <w:t>) and in percentage</w:t>
      </w:r>
      <w:r w:rsidR="00D6191F" w:rsidRPr="00DF2F62">
        <w:t xml:space="preserve"> terms (</w:t>
      </w:r>
      <w:r w:rsidR="005E0768" w:rsidRPr="00DF2F62">
        <w:t xml:space="preserve">85%). </w:t>
      </w:r>
    </w:p>
    <w:p w14:paraId="7F98C081" w14:textId="1E8F0D86" w:rsidR="00CE75FA" w:rsidRDefault="00227990" w:rsidP="00CE75FA">
      <w:r>
        <w:t>Similarly, looking at just the last year, s</w:t>
      </w:r>
      <w:r w:rsidRPr="00DF2F62">
        <w:t xml:space="preserve">ince </w:t>
      </w:r>
      <w:r w:rsidR="00346FB3" w:rsidRPr="00DF2F62">
        <w:t>Q4 FY19-20</w:t>
      </w:r>
      <w:r w:rsidR="00CE75FA" w:rsidRPr="00DF2F62">
        <w:t xml:space="preserve">, the largest increase in enrolled dwellings was single resident dwellings (589 </w:t>
      </w:r>
      <w:r w:rsidR="00D6191F" w:rsidRPr="00DF2F62">
        <w:t>dwellings</w:t>
      </w:r>
      <w:r w:rsidR="00CE75FA" w:rsidRPr="00DF2F62">
        <w:t xml:space="preserve">) followed by </w:t>
      </w:r>
      <w:r w:rsidR="00001445" w:rsidRPr="00DF2F62">
        <w:t>5-</w:t>
      </w:r>
      <w:r w:rsidR="00CE75FA" w:rsidRPr="00DF2F62">
        <w:t xml:space="preserve">resident </w:t>
      </w:r>
      <w:r w:rsidR="0045794E">
        <w:t>dwellings</w:t>
      </w:r>
      <w:r w:rsidR="0045794E" w:rsidRPr="00DF2F62">
        <w:t xml:space="preserve"> </w:t>
      </w:r>
      <w:r w:rsidR="00CE75FA" w:rsidRPr="00DF2F62">
        <w:t xml:space="preserve">(451 </w:t>
      </w:r>
      <w:r w:rsidR="00D6191F" w:rsidRPr="00DF2F62">
        <w:t xml:space="preserve">dwellings). </w:t>
      </w:r>
      <w:r w:rsidR="00CE75FA" w:rsidRPr="00B72D81">
        <w:t>M</w:t>
      </w:r>
      <w:r w:rsidR="005C5FC0" w:rsidRPr="00B72D81">
        <w:t>uch</w:t>
      </w:r>
      <w:r w:rsidR="00CE75FA" w:rsidRPr="00B72D81">
        <w:t xml:space="preserve"> of the growth</w:t>
      </w:r>
      <w:r w:rsidR="00CE75FA" w:rsidRPr="00DF2F62">
        <w:t xml:space="preserve"> since </w:t>
      </w:r>
      <w:r w:rsidR="009D0A89" w:rsidRPr="00DF2F62">
        <w:t>Q2 FY19-20</w:t>
      </w:r>
      <w:r w:rsidR="00CE75FA" w:rsidRPr="00DF2F62">
        <w:t xml:space="preserve">, for all dwelling sizes, has occurred in the last quarter. </w:t>
      </w:r>
      <w:r w:rsidR="005C5FC0" w:rsidRPr="00B72D81">
        <w:t>Across all</w:t>
      </w:r>
      <w:r w:rsidR="00CE75FA" w:rsidRPr="00B72D81">
        <w:t xml:space="preserve"> building size</w:t>
      </w:r>
      <w:r w:rsidR="005C5FC0" w:rsidRPr="00B72D81">
        <w:t>s</w:t>
      </w:r>
      <w:r w:rsidR="00CE75FA" w:rsidRPr="00DF2F62">
        <w:t xml:space="preserve">, more dwellings were added in </w:t>
      </w:r>
      <w:r w:rsidR="00620317" w:rsidRPr="00DF2F62">
        <w:t xml:space="preserve">Q4 FY20-21 </w:t>
      </w:r>
      <w:r w:rsidR="00CE75FA" w:rsidRPr="00DF2F62">
        <w:t xml:space="preserve">than in the </w:t>
      </w:r>
      <w:r w:rsidR="00001445" w:rsidRPr="00DF2F62">
        <w:t>3</w:t>
      </w:r>
      <w:r w:rsidR="00CE75FA" w:rsidRPr="00DF2F62">
        <w:t xml:space="preserve"> previous quarters combined. The largest increases</w:t>
      </w:r>
      <w:r w:rsidR="000C561A" w:rsidRPr="00DF2F62">
        <w:t xml:space="preserve"> over </w:t>
      </w:r>
      <w:r w:rsidR="00CE75FA" w:rsidRPr="00DF2F62">
        <w:t xml:space="preserve">the last quarter were for </w:t>
      </w:r>
      <w:r w:rsidR="00001445" w:rsidRPr="00DF2F62">
        <w:t>6</w:t>
      </w:r>
      <w:r w:rsidR="00BB7094" w:rsidRPr="00DF2F62">
        <w:t xml:space="preserve"> </w:t>
      </w:r>
      <w:r w:rsidR="00CE75FA" w:rsidRPr="00DF2F62">
        <w:t xml:space="preserve">or more resident </w:t>
      </w:r>
      <w:r w:rsidR="00BB7094" w:rsidRPr="00DF2F62">
        <w:t>l</w:t>
      </w:r>
      <w:r w:rsidR="00B11287" w:rsidRPr="00DF2F62">
        <w:t>egacy s</w:t>
      </w:r>
      <w:r w:rsidR="00297F58" w:rsidRPr="00DF2F62">
        <w:t xml:space="preserve">tock </w:t>
      </w:r>
      <w:r w:rsidR="00CE75FA" w:rsidRPr="00DF2F62">
        <w:t xml:space="preserve">dwellings (56%) and </w:t>
      </w:r>
      <w:r w:rsidR="00001445" w:rsidRPr="00DF2F62">
        <w:t>5-</w:t>
      </w:r>
      <w:r w:rsidR="00CE75FA" w:rsidRPr="00DF2F62">
        <w:t>resident dwellings (42%)</w:t>
      </w:r>
      <w:r w:rsidR="00731712">
        <w:t xml:space="preserve">, which </w:t>
      </w:r>
      <w:r w:rsidR="00C32594">
        <w:t>is mostly attributable</w:t>
      </w:r>
      <w:r w:rsidR="00731712">
        <w:t xml:space="preserve"> to Victoria’s transition of in-kind arrangements</w:t>
      </w:r>
      <w:r w:rsidR="005E0768" w:rsidRPr="00DF2F62">
        <w:t>.</w:t>
      </w:r>
    </w:p>
    <w:p w14:paraId="221E0ABA" w14:textId="77777777" w:rsidR="004D3998" w:rsidRPr="00DF2F62" w:rsidRDefault="004D3998" w:rsidP="00CE75FA">
      <w:r>
        <w:t xml:space="preserve">Further breakdown </w:t>
      </w:r>
      <w:r w:rsidRPr="00C03E1F">
        <w:t>by SA4 region</w:t>
      </w:r>
      <w:r>
        <w:t xml:space="preserve"> </w:t>
      </w:r>
      <w:r w:rsidRPr="00C03E1F">
        <w:t>for each state and territory can be found within ‘</w:t>
      </w:r>
      <w:r>
        <w:t>Table P.6</w:t>
      </w:r>
      <w:r w:rsidRPr="00C03E1F">
        <w:t xml:space="preserve">’ in the SDA quarterly report to disability ministers. </w:t>
      </w:r>
    </w:p>
    <w:p w14:paraId="758E50C4" w14:textId="77777777" w:rsidR="00CE75FA" w:rsidRDefault="00CE75FA" w:rsidP="00CE75FA">
      <w:pPr>
        <w:pStyle w:val="Caption"/>
        <w:keepNext/>
        <w:rPr>
          <w:caps w:val="0"/>
          <w:szCs w:val="16"/>
        </w:rPr>
      </w:pPr>
      <w:bookmarkStart w:id="52" w:name="_Ref79504227"/>
      <w:bookmarkStart w:id="53" w:name="_Toc79490510"/>
      <w:bookmarkStart w:id="54" w:name="_Toc79493361"/>
      <w:r w:rsidRPr="00DF2F62">
        <w:rPr>
          <w:caps w:val="0"/>
          <w:szCs w:val="16"/>
        </w:rPr>
        <w:lastRenderedPageBreak/>
        <w:t xml:space="preserve">Figure </w:t>
      </w:r>
      <w:r w:rsidR="00121539" w:rsidRPr="00DF2F62">
        <w:rPr>
          <w:caps w:val="0"/>
          <w:szCs w:val="16"/>
        </w:rPr>
        <w:fldChar w:fldCharType="begin"/>
      </w:r>
      <w:r w:rsidR="00121539" w:rsidRPr="00DF2F62">
        <w:rPr>
          <w:caps w:val="0"/>
          <w:szCs w:val="16"/>
        </w:rPr>
        <w:instrText xml:space="preserve"> SEQ Figure \* ARABIC </w:instrText>
      </w:r>
      <w:r w:rsidR="00121539" w:rsidRPr="00DF2F62">
        <w:rPr>
          <w:caps w:val="0"/>
          <w:szCs w:val="16"/>
        </w:rPr>
        <w:fldChar w:fldCharType="separate"/>
      </w:r>
      <w:r w:rsidR="00B72D81">
        <w:rPr>
          <w:caps w:val="0"/>
          <w:noProof/>
          <w:szCs w:val="16"/>
        </w:rPr>
        <w:t>3</w:t>
      </w:r>
      <w:r w:rsidR="00121539" w:rsidRPr="00DF2F62">
        <w:rPr>
          <w:caps w:val="0"/>
          <w:noProof/>
          <w:szCs w:val="16"/>
        </w:rPr>
        <w:fldChar w:fldCharType="end"/>
      </w:r>
      <w:bookmarkEnd w:id="52"/>
      <w:r w:rsidRPr="00DF2F62">
        <w:rPr>
          <w:caps w:val="0"/>
          <w:szCs w:val="16"/>
        </w:rPr>
        <w:t xml:space="preserve">: </w:t>
      </w:r>
      <w:r w:rsidR="00BB7094" w:rsidRPr="00DF2F62">
        <w:rPr>
          <w:caps w:val="0"/>
          <w:szCs w:val="16"/>
        </w:rPr>
        <w:t>E</w:t>
      </w:r>
      <w:r w:rsidRPr="00DF2F62">
        <w:rPr>
          <w:caps w:val="0"/>
          <w:szCs w:val="16"/>
        </w:rPr>
        <w:t>nrolled SDA dwellings by maximum number of residents</w:t>
      </w:r>
      <w:bookmarkEnd w:id="53"/>
      <w:bookmarkEnd w:id="54"/>
      <w:r w:rsidR="00121539" w:rsidRPr="00DF2F62">
        <w:rPr>
          <w:caps w:val="0"/>
          <w:szCs w:val="16"/>
        </w:rPr>
        <w:t xml:space="preserve"> (excludes in-kind arrangements)</w:t>
      </w:r>
    </w:p>
    <w:p w14:paraId="6FBD6F2E" w14:textId="77777777" w:rsidR="00CE75FA" w:rsidRPr="001E36D1" w:rsidRDefault="001E36D1" w:rsidP="00CE75FA">
      <w:r w:rsidRPr="00DF2F62">
        <w:rPr>
          <w:noProof/>
          <w:lang w:eastAsia="en-AU"/>
        </w:rPr>
        <w:drawing>
          <wp:inline distT="0" distB="0" distL="0" distR="0" wp14:anchorId="266F3F18" wp14:editId="14D44274">
            <wp:extent cx="5760000" cy="3060000"/>
            <wp:effectExtent l="0" t="0" r="12700" b="7620"/>
            <wp:docPr id="9" name="Chart 9" descr="This line graph displays the trend of SDA dwellings by size between Q2 FY19-20 to Q4 FY20-21 for one, two, three, four, five and six plus resident arrangements. Detailed numbers can be found in the following table.&#10;&#10;One resident dwellings have seen the most consistent and largest growth over this time period, with the largest number of dwellings in Q4 FY20-21 at 1,779.&#10;&#10;Six or more resident dwellings saw no growth until Q4 FY20-21 which is due to former in-kind legacy stock now included (they have been transitioned over).&#10;&#10;All other arrangements featured generally consistent positive growth, which appeared larger from Q1 FY20-21. Of note is five resident dwellings which saw a spike in Q4 FY20-21 from 940 to 1,332 dwellings." title="Figure 3: Enrolled SDA dwellings by maximum number of residents (excludes in-kind arrangeme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15F1AD7" w14:textId="77777777" w:rsidR="00CE75FA" w:rsidRDefault="00CE75FA" w:rsidP="00CE75FA">
      <w:pPr>
        <w:pStyle w:val="Caption"/>
        <w:keepNext/>
        <w:rPr>
          <w:caps w:val="0"/>
          <w:szCs w:val="16"/>
        </w:rPr>
      </w:pPr>
      <w:r w:rsidRPr="00DF2F62">
        <w:rPr>
          <w:caps w:val="0"/>
          <w:szCs w:val="16"/>
        </w:rPr>
        <w:t xml:space="preserve">Table </w:t>
      </w:r>
      <w:r w:rsidR="00121539" w:rsidRPr="00DF2F62">
        <w:rPr>
          <w:caps w:val="0"/>
          <w:szCs w:val="16"/>
        </w:rPr>
        <w:fldChar w:fldCharType="begin"/>
      </w:r>
      <w:r w:rsidR="00121539" w:rsidRPr="00DF2F62">
        <w:rPr>
          <w:caps w:val="0"/>
          <w:szCs w:val="16"/>
        </w:rPr>
        <w:instrText xml:space="preserve"> SEQ Table \* ARABIC </w:instrText>
      </w:r>
      <w:r w:rsidR="00121539" w:rsidRPr="00DF2F62">
        <w:rPr>
          <w:caps w:val="0"/>
          <w:szCs w:val="16"/>
        </w:rPr>
        <w:fldChar w:fldCharType="separate"/>
      </w:r>
      <w:r w:rsidR="00B72D81">
        <w:rPr>
          <w:caps w:val="0"/>
          <w:noProof/>
          <w:szCs w:val="16"/>
        </w:rPr>
        <w:t>1</w:t>
      </w:r>
      <w:r w:rsidR="00121539" w:rsidRPr="00DF2F62">
        <w:rPr>
          <w:caps w:val="0"/>
          <w:noProof/>
          <w:szCs w:val="16"/>
        </w:rPr>
        <w:fldChar w:fldCharType="end"/>
      </w:r>
      <w:r w:rsidRPr="00DF2F62">
        <w:rPr>
          <w:caps w:val="0"/>
          <w:szCs w:val="16"/>
        </w:rPr>
        <w:t xml:space="preserve">: </w:t>
      </w:r>
      <w:r w:rsidR="00BB7094" w:rsidRPr="00DF2F62">
        <w:rPr>
          <w:caps w:val="0"/>
          <w:szCs w:val="16"/>
        </w:rPr>
        <w:t>E</w:t>
      </w:r>
      <w:r w:rsidRPr="00DF2F62">
        <w:rPr>
          <w:caps w:val="0"/>
          <w:szCs w:val="16"/>
        </w:rPr>
        <w:t xml:space="preserve">nrolled SDA dwellings by maximum number of residents </w:t>
      </w:r>
      <w:r w:rsidR="00121539" w:rsidRPr="00DF2F62">
        <w:rPr>
          <w:caps w:val="0"/>
          <w:szCs w:val="16"/>
        </w:rPr>
        <w:t>(excludes in-kind arrangements)</w:t>
      </w:r>
    </w:p>
    <w:tbl>
      <w:tblPr>
        <w:tblStyle w:val="LightShading-Accent4"/>
        <w:tblW w:w="9064" w:type="dxa"/>
        <w:tblLook w:val="04A0" w:firstRow="1" w:lastRow="0" w:firstColumn="1" w:lastColumn="0" w:noHBand="0" w:noVBand="1"/>
        <w:tblCaption w:val="Table 1: Enrolled SDA dwellings by maximum number of residents (excludes in-kind arrangements)"/>
        <w:tblDescription w:val="This table includes the dwelling numbers behind the previous graph, displaying the trend of SDA dwellings by size between Q2 FY19-20 to Q4 FY20-21 for one, two, three, four, five and six plus resident arrangements."/>
      </w:tblPr>
      <w:tblGrid>
        <w:gridCol w:w="2420"/>
        <w:gridCol w:w="949"/>
        <w:gridCol w:w="949"/>
        <w:gridCol w:w="949"/>
        <w:gridCol w:w="949"/>
        <w:gridCol w:w="949"/>
        <w:gridCol w:w="949"/>
        <w:gridCol w:w="950"/>
      </w:tblGrid>
      <w:tr w:rsidR="001E36D1" w:rsidRPr="00DF2F62" w14:paraId="22988F46" w14:textId="77777777" w:rsidTr="00561208">
        <w:trPr>
          <w:cnfStyle w:val="100000000000" w:firstRow="1" w:lastRow="0" w:firstColumn="0" w:lastColumn="0" w:oddVBand="0" w:evenVBand="0" w:oddHBand="0" w:evenHBand="0" w:firstRowFirstColumn="0" w:firstRowLastColumn="0" w:lastRowFirstColumn="0" w:lastRowLastColumn="0"/>
          <w:trHeight w:val="1062"/>
          <w:tblHeader/>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48958FEF" w14:textId="77777777" w:rsidR="001E36D1" w:rsidRPr="00C97703" w:rsidRDefault="001E36D1" w:rsidP="001E36D1">
            <w:pPr>
              <w:spacing w:after="0"/>
              <w:rPr>
                <w:rFonts w:asciiTheme="majorHAnsi" w:hAnsiTheme="majorHAnsi" w:cstheme="majorHAnsi"/>
                <w:sz w:val="18"/>
                <w:szCs w:val="14"/>
              </w:rPr>
            </w:pPr>
            <w:r w:rsidRPr="00C97703">
              <w:rPr>
                <w:rFonts w:asciiTheme="majorHAnsi" w:hAnsiTheme="majorHAnsi" w:cstheme="majorHAnsi"/>
                <w:bCs w:val="0"/>
                <w:sz w:val="18"/>
                <w:szCs w:val="14"/>
              </w:rPr>
              <w:t>Maximum number of residents in SDA dwelling</w:t>
            </w:r>
          </w:p>
        </w:tc>
        <w:tc>
          <w:tcPr>
            <w:tcW w:w="949" w:type="dxa"/>
            <w:vAlign w:val="center"/>
          </w:tcPr>
          <w:p w14:paraId="2CBF97E5" w14:textId="77777777" w:rsidR="001E36D1" w:rsidRPr="00C97703" w:rsidRDefault="001E36D1" w:rsidP="001E36D1">
            <w:pPr>
              <w:spacing w:after="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4"/>
              </w:rPr>
            </w:pPr>
            <w:r w:rsidRPr="00C97703">
              <w:rPr>
                <w:rFonts w:asciiTheme="majorHAnsi" w:hAnsiTheme="majorHAnsi" w:cstheme="majorHAnsi"/>
                <w:sz w:val="18"/>
                <w:szCs w:val="14"/>
              </w:rPr>
              <w:t>31-Dec-19</w:t>
            </w:r>
          </w:p>
        </w:tc>
        <w:tc>
          <w:tcPr>
            <w:tcW w:w="949" w:type="dxa"/>
            <w:vAlign w:val="center"/>
          </w:tcPr>
          <w:p w14:paraId="4D32FE63" w14:textId="77777777" w:rsidR="001E36D1" w:rsidRPr="00C97703" w:rsidRDefault="001E36D1" w:rsidP="001E36D1">
            <w:pPr>
              <w:spacing w:after="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4"/>
              </w:rPr>
            </w:pPr>
            <w:r w:rsidRPr="00C97703">
              <w:rPr>
                <w:rFonts w:asciiTheme="majorHAnsi" w:hAnsiTheme="majorHAnsi" w:cstheme="majorHAnsi"/>
                <w:sz w:val="18"/>
                <w:szCs w:val="14"/>
              </w:rPr>
              <w:t>31-Mar-20</w:t>
            </w:r>
          </w:p>
        </w:tc>
        <w:tc>
          <w:tcPr>
            <w:tcW w:w="949" w:type="dxa"/>
            <w:vAlign w:val="center"/>
          </w:tcPr>
          <w:p w14:paraId="3855FFC5" w14:textId="77777777" w:rsidR="001E36D1" w:rsidRPr="00C97703" w:rsidRDefault="001E36D1" w:rsidP="001E36D1">
            <w:pPr>
              <w:spacing w:after="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4"/>
              </w:rPr>
            </w:pPr>
            <w:r w:rsidRPr="00C97703">
              <w:rPr>
                <w:rFonts w:asciiTheme="majorHAnsi" w:hAnsiTheme="majorHAnsi" w:cstheme="majorHAnsi"/>
                <w:sz w:val="18"/>
                <w:szCs w:val="14"/>
              </w:rPr>
              <w:t>30-Jun-20</w:t>
            </w:r>
          </w:p>
        </w:tc>
        <w:tc>
          <w:tcPr>
            <w:tcW w:w="949" w:type="dxa"/>
            <w:vAlign w:val="center"/>
          </w:tcPr>
          <w:p w14:paraId="5642004E" w14:textId="77777777" w:rsidR="001E36D1" w:rsidRPr="00C97703" w:rsidRDefault="001E36D1" w:rsidP="001E36D1">
            <w:pPr>
              <w:spacing w:after="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4"/>
              </w:rPr>
            </w:pPr>
            <w:r w:rsidRPr="00C97703">
              <w:rPr>
                <w:rFonts w:asciiTheme="majorHAnsi" w:hAnsiTheme="majorHAnsi" w:cstheme="majorHAnsi"/>
                <w:sz w:val="18"/>
                <w:szCs w:val="14"/>
              </w:rPr>
              <w:t>30-Sep-20</w:t>
            </w:r>
          </w:p>
        </w:tc>
        <w:tc>
          <w:tcPr>
            <w:tcW w:w="949" w:type="dxa"/>
            <w:vAlign w:val="center"/>
          </w:tcPr>
          <w:p w14:paraId="3D12A513" w14:textId="77777777" w:rsidR="001E36D1" w:rsidRPr="00C97703" w:rsidRDefault="001E36D1" w:rsidP="001E36D1">
            <w:pPr>
              <w:spacing w:after="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4"/>
              </w:rPr>
            </w:pPr>
            <w:r w:rsidRPr="00C97703">
              <w:rPr>
                <w:rFonts w:asciiTheme="majorHAnsi" w:hAnsiTheme="majorHAnsi" w:cstheme="majorHAnsi"/>
                <w:sz w:val="18"/>
                <w:szCs w:val="14"/>
              </w:rPr>
              <w:t>31-Dec-20</w:t>
            </w:r>
          </w:p>
        </w:tc>
        <w:tc>
          <w:tcPr>
            <w:tcW w:w="949" w:type="dxa"/>
            <w:vAlign w:val="center"/>
          </w:tcPr>
          <w:p w14:paraId="0F53A398" w14:textId="77777777" w:rsidR="001E36D1" w:rsidRPr="00C97703" w:rsidRDefault="001E36D1" w:rsidP="001E36D1">
            <w:pPr>
              <w:spacing w:after="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4"/>
              </w:rPr>
            </w:pPr>
            <w:r w:rsidRPr="00C97703">
              <w:rPr>
                <w:rFonts w:asciiTheme="majorHAnsi" w:hAnsiTheme="majorHAnsi" w:cstheme="majorHAnsi"/>
                <w:sz w:val="18"/>
                <w:szCs w:val="14"/>
              </w:rPr>
              <w:t>31-Mar-21</w:t>
            </w:r>
          </w:p>
        </w:tc>
        <w:tc>
          <w:tcPr>
            <w:tcW w:w="950" w:type="dxa"/>
            <w:vAlign w:val="center"/>
          </w:tcPr>
          <w:p w14:paraId="16B7C1F5" w14:textId="77777777" w:rsidR="001E36D1" w:rsidRPr="00C97703" w:rsidRDefault="001E36D1" w:rsidP="001E36D1">
            <w:pPr>
              <w:spacing w:after="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4"/>
              </w:rPr>
            </w:pPr>
            <w:r w:rsidRPr="00C97703">
              <w:rPr>
                <w:rFonts w:asciiTheme="majorHAnsi" w:hAnsiTheme="majorHAnsi" w:cstheme="majorHAnsi"/>
                <w:sz w:val="18"/>
                <w:szCs w:val="14"/>
              </w:rPr>
              <w:t>30-Jun-21</w:t>
            </w:r>
          </w:p>
        </w:tc>
      </w:tr>
      <w:tr w:rsidR="001E36D1" w:rsidRPr="00DF2F62" w14:paraId="0C7E6C8D" w14:textId="77777777" w:rsidTr="00561208">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51BD3DE8" w14:textId="77777777" w:rsidR="001E36D1" w:rsidRPr="00C97703" w:rsidRDefault="001E36D1" w:rsidP="001E36D1">
            <w:pPr>
              <w:spacing w:after="0"/>
              <w:rPr>
                <w:rFonts w:asciiTheme="majorHAnsi" w:hAnsiTheme="majorHAnsi" w:cstheme="majorHAnsi"/>
                <w:sz w:val="18"/>
                <w:szCs w:val="14"/>
              </w:rPr>
            </w:pPr>
            <w:r w:rsidRPr="00C97703">
              <w:rPr>
                <w:rFonts w:asciiTheme="majorHAnsi" w:hAnsiTheme="majorHAnsi" w:cstheme="majorHAnsi"/>
                <w:bCs w:val="0"/>
                <w:sz w:val="18"/>
                <w:szCs w:val="14"/>
              </w:rPr>
              <w:t>One resident</w:t>
            </w:r>
          </w:p>
        </w:tc>
        <w:tc>
          <w:tcPr>
            <w:tcW w:w="949" w:type="dxa"/>
            <w:vAlign w:val="center"/>
          </w:tcPr>
          <w:p w14:paraId="63FCC013" w14:textId="77777777" w:rsidR="001E36D1" w:rsidRPr="00C97703"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8"/>
                <w:szCs w:val="14"/>
              </w:rPr>
            </w:pPr>
            <w:r w:rsidRPr="00C97703">
              <w:rPr>
                <w:rFonts w:asciiTheme="majorHAnsi" w:hAnsiTheme="majorHAnsi" w:cstheme="majorHAnsi"/>
                <w:color w:val="000000"/>
                <w:sz w:val="18"/>
                <w:szCs w:val="14"/>
              </w:rPr>
              <w:t>960</w:t>
            </w:r>
          </w:p>
        </w:tc>
        <w:tc>
          <w:tcPr>
            <w:tcW w:w="949" w:type="dxa"/>
            <w:vAlign w:val="center"/>
          </w:tcPr>
          <w:p w14:paraId="72618E16" w14:textId="77777777" w:rsidR="001E36D1" w:rsidRPr="00C97703"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8"/>
                <w:szCs w:val="14"/>
              </w:rPr>
            </w:pPr>
            <w:r w:rsidRPr="00C97703">
              <w:rPr>
                <w:rFonts w:asciiTheme="majorHAnsi" w:hAnsiTheme="majorHAnsi" w:cstheme="majorHAnsi"/>
                <w:color w:val="000000"/>
                <w:sz w:val="18"/>
                <w:szCs w:val="14"/>
              </w:rPr>
              <w:t>1,056</w:t>
            </w:r>
          </w:p>
        </w:tc>
        <w:tc>
          <w:tcPr>
            <w:tcW w:w="949" w:type="dxa"/>
            <w:vAlign w:val="center"/>
          </w:tcPr>
          <w:p w14:paraId="2394E57E" w14:textId="77777777" w:rsidR="001E36D1" w:rsidRPr="00C97703"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8"/>
                <w:szCs w:val="14"/>
              </w:rPr>
            </w:pPr>
            <w:r w:rsidRPr="00C97703">
              <w:rPr>
                <w:rFonts w:asciiTheme="majorHAnsi" w:hAnsiTheme="majorHAnsi" w:cstheme="majorHAnsi"/>
                <w:color w:val="000000"/>
                <w:sz w:val="18"/>
                <w:szCs w:val="14"/>
              </w:rPr>
              <w:t>1,190</w:t>
            </w:r>
          </w:p>
        </w:tc>
        <w:tc>
          <w:tcPr>
            <w:tcW w:w="949" w:type="dxa"/>
            <w:vAlign w:val="center"/>
          </w:tcPr>
          <w:p w14:paraId="2234E439" w14:textId="77777777" w:rsidR="001E36D1" w:rsidRPr="00C97703"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8"/>
                <w:szCs w:val="14"/>
              </w:rPr>
            </w:pPr>
            <w:r w:rsidRPr="00C97703">
              <w:rPr>
                <w:rFonts w:asciiTheme="majorHAnsi" w:hAnsiTheme="majorHAnsi" w:cstheme="majorHAnsi"/>
                <w:color w:val="000000"/>
                <w:sz w:val="18"/>
                <w:szCs w:val="14"/>
              </w:rPr>
              <w:t>1,285</w:t>
            </w:r>
          </w:p>
        </w:tc>
        <w:tc>
          <w:tcPr>
            <w:tcW w:w="949" w:type="dxa"/>
            <w:vAlign w:val="center"/>
          </w:tcPr>
          <w:p w14:paraId="62242331" w14:textId="77777777" w:rsidR="001E36D1" w:rsidRPr="00C97703"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8"/>
                <w:szCs w:val="14"/>
              </w:rPr>
            </w:pPr>
            <w:r w:rsidRPr="00C97703">
              <w:rPr>
                <w:rFonts w:asciiTheme="majorHAnsi" w:hAnsiTheme="majorHAnsi" w:cstheme="majorHAnsi"/>
                <w:color w:val="000000"/>
                <w:sz w:val="18"/>
                <w:szCs w:val="14"/>
              </w:rPr>
              <w:t>1,437</w:t>
            </w:r>
          </w:p>
        </w:tc>
        <w:tc>
          <w:tcPr>
            <w:tcW w:w="949" w:type="dxa"/>
            <w:vAlign w:val="center"/>
          </w:tcPr>
          <w:p w14:paraId="1F66E964" w14:textId="77777777" w:rsidR="001E36D1" w:rsidRPr="00C97703"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8"/>
                <w:szCs w:val="14"/>
              </w:rPr>
            </w:pPr>
            <w:r w:rsidRPr="00C97703">
              <w:rPr>
                <w:rFonts w:asciiTheme="majorHAnsi" w:hAnsiTheme="majorHAnsi" w:cstheme="majorHAnsi"/>
                <w:color w:val="000000"/>
                <w:sz w:val="18"/>
                <w:szCs w:val="14"/>
              </w:rPr>
              <w:t>1,495</w:t>
            </w:r>
          </w:p>
        </w:tc>
        <w:tc>
          <w:tcPr>
            <w:tcW w:w="950" w:type="dxa"/>
            <w:vAlign w:val="center"/>
          </w:tcPr>
          <w:p w14:paraId="4A146BF5" w14:textId="77777777" w:rsidR="001E36D1" w:rsidRPr="00C97703"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8"/>
                <w:szCs w:val="14"/>
              </w:rPr>
            </w:pPr>
            <w:r w:rsidRPr="00C97703">
              <w:rPr>
                <w:rFonts w:asciiTheme="majorHAnsi" w:hAnsiTheme="majorHAnsi" w:cstheme="majorHAnsi"/>
                <w:color w:val="000000"/>
                <w:sz w:val="18"/>
                <w:szCs w:val="14"/>
              </w:rPr>
              <w:t>1,779</w:t>
            </w:r>
          </w:p>
        </w:tc>
      </w:tr>
      <w:tr w:rsidR="001E36D1" w:rsidRPr="00DF2F62" w14:paraId="78C40C3A" w14:textId="77777777" w:rsidTr="00561208">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691708D4" w14:textId="77777777" w:rsidR="001E36D1" w:rsidRPr="00C97703" w:rsidRDefault="001E36D1" w:rsidP="001E36D1">
            <w:pPr>
              <w:spacing w:after="0"/>
              <w:rPr>
                <w:rFonts w:asciiTheme="majorHAnsi" w:hAnsiTheme="majorHAnsi" w:cstheme="majorHAnsi"/>
                <w:sz w:val="18"/>
                <w:szCs w:val="14"/>
              </w:rPr>
            </w:pPr>
            <w:r w:rsidRPr="00C97703">
              <w:rPr>
                <w:rFonts w:asciiTheme="majorHAnsi" w:hAnsiTheme="majorHAnsi" w:cstheme="majorHAnsi"/>
                <w:bCs w:val="0"/>
                <w:sz w:val="18"/>
                <w:szCs w:val="14"/>
              </w:rPr>
              <w:t>Two residents</w:t>
            </w:r>
          </w:p>
        </w:tc>
        <w:tc>
          <w:tcPr>
            <w:tcW w:w="949" w:type="dxa"/>
            <w:vAlign w:val="center"/>
          </w:tcPr>
          <w:p w14:paraId="33BAA248" w14:textId="77777777" w:rsidR="001E36D1" w:rsidRPr="00C97703"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8"/>
                <w:szCs w:val="14"/>
              </w:rPr>
            </w:pPr>
            <w:r w:rsidRPr="00C97703">
              <w:rPr>
                <w:rFonts w:asciiTheme="majorHAnsi" w:hAnsiTheme="majorHAnsi" w:cstheme="majorHAnsi"/>
                <w:color w:val="000000"/>
                <w:sz w:val="18"/>
                <w:szCs w:val="14"/>
              </w:rPr>
              <w:t>955</w:t>
            </w:r>
          </w:p>
        </w:tc>
        <w:tc>
          <w:tcPr>
            <w:tcW w:w="949" w:type="dxa"/>
            <w:vAlign w:val="center"/>
          </w:tcPr>
          <w:p w14:paraId="19F061E6" w14:textId="77777777" w:rsidR="001E36D1" w:rsidRPr="00C97703"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8"/>
                <w:szCs w:val="14"/>
              </w:rPr>
            </w:pPr>
            <w:r w:rsidRPr="00C97703">
              <w:rPr>
                <w:rFonts w:asciiTheme="majorHAnsi" w:hAnsiTheme="majorHAnsi" w:cstheme="majorHAnsi"/>
                <w:color w:val="000000"/>
                <w:sz w:val="18"/>
                <w:szCs w:val="14"/>
              </w:rPr>
              <w:t>986</w:t>
            </w:r>
          </w:p>
        </w:tc>
        <w:tc>
          <w:tcPr>
            <w:tcW w:w="949" w:type="dxa"/>
            <w:vAlign w:val="center"/>
          </w:tcPr>
          <w:p w14:paraId="35E881CF" w14:textId="77777777" w:rsidR="001E36D1" w:rsidRPr="00C97703"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8"/>
                <w:szCs w:val="14"/>
              </w:rPr>
            </w:pPr>
            <w:r w:rsidRPr="00C97703">
              <w:rPr>
                <w:rFonts w:asciiTheme="majorHAnsi" w:hAnsiTheme="majorHAnsi" w:cstheme="majorHAnsi"/>
                <w:color w:val="000000"/>
                <w:sz w:val="18"/>
                <w:szCs w:val="14"/>
              </w:rPr>
              <w:t>1,026</w:t>
            </w:r>
          </w:p>
        </w:tc>
        <w:tc>
          <w:tcPr>
            <w:tcW w:w="949" w:type="dxa"/>
            <w:vAlign w:val="center"/>
          </w:tcPr>
          <w:p w14:paraId="33C8A017" w14:textId="77777777" w:rsidR="001E36D1" w:rsidRPr="00C97703"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8"/>
                <w:szCs w:val="14"/>
              </w:rPr>
            </w:pPr>
            <w:r w:rsidRPr="00C97703">
              <w:rPr>
                <w:rFonts w:asciiTheme="majorHAnsi" w:hAnsiTheme="majorHAnsi" w:cstheme="majorHAnsi"/>
                <w:color w:val="000000"/>
                <w:sz w:val="18"/>
                <w:szCs w:val="14"/>
              </w:rPr>
              <w:t>1,030</w:t>
            </w:r>
          </w:p>
        </w:tc>
        <w:tc>
          <w:tcPr>
            <w:tcW w:w="949" w:type="dxa"/>
            <w:vAlign w:val="center"/>
          </w:tcPr>
          <w:p w14:paraId="32B26D8B" w14:textId="77777777" w:rsidR="001E36D1" w:rsidRPr="00C97703"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8"/>
                <w:szCs w:val="14"/>
              </w:rPr>
            </w:pPr>
            <w:r w:rsidRPr="00C97703">
              <w:rPr>
                <w:rFonts w:asciiTheme="majorHAnsi" w:hAnsiTheme="majorHAnsi" w:cstheme="majorHAnsi"/>
                <w:color w:val="000000"/>
                <w:sz w:val="18"/>
                <w:szCs w:val="14"/>
              </w:rPr>
              <w:t>1,147</w:t>
            </w:r>
          </w:p>
        </w:tc>
        <w:tc>
          <w:tcPr>
            <w:tcW w:w="949" w:type="dxa"/>
            <w:vAlign w:val="center"/>
          </w:tcPr>
          <w:p w14:paraId="02214983" w14:textId="77777777" w:rsidR="001E36D1" w:rsidRPr="00C97703"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8"/>
                <w:szCs w:val="14"/>
              </w:rPr>
            </w:pPr>
            <w:r w:rsidRPr="00C97703">
              <w:rPr>
                <w:rFonts w:asciiTheme="majorHAnsi" w:hAnsiTheme="majorHAnsi" w:cstheme="majorHAnsi"/>
                <w:color w:val="000000"/>
                <w:sz w:val="18"/>
                <w:szCs w:val="14"/>
              </w:rPr>
              <w:t>1,217</w:t>
            </w:r>
          </w:p>
        </w:tc>
        <w:tc>
          <w:tcPr>
            <w:tcW w:w="950" w:type="dxa"/>
            <w:vAlign w:val="center"/>
          </w:tcPr>
          <w:p w14:paraId="520DDC2A" w14:textId="77777777" w:rsidR="001E36D1" w:rsidRPr="00C97703"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8"/>
                <w:szCs w:val="14"/>
              </w:rPr>
            </w:pPr>
            <w:r w:rsidRPr="00C97703">
              <w:rPr>
                <w:rFonts w:asciiTheme="majorHAnsi" w:hAnsiTheme="majorHAnsi" w:cstheme="majorHAnsi"/>
                <w:color w:val="000000"/>
                <w:sz w:val="18"/>
                <w:szCs w:val="14"/>
              </w:rPr>
              <w:t>1,341</w:t>
            </w:r>
          </w:p>
        </w:tc>
      </w:tr>
      <w:tr w:rsidR="001E36D1" w:rsidRPr="00DF2F62" w14:paraId="4C6D2EEA" w14:textId="77777777" w:rsidTr="00561208">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1415FD2B" w14:textId="77777777" w:rsidR="001E36D1" w:rsidRPr="00C97703" w:rsidRDefault="001E36D1" w:rsidP="001E36D1">
            <w:pPr>
              <w:spacing w:after="0"/>
              <w:rPr>
                <w:rFonts w:asciiTheme="majorHAnsi" w:hAnsiTheme="majorHAnsi" w:cstheme="majorHAnsi"/>
                <w:sz w:val="18"/>
                <w:szCs w:val="14"/>
              </w:rPr>
            </w:pPr>
            <w:r w:rsidRPr="00C97703">
              <w:rPr>
                <w:rFonts w:asciiTheme="majorHAnsi" w:hAnsiTheme="majorHAnsi" w:cstheme="majorHAnsi"/>
                <w:bCs w:val="0"/>
                <w:sz w:val="18"/>
                <w:szCs w:val="14"/>
              </w:rPr>
              <w:t>Three residents</w:t>
            </w:r>
          </w:p>
        </w:tc>
        <w:tc>
          <w:tcPr>
            <w:tcW w:w="949" w:type="dxa"/>
            <w:vAlign w:val="center"/>
          </w:tcPr>
          <w:p w14:paraId="2A9E03E9" w14:textId="77777777" w:rsidR="001E36D1" w:rsidRPr="00C97703"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8"/>
                <w:szCs w:val="14"/>
              </w:rPr>
            </w:pPr>
            <w:r w:rsidRPr="00C97703">
              <w:rPr>
                <w:rFonts w:asciiTheme="majorHAnsi" w:hAnsiTheme="majorHAnsi" w:cstheme="majorHAnsi"/>
                <w:color w:val="000000"/>
                <w:sz w:val="18"/>
                <w:szCs w:val="14"/>
              </w:rPr>
              <w:t>456</w:t>
            </w:r>
          </w:p>
        </w:tc>
        <w:tc>
          <w:tcPr>
            <w:tcW w:w="949" w:type="dxa"/>
            <w:vAlign w:val="center"/>
          </w:tcPr>
          <w:p w14:paraId="0B08B859" w14:textId="77777777" w:rsidR="001E36D1" w:rsidRPr="00C97703"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8"/>
                <w:szCs w:val="14"/>
              </w:rPr>
            </w:pPr>
            <w:r w:rsidRPr="00C97703">
              <w:rPr>
                <w:rFonts w:asciiTheme="majorHAnsi" w:hAnsiTheme="majorHAnsi" w:cstheme="majorHAnsi"/>
                <w:color w:val="000000"/>
                <w:sz w:val="18"/>
                <w:szCs w:val="14"/>
              </w:rPr>
              <w:t>480</w:t>
            </w:r>
          </w:p>
        </w:tc>
        <w:tc>
          <w:tcPr>
            <w:tcW w:w="949" w:type="dxa"/>
            <w:vAlign w:val="center"/>
          </w:tcPr>
          <w:p w14:paraId="6894D25F" w14:textId="77777777" w:rsidR="001E36D1" w:rsidRPr="00C97703"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8"/>
                <w:szCs w:val="14"/>
              </w:rPr>
            </w:pPr>
            <w:r w:rsidRPr="00C97703">
              <w:rPr>
                <w:rFonts w:asciiTheme="majorHAnsi" w:hAnsiTheme="majorHAnsi" w:cstheme="majorHAnsi"/>
                <w:color w:val="000000"/>
                <w:sz w:val="18"/>
                <w:szCs w:val="14"/>
              </w:rPr>
              <w:t>510</w:t>
            </w:r>
          </w:p>
        </w:tc>
        <w:tc>
          <w:tcPr>
            <w:tcW w:w="949" w:type="dxa"/>
            <w:vAlign w:val="center"/>
          </w:tcPr>
          <w:p w14:paraId="30576E83" w14:textId="77777777" w:rsidR="001E36D1" w:rsidRPr="00C97703"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8"/>
                <w:szCs w:val="14"/>
              </w:rPr>
            </w:pPr>
            <w:r w:rsidRPr="00C97703">
              <w:rPr>
                <w:rFonts w:asciiTheme="majorHAnsi" w:hAnsiTheme="majorHAnsi" w:cstheme="majorHAnsi"/>
                <w:color w:val="000000"/>
                <w:sz w:val="18"/>
                <w:szCs w:val="14"/>
              </w:rPr>
              <w:t>520</w:t>
            </w:r>
          </w:p>
        </w:tc>
        <w:tc>
          <w:tcPr>
            <w:tcW w:w="949" w:type="dxa"/>
            <w:vAlign w:val="center"/>
          </w:tcPr>
          <w:p w14:paraId="253775ED" w14:textId="77777777" w:rsidR="001E36D1" w:rsidRPr="00C97703"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8"/>
                <w:szCs w:val="14"/>
              </w:rPr>
            </w:pPr>
            <w:r w:rsidRPr="00C97703">
              <w:rPr>
                <w:rFonts w:asciiTheme="majorHAnsi" w:hAnsiTheme="majorHAnsi" w:cstheme="majorHAnsi"/>
                <w:color w:val="000000"/>
                <w:sz w:val="18"/>
                <w:szCs w:val="14"/>
              </w:rPr>
              <w:t>605</w:t>
            </w:r>
          </w:p>
        </w:tc>
        <w:tc>
          <w:tcPr>
            <w:tcW w:w="949" w:type="dxa"/>
            <w:vAlign w:val="center"/>
          </w:tcPr>
          <w:p w14:paraId="5BB3D2DF" w14:textId="77777777" w:rsidR="001E36D1" w:rsidRPr="00C97703"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8"/>
                <w:szCs w:val="14"/>
              </w:rPr>
            </w:pPr>
            <w:r w:rsidRPr="00C97703">
              <w:rPr>
                <w:rFonts w:asciiTheme="majorHAnsi" w:hAnsiTheme="majorHAnsi" w:cstheme="majorHAnsi"/>
                <w:color w:val="000000"/>
                <w:sz w:val="18"/>
                <w:szCs w:val="14"/>
              </w:rPr>
              <w:t>649</w:t>
            </w:r>
          </w:p>
        </w:tc>
        <w:tc>
          <w:tcPr>
            <w:tcW w:w="950" w:type="dxa"/>
            <w:vAlign w:val="center"/>
          </w:tcPr>
          <w:p w14:paraId="1CADA3AF" w14:textId="77777777" w:rsidR="001E36D1" w:rsidRPr="00C97703"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8"/>
                <w:szCs w:val="14"/>
              </w:rPr>
            </w:pPr>
            <w:r w:rsidRPr="00C97703">
              <w:rPr>
                <w:rFonts w:asciiTheme="majorHAnsi" w:hAnsiTheme="majorHAnsi" w:cstheme="majorHAnsi"/>
                <w:color w:val="000000"/>
                <w:sz w:val="18"/>
                <w:szCs w:val="14"/>
              </w:rPr>
              <w:t>750</w:t>
            </w:r>
          </w:p>
        </w:tc>
      </w:tr>
      <w:tr w:rsidR="001E36D1" w:rsidRPr="00DF2F62" w14:paraId="1AEAC83D" w14:textId="77777777" w:rsidTr="00561208">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13ADA5A5" w14:textId="77777777" w:rsidR="001E36D1" w:rsidRPr="00C97703" w:rsidRDefault="001E36D1" w:rsidP="001E36D1">
            <w:pPr>
              <w:spacing w:after="0"/>
              <w:rPr>
                <w:rFonts w:asciiTheme="majorHAnsi" w:hAnsiTheme="majorHAnsi" w:cstheme="majorHAnsi"/>
                <w:sz w:val="18"/>
                <w:szCs w:val="14"/>
              </w:rPr>
            </w:pPr>
            <w:r w:rsidRPr="00C97703">
              <w:rPr>
                <w:rFonts w:asciiTheme="majorHAnsi" w:hAnsiTheme="majorHAnsi" w:cstheme="majorHAnsi"/>
                <w:bCs w:val="0"/>
                <w:sz w:val="18"/>
                <w:szCs w:val="14"/>
              </w:rPr>
              <w:t>Four residents</w:t>
            </w:r>
          </w:p>
        </w:tc>
        <w:tc>
          <w:tcPr>
            <w:tcW w:w="949" w:type="dxa"/>
            <w:vAlign w:val="center"/>
          </w:tcPr>
          <w:p w14:paraId="07B86E3B" w14:textId="77777777" w:rsidR="001E36D1" w:rsidRPr="00C97703"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8"/>
                <w:szCs w:val="14"/>
              </w:rPr>
            </w:pPr>
            <w:r w:rsidRPr="00C97703">
              <w:rPr>
                <w:rFonts w:asciiTheme="majorHAnsi" w:hAnsiTheme="majorHAnsi" w:cstheme="majorHAnsi"/>
                <w:color w:val="000000"/>
                <w:sz w:val="18"/>
                <w:szCs w:val="14"/>
              </w:rPr>
              <w:t>522</w:t>
            </w:r>
          </w:p>
        </w:tc>
        <w:tc>
          <w:tcPr>
            <w:tcW w:w="949" w:type="dxa"/>
            <w:vAlign w:val="center"/>
          </w:tcPr>
          <w:p w14:paraId="49698541" w14:textId="77777777" w:rsidR="001E36D1" w:rsidRPr="00C97703"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8"/>
                <w:szCs w:val="14"/>
              </w:rPr>
            </w:pPr>
            <w:r w:rsidRPr="00C97703">
              <w:rPr>
                <w:rFonts w:asciiTheme="majorHAnsi" w:hAnsiTheme="majorHAnsi" w:cstheme="majorHAnsi"/>
                <w:color w:val="000000"/>
                <w:sz w:val="18"/>
                <w:szCs w:val="14"/>
              </w:rPr>
              <w:t>542</w:t>
            </w:r>
          </w:p>
        </w:tc>
        <w:tc>
          <w:tcPr>
            <w:tcW w:w="949" w:type="dxa"/>
            <w:vAlign w:val="center"/>
          </w:tcPr>
          <w:p w14:paraId="7029F4D0" w14:textId="77777777" w:rsidR="001E36D1" w:rsidRPr="00C97703"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8"/>
                <w:szCs w:val="14"/>
              </w:rPr>
            </w:pPr>
            <w:r w:rsidRPr="00C97703">
              <w:rPr>
                <w:rFonts w:asciiTheme="majorHAnsi" w:hAnsiTheme="majorHAnsi" w:cstheme="majorHAnsi"/>
                <w:color w:val="000000"/>
                <w:sz w:val="18"/>
                <w:szCs w:val="14"/>
              </w:rPr>
              <w:t>555</w:t>
            </w:r>
          </w:p>
        </w:tc>
        <w:tc>
          <w:tcPr>
            <w:tcW w:w="949" w:type="dxa"/>
            <w:vAlign w:val="center"/>
          </w:tcPr>
          <w:p w14:paraId="14A1C67A" w14:textId="77777777" w:rsidR="001E36D1" w:rsidRPr="00C97703"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8"/>
                <w:szCs w:val="14"/>
              </w:rPr>
            </w:pPr>
            <w:r w:rsidRPr="00C97703">
              <w:rPr>
                <w:rFonts w:asciiTheme="majorHAnsi" w:hAnsiTheme="majorHAnsi" w:cstheme="majorHAnsi"/>
                <w:color w:val="000000"/>
                <w:sz w:val="18"/>
                <w:szCs w:val="14"/>
              </w:rPr>
              <w:t>558</w:t>
            </w:r>
          </w:p>
        </w:tc>
        <w:tc>
          <w:tcPr>
            <w:tcW w:w="949" w:type="dxa"/>
            <w:vAlign w:val="center"/>
          </w:tcPr>
          <w:p w14:paraId="1D47F3FD" w14:textId="77777777" w:rsidR="001E36D1" w:rsidRPr="00C97703"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8"/>
                <w:szCs w:val="14"/>
              </w:rPr>
            </w:pPr>
            <w:r w:rsidRPr="00C97703">
              <w:rPr>
                <w:rFonts w:asciiTheme="majorHAnsi" w:hAnsiTheme="majorHAnsi" w:cstheme="majorHAnsi"/>
                <w:color w:val="000000"/>
                <w:sz w:val="18"/>
                <w:szCs w:val="14"/>
              </w:rPr>
              <w:t>597</w:t>
            </w:r>
          </w:p>
        </w:tc>
        <w:tc>
          <w:tcPr>
            <w:tcW w:w="949" w:type="dxa"/>
            <w:vAlign w:val="center"/>
          </w:tcPr>
          <w:p w14:paraId="6C67F731" w14:textId="77777777" w:rsidR="001E36D1" w:rsidRPr="00C97703"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8"/>
                <w:szCs w:val="14"/>
              </w:rPr>
            </w:pPr>
            <w:r w:rsidRPr="00C97703">
              <w:rPr>
                <w:rFonts w:asciiTheme="majorHAnsi" w:hAnsiTheme="majorHAnsi" w:cstheme="majorHAnsi"/>
                <w:color w:val="000000"/>
                <w:sz w:val="18"/>
                <w:szCs w:val="14"/>
              </w:rPr>
              <w:t>609</w:t>
            </w:r>
          </w:p>
        </w:tc>
        <w:tc>
          <w:tcPr>
            <w:tcW w:w="950" w:type="dxa"/>
            <w:vAlign w:val="center"/>
          </w:tcPr>
          <w:p w14:paraId="6B82FB2C" w14:textId="77777777" w:rsidR="001E36D1" w:rsidRPr="00C97703"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8"/>
                <w:szCs w:val="14"/>
              </w:rPr>
            </w:pPr>
            <w:r w:rsidRPr="00C97703">
              <w:rPr>
                <w:rFonts w:asciiTheme="majorHAnsi" w:hAnsiTheme="majorHAnsi" w:cstheme="majorHAnsi"/>
                <w:color w:val="000000"/>
                <w:sz w:val="18"/>
                <w:szCs w:val="14"/>
              </w:rPr>
              <w:t>712</w:t>
            </w:r>
          </w:p>
        </w:tc>
      </w:tr>
      <w:tr w:rsidR="001E36D1" w:rsidRPr="00DF2F62" w14:paraId="6DC47BC4" w14:textId="77777777" w:rsidTr="00561208">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3C108C60" w14:textId="77777777" w:rsidR="001E36D1" w:rsidRPr="00C97703" w:rsidRDefault="001E36D1" w:rsidP="001E36D1">
            <w:pPr>
              <w:spacing w:after="0"/>
              <w:rPr>
                <w:rFonts w:asciiTheme="majorHAnsi" w:hAnsiTheme="majorHAnsi" w:cstheme="majorHAnsi"/>
                <w:sz w:val="18"/>
                <w:szCs w:val="14"/>
              </w:rPr>
            </w:pPr>
            <w:r w:rsidRPr="00C97703">
              <w:rPr>
                <w:rFonts w:asciiTheme="majorHAnsi" w:hAnsiTheme="majorHAnsi" w:cstheme="majorHAnsi"/>
                <w:bCs w:val="0"/>
                <w:sz w:val="18"/>
                <w:szCs w:val="14"/>
              </w:rPr>
              <w:t>Five residents</w:t>
            </w:r>
          </w:p>
        </w:tc>
        <w:tc>
          <w:tcPr>
            <w:tcW w:w="949" w:type="dxa"/>
            <w:vAlign w:val="center"/>
          </w:tcPr>
          <w:p w14:paraId="61E60BE6" w14:textId="77777777" w:rsidR="001E36D1" w:rsidRPr="00C97703"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8"/>
                <w:szCs w:val="14"/>
              </w:rPr>
            </w:pPr>
            <w:r w:rsidRPr="00C97703">
              <w:rPr>
                <w:rFonts w:asciiTheme="majorHAnsi" w:hAnsiTheme="majorHAnsi" w:cstheme="majorHAnsi"/>
                <w:color w:val="000000"/>
                <w:sz w:val="18"/>
                <w:szCs w:val="14"/>
              </w:rPr>
              <w:t>846</w:t>
            </w:r>
          </w:p>
        </w:tc>
        <w:tc>
          <w:tcPr>
            <w:tcW w:w="949" w:type="dxa"/>
            <w:vAlign w:val="center"/>
          </w:tcPr>
          <w:p w14:paraId="51636C44" w14:textId="77777777" w:rsidR="001E36D1" w:rsidRPr="00C97703"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8"/>
                <w:szCs w:val="14"/>
              </w:rPr>
            </w:pPr>
            <w:r w:rsidRPr="00C97703">
              <w:rPr>
                <w:rFonts w:asciiTheme="majorHAnsi" w:hAnsiTheme="majorHAnsi" w:cstheme="majorHAnsi"/>
                <w:color w:val="000000"/>
                <w:sz w:val="18"/>
                <w:szCs w:val="14"/>
              </w:rPr>
              <w:t>862</w:t>
            </w:r>
          </w:p>
        </w:tc>
        <w:tc>
          <w:tcPr>
            <w:tcW w:w="949" w:type="dxa"/>
            <w:vAlign w:val="center"/>
          </w:tcPr>
          <w:p w14:paraId="6E3D5440" w14:textId="77777777" w:rsidR="001E36D1" w:rsidRPr="00C97703"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8"/>
                <w:szCs w:val="14"/>
              </w:rPr>
            </w:pPr>
            <w:r w:rsidRPr="00C97703">
              <w:rPr>
                <w:rFonts w:asciiTheme="majorHAnsi" w:hAnsiTheme="majorHAnsi" w:cstheme="majorHAnsi"/>
                <w:color w:val="000000"/>
                <w:sz w:val="18"/>
                <w:szCs w:val="14"/>
              </w:rPr>
              <w:t>881</w:t>
            </w:r>
          </w:p>
        </w:tc>
        <w:tc>
          <w:tcPr>
            <w:tcW w:w="949" w:type="dxa"/>
            <w:vAlign w:val="center"/>
          </w:tcPr>
          <w:p w14:paraId="41D61C80" w14:textId="77777777" w:rsidR="001E36D1" w:rsidRPr="00C97703"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8"/>
                <w:szCs w:val="14"/>
              </w:rPr>
            </w:pPr>
            <w:r w:rsidRPr="00C97703">
              <w:rPr>
                <w:rFonts w:asciiTheme="majorHAnsi" w:hAnsiTheme="majorHAnsi" w:cstheme="majorHAnsi"/>
                <w:color w:val="000000"/>
                <w:sz w:val="18"/>
                <w:szCs w:val="14"/>
              </w:rPr>
              <w:t>885</w:t>
            </w:r>
          </w:p>
        </w:tc>
        <w:tc>
          <w:tcPr>
            <w:tcW w:w="949" w:type="dxa"/>
            <w:vAlign w:val="center"/>
          </w:tcPr>
          <w:p w14:paraId="4E104114" w14:textId="77777777" w:rsidR="001E36D1" w:rsidRPr="00C97703"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8"/>
                <w:szCs w:val="14"/>
              </w:rPr>
            </w:pPr>
            <w:r w:rsidRPr="00C97703">
              <w:rPr>
                <w:rFonts w:asciiTheme="majorHAnsi" w:hAnsiTheme="majorHAnsi" w:cstheme="majorHAnsi"/>
                <w:color w:val="000000"/>
                <w:sz w:val="18"/>
                <w:szCs w:val="14"/>
              </w:rPr>
              <w:t>935</w:t>
            </w:r>
          </w:p>
        </w:tc>
        <w:tc>
          <w:tcPr>
            <w:tcW w:w="949" w:type="dxa"/>
            <w:vAlign w:val="center"/>
          </w:tcPr>
          <w:p w14:paraId="609D694A" w14:textId="77777777" w:rsidR="001E36D1" w:rsidRPr="00C97703"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8"/>
                <w:szCs w:val="14"/>
              </w:rPr>
            </w:pPr>
            <w:r w:rsidRPr="00C97703">
              <w:rPr>
                <w:rFonts w:asciiTheme="majorHAnsi" w:hAnsiTheme="majorHAnsi" w:cstheme="majorHAnsi"/>
                <w:color w:val="000000"/>
                <w:sz w:val="18"/>
                <w:szCs w:val="14"/>
              </w:rPr>
              <w:t>940</w:t>
            </w:r>
          </w:p>
        </w:tc>
        <w:tc>
          <w:tcPr>
            <w:tcW w:w="950" w:type="dxa"/>
            <w:vAlign w:val="center"/>
          </w:tcPr>
          <w:p w14:paraId="11DD3199" w14:textId="77777777" w:rsidR="001E36D1" w:rsidRPr="00C97703"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18"/>
                <w:szCs w:val="14"/>
              </w:rPr>
            </w:pPr>
            <w:r w:rsidRPr="00C97703">
              <w:rPr>
                <w:rFonts w:asciiTheme="majorHAnsi" w:hAnsiTheme="majorHAnsi" w:cstheme="majorHAnsi"/>
                <w:color w:val="000000"/>
                <w:sz w:val="18"/>
                <w:szCs w:val="14"/>
              </w:rPr>
              <w:t>1,332</w:t>
            </w:r>
          </w:p>
        </w:tc>
      </w:tr>
      <w:tr w:rsidR="001E36D1" w:rsidRPr="00DF2F62" w14:paraId="7274D1EC" w14:textId="77777777" w:rsidTr="00561208">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25CD0F75" w14:textId="77777777" w:rsidR="001E36D1" w:rsidRPr="00C97703" w:rsidRDefault="001E36D1" w:rsidP="001E36D1">
            <w:pPr>
              <w:spacing w:after="0"/>
              <w:rPr>
                <w:rFonts w:asciiTheme="majorHAnsi" w:hAnsiTheme="majorHAnsi" w:cstheme="majorHAnsi"/>
                <w:sz w:val="18"/>
                <w:szCs w:val="14"/>
              </w:rPr>
            </w:pPr>
            <w:r w:rsidRPr="00C97703">
              <w:rPr>
                <w:rFonts w:asciiTheme="majorHAnsi" w:hAnsiTheme="majorHAnsi" w:cstheme="majorHAnsi"/>
                <w:bCs w:val="0"/>
                <w:sz w:val="18"/>
                <w:szCs w:val="14"/>
              </w:rPr>
              <w:t>Six or more residents</w:t>
            </w:r>
          </w:p>
        </w:tc>
        <w:tc>
          <w:tcPr>
            <w:tcW w:w="949" w:type="dxa"/>
            <w:vAlign w:val="center"/>
          </w:tcPr>
          <w:p w14:paraId="46D6BBB8" w14:textId="77777777" w:rsidR="001E36D1" w:rsidRPr="00C97703"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8"/>
                <w:szCs w:val="14"/>
              </w:rPr>
            </w:pPr>
            <w:r w:rsidRPr="00C97703">
              <w:rPr>
                <w:rFonts w:asciiTheme="majorHAnsi" w:hAnsiTheme="majorHAnsi" w:cstheme="majorHAnsi"/>
                <w:color w:val="000000"/>
                <w:sz w:val="18"/>
                <w:szCs w:val="14"/>
              </w:rPr>
              <w:t>199</w:t>
            </w:r>
          </w:p>
        </w:tc>
        <w:tc>
          <w:tcPr>
            <w:tcW w:w="949" w:type="dxa"/>
            <w:vAlign w:val="center"/>
          </w:tcPr>
          <w:p w14:paraId="36EC4EDF" w14:textId="77777777" w:rsidR="001E36D1" w:rsidRPr="00C97703"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8"/>
                <w:szCs w:val="14"/>
              </w:rPr>
            </w:pPr>
            <w:r w:rsidRPr="00C97703">
              <w:rPr>
                <w:rFonts w:asciiTheme="majorHAnsi" w:hAnsiTheme="majorHAnsi" w:cstheme="majorHAnsi"/>
                <w:color w:val="000000"/>
                <w:sz w:val="18"/>
                <w:szCs w:val="14"/>
              </w:rPr>
              <w:t>197</w:t>
            </w:r>
          </w:p>
        </w:tc>
        <w:tc>
          <w:tcPr>
            <w:tcW w:w="949" w:type="dxa"/>
            <w:vAlign w:val="center"/>
          </w:tcPr>
          <w:p w14:paraId="229A905D" w14:textId="77777777" w:rsidR="001E36D1" w:rsidRPr="00C97703"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8"/>
                <w:szCs w:val="14"/>
              </w:rPr>
            </w:pPr>
            <w:r w:rsidRPr="00C97703">
              <w:rPr>
                <w:rFonts w:asciiTheme="majorHAnsi" w:hAnsiTheme="majorHAnsi" w:cstheme="majorHAnsi"/>
                <w:color w:val="000000"/>
                <w:sz w:val="18"/>
                <w:szCs w:val="14"/>
              </w:rPr>
              <w:t>198</w:t>
            </w:r>
          </w:p>
        </w:tc>
        <w:tc>
          <w:tcPr>
            <w:tcW w:w="949" w:type="dxa"/>
            <w:vAlign w:val="center"/>
          </w:tcPr>
          <w:p w14:paraId="1EA100FA" w14:textId="77777777" w:rsidR="001E36D1" w:rsidRPr="00C97703"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8"/>
                <w:szCs w:val="14"/>
              </w:rPr>
            </w:pPr>
            <w:r w:rsidRPr="00C97703">
              <w:rPr>
                <w:rFonts w:asciiTheme="majorHAnsi" w:hAnsiTheme="majorHAnsi" w:cstheme="majorHAnsi"/>
                <w:color w:val="000000"/>
                <w:sz w:val="18"/>
                <w:szCs w:val="14"/>
              </w:rPr>
              <w:t>200</w:t>
            </w:r>
          </w:p>
        </w:tc>
        <w:tc>
          <w:tcPr>
            <w:tcW w:w="949" w:type="dxa"/>
            <w:vAlign w:val="center"/>
          </w:tcPr>
          <w:p w14:paraId="21AF2B59" w14:textId="77777777" w:rsidR="001E36D1" w:rsidRPr="00C97703"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8"/>
                <w:szCs w:val="14"/>
              </w:rPr>
            </w:pPr>
            <w:r w:rsidRPr="00C97703">
              <w:rPr>
                <w:rFonts w:asciiTheme="majorHAnsi" w:hAnsiTheme="majorHAnsi" w:cstheme="majorHAnsi"/>
                <w:color w:val="000000"/>
                <w:sz w:val="18"/>
                <w:szCs w:val="14"/>
              </w:rPr>
              <w:t>200</w:t>
            </w:r>
          </w:p>
        </w:tc>
        <w:tc>
          <w:tcPr>
            <w:tcW w:w="949" w:type="dxa"/>
            <w:vAlign w:val="center"/>
          </w:tcPr>
          <w:p w14:paraId="581EB578" w14:textId="77777777" w:rsidR="001E36D1" w:rsidRPr="00C97703"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8"/>
                <w:szCs w:val="14"/>
              </w:rPr>
            </w:pPr>
            <w:r w:rsidRPr="00C97703">
              <w:rPr>
                <w:rFonts w:asciiTheme="majorHAnsi" w:hAnsiTheme="majorHAnsi" w:cstheme="majorHAnsi"/>
                <w:color w:val="000000"/>
                <w:sz w:val="18"/>
                <w:szCs w:val="14"/>
              </w:rPr>
              <w:t>199</w:t>
            </w:r>
          </w:p>
        </w:tc>
        <w:tc>
          <w:tcPr>
            <w:tcW w:w="950" w:type="dxa"/>
            <w:vAlign w:val="center"/>
          </w:tcPr>
          <w:p w14:paraId="2D24A904" w14:textId="77777777" w:rsidR="001E36D1" w:rsidRPr="00C97703"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sz w:val="18"/>
                <w:szCs w:val="14"/>
              </w:rPr>
            </w:pPr>
            <w:r w:rsidRPr="00C97703">
              <w:rPr>
                <w:rFonts w:asciiTheme="majorHAnsi" w:hAnsiTheme="majorHAnsi" w:cstheme="majorHAnsi"/>
                <w:color w:val="000000"/>
                <w:sz w:val="18"/>
                <w:szCs w:val="14"/>
              </w:rPr>
              <w:t>310</w:t>
            </w:r>
          </w:p>
        </w:tc>
      </w:tr>
    </w:tbl>
    <w:p w14:paraId="06A631EA" w14:textId="77777777" w:rsidR="007B0D7F" w:rsidRDefault="007B0D7F" w:rsidP="00CE75FA">
      <w:pPr>
        <w:rPr>
          <w:b/>
        </w:rPr>
      </w:pPr>
    </w:p>
    <w:p w14:paraId="30D59621" w14:textId="05EAC1A4" w:rsidR="00CE75FA" w:rsidRPr="00DF2F62" w:rsidRDefault="00CE75FA" w:rsidP="00CE75FA">
      <w:pPr>
        <w:rPr>
          <w:b/>
        </w:rPr>
      </w:pPr>
      <w:r w:rsidRPr="00DF2F62">
        <w:rPr>
          <w:b/>
        </w:rPr>
        <w:t xml:space="preserve">NDIA </w:t>
      </w:r>
      <w:r w:rsidR="00227990">
        <w:rPr>
          <w:b/>
        </w:rPr>
        <w:t>observations</w:t>
      </w:r>
    </w:p>
    <w:p w14:paraId="0CED4BB4" w14:textId="77777777" w:rsidR="00CB6D6F" w:rsidRDefault="00CE75FA" w:rsidP="00CE75FA">
      <w:r w:rsidRPr="00DF2F62">
        <w:t xml:space="preserve">The increase in larger </w:t>
      </w:r>
      <w:r w:rsidR="0045794E">
        <w:t>dwellings</w:t>
      </w:r>
      <w:r w:rsidR="0045794E" w:rsidRPr="00DF2F62">
        <w:t xml:space="preserve"> </w:t>
      </w:r>
      <w:r w:rsidRPr="00DF2F62">
        <w:t>(</w:t>
      </w:r>
      <w:r w:rsidR="00001445" w:rsidRPr="00DF2F62">
        <w:t xml:space="preserve">5 </w:t>
      </w:r>
      <w:r w:rsidRPr="00DF2F62">
        <w:t xml:space="preserve">and </w:t>
      </w:r>
      <w:r w:rsidR="00001445" w:rsidRPr="00DF2F62">
        <w:t>6</w:t>
      </w:r>
      <w:r w:rsidRPr="00DF2F62">
        <w:t xml:space="preserve"> residents) over the last year </w:t>
      </w:r>
      <w:r w:rsidR="00633B98">
        <w:t>is</w:t>
      </w:r>
      <w:r w:rsidRPr="00DF2F62">
        <w:t xml:space="preserve"> mostly driven by </w:t>
      </w:r>
      <w:r w:rsidR="00633B98">
        <w:t>Victoria</w:t>
      </w:r>
      <w:r w:rsidR="00CB6D6F">
        <w:t>’s</w:t>
      </w:r>
      <w:r w:rsidR="00633B98">
        <w:t xml:space="preserve"> </w:t>
      </w:r>
      <w:r w:rsidRPr="00DF2F62">
        <w:t>stock transferring out of in-kind and is unlikely to be repeated</w:t>
      </w:r>
      <w:r w:rsidR="00297F58" w:rsidRPr="00DF2F62">
        <w:t xml:space="preserve"> as currently only Tasmania has in-kind stock.</w:t>
      </w:r>
      <w:r w:rsidR="005E0768" w:rsidRPr="00DF2F62">
        <w:t xml:space="preserve"> </w:t>
      </w:r>
      <w:r w:rsidR="009C491C">
        <w:t xml:space="preserve">Of </w:t>
      </w:r>
      <w:r w:rsidR="00633B98">
        <w:t>Tasmania</w:t>
      </w:r>
      <w:r w:rsidR="009C491C">
        <w:t>’s</w:t>
      </w:r>
      <w:r w:rsidR="00633B98">
        <w:t xml:space="preserve"> 203 in-kind dwellings</w:t>
      </w:r>
      <w:r w:rsidR="009C491C">
        <w:t xml:space="preserve"> still to be transferred</w:t>
      </w:r>
      <w:r w:rsidR="00633B98">
        <w:t xml:space="preserve">, only 12 </w:t>
      </w:r>
      <w:r w:rsidR="009C491C">
        <w:t>are</w:t>
      </w:r>
      <w:r w:rsidR="00633B98">
        <w:t xml:space="preserve"> 5-resident and zero </w:t>
      </w:r>
      <w:r w:rsidR="009C491C">
        <w:t>are</w:t>
      </w:r>
      <w:r w:rsidR="00633B98">
        <w:t xml:space="preserve"> 6 or more residents. </w:t>
      </w:r>
      <w:r w:rsidR="00CB6D6F">
        <w:t xml:space="preserve">As new build and existing stock dwellings are limited to 5 residents or less, 6 or more resident dwellings are not expected to grow further once </w:t>
      </w:r>
      <w:r w:rsidR="009C491C">
        <w:t>all states, including</w:t>
      </w:r>
      <w:r w:rsidR="005811D7">
        <w:t xml:space="preserve"> Western Australia,</w:t>
      </w:r>
      <w:r w:rsidR="00CB6D6F">
        <w:t xml:space="preserve"> finalise their enrolments. </w:t>
      </w:r>
    </w:p>
    <w:p w14:paraId="067DF875" w14:textId="208DEC34" w:rsidR="00561208" w:rsidRDefault="009C491C" w:rsidP="00CE75FA">
      <w:r>
        <w:t>A</w:t>
      </w:r>
      <w:r w:rsidR="00CE75FA" w:rsidRPr="00DF2F62">
        <w:t xml:space="preserve">s </w:t>
      </w:r>
      <w:r w:rsidR="00CE75FA" w:rsidRPr="00DF2F62">
        <w:fldChar w:fldCharType="begin"/>
      </w:r>
      <w:r w:rsidR="00CE75FA" w:rsidRPr="00DF2F62">
        <w:instrText xml:space="preserve"> REF _Ref79504227 \h </w:instrText>
      </w:r>
      <w:r w:rsidR="00DF2F62">
        <w:instrText xml:space="preserve"> \* MERGEFORMAT </w:instrText>
      </w:r>
      <w:r w:rsidR="00CE75FA" w:rsidRPr="00DF2F62">
        <w:fldChar w:fldCharType="separate"/>
      </w:r>
      <w:r w:rsidR="00B72D81" w:rsidRPr="00B72D81">
        <w:t xml:space="preserve">Figure </w:t>
      </w:r>
      <w:r w:rsidR="00B72D81" w:rsidRPr="00B72D81">
        <w:rPr>
          <w:noProof/>
        </w:rPr>
        <w:t>3</w:t>
      </w:r>
      <w:r w:rsidR="00CE75FA" w:rsidRPr="00DF2F62">
        <w:fldChar w:fldCharType="end"/>
      </w:r>
      <w:r w:rsidR="00CE75FA" w:rsidRPr="00DF2F62">
        <w:t xml:space="preserve"> shows, growth in single-resident </w:t>
      </w:r>
      <w:r w:rsidR="00BA556D" w:rsidRPr="00DF2F62">
        <w:t>enrolments</w:t>
      </w:r>
      <w:r w:rsidR="00CE75FA" w:rsidRPr="00DF2F62">
        <w:t xml:space="preserve"> has exceeded other sized dwellings for a considerable period</w:t>
      </w:r>
      <w:r w:rsidR="00DB0B44" w:rsidRPr="00DF2F62">
        <w:t xml:space="preserve"> of time</w:t>
      </w:r>
      <w:r w:rsidR="00CB6D6F">
        <w:t xml:space="preserve"> and is largely </w:t>
      </w:r>
      <w:r w:rsidR="00082FD2">
        <w:t>market</w:t>
      </w:r>
      <w:r w:rsidR="00CB6D6F">
        <w:t>-driven</w:t>
      </w:r>
      <w:r w:rsidR="00CE75FA" w:rsidRPr="00DF2F62">
        <w:t>.</w:t>
      </w:r>
      <w:r w:rsidR="00641D49">
        <w:t xml:space="preserve"> </w:t>
      </w:r>
    </w:p>
    <w:p w14:paraId="7FAB4095" w14:textId="77777777" w:rsidR="00561208" w:rsidRDefault="00561208">
      <w:pPr>
        <w:spacing w:line="276" w:lineRule="auto"/>
      </w:pPr>
      <w:r>
        <w:br w:type="page"/>
      </w:r>
    </w:p>
    <w:p w14:paraId="29B15F98" w14:textId="77777777" w:rsidR="00CE75FA" w:rsidRPr="00DF2F62" w:rsidRDefault="00CE75FA" w:rsidP="00CE75FA">
      <w:pPr>
        <w:pStyle w:val="Heading3"/>
      </w:pPr>
      <w:bookmarkStart w:id="55" w:name="_Toc79414578"/>
      <w:bookmarkStart w:id="56" w:name="_Toc79493385"/>
      <w:bookmarkStart w:id="57" w:name="_Toc79581643"/>
      <w:bookmarkStart w:id="58" w:name="_Toc79684610"/>
      <w:bookmarkStart w:id="59" w:name="_Toc83193291"/>
      <w:bookmarkEnd w:id="55"/>
      <w:r w:rsidRPr="00DF2F62">
        <w:lastRenderedPageBreak/>
        <w:t>Locations</w:t>
      </w:r>
      <w:bookmarkEnd w:id="56"/>
      <w:bookmarkEnd w:id="57"/>
      <w:bookmarkEnd w:id="58"/>
      <w:bookmarkEnd w:id="59"/>
    </w:p>
    <w:p w14:paraId="14AD21D0" w14:textId="77777777" w:rsidR="00CE75FA" w:rsidRPr="00DF2F62" w:rsidRDefault="00CE75FA" w:rsidP="00CE75FA">
      <w:r w:rsidRPr="00DF2F62">
        <w:t xml:space="preserve">Since </w:t>
      </w:r>
      <w:r w:rsidR="000C561A" w:rsidRPr="00DF2F62">
        <w:t>Q2</w:t>
      </w:r>
      <w:r w:rsidR="009D0A89" w:rsidRPr="00DF2F62">
        <w:t xml:space="preserve"> FY19-20</w:t>
      </w:r>
      <w:r w:rsidRPr="00DF2F62">
        <w:t>, N</w:t>
      </w:r>
      <w:r w:rsidR="00D6191F" w:rsidRPr="00DF2F62">
        <w:t>ew South Wales</w:t>
      </w:r>
      <w:r w:rsidRPr="00DF2F62">
        <w:t>, Queensland and South Australia have seen moderate growth rates in their SDA housing stock (30%, 57% and 16% respectively).</w:t>
      </w:r>
      <w:r w:rsidR="001204BE" w:rsidRPr="00DF2F62">
        <w:t xml:space="preserve"> </w:t>
      </w:r>
      <w:r w:rsidRPr="00DF2F62">
        <w:t xml:space="preserve">The </w:t>
      </w:r>
      <w:r w:rsidR="00D6191F" w:rsidRPr="00DF2F62">
        <w:t>Australian Capital Territory</w:t>
      </w:r>
      <w:r w:rsidRPr="00DF2F62">
        <w:t xml:space="preserve"> </w:t>
      </w:r>
      <w:r w:rsidR="000C561A" w:rsidRPr="00DF2F62">
        <w:t xml:space="preserve">(1200%) </w:t>
      </w:r>
      <w:r w:rsidRPr="00DF2F62">
        <w:t xml:space="preserve">and Western Australia </w:t>
      </w:r>
      <w:r w:rsidR="000C561A" w:rsidRPr="00DF2F62">
        <w:t xml:space="preserve">(550%) </w:t>
      </w:r>
      <w:r w:rsidRPr="00DF2F62">
        <w:t xml:space="preserve">have experienced </w:t>
      </w:r>
      <w:r w:rsidR="000C561A" w:rsidRPr="00DF2F62">
        <w:t xml:space="preserve">large </w:t>
      </w:r>
      <w:r w:rsidRPr="00DF2F62">
        <w:t xml:space="preserve">growth rates, but from </w:t>
      </w:r>
      <w:r w:rsidR="006535A4" w:rsidRPr="00DF2F62">
        <w:t xml:space="preserve">small </w:t>
      </w:r>
      <w:r w:rsidRPr="00DF2F62">
        <w:t>base</w:t>
      </w:r>
      <w:r w:rsidR="009D0A89" w:rsidRPr="00DF2F62">
        <w:t>lines</w:t>
      </w:r>
      <w:r w:rsidRPr="00DF2F62">
        <w:t xml:space="preserve"> (11 a</w:t>
      </w:r>
      <w:r w:rsidR="00800E9B" w:rsidRPr="00DF2F62">
        <w:t xml:space="preserve">nd 10 </w:t>
      </w:r>
      <w:r w:rsidR="000C561A" w:rsidRPr="00DF2F62">
        <w:t>dwellings</w:t>
      </w:r>
      <w:r w:rsidR="00620317" w:rsidRPr="00DF2F62">
        <w:t>,</w:t>
      </w:r>
      <w:r w:rsidR="00800E9B" w:rsidRPr="00DF2F62">
        <w:t xml:space="preserve"> respectively). </w:t>
      </w:r>
      <w:r w:rsidR="008A4201" w:rsidRPr="00DF2F62">
        <w:t>Housing stock in t</w:t>
      </w:r>
      <w:r w:rsidRPr="00DF2F62">
        <w:t xml:space="preserve">he Northern Territory </w:t>
      </w:r>
      <w:r w:rsidR="008A4201" w:rsidRPr="00DF2F62">
        <w:t>remained unchanged</w:t>
      </w:r>
      <w:r w:rsidRPr="00DF2F62">
        <w:t xml:space="preserve">, and Tasmania’s </w:t>
      </w:r>
      <w:r w:rsidR="008A4201" w:rsidRPr="00DF2F62">
        <w:t xml:space="preserve">housing stock </w:t>
      </w:r>
      <w:r w:rsidRPr="00DF2F62">
        <w:t>has decreased by 10%. Victoria has</w:t>
      </w:r>
      <w:r w:rsidR="009D0A89" w:rsidRPr="00DF2F62">
        <w:t xml:space="preserve"> </w:t>
      </w:r>
      <w:r w:rsidRPr="00DF2F62">
        <w:t xml:space="preserve">almost </w:t>
      </w:r>
      <w:r w:rsidR="00D6191F" w:rsidRPr="00DF2F62">
        <w:t>tripled</w:t>
      </w:r>
      <w:r w:rsidRPr="00DF2F62">
        <w:t xml:space="preserve"> its </w:t>
      </w:r>
      <w:r w:rsidR="00641D49">
        <w:t xml:space="preserve">enrolled SDA </w:t>
      </w:r>
      <w:r w:rsidRPr="00DF2F62">
        <w:t>stock (</w:t>
      </w:r>
      <w:r w:rsidR="00A03CC1">
        <w:t xml:space="preserve">a </w:t>
      </w:r>
      <w:r w:rsidRPr="00DF2F62">
        <w:t>192% increase)</w:t>
      </w:r>
      <w:r w:rsidR="00641D49">
        <w:t>, accounting</w:t>
      </w:r>
      <w:r w:rsidR="00916C51">
        <w:t xml:space="preserve"> </w:t>
      </w:r>
      <w:r w:rsidRPr="00DF2F62">
        <w:t>for almost half (49%) of the total national growth in SDA dwellings over the period</w:t>
      </w:r>
      <w:r w:rsidR="00E66666" w:rsidRPr="00DF2F62">
        <w:t>. This is largely due to the Victorian government’s stock no longer being in-kind</w:t>
      </w:r>
      <w:r w:rsidR="009C491C">
        <w:t>, and thus</w:t>
      </w:r>
      <w:r w:rsidR="009546F7">
        <w:t xml:space="preserve"> </w:t>
      </w:r>
      <w:r w:rsidR="00E66666" w:rsidRPr="00DF2F62">
        <w:t xml:space="preserve">now appearing in </w:t>
      </w:r>
      <w:r w:rsidR="009C491C">
        <w:t xml:space="preserve">enrolled stock </w:t>
      </w:r>
      <w:r w:rsidR="00E66666" w:rsidRPr="00DF2F62">
        <w:t>data.</w:t>
      </w:r>
    </w:p>
    <w:p w14:paraId="50F6E900" w14:textId="77777777" w:rsidR="00620317" w:rsidRPr="00DF2F62" w:rsidRDefault="009D0A89" w:rsidP="00CE75FA">
      <w:r w:rsidRPr="00DF2F62">
        <w:t>Since Q4 FY19-20</w:t>
      </w:r>
      <w:r w:rsidR="00CE75FA" w:rsidRPr="00DF2F62">
        <w:t>, growth rates have continued to be high in the</w:t>
      </w:r>
      <w:r w:rsidR="00D6191F" w:rsidRPr="00DF2F62">
        <w:t xml:space="preserve"> Australian Capital Territory,</w:t>
      </w:r>
      <w:r w:rsidR="00CE75FA" w:rsidRPr="00DF2F62">
        <w:t xml:space="preserve"> Victoria and Western Australia, all increasing their stock by more than 100%. Tasmania and the Northern Territory reversed some of their earlier</w:t>
      </w:r>
      <w:r w:rsidR="00E3443E" w:rsidRPr="00DF2F62">
        <w:t xml:space="preserve"> </w:t>
      </w:r>
      <w:r w:rsidRPr="00DF2F62">
        <w:t>decreases</w:t>
      </w:r>
      <w:r w:rsidR="00CE75FA" w:rsidRPr="00DF2F62">
        <w:t>.</w:t>
      </w:r>
      <w:r w:rsidR="00D6191F" w:rsidRPr="00DF2F62">
        <w:t xml:space="preserve"> </w:t>
      </w:r>
    </w:p>
    <w:p w14:paraId="2B5586EF" w14:textId="77777777" w:rsidR="00CE75FA" w:rsidRDefault="009D0A89" w:rsidP="00CE75FA">
      <w:r w:rsidRPr="00DF2F62">
        <w:t xml:space="preserve">Since Q3 FY20-21, </w:t>
      </w:r>
      <w:r w:rsidR="00CE75FA" w:rsidRPr="00DF2F62">
        <w:t>Victoria add</w:t>
      </w:r>
      <w:r w:rsidR="00E66666" w:rsidRPr="00DF2F62">
        <w:t>ed</w:t>
      </w:r>
      <w:r w:rsidR="00CE75FA" w:rsidRPr="00DF2F62">
        <w:t xml:space="preserve"> 904 dwellings (8</w:t>
      </w:r>
      <w:r w:rsidR="00805529">
        <w:t>1</w:t>
      </w:r>
      <w:r w:rsidR="00CE75FA" w:rsidRPr="00DF2F62">
        <w:t xml:space="preserve">% of </w:t>
      </w:r>
      <w:r w:rsidR="00805529">
        <w:t xml:space="preserve">Victoria’s </w:t>
      </w:r>
      <w:r w:rsidR="00CE75FA" w:rsidRPr="00DF2F62">
        <w:t>to</w:t>
      </w:r>
      <w:r w:rsidR="001204BE" w:rsidRPr="00DF2F62">
        <w:t xml:space="preserve">tal </w:t>
      </w:r>
      <w:r w:rsidR="00C65328" w:rsidRPr="00DF2F62">
        <w:t xml:space="preserve">growth since </w:t>
      </w:r>
      <w:r w:rsidRPr="00DF2F62">
        <w:t>Q2 FY19-20</w:t>
      </w:r>
      <w:r w:rsidR="00E66666" w:rsidRPr="00DF2F62">
        <w:t xml:space="preserve"> and </w:t>
      </w:r>
      <w:r w:rsidR="00CC1958">
        <w:t xml:space="preserve">is </w:t>
      </w:r>
      <w:r w:rsidR="00731712">
        <w:t>mostly due to its transition of in-kind arrangements</w:t>
      </w:r>
      <w:r w:rsidR="00C65328" w:rsidRPr="00DF2F62">
        <w:t>).</w:t>
      </w:r>
      <w:r w:rsidR="00D6191F" w:rsidRPr="00DF2F62">
        <w:t xml:space="preserve"> </w:t>
      </w:r>
    </w:p>
    <w:p w14:paraId="0B2641D0" w14:textId="77777777" w:rsidR="008E25D0" w:rsidRDefault="008E25D0" w:rsidP="00CE75FA">
      <w:r>
        <w:t xml:space="preserve">Note, this section is for the number of enrolled dwellings in a jurisdiction and does not equal </w:t>
      </w:r>
      <w:r w:rsidRPr="00067EE2">
        <w:t>the t</w:t>
      </w:r>
      <w:r w:rsidRPr="009546F7">
        <w:t>otal number of SDA residents or potential residents.</w:t>
      </w:r>
    </w:p>
    <w:p w14:paraId="55B78ADF" w14:textId="77777777" w:rsidR="00F312B5" w:rsidRPr="00DF2F62" w:rsidRDefault="00F312B5" w:rsidP="00F312B5">
      <w:r>
        <w:t xml:space="preserve">Further breakdown </w:t>
      </w:r>
      <w:r w:rsidRPr="00C03E1F">
        <w:t xml:space="preserve">by </w:t>
      </w:r>
      <w:r>
        <w:t xml:space="preserve">design category, build type and </w:t>
      </w:r>
      <w:r w:rsidRPr="00C03E1F">
        <w:t>SA4 region</w:t>
      </w:r>
      <w:r>
        <w:t xml:space="preserve"> </w:t>
      </w:r>
      <w:r w:rsidRPr="00C03E1F">
        <w:t>for each state and territory can be found within ‘</w:t>
      </w:r>
      <w:r>
        <w:t>Table P.13</w:t>
      </w:r>
      <w:r w:rsidRPr="00C03E1F">
        <w:t xml:space="preserve">’ </w:t>
      </w:r>
      <w:r>
        <w:t xml:space="preserve">and ‘Table P.14’ </w:t>
      </w:r>
      <w:r w:rsidRPr="00C03E1F">
        <w:t>in the</w:t>
      </w:r>
      <w:r>
        <w:t xml:space="preserve"> SDA</w:t>
      </w:r>
      <w:r w:rsidRPr="00C03E1F">
        <w:t xml:space="preserve"> </w:t>
      </w:r>
      <w:r>
        <w:t xml:space="preserve">data published on the </w:t>
      </w:r>
      <w:hyperlink r:id="rId23" w:history="1">
        <w:r w:rsidRPr="00DF2F62" w:rsidDel="00E77F7B">
          <w:rPr>
            <w:rStyle w:val="Hyperlink"/>
          </w:rPr>
          <w:t>NDIS data and insights webpage</w:t>
        </w:r>
      </w:hyperlink>
      <w:r w:rsidRPr="00C03E1F">
        <w:t xml:space="preserve">. </w:t>
      </w:r>
    </w:p>
    <w:p w14:paraId="21643914" w14:textId="77777777" w:rsidR="00CE75FA" w:rsidRDefault="00CE75FA" w:rsidP="00CE75FA">
      <w:pPr>
        <w:pStyle w:val="Caption"/>
        <w:keepNext/>
        <w:rPr>
          <w:caps w:val="0"/>
          <w:szCs w:val="16"/>
        </w:rPr>
      </w:pPr>
      <w:bookmarkStart w:id="60" w:name="_Ref79506687"/>
      <w:bookmarkStart w:id="61" w:name="_Toc79490511"/>
      <w:bookmarkStart w:id="62" w:name="_Toc79493362"/>
      <w:r w:rsidRPr="00DF2F62">
        <w:rPr>
          <w:caps w:val="0"/>
        </w:rPr>
        <w:t xml:space="preserve">Figure </w:t>
      </w:r>
      <w:r w:rsidR="006546B5" w:rsidRPr="00DF2F62">
        <w:rPr>
          <w:caps w:val="0"/>
        </w:rPr>
        <w:fldChar w:fldCharType="begin"/>
      </w:r>
      <w:r w:rsidR="006546B5" w:rsidRPr="00DF2F62">
        <w:rPr>
          <w:caps w:val="0"/>
        </w:rPr>
        <w:instrText xml:space="preserve"> SEQ Figure \* ARABIC </w:instrText>
      </w:r>
      <w:r w:rsidR="006546B5" w:rsidRPr="00DF2F62">
        <w:rPr>
          <w:caps w:val="0"/>
        </w:rPr>
        <w:fldChar w:fldCharType="separate"/>
      </w:r>
      <w:r w:rsidR="00B72D81">
        <w:rPr>
          <w:caps w:val="0"/>
          <w:noProof/>
        </w:rPr>
        <w:t>4</w:t>
      </w:r>
      <w:r w:rsidR="006546B5" w:rsidRPr="00DF2F62">
        <w:rPr>
          <w:caps w:val="0"/>
          <w:noProof/>
        </w:rPr>
        <w:fldChar w:fldCharType="end"/>
      </w:r>
      <w:bookmarkEnd w:id="60"/>
      <w:r w:rsidRPr="00DF2F62">
        <w:rPr>
          <w:caps w:val="0"/>
        </w:rPr>
        <w:t xml:space="preserve">: </w:t>
      </w:r>
      <w:r w:rsidR="009D0A89" w:rsidRPr="00DF2F62">
        <w:rPr>
          <w:caps w:val="0"/>
        </w:rPr>
        <w:t>E</w:t>
      </w:r>
      <w:r w:rsidRPr="00DF2F62">
        <w:rPr>
          <w:caps w:val="0"/>
        </w:rPr>
        <w:t xml:space="preserve">nrolled SDA dwellings by </w:t>
      </w:r>
      <w:r w:rsidR="009559DA" w:rsidRPr="00DF2F62">
        <w:rPr>
          <w:caps w:val="0"/>
        </w:rPr>
        <w:t>s</w:t>
      </w:r>
      <w:r w:rsidRPr="00DF2F62">
        <w:rPr>
          <w:caps w:val="0"/>
        </w:rPr>
        <w:t>tate</w:t>
      </w:r>
      <w:r w:rsidR="009559DA" w:rsidRPr="00DF2F62">
        <w:rPr>
          <w:caps w:val="0"/>
        </w:rPr>
        <w:t xml:space="preserve"> and </w:t>
      </w:r>
      <w:r w:rsidR="009559DA" w:rsidRPr="00DF2F62">
        <w:rPr>
          <w:caps w:val="0"/>
          <w:szCs w:val="16"/>
        </w:rPr>
        <w:t>t</w:t>
      </w:r>
      <w:r w:rsidRPr="00DF2F62">
        <w:rPr>
          <w:caps w:val="0"/>
          <w:szCs w:val="16"/>
        </w:rPr>
        <w:t xml:space="preserve">erritories </w:t>
      </w:r>
      <w:bookmarkEnd w:id="61"/>
      <w:bookmarkEnd w:id="62"/>
      <w:r w:rsidR="00121539" w:rsidRPr="00DF2F62">
        <w:rPr>
          <w:caps w:val="0"/>
          <w:szCs w:val="16"/>
        </w:rPr>
        <w:t>(excludes in-kind arrangements)</w:t>
      </w:r>
    </w:p>
    <w:p w14:paraId="1CEE8005" w14:textId="77777777" w:rsidR="00CE75FA" w:rsidRDefault="001E36D1" w:rsidP="00CE75FA">
      <w:r w:rsidRPr="00DF2F62">
        <w:rPr>
          <w:noProof/>
          <w:sz w:val="16"/>
          <w:szCs w:val="16"/>
          <w:lang w:eastAsia="en-AU"/>
        </w:rPr>
        <w:drawing>
          <wp:inline distT="0" distB="0" distL="0" distR="0" wp14:anchorId="2E06219A" wp14:editId="3C43D308">
            <wp:extent cx="5760000" cy="3060000"/>
            <wp:effectExtent l="0" t="0" r="12700" b="7620"/>
            <wp:docPr id="10" name="Chart 10" descr="This line graph displays the trend in the total number of SDA dwellings since Q2 FY19-20 to Q4 FY20-21. Detailed total numbers for each state and territory can be found in the following table.&#10;&#10;New South Wales (the state with the largest number of SDA dwellings), Queensland and South Australia have seen moderate growth rates in their SDA housing stock. &#10;&#10;Victoria saw similar growth to WA until Q3 FY20-21 before a large spike in Q4 FY20-21 to become the second largest state for enrolled SDA dwellings. &#10;&#10;The Australian Capital Territory and Western Australia have experienced triple digit growth rates, but from small Q2 FY19-20 numbers (11 and 10 dwellings, respectively). &#10;&#10;The Northern Territory has the same housing stock in Q4 FY20-21 as it did in Q2 FY19-20. Tasmania’s has decreased by 10% in the same time period." title="Figure 4: Enrolled SDA dwellings by state and territories (excludes in-kind arrangeme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4B20BCC" w14:textId="77777777" w:rsidR="00CE75FA" w:rsidRDefault="00CE75FA" w:rsidP="00CE75FA">
      <w:pPr>
        <w:pStyle w:val="Caption"/>
        <w:keepNext/>
        <w:rPr>
          <w:caps w:val="0"/>
          <w:szCs w:val="16"/>
        </w:rPr>
      </w:pPr>
      <w:r w:rsidRPr="00DF2F62">
        <w:rPr>
          <w:caps w:val="0"/>
        </w:rPr>
        <w:lastRenderedPageBreak/>
        <w:t xml:space="preserve">Table </w:t>
      </w:r>
      <w:r w:rsidR="006546B5" w:rsidRPr="00DF2F62">
        <w:rPr>
          <w:caps w:val="0"/>
        </w:rPr>
        <w:fldChar w:fldCharType="begin"/>
      </w:r>
      <w:r w:rsidR="006546B5" w:rsidRPr="00DF2F62">
        <w:rPr>
          <w:caps w:val="0"/>
        </w:rPr>
        <w:instrText xml:space="preserve"> SEQ Table \* ARABIC </w:instrText>
      </w:r>
      <w:r w:rsidR="006546B5" w:rsidRPr="00DF2F62">
        <w:rPr>
          <w:caps w:val="0"/>
        </w:rPr>
        <w:fldChar w:fldCharType="separate"/>
      </w:r>
      <w:r w:rsidR="00B72D81">
        <w:rPr>
          <w:caps w:val="0"/>
          <w:noProof/>
        </w:rPr>
        <w:t>2</w:t>
      </w:r>
      <w:r w:rsidR="006546B5" w:rsidRPr="00DF2F62">
        <w:rPr>
          <w:caps w:val="0"/>
          <w:noProof/>
        </w:rPr>
        <w:fldChar w:fldCharType="end"/>
      </w:r>
      <w:r w:rsidRPr="00DF2F62">
        <w:rPr>
          <w:caps w:val="0"/>
        </w:rPr>
        <w:t xml:space="preserve">: </w:t>
      </w:r>
      <w:r w:rsidR="009D0A89" w:rsidRPr="00DF2F62">
        <w:rPr>
          <w:caps w:val="0"/>
          <w:szCs w:val="16"/>
        </w:rPr>
        <w:t>E</w:t>
      </w:r>
      <w:r w:rsidR="00AF7955" w:rsidRPr="00DF2F62">
        <w:rPr>
          <w:caps w:val="0"/>
          <w:szCs w:val="16"/>
        </w:rPr>
        <w:t xml:space="preserve">nrolled SDA dwellings by </w:t>
      </w:r>
      <w:r w:rsidR="009559DA" w:rsidRPr="00DF2F62">
        <w:rPr>
          <w:caps w:val="0"/>
          <w:szCs w:val="16"/>
        </w:rPr>
        <w:t>s</w:t>
      </w:r>
      <w:r w:rsidR="00AF7955" w:rsidRPr="00DF2F62">
        <w:rPr>
          <w:caps w:val="0"/>
          <w:szCs w:val="16"/>
        </w:rPr>
        <w:t>tate</w:t>
      </w:r>
      <w:r w:rsidR="009559DA" w:rsidRPr="00DF2F62">
        <w:rPr>
          <w:caps w:val="0"/>
          <w:szCs w:val="16"/>
        </w:rPr>
        <w:t xml:space="preserve"> and t</w:t>
      </w:r>
      <w:r w:rsidR="00AF7955" w:rsidRPr="00DF2F62">
        <w:rPr>
          <w:caps w:val="0"/>
          <w:szCs w:val="16"/>
        </w:rPr>
        <w:t>erritories</w:t>
      </w:r>
      <w:r w:rsidR="00121539" w:rsidRPr="00DF2F62">
        <w:rPr>
          <w:caps w:val="0"/>
          <w:szCs w:val="16"/>
        </w:rPr>
        <w:t xml:space="preserve"> (excludes in-kind arrangements)</w:t>
      </w:r>
    </w:p>
    <w:tbl>
      <w:tblPr>
        <w:tblStyle w:val="LightShading-Accent4"/>
        <w:tblW w:w="0" w:type="auto"/>
        <w:tblLook w:val="04A0" w:firstRow="1" w:lastRow="0" w:firstColumn="1" w:lastColumn="0" w:noHBand="0" w:noVBand="1"/>
        <w:tblCaption w:val="Table 2: Enrolled SDA dwellings by state and territories (excludes in-kind arrangements)"/>
        <w:tblDescription w:val="This table detailed the total dwelling numbers for states and territories that sit behind the previous graph for quarters Q2 FY19-20 to Q4 FY20-21."/>
      </w:tblPr>
      <w:tblGrid>
        <w:gridCol w:w="884"/>
        <w:gridCol w:w="1168"/>
        <w:gridCol w:w="1160"/>
        <w:gridCol w:w="1160"/>
        <w:gridCol w:w="1167"/>
        <w:gridCol w:w="1167"/>
        <w:gridCol w:w="1160"/>
        <w:gridCol w:w="1160"/>
      </w:tblGrid>
      <w:tr w:rsidR="001E36D1" w:rsidRPr="00561208" w14:paraId="0EB1D7C2" w14:textId="77777777" w:rsidTr="001E36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3D7B4BA1" w14:textId="77777777" w:rsidR="001E36D1" w:rsidRPr="00561208" w:rsidRDefault="001E36D1" w:rsidP="001E36D1">
            <w:pPr>
              <w:keepNext/>
              <w:spacing w:after="0"/>
              <w:rPr>
                <w:rFonts w:asciiTheme="majorHAnsi" w:hAnsiTheme="majorHAnsi" w:cstheme="majorHAnsi"/>
                <w:sz w:val="18"/>
                <w:szCs w:val="14"/>
              </w:rPr>
            </w:pPr>
            <w:r w:rsidRPr="00561208">
              <w:rPr>
                <w:rFonts w:asciiTheme="majorHAnsi" w:hAnsiTheme="majorHAnsi" w:cstheme="majorHAnsi"/>
                <w:sz w:val="18"/>
                <w:szCs w:val="14"/>
              </w:rPr>
              <w:t>State</w:t>
            </w:r>
          </w:p>
        </w:tc>
        <w:tc>
          <w:tcPr>
            <w:tcW w:w="0" w:type="auto"/>
          </w:tcPr>
          <w:p w14:paraId="3E113402" w14:textId="77777777" w:rsidR="001E36D1" w:rsidRPr="00561208" w:rsidRDefault="001E36D1" w:rsidP="00561208">
            <w:pPr>
              <w:keepNext/>
              <w:spacing w:after="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31-Dec-19</w:t>
            </w:r>
          </w:p>
        </w:tc>
        <w:tc>
          <w:tcPr>
            <w:tcW w:w="0" w:type="auto"/>
          </w:tcPr>
          <w:p w14:paraId="3505065F" w14:textId="77777777" w:rsidR="001E36D1" w:rsidRPr="00561208" w:rsidRDefault="001E36D1" w:rsidP="00561208">
            <w:pPr>
              <w:keepNext/>
              <w:spacing w:after="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31-Mar-20</w:t>
            </w:r>
          </w:p>
        </w:tc>
        <w:tc>
          <w:tcPr>
            <w:tcW w:w="0" w:type="auto"/>
          </w:tcPr>
          <w:p w14:paraId="1CD23598" w14:textId="77777777" w:rsidR="001E36D1" w:rsidRPr="00561208" w:rsidRDefault="001E36D1" w:rsidP="00561208">
            <w:pPr>
              <w:keepNext/>
              <w:spacing w:after="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30-Jun-20</w:t>
            </w:r>
          </w:p>
        </w:tc>
        <w:tc>
          <w:tcPr>
            <w:tcW w:w="0" w:type="auto"/>
          </w:tcPr>
          <w:p w14:paraId="475EBBD8" w14:textId="77777777" w:rsidR="001E36D1" w:rsidRPr="00561208" w:rsidRDefault="001E36D1" w:rsidP="00561208">
            <w:pPr>
              <w:keepNext/>
              <w:spacing w:after="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30-Sep-20</w:t>
            </w:r>
          </w:p>
        </w:tc>
        <w:tc>
          <w:tcPr>
            <w:tcW w:w="0" w:type="auto"/>
          </w:tcPr>
          <w:p w14:paraId="18592D14" w14:textId="77777777" w:rsidR="001E36D1" w:rsidRPr="00561208" w:rsidRDefault="001E36D1" w:rsidP="00561208">
            <w:pPr>
              <w:keepNext/>
              <w:spacing w:after="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31-Dec-20</w:t>
            </w:r>
          </w:p>
        </w:tc>
        <w:tc>
          <w:tcPr>
            <w:tcW w:w="0" w:type="auto"/>
          </w:tcPr>
          <w:p w14:paraId="3023296A" w14:textId="77777777" w:rsidR="001E36D1" w:rsidRPr="00561208" w:rsidRDefault="001E36D1" w:rsidP="00561208">
            <w:pPr>
              <w:keepNext/>
              <w:spacing w:after="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31-Mar-21</w:t>
            </w:r>
          </w:p>
        </w:tc>
        <w:tc>
          <w:tcPr>
            <w:tcW w:w="0" w:type="auto"/>
          </w:tcPr>
          <w:p w14:paraId="4FF8967B" w14:textId="77777777" w:rsidR="001E36D1" w:rsidRPr="00561208" w:rsidRDefault="001E36D1" w:rsidP="00561208">
            <w:pPr>
              <w:keepNext/>
              <w:spacing w:after="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30-Jun-21</w:t>
            </w:r>
          </w:p>
        </w:tc>
      </w:tr>
      <w:tr w:rsidR="001E36D1" w:rsidRPr="00561208" w14:paraId="73540F43" w14:textId="77777777" w:rsidTr="001E3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7AEF69B" w14:textId="77777777" w:rsidR="001E36D1" w:rsidRPr="00561208" w:rsidRDefault="001E36D1" w:rsidP="001E36D1">
            <w:pPr>
              <w:keepNext/>
              <w:spacing w:after="0"/>
              <w:rPr>
                <w:rFonts w:asciiTheme="majorHAnsi" w:hAnsiTheme="majorHAnsi" w:cstheme="majorHAnsi"/>
                <w:sz w:val="18"/>
                <w:szCs w:val="14"/>
              </w:rPr>
            </w:pPr>
            <w:r w:rsidRPr="00561208">
              <w:rPr>
                <w:rFonts w:asciiTheme="majorHAnsi" w:hAnsiTheme="majorHAnsi" w:cstheme="majorHAnsi"/>
                <w:sz w:val="18"/>
                <w:szCs w:val="14"/>
              </w:rPr>
              <w:t>NSW</w:t>
            </w:r>
          </w:p>
        </w:tc>
        <w:tc>
          <w:tcPr>
            <w:tcW w:w="0" w:type="auto"/>
            <w:vAlign w:val="bottom"/>
          </w:tcPr>
          <w:p w14:paraId="6E377CEF" w14:textId="77777777" w:rsidR="001E36D1" w:rsidRPr="00561208" w:rsidRDefault="001E36D1" w:rsidP="00561208">
            <w:pPr>
              <w:keepNext/>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1,757</w:t>
            </w:r>
          </w:p>
        </w:tc>
        <w:tc>
          <w:tcPr>
            <w:tcW w:w="0" w:type="auto"/>
            <w:vAlign w:val="bottom"/>
          </w:tcPr>
          <w:p w14:paraId="61C0DADA" w14:textId="77777777" w:rsidR="001E36D1" w:rsidRPr="00561208" w:rsidRDefault="001E36D1" w:rsidP="00561208">
            <w:pPr>
              <w:keepNext/>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1,885</w:t>
            </w:r>
          </w:p>
        </w:tc>
        <w:tc>
          <w:tcPr>
            <w:tcW w:w="0" w:type="auto"/>
            <w:vAlign w:val="bottom"/>
          </w:tcPr>
          <w:p w14:paraId="3E98CB1E" w14:textId="77777777" w:rsidR="001E36D1" w:rsidRPr="00561208" w:rsidRDefault="001E36D1" w:rsidP="00561208">
            <w:pPr>
              <w:keepNext/>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1,994</w:t>
            </w:r>
          </w:p>
        </w:tc>
        <w:tc>
          <w:tcPr>
            <w:tcW w:w="0" w:type="auto"/>
            <w:vAlign w:val="bottom"/>
          </w:tcPr>
          <w:p w14:paraId="06B50349" w14:textId="77777777" w:rsidR="001E36D1" w:rsidRPr="00561208" w:rsidRDefault="001E36D1" w:rsidP="00561208">
            <w:pPr>
              <w:keepNext/>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2,042</w:t>
            </w:r>
          </w:p>
        </w:tc>
        <w:tc>
          <w:tcPr>
            <w:tcW w:w="0" w:type="auto"/>
            <w:vAlign w:val="bottom"/>
          </w:tcPr>
          <w:p w14:paraId="694BC2A3" w14:textId="77777777" w:rsidR="001E36D1" w:rsidRPr="00561208" w:rsidRDefault="001E36D1" w:rsidP="00561208">
            <w:pPr>
              <w:keepNext/>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2,159</w:t>
            </w:r>
          </w:p>
        </w:tc>
        <w:tc>
          <w:tcPr>
            <w:tcW w:w="0" w:type="auto"/>
            <w:vAlign w:val="bottom"/>
          </w:tcPr>
          <w:p w14:paraId="1A76CD1F" w14:textId="77777777" w:rsidR="001E36D1" w:rsidRPr="00561208" w:rsidRDefault="001E36D1" w:rsidP="00561208">
            <w:pPr>
              <w:keepNext/>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2,242</w:t>
            </w:r>
          </w:p>
        </w:tc>
        <w:tc>
          <w:tcPr>
            <w:tcW w:w="0" w:type="auto"/>
            <w:vAlign w:val="bottom"/>
          </w:tcPr>
          <w:p w14:paraId="5AA7D2EF" w14:textId="77777777" w:rsidR="001E36D1" w:rsidRPr="00561208" w:rsidRDefault="001E36D1" w:rsidP="00561208">
            <w:pPr>
              <w:keepNext/>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2,285</w:t>
            </w:r>
          </w:p>
        </w:tc>
      </w:tr>
      <w:tr w:rsidR="001E36D1" w:rsidRPr="00561208" w14:paraId="34239567" w14:textId="77777777" w:rsidTr="001E3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ADA6184" w14:textId="77777777" w:rsidR="001E36D1" w:rsidRPr="00561208" w:rsidRDefault="001E36D1" w:rsidP="001E36D1">
            <w:pPr>
              <w:keepNext/>
              <w:spacing w:after="0"/>
              <w:rPr>
                <w:rFonts w:asciiTheme="majorHAnsi" w:hAnsiTheme="majorHAnsi" w:cstheme="majorHAnsi"/>
                <w:sz w:val="18"/>
                <w:szCs w:val="14"/>
              </w:rPr>
            </w:pPr>
            <w:r w:rsidRPr="00561208">
              <w:rPr>
                <w:rFonts w:asciiTheme="majorHAnsi" w:hAnsiTheme="majorHAnsi" w:cstheme="majorHAnsi"/>
                <w:sz w:val="18"/>
                <w:szCs w:val="14"/>
              </w:rPr>
              <w:t>Vic</w:t>
            </w:r>
          </w:p>
        </w:tc>
        <w:tc>
          <w:tcPr>
            <w:tcW w:w="0" w:type="auto"/>
            <w:vAlign w:val="bottom"/>
          </w:tcPr>
          <w:p w14:paraId="26DBFF9D" w14:textId="77777777" w:rsidR="001E36D1" w:rsidRPr="00561208" w:rsidRDefault="001E36D1" w:rsidP="00561208">
            <w:pPr>
              <w:keepNext/>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580</w:t>
            </w:r>
          </w:p>
        </w:tc>
        <w:tc>
          <w:tcPr>
            <w:tcW w:w="0" w:type="auto"/>
            <w:vAlign w:val="bottom"/>
          </w:tcPr>
          <w:p w14:paraId="60E9EAD9" w14:textId="77777777" w:rsidR="001E36D1" w:rsidRPr="00561208" w:rsidRDefault="001E36D1" w:rsidP="00561208">
            <w:pPr>
              <w:keepNext/>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600</w:t>
            </w:r>
          </w:p>
        </w:tc>
        <w:tc>
          <w:tcPr>
            <w:tcW w:w="0" w:type="auto"/>
            <w:vAlign w:val="bottom"/>
          </w:tcPr>
          <w:p w14:paraId="08E3653F" w14:textId="77777777" w:rsidR="001E36D1" w:rsidRPr="00561208" w:rsidRDefault="001E36D1" w:rsidP="00561208">
            <w:pPr>
              <w:keepNext/>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647</w:t>
            </w:r>
          </w:p>
        </w:tc>
        <w:tc>
          <w:tcPr>
            <w:tcW w:w="0" w:type="auto"/>
            <w:vAlign w:val="bottom"/>
          </w:tcPr>
          <w:p w14:paraId="16AFD045" w14:textId="77777777" w:rsidR="001E36D1" w:rsidRPr="00561208" w:rsidRDefault="001E36D1" w:rsidP="00561208">
            <w:pPr>
              <w:keepNext/>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676</w:t>
            </w:r>
          </w:p>
        </w:tc>
        <w:tc>
          <w:tcPr>
            <w:tcW w:w="0" w:type="auto"/>
            <w:vAlign w:val="bottom"/>
          </w:tcPr>
          <w:p w14:paraId="71D5AB40" w14:textId="77777777" w:rsidR="001E36D1" w:rsidRPr="00561208" w:rsidRDefault="001E36D1" w:rsidP="00561208">
            <w:pPr>
              <w:keepNext/>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753</w:t>
            </w:r>
          </w:p>
        </w:tc>
        <w:tc>
          <w:tcPr>
            <w:tcW w:w="0" w:type="auto"/>
            <w:vAlign w:val="bottom"/>
          </w:tcPr>
          <w:p w14:paraId="2D179B54" w14:textId="77777777" w:rsidR="001E36D1" w:rsidRPr="00561208" w:rsidRDefault="001E36D1" w:rsidP="00561208">
            <w:pPr>
              <w:keepNext/>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789</w:t>
            </w:r>
          </w:p>
        </w:tc>
        <w:tc>
          <w:tcPr>
            <w:tcW w:w="0" w:type="auto"/>
            <w:vAlign w:val="bottom"/>
          </w:tcPr>
          <w:p w14:paraId="7DAEC0B3" w14:textId="77777777" w:rsidR="001E36D1" w:rsidRPr="00561208" w:rsidRDefault="001E36D1" w:rsidP="00561208">
            <w:pPr>
              <w:keepNext/>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1,693</w:t>
            </w:r>
          </w:p>
        </w:tc>
      </w:tr>
      <w:tr w:rsidR="001E36D1" w:rsidRPr="00561208" w14:paraId="3909E292" w14:textId="77777777" w:rsidTr="001E3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4276C5B" w14:textId="77777777" w:rsidR="001E36D1" w:rsidRPr="00561208" w:rsidRDefault="001E36D1" w:rsidP="001E36D1">
            <w:pPr>
              <w:keepNext/>
              <w:spacing w:after="0"/>
              <w:rPr>
                <w:rFonts w:asciiTheme="majorHAnsi" w:hAnsiTheme="majorHAnsi" w:cstheme="majorHAnsi"/>
                <w:sz w:val="18"/>
                <w:szCs w:val="14"/>
              </w:rPr>
            </w:pPr>
            <w:proofErr w:type="spellStart"/>
            <w:r w:rsidRPr="00561208">
              <w:rPr>
                <w:rFonts w:asciiTheme="majorHAnsi" w:hAnsiTheme="majorHAnsi" w:cstheme="majorHAnsi"/>
                <w:sz w:val="18"/>
                <w:szCs w:val="14"/>
              </w:rPr>
              <w:t>Qld</w:t>
            </w:r>
            <w:proofErr w:type="spellEnd"/>
          </w:p>
        </w:tc>
        <w:tc>
          <w:tcPr>
            <w:tcW w:w="0" w:type="auto"/>
            <w:vAlign w:val="bottom"/>
          </w:tcPr>
          <w:p w14:paraId="0774B408" w14:textId="77777777" w:rsidR="001E36D1" w:rsidRPr="00561208" w:rsidRDefault="001E36D1" w:rsidP="00561208">
            <w:pPr>
              <w:keepNext/>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535</w:t>
            </w:r>
          </w:p>
        </w:tc>
        <w:tc>
          <w:tcPr>
            <w:tcW w:w="0" w:type="auto"/>
            <w:vAlign w:val="bottom"/>
          </w:tcPr>
          <w:p w14:paraId="232B49A3" w14:textId="77777777" w:rsidR="001E36D1" w:rsidRPr="00561208" w:rsidRDefault="001E36D1" w:rsidP="00561208">
            <w:pPr>
              <w:keepNext/>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562</w:t>
            </w:r>
          </w:p>
        </w:tc>
        <w:tc>
          <w:tcPr>
            <w:tcW w:w="0" w:type="auto"/>
            <w:vAlign w:val="bottom"/>
          </w:tcPr>
          <w:p w14:paraId="4EB4A491" w14:textId="77777777" w:rsidR="001E36D1" w:rsidRPr="00561208" w:rsidRDefault="001E36D1" w:rsidP="00561208">
            <w:pPr>
              <w:keepNext/>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601</w:t>
            </w:r>
          </w:p>
        </w:tc>
        <w:tc>
          <w:tcPr>
            <w:tcW w:w="0" w:type="auto"/>
            <w:vAlign w:val="bottom"/>
          </w:tcPr>
          <w:p w14:paraId="031A2AEB" w14:textId="77777777" w:rsidR="001E36D1" w:rsidRPr="00561208" w:rsidRDefault="001E36D1" w:rsidP="00561208">
            <w:pPr>
              <w:keepNext/>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621</w:t>
            </w:r>
          </w:p>
        </w:tc>
        <w:tc>
          <w:tcPr>
            <w:tcW w:w="0" w:type="auto"/>
            <w:vAlign w:val="bottom"/>
          </w:tcPr>
          <w:p w14:paraId="1DED1D7D" w14:textId="77777777" w:rsidR="001E36D1" w:rsidRPr="00561208" w:rsidRDefault="001E36D1" w:rsidP="00561208">
            <w:pPr>
              <w:keepNext/>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732</w:t>
            </w:r>
          </w:p>
        </w:tc>
        <w:tc>
          <w:tcPr>
            <w:tcW w:w="0" w:type="auto"/>
            <w:vAlign w:val="bottom"/>
          </w:tcPr>
          <w:p w14:paraId="2C910D05" w14:textId="77777777" w:rsidR="001E36D1" w:rsidRPr="00561208" w:rsidRDefault="001E36D1" w:rsidP="00561208">
            <w:pPr>
              <w:keepNext/>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765</w:t>
            </w:r>
          </w:p>
        </w:tc>
        <w:tc>
          <w:tcPr>
            <w:tcW w:w="0" w:type="auto"/>
            <w:vAlign w:val="bottom"/>
          </w:tcPr>
          <w:p w14:paraId="53AD43AB" w14:textId="77777777" w:rsidR="001E36D1" w:rsidRPr="00561208" w:rsidRDefault="001E36D1" w:rsidP="00561208">
            <w:pPr>
              <w:keepNext/>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840</w:t>
            </w:r>
          </w:p>
        </w:tc>
      </w:tr>
      <w:tr w:rsidR="001E36D1" w:rsidRPr="00561208" w14:paraId="3FD22084" w14:textId="77777777" w:rsidTr="001E3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B45C0A6" w14:textId="77777777" w:rsidR="001E36D1" w:rsidRPr="00561208" w:rsidRDefault="001E36D1" w:rsidP="001E36D1">
            <w:pPr>
              <w:keepNext/>
              <w:spacing w:after="0"/>
              <w:rPr>
                <w:rFonts w:asciiTheme="majorHAnsi" w:hAnsiTheme="majorHAnsi" w:cstheme="majorHAnsi"/>
                <w:sz w:val="18"/>
                <w:szCs w:val="14"/>
              </w:rPr>
            </w:pPr>
            <w:r w:rsidRPr="00561208">
              <w:rPr>
                <w:rFonts w:asciiTheme="majorHAnsi" w:hAnsiTheme="majorHAnsi" w:cstheme="majorHAnsi"/>
                <w:sz w:val="18"/>
                <w:szCs w:val="14"/>
              </w:rPr>
              <w:t>WA</w:t>
            </w:r>
          </w:p>
        </w:tc>
        <w:tc>
          <w:tcPr>
            <w:tcW w:w="0" w:type="auto"/>
            <w:vAlign w:val="bottom"/>
          </w:tcPr>
          <w:p w14:paraId="4DFC7054" w14:textId="77777777" w:rsidR="001E36D1" w:rsidRPr="00561208" w:rsidRDefault="001E36D1" w:rsidP="00561208">
            <w:pPr>
              <w:keepNext/>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10</w:t>
            </w:r>
          </w:p>
        </w:tc>
        <w:tc>
          <w:tcPr>
            <w:tcW w:w="0" w:type="auto"/>
            <w:vAlign w:val="bottom"/>
          </w:tcPr>
          <w:p w14:paraId="686E200E" w14:textId="77777777" w:rsidR="001E36D1" w:rsidRPr="00561208" w:rsidRDefault="001E36D1" w:rsidP="00561208">
            <w:pPr>
              <w:keepNext/>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20</w:t>
            </w:r>
          </w:p>
        </w:tc>
        <w:tc>
          <w:tcPr>
            <w:tcW w:w="0" w:type="auto"/>
            <w:vAlign w:val="bottom"/>
          </w:tcPr>
          <w:p w14:paraId="63D0953F" w14:textId="77777777" w:rsidR="001E36D1" w:rsidRPr="00561208" w:rsidRDefault="001E36D1" w:rsidP="00561208">
            <w:pPr>
              <w:keepNext/>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27</w:t>
            </w:r>
          </w:p>
        </w:tc>
        <w:tc>
          <w:tcPr>
            <w:tcW w:w="0" w:type="auto"/>
            <w:vAlign w:val="bottom"/>
          </w:tcPr>
          <w:p w14:paraId="53FA7BC2" w14:textId="77777777" w:rsidR="001E36D1" w:rsidRPr="00561208" w:rsidRDefault="001E36D1" w:rsidP="00561208">
            <w:pPr>
              <w:keepNext/>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40</w:t>
            </w:r>
          </w:p>
        </w:tc>
        <w:tc>
          <w:tcPr>
            <w:tcW w:w="0" w:type="auto"/>
            <w:vAlign w:val="bottom"/>
          </w:tcPr>
          <w:p w14:paraId="4B6AB491" w14:textId="77777777" w:rsidR="001E36D1" w:rsidRPr="00561208" w:rsidRDefault="001E36D1" w:rsidP="00561208">
            <w:pPr>
              <w:keepNext/>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54</w:t>
            </w:r>
          </w:p>
        </w:tc>
        <w:tc>
          <w:tcPr>
            <w:tcW w:w="0" w:type="auto"/>
            <w:vAlign w:val="bottom"/>
          </w:tcPr>
          <w:p w14:paraId="579DF884" w14:textId="77777777" w:rsidR="001E36D1" w:rsidRPr="00561208" w:rsidRDefault="001E36D1" w:rsidP="00561208">
            <w:pPr>
              <w:keepNext/>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61</w:t>
            </w:r>
          </w:p>
        </w:tc>
        <w:tc>
          <w:tcPr>
            <w:tcW w:w="0" w:type="auto"/>
            <w:vAlign w:val="bottom"/>
          </w:tcPr>
          <w:p w14:paraId="6253B1A0" w14:textId="77777777" w:rsidR="001E36D1" w:rsidRPr="00561208" w:rsidRDefault="001E36D1" w:rsidP="00561208">
            <w:pPr>
              <w:keepNext/>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65</w:t>
            </w:r>
          </w:p>
        </w:tc>
      </w:tr>
      <w:tr w:rsidR="001E36D1" w:rsidRPr="00561208" w14:paraId="6F57B952" w14:textId="77777777" w:rsidTr="001E3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B36362D" w14:textId="77777777" w:rsidR="001E36D1" w:rsidRPr="00561208" w:rsidRDefault="001E36D1" w:rsidP="001E36D1">
            <w:pPr>
              <w:keepNext/>
              <w:spacing w:after="0"/>
              <w:rPr>
                <w:rFonts w:asciiTheme="majorHAnsi" w:hAnsiTheme="majorHAnsi" w:cstheme="majorHAnsi"/>
                <w:sz w:val="18"/>
                <w:szCs w:val="14"/>
              </w:rPr>
            </w:pPr>
            <w:r w:rsidRPr="00561208">
              <w:rPr>
                <w:rFonts w:asciiTheme="majorHAnsi" w:hAnsiTheme="majorHAnsi" w:cstheme="majorHAnsi"/>
                <w:sz w:val="18"/>
                <w:szCs w:val="14"/>
              </w:rPr>
              <w:t>SA</w:t>
            </w:r>
          </w:p>
        </w:tc>
        <w:tc>
          <w:tcPr>
            <w:tcW w:w="0" w:type="auto"/>
            <w:vAlign w:val="bottom"/>
          </w:tcPr>
          <w:p w14:paraId="69C94E76" w14:textId="77777777" w:rsidR="001E36D1" w:rsidRPr="00561208" w:rsidRDefault="001E36D1" w:rsidP="00561208">
            <w:pPr>
              <w:keepNext/>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968</w:t>
            </w:r>
          </w:p>
        </w:tc>
        <w:tc>
          <w:tcPr>
            <w:tcW w:w="0" w:type="auto"/>
            <w:vAlign w:val="bottom"/>
          </w:tcPr>
          <w:p w14:paraId="6AD3F748" w14:textId="77777777" w:rsidR="001E36D1" w:rsidRPr="00561208" w:rsidRDefault="001E36D1" w:rsidP="00561208">
            <w:pPr>
              <w:keepNext/>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960</w:t>
            </w:r>
          </w:p>
        </w:tc>
        <w:tc>
          <w:tcPr>
            <w:tcW w:w="0" w:type="auto"/>
            <w:vAlign w:val="bottom"/>
          </w:tcPr>
          <w:p w14:paraId="60C26D01" w14:textId="77777777" w:rsidR="001E36D1" w:rsidRPr="00561208" w:rsidRDefault="001E36D1" w:rsidP="00561208">
            <w:pPr>
              <w:keepNext/>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1,002</w:t>
            </w:r>
          </w:p>
        </w:tc>
        <w:tc>
          <w:tcPr>
            <w:tcW w:w="0" w:type="auto"/>
            <w:vAlign w:val="bottom"/>
          </w:tcPr>
          <w:p w14:paraId="1DDCB647" w14:textId="77777777" w:rsidR="001E36D1" w:rsidRPr="00561208" w:rsidRDefault="001E36D1" w:rsidP="00561208">
            <w:pPr>
              <w:keepNext/>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999</w:t>
            </w:r>
          </w:p>
        </w:tc>
        <w:tc>
          <w:tcPr>
            <w:tcW w:w="0" w:type="auto"/>
            <w:vAlign w:val="bottom"/>
          </w:tcPr>
          <w:p w14:paraId="37497F63" w14:textId="77777777" w:rsidR="001E36D1" w:rsidRPr="00561208" w:rsidRDefault="001E36D1" w:rsidP="00561208">
            <w:pPr>
              <w:keepNext/>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1,010</w:t>
            </w:r>
          </w:p>
        </w:tc>
        <w:tc>
          <w:tcPr>
            <w:tcW w:w="0" w:type="auto"/>
            <w:vAlign w:val="bottom"/>
          </w:tcPr>
          <w:p w14:paraId="19A8B848" w14:textId="77777777" w:rsidR="001E36D1" w:rsidRPr="00561208" w:rsidRDefault="001E36D1" w:rsidP="00561208">
            <w:pPr>
              <w:keepNext/>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1,040</w:t>
            </w:r>
          </w:p>
        </w:tc>
        <w:tc>
          <w:tcPr>
            <w:tcW w:w="0" w:type="auto"/>
            <w:vAlign w:val="bottom"/>
          </w:tcPr>
          <w:p w14:paraId="78B26849" w14:textId="77777777" w:rsidR="001E36D1" w:rsidRPr="00561208" w:rsidRDefault="001E36D1" w:rsidP="00561208">
            <w:pPr>
              <w:keepNext/>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1,126</w:t>
            </w:r>
          </w:p>
        </w:tc>
      </w:tr>
      <w:tr w:rsidR="001E36D1" w:rsidRPr="00561208" w14:paraId="48DB7C77" w14:textId="77777777" w:rsidTr="001E3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36D61EC" w14:textId="77777777" w:rsidR="001E36D1" w:rsidRPr="00561208" w:rsidRDefault="001E36D1" w:rsidP="001E36D1">
            <w:pPr>
              <w:keepNext/>
              <w:spacing w:after="0"/>
              <w:rPr>
                <w:rFonts w:asciiTheme="majorHAnsi" w:hAnsiTheme="majorHAnsi" w:cstheme="majorHAnsi"/>
                <w:sz w:val="18"/>
                <w:szCs w:val="14"/>
              </w:rPr>
            </w:pPr>
            <w:proofErr w:type="spellStart"/>
            <w:r w:rsidRPr="00561208">
              <w:rPr>
                <w:rFonts w:asciiTheme="majorHAnsi" w:hAnsiTheme="majorHAnsi" w:cstheme="majorHAnsi"/>
                <w:sz w:val="18"/>
                <w:szCs w:val="14"/>
              </w:rPr>
              <w:t>Tas</w:t>
            </w:r>
            <w:proofErr w:type="spellEnd"/>
          </w:p>
        </w:tc>
        <w:tc>
          <w:tcPr>
            <w:tcW w:w="0" w:type="auto"/>
            <w:vAlign w:val="bottom"/>
          </w:tcPr>
          <w:p w14:paraId="66525A32" w14:textId="77777777" w:rsidR="001E36D1" w:rsidRPr="00561208" w:rsidRDefault="001E36D1" w:rsidP="00561208">
            <w:pPr>
              <w:keepNext/>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48</w:t>
            </w:r>
          </w:p>
        </w:tc>
        <w:tc>
          <w:tcPr>
            <w:tcW w:w="0" w:type="auto"/>
            <w:vAlign w:val="bottom"/>
          </w:tcPr>
          <w:p w14:paraId="005B2A9A" w14:textId="77777777" w:rsidR="001E36D1" w:rsidRPr="00561208" w:rsidRDefault="001E36D1" w:rsidP="00561208">
            <w:pPr>
              <w:keepNext/>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49</w:t>
            </w:r>
          </w:p>
        </w:tc>
        <w:tc>
          <w:tcPr>
            <w:tcW w:w="0" w:type="auto"/>
            <w:vAlign w:val="bottom"/>
          </w:tcPr>
          <w:p w14:paraId="447E01C7" w14:textId="77777777" w:rsidR="001E36D1" w:rsidRPr="00561208" w:rsidRDefault="001E36D1" w:rsidP="00561208">
            <w:pPr>
              <w:keepNext/>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42</w:t>
            </w:r>
          </w:p>
        </w:tc>
        <w:tc>
          <w:tcPr>
            <w:tcW w:w="0" w:type="auto"/>
            <w:vAlign w:val="bottom"/>
          </w:tcPr>
          <w:p w14:paraId="3117131A" w14:textId="77777777" w:rsidR="001E36D1" w:rsidRPr="00561208" w:rsidRDefault="001E36D1" w:rsidP="00561208">
            <w:pPr>
              <w:keepNext/>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42</w:t>
            </w:r>
          </w:p>
        </w:tc>
        <w:tc>
          <w:tcPr>
            <w:tcW w:w="0" w:type="auto"/>
            <w:vAlign w:val="bottom"/>
          </w:tcPr>
          <w:p w14:paraId="5D448C35" w14:textId="77777777" w:rsidR="001E36D1" w:rsidRPr="00561208" w:rsidRDefault="001E36D1" w:rsidP="00561208">
            <w:pPr>
              <w:keepNext/>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43</w:t>
            </w:r>
          </w:p>
        </w:tc>
        <w:tc>
          <w:tcPr>
            <w:tcW w:w="0" w:type="auto"/>
            <w:vAlign w:val="bottom"/>
          </w:tcPr>
          <w:p w14:paraId="29C3BD33" w14:textId="77777777" w:rsidR="001E36D1" w:rsidRPr="00561208" w:rsidRDefault="001E36D1" w:rsidP="00561208">
            <w:pPr>
              <w:keepNext/>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42</w:t>
            </w:r>
          </w:p>
        </w:tc>
        <w:tc>
          <w:tcPr>
            <w:tcW w:w="0" w:type="auto"/>
            <w:vAlign w:val="bottom"/>
          </w:tcPr>
          <w:p w14:paraId="553E0F3D" w14:textId="77777777" w:rsidR="001E36D1" w:rsidRPr="00561208" w:rsidRDefault="001E36D1" w:rsidP="00561208">
            <w:pPr>
              <w:keepNext/>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43</w:t>
            </w:r>
          </w:p>
        </w:tc>
      </w:tr>
      <w:tr w:rsidR="001E36D1" w:rsidRPr="00561208" w14:paraId="1906069E" w14:textId="77777777" w:rsidTr="001E3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742AAE3" w14:textId="77777777" w:rsidR="001E36D1" w:rsidRPr="00561208" w:rsidRDefault="001E36D1" w:rsidP="001E36D1">
            <w:pPr>
              <w:keepNext/>
              <w:spacing w:after="0"/>
              <w:rPr>
                <w:rFonts w:asciiTheme="majorHAnsi" w:hAnsiTheme="majorHAnsi" w:cstheme="majorHAnsi"/>
                <w:sz w:val="18"/>
                <w:szCs w:val="14"/>
              </w:rPr>
            </w:pPr>
            <w:r w:rsidRPr="00561208">
              <w:rPr>
                <w:rFonts w:asciiTheme="majorHAnsi" w:hAnsiTheme="majorHAnsi" w:cstheme="majorHAnsi"/>
                <w:sz w:val="18"/>
                <w:szCs w:val="14"/>
              </w:rPr>
              <w:t>ACT</w:t>
            </w:r>
          </w:p>
        </w:tc>
        <w:tc>
          <w:tcPr>
            <w:tcW w:w="0" w:type="auto"/>
            <w:vAlign w:val="bottom"/>
          </w:tcPr>
          <w:p w14:paraId="43A28F25" w14:textId="77777777" w:rsidR="001E36D1" w:rsidRPr="00561208" w:rsidRDefault="001E36D1" w:rsidP="00561208">
            <w:pPr>
              <w:keepNext/>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11</w:t>
            </w:r>
          </w:p>
        </w:tc>
        <w:tc>
          <w:tcPr>
            <w:tcW w:w="0" w:type="auto"/>
            <w:vAlign w:val="bottom"/>
          </w:tcPr>
          <w:p w14:paraId="4E5A5F9F" w14:textId="77777777" w:rsidR="001E36D1" w:rsidRPr="00561208" w:rsidRDefault="001E36D1" w:rsidP="00561208">
            <w:pPr>
              <w:keepNext/>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19</w:t>
            </w:r>
          </w:p>
        </w:tc>
        <w:tc>
          <w:tcPr>
            <w:tcW w:w="0" w:type="auto"/>
            <w:vAlign w:val="bottom"/>
          </w:tcPr>
          <w:p w14:paraId="7C134727" w14:textId="77777777" w:rsidR="001E36D1" w:rsidRPr="00561208" w:rsidRDefault="001E36D1" w:rsidP="00561208">
            <w:pPr>
              <w:keepNext/>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19</w:t>
            </w:r>
          </w:p>
        </w:tc>
        <w:tc>
          <w:tcPr>
            <w:tcW w:w="0" w:type="auto"/>
            <w:vAlign w:val="bottom"/>
          </w:tcPr>
          <w:p w14:paraId="0A9D8EB2" w14:textId="77777777" w:rsidR="001E36D1" w:rsidRPr="00561208" w:rsidRDefault="001E36D1" w:rsidP="00561208">
            <w:pPr>
              <w:keepNext/>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30</w:t>
            </w:r>
          </w:p>
        </w:tc>
        <w:tc>
          <w:tcPr>
            <w:tcW w:w="0" w:type="auto"/>
            <w:vAlign w:val="bottom"/>
          </w:tcPr>
          <w:p w14:paraId="5977E8F4" w14:textId="77777777" w:rsidR="001E36D1" w:rsidRPr="00561208" w:rsidRDefault="001E36D1" w:rsidP="00561208">
            <w:pPr>
              <w:keepNext/>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142</w:t>
            </w:r>
          </w:p>
        </w:tc>
        <w:tc>
          <w:tcPr>
            <w:tcW w:w="0" w:type="auto"/>
            <w:vAlign w:val="bottom"/>
          </w:tcPr>
          <w:p w14:paraId="6830AB82" w14:textId="77777777" w:rsidR="001E36D1" w:rsidRPr="00561208" w:rsidRDefault="001E36D1" w:rsidP="00561208">
            <w:pPr>
              <w:keepNext/>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142</w:t>
            </w:r>
          </w:p>
        </w:tc>
        <w:tc>
          <w:tcPr>
            <w:tcW w:w="0" w:type="auto"/>
            <w:vAlign w:val="bottom"/>
          </w:tcPr>
          <w:p w14:paraId="2E309662" w14:textId="77777777" w:rsidR="001E36D1" w:rsidRPr="00561208" w:rsidRDefault="001E36D1" w:rsidP="00561208">
            <w:pPr>
              <w:keepNext/>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143</w:t>
            </w:r>
          </w:p>
        </w:tc>
      </w:tr>
      <w:tr w:rsidR="001E36D1" w:rsidRPr="00561208" w14:paraId="480A8887" w14:textId="77777777" w:rsidTr="001E3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738AD26" w14:textId="77777777" w:rsidR="001E36D1" w:rsidRPr="00561208" w:rsidRDefault="001E36D1" w:rsidP="001E36D1">
            <w:pPr>
              <w:keepNext/>
              <w:spacing w:after="0"/>
              <w:rPr>
                <w:rFonts w:asciiTheme="majorHAnsi" w:hAnsiTheme="majorHAnsi" w:cstheme="majorHAnsi"/>
                <w:sz w:val="18"/>
                <w:szCs w:val="14"/>
              </w:rPr>
            </w:pPr>
            <w:r w:rsidRPr="00561208">
              <w:rPr>
                <w:rFonts w:asciiTheme="majorHAnsi" w:hAnsiTheme="majorHAnsi" w:cstheme="majorHAnsi"/>
                <w:sz w:val="18"/>
                <w:szCs w:val="14"/>
              </w:rPr>
              <w:t>NT</w:t>
            </w:r>
          </w:p>
        </w:tc>
        <w:tc>
          <w:tcPr>
            <w:tcW w:w="0" w:type="auto"/>
            <w:vAlign w:val="bottom"/>
          </w:tcPr>
          <w:p w14:paraId="745744CC" w14:textId="77777777" w:rsidR="001E36D1" w:rsidRPr="00561208" w:rsidRDefault="001E36D1" w:rsidP="00561208">
            <w:pPr>
              <w:keepNext/>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29</w:t>
            </w:r>
          </w:p>
        </w:tc>
        <w:tc>
          <w:tcPr>
            <w:tcW w:w="0" w:type="auto"/>
            <w:vAlign w:val="bottom"/>
          </w:tcPr>
          <w:p w14:paraId="52F73693" w14:textId="77777777" w:rsidR="001E36D1" w:rsidRPr="00561208" w:rsidRDefault="001E36D1" w:rsidP="00561208">
            <w:pPr>
              <w:keepNext/>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28</w:t>
            </w:r>
          </w:p>
        </w:tc>
        <w:tc>
          <w:tcPr>
            <w:tcW w:w="0" w:type="auto"/>
            <w:vAlign w:val="bottom"/>
          </w:tcPr>
          <w:p w14:paraId="70F597F7" w14:textId="77777777" w:rsidR="001E36D1" w:rsidRPr="00561208" w:rsidRDefault="001E36D1" w:rsidP="00561208">
            <w:pPr>
              <w:keepNext/>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28</w:t>
            </w:r>
          </w:p>
        </w:tc>
        <w:tc>
          <w:tcPr>
            <w:tcW w:w="0" w:type="auto"/>
            <w:vAlign w:val="bottom"/>
          </w:tcPr>
          <w:p w14:paraId="18D3D485" w14:textId="77777777" w:rsidR="001E36D1" w:rsidRPr="00561208" w:rsidRDefault="001E36D1" w:rsidP="00561208">
            <w:pPr>
              <w:keepNext/>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28</w:t>
            </w:r>
          </w:p>
        </w:tc>
        <w:tc>
          <w:tcPr>
            <w:tcW w:w="0" w:type="auto"/>
            <w:vAlign w:val="bottom"/>
          </w:tcPr>
          <w:p w14:paraId="118CBA7A" w14:textId="77777777" w:rsidR="001E36D1" w:rsidRPr="00561208" w:rsidRDefault="001E36D1" w:rsidP="00561208">
            <w:pPr>
              <w:keepNext/>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28</w:t>
            </w:r>
          </w:p>
        </w:tc>
        <w:tc>
          <w:tcPr>
            <w:tcW w:w="0" w:type="auto"/>
            <w:vAlign w:val="bottom"/>
          </w:tcPr>
          <w:p w14:paraId="5EDA8AB9" w14:textId="77777777" w:rsidR="001E36D1" w:rsidRPr="00561208" w:rsidRDefault="001E36D1" w:rsidP="00561208">
            <w:pPr>
              <w:keepNext/>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28</w:t>
            </w:r>
          </w:p>
        </w:tc>
        <w:tc>
          <w:tcPr>
            <w:tcW w:w="0" w:type="auto"/>
            <w:vAlign w:val="bottom"/>
          </w:tcPr>
          <w:p w14:paraId="0108C216" w14:textId="77777777" w:rsidR="001E36D1" w:rsidRPr="00561208" w:rsidRDefault="001E36D1" w:rsidP="00561208">
            <w:pPr>
              <w:keepNext/>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29</w:t>
            </w:r>
          </w:p>
        </w:tc>
      </w:tr>
      <w:tr w:rsidR="001E36D1" w:rsidRPr="00561208" w14:paraId="2174C910" w14:textId="77777777" w:rsidTr="001E3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7248845" w14:textId="77777777" w:rsidR="001E36D1" w:rsidRPr="00561208" w:rsidRDefault="001E36D1" w:rsidP="001E36D1">
            <w:pPr>
              <w:keepNext/>
              <w:spacing w:after="0"/>
              <w:rPr>
                <w:rFonts w:asciiTheme="majorHAnsi" w:hAnsiTheme="majorHAnsi" w:cstheme="majorHAnsi"/>
                <w:sz w:val="18"/>
                <w:szCs w:val="14"/>
              </w:rPr>
            </w:pPr>
            <w:r w:rsidRPr="00561208">
              <w:rPr>
                <w:rFonts w:asciiTheme="majorHAnsi" w:hAnsiTheme="majorHAnsi" w:cstheme="majorHAnsi"/>
                <w:sz w:val="18"/>
                <w:szCs w:val="14"/>
              </w:rPr>
              <w:t>Total</w:t>
            </w:r>
          </w:p>
        </w:tc>
        <w:tc>
          <w:tcPr>
            <w:tcW w:w="0" w:type="auto"/>
            <w:vAlign w:val="bottom"/>
          </w:tcPr>
          <w:p w14:paraId="2F8CB395" w14:textId="77777777" w:rsidR="001E36D1" w:rsidRPr="00561208" w:rsidRDefault="001E36D1" w:rsidP="00561208">
            <w:pPr>
              <w:keepNext/>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3,938</w:t>
            </w:r>
          </w:p>
        </w:tc>
        <w:tc>
          <w:tcPr>
            <w:tcW w:w="0" w:type="auto"/>
            <w:vAlign w:val="bottom"/>
          </w:tcPr>
          <w:p w14:paraId="43D21FEA" w14:textId="77777777" w:rsidR="001E36D1" w:rsidRPr="00561208" w:rsidRDefault="001E36D1" w:rsidP="00561208">
            <w:pPr>
              <w:keepNext/>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4,123</w:t>
            </w:r>
          </w:p>
        </w:tc>
        <w:tc>
          <w:tcPr>
            <w:tcW w:w="0" w:type="auto"/>
            <w:vAlign w:val="bottom"/>
          </w:tcPr>
          <w:p w14:paraId="6F1F241B" w14:textId="77777777" w:rsidR="001E36D1" w:rsidRPr="00561208" w:rsidRDefault="001E36D1" w:rsidP="00561208">
            <w:pPr>
              <w:keepNext/>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4,360</w:t>
            </w:r>
          </w:p>
        </w:tc>
        <w:tc>
          <w:tcPr>
            <w:tcW w:w="0" w:type="auto"/>
            <w:vAlign w:val="bottom"/>
          </w:tcPr>
          <w:p w14:paraId="18B90052" w14:textId="77777777" w:rsidR="001E36D1" w:rsidRPr="00561208" w:rsidRDefault="001E36D1" w:rsidP="00561208">
            <w:pPr>
              <w:keepNext/>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4,478</w:t>
            </w:r>
          </w:p>
        </w:tc>
        <w:tc>
          <w:tcPr>
            <w:tcW w:w="0" w:type="auto"/>
            <w:vAlign w:val="bottom"/>
          </w:tcPr>
          <w:p w14:paraId="0C4DFB78" w14:textId="77777777" w:rsidR="001E36D1" w:rsidRPr="00561208" w:rsidRDefault="001E36D1" w:rsidP="00561208">
            <w:pPr>
              <w:keepNext/>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4,921</w:t>
            </w:r>
          </w:p>
        </w:tc>
        <w:tc>
          <w:tcPr>
            <w:tcW w:w="0" w:type="auto"/>
            <w:vAlign w:val="bottom"/>
          </w:tcPr>
          <w:p w14:paraId="26B4EE7B" w14:textId="77777777" w:rsidR="001E36D1" w:rsidRPr="00561208" w:rsidRDefault="001E36D1" w:rsidP="00561208">
            <w:pPr>
              <w:keepNext/>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5,109</w:t>
            </w:r>
          </w:p>
        </w:tc>
        <w:tc>
          <w:tcPr>
            <w:tcW w:w="0" w:type="auto"/>
            <w:vAlign w:val="bottom"/>
          </w:tcPr>
          <w:p w14:paraId="062DADE4" w14:textId="77777777" w:rsidR="001E36D1" w:rsidRPr="00561208" w:rsidRDefault="001E36D1" w:rsidP="00561208">
            <w:pPr>
              <w:keepNext/>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6,224</w:t>
            </w:r>
          </w:p>
        </w:tc>
      </w:tr>
    </w:tbl>
    <w:p w14:paraId="18523E5C" w14:textId="77777777" w:rsidR="004D3998" w:rsidRPr="00DF2F62" w:rsidRDefault="004D3998" w:rsidP="00CE75FA">
      <w:pPr>
        <w:rPr>
          <w:b/>
          <w:sz w:val="18"/>
          <w:szCs w:val="18"/>
        </w:rPr>
      </w:pPr>
    </w:p>
    <w:p w14:paraId="262F1735" w14:textId="5B8DBD0B" w:rsidR="00CE75FA" w:rsidRPr="00DF2F62" w:rsidRDefault="00CE75FA" w:rsidP="00CE75FA">
      <w:pPr>
        <w:rPr>
          <w:b/>
        </w:rPr>
      </w:pPr>
      <w:r w:rsidRPr="00DF2F62">
        <w:rPr>
          <w:b/>
        </w:rPr>
        <w:t xml:space="preserve">NDIA </w:t>
      </w:r>
      <w:r w:rsidR="00227990">
        <w:rPr>
          <w:b/>
        </w:rPr>
        <w:t>observations</w:t>
      </w:r>
    </w:p>
    <w:p w14:paraId="779A002D" w14:textId="24C4697C" w:rsidR="008E25D0" w:rsidRDefault="00CE75FA" w:rsidP="00CE75FA">
      <w:r w:rsidRPr="00DF2F62">
        <w:t xml:space="preserve">Total enrolled SDA dwellings </w:t>
      </w:r>
      <w:r w:rsidR="008A4201" w:rsidRPr="00DF2F62">
        <w:t xml:space="preserve">have </w:t>
      </w:r>
      <w:r w:rsidRPr="00DF2F62">
        <w:t xml:space="preserve">grown by 43% from </w:t>
      </w:r>
      <w:r w:rsidR="009D0A89" w:rsidRPr="00DF2F62">
        <w:t>Q4 FY19-20</w:t>
      </w:r>
      <w:r w:rsidR="005F5619">
        <w:t>, n</w:t>
      </w:r>
      <w:r w:rsidRPr="00DF2F62">
        <w:t xml:space="preserve">early all of which is </w:t>
      </w:r>
      <w:r w:rsidR="00C25F76">
        <w:t>from</w:t>
      </w:r>
      <w:r w:rsidRPr="00DF2F62">
        <w:t xml:space="preserve"> Victoria, largely </w:t>
      </w:r>
      <w:r w:rsidR="00E66666" w:rsidRPr="00DF2F62">
        <w:t>due to the</w:t>
      </w:r>
      <w:r w:rsidRPr="00DF2F62">
        <w:t xml:space="preserve"> transfer from in-kind arrangements</w:t>
      </w:r>
      <w:r w:rsidR="00C65328" w:rsidRPr="00DF2F62">
        <w:t xml:space="preserve"> which </w:t>
      </w:r>
      <w:r w:rsidR="004D7AAB">
        <w:t xml:space="preserve">was </w:t>
      </w:r>
      <w:r w:rsidR="00E66666" w:rsidRPr="00DF2F62">
        <w:t xml:space="preserve">completed </w:t>
      </w:r>
      <w:r w:rsidR="00C65328" w:rsidRPr="00DF2F62">
        <w:t xml:space="preserve">during </w:t>
      </w:r>
      <w:r w:rsidR="009D0A89" w:rsidRPr="00DF2F62">
        <w:t>Q4 FY20-21</w:t>
      </w:r>
      <w:r w:rsidR="00121539" w:rsidRPr="00DF2F62">
        <w:t xml:space="preserve">. </w:t>
      </w:r>
      <w:r w:rsidRPr="00DF2F62">
        <w:t xml:space="preserve">Otherwise, </w:t>
      </w:r>
      <w:r w:rsidR="00A03CC1">
        <w:t xml:space="preserve">dwelling </w:t>
      </w:r>
      <w:r w:rsidRPr="00DF2F62">
        <w:t>growth has been steady in all jurisdictions except Tasmania and the Northern Territory (small or negative)</w:t>
      </w:r>
      <w:r w:rsidR="009D25DC">
        <w:t xml:space="preserve">. There has been </w:t>
      </w:r>
      <w:r w:rsidRPr="00DF2F62">
        <w:t xml:space="preserve">substantial growth in the </w:t>
      </w:r>
      <w:r w:rsidR="00121539" w:rsidRPr="00DF2F62">
        <w:t>Australian Capital Territory</w:t>
      </w:r>
      <w:r w:rsidRPr="00DF2F62">
        <w:t xml:space="preserve"> (fourth largest absolute increase in dwellings over the last year)</w:t>
      </w:r>
      <w:r w:rsidR="00CC1958">
        <w:t>,</w:t>
      </w:r>
      <w:r w:rsidR="002131D4" w:rsidRPr="00DF2F62">
        <w:t xml:space="preserve"> mostly attributable to the Australian Capital Territory Government’s dwelling enrolments</w:t>
      </w:r>
      <w:r w:rsidRPr="00DF2F62">
        <w:t>.</w:t>
      </w:r>
    </w:p>
    <w:p w14:paraId="6A05B9D4" w14:textId="77777777" w:rsidR="001448CA" w:rsidRDefault="001448CA" w:rsidP="00CE75FA">
      <w:r w:rsidRPr="00DF2F62">
        <w:t xml:space="preserve">The NDIA </w:t>
      </w:r>
      <w:r>
        <w:t>expects</w:t>
      </w:r>
      <w:r w:rsidRPr="00DF2F62">
        <w:t xml:space="preserve"> some increases </w:t>
      </w:r>
      <w:r w:rsidR="00916C51">
        <w:t xml:space="preserve">in the future </w:t>
      </w:r>
      <w:r w:rsidR="009E1FB8">
        <w:t>from Western Australia transferring stock to the</w:t>
      </w:r>
      <w:r w:rsidRPr="00DF2F62">
        <w:t xml:space="preserve"> NDIS</w:t>
      </w:r>
      <w:r w:rsidR="009E1FB8">
        <w:t>,</w:t>
      </w:r>
      <w:r w:rsidRPr="00DF2F62">
        <w:t xml:space="preserve"> and </w:t>
      </w:r>
      <w:r w:rsidR="009E1FB8">
        <w:t xml:space="preserve">from </w:t>
      </w:r>
      <w:r>
        <w:t>Tasmania’s 203 in-kind dwellings transition</w:t>
      </w:r>
      <w:r w:rsidR="009E1FB8">
        <w:t>ing</w:t>
      </w:r>
      <w:r>
        <w:t xml:space="preserve"> in coming quarters</w:t>
      </w:r>
      <w:r w:rsidRPr="00DF2F62">
        <w:t>.</w:t>
      </w:r>
    </w:p>
    <w:p w14:paraId="78B6E10A" w14:textId="151B4CDA" w:rsidR="00561208" w:rsidRDefault="009E1FB8" w:rsidP="00C427A2">
      <w:r>
        <w:t>It should be noted that while the number of enrolled bedrooms equals the number of SDA residents, there are also more participants seeking SDA accommodation, and more dwellings under construction.</w:t>
      </w:r>
      <w:r w:rsidR="00F312B5">
        <w:t xml:space="preserve"> </w:t>
      </w:r>
    </w:p>
    <w:p w14:paraId="53600BFB" w14:textId="77777777" w:rsidR="00561208" w:rsidRDefault="00561208">
      <w:pPr>
        <w:spacing w:line="276" w:lineRule="auto"/>
      </w:pPr>
      <w:r>
        <w:br w:type="page"/>
      </w:r>
    </w:p>
    <w:p w14:paraId="3F975FBB" w14:textId="77777777" w:rsidR="00CE75FA" w:rsidRPr="00DF2F62" w:rsidRDefault="00CE75FA" w:rsidP="00CE75FA">
      <w:pPr>
        <w:pStyle w:val="Heading2"/>
      </w:pPr>
      <w:bookmarkStart w:id="63" w:name="_Toc79493386"/>
      <w:bookmarkStart w:id="64" w:name="_Toc79581644"/>
      <w:bookmarkStart w:id="65" w:name="_Toc79684611"/>
      <w:bookmarkStart w:id="66" w:name="_Toc83193292"/>
      <w:r w:rsidRPr="00DF2F62">
        <w:lastRenderedPageBreak/>
        <w:t>SDA participant market overview</w:t>
      </w:r>
      <w:bookmarkEnd w:id="63"/>
      <w:bookmarkEnd w:id="64"/>
      <w:bookmarkEnd w:id="65"/>
      <w:bookmarkEnd w:id="66"/>
    </w:p>
    <w:p w14:paraId="2D405A4F" w14:textId="77777777" w:rsidR="00CE75FA" w:rsidRPr="00DF2F62" w:rsidRDefault="00CE75FA" w:rsidP="00CE75FA">
      <w:pPr>
        <w:pStyle w:val="Heading3"/>
      </w:pPr>
      <w:bookmarkStart w:id="67" w:name="_Toc79493387"/>
      <w:bookmarkStart w:id="68" w:name="_Toc79581645"/>
      <w:bookmarkStart w:id="69" w:name="_Toc79684612"/>
      <w:bookmarkStart w:id="70" w:name="_Toc83193293"/>
      <w:r w:rsidRPr="00DF2F62">
        <w:t>Eligible participant profiles</w:t>
      </w:r>
      <w:bookmarkEnd w:id="67"/>
      <w:bookmarkEnd w:id="68"/>
      <w:bookmarkEnd w:id="69"/>
      <w:bookmarkEnd w:id="70"/>
    </w:p>
    <w:p w14:paraId="18D54638" w14:textId="77777777" w:rsidR="00CB60E1" w:rsidRPr="00DF2F62" w:rsidRDefault="00731712" w:rsidP="00CB60E1">
      <w:r>
        <w:t>There was</w:t>
      </w:r>
      <w:r w:rsidR="008175A2">
        <w:t xml:space="preserve"> a total of</w:t>
      </w:r>
      <w:r>
        <w:t xml:space="preserve"> 16,033 participants with SDA in their plans in Q4 FY20-21. </w:t>
      </w:r>
      <w:r w:rsidR="00CB60E1" w:rsidRPr="00DF2F62">
        <w:t xml:space="preserve">New South Wales and Victoria are still the </w:t>
      </w:r>
      <w:r w:rsidR="00001445" w:rsidRPr="00DF2F62">
        <w:t xml:space="preserve">2 </w:t>
      </w:r>
      <w:r w:rsidR="00CB60E1" w:rsidRPr="00DF2F62">
        <w:t xml:space="preserve">largest states, by overall participants with SDA. The trend since </w:t>
      </w:r>
      <w:r w:rsidR="009D0A89" w:rsidRPr="00DF2F62">
        <w:t xml:space="preserve">Q2 FY19-20 </w:t>
      </w:r>
      <w:r w:rsidR="00AF7955" w:rsidRPr="00DF2F62">
        <w:t xml:space="preserve">can be seen in </w:t>
      </w:r>
      <w:r w:rsidR="00AF7955" w:rsidRPr="00DF2F62">
        <w:fldChar w:fldCharType="begin"/>
      </w:r>
      <w:r w:rsidR="00AF7955" w:rsidRPr="00DF2F62">
        <w:instrText xml:space="preserve"> REF _Ref79582683 \h </w:instrText>
      </w:r>
      <w:r w:rsidR="00DF2F62">
        <w:instrText xml:space="preserve"> \* MERGEFORMAT </w:instrText>
      </w:r>
      <w:r w:rsidR="00AF7955" w:rsidRPr="00DF2F62">
        <w:fldChar w:fldCharType="separate"/>
      </w:r>
      <w:r w:rsidR="00B72D81" w:rsidRPr="00B72D81">
        <w:t xml:space="preserve">Figure </w:t>
      </w:r>
      <w:r w:rsidR="00B72D81" w:rsidRPr="00B72D81">
        <w:rPr>
          <w:noProof/>
        </w:rPr>
        <w:t>6</w:t>
      </w:r>
      <w:r w:rsidR="00AF7955" w:rsidRPr="00DF2F62">
        <w:fldChar w:fldCharType="end"/>
      </w:r>
      <w:r w:rsidR="00CB60E1" w:rsidRPr="00DF2F62">
        <w:t>.</w:t>
      </w:r>
    </w:p>
    <w:p w14:paraId="48F38AB1" w14:textId="77777777" w:rsidR="00CE75FA" w:rsidRDefault="00CE75FA" w:rsidP="00CE75FA">
      <w:pPr>
        <w:pStyle w:val="Caption"/>
        <w:keepNext/>
        <w:rPr>
          <w:caps w:val="0"/>
          <w:noProof/>
        </w:rPr>
      </w:pPr>
      <w:bookmarkStart w:id="71" w:name="_Ref78905567"/>
      <w:bookmarkStart w:id="72" w:name="_Toc79490512"/>
      <w:bookmarkStart w:id="73" w:name="_Toc79493363"/>
      <w:r w:rsidRPr="00DF2F62">
        <w:rPr>
          <w:caps w:val="0"/>
        </w:rPr>
        <w:t xml:space="preserve">Figure </w:t>
      </w:r>
      <w:r w:rsidR="006546B5" w:rsidRPr="00DF2F62">
        <w:rPr>
          <w:caps w:val="0"/>
        </w:rPr>
        <w:fldChar w:fldCharType="begin"/>
      </w:r>
      <w:r w:rsidR="006546B5" w:rsidRPr="00DF2F62">
        <w:rPr>
          <w:caps w:val="0"/>
        </w:rPr>
        <w:instrText xml:space="preserve"> SEQ Figure \* ARABIC </w:instrText>
      </w:r>
      <w:r w:rsidR="006546B5" w:rsidRPr="00DF2F62">
        <w:rPr>
          <w:caps w:val="0"/>
        </w:rPr>
        <w:fldChar w:fldCharType="separate"/>
      </w:r>
      <w:r w:rsidR="00B72D81">
        <w:rPr>
          <w:caps w:val="0"/>
          <w:noProof/>
        </w:rPr>
        <w:t>5</w:t>
      </w:r>
      <w:r w:rsidR="006546B5" w:rsidRPr="00DF2F62">
        <w:rPr>
          <w:caps w:val="0"/>
          <w:noProof/>
        </w:rPr>
        <w:fldChar w:fldCharType="end"/>
      </w:r>
      <w:r w:rsidRPr="00DF2F62">
        <w:rPr>
          <w:caps w:val="0"/>
        </w:rPr>
        <w:t xml:space="preserve">: </w:t>
      </w:r>
      <w:r w:rsidRPr="00B72D81">
        <w:rPr>
          <w:caps w:val="0"/>
        </w:rPr>
        <w:t xml:space="preserve">Participants </w:t>
      </w:r>
      <w:r w:rsidR="003026B0" w:rsidRPr="00B72D81">
        <w:rPr>
          <w:caps w:val="0"/>
        </w:rPr>
        <w:t>with SDA</w:t>
      </w:r>
      <w:r w:rsidR="003026B0">
        <w:rPr>
          <w:caps w:val="0"/>
        </w:rPr>
        <w:t xml:space="preserve"> </w:t>
      </w:r>
      <w:r w:rsidRPr="00DF2F62">
        <w:rPr>
          <w:caps w:val="0"/>
        </w:rPr>
        <w:t xml:space="preserve">by </w:t>
      </w:r>
      <w:r w:rsidR="009D0A89" w:rsidRPr="00DF2F62">
        <w:rPr>
          <w:caps w:val="0"/>
        </w:rPr>
        <w:t>s</w:t>
      </w:r>
      <w:r w:rsidRPr="00DF2F62">
        <w:rPr>
          <w:caps w:val="0"/>
        </w:rPr>
        <w:t>tate</w:t>
      </w:r>
      <w:r w:rsidR="009559DA" w:rsidRPr="00DF2F62">
        <w:rPr>
          <w:caps w:val="0"/>
        </w:rPr>
        <w:t>s</w:t>
      </w:r>
      <w:r w:rsidRPr="00DF2F62">
        <w:rPr>
          <w:caps w:val="0"/>
        </w:rPr>
        <w:t xml:space="preserve"> or </w:t>
      </w:r>
      <w:r w:rsidR="009D0A89" w:rsidRPr="00DF2F62">
        <w:rPr>
          <w:caps w:val="0"/>
        </w:rPr>
        <w:t>t</w:t>
      </w:r>
      <w:r w:rsidRPr="00DF2F62">
        <w:rPr>
          <w:caps w:val="0"/>
        </w:rPr>
        <w:t xml:space="preserve">erritory </w:t>
      </w:r>
      <w:r w:rsidRPr="00DF2F62">
        <w:rPr>
          <w:caps w:val="0"/>
          <w:noProof/>
        </w:rPr>
        <w:t>of residence</w:t>
      </w:r>
      <w:bookmarkEnd w:id="71"/>
      <w:bookmarkEnd w:id="72"/>
      <w:bookmarkEnd w:id="73"/>
      <w:r w:rsidR="00DA49C3">
        <w:rPr>
          <w:caps w:val="0"/>
          <w:noProof/>
        </w:rPr>
        <w:t xml:space="preserve"> </w:t>
      </w:r>
      <w:r w:rsidR="00DA49C3" w:rsidRPr="00B72D81">
        <w:rPr>
          <w:caps w:val="0"/>
          <w:noProof/>
        </w:rPr>
        <w:t>at Q4 FY20-21</w:t>
      </w:r>
    </w:p>
    <w:p w14:paraId="421C728E" w14:textId="77777777" w:rsidR="00CC1958" w:rsidRPr="00C32594" w:rsidRDefault="001E36D1" w:rsidP="00C32594">
      <w:r w:rsidRPr="00DF2F62">
        <w:rPr>
          <w:noProof/>
          <w:lang w:eastAsia="en-AU"/>
        </w:rPr>
        <w:drawing>
          <wp:inline distT="0" distB="0" distL="0" distR="0" wp14:anchorId="1103BBB1" wp14:editId="57442A59">
            <wp:extent cx="5760000" cy="3060000"/>
            <wp:effectExtent l="0" t="0" r="12700" b="7620"/>
            <wp:docPr id="12" name="Chart 12" descr="This column graph displays the total number of participants with SDA in Q4 FY20-21.&#10;&#10;New South Wales (5,572) and Victoria (5,295) have the two largest SDA populations followed by South Australia at 1,675 and Queensland at 1,650. Western Australia has 1,149 participants with SDA.&#10;&#10;Tasmania (396), Australian Capital Territory (170) and Northern Territory (126) have relatively lower participants with SDA populations." title="Figure 5: Participants with SDA by state or territory of residence for Q4 FY20-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8638BA6" w14:textId="77777777" w:rsidR="00CE75FA" w:rsidRDefault="00CE75FA" w:rsidP="00CE75FA">
      <w:pPr>
        <w:pStyle w:val="Caption"/>
        <w:keepNext/>
        <w:rPr>
          <w:caps w:val="0"/>
        </w:rPr>
      </w:pPr>
      <w:bookmarkStart w:id="74" w:name="_Ref79582683"/>
      <w:bookmarkStart w:id="75" w:name="_Toc79490513"/>
      <w:bookmarkStart w:id="76" w:name="_Toc79493364"/>
      <w:r w:rsidRPr="00DF2F62">
        <w:rPr>
          <w:caps w:val="0"/>
        </w:rPr>
        <w:t xml:space="preserve">Figure </w:t>
      </w:r>
      <w:r w:rsidR="006546B5" w:rsidRPr="00DF2F62">
        <w:rPr>
          <w:caps w:val="0"/>
        </w:rPr>
        <w:fldChar w:fldCharType="begin"/>
      </w:r>
      <w:r w:rsidR="006546B5" w:rsidRPr="00DF2F62">
        <w:rPr>
          <w:caps w:val="0"/>
        </w:rPr>
        <w:instrText xml:space="preserve"> SEQ Figure \* ARABIC </w:instrText>
      </w:r>
      <w:r w:rsidR="006546B5" w:rsidRPr="00DF2F62">
        <w:rPr>
          <w:caps w:val="0"/>
        </w:rPr>
        <w:fldChar w:fldCharType="separate"/>
      </w:r>
      <w:r w:rsidR="00B72D81">
        <w:rPr>
          <w:caps w:val="0"/>
          <w:noProof/>
        </w:rPr>
        <w:t>6</w:t>
      </w:r>
      <w:r w:rsidR="006546B5" w:rsidRPr="00DF2F62">
        <w:rPr>
          <w:caps w:val="0"/>
          <w:noProof/>
        </w:rPr>
        <w:fldChar w:fldCharType="end"/>
      </w:r>
      <w:bookmarkEnd w:id="74"/>
      <w:r w:rsidRPr="00DF2F62">
        <w:rPr>
          <w:caps w:val="0"/>
        </w:rPr>
        <w:t xml:space="preserve">: </w:t>
      </w:r>
      <w:r w:rsidR="009D0A89" w:rsidRPr="00DF2F62">
        <w:rPr>
          <w:caps w:val="0"/>
        </w:rPr>
        <w:t>A</w:t>
      </w:r>
      <w:r w:rsidRPr="00DF2F62">
        <w:rPr>
          <w:caps w:val="0"/>
        </w:rPr>
        <w:t xml:space="preserve">ctive participants with SDA funding in current NDIS plan in </w:t>
      </w:r>
      <w:r w:rsidR="009559DA" w:rsidRPr="00DF2F62">
        <w:rPr>
          <w:caps w:val="0"/>
        </w:rPr>
        <w:t>s</w:t>
      </w:r>
      <w:r w:rsidRPr="00DF2F62">
        <w:rPr>
          <w:caps w:val="0"/>
        </w:rPr>
        <w:t xml:space="preserve">tates and </w:t>
      </w:r>
      <w:r w:rsidR="009D0A89" w:rsidRPr="00DF2F62">
        <w:rPr>
          <w:caps w:val="0"/>
        </w:rPr>
        <w:t>t</w:t>
      </w:r>
      <w:r w:rsidRPr="00DF2F62">
        <w:rPr>
          <w:caps w:val="0"/>
        </w:rPr>
        <w:t>erritories</w:t>
      </w:r>
      <w:bookmarkEnd w:id="75"/>
      <w:bookmarkEnd w:id="76"/>
    </w:p>
    <w:p w14:paraId="7DF145E1" w14:textId="77777777" w:rsidR="00CE75FA" w:rsidRPr="00DD6FAE" w:rsidRDefault="001E36D1" w:rsidP="00CE75FA">
      <w:r w:rsidRPr="00DF2F62">
        <w:rPr>
          <w:noProof/>
          <w:lang w:eastAsia="en-AU"/>
        </w:rPr>
        <w:drawing>
          <wp:inline distT="0" distB="0" distL="0" distR="0" wp14:anchorId="6D19893F" wp14:editId="07B32BD4">
            <wp:extent cx="5760000" cy="3060000"/>
            <wp:effectExtent l="0" t="0" r="12700" b="7620"/>
            <wp:docPr id="13" name="Chart 13" descr="This line graph shows the trend of total active participant with SDA numbers for each state and territory from Q2 FY19-20 to Q4 FY20-21.&#10;&#10;New South Wales and Victoria started, and ended, with the largest participant with SDA populations, steadily growing in the time period. &#10;&#10;Queensland saw a small decrease to Q3 FY19-20 before increasing slowly over recent quarters. In comparison South Australia started with a higher number of participants than Queensland in Q2 FY19-20 (1,777 compared to 1,452) but has seen a steady decline in almost every quarter to now have a similar participant with SDA population compared to Queensland (1,675 against 1,650).&#10;&#10;In Western Australia there was a spike in participants with SDA in Q4 FY19-20 before a slower growth in recent quarters.&#10;&#10;Australian Capital Territory has seen growth in every quarter from a small base of 23 participants in Q2 FY19-20 to now having 170 participants in Q4 FY20-21.&#10;&#10;Tasmania and Northern Territory have relatively small numbers of participants with SDA and have been slightly declining over time to now have 396 and 126 participants respectively in Q4 FY20-21." title="Figure 6: Active participants with SDA funding in current NDIS plan in states and territories"/>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C12BC21" w14:textId="77777777" w:rsidR="00CE75FA" w:rsidRDefault="00CE75FA" w:rsidP="00CE75FA">
      <w:pPr>
        <w:pStyle w:val="Caption"/>
        <w:keepNext/>
        <w:rPr>
          <w:caps w:val="0"/>
        </w:rPr>
      </w:pPr>
      <w:r w:rsidRPr="00DF2F62">
        <w:rPr>
          <w:caps w:val="0"/>
        </w:rPr>
        <w:lastRenderedPageBreak/>
        <w:t xml:space="preserve">Table </w:t>
      </w:r>
      <w:r w:rsidR="006546B5" w:rsidRPr="00DF2F62">
        <w:rPr>
          <w:caps w:val="0"/>
        </w:rPr>
        <w:fldChar w:fldCharType="begin"/>
      </w:r>
      <w:r w:rsidR="006546B5" w:rsidRPr="00DF2F62">
        <w:rPr>
          <w:caps w:val="0"/>
        </w:rPr>
        <w:instrText xml:space="preserve"> SEQ Table \* ARABIC </w:instrText>
      </w:r>
      <w:r w:rsidR="006546B5" w:rsidRPr="00DF2F62">
        <w:rPr>
          <w:caps w:val="0"/>
        </w:rPr>
        <w:fldChar w:fldCharType="separate"/>
      </w:r>
      <w:r w:rsidR="00B72D81">
        <w:rPr>
          <w:caps w:val="0"/>
          <w:noProof/>
        </w:rPr>
        <w:t>3</w:t>
      </w:r>
      <w:r w:rsidR="006546B5" w:rsidRPr="00DF2F62">
        <w:rPr>
          <w:caps w:val="0"/>
          <w:noProof/>
        </w:rPr>
        <w:fldChar w:fldCharType="end"/>
      </w:r>
      <w:r w:rsidRPr="00DF2F62">
        <w:rPr>
          <w:caps w:val="0"/>
        </w:rPr>
        <w:t xml:space="preserve">: </w:t>
      </w:r>
      <w:r w:rsidR="009D0A89" w:rsidRPr="00DF2F62">
        <w:rPr>
          <w:caps w:val="0"/>
        </w:rPr>
        <w:t>A</w:t>
      </w:r>
      <w:r w:rsidR="00AF7955" w:rsidRPr="00DF2F62">
        <w:rPr>
          <w:caps w:val="0"/>
        </w:rPr>
        <w:t xml:space="preserve">ctive participants with SDA funding in current NDIS plan in </w:t>
      </w:r>
      <w:r w:rsidR="009D0A89" w:rsidRPr="00DF2F62">
        <w:rPr>
          <w:caps w:val="0"/>
        </w:rPr>
        <w:t>states and territories</w:t>
      </w:r>
    </w:p>
    <w:tbl>
      <w:tblPr>
        <w:tblStyle w:val="LightShading-Accent4"/>
        <w:tblW w:w="9127" w:type="dxa"/>
        <w:tblLook w:val="04A0" w:firstRow="1" w:lastRow="0" w:firstColumn="1" w:lastColumn="0" w:noHBand="0" w:noVBand="1"/>
        <w:tblCaption w:val="Table 3: Active participants with SDA funding in current NDIS Plan in states and territories"/>
        <w:tblDescription w:val="This table details the total number of participants in each state and territory between Q2 FY19-20 to Q4 FY20-21, which are the numbers that sit behind the previous graph."/>
      </w:tblPr>
      <w:tblGrid>
        <w:gridCol w:w="884"/>
        <w:gridCol w:w="1181"/>
        <w:gridCol w:w="1175"/>
        <w:gridCol w:w="1175"/>
        <w:gridCol w:w="1181"/>
        <w:gridCol w:w="1181"/>
        <w:gridCol w:w="1175"/>
        <w:gridCol w:w="1175"/>
      </w:tblGrid>
      <w:tr w:rsidR="001E36D1" w:rsidRPr="00561208" w14:paraId="6A350500" w14:textId="77777777" w:rsidTr="00561208">
        <w:trPr>
          <w:cnfStyle w:val="100000000000" w:firstRow="1" w:lastRow="0" w:firstColumn="0" w:lastColumn="0" w:oddVBand="0" w:evenVBand="0" w:oddHBand="0" w:evenHBand="0" w:firstRowFirstColumn="0" w:firstRowLastColumn="0" w:lastRowFirstColumn="0" w:lastRowLastColumn="0"/>
          <w:trHeight w:val="735"/>
          <w:tblHead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5C80D56" w14:textId="77777777" w:rsidR="001E36D1" w:rsidRPr="00561208" w:rsidRDefault="001E36D1" w:rsidP="001E36D1">
            <w:pPr>
              <w:spacing w:after="0"/>
              <w:jc w:val="center"/>
              <w:rPr>
                <w:rFonts w:asciiTheme="majorHAnsi" w:hAnsiTheme="majorHAnsi" w:cstheme="majorHAnsi"/>
                <w:sz w:val="18"/>
                <w:szCs w:val="14"/>
              </w:rPr>
            </w:pPr>
            <w:r w:rsidRPr="00561208">
              <w:rPr>
                <w:rFonts w:asciiTheme="majorHAnsi" w:hAnsiTheme="majorHAnsi" w:cstheme="majorHAnsi"/>
                <w:sz w:val="18"/>
                <w:szCs w:val="14"/>
              </w:rPr>
              <w:t>State</w:t>
            </w:r>
          </w:p>
        </w:tc>
        <w:tc>
          <w:tcPr>
            <w:tcW w:w="0" w:type="auto"/>
            <w:vAlign w:val="center"/>
          </w:tcPr>
          <w:p w14:paraId="46B483CB" w14:textId="77777777" w:rsidR="001E36D1" w:rsidRPr="00561208" w:rsidRDefault="001E36D1" w:rsidP="001E36D1">
            <w:pPr>
              <w:spacing w:after="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31-Dec-19</w:t>
            </w:r>
          </w:p>
        </w:tc>
        <w:tc>
          <w:tcPr>
            <w:tcW w:w="0" w:type="auto"/>
            <w:vAlign w:val="center"/>
          </w:tcPr>
          <w:p w14:paraId="1630DDA3" w14:textId="77777777" w:rsidR="001E36D1" w:rsidRPr="00561208" w:rsidRDefault="001E36D1" w:rsidP="001E36D1">
            <w:pPr>
              <w:spacing w:after="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31-Mar-20</w:t>
            </w:r>
          </w:p>
        </w:tc>
        <w:tc>
          <w:tcPr>
            <w:tcW w:w="0" w:type="auto"/>
            <w:vAlign w:val="center"/>
          </w:tcPr>
          <w:p w14:paraId="6BB3765A" w14:textId="77777777" w:rsidR="001E36D1" w:rsidRPr="00561208" w:rsidRDefault="001E36D1" w:rsidP="001E36D1">
            <w:pPr>
              <w:spacing w:after="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30-Jun-20</w:t>
            </w:r>
          </w:p>
        </w:tc>
        <w:tc>
          <w:tcPr>
            <w:tcW w:w="0" w:type="auto"/>
            <w:vAlign w:val="center"/>
          </w:tcPr>
          <w:p w14:paraId="5ED0471D" w14:textId="77777777" w:rsidR="001E36D1" w:rsidRPr="00561208" w:rsidRDefault="001E36D1" w:rsidP="001E36D1">
            <w:pPr>
              <w:spacing w:after="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30-Sep-20</w:t>
            </w:r>
          </w:p>
        </w:tc>
        <w:tc>
          <w:tcPr>
            <w:tcW w:w="0" w:type="auto"/>
            <w:vAlign w:val="center"/>
          </w:tcPr>
          <w:p w14:paraId="77451D71" w14:textId="77777777" w:rsidR="001E36D1" w:rsidRPr="00561208" w:rsidRDefault="001E36D1" w:rsidP="001E36D1">
            <w:pPr>
              <w:spacing w:after="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31-Dec-20</w:t>
            </w:r>
          </w:p>
        </w:tc>
        <w:tc>
          <w:tcPr>
            <w:tcW w:w="0" w:type="auto"/>
            <w:vAlign w:val="center"/>
          </w:tcPr>
          <w:p w14:paraId="31876632" w14:textId="77777777" w:rsidR="001E36D1" w:rsidRPr="00561208" w:rsidRDefault="001E36D1" w:rsidP="001E36D1">
            <w:pPr>
              <w:spacing w:after="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31-Mar-21</w:t>
            </w:r>
          </w:p>
        </w:tc>
        <w:tc>
          <w:tcPr>
            <w:tcW w:w="0" w:type="auto"/>
            <w:vAlign w:val="center"/>
          </w:tcPr>
          <w:p w14:paraId="3268669B" w14:textId="77777777" w:rsidR="001E36D1" w:rsidRPr="00561208" w:rsidRDefault="001E36D1" w:rsidP="001E36D1">
            <w:pPr>
              <w:spacing w:after="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30-Jun-21</w:t>
            </w:r>
          </w:p>
        </w:tc>
      </w:tr>
      <w:tr w:rsidR="001E36D1" w:rsidRPr="00561208" w14:paraId="237ADC4C" w14:textId="77777777" w:rsidTr="00561208">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0" w:type="auto"/>
            <w:vAlign w:val="center"/>
          </w:tcPr>
          <w:p w14:paraId="0F0DAFCA" w14:textId="77777777" w:rsidR="001E36D1" w:rsidRPr="00561208" w:rsidRDefault="001E36D1" w:rsidP="001E36D1">
            <w:pPr>
              <w:spacing w:after="0"/>
              <w:jc w:val="center"/>
              <w:rPr>
                <w:rFonts w:asciiTheme="majorHAnsi" w:hAnsiTheme="majorHAnsi" w:cstheme="majorHAnsi"/>
                <w:sz w:val="18"/>
                <w:szCs w:val="14"/>
              </w:rPr>
            </w:pPr>
            <w:r w:rsidRPr="00561208">
              <w:rPr>
                <w:rFonts w:asciiTheme="majorHAnsi" w:hAnsiTheme="majorHAnsi" w:cstheme="majorHAnsi"/>
                <w:sz w:val="18"/>
                <w:szCs w:val="14"/>
              </w:rPr>
              <w:t>NSW</w:t>
            </w:r>
          </w:p>
        </w:tc>
        <w:tc>
          <w:tcPr>
            <w:tcW w:w="0" w:type="auto"/>
            <w:vAlign w:val="center"/>
          </w:tcPr>
          <w:p w14:paraId="1B1D833F" w14:textId="77777777" w:rsidR="001E36D1" w:rsidRPr="00561208"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4,917</w:t>
            </w:r>
          </w:p>
        </w:tc>
        <w:tc>
          <w:tcPr>
            <w:tcW w:w="0" w:type="auto"/>
            <w:vAlign w:val="center"/>
          </w:tcPr>
          <w:p w14:paraId="5640B777" w14:textId="77777777" w:rsidR="001E36D1" w:rsidRPr="00561208"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5,061</w:t>
            </w:r>
          </w:p>
        </w:tc>
        <w:tc>
          <w:tcPr>
            <w:tcW w:w="0" w:type="auto"/>
            <w:vAlign w:val="center"/>
          </w:tcPr>
          <w:p w14:paraId="0BCB372F" w14:textId="77777777" w:rsidR="001E36D1" w:rsidRPr="00561208"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5,307</w:t>
            </w:r>
          </w:p>
        </w:tc>
        <w:tc>
          <w:tcPr>
            <w:tcW w:w="0" w:type="auto"/>
            <w:vAlign w:val="center"/>
          </w:tcPr>
          <w:p w14:paraId="0E10CF95" w14:textId="77777777" w:rsidR="001E36D1" w:rsidRPr="00561208"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5,429</w:t>
            </w:r>
          </w:p>
        </w:tc>
        <w:tc>
          <w:tcPr>
            <w:tcW w:w="0" w:type="auto"/>
            <w:vAlign w:val="center"/>
          </w:tcPr>
          <w:p w14:paraId="35F841E0" w14:textId="77777777" w:rsidR="001E36D1" w:rsidRPr="00561208"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5,513</w:t>
            </w:r>
          </w:p>
        </w:tc>
        <w:tc>
          <w:tcPr>
            <w:tcW w:w="0" w:type="auto"/>
            <w:vAlign w:val="center"/>
          </w:tcPr>
          <w:p w14:paraId="1003F170" w14:textId="77777777" w:rsidR="001E36D1" w:rsidRPr="00561208"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5,533</w:t>
            </w:r>
          </w:p>
        </w:tc>
        <w:tc>
          <w:tcPr>
            <w:tcW w:w="0" w:type="auto"/>
            <w:vAlign w:val="center"/>
          </w:tcPr>
          <w:p w14:paraId="02521EF9" w14:textId="77777777" w:rsidR="001E36D1" w:rsidRPr="00561208"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5,572</w:t>
            </w:r>
          </w:p>
        </w:tc>
      </w:tr>
      <w:tr w:rsidR="001E36D1" w:rsidRPr="00561208" w14:paraId="3919571D" w14:textId="77777777" w:rsidTr="00561208">
        <w:trPr>
          <w:cnfStyle w:val="000000010000" w:firstRow="0" w:lastRow="0" w:firstColumn="0" w:lastColumn="0" w:oddVBand="0" w:evenVBand="0" w:oddHBand="0" w:evenHBand="1"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0" w:type="auto"/>
            <w:vAlign w:val="center"/>
          </w:tcPr>
          <w:p w14:paraId="3B621F09" w14:textId="77777777" w:rsidR="001E36D1" w:rsidRPr="00561208" w:rsidRDefault="001E36D1" w:rsidP="001E36D1">
            <w:pPr>
              <w:spacing w:after="0"/>
              <w:jc w:val="center"/>
              <w:rPr>
                <w:rFonts w:asciiTheme="majorHAnsi" w:hAnsiTheme="majorHAnsi" w:cstheme="majorHAnsi"/>
                <w:sz w:val="18"/>
                <w:szCs w:val="14"/>
              </w:rPr>
            </w:pPr>
            <w:r w:rsidRPr="00561208">
              <w:rPr>
                <w:rFonts w:asciiTheme="majorHAnsi" w:hAnsiTheme="majorHAnsi" w:cstheme="majorHAnsi"/>
                <w:sz w:val="18"/>
                <w:szCs w:val="14"/>
              </w:rPr>
              <w:t>Vic</w:t>
            </w:r>
          </w:p>
        </w:tc>
        <w:tc>
          <w:tcPr>
            <w:tcW w:w="0" w:type="auto"/>
            <w:vAlign w:val="center"/>
          </w:tcPr>
          <w:p w14:paraId="3E4D7B6E" w14:textId="77777777" w:rsidR="001E36D1" w:rsidRPr="00561208"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4,599</w:t>
            </w:r>
          </w:p>
        </w:tc>
        <w:tc>
          <w:tcPr>
            <w:tcW w:w="0" w:type="auto"/>
            <w:vAlign w:val="center"/>
          </w:tcPr>
          <w:p w14:paraId="3D84F8A9" w14:textId="77777777" w:rsidR="001E36D1" w:rsidRPr="00561208"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4,738</w:t>
            </w:r>
          </w:p>
        </w:tc>
        <w:tc>
          <w:tcPr>
            <w:tcW w:w="0" w:type="auto"/>
            <w:vAlign w:val="center"/>
          </w:tcPr>
          <w:p w14:paraId="31445319" w14:textId="77777777" w:rsidR="001E36D1" w:rsidRPr="00561208"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4,929</w:t>
            </w:r>
          </w:p>
        </w:tc>
        <w:tc>
          <w:tcPr>
            <w:tcW w:w="0" w:type="auto"/>
            <w:vAlign w:val="center"/>
          </w:tcPr>
          <w:p w14:paraId="2534A88C" w14:textId="77777777" w:rsidR="001E36D1" w:rsidRPr="00561208"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5,004</w:t>
            </w:r>
          </w:p>
        </w:tc>
        <w:tc>
          <w:tcPr>
            <w:tcW w:w="0" w:type="auto"/>
            <w:vAlign w:val="center"/>
          </w:tcPr>
          <w:p w14:paraId="7032BAC1" w14:textId="77777777" w:rsidR="001E36D1" w:rsidRPr="00561208"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5,128</w:t>
            </w:r>
          </w:p>
        </w:tc>
        <w:tc>
          <w:tcPr>
            <w:tcW w:w="0" w:type="auto"/>
            <w:vAlign w:val="center"/>
          </w:tcPr>
          <w:p w14:paraId="65336B48" w14:textId="77777777" w:rsidR="001E36D1" w:rsidRPr="00561208"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5,195</w:t>
            </w:r>
          </w:p>
        </w:tc>
        <w:tc>
          <w:tcPr>
            <w:tcW w:w="0" w:type="auto"/>
            <w:vAlign w:val="center"/>
          </w:tcPr>
          <w:p w14:paraId="00A79C07" w14:textId="77777777" w:rsidR="001E36D1" w:rsidRPr="00561208"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5,295</w:t>
            </w:r>
          </w:p>
        </w:tc>
      </w:tr>
      <w:tr w:rsidR="001E36D1" w:rsidRPr="00561208" w14:paraId="4BE1E8E5" w14:textId="77777777" w:rsidTr="00561208">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0" w:type="auto"/>
            <w:vAlign w:val="center"/>
          </w:tcPr>
          <w:p w14:paraId="1C2FD193" w14:textId="77777777" w:rsidR="001E36D1" w:rsidRPr="00561208" w:rsidRDefault="001E36D1" w:rsidP="001E36D1">
            <w:pPr>
              <w:spacing w:after="0"/>
              <w:jc w:val="center"/>
              <w:rPr>
                <w:rFonts w:asciiTheme="majorHAnsi" w:hAnsiTheme="majorHAnsi" w:cstheme="majorHAnsi"/>
                <w:sz w:val="18"/>
                <w:szCs w:val="14"/>
              </w:rPr>
            </w:pPr>
            <w:proofErr w:type="spellStart"/>
            <w:r w:rsidRPr="00561208">
              <w:rPr>
                <w:rFonts w:asciiTheme="majorHAnsi" w:hAnsiTheme="majorHAnsi" w:cstheme="majorHAnsi"/>
                <w:sz w:val="18"/>
                <w:szCs w:val="14"/>
              </w:rPr>
              <w:t>Qld</w:t>
            </w:r>
            <w:proofErr w:type="spellEnd"/>
          </w:p>
        </w:tc>
        <w:tc>
          <w:tcPr>
            <w:tcW w:w="0" w:type="auto"/>
            <w:vAlign w:val="center"/>
          </w:tcPr>
          <w:p w14:paraId="7187B1C4" w14:textId="77777777" w:rsidR="001E36D1" w:rsidRPr="00561208"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1,452</w:t>
            </w:r>
          </w:p>
        </w:tc>
        <w:tc>
          <w:tcPr>
            <w:tcW w:w="0" w:type="auto"/>
            <w:vAlign w:val="center"/>
          </w:tcPr>
          <w:p w14:paraId="7DBBA356" w14:textId="77777777" w:rsidR="001E36D1" w:rsidRPr="00561208"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1,378</w:t>
            </w:r>
          </w:p>
        </w:tc>
        <w:tc>
          <w:tcPr>
            <w:tcW w:w="0" w:type="auto"/>
            <w:vAlign w:val="center"/>
          </w:tcPr>
          <w:p w14:paraId="22761341" w14:textId="77777777" w:rsidR="001E36D1" w:rsidRPr="00561208"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1,425</w:t>
            </w:r>
          </w:p>
        </w:tc>
        <w:tc>
          <w:tcPr>
            <w:tcW w:w="0" w:type="auto"/>
            <w:vAlign w:val="center"/>
          </w:tcPr>
          <w:p w14:paraId="26CD6594" w14:textId="77777777" w:rsidR="001E36D1" w:rsidRPr="00561208"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1,451</w:t>
            </w:r>
          </w:p>
        </w:tc>
        <w:tc>
          <w:tcPr>
            <w:tcW w:w="0" w:type="auto"/>
            <w:vAlign w:val="center"/>
          </w:tcPr>
          <w:p w14:paraId="30BEA4C0" w14:textId="77777777" w:rsidR="001E36D1" w:rsidRPr="00561208"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1,524</w:t>
            </w:r>
          </w:p>
        </w:tc>
        <w:tc>
          <w:tcPr>
            <w:tcW w:w="0" w:type="auto"/>
            <w:vAlign w:val="center"/>
          </w:tcPr>
          <w:p w14:paraId="1CC32641" w14:textId="77777777" w:rsidR="001E36D1" w:rsidRPr="00561208"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1,595</w:t>
            </w:r>
          </w:p>
        </w:tc>
        <w:tc>
          <w:tcPr>
            <w:tcW w:w="0" w:type="auto"/>
            <w:vAlign w:val="center"/>
          </w:tcPr>
          <w:p w14:paraId="059F508D" w14:textId="77777777" w:rsidR="001E36D1" w:rsidRPr="00561208"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1,650</w:t>
            </w:r>
          </w:p>
        </w:tc>
      </w:tr>
      <w:tr w:rsidR="001E36D1" w:rsidRPr="00561208" w14:paraId="683B1116" w14:textId="77777777" w:rsidTr="00561208">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0" w:type="auto"/>
            <w:vAlign w:val="center"/>
          </w:tcPr>
          <w:p w14:paraId="34B07175" w14:textId="77777777" w:rsidR="001E36D1" w:rsidRPr="00561208" w:rsidRDefault="001E36D1" w:rsidP="001E36D1">
            <w:pPr>
              <w:spacing w:after="0"/>
              <w:jc w:val="center"/>
              <w:rPr>
                <w:rFonts w:asciiTheme="majorHAnsi" w:hAnsiTheme="majorHAnsi" w:cstheme="majorHAnsi"/>
                <w:sz w:val="18"/>
                <w:szCs w:val="14"/>
              </w:rPr>
            </w:pPr>
            <w:r w:rsidRPr="00561208">
              <w:rPr>
                <w:rFonts w:asciiTheme="majorHAnsi" w:hAnsiTheme="majorHAnsi" w:cstheme="majorHAnsi"/>
                <w:sz w:val="18"/>
                <w:szCs w:val="14"/>
              </w:rPr>
              <w:t>WA</w:t>
            </w:r>
          </w:p>
        </w:tc>
        <w:tc>
          <w:tcPr>
            <w:tcW w:w="0" w:type="auto"/>
            <w:vAlign w:val="center"/>
          </w:tcPr>
          <w:p w14:paraId="6FFD6E4B" w14:textId="77777777" w:rsidR="001E36D1" w:rsidRPr="00561208"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365</w:t>
            </w:r>
          </w:p>
        </w:tc>
        <w:tc>
          <w:tcPr>
            <w:tcW w:w="0" w:type="auto"/>
            <w:vAlign w:val="center"/>
          </w:tcPr>
          <w:p w14:paraId="687D1673" w14:textId="77777777" w:rsidR="001E36D1" w:rsidRPr="00561208"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391</w:t>
            </w:r>
          </w:p>
        </w:tc>
        <w:tc>
          <w:tcPr>
            <w:tcW w:w="0" w:type="auto"/>
            <w:vAlign w:val="center"/>
          </w:tcPr>
          <w:p w14:paraId="21D32680" w14:textId="77777777" w:rsidR="001E36D1" w:rsidRPr="00561208"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954</w:t>
            </w:r>
          </w:p>
        </w:tc>
        <w:tc>
          <w:tcPr>
            <w:tcW w:w="0" w:type="auto"/>
            <w:vAlign w:val="center"/>
          </w:tcPr>
          <w:p w14:paraId="3C78C57B" w14:textId="77777777" w:rsidR="001E36D1" w:rsidRPr="00561208"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1,024</w:t>
            </w:r>
          </w:p>
        </w:tc>
        <w:tc>
          <w:tcPr>
            <w:tcW w:w="0" w:type="auto"/>
            <w:vAlign w:val="center"/>
          </w:tcPr>
          <w:p w14:paraId="003CD661" w14:textId="77777777" w:rsidR="001E36D1" w:rsidRPr="00561208"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1,152</w:t>
            </w:r>
          </w:p>
        </w:tc>
        <w:tc>
          <w:tcPr>
            <w:tcW w:w="0" w:type="auto"/>
            <w:vAlign w:val="center"/>
          </w:tcPr>
          <w:p w14:paraId="38F900C9" w14:textId="77777777" w:rsidR="001E36D1" w:rsidRPr="00561208"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1,160</w:t>
            </w:r>
          </w:p>
        </w:tc>
        <w:tc>
          <w:tcPr>
            <w:tcW w:w="0" w:type="auto"/>
            <w:vAlign w:val="center"/>
          </w:tcPr>
          <w:p w14:paraId="439FE5AE" w14:textId="77777777" w:rsidR="001E36D1" w:rsidRPr="00561208"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1,149</w:t>
            </w:r>
          </w:p>
        </w:tc>
      </w:tr>
      <w:tr w:rsidR="001E36D1" w:rsidRPr="00561208" w14:paraId="72FFCDAE" w14:textId="77777777" w:rsidTr="00561208">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0" w:type="auto"/>
            <w:vAlign w:val="center"/>
          </w:tcPr>
          <w:p w14:paraId="3D0B60C5" w14:textId="77777777" w:rsidR="001E36D1" w:rsidRPr="00561208" w:rsidRDefault="001E36D1" w:rsidP="001E36D1">
            <w:pPr>
              <w:spacing w:after="0"/>
              <w:jc w:val="center"/>
              <w:rPr>
                <w:rFonts w:asciiTheme="majorHAnsi" w:hAnsiTheme="majorHAnsi" w:cstheme="majorHAnsi"/>
                <w:sz w:val="18"/>
                <w:szCs w:val="14"/>
              </w:rPr>
            </w:pPr>
            <w:r w:rsidRPr="00561208">
              <w:rPr>
                <w:rFonts w:asciiTheme="majorHAnsi" w:hAnsiTheme="majorHAnsi" w:cstheme="majorHAnsi"/>
                <w:sz w:val="18"/>
                <w:szCs w:val="14"/>
              </w:rPr>
              <w:t>SA</w:t>
            </w:r>
          </w:p>
        </w:tc>
        <w:tc>
          <w:tcPr>
            <w:tcW w:w="0" w:type="auto"/>
            <w:vAlign w:val="center"/>
          </w:tcPr>
          <w:p w14:paraId="788C2EFE" w14:textId="77777777" w:rsidR="001E36D1" w:rsidRPr="00561208"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1,777</w:t>
            </w:r>
          </w:p>
        </w:tc>
        <w:tc>
          <w:tcPr>
            <w:tcW w:w="0" w:type="auto"/>
            <w:vAlign w:val="center"/>
          </w:tcPr>
          <w:p w14:paraId="34F3C6C7" w14:textId="77777777" w:rsidR="001E36D1" w:rsidRPr="00561208"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1,770</w:t>
            </w:r>
          </w:p>
        </w:tc>
        <w:tc>
          <w:tcPr>
            <w:tcW w:w="0" w:type="auto"/>
            <w:vAlign w:val="center"/>
          </w:tcPr>
          <w:p w14:paraId="071D878E" w14:textId="77777777" w:rsidR="001E36D1" w:rsidRPr="00561208"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1,711</w:t>
            </w:r>
          </w:p>
        </w:tc>
        <w:tc>
          <w:tcPr>
            <w:tcW w:w="0" w:type="auto"/>
            <w:vAlign w:val="center"/>
          </w:tcPr>
          <w:p w14:paraId="12E5FC19" w14:textId="77777777" w:rsidR="001E36D1" w:rsidRPr="00561208"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1,669</w:t>
            </w:r>
          </w:p>
        </w:tc>
        <w:tc>
          <w:tcPr>
            <w:tcW w:w="0" w:type="auto"/>
            <w:vAlign w:val="center"/>
          </w:tcPr>
          <w:p w14:paraId="1C0516B0" w14:textId="77777777" w:rsidR="001E36D1" w:rsidRPr="00561208"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1,676</w:t>
            </w:r>
          </w:p>
        </w:tc>
        <w:tc>
          <w:tcPr>
            <w:tcW w:w="0" w:type="auto"/>
            <w:vAlign w:val="center"/>
          </w:tcPr>
          <w:p w14:paraId="0A441BFB" w14:textId="77777777" w:rsidR="001E36D1" w:rsidRPr="00561208"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1,670</w:t>
            </w:r>
          </w:p>
        </w:tc>
        <w:tc>
          <w:tcPr>
            <w:tcW w:w="0" w:type="auto"/>
            <w:vAlign w:val="center"/>
          </w:tcPr>
          <w:p w14:paraId="71F22EF1" w14:textId="77777777" w:rsidR="001E36D1" w:rsidRPr="00561208"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1,675</w:t>
            </w:r>
          </w:p>
        </w:tc>
      </w:tr>
      <w:tr w:rsidR="001E36D1" w:rsidRPr="00561208" w14:paraId="410C17ED" w14:textId="77777777" w:rsidTr="00561208">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0" w:type="auto"/>
            <w:vAlign w:val="center"/>
          </w:tcPr>
          <w:p w14:paraId="5A828F69" w14:textId="77777777" w:rsidR="001E36D1" w:rsidRPr="00561208" w:rsidRDefault="001E36D1" w:rsidP="001E36D1">
            <w:pPr>
              <w:spacing w:after="0"/>
              <w:jc w:val="center"/>
              <w:rPr>
                <w:rFonts w:asciiTheme="majorHAnsi" w:hAnsiTheme="majorHAnsi" w:cstheme="majorHAnsi"/>
                <w:sz w:val="18"/>
                <w:szCs w:val="14"/>
              </w:rPr>
            </w:pPr>
            <w:proofErr w:type="spellStart"/>
            <w:r w:rsidRPr="00561208">
              <w:rPr>
                <w:rFonts w:asciiTheme="majorHAnsi" w:hAnsiTheme="majorHAnsi" w:cstheme="majorHAnsi"/>
                <w:sz w:val="18"/>
                <w:szCs w:val="14"/>
              </w:rPr>
              <w:t>Tas</w:t>
            </w:r>
            <w:proofErr w:type="spellEnd"/>
          </w:p>
        </w:tc>
        <w:tc>
          <w:tcPr>
            <w:tcW w:w="0" w:type="auto"/>
            <w:vAlign w:val="center"/>
          </w:tcPr>
          <w:p w14:paraId="5DC48B14" w14:textId="77777777" w:rsidR="001E36D1" w:rsidRPr="00561208"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411</w:t>
            </w:r>
          </w:p>
        </w:tc>
        <w:tc>
          <w:tcPr>
            <w:tcW w:w="0" w:type="auto"/>
            <w:vAlign w:val="center"/>
          </w:tcPr>
          <w:p w14:paraId="58187999" w14:textId="77777777" w:rsidR="001E36D1" w:rsidRPr="00561208"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421</w:t>
            </w:r>
          </w:p>
        </w:tc>
        <w:tc>
          <w:tcPr>
            <w:tcW w:w="0" w:type="auto"/>
            <w:vAlign w:val="center"/>
          </w:tcPr>
          <w:p w14:paraId="3DFDBBAC" w14:textId="77777777" w:rsidR="001E36D1" w:rsidRPr="00561208"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428</w:t>
            </w:r>
          </w:p>
        </w:tc>
        <w:tc>
          <w:tcPr>
            <w:tcW w:w="0" w:type="auto"/>
            <w:vAlign w:val="center"/>
          </w:tcPr>
          <w:p w14:paraId="4A158E33" w14:textId="77777777" w:rsidR="001E36D1" w:rsidRPr="00561208"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424</w:t>
            </w:r>
          </w:p>
        </w:tc>
        <w:tc>
          <w:tcPr>
            <w:tcW w:w="0" w:type="auto"/>
            <w:vAlign w:val="center"/>
          </w:tcPr>
          <w:p w14:paraId="37FD16C4" w14:textId="77777777" w:rsidR="001E36D1" w:rsidRPr="00561208"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417</w:t>
            </w:r>
          </w:p>
        </w:tc>
        <w:tc>
          <w:tcPr>
            <w:tcW w:w="0" w:type="auto"/>
            <w:vAlign w:val="center"/>
          </w:tcPr>
          <w:p w14:paraId="035F27B0" w14:textId="77777777" w:rsidR="001E36D1" w:rsidRPr="00561208"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402</w:t>
            </w:r>
          </w:p>
        </w:tc>
        <w:tc>
          <w:tcPr>
            <w:tcW w:w="0" w:type="auto"/>
            <w:vAlign w:val="center"/>
          </w:tcPr>
          <w:p w14:paraId="74822D2D" w14:textId="77777777" w:rsidR="001E36D1" w:rsidRPr="00561208"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396</w:t>
            </w:r>
          </w:p>
        </w:tc>
      </w:tr>
      <w:tr w:rsidR="001E36D1" w:rsidRPr="00561208" w14:paraId="641B8AE6" w14:textId="77777777" w:rsidTr="00561208">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0" w:type="auto"/>
            <w:vAlign w:val="center"/>
          </w:tcPr>
          <w:p w14:paraId="07FEAD40" w14:textId="77777777" w:rsidR="001E36D1" w:rsidRPr="00561208" w:rsidRDefault="001E36D1" w:rsidP="001E36D1">
            <w:pPr>
              <w:spacing w:after="0"/>
              <w:jc w:val="center"/>
              <w:rPr>
                <w:rFonts w:asciiTheme="majorHAnsi" w:hAnsiTheme="majorHAnsi" w:cstheme="majorHAnsi"/>
                <w:sz w:val="18"/>
                <w:szCs w:val="14"/>
              </w:rPr>
            </w:pPr>
            <w:r w:rsidRPr="00561208">
              <w:rPr>
                <w:rFonts w:asciiTheme="majorHAnsi" w:hAnsiTheme="majorHAnsi" w:cstheme="majorHAnsi"/>
                <w:sz w:val="18"/>
                <w:szCs w:val="14"/>
              </w:rPr>
              <w:t>ACT</w:t>
            </w:r>
          </w:p>
        </w:tc>
        <w:tc>
          <w:tcPr>
            <w:tcW w:w="0" w:type="auto"/>
            <w:vAlign w:val="center"/>
          </w:tcPr>
          <w:p w14:paraId="50493509" w14:textId="77777777" w:rsidR="001E36D1" w:rsidRPr="00561208"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23</w:t>
            </w:r>
          </w:p>
        </w:tc>
        <w:tc>
          <w:tcPr>
            <w:tcW w:w="0" w:type="auto"/>
            <w:vAlign w:val="center"/>
          </w:tcPr>
          <w:p w14:paraId="23846A5F" w14:textId="77777777" w:rsidR="001E36D1" w:rsidRPr="00561208"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48</w:t>
            </w:r>
          </w:p>
        </w:tc>
        <w:tc>
          <w:tcPr>
            <w:tcW w:w="0" w:type="auto"/>
            <w:vAlign w:val="center"/>
          </w:tcPr>
          <w:p w14:paraId="29F178A8" w14:textId="77777777" w:rsidR="001E36D1" w:rsidRPr="00561208"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92</w:t>
            </w:r>
          </w:p>
        </w:tc>
        <w:tc>
          <w:tcPr>
            <w:tcW w:w="0" w:type="auto"/>
            <w:vAlign w:val="center"/>
          </w:tcPr>
          <w:p w14:paraId="2FAE9D13" w14:textId="77777777" w:rsidR="001E36D1" w:rsidRPr="00561208"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106</w:t>
            </w:r>
          </w:p>
        </w:tc>
        <w:tc>
          <w:tcPr>
            <w:tcW w:w="0" w:type="auto"/>
            <w:vAlign w:val="center"/>
          </w:tcPr>
          <w:p w14:paraId="58CCA5C9" w14:textId="77777777" w:rsidR="001E36D1" w:rsidRPr="00561208"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127</w:t>
            </w:r>
          </w:p>
        </w:tc>
        <w:tc>
          <w:tcPr>
            <w:tcW w:w="0" w:type="auto"/>
            <w:vAlign w:val="center"/>
          </w:tcPr>
          <w:p w14:paraId="3E00FF97" w14:textId="77777777" w:rsidR="001E36D1" w:rsidRPr="00561208"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158</w:t>
            </w:r>
          </w:p>
        </w:tc>
        <w:tc>
          <w:tcPr>
            <w:tcW w:w="0" w:type="auto"/>
            <w:vAlign w:val="center"/>
          </w:tcPr>
          <w:p w14:paraId="475A0917" w14:textId="77777777" w:rsidR="001E36D1" w:rsidRPr="00561208"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170</w:t>
            </w:r>
          </w:p>
        </w:tc>
      </w:tr>
      <w:tr w:rsidR="001E36D1" w:rsidRPr="00561208" w14:paraId="6E50D227" w14:textId="77777777" w:rsidTr="00561208">
        <w:trPr>
          <w:cnfStyle w:val="000000010000" w:firstRow="0" w:lastRow="0" w:firstColumn="0" w:lastColumn="0" w:oddVBand="0" w:evenVBand="0" w:oddHBand="0" w:evenHBand="1"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0" w:type="auto"/>
            <w:vAlign w:val="center"/>
          </w:tcPr>
          <w:p w14:paraId="0FAC87B4" w14:textId="77777777" w:rsidR="001E36D1" w:rsidRPr="00561208" w:rsidRDefault="001E36D1" w:rsidP="001E36D1">
            <w:pPr>
              <w:spacing w:after="0"/>
              <w:jc w:val="center"/>
              <w:rPr>
                <w:rFonts w:asciiTheme="majorHAnsi" w:hAnsiTheme="majorHAnsi" w:cstheme="majorHAnsi"/>
                <w:sz w:val="18"/>
                <w:szCs w:val="14"/>
              </w:rPr>
            </w:pPr>
            <w:r w:rsidRPr="00561208">
              <w:rPr>
                <w:rFonts w:asciiTheme="majorHAnsi" w:hAnsiTheme="majorHAnsi" w:cstheme="majorHAnsi"/>
                <w:sz w:val="18"/>
                <w:szCs w:val="14"/>
              </w:rPr>
              <w:t>NT</w:t>
            </w:r>
          </w:p>
        </w:tc>
        <w:tc>
          <w:tcPr>
            <w:tcW w:w="0" w:type="auto"/>
            <w:vAlign w:val="center"/>
          </w:tcPr>
          <w:p w14:paraId="68DEB850" w14:textId="77777777" w:rsidR="001E36D1" w:rsidRPr="00561208"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139</w:t>
            </w:r>
          </w:p>
        </w:tc>
        <w:tc>
          <w:tcPr>
            <w:tcW w:w="0" w:type="auto"/>
            <w:vAlign w:val="center"/>
          </w:tcPr>
          <w:p w14:paraId="4351D08B" w14:textId="77777777" w:rsidR="001E36D1" w:rsidRPr="00561208"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137</w:t>
            </w:r>
          </w:p>
        </w:tc>
        <w:tc>
          <w:tcPr>
            <w:tcW w:w="0" w:type="auto"/>
            <w:vAlign w:val="center"/>
          </w:tcPr>
          <w:p w14:paraId="34BA4B86" w14:textId="77777777" w:rsidR="001E36D1" w:rsidRPr="00561208"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136</w:t>
            </w:r>
          </w:p>
        </w:tc>
        <w:tc>
          <w:tcPr>
            <w:tcW w:w="0" w:type="auto"/>
            <w:vAlign w:val="center"/>
          </w:tcPr>
          <w:p w14:paraId="69F02427" w14:textId="77777777" w:rsidR="001E36D1" w:rsidRPr="00561208"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132</w:t>
            </w:r>
          </w:p>
        </w:tc>
        <w:tc>
          <w:tcPr>
            <w:tcW w:w="0" w:type="auto"/>
            <w:vAlign w:val="center"/>
          </w:tcPr>
          <w:p w14:paraId="3CA7C928" w14:textId="77777777" w:rsidR="001E36D1" w:rsidRPr="00561208"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130</w:t>
            </w:r>
          </w:p>
        </w:tc>
        <w:tc>
          <w:tcPr>
            <w:tcW w:w="0" w:type="auto"/>
            <w:vAlign w:val="center"/>
          </w:tcPr>
          <w:p w14:paraId="0BDCC6F8" w14:textId="77777777" w:rsidR="001E36D1" w:rsidRPr="00561208"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129</w:t>
            </w:r>
          </w:p>
        </w:tc>
        <w:tc>
          <w:tcPr>
            <w:tcW w:w="0" w:type="auto"/>
            <w:vAlign w:val="center"/>
          </w:tcPr>
          <w:p w14:paraId="2FC9DDDA" w14:textId="77777777" w:rsidR="001E36D1" w:rsidRPr="00561208" w:rsidRDefault="001E36D1" w:rsidP="001E36D1">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126</w:t>
            </w:r>
          </w:p>
        </w:tc>
      </w:tr>
      <w:tr w:rsidR="001E36D1" w:rsidRPr="00561208" w14:paraId="6753E224" w14:textId="77777777" w:rsidTr="00561208">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0" w:type="auto"/>
            <w:vAlign w:val="center"/>
          </w:tcPr>
          <w:p w14:paraId="2D9B19D4" w14:textId="77777777" w:rsidR="001E36D1" w:rsidRPr="00561208" w:rsidRDefault="001E36D1" w:rsidP="001E36D1">
            <w:pPr>
              <w:spacing w:after="0"/>
              <w:jc w:val="center"/>
              <w:rPr>
                <w:rFonts w:asciiTheme="majorHAnsi" w:hAnsiTheme="majorHAnsi" w:cstheme="majorHAnsi"/>
                <w:sz w:val="18"/>
                <w:szCs w:val="14"/>
              </w:rPr>
            </w:pPr>
            <w:r w:rsidRPr="00561208">
              <w:rPr>
                <w:rFonts w:asciiTheme="majorHAnsi" w:hAnsiTheme="majorHAnsi" w:cstheme="majorHAnsi"/>
                <w:sz w:val="18"/>
                <w:szCs w:val="14"/>
              </w:rPr>
              <w:t>Total</w:t>
            </w:r>
          </w:p>
        </w:tc>
        <w:tc>
          <w:tcPr>
            <w:tcW w:w="0" w:type="auto"/>
            <w:vAlign w:val="center"/>
          </w:tcPr>
          <w:p w14:paraId="323AB701" w14:textId="77777777" w:rsidR="001E36D1" w:rsidRPr="00561208"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13,683</w:t>
            </w:r>
          </w:p>
        </w:tc>
        <w:tc>
          <w:tcPr>
            <w:tcW w:w="0" w:type="auto"/>
            <w:vAlign w:val="center"/>
          </w:tcPr>
          <w:p w14:paraId="118B64CD" w14:textId="77777777" w:rsidR="001E36D1" w:rsidRPr="00561208"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13,944</w:t>
            </w:r>
          </w:p>
        </w:tc>
        <w:tc>
          <w:tcPr>
            <w:tcW w:w="0" w:type="auto"/>
            <w:vAlign w:val="center"/>
          </w:tcPr>
          <w:p w14:paraId="2BA6D23C" w14:textId="77777777" w:rsidR="001E36D1" w:rsidRPr="00561208"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14,982</w:t>
            </w:r>
          </w:p>
        </w:tc>
        <w:tc>
          <w:tcPr>
            <w:tcW w:w="0" w:type="auto"/>
            <w:vAlign w:val="center"/>
          </w:tcPr>
          <w:p w14:paraId="39DBFF65" w14:textId="77777777" w:rsidR="001E36D1" w:rsidRPr="00561208"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15,240</w:t>
            </w:r>
          </w:p>
        </w:tc>
        <w:tc>
          <w:tcPr>
            <w:tcW w:w="0" w:type="auto"/>
            <w:vAlign w:val="center"/>
          </w:tcPr>
          <w:p w14:paraId="47E196FD" w14:textId="77777777" w:rsidR="001E36D1" w:rsidRPr="00561208"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15,667</w:t>
            </w:r>
          </w:p>
        </w:tc>
        <w:tc>
          <w:tcPr>
            <w:tcW w:w="0" w:type="auto"/>
            <w:vAlign w:val="center"/>
          </w:tcPr>
          <w:p w14:paraId="346A44D3" w14:textId="77777777" w:rsidR="001E36D1" w:rsidRPr="00561208"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15,842</w:t>
            </w:r>
          </w:p>
        </w:tc>
        <w:tc>
          <w:tcPr>
            <w:tcW w:w="0" w:type="auto"/>
            <w:vAlign w:val="center"/>
          </w:tcPr>
          <w:p w14:paraId="6BDF0F1E" w14:textId="77777777" w:rsidR="001E36D1" w:rsidRPr="00561208" w:rsidRDefault="001E36D1" w:rsidP="001E36D1">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color w:val="000000"/>
                <w:sz w:val="18"/>
                <w:szCs w:val="14"/>
              </w:rPr>
              <w:t>16,033</w:t>
            </w:r>
          </w:p>
        </w:tc>
      </w:tr>
    </w:tbl>
    <w:p w14:paraId="18175CD1" w14:textId="77777777" w:rsidR="00B11287" w:rsidRPr="00DF2F62" w:rsidRDefault="00B11287" w:rsidP="00CE75FA">
      <w:pPr>
        <w:pStyle w:val="Caption"/>
        <w:keepNext/>
        <w:rPr>
          <w:b w:val="0"/>
          <w:bCs w:val="0"/>
          <w:caps w:val="0"/>
          <w:szCs w:val="16"/>
        </w:rPr>
      </w:pPr>
      <w:bookmarkStart w:id="77" w:name="_Toc79490514"/>
    </w:p>
    <w:p w14:paraId="53507A51" w14:textId="77777777" w:rsidR="00B72D81" w:rsidRDefault="00CE75FA" w:rsidP="00AA3405">
      <w:pPr>
        <w:pStyle w:val="Caption"/>
        <w:keepNext/>
        <w:rPr>
          <w:b w:val="0"/>
          <w:bCs w:val="0"/>
          <w:caps w:val="0"/>
          <w:sz w:val="22"/>
          <w:szCs w:val="24"/>
        </w:rPr>
      </w:pPr>
      <w:r w:rsidRPr="00DF2F62">
        <w:rPr>
          <w:b w:val="0"/>
          <w:bCs w:val="0"/>
          <w:caps w:val="0"/>
          <w:sz w:val="22"/>
          <w:szCs w:val="24"/>
        </w:rPr>
        <w:t xml:space="preserve">Between </w:t>
      </w:r>
      <w:r w:rsidR="005112D9" w:rsidRPr="00DF2F62">
        <w:rPr>
          <w:b w:val="0"/>
          <w:bCs w:val="0"/>
          <w:caps w:val="0"/>
          <w:sz w:val="22"/>
          <w:szCs w:val="24"/>
        </w:rPr>
        <w:t>Q2 FY19-20 and Q4 FY20-21</w:t>
      </w:r>
      <w:r w:rsidR="007B0D7F">
        <w:rPr>
          <w:b w:val="0"/>
          <w:bCs w:val="0"/>
          <w:caps w:val="0"/>
          <w:sz w:val="22"/>
          <w:szCs w:val="24"/>
        </w:rPr>
        <w:t>, growth rates for east c</w:t>
      </w:r>
      <w:r w:rsidRPr="00DF2F62">
        <w:rPr>
          <w:b w:val="0"/>
          <w:bCs w:val="0"/>
          <w:caps w:val="0"/>
          <w:sz w:val="22"/>
          <w:szCs w:val="24"/>
        </w:rPr>
        <w:t>oast states was stea</w:t>
      </w:r>
      <w:r w:rsidR="00FE0630" w:rsidRPr="00DF2F62">
        <w:rPr>
          <w:b w:val="0"/>
          <w:bCs w:val="0"/>
          <w:caps w:val="0"/>
          <w:sz w:val="22"/>
          <w:szCs w:val="24"/>
        </w:rPr>
        <w:t>dy</w:t>
      </w:r>
      <w:r w:rsidR="002B33B8" w:rsidRPr="00DF2F62">
        <w:rPr>
          <w:b w:val="0"/>
          <w:bCs w:val="0"/>
          <w:caps w:val="0"/>
          <w:sz w:val="22"/>
          <w:szCs w:val="24"/>
        </w:rPr>
        <w:t xml:space="preserve"> at</w:t>
      </w:r>
      <w:r w:rsidR="00FE0630" w:rsidRPr="00DF2F62">
        <w:rPr>
          <w:b w:val="0"/>
          <w:bCs w:val="0"/>
          <w:caps w:val="0"/>
          <w:sz w:val="22"/>
          <w:szCs w:val="24"/>
        </w:rPr>
        <w:t xml:space="preserve"> 13% for New South Wales</w:t>
      </w:r>
      <w:r w:rsidRPr="00DF2F62">
        <w:rPr>
          <w:b w:val="0"/>
          <w:bCs w:val="0"/>
          <w:caps w:val="0"/>
          <w:sz w:val="22"/>
          <w:szCs w:val="24"/>
        </w:rPr>
        <w:t xml:space="preserve">, 14% for </w:t>
      </w:r>
      <w:r w:rsidR="00FE0630" w:rsidRPr="00DF2F62">
        <w:rPr>
          <w:b w:val="0"/>
          <w:bCs w:val="0"/>
          <w:caps w:val="0"/>
          <w:sz w:val="22"/>
          <w:szCs w:val="24"/>
        </w:rPr>
        <w:t>Queensland</w:t>
      </w:r>
      <w:r w:rsidR="007B0D7F">
        <w:rPr>
          <w:b w:val="0"/>
          <w:bCs w:val="0"/>
          <w:caps w:val="0"/>
          <w:sz w:val="22"/>
          <w:szCs w:val="24"/>
        </w:rPr>
        <w:t xml:space="preserve"> and 15% for Victoria. In the w</w:t>
      </w:r>
      <w:r w:rsidRPr="00DF2F62">
        <w:rPr>
          <w:b w:val="0"/>
          <w:bCs w:val="0"/>
          <w:caps w:val="0"/>
          <w:sz w:val="22"/>
          <w:szCs w:val="24"/>
        </w:rPr>
        <w:t xml:space="preserve">est, participant numbers </w:t>
      </w:r>
      <w:r w:rsidR="008A4201" w:rsidRPr="00DF2F62">
        <w:rPr>
          <w:b w:val="0"/>
          <w:bCs w:val="0"/>
          <w:caps w:val="0"/>
          <w:sz w:val="22"/>
          <w:szCs w:val="24"/>
        </w:rPr>
        <w:t xml:space="preserve">increased </w:t>
      </w:r>
      <w:r w:rsidR="00FE0630" w:rsidRPr="00DF2F62">
        <w:rPr>
          <w:b w:val="0"/>
          <w:bCs w:val="0"/>
          <w:caps w:val="0"/>
          <w:sz w:val="22"/>
          <w:szCs w:val="24"/>
        </w:rPr>
        <w:t>by over 200% in Western Australia</w:t>
      </w:r>
      <w:r w:rsidRPr="00DF2F62">
        <w:rPr>
          <w:b w:val="0"/>
          <w:bCs w:val="0"/>
          <w:caps w:val="0"/>
          <w:sz w:val="22"/>
          <w:szCs w:val="24"/>
        </w:rPr>
        <w:t xml:space="preserve">. In </w:t>
      </w:r>
      <w:r w:rsidR="00FE0630" w:rsidRPr="00DF2F62">
        <w:rPr>
          <w:b w:val="0"/>
          <w:bCs w:val="0"/>
          <w:caps w:val="0"/>
          <w:sz w:val="22"/>
          <w:szCs w:val="24"/>
        </w:rPr>
        <w:t xml:space="preserve">most of </w:t>
      </w:r>
      <w:r w:rsidRPr="00DF2F62">
        <w:rPr>
          <w:b w:val="0"/>
          <w:bCs w:val="0"/>
          <w:caps w:val="0"/>
          <w:sz w:val="22"/>
          <w:szCs w:val="24"/>
        </w:rPr>
        <w:t xml:space="preserve">the </w:t>
      </w:r>
      <w:r w:rsidR="00FE0630" w:rsidRPr="00DF2F62">
        <w:rPr>
          <w:b w:val="0"/>
          <w:bCs w:val="0"/>
          <w:caps w:val="0"/>
          <w:sz w:val="22"/>
          <w:szCs w:val="24"/>
        </w:rPr>
        <w:t>smaller states</w:t>
      </w:r>
      <w:r w:rsidRPr="00DF2F62">
        <w:rPr>
          <w:b w:val="0"/>
          <w:bCs w:val="0"/>
          <w:caps w:val="0"/>
          <w:sz w:val="22"/>
          <w:szCs w:val="24"/>
        </w:rPr>
        <w:t>, participant</w:t>
      </w:r>
      <w:r w:rsidR="00FE0630" w:rsidRPr="00DF2F62">
        <w:rPr>
          <w:b w:val="0"/>
          <w:bCs w:val="0"/>
          <w:caps w:val="0"/>
          <w:sz w:val="22"/>
          <w:szCs w:val="24"/>
        </w:rPr>
        <w:t xml:space="preserve"> numbers fell, down by 4% in Tasmania</w:t>
      </w:r>
      <w:r w:rsidR="001E6FFA">
        <w:rPr>
          <w:b w:val="0"/>
          <w:bCs w:val="0"/>
          <w:caps w:val="0"/>
          <w:sz w:val="22"/>
          <w:szCs w:val="24"/>
        </w:rPr>
        <w:t xml:space="preserve"> (15)</w:t>
      </w:r>
      <w:r w:rsidR="00FE0630" w:rsidRPr="00DF2F62">
        <w:rPr>
          <w:b w:val="0"/>
          <w:bCs w:val="0"/>
          <w:caps w:val="0"/>
          <w:sz w:val="22"/>
          <w:szCs w:val="24"/>
        </w:rPr>
        <w:t xml:space="preserve">, 6% in South Australia </w:t>
      </w:r>
      <w:r w:rsidR="001E6FFA">
        <w:rPr>
          <w:b w:val="0"/>
          <w:bCs w:val="0"/>
          <w:caps w:val="0"/>
          <w:sz w:val="22"/>
          <w:szCs w:val="24"/>
        </w:rPr>
        <w:t xml:space="preserve">(102) </w:t>
      </w:r>
      <w:r w:rsidRPr="00DF2F62">
        <w:rPr>
          <w:b w:val="0"/>
          <w:bCs w:val="0"/>
          <w:caps w:val="0"/>
          <w:sz w:val="22"/>
          <w:szCs w:val="24"/>
        </w:rPr>
        <w:t xml:space="preserve">and 9% in the </w:t>
      </w:r>
      <w:r w:rsidR="00FE0630" w:rsidRPr="00DF2F62">
        <w:rPr>
          <w:b w:val="0"/>
          <w:bCs w:val="0"/>
          <w:caps w:val="0"/>
          <w:sz w:val="22"/>
          <w:szCs w:val="24"/>
        </w:rPr>
        <w:t>Northern Territory</w:t>
      </w:r>
      <w:r w:rsidR="001E6FFA">
        <w:rPr>
          <w:b w:val="0"/>
          <w:bCs w:val="0"/>
          <w:caps w:val="0"/>
          <w:sz w:val="22"/>
          <w:szCs w:val="24"/>
        </w:rPr>
        <w:t xml:space="preserve"> (13)</w:t>
      </w:r>
      <w:r w:rsidRPr="00DF2F62">
        <w:rPr>
          <w:b w:val="0"/>
          <w:bCs w:val="0"/>
          <w:caps w:val="0"/>
          <w:sz w:val="22"/>
          <w:szCs w:val="24"/>
        </w:rPr>
        <w:t xml:space="preserve">. Participant numbers in the </w:t>
      </w:r>
      <w:r w:rsidR="00FE0630" w:rsidRPr="00DF2F62">
        <w:rPr>
          <w:b w:val="0"/>
          <w:bCs w:val="0"/>
          <w:caps w:val="0"/>
          <w:sz w:val="22"/>
          <w:szCs w:val="24"/>
        </w:rPr>
        <w:t>Australian Capital Territory</w:t>
      </w:r>
      <w:r w:rsidRPr="00DF2F62">
        <w:rPr>
          <w:b w:val="0"/>
          <w:bCs w:val="0"/>
          <w:caps w:val="0"/>
          <w:sz w:val="22"/>
          <w:szCs w:val="24"/>
        </w:rPr>
        <w:t xml:space="preserve"> increased f</w:t>
      </w:r>
      <w:r w:rsidR="00121539" w:rsidRPr="00DF2F62">
        <w:rPr>
          <w:b w:val="0"/>
          <w:bCs w:val="0"/>
          <w:caps w:val="0"/>
          <w:sz w:val="22"/>
          <w:szCs w:val="24"/>
        </w:rPr>
        <w:t>rom 23 to 170 over the period. </w:t>
      </w:r>
      <w:r w:rsidRPr="00DF2F62">
        <w:rPr>
          <w:b w:val="0"/>
          <w:bCs w:val="0"/>
          <w:caps w:val="0"/>
          <w:sz w:val="22"/>
          <w:szCs w:val="24"/>
        </w:rPr>
        <w:t xml:space="preserve">While this is large in terms of percentage growth rates, it is small in terms of absolute numbers. </w:t>
      </w:r>
    </w:p>
    <w:p w14:paraId="51715EB3" w14:textId="122C3BDE" w:rsidR="00CF4BD2" w:rsidRPr="00CF4BD2" w:rsidRDefault="00D843BD" w:rsidP="00CF4BD2">
      <w:pPr>
        <w:pStyle w:val="Caption"/>
        <w:keepNext/>
        <w:rPr>
          <w:bCs w:val="0"/>
          <w:caps w:val="0"/>
          <w:sz w:val="22"/>
          <w:szCs w:val="24"/>
        </w:rPr>
      </w:pPr>
      <w:r w:rsidRPr="00CF4BD2">
        <w:rPr>
          <w:bCs w:val="0"/>
          <w:caps w:val="0"/>
          <w:sz w:val="22"/>
          <w:szCs w:val="24"/>
        </w:rPr>
        <w:t xml:space="preserve">NDIA </w:t>
      </w:r>
      <w:r w:rsidR="00227990">
        <w:rPr>
          <w:bCs w:val="0"/>
          <w:caps w:val="0"/>
          <w:sz w:val="22"/>
          <w:szCs w:val="24"/>
        </w:rPr>
        <w:t>observations</w:t>
      </w:r>
    </w:p>
    <w:p w14:paraId="054ADABD" w14:textId="53BE8D56" w:rsidR="00E77F7B" w:rsidRDefault="00083B1A" w:rsidP="009546F7">
      <w:pPr>
        <w:pStyle w:val="Caption"/>
        <w:keepNext/>
        <w:rPr>
          <w:b w:val="0"/>
          <w:bCs w:val="0"/>
          <w:caps w:val="0"/>
          <w:sz w:val="22"/>
          <w:szCs w:val="24"/>
        </w:rPr>
      </w:pPr>
      <w:r>
        <w:rPr>
          <w:b w:val="0"/>
          <w:bCs w:val="0"/>
          <w:caps w:val="0"/>
          <w:sz w:val="22"/>
          <w:szCs w:val="24"/>
        </w:rPr>
        <w:t xml:space="preserve">Of the 16,033 participants </w:t>
      </w:r>
      <w:r w:rsidR="00094EC2">
        <w:rPr>
          <w:b w:val="0"/>
          <w:bCs w:val="0"/>
          <w:caps w:val="0"/>
          <w:sz w:val="22"/>
          <w:szCs w:val="24"/>
        </w:rPr>
        <w:t xml:space="preserve">in an </w:t>
      </w:r>
      <w:r>
        <w:rPr>
          <w:b w:val="0"/>
          <w:bCs w:val="0"/>
          <w:caps w:val="0"/>
          <w:sz w:val="22"/>
          <w:szCs w:val="24"/>
        </w:rPr>
        <w:t>SDA</w:t>
      </w:r>
      <w:r w:rsidR="00094EC2">
        <w:rPr>
          <w:b w:val="0"/>
          <w:bCs w:val="0"/>
          <w:caps w:val="0"/>
          <w:sz w:val="22"/>
          <w:szCs w:val="24"/>
        </w:rPr>
        <w:t xml:space="preserve"> dwelling</w:t>
      </w:r>
      <w:r>
        <w:rPr>
          <w:b w:val="0"/>
          <w:bCs w:val="0"/>
          <w:caps w:val="0"/>
          <w:sz w:val="22"/>
          <w:szCs w:val="24"/>
        </w:rPr>
        <w:t xml:space="preserve">, 10% are currently seeking alternative accommodation (1,668). </w:t>
      </w:r>
      <w:r w:rsidR="00094EC2">
        <w:rPr>
          <w:b w:val="0"/>
          <w:bCs w:val="0"/>
          <w:caps w:val="0"/>
          <w:sz w:val="22"/>
          <w:szCs w:val="24"/>
        </w:rPr>
        <w:t xml:space="preserve">In addition to this 16,033 participants. </w:t>
      </w:r>
      <w:proofErr w:type="gramStart"/>
      <w:r w:rsidR="00094EC2">
        <w:rPr>
          <w:b w:val="0"/>
          <w:bCs w:val="0"/>
          <w:caps w:val="0"/>
          <w:sz w:val="22"/>
          <w:szCs w:val="24"/>
        </w:rPr>
        <w:t>t</w:t>
      </w:r>
      <w:r>
        <w:rPr>
          <w:b w:val="0"/>
          <w:bCs w:val="0"/>
          <w:caps w:val="0"/>
          <w:sz w:val="22"/>
          <w:szCs w:val="24"/>
        </w:rPr>
        <w:t>here</w:t>
      </w:r>
      <w:proofErr w:type="gramEnd"/>
      <w:r>
        <w:rPr>
          <w:b w:val="0"/>
          <w:bCs w:val="0"/>
          <w:caps w:val="0"/>
          <w:sz w:val="22"/>
          <w:szCs w:val="24"/>
        </w:rPr>
        <w:t xml:space="preserve"> </w:t>
      </w:r>
      <w:r w:rsidR="001A565B">
        <w:rPr>
          <w:b w:val="0"/>
          <w:bCs w:val="0"/>
          <w:caps w:val="0"/>
          <w:sz w:val="22"/>
          <w:szCs w:val="24"/>
        </w:rPr>
        <w:t>are</w:t>
      </w:r>
      <w:r>
        <w:rPr>
          <w:b w:val="0"/>
          <w:bCs w:val="0"/>
          <w:caps w:val="0"/>
          <w:sz w:val="22"/>
          <w:szCs w:val="24"/>
        </w:rPr>
        <w:t xml:space="preserve"> a further 1,795 participants not currently </w:t>
      </w:r>
      <w:r w:rsidR="00094EC2">
        <w:rPr>
          <w:b w:val="0"/>
          <w:bCs w:val="0"/>
          <w:caps w:val="0"/>
          <w:sz w:val="22"/>
          <w:szCs w:val="24"/>
        </w:rPr>
        <w:t xml:space="preserve">residing </w:t>
      </w:r>
      <w:r>
        <w:rPr>
          <w:b w:val="0"/>
          <w:bCs w:val="0"/>
          <w:caps w:val="0"/>
          <w:sz w:val="22"/>
          <w:szCs w:val="24"/>
        </w:rPr>
        <w:t xml:space="preserve">in </w:t>
      </w:r>
      <w:r w:rsidR="00094EC2">
        <w:rPr>
          <w:b w:val="0"/>
          <w:bCs w:val="0"/>
          <w:caps w:val="0"/>
          <w:sz w:val="22"/>
          <w:szCs w:val="24"/>
        </w:rPr>
        <w:t xml:space="preserve">a </w:t>
      </w:r>
      <w:r>
        <w:rPr>
          <w:b w:val="0"/>
          <w:bCs w:val="0"/>
          <w:caps w:val="0"/>
          <w:sz w:val="22"/>
          <w:szCs w:val="24"/>
        </w:rPr>
        <w:t xml:space="preserve">SDA </w:t>
      </w:r>
      <w:r w:rsidR="00094EC2">
        <w:rPr>
          <w:b w:val="0"/>
          <w:bCs w:val="0"/>
          <w:caps w:val="0"/>
          <w:sz w:val="22"/>
          <w:szCs w:val="24"/>
        </w:rPr>
        <w:t xml:space="preserve">but </w:t>
      </w:r>
      <w:r>
        <w:rPr>
          <w:b w:val="0"/>
          <w:bCs w:val="0"/>
          <w:caps w:val="0"/>
          <w:sz w:val="22"/>
          <w:szCs w:val="24"/>
        </w:rPr>
        <w:t>are seeking a dwelling in the current quarter. This is detailed further by SA4 region for each state and territory within ‘</w:t>
      </w:r>
      <w:r w:rsidRPr="00C427A2">
        <w:rPr>
          <w:b w:val="0"/>
          <w:bCs w:val="0"/>
          <w:caps w:val="0"/>
          <w:sz w:val="22"/>
          <w:szCs w:val="24"/>
        </w:rPr>
        <w:t>Table P.11</w:t>
      </w:r>
      <w:r>
        <w:rPr>
          <w:b w:val="0"/>
          <w:bCs w:val="0"/>
          <w:caps w:val="0"/>
          <w:sz w:val="22"/>
          <w:szCs w:val="24"/>
        </w:rPr>
        <w:t>’ in the SDA quarterly report to disability ministers.</w:t>
      </w:r>
    </w:p>
    <w:p w14:paraId="23B632BE" w14:textId="7E579D24" w:rsidR="00561208" w:rsidRDefault="00A03CC1">
      <w:pPr>
        <w:pStyle w:val="Caption"/>
        <w:keepNext/>
        <w:rPr>
          <w:b w:val="0"/>
          <w:bCs w:val="0"/>
          <w:caps w:val="0"/>
          <w:sz w:val="22"/>
          <w:szCs w:val="22"/>
        </w:rPr>
      </w:pPr>
      <w:r>
        <w:rPr>
          <w:b w:val="0"/>
          <w:bCs w:val="0"/>
          <w:caps w:val="0"/>
          <w:sz w:val="22"/>
          <w:szCs w:val="24"/>
        </w:rPr>
        <w:t xml:space="preserve">Some participants who may be eligible for SDA or </w:t>
      </w:r>
      <w:r w:rsidR="004C5903">
        <w:rPr>
          <w:b w:val="0"/>
          <w:bCs w:val="0"/>
          <w:caps w:val="0"/>
          <w:sz w:val="22"/>
          <w:szCs w:val="24"/>
        </w:rPr>
        <w:t xml:space="preserve">other </w:t>
      </w:r>
      <w:r>
        <w:rPr>
          <w:b w:val="0"/>
          <w:bCs w:val="0"/>
          <w:caps w:val="0"/>
          <w:sz w:val="22"/>
          <w:szCs w:val="24"/>
        </w:rPr>
        <w:t>type</w:t>
      </w:r>
      <w:r w:rsidR="004C5903">
        <w:rPr>
          <w:b w:val="0"/>
          <w:bCs w:val="0"/>
          <w:caps w:val="0"/>
          <w:sz w:val="22"/>
          <w:szCs w:val="24"/>
        </w:rPr>
        <w:t>s</w:t>
      </w:r>
      <w:r>
        <w:rPr>
          <w:b w:val="0"/>
          <w:bCs w:val="0"/>
          <w:caps w:val="0"/>
          <w:sz w:val="22"/>
          <w:szCs w:val="24"/>
        </w:rPr>
        <w:t xml:space="preserve"> of accommodation</w:t>
      </w:r>
      <w:r w:rsidR="004C5903">
        <w:rPr>
          <w:b w:val="0"/>
          <w:bCs w:val="0"/>
          <w:caps w:val="0"/>
          <w:sz w:val="22"/>
          <w:szCs w:val="24"/>
        </w:rPr>
        <w:t xml:space="preserve"> support</w:t>
      </w:r>
      <w:r>
        <w:rPr>
          <w:b w:val="0"/>
          <w:bCs w:val="0"/>
          <w:caps w:val="0"/>
          <w:sz w:val="22"/>
          <w:szCs w:val="24"/>
        </w:rPr>
        <w:t xml:space="preserve"> in the NDIS are those currently residing in residential aged care. </w:t>
      </w:r>
      <w:r w:rsidR="00CF4BD2" w:rsidRPr="00CF4BD2">
        <w:rPr>
          <w:b w:val="0"/>
          <w:bCs w:val="0"/>
          <w:caps w:val="0"/>
          <w:sz w:val="22"/>
          <w:szCs w:val="24"/>
        </w:rPr>
        <w:t xml:space="preserve">As at Q4 FY20-21, </w:t>
      </w:r>
      <w:r w:rsidR="00892262">
        <w:rPr>
          <w:b w:val="0"/>
          <w:bCs w:val="0"/>
          <w:caps w:val="0"/>
          <w:sz w:val="22"/>
          <w:szCs w:val="24"/>
        </w:rPr>
        <w:t xml:space="preserve">for participants with an approved plan, </w:t>
      </w:r>
      <w:r w:rsidR="00CF4BD2" w:rsidRPr="00CF4BD2">
        <w:rPr>
          <w:b w:val="0"/>
          <w:bCs w:val="0"/>
          <w:caps w:val="0"/>
          <w:sz w:val="22"/>
          <w:szCs w:val="24"/>
        </w:rPr>
        <w:t xml:space="preserve">there were 3,232 participants </w:t>
      </w:r>
      <w:r w:rsidR="00CF4BD2" w:rsidRPr="005519C8">
        <w:rPr>
          <w:b w:val="0"/>
          <w:bCs w:val="0"/>
          <w:caps w:val="0"/>
          <w:sz w:val="22"/>
          <w:szCs w:val="24"/>
        </w:rPr>
        <w:t>aged</w:t>
      </w:r>
      <w:r w:rsidR="00CF4BD2" w:rsidRPr="00CF4BD2">
        <w:rPr>
          <w:b w:val="0"/>
          <w:bCs w:val="0"/>
          <w:caps w:val="0"/>
          <w:sz w:val="22"/>
          <w:szCs w:val="24"/>
        </w:rPr>
        <w:t xml:space="preserve"> </w:t>
      </w:r>
      <w:r w:rsidR="00CF4BD2" w:rsidRPr="005519C8">
        <w:rPr>
          <w:b w:val="0"/>
          <w:bCs w:val="0"/>
          <w:caps w:val="0"/>
          <w:sz w:val="22"/>
          <w:szCs w:val="24"/>
        </w:rPr>
        <w:t>under 65 years</w:t>
      </w:r>
      <w:r w:rsidR="00CF4BD2" w:rsidRPr="00CF4BD2">
        <w:rPr>
          <w:b w:val="0"/>
          <w:bCs w:val="0"/>
          <w:caps w:val="0"/>
          <w:sz w:val="22"/>
          <w:szCs w:val="24"/>
        </w:rPr>
        <w:t xml:space="preserve"> in residential aged care. Of the</w:t>
      </w:r>
      <w:r w:rsidR="00892262">
        <w:rPr>
          <w:b w:val="0"/>
          <w:bCs w:val="0"/>
          <w:caps w:val="0"/>
          <w:sz w:val="22"/>
          <w:szCs w:val="24"/>
        </w:rPr>
        <w:t>se</w:t>
      </w:r>
      <w:r w:rsidR="00CF4BD2" w:rsidRPr="00CF4BD2">
        <w:rPr>
          <w:b w:val="0"/>
          <w:bCs w:val="0"/>
          <w:caps w:val="0"/>
          <w:sz w:val="22"/>
          <w:szCs w:val="24"/>
        </w:rPr>
        <w:t xml:space="preserve"> 3,232 participants, 89 were aged under 45 years (2.8%). </w:t>
      </w:r>
      <w:r w:rsidR="00083B1A">
        <w:rPr>
          <w:b w:val="0"/>
          <w:bCs w:val="0"/>
          <w:caps w:val="0"/>
          <w:sz w:val="22"/>
          <w:szCs w:val="24"/>
        </w:rPr>
        <w:t xml:space="preserve">The </w:t>
      </w:r>
      <w:r w:rsidR="004C5903">
        <w:rPr>
          <w:b w:val="0"/>
          <w:bCs w:val="0"/>
          <w:caps w:val="0"/>
          <w:sz w:val="22"/>
          <w:szCs w:val="24"/>
        </w:rPr>
        <w:t>Government</w:t>
      </w:r>
      <w:r w:rsidR="00CF4BD2" w:rsidRPr="00CF4BD2">
        <w:rPr>
          <w:b w:val="0"/>
          <w:bCs w:val="0"/>
          <w:caps w:val="0"/>
          <w:sz w:val="22"/>
          <w:szCs w:val="24"/>
        </w:rPr>
        <w:t xml:space="preserve"> continues to work on reducing the number of participants entering residential aged care and to support participants already living in residential aged care to move into more age-appropriate accommodation, unless the person has exercised informed choice and decided to remain in residential aged care</w:t>
      </w:r>
      <w:r w:rsidR="00CF4BD2" w:rsidRPr="001518DF">
        <w:rPr>
          <w:b w:val="0"/>
          <w:bCs w:val="0"/>
          <w:caps w:val="0"/>
          <w:sz w:val="22"/>
          <w:szCs w:val="22"/>
        </w:rPr>
        <w:t>.</w:t>
      </w:r>
    </w:p>
    <w:p w14:paraId="0234630C" w14:textId="77777777" w:rsidR="00561208" w:rsidRDefault="00561208">
      <w:pPr>
        <w:spacing w:line="276" w:lineRule="auto"/>
        <w:rPr>
          <w:szCs w:val="22"/>
        </w:rPr>
      </w:pPr>
      <w:r>
        <w:rPr>
          <w:b/>
          <w:bCs/>
          <w:caps/>
          <w:szCs w:val="22"/>
        </w:rPr>
        <w:br w:type="page"/>
      </w:r>
    </w:p>
    <w:p w14:paraId="1FC571B3" w14:textId="77777777" w:rsidR="00CB60E1" w:rsidRDefault="00CC1958" w:rsidP="00CB60E1">
      <w:pPr>
        <w:pStyle w:val="Heading4"/>
      </w:pPr>
      <w:bookmarkStart w:id="78" w:name="_Toc80283608"/>
      <w:bookmarkStart w:id="79" w:name="_Toc80283609"/>
      <w:bookmarkStart w:id="80" w:name="_Toc80283610"/>
      <w:bookmarkStart w:id="81" w:name="_Toc80283611"/>
      <w:bookmarkStart w:id="82" w:name="_Toc79581646"/>
      <w:bookmarkStart w:id="83" w:name="_Toc79684613"/>
      <w:bookmarkStart w:id="84" w:name="_Toc83193294"/>
      <w:bookmarkEnd w:id="78"/>
      <w:bookmarkEnd w:id="79"/>
      <w:bookmarkEnd w:id="80"/>
      <w:bookmarkEnd w:id="81"/>
      <w:r>
        <w:lastRenderedPageBreak/>
        <w:t>Participant d</w:t>
      </w:r>
      <w:r w:rsidR="00CB60E1" w:rsidRPr="00DF2F62">
        <w:t>emographics</w:t>
      </w:r>
      <w:bookmarkEnd w:id="82"/>
      <w:bookmarkEnd w:id="83"/>
      <w:bookmarkEnd w:id="84"/>
    </w:p>
    <w:p w14:paraId="74A7AF39" w14:textId="1B44FE12" w:rsidR="008175A2" w:rsidRDefault="008175A2" w:rsidP="00C32594">
      <w:pPr>
        <w:pStyle w:val="Heading5"/>
        <w:spacing w:before="0"/>
      </w:pPr>
      <w:bookmarkStart w:id="85" w:name="_Toc83193295"/>
      <w:r>
        <w:t>Age</w:t>
      </w:r>
      <w:bookmarkEnd w:id="85"/>
    </w:p>
    <w:p w14:paraId="40D3BC93" w14:textId="069F76E6" w:rsidR="00094EC2" w:rsidRPr="00094EC2" w:rsidRDefault="00094EC2" w:rsidP="00094EC2">
      <w:r>
        <w:t>T</w:t>
      </w:r>
      <w:r w:rsidRPr="00DF2F62">
        <w:t xml:space="preserve">he majority of </w:t>
      </w:r>
      <w:r>
        <w:t>SDA-</w:t>
      </w:r>
      <w:r w:rsidRPr="00DF2F62">
        <w:t xml:space="preserve">eligible participants </w:t>
      </w:r>
      <w:r>
        <w:t xml:space="preserve">are </w:t>
      </w:r>
      <w:r w:rsidRPr="00DF2F62">
        <w:t>aged between 45 and 64.</w:t>
      </w:r>
    </w:p>
    <w:p w14:paraId="5FFA1DAF" w14:textId="77777777" w:rsidR="001E36D1" w:rsidRDefault="00CE75FA" w:rsidP="00CE75FA">
      <w:pPr>
        <w:rPr>
          <w:b/>
          <w:sz w:val="16"/>
          <w:szCs w:val="16"/>
        </w:rPr>
      </w:pPr>
      <w:bookmarkStart w:id="86" w:name="_Toc79493365"/>
      <w:r w:rsidRPr="00DF2F62">
        <w:rPr>
          <w:b/>
          <w:sz w:val="16"/>
          <w:szCs w:val="16"/>
        </w:rPr>
        <w:t xml:space="preserve">Figure </w:t>
      </w:r>
      <w:r w:rsidR="006546B5" w:rsidRPr="00DF2F62">
        <w:rPr>
          <w:b/>
          <w:sz w:val="16"/>
          <w:szCs w:val="16"/>
        </w:rPr>
        <w:fldChar w:fldCharType="begin"/>
      </w:r>
      <w:r w:rsidR="006546B5" w:rsidRPr="00DF2F62">
        <w:rPr>
          <w:b/>
          <w:sz w:val="16"/>
          <w:szCs w:val="16"/>
        </w:rPr>
        <w:instrText xml:space="preserve"> SEQ Figure \* ARABIC </w:instrText>
      </w:r>
      <w:r w:rsidR="006546B5" w:rsidRPr="00DF2F62">
        <w:rPr>
          <w:b/>
          <w:sz w:val="16"/>
          <w:szCs w:val="16"/>
        </w:rPr>
        <w:fldChar w:fldCharType="separate"/>
      </w:r>
      <w:r w:rsidR="00B72D81">
        <w:rPr>
          <w:b/>
          <w:noProof/>
          <w:sz w:val="16"/>
          <w:szCs w:val="16"/>
        </w:rPr>
        <w:t>7</w:t>
      </w:r>
      <w:r w:rsidR="006546B5" w:rsidRPr="00DF2F62">
        <w:rPr>
          <w:b/>
          <w:noProof/>
          <w:sz w:val="16"/>
          <w:szCs w:val="16"/>
        </w:rPr>
        <w:fldChar w:fldCharType="end"/>
      </w:r>
      <w:r w:rsidRPr="00DF2F62">
        <w:rPr>
          <w:b/>
          <w:sz w:val="16"/>
          <w:szCs w:val="16"/>
        </w:rPr>
        <w:t xml:space="preserve">: Participants </w:t>
      </w:r>
      <w:r w:rsidR="00AF7955" w:rsidRPr="00DF2F62">
        <w:rPr>
          <w:b/>
          <w:sz w:val="16"/>
          <w:szCs w:val="16"/>
        </w:rPr>
        <w:t xml:space="preserve">with SDA </w:t>
      </w:r>
      <w:r w:rsidRPr="00DF2F62">
        <w:rPr>
          <w:b/>
          <w:sz w:val="16"/>
          <w:szCs w:val="16"/>
        </w:rPr>
        <w:t>by age</w:t>
      </w:r>
      <w:bookmarkEnd w:id="77"/>
      <w:bookmarkEnd w:id="86"/>
      <w:r w:rsidR="00DA49C3">
        <w:rPr>
          <w:b/>
          <w:sz w:val="16"/>
          <w:szCs w:val="16"/>
        </w:rPr>
        <w:t xml:space="preserve"> </w:t>
      </w:r>
      <w:r w:rsidR="00DA49C3" w:rsidRPr="00B72D81">
        <w:rPr>
          <w:b/>
          <w:sz w:val="16"/>
          <w:szCs w:val="16"/>
        </w:rPr>
        <w:t>at Q4 FY20-21</w:t>
      </w:r>
    </w:p>
    <w:p w14:paraId="1951A5B5" w14:textId="77777777" w:rsidR="00B11287" w:rsidRDefault="001E36D1" w:rsidP="00CE75FA">
      <w:pPr>
        <w:rPr>
          <w:b/>
          <w:sz w:val="16"/>
          <w:szCs w:val="16"/>
        </w:rPr>
      </w:pPr>
      <w:r w:rsidRPr="00DF2F62">
        <w:rPr>
          <w:noProof/>
          <w:lang w:eastAsia="en-AU"/>
        </w:rPr>
        <w:drawing>
          <wp:inline distT="0" distB="0" distL="0" distR="0" wp14:anchorId="7FA513E4" wp14:editId="7AF914A6">
            <wp:extent cx="5760000" cy="2520000"/>
            <wp:effectExtent l="0" t="0" r="12700" b="13970"/>
            <wp:docPr id="14" name="Chart 14" descr="This is a column graph displays the number of participants across age groups as in Q4 FY20-21.&#10;&#10;There is a relatively older population with the largest age groups are 45 to 64 of age. The next largest age groups of note being 25 to 44 years of age.&#10;&#10;0-6 = zero participants&#10;7-14 = two participants&#10;15-18 = 82 participants&#10;19-24 = 795 participants&#10;25-34 = 2,274 participants&#10;35-44 = 2,867 participants&#10;45-54 = 4,294 participants&#10;55-64 = 4,562 participants&#10;65+ = 1,157 participants" title="Figure 7: Participants with SDA by age at Q4 FY20-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C4ED024" w14:textId="742A992D" w:rsidR="00CF4BD2" w:rsidRPr="00DF2F62" w:rsidRDefault="00CF4BD2" w:rsidP="00CF4BD2">
      <w:pPr>
        <w:rPr>
          <w:b/>
        </w:rPr>
      </w:pPr>
      <w:r w:rsidRPr="00DF2F62">
        <w:rPr>
          <w:b/>
        </w:rPr>
        <w:t xml:space="preserve">NDIA </w:t>
      </w:r>
      <w:r w:rsidR="00227990">
        <w:rPr>
          <w:b/>
        </w:rPr>
        <w:t>observations</w:t>
      </w:r>
    </w:p>
    <w:p w14:paraId="2693E88B" w14:textId="4D9B0167" w:rsidR="00CF4BD2" w:rsidRDefault="00CF4BD2" w:rsidP="00CE75FA">
      <w:r w:rsidRPr="00DF2F62">
        <w:t xml:space="preserve">This reflects the aging population that have transitioned into the NDIS from previous state and territory support models. </w:t>
      </w:r>
      <w:r>
        <w:t>Over time this</w:t>
      </w:r>
      <w:r w:rsidRPr="00DF2F62">
        <w:t xml:space="preserve"> may have some bearing on housing needs</w:t>
      </w:r>
      <w:r w:rsidR="001C333A">
        <w:t xml:space="preserve"> of SDA-eligible participants</w:t>
      </w:r>
      <w:r w:rsidRPr="00DF2F62">
        <w:t xml:space="preserve">. For example, elderly </w:t>
      </w:r>
      <w:r w:rsidR="001C333A">
        <w:t xml:space="preserve">SDA </w:t>
      </w:r>
      <w:r w:rsidRPr="00DF2F62">
        <w:t xml:space="preserve">participants may need to </w:t>
      </w:r>
      <w:r w:rsidRPr="00B72D81">
        <w:t>move</w:t>
      </w:r>
      <w:r>
        <w:t xml:space="preserve"> </w:t>
      </w:r>
      <w:r w:rsidR="00CC1958">
        <w:t xml:space="preserve">out of dwellings with stairs. </w:t>
      </w:r>
      <w:r w:rsidRPr="00DF2F62">
        <w:t xml:space="preserve">As other SDA-eligible participants are identified, it is expected that the age demographic may also see increases in other ages over time. </w:t>
      </w:r>
    </w:p>
    <w:p w14:paraId="134CF2E4" w14:textId="77777777" w:rsidR="008175A2" w:rsidRDefault="008175A2" w:rsidP="00C32594">
      <w:pPr>
        <w:pStyle w:val="Heading5"/>
        <w:spacing w:before="0"/>
      </w:pPr>
      <w:bookmarkStart w:id="87" w:name="_Toc83193296"/>
      <w:r>
        <w:t>Primary disability type</w:t>
      </w:r>
      <w:bookmarkEnd w:id="87"/>
    </w:p>
    <w:p w14:paraId="0A0ED8DE" w14:textId="125DF6FB" w:rsidR="00561208" w:rsidRDefault="00A304A6" w:rsidP="00ED4FDD">
      <w:r w:rsidRPr="00DF2F62">
        <w:t>Almost half of participants with SDA have an intellectual disability as their primary disability (48%). The next 2 largest are participants with cerebral palsy (12%) and participants with autism (11%).</w:t>
      </w:r>
    </w:p>
    <w:p w14:paraId="39D8A345" w14:textId="77777777" w:rsidR="00561208" w:rsidRDefault="00561208">
      <w:pPr>
        <w:spacing w:line="276" w:lineRule="auto"/>
      </w:pPr>
      <w:r>
        <w:br w:type="page"/>
      </w:r>
    </w:p>
    <w:p w14:paraId="76A26D6C" w14:textId="77777777" w:rsidR="008175A2" w:rsidRDefault="008175A2" w:rsidP="008175A2">
      <w:pPr>
        <w:pStyle w:val="Caption"/>
        <w:keepNext/>
        <w:rPr>
          <w:caps w:val="0"/>
        </w:rPr>
      </w:pPr>
      <w:bookmarkStart w:id="88" w:name="_Ref81480264"/>
      <w:r w:rsidRPr="00DF2F62">
        <w:rPr>
          <w:caps w:val="0"/>
        </w:rPr>
        <w:lastRenderedPageBreak/>
        <w:t xml:space="preserve">Table </w:t>
      </w:r>
      <w:r w:rsidRPr="00DF2F62">
        <w:rPr>
          <w:caps w:val="0"/>
        </w:rPr>
        <w:fldChar w:fldCharType="begin"/>
      </w:r>
      <w:r w:rsidRPr="00DF2F62">
        <w:rPr>
          <w:caps w:val="0"/>
        </w:rPr>
        <w:instrText xml:space="preserve"> SEQ Table \* ARABIC </w:instrText>
      </w:r>
      <w:r w:rsidRPr="00DF2F62">
        <w:rPr>
          <w:caps w:val="0"/>
        </w:rPr>
        <w:fldChar w:fldCharType="separate"/>
      </w:r>
      <w:r>
        <w:rPr>
          <w:caps w:val="0"/>
          <w:noProof/>
        </w:rPr>
        <w:t>4</w:t>
      </w:r>
      <w:r w:rsidRPr="00DF2F62">
        <w:rPr>
          <w:caps w:val="0"/>
        </w:rPr>
        <w:fldChar w:fldCharType="end"/>
      </w:r>
      <w:bookmarkEnd w:id="88"/>
      <w:r w:rsidRPr="00DF2F62">
        <w:rPr>
          <w:caps w:val="0"/>
        </w:rPr>
        <w:t>: Percentage of participants with SDA by primary disability type</w:t>
      </w:r>
      <w:r>
        <w:rPr>
          <w:caps w:val="0"/>
        </w:rPr>
        <w:t xml:space="preserve"> </w:t>
      </w:r>
      <w:r w:rsidRPr="00B72D81">
        <w:rPr>
          <w:caps w:val="0"/>
        </w:rPr>
        <w:t>at Q4 FY20-21</w:t>
      </w:r>
    </w:p>
    <w:tbl>
      <w:tblPr>
        <w:tblStyle w:val="LightShading-Accent4"/>
        <w:tblW w:w="8698" w:type="dxa"/>
        <w:tblLook w:val="04A0" w:firstRow="1" w:lastRow="0" w:firstColumn="1" w:lastColumn="0" w:noHBand="0" w:noVBand="1"/>
        <w:tblCaption w:val="Table 4: Percentage of participants with SDA by primary disability type at Q4 FY20-21"/>
        <w:tblDescription w:val="This table displays the proportion of participants with SDA by their primary disability type in Q4 FY20-21.&#10;&#10;Participants with intellectual disability make up almost half of the SDA population with 48%. Participants with cerebral palsy (12%), participants with autism (11%) and participants with down syndrome (8%) are the next largest primary disabilities amongst SDA participants.&#10;&#10;Acquired brain injury (ABI) - 7%&#10;Other neurological - 4%&#10;Psychosocial disability - 4%&#10;Stroke - 2%&#10;Multiple sclerosis - 2%&#10;Other physical - 1%&#10;Spinal cord injury - 1%&#10;Other disabilities - 0%&#10;Visual impairment - 0%&#10;Hearing impairment - 0%"/>
      </w:tblPr>
      <w:tblGrid>
        <w:gridCol w:w="2745"/>
        <w:gridCol w:w="2856"/>
        <w:gridCol w:w="3097"/>
      </w:tblGrid>
      <w:tr w:rsidR="008175A2" w:rsidRPr="00561208" w14:paraId="57FD4352" w14:textId="77777777" w:rsidTr="00561208">
        <w:trPr>
          <w:cnfStyle w:val="100000000000" w:firstRow="1" w:lastRow="0" w:firstColumn="0" w:lastColumn="0" w:oddVBand="0" w:evenVBand="0" w:oddHBand="0" w:evenHBand="0" w:firstRowFirstColumn="0" w:firstRowLastColumn="0" w:lastRowFirstColumn="0" w:lastRowLastColumn="0"/>
          <w:trHeight w:val="436"/>
          <w:tblHeader/>
        </w:trPr>
        <w:tc>
          <w:tcPr>
            <w:cnfStyle w:val="001000000000" w:firstRow="0" w:lastRow="0" w:firstColumn="1" w:lastColumn="0" w:oddVBand="0" w:evenVBand="0" w:oddHBand="0" w:evenHBand="0" w:firstRowFirstColumn="0" w:firstRowLastColumn="0" w:lastRowFirstColumn="0" w:lastRowLastColumn="0"/>
            <w:tcW w:w="0" w:type="auto"/>
            <w:vAlign w:val="bottom"/>
          </w:tcPr>
          <w:p w14:paraId="504CD1F4" w14:textId="77777777" w:rsidR="008175A2" w:rsidRPr="00561208" w:rsidRDefault="008175A2" w:rsidP="005F748B">
            <w:pPr>
              <w:spacing w:after="0"/>
              <w:rPr>
                <w:rFonts w:asciiTheme="majorHAnsi" w:hAnsiTheme="majorHAnsi" w:cstheme="majorHAnsi"/>
                <w:sz w:val="18"/>
                <w:szCs w:val="14"/>
              </w:rPr>
            </w:pPr>
            <w:r w:rsidRPr="00561208">
              <w:rPr>
                <w:rFonts w:asciiTheme="majorHAnsi" w:hAnsiTheme="majorHAnsi" w:cstheme="majorHAnsi"/>
                <w:bCs w:val="0"/>
                <w:color w:val="FFFFFF"/>
                <w:sz w:val="18"/>
                <w:szCs w:val="14"/>
              </w:rPr>
              <w:t>Primary disability</w:t>
            </w:r>
          </w:p>
        </w:tc>
        <w:tc>
          <w:tcPr>
            <w:tcW w:w="0" w:type="auto"/>
            <w:vAlign w:val="bottom"/>
          </w:tcPr>
          <w:p w14:paraId="2E1F5216" w14:textId="77777777" w:rsidR="008175A2" w:rsidRPr="00561208" w:rsidRDefault="008175A2" w:rsidP="005F748B">
            <w:pPr>
              <w:spacing w:after="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Number of SDA participants</w:t>
            </w:r>
          </w:p>
        </w:tc>
        <w:tc>
          <w:tcPr>
            <w:tcW w:w="0" w:type="auto"/>
            <w:vAlign w:val="bottom"/>
          </w:tcPr>
          <w:p w14:paraId="029CE4AC" w14:textId="77777777" w:rsidR="008175A2" w:rsidRPr="00561208" w:rsidRDefault="008175A2" w:rsidP="005F748B">
            <w:pPr>
              <w:spacing w:after="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sz w:val="18"/>
                <w:szCs w:val="14"/>
              </w:rPr>
              <w:t>Proportion of SDA participants</w:t>
            </w:r>
          </w:p>
        </w:tc>
      </w:tr>
      <w:tr w:rsidR="008175A2" w:rsidRPr="00561208" w14:paraId="3B787492" w14:textId="77777777" w:rsidTr="0056120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vAlign w:val="bottom"/>
          </w:tcPr>
          <w:p w14:paraId="2A0C7A68" w14:textId="77777777" w:rsidR="008175A2" w:rsidRPr="00561208" w:rsidRDefault="008175A2" w:rsidP="005F748B">
            <w:pPr>
              <w:spacing w:after="0"/>
              <w:rPr>
                <w:rFonts w:asciiTheme="majorHAnsi" w:hAnsiTheme="majorHAnsi" w:cstheme="majorHAnsi"/>
                <w:sz w:val="18"/>
                <w:szCs w:val="14"/>
              </w:rPr>
            </w:pPr>
            <w:r w:rsidRPr="00561208">
              <w:rPr>
                <w:sz w:val="18"/>
                <w:szCs w:val="14"/>
              </w:rPr>
              <w:t>Intellectual disability</w:t>
            </w:r>
          </w:p>
        </w:tc>
        <w:tc>
          <w:tcPr>
            <w:tcW w:w="0" w:type="auto"/>
            <w:vAlign w:val="bottom"/>
          </w:tcPr>
          <w:p w14:paraId="3BC0BB8D" w14:textId="56F3DEFB" w:rsidR="008175A2" w:rsidRPr="00561208" w:rsidRDefault="008175A2" w:rsidP="00561208">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sz w:val="18"/>
                <w:szCs w:val="14"/>
              </w:rPr>
              <w:t>7,661</w:t>
            </w:r>
          </w:p>
        </w:tc>
        <w:tc>
          <w:tcPr>
            <w:tcW w:w="0" w:type="auto"/>
            <w:vAlign w:val="bottom"/>
          </w:tcPr>
          <w:p w14:paraId="6BE7ECE8" w14:textId="77777777" w:rsidR="008175A2" w:rsidRPr="00561208" w:rsidRDefault="008175A2" w:rsidP="00561208">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sz w:val="18"/>
                <w:szCs w:val="14"/>
              </w:rPr>
              <w:t>48%</w:t>
            </w:r>
          </w:p>
        </w:tc>
      </w:tr>
      <w:tr w:rsidR="008175A2" w:rsidRPr="00561208" w14:paraId="79015442" w14:textId="77777777" w:rsidTr="00561208">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0" w:type="auto"/>
            <w:vAlign w:val="bottom"/>
          </w:tcPr>
          <w:p w14:paraId="171CDB49" w14:textId="77777777" w:rsidR="008175A2" w:rsidRPr="00561208" w:rsidRDefault="008175A2" w:rsidP="005F748B">
            <w:pPr>
              <w:spacing w:after="0"/>
              <w:rPr>
                <w:rFonts w:asciiTheme="majorHAnsi" w:hAnsiTheme="majorHAnsi" w:cstheme="majorHAnsi"/>
                <w:sz w:val="18"/>
                <w:szCs w:val="14"/>
              </w:rPr>
            </w:pPr>
            <w:r w:rsidRPr="00561208">
              <w:rPr>
                <w:sz w:val="18"/>
                <w:szCs w:val="14"/>
              </w:rPr>
              <w:t>Cerebral palsy</w:t>
            </w:r>
          </w:p>
        </w:tc>
        <w:tc>
          <w:tcPr>
            <w:tcW w:w="0" w:type="auto"/>
            <w:vAlign w:val="bottom"/>
          </w:tcPr>
          <w:p w14:paraId="4915359E" w14:textId="6B6F4C3B" w:rsidR="008175A2" w:rsidRPr="00561208" w:rsidRDefault="008175A2" w:rsidP="00561208">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sz w:val="18"/>
                <w:szCs w:val="14"/>
              </w:rPr>
              <w:t>1,845</w:t>
            </w:r>
          </w:p>
        </w:tc>
        <w:tc>
          <w:tcPr>
            <w:tcW w:w="0" w:type="auto"/>
            <w:vAlign w:val="bottom"/>
          </w:tcPr>
          <w:p w14:paraId="4DB6CDC8" w14:textId="77777777" w:rsidR="008175A2" w:rsidRPr="00561208" w:rsidRDefault="008175A2" w:rsidP="00561208">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sz w:val="18"/>
                <w:szCs w:val="14"/>
              </w:rPr>
              <w:t>12%</w:t>
            </w:r>
          </w:p>
        </w:tc>
      </w:tr>
      <w:tr w:rsidR="008175A2" w:rsidRPr="00561208" w14:paraId="7CEBE271" w14:textId="77777777" w:rsidTr="0056120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vAlign w:val="bottom"/>
          </w:tcPr>
          <w:p w14:paraId="430A69AD" w14:textId="77777777" w:rsidR="008175A2" w:rsidRPr="00561208" w:rsidRDefault="008175A2" w:rsidP="005F748B">
            <w:pPr>
              <w:spacing w:after="0"/>
              <w:rPr>
                <w:rFonts w:asciiTheme="majorHAnsi" w:hAnsiTheme="majorHAnsi" w:cstheme="majorHAnsi"/>
                <w:sz w:val="18"/>
                <w:szCs w:val="14"/>
              </w:rPr>
            </w:pPr>
            <w:r w:rsidRPr="00561208">
              <w:rPr>
                <w:sz w:val="18"/>
                <w:szCs w:val="14"/>
              </w:rPr>
              <w:t>Autism</w:t>
            </w:r>
          </w:p>
        </w:tc>
        <w:tc>
          <w:tcPr>
            <w:tcW w:w="0" w:type="auto"/>
            <w:vAlign w:val="bottom"/>
          </w:tcPr>
          <w:p w14:paraId="0184FBE0" w14:textId="6646EAF2" w:rsidR="008175A2" w:rsidRPr="00561208" w:rsidRDefault="008175A2" w:rsidP="00561208">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sz w:val="18"/>
                <w:szCs w:val="14"/>
              </w:rPr>
              <w:t>1,684</w:t>
            </w:r>
          </w:p>
        </w:tc>
        <w:tc>
          <w:tcPr>
            <w:tcW w:w="0" w:type="auto"/>
            <w:vAlign w:val="bottom"/>
          </w:tcPr>
          <w:p w14:paraId="65BF74AC" w14:textId="77777777" w:rsidR="008175A2" w:rsidRPr="00561208" w:rsidRDefault="008175A2" w:rsidP="00561208">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sz w:val="18"/>
                <w:szCs w:val="14"/>
              </w:rPr>
              <w:t>11%</w:t>
            </w:r>
          </w:p>
        </w:tc>
      </w:tr>
      <w:tr w:rsidR="008175A2" w:rsidRPr="00561208" w14:paraId="44219519" w14:textId="77777777" w:rsidTr="00561208">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vAlign w:val="bottom"/>
          </w:tcPr>
          <w:p w14:paraId="005B0D4E" w14:textId="77777777" w:rsidR="008175A2" w:rsidRPr="00561208" w:rsidRDefault="008175A2" w:rsidP="005F748B">
            <w:pPr>
              <w:spacing w:after="0"/>
              <w:rPr>
                <w:rFonts w:asciiTheme="majorHAnsi" w:hAnsiTheme="majorHAnsi" w:cstheme="majorHAnsi"/>
                <w:sz w:val="18"/>
                <w:szCs w:val="14"/>
              </w:rPr>
            </w:pPr>
            <w:r w:rsidRPr="00561208">
              <w:rPr>
                <w:sz w:val="18"/>
                <w:szCs w:val="14"/>
              </w:rPr>
              <w:t>Down syndrome</w:t>
            </w:r>
          </w:p>
        </w:tc>
        <w:tc>
          <w:tcPr>
            <w:tcW w:w="0" w:type="auto"/>
            <w:vAlign w:val="bottom"/>
          </w:tcPr>
          <w:p w14:paraId="401A0D60" w14:textId="09E0A5B0" w:rsidR="008175A2" w:rsidRPr="00561208" w:rsidRDefault="008175A2" w:rsidP="00561208">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sz w:val="18"/>
                <w:szCs w:val="14"/>
              </w:rPr>
              <w:t>1,281</w:t>
            </w:r>
          </w:p>
        </w:tc>
        <w:tc>
          <w:tcPr>
            <w:tcW w:w="0" w:type="auto"/>
            <w:vAlign w:val="bottom"/>
          </w:tcPr>
          <w:p w14:paraId="428003E1" w14:textId="77777777" w:rsidR="008175A2" w:rsidRPr="00561208" w:rsidRDefault="008175A2" w:rsidP="00561208">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sz w:val="18"/>
                <w:szCs w:val="14"/>
              </w:rPr>
              <w:t>8%</w:t>
            </w:r>
          </w:p>
        </w:tc>
      </w:tr>
      <w:tr w:rsidR="008175A2" w:rsidRPr="00561208" w14:paraId="4BC7BF96" w14:textId="77777777" w:rsidTr="00561208">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0" w:type="auto"/>
            <w:vAlign w:val="bottom"/>
          </w:tcPr>
          <w:p w14:paraId="5761A910" w14:textId="77777777" w:rsidR="008175A2" w:rsidRPr="00561208" w:rsidRDefault="008175A2" w:rsidP="005F748B">
            <w:pPr>
              <w:spacing w:after="0"/>
              <w:rPr>
                <w:rFonts w:asciiTheme="majorHAnsi" w:hAnsiTheme="majorHAnsi" w:cstheme="majorHAnsi"/>
                <w:sz w:val="18"/>
                <w:szCs w:val="14"/>
              </w:rPr>
            </w:pPr>
            <w:r w:rsidRPr="00561208">
              <w:rPr>
                <w:sz w:val="18"/>
                <w:szCs w:val="14"/>
              </w:rPr>
              <w:t>Acquired brain injury (ABI)</w:t>
            </w:r>
          </w:p>
        </w:tc>
        <w:tc>
          <w:tcPr>
            <w:tcW w:w="0" w:type="auto"/>
            <w:vAlign w:val="bottom"/>
          </w:tcPr>
          <w:p w14:paraId="589FA181" w14:textId="7ABACF08" w:rsidR="008175A2" w:rsidRPr="00561208" w:rsidRDefault="008175A2" w:rsidP="00561208">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sz w:val="18"/>
                <w:szCs w:val="14"/>
              </w:rPr>
              <w:t>1,194</w:t>
            </w:r>
          </w:p>
        </w:tc>
        <w:tc>
          <w:tcPr>
            <w:tcW w:w="0" w:type="auto"/>
            <w:vAlign w:val="bottom"/>
          </w:tcPr>
          <w:p w14:paraId="7F03B1C5" w14:textId="77777777" w:rsidR="008175A2" w:rsidRPr="00561208" w:rsidRDefault="008175A2" w:rsidP="00561208">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sz w:val="18"/>
                <w:szCs w:val="14"/>
              </w:rPr>
              <w:t>7%</w:t>
            </w:r>
          </w:p>
        </w:tc>
      </w:tr>
      <w:tr w:rsidR="008175A2" w:rsidRPr="00561208" w14:paraId="79D99644" w14:textId="77777777" w:rsidTr="00561208">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vAlign w:val="bottom"/>
          </w:tcPr>
          <w:p w14:paraId="490DC26C" w14:textId="77777777" w:rsidR="008175A2" w:rsidRPr="00561208" w:rsidRDefault="008175A2" w:rsidP="005F748B">
            <w:pPr>
              <w:spacing w:after="0"/>
              <w:rPr>
                <w:rFonts w:asciiTheme="majorHAnsi" w:hAnsiTheme="majorHAnsi" w:cstheme="majorHAnsi"/>
                <w:sz w:val="18"/>
                <w:szCs w:val="14"/>
              </w:rPr>
            </w:pPr>
            <w:r w:rsidRPr="00561208">
              <w:rPr>
                <w:sz w:val="18"/>
                <w:szCs w:val="14"/>
              </w:rPr>
              <w:t>Other neurological</w:t>
            </w:r>
          </w:p>
        </w:tc>
        <w:tc>
          <w:tcPr>
            <w:tcW w:w="0" w:type="auto"/>
            <w:vAlign w:val="bottom"/>
          </w:tcPr>
          <w:p w14:paraId="2FE87669" w14:textId="417686ED" w:rsidR="008175A2" w:rsidRPr="00561208" w:rsidRDefault="008175A2" w:rsidP="00561208">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sz w:val="18"/>
                <w:szCs w:val="14"/>
              </w:rPr>
              <w:t>679</w:t>
            </w:r>
          </w:p>
        </w:tc>
        <w:tc>
          <w:tcPr>
            <w:tcW w:w="0" w:type="auto"/>
            <w:vAlign w:val="bottom"/>
          </w:tcPr>
          <w:p w14:paraId="0413776F" w14:textId="77777777" w:rsidR="008175A2" w:rsidRPr="00561208" w:rsidRDefault="008175A2" w:rsidP="00561208">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sz w:val="18"/>
                <w:szCs w:val="14"/>
              </w:rPr>
              <w:t>4%</w:t>
            </w:r>
          </w:p>
        </w:tc>
      </w:tr>
      <w:tr w:rsidR="008175A2" w:rsidRPr="00561208" w14:paraId="2E79D4E4" w14:textId="77777777" w:rsidTr="00561208">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0" w:type="auto"/>
            <w:vAlign w:val="bottom"/>
          </w:tcPr>
          <w:p w14:paraId="2B66B0B5" w14:textId="77777777" w:rsidR="008175A2" w:rsidRPr="00561208" w:rsidRDefault="008175A2" w:rsidP="005F748B">
            <w:pPr>
              <w:spacing w:after="0"/>
              <w:rPr>
                <w:rFonts w:asciiTheme="majorHAnsi" w:hAnsiTheme="majorHAnsi" w:cstheme="majorHAnsi"/>
                <w:sz w:val="18"/>
                <w:szCs w:val="14"/>
              </w:rPr>
            </w:pPr>
            <w:r w:rsidRPr="00561208">
              <w:rPr>
                <w:sz w:val="18"/>
                <w:szCs w:val="14"/>
              </w:rPr>
              <w:t>Psychosocial disability</w:t>
            </w:r>
          </w:p>
        </w:tc>
        <w:tc>
          <w:tcPr>
            <w:tcW w:w="0" w:type="auto"/>
            <w:vAlign w:val="bottom"/>
          </w:tcPr>
          <w:p w14:paraId="1D95C8ED" w14:textId="07ADE8F8" w:rsidR="008175A2" w:rsidRPr="00561208" w:rsidRDefault="008175A2" w:rsidP="00561208">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sz w:val="18"/>
                <w:szCs w:val="14"/>
              </w:rPr>
              <w:t>644</w:t>
            </w:r>
          </w:p>
        </w:tc>
        <w:tc>
          <w:tcPr>
            <w:tcW w:w="0" w:type="auto"/>
            <w:vAlign w:val="bottom"/>
          </w:tcPr>
          <w:p w14:paraId="1649F648" w14:textId="77777777" w:rsidR="008175A2" w:rsidRPr="00561208" w:rsidRDefault="008175A2" w:rsidP="00561208">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sz w:val="18"/>
                <w:szCs w:val="14"/>
              </w:rPr>
              <w:t>4%</w:t>
            </w:r>
          </w:p>
        </w:tc>
      </w:tr>
      <w:tr w:rsidR="008175A2" w:rsidRPr="00561208" w14:paraId="39E314BF" w14:textId="77777777" w:rsidTr="00561208">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vAlign w:val="bottom"/>
          </w:tcPr>
          <w:p w14:paraId="12E8F32A" w14:textId="77777777" w:rsidR="008175A2" w:rsidRPr="00561208" w:rsidRDefault="008175A2" w:rsidP="005F748B">
            <w:pPr>
              <w:spacing w:after="0"/>
              <w:rPr>
                <w:rFonts w:asciiTheme="majorHAnsi" w:hAnsiTheme="majorHAnsi" w:cstheme="majorHAnsi"/>
                <w:sz w:val="18"/>
                <w:szCs w:val="14"/>
              </w:rPr>
            </w:pPr>
            <w:r w:rsidRPr="00561208">
              <w:rPr>
                <w:sz w:val="18"/>
                <w:szCs w:val="14"/>
              </w:rPr>
              <w:t>Stroke</w:t>
            </w:r>
          </w:p>
        </w:tc>
        <w:tc>
          <w:tcPr>
            <w:tcW w:w="0" w:type="auto"/>
            <w:vAlign w:val="bottom"/>
          </w:tcPr>
          <w:p w14:paraId="0DC55EEA" w14:textId="69B5831E" w:rsidR="008175A2" w:rsidRPr="00561208" w:rsidRDefault="008175A2" w:rsidP="00561208">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sz w:val="18"/>
                <w:szCs w:val="14"/>
              </w:rPr>
              <w:t>267</w:t>
            </w:r>
          </w:p>
        </w:tc>
        <w:tc>
          <w:tcPr>
            <w:tcW w:w="0" w:type="auto"/>
            <w:vAlign w:val="bottom"/>
          </w:tcPr>
          <w:p w14:paraId="67D6E383" w14:textId="77777777" w:rsidR="008175A2" w:rsidRPr="00561208" w:rsidRDefault="008175A2" w:rsidP="00561208">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sz w:val="18"/>
                <w:szCs w:val="14"/>
              </w:rPr>
              <w:t>2%</w:t>
            </w:r>
          </w:p>
        </w:tc>
      </w:tr>
      <w:tr w:rsidR="008175A2" w:rsidRPr="00561208" w14:paraId="62A7CB80" w14:textId="77777777" w:rsidTr="0056120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vAlign w:val="bottom"/>
          </w:tcPr>
          <w:p w14:paraId="579FBC67" w14:textId="77777777" w:rsidR="008175A2" w:rsidRPr="00561208" w:rsidRDefault="008175A2" w:rsidP="005F748B">
            <w:pPr>
              <w:spacing w:after="0"/>
              <w:rPr>
                <w:rFonts w:asciiTheme="majorHAnsi" w:hAnsiTheme="majorHAnsi" w:cstheme="majorHAnsi"/>
                <w:sz w:val="18"/>
                <w:szCs w:val="14"/>
              </w:rPr>
            </w:pPr>
            <w:r w:rsidRPr="00561208">
              <w:rPr>
                <w:sz w:val="18"/>
                <w:szCs w:val="14"/>
              </w:rPr>
              <w:t>Multiple sclerosis</w:t>
            </w:r>
          </w:p>
        </w:tc>
        <w:tc>
          <w:tcPr>
            <w:tcW w:w="0" w:type="auto"/>
            <w:vAlign w:val="bottom"/>
          </w:tcPr>
          <w:p w14:paraId="260B8D2B" w14:textId="4707FA8C" w:rsidR="008175A2" w:rsidRPr="00561208" w:rsidRDefault="008175A2" w:rsidP="00561208">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sz w:val="18"/>
                <w:szCs w:val="14"/>
              </w:rPr>
              <w:t>252</w:t>
            </w:r>
          </w:p>
        </w:tc>
        <w:tc>
          <w:tcPr>
            <w:tcW w:w="0" w:type="auto"/>
            <w:vAlign w:val="bottom"/>
          </w:tcPr>
          <w:p w14:paraId="2433649E" w14:textId="77777777" w:rsidR="008175A2" w:rsidRPr="00561208" w:rsidRDefault="008175A2" w:rsidP="00561208">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sz w:val="18"/>
                <w:szCs w:val="14"/>
              </w:rPr>
              <w:t>2%</w:t>
            </w:r>
          </w:p>
        </w:tc>
      </w:tr>
      <w:tr w:rsidR="008175A2" w:rsidRPr="00561208" w14:paraId="02C32B03" w14:textId="77777777" w:rsidTr="00561208">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0" w:type="auto"/>
            <w:vAlign w:val="bottom"/>
          </w:tcPr>
          <w:p w14:paraId="5A36DFFD" w14:textId="77777777" w:rsidR="008175A2" w:rsidRPr="00561208" w:rsidRDefault="008175A2" w:rsidP="005F748B">
            <w:pPr>
              <w:spacing w:after="0"/>
              <w:rPr>
                <w:rFonts w:asciiTheme="majorHAnsi" w:hAnsiTheme="majorHAnsi" w:cstheme="majorHAnsi"/>
                <w:sz w:val="18"/>
                <w:szCs w:val="14"/>
              </w:rPr>
            </w:pPr>
            <w:r w:rsidRPr="00561208">
              <w:rPr>
                <w:sz w:val="18"/>
                <w:szCs w:val="14"/>
              </w:rPr>
              <w:t>Other physical</w:t>
            </w:r>
          </w:p>
        </w:tc>
        <w:tc>
          <w:tcPr>
            <w:tcW w:w="0" w:type="auto"/>
            <w:vAlign w:val="bottom"/>
          </w:tcPr>
          <w:p w14:paraId="063BDBBC" w14:textId="2D9ED198" w:rsidR="008175A2" w:rsidRPr="00561208" w:rsidRDefault="008175A2" w:rsidP="00561208">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sz w:val="18"/>
                <w:szCs w:val="14"/>
              </w:rPr>
              <w:t>217</w:t>
            </w:r>
          </w:p>
        </w:tc>
        <w:tc>
          <w:tcPr>
            <w:tcW w:w="0" w:type="auto"/>
            <w:vAlign w:val="bottom"/>
          </w:tcPr>
          <w:p w14:paraId="41696136" w14:textId="77777777" w:rsidR="008175A2" w:rsidRPr="00561208" w:rsidRDefault="008175A2" w:rsidP="00561208">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sz w:val="18"/>
                <w:szCs w:val="14"/>
              </w:rPr>
              <w:t>1%</w:t>
            </w:r>
          </w:p>
        </w:tc>
      </w:tr>
      <w:tr w:rsidR="008175A2" w:rsidRPr="00561208" w14:paraId="3D0A148A" w14:textId="77777777" w:rsidTr="0056120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vAlign w:val="bottom"/>
          </w:tcPr>
          <w:p w14:paraId="1455D621" w14:textId="77777777" w:rsidR="008175A2" w:rsidRPr="00561208" w:rsidRDefault="008175A2" w:rsidP="005F748B">
            <w:pPr>
              <w:spacing w:after="0"/>
              <w:rPr>
                <w:rFonts w:asciiTheme="majorHAnsi" w:hAnsiTheme="majorHAnsi" w:cstheme="majorHAnsi"/>
                <w:sz w:val="18"/>
                <w:szCs w:val="14"/>
              </w:rPr>
            </w:pPr>
            <w:r w:rsidRPr="00561208">
              <w:rPr>
                <w:sz w:val="18"/>
                <w:szCs w:val="14"/>
              </w:rPr>
              <w:t>Spinal cord injury</w:t>
            </w:r>
          </w:p>
        </w:tc>
        <w:tc>
          <w:tcPr>
            <w:tcW w:w="0" w:type="auto"/>
            <w:vAlign w:val="bottom"/>
          </w:tcPr>
          <w:p w14:paraId="3C0460C5" w14:textId="3EF48901" w:rsidR="008175A2" w:rsidRPr="00561208" w:rsidRDefault="008175A2" w:rsidP="00561208">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sz w:val="18"/>
                <w:szCs w:val="14"/>
              </w:rPr>
              <w:t>194</w:t>
            </w:r>
          </w:p>
        </w:tc>
        <w:tc>
          <w:tcPr>
            <w:tcW w:w="0" w:type="auto"/>
            <w:vAlign w:val="bottom"/>
          </w:tcPr>
          <w:p w14:paraId="0F013990" w14:textId="77777777" w:rsidR="008175A2" w:rsidRPr="00561208" w:rsidRDefault="008175A2" w:rsidP="00561208">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sz w:val="18"/>
                <w:szCs w:val="14"/>
              </w:rPr>
              <w:t>1%</w:t>
            </w:r>
          </w:p>
        </w:tc>
      </w:tr>
      <w:tr w:rsidR="008175A2" w:rsidRPr="00561208" w14:paraId="1D9BA596" w14:textId="77777777" w:rsidTr="00561208">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0" w:type="auto"/>
            <w:vAlign w:val="bottom"/>
          </w:tcPr>
          <w:p w14:paraId="46C2DA0F" w14:textId="77777777" w:rsidR="008175A2" w:rsidRPr="00561208" w:rsidRDefault="008175A2" w:rsidP="005F748B">
            <w:pPr>
              <w:spacing w:after="0"/>
              <w:rPr>
                <w:rFonts w:asciiTheme="majorHAnsi" w:hAnsiTheme="majorHAnsi" w:cstheme="majorHAnsi"/>
                <w:sz w:val="18"/>
                <w:szCs w:val="14"/>
              </w:rPr>
            </w:pPr>
            <w:r w:rsidRPr="00561208">
              <w:rPr>
                <w:sz w:val="18"/>
                <w:szCs w:val="14"/>
              </w:rPr>
              <w:t>Other</w:t>
            </w:r>
          </w:p>
        </w:tc>
        <w:tc>
          <w:tcPr>
            <w:tcW w:w="0" w:type="auto"/>
            <w:vAlign w:val="bottom"/>
          </w:tcPr>
          <w:p w14:paraId="3C3448D1" w14:textId="0BB5A4C6" w:rsidR="008175A2" w:rsidRPr="00561208" w:rsidRDefault="008175A2" w:rsidP="00561208">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sz w:val="18"/>
                <w:szCs w:val="14"/>
              </w:rPr>
              <w:t>60</w:t>
            </w:r>
          </w:p>
        </w:tc>
        <w:tc>
          <w:tcPr>
            <w:tcW w:w="0" w:type="auto"/>
            <w:vAlign w:val="bottom"/>
          </w:tcPr>
          <w:p w14:paraId="3CDA4BD3" w14:textId="77777777" w:rsidR="008175A2" w:rsidRPr="00561208" w:rsidRDefault="008175A2" w:rsidP="00561208">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sz w:val="18"/>
                <w:szCs w:val="14"/>
              </w:rPr>
              <w:t>0%</w:t>
            </w:r>
          </w:p>
        </w:tc>
      </w:tr>
      <w:tr w:rsidR="008175A2" w:rsidRPr="00561208" w14:paraId="41E57D31" w14:textId="77777777" w:rsidTr="0056120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vAlign w:val="bottom"/>
          </w:tcPr>
          <w:p w14:paraId="772C2D5A" w14:textId="77777777" w:rsidR="008175A2" w:rsidRPr="00561208" w:rsidRDefault="008175A2" w:rsidP="005F748B">
            <w:pPr>
              <w:spacing w:after="0"/>
              <w:rPr>
                <w:rFonts w:asciiTheme="majorHAnsi" w:hAnsiTheme="majorHAnsi" w:cstheme="majorHAnsi"/>
                <w:sz w:val="18"/>
                <w:szCs w:val="14"/>
              </w:rPr>
            </w:pPr>
            <w:r w:rsidRPr="00561208">
              <w:rPr>
                <w:sz w:val="18"/>
                <w:szCs w:val="14"/>
              </w:rPr>
              <w:t>Visual impairment</w:t>
            </w:r>
          </w:p>
        </w:tc>
        <w:tc>
          <w:tcPr>
            <w:tcW w:w="0" w:type="auto"/>
            <w:vAlign w:val="bottom"/>
          </w:tcPr>
          <w:p w14:paraId="74D4C8EF" w14:textId="697B0367" w:rsidR="008175A2" w:rsidRPr="00561208" w:rsidRDefault="008175A2" w:rsidP="00561208">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sz w:val="18"/>
                <w:szCs w:val="14"/>
              </w:rPr>
              <w:t>51</w:t>
            </w:r>
          </w:p>
        </w:tc>
        <w:tc>
          <w:tcPr>
            <w:tcW w:w="0" w:type="auto"/>
            <w:vAlign w:val="bottom"/>
          </w:tcPr>
          <w:p w14:paraId="222D60C0" w14:textId="77777777" w:rsidR="008175A2" w:rsidRPr="00561208" w:rsidRDefault="008175A2" w:rsidP="00561208">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sz w:val="18"/>
                <w:szCs w:val="14"/>
              </w:rPr>
              <w:t>0%</w:t>
            </w:r>
          </w:p>
        </w:tc>
      </w:tr>
      <w:tr w:rsidR="008175A2" w:rsidRPr="00561208" w14:paraId="554C4E2B" w14:textId="77777777" w:rsidTr="00561208">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vAlign w:val="bottom"/>
          </w:tcPr>
          <w:p w14:paraId="1C0099AB" w14:textId="77777777" w:rsidR="008175A2" w:rsidRPr="00561208" w:rsidRDefault="008175A2" w:rsidP="005F748B">
            <w:pPr>
              <w:spacing w:after="0"/>
              <w:rPr>
                <w:rFonts w:asciiTheme="majorHAnsi" w:hAnsiTheme="majorHAnsi" w:cstheme="majorHAnsi"/>
                <w:sz w:val="18"/>
                <w:szCs w:val="14"/>
              </w:rPr>
            </w:pPr>
            <w:r w:rsidRPr="00561208">
              <w:rPr>
                <w:sz w:val="18"/>
                <w:szCs w:val="14"/>
              </w:rPr>
              <w:t>Hearing impairment</w:t>
            </w:r>
          </w:p>
        </w:tc>
        <w:tc>
          <w:tcPr>
            <w:tcW w:w="0" w:type="auto"/>
            <w:vAlign w:val="bottom"/>
          </w:tcPr>
          <w:p w14:paraId="5E13F8EE" w14:textId="093E7BC9" w:rsidR="008175A2" w:rsidRPr="00561208" w:rsidRDefault="008175A2" w:rsidP="00561208">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sz w:val="18"/>
                <w:szCs w:val="14"/>
              </w:rPr>
              <w:t>4</w:t>
            </w:r>
          </w:p>
        </w:tc>
        <w:tc>
          <w:tcPr>
            <w:tcW w:w="0" w:type="auto"/>
            <w:vAlign w:val="bottom"/>
          </w:tcPr>
          <w:p w14:paraId="3F41AB10" w14:textId="77777777" w:rsidR="008175A2" w:rsidRPr="00561208" w:rsidRDefault="008175A2" w:rsidP="00561208">
            <w:pPr>
              <w:spacing w:after="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18"/>
                <w:szCs w:val="14"/>
              </w:rPr>
            </w:pPr>
            <w:r w:rsidRPr="00561208">
              <w:rPr>
                <w:sz w:val="18"/>
                <w:szCs w:val="14"/>
              </w:rPr>
              <w:t>0%</w:t>
            </w:r>
          </w:p>
        </w:tc>
      </w:tr>
      <w:tr w:rsidR="008175A2" w:rsidRPr="00561208" w14:paraId="1BEC90BB" w14:textId="77777777" w:rsidTr="00561208">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0" w:type="auto"/>
            <w:vAlign w:val="bottom"/>
          </w:tcPr>
          <w:p w14:paraId="6B5F9ACA" w14:textId="77777777" w:rsidR="008175A2" w:rsidRPr="00561208" w:rsidRDefault="008175A2" w:rsidP="005F748B">
            <w:pPr>
              <w:spacing w:after="0"/>
              <w:rPr>
                <w:rFonts w:asciiTheme="majorHAnsi" w:hAnsiTheme="majorHAnsi" w:cstheme="majorHAnsi"/>
                <w:sz w:val="18"/>
                <w:szCs w:val="14"/>
              </w:rPr>
            </w:pPr>
            <w:r w:rsidRPr="00561208">
              <w:rPr>
                <w:rFonts w:asciiTheme="majorHAnsi" w:hAnsiTheme="majorHAnsi" w:cstheme="majorHAnsi"/>
                <w:bCs w:val="0"/>
                <w:color w:val="000000"/>
                <w:sz w:val="18"/>
                <w:szCs w:val="14"/>
              </w:rPr>
              <w:t>Total</w:t>
            </w:r>
          </w:p>
        </w:tc>
        <w:tc>
          <w:tcPr>
            <w:tcW w:w="0" w:type="auto"/>
            <w:vAlign w:val="bottom"/>
          </w:tcPr>
          <w:p w14:paraId="4DC2290C" w14:textId="3D1F94D4" w:rsidR="008175A2" w:rsidRPr="00561208" w:rsidRDefault="008175A2" w:rsidP="00561208">
            <w:pPr>
              <w:spacing w:after="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b/>
                <w:bCs/>
                <w:color w:val="000000"/>
                <w:sz w:val="18"/>
                <w:szCs w:val="14"/>
              </w:rPr>
              <w:t>16,033</w:t>
            </w:r>
          </w:p>
        </w:tc>
        <w:tc>
          <w:tcPr>
            <w:tcW w:w="0" w:type="auto"/>
            <w:vAlign w:val="bottom"/>
          </w:tcPr>
          <w:p w14:paraId="2CADA054" w14:textId="77777777" w:rsidR="008175A2" w:rsidRPr="00561208" w:rsidRDefault="008175A2" w:rsidP="00561208">
            <w:pPr>
              <w:spacing w:after="0"/>
              <w:ind w:left="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4"/>
              </w:rPr>
            </w:pPr>
            <w:r w:rsidRPr="00561208">
              <w:rPr>
                <w:rFonts w:asciiTheme="majorHAnsi" w:hAnsiTheme="majorHAnsi" w:cstheme="majorHAnsi"/>
                <w:b/>
                <w:bCs/>
                <w:color w:val="000000"/>
                <w:sz w:val="18"/>
                <w:szCs w:val="14"/>
              </w:rPr>
              <w:t>100%</w:t>
            </w:r>
          </w:p>
        </w:tc>
      </w:tr>
    </w:tbl>
    <w:p w14:paraId="5D792415" w14:textId="77777777" w:rsidR="008175A2" w:rsidRPr="00C427A2" w:rsidRDefault="008175A2" w:rsidP="008175A2">
      <w:pPr>
        <w:rPr>
          <w:sz w:val="16"/>
          <w:szCs w:val="16"/>
        </w:rPr>
      </w:pPr>
    </w:p>
    <w:p w14:paraId="1439BBCA" w14:textId="77777777" w:rsidR="008175A2" w:rsidRPr="008175A2" w:rsidRDefault="008175A2" w:rsidP="00C32594">
      <w:pPr>
        <w:pStyle w:val="Heading5"/>
        <w:spacing w:before="0"/>
      </w:pPr>
      <w:bookmarkStart w:id="89" w:name="_Toc83193297"/>
      <w:r>
        <w:t>Other characteristics</w:t>
      </w:r>
      <w:bookmarkEnd w:id="89"/>
    </w:p>
    <w:p w14:paraId="05E5E8E9" w14:textId="77777777" w:rsidR="00CE75FA" w:rsidRPr="00DF2F62" w:rsidRDefault="00CE75FA" w:rsidP="00CE75FA">
      <w:pPr>
        <w:pStyle w:val="Caption"/>
        <w:keepNext/>
        <w:rPr>
          <w:caps w:val="0"/>
        </w:rPr>
      </w:pPr>
      <w:bookmarkStart w:id="90" w:name="_Toc79490515"/>
      <w:bookmarkStart w:id="91" w:name="_Toc79493366"/>
      <w:r w:rsidRPr="00DF2F62">
        <w:rPr>
          <w:caps w:val="0"/>
        </w:rPr>
        <w:t xml:space="preserve">Figure </w:t>
      </w:r>
      <w:r w:rsidR="006546B5" w:rsidRPr="00DF2F62">
        <w:rPr>
          <w:caps w:val="0"/>
        </w:rPr>
        <w:fldChar w:fldCharType="begin"/>
      </w:r>
      <w:r w:rsidR="006546B5" w:rsidRPr="00DF2F62">
        <w:rPr>
          <w:caps w:val="0"/>
        </w:rPr>
        <w:instrText xml:space="preserve"> SEQ Figure \* ARABIC </w:instrText>
      </w:r>
      <w:r w:rsidR="006546B5" w:rsidRPr="00DF2F62">
        <w:rPr>
          <w:caps w:val="0"/>
        </w:rPr>
        <w:fldChar w:fldCharType="separate"/>
      </w:r>
      <w:r w:rsidR="00B72D81">
        <w:rPr>
          <w:caps w:val="0"/>
          <w:noProof/>
        </w:rPr>
        <w:t>8</w:t>
      </w:r>
      <w:r w:rsidR="006546B5" w:rsidRPr="00DF2F62">
        <w:rPr>
          <w:caps w:val="0"/>
          <w:noProof/>
        </w:rPr>
        <w:fldChar w:fldCharType="end"/>
      </w:r>
      <w:r w:rsidRPr="00DF2F62">
        <w:rPr>
          <w:caps w:val="0"/>
        </w:rPr>
        <w:t xml:space="preserve">: Participants </w:t>
      </w:r>
      <w:r w:rsidR="00AF7955" w:rsidRPr="00DF2F62">
        <w:rPr>
          <w:caps w:val="0"/>
        </w:rPr>
        <w:t xml:space="preserve">with SDA </w:t>
      </w:r>
      <w:r w:rsidR="00685363" w:rsidRPr="00DF2F62">
        <w:rPr>
          <w:caps w:val="0"/>
        </w:rPr>
        <w:t>who identify with a</w:t>
      </w:r>
      <w:r w:rsidRPr="00DF2F62">
        <w:rPr>
          <w:caps w:val="0"/>
        </w:rPr>
        <w:t xml:space="preserve"> gender</w:t>
      </w:r>
      <w:bookmarkEnd w:id="90"/>
      <w:bookmarkEnd w:id="91"/>
      <w:r w:rsidR="00DA49C3">
        <w:rPr>
          <w:caps w:val="0"/>
        </w:rPr>
        <w:t xml:space="preserve"> </w:t>
      </w:r>
      <w:r w:rsidR="00DA49C3" w:rsidRPr="00B72D81">
        <w:rPr>
          <w:caps w:val="0"/>
        </w:rPr>
        <w:t>at Q4 FY20-21</w:t>
      </w:r>
    </w:p>
    <w:p w14:paraId="6024F2C8" w14:textId="77777777" w:rsidR="00CE75FA" w:rsidRDefault="001E36D1" w:rsidP="00CE75FA">
      <w:r w:rsidRPr="00B65DA4">
        <w:rPr>
          <w:noProof/>
          <w:sz w:val="28"/>
          <w:lang w:eastAsia="en-AU"/>
        </w:rPr>
        <w:drawing>
          <wp:inline distT="0" distB="0" distL="0" distR="0" wp14:anchorId="409A2A34" wp14:editId="116B6A98">
            <wp:extent cx="2880000" cy="1530000"/>
            <wp:effectExtent l="0" t="0" r="15875" b="13335"/>
            <wp:docPr id="23" name="Chart 23" descr="This pie chart displays information of the population of participantrs with SDA who identify with a gender as in Q4 FY20-21. &#10;&#10;59% of participants with SDA (9,389) identify as male, 40% (6,465) identify as female and 1% (179) identify as other." title="Figure 8: Participants with SDA who identify with a gender at Q4 FY20-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482CF15" w14:textId="77777777" w:rsidR="00DA49C3" w:rsidRDefault="00CE75FA" w:rsidP="00AF7955">
      <w:pPr>
        <w:pStyle w:val="Caption"/>
        <w:keepNext/>
        <w:rPr>
          <w:caps w:val="0"/>
        </w:rPr>
      </w:pPr>
      <w:bookmarkStart w:id="92" w:name="_Toc79490516"/>
      <w:bookmarkStart w:id="93" w:name="_Toc79493367"/>
      <w:r w:rsidRPr="00DF2F62">
        <w:rPr>
          <w:caps w:val="0"/>
        </w:rPr>
        <w:lastRenderedPageBreak/>
        <w:t xml:space="preserve">Figure </w:t>
      </w:r>
      <w:r w:rsidR="006546B5" w:rsidRPr="00DF2F62">
        <w:rPr>
          <w:caps w:val="0"/>
        </w:rPr>
        <w:fldChar w:fldCharType="begin"/>
      </w:r>
      <w:r w:rsidR="006546B5" w:rsidRPr="00DF2F62">
        <w:rPr>
          <w:caps w:val="0"/>
        </w:rPr>
        <w:instrText xml:space="preserve"> SEQ Figure \* ARABIC </w:instrText>
      </w:r>
      <w:r w:rsidR="006546B5" w:rsidRPr="00DF2F62">
        <w:rPr>
          <w:caps w:val="0"/>
        </w:rPr>
        <w:fldChar w:fldCharType="separate"/>
      </w:r>
      <w:r w:rsidR="00B72D81">
        <w:rPr>
          <w:caps w:val="0"/>
          <w:noProof/>
        </w:rPr>
        <w:t>9</w:t>
      </w:r>
      <w:r w:rsidR="006546B5" w:rsidRPr="00DF2F62">
        <w:rPr>
          <w:caps w:val="0"/>
          <w:noProof/>
        </w:rPr>
        <w:fldChar w:fldCharType="end"/>
      </w:r>
      <w:r w:rsidRPr="00DF2F62">
        <w:rPr>
          <w:caps w:val="0"/>
        </w:rPr>
        <w:t>: Participants who identify as indigenou</w:t>
      </w:r>
      <w:bookmarkStart w:id="94" w:name="_Toc79490517"/>
      <w:bookmarkStart w:id="95" w:name="_Toc79493368"/>
      <w:bookmarkEnd w:id="92"/>
      <w:bookmarkEnd w:id="93"/>
      <w:r w:rsidR="00684039">
        <w:rPr>
          <w:caps w:val="0"/>
        </w:rPr>
        <w:t>s</w:t>
      </w:r>
      <w:r w:rsidR="00DA49C3">
        <w:rPr>
          <w:caps w:val="0"/>
        </w:rPr>
        <w:t xml:space="preserve"> </w:t>
      </w:r>
      <w:r w:rsidR="00DA49C3" w:rsidRPr="00B72D81">
        <w:rPr>
          <w:caps w:val="0"/>
        </w:rPr>
        <w:t>at Q4 FY20-21</w:t>
      </w:r>
    </w:p>
    <w:p w14:paraId="294F05BD" w14:textId="77777777" w:rsidR="00DA49C3" w:rsidRDefault="00DA49C3" w:rsidP="00AF7955">
      <w:pPr>
        <w:pStyle w:val="Caption"/>
        <w:keepNext/>
        <w:rPr>
          <w:caps w:val="0"/>
        </w:rPr>
      </w:pPr>
      <w:r w:rsidRPr="00DF2F62">
        <w:rPr>
          <w:caps w:val="0"/>
          <w:noProof/>
          <w:lang w:eastAsia="en-AU"/>
        </w:rPr>
        <w:drawing>
          <wp:inline distT="0" distB="0" distL="0" distR="0" wp14:anchorId="5FB78081" wp14:editId="1DC9BB98">
            <wp:extent cx="2880000" cy="1530000"/>
            <wp:effectExtent l="0" t="0" r="15875" b="13335"/>
            <wp:docPr id="1" name="Chart 1" descr="This pie chart displays the proportion of SDA population who identify as Indigenous as in Q4 FY20-21.&#10;&#10;4% (571) participants with SDA identify as Indigenous, whereas 74% (11,924) do not . 22% (3,538) of the SDA population have not stated a status." title="Figure 9: Participants with SDA who Identify as Indigenous at Q4 FY20-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79BE479" w14:textId="77777777" w:rsidR="00CE75FA" w:rsidRPr="00DF2F62" w:rsidRDefault="00AF7955" w:rsidP="00AF7955">
      <w:pPr>
        <w:pStyle w:val="Caption"/>
        <w:keepNext/>
        <w:rPr>
          <w:caps w:val="0"/>
        </w:rPr>
      </w:pPr>
      <w:r w:rsidRPr="00DF2F62">
        <w:rPr>
          <w:caps w:val="0"/>
        </w:rPr>
        <w:t xml:space="preserve">Figure </w:t>
      </w:r>
      <w:r w:rsidR="006546B5" w:rsidRPr="00DF2F62">
        <w:rPr>
          <w:caps w:val="0"/>
        </w:rPr>
        <w:fldChar w:fldCharType="begin"/>
      </w:r>
      <w:r w:rsidR="006546B5" w:rsidRPr="00DF2F62">
        <w:rPr>
          <w:caps w:val="0"/>
        </w:rPr>
        <w:instrText xml:space="preserve"> SEQ Figure \* ARABIC </w:instrText>
      </w:r>
      <w:r w:rsidR="006546B5" w:rsidRPr="00DF2F62">
        <w:rPr>
          <w:caps w:val="0"/>
        </w:rPr>
        <w:fldChar w:fldCharType="separate"/>
      </w:r>
      <w:r w:rsidR="00B72D81">
        <w:rPr>
          <w:caps w:val="0"/>
          <w:noProof/>
        </w:rPr>
        <w:t>10</w:t>
      </w:r>
      <w:r w:rsidR="006546B5" w:rsidRPr="00DF2F62">
        <w:rPr>
          <w:caps w:val="0"/>
          <w:noProof/>
        </w:rPr>
        <w:fldChar w:fldCharType="end"/>
      </w:r>
      <w:r w:rsidRPr="00DF2F62">
        <w:rPr>
          <w:caps w:val="0"/>
        </w:rPr>
        <w:t>: Participants by CALD status</w:t>
      </w:r>
      <w:bookmarkEnd w:id="94"/>
      <w:bookmarkEnd w:id="95"/>
      <w:r w:rsidR="00DA49C3">
        <w:rPr>
          <w:caps w:val="0"/>
        </w:rPr>
        <w:t xml:space="preserve"> </w:t>
      </w:r>
      <w:r w:rsidR="00DA49C3" w:rsidRPr="00B72D81">
        <w:rPr>
          <w:caps w:val="0"/>
        </w:rPr>
        <w:t>at Q4 FY20-21</w:t>
      </w:r>
    </w:p>
    <w:p w14:paraId="1298D45F" w14:textId="77777777" w:rsidR="006515CD" w:rsidRDefault="001E36D1" w:rsidP="006515CD">
      <w:r w:rsidRPr="00DF2F62">
        <w:rPr>
          <w:caps/>
          <w:noProof/>
          <w:lang w:eastAsia="en-AU"/>
        </w:rPr>
        <w:drawing>
          <wp:inline distT="0" distB="0" distL="0" distR="0" wp14:anchorId="5F2E6AD1" wp14:editId="12C4C166">
            <wp:extent cx="2880000" cy="1530000"/>
            <wp:effectExtent l="0" t="0" r="15875" b="13335"/>
            <wp:docPr id="22" name="Chart 22" descr="This pie chart displays the proportion of SDA population by their CALD status as in Q4 FY20-21.&#10;&#10;4% of participants with SDA (709) identify as CALD, whereas 95% (15,220) do not. 1% (104) have not stated an answer." title="Figure 10: Participants with SDA who identify as Culturally and Linguistically Diverse (CALD) at Q4 FY20-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C17EEE5" w14:textId="77777777" w:rsidR="00F312B5" w:rsidRPr="00DF2F62" w:rsidRDefault="00F312B5" w:rsidP="006515CD"/>
    <w:p w14:paraId="0D348B61" w14:textId="08740CAF" w:rsidR="00CF4BD2" w:rsidRDefault="00CF4BD2" w:rsidP="00CF4BD2">
      <w:pPr>
        <w:rPr>
          <w:b/>
        </w:rPr>
      </w:pPr>
      <w:r w:rsidRPr="00DF2F62">
        <w:rPr>
          <w:b/>
        </w:rPr>
        <w:t xml:space="preserve">NDIA </w:t>
      </w:r>
      <w:r w:rsidR="00227990">
        <w:rPr>
          <w:b/>
        </w:rPr>
        <w:t>observations</w:t>
      </w:r>
    </w:p>
    <w:p w14:paraId="5E8459C0" w14:textId="77777777" w:rsidR="00CF4BD2" w:rsidRPr="00DF2F62" w:rsidRDefault="001701DA" w:rsidP="00CF4BD2">
      <w:r>
        <w:t>P</w:t>
      </w:r>
      <w:r w:rsidR="00CF4BD2" w:rsidRPr="00DF2F62">
        <w:t xml:space="preserve">articipants who identify as male </w:t>
      </w:r>
      <w:r>
        <w:t xml:space="preserve">account for </w:t>
      </w:r>
      <w:r w:rsidR="00CF4BD2" w:rsidRPr="00DF2F62">
        <w:t>59% of the SDA population</w:t>
      </w:r>
      <w:r w:rsidR="00CA7F9D">
        <w:t>, which</w:t>
      </w:r>
      <w:r w:rsidR="00F20F20">
        <w:t xml:space="preserve"> is a slightly smaller proportion than for all </w:t>
      </w:r>
      <w:r w:rsidR="00CA7F9D">
        <w:t xml:space="preserve">NDIS participants (62%). For participants with SDA, this </w:t>
      </w:r>
      <w:r w:rsidR="00F20F20">
        <w:t xml:space="preserve">is still </w:t>
      </w:r>
      <w:r w:rsidR="00CA7F9D">
        <w:t xml:space="preserve">almost 1.5 participants who identify as male for every </w:t>
      </w:r>
      <w:r w:rsidR="00F20F20">
        <w:t xml:space="preserve">participant </w:t>
      </w:r>
      <w:r w:rsidR="00F20F20" w:rsidRPr="00DF2F62">
        <w:t>who identif</w:t>
      </w:r>
      <w:r w:rsidR="00F20F20">
        <w:t>ies</w:t>
      </w:r>
      <w:r w:rsidR="00F20F20" w:rsidRPr="00DF2F62">
        <w:t xml:space="preserve"> </w:t>
      </w:r>
      <w:r w:rsidR="00CF4BD2" w:rsidRPr="00DF2F62">
        <w:t xml:space="preserve">as female (9,389 compared to 6,465). </w:t>
      </w:r>
    </w:p>
    <w:p w14:paraId="16741629" w14:textId="77777777" w:rsidR="008175A2" w:rsidRDefault="008175A2" w:rsidP="00CF4BD2">
      <w:r>
        <w:t xml:space="preserve">There </w:t>
      </w:r>
      <w:r w:rsidR="00F20F20">
        <w:t xml:space="preserve">are </w:t>
      </w:r>
      <w:r w:rsidR="00CF4BD2" w:rsidRPr="00DF2F62">
        <w:t>relatively small number</w:t>
      </w:r>
      <w:r w:rsidR="00F20F20">
        <w:t>s</w:t>
      </w:r>
      <w:r w:rsidR="00CF4BD2" w:rsidRPr="00DF2F62">
        <w:t xml:space="preserve"> of participants with SDA who identify as </w:t>
      </w:r>
      <w:proofErr w:type="gramStart"/>
      <w:r w:rsidR="00CF4BD2" w:rsidRPr="00DF2F62">
        <w:t>Culturally</w:t>
      </w:r>
      <w:proofErr w:type="gramEnd"/>
      <w:r w:rsidR="00CF4BD2" w:rsidRPr="00DF2F62">
        <w:t xml:space="preserve"> and Linguistically Diverse (CALD) (4%) or Indigenous (4%</w:t>
      </w:r>
      <w:r w:rsidR="00CA7F9D">
        <w:t xml:space="preserve">). </w:t>
      </w:r>
      <w:r w:rsidR="00F20F20">
        <w:t>(N</w:t>
      </w:r>
      <w:r w:rsidR="00CF4BD2" w:rsidRPr="00DF2F62">
        <w:t>oting 22%</w:t>
      </w:r>
      <w:r w:rsidR="00CF4BD2">
        <w:t xml:space="preserve"> </w:t>
      </w:r>
      <w:r w:rsidR="00CF4BD2" w:rsidRPr="00B72D81">
        <w:t>of participants</w:t>
      </w:r>
      <w:r w:rsidR="00CF4BD2" w:rsidRPr="00DF2F62">
        <w:t xml:space="preserve"> </w:t>
      </w:r>
      <w:r w:rsidR="00CF4BD2">
        <w:t xml:space="preserve">with SDA </w:t>
      </w:r>
      <w:r w:rsidR="00CF4BD2" w:rsidRPr="00DF2F62">
        <w:t>were “not stated”</w:t>
      </w:r>
      <w:r w:rsidR="00CA7F9D">
        <w:t xml:space="preserve"> for Indigenous status</w:t>
      </w:r>
      <w:r w:rsidR="00CF4BD2" w:rsidRPr="00DF2F62">
        <w:t>).</w:t>
      </w:r>
      <w:r w:rsidR="00603054">
        <w:t xml:space="preserve"> </w:t>
      </w:r>
    </w:p>
    <w:p w14:paraId="7E82DC96" w14:textId="06E9BEC8" w:rsidR="00B11287" w:rsidRDefault="00F20F20" w:rsidP="00CE75FA">
      <w:r>
        <w:t>These are</w:t>
      </w:r>
      <w:r w:rsidR="008175A2">
        <w:t xml:space="preserve"> smaller proportion</w:t>
      </w:r>
      <w:r>
        <w:t>s</w:t>
      </w:r>
      <w:r w:rsidR="008175A2">
        <w:t xml:space="preserve"> </w:t>
      </w:r>
      <w:r>
        <w:t xml:space="preserve">than for all Scheme </w:t>
      </w:r>
      <w:r w:rsidR="00603054">
        <w:t xml:space="preserve">participants in Q4 FY20-21, </w:t>
      </w:r>
      <w:r w:rsidR="008175A2">
        <w:t xml:space="preserve">where </w:t>
      </w:r>
      <w:r w:rsidR="00603054">
        <w:t xml:space="preserve">6.9% </w:t>
      </w:r>
      <w:r w:rsidR="008175A2">
        <w:t>of participants identified</w:t>
      </w:r>
      <w:r w:rsidR="00603054">
        <w:t xml:space="preserve"> as Aboriginal or Torres </w:t>
      </w:r>
      <w:r w:rsidR="00CA7F9D">
        <w:t>Strait</w:t>
      </w:r>
      <w:r w:rsidR="00603054">
        <w:t xml:space="preserve"> Islander (32,396) and 9.5% of active participants </w:t>
      </w:r>
      <w:r>
        <w:t xml:space="preserve">identified </w:t>
      </w:r>
      <w:r w:rsidR="008175A2">
        <w:t>as CALD (44,113)</w:t>
      </w:r>
      <w:r w:rsidR="008175A2" w:rsidRPr="008175A2">
        <w:t>.</w:t>
      </w:r>
    </w:p>
    <w:sectPr w:rsidR="00B11287" w:rsidSect="00180D51">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D223C" w14:textId="77777777" w:rsidR="00C97703" w:rsidRDefault="00C97703" w:rsidP="007219F1">
      <w:pPr>
        <w:spacing w:after="0" w:line="240" w:lineRule="auto"/>
      </w:pPr>
      <w:r>
        <w:separator/>
      </w:r>
    </w:p>
    <w:p w14:paraId="2BA75AB3" w14:textId="77777777" w:rsidR="00C97703" w:rsidRDefault="00C97703"/>
    <w:p w14:paraId="4E4F4517" w14:textId="77777777" w:rsidR="00C97703" w:rsidRDefault="00C97703"/>
    <w:p w14:paraId="521A68CF" w14:textId="77777777" w:rsidR="00C97703" w:rsidRDefault="00C97703"/>
    <w:p w14:paraId="5A33A4CA" w14:textId="77777777" w:rsidR="00C97703" w:rsidRDefault="00C97703"/>
    <w:p w14:paraId="0A45C030" w14:textId="77777777" w:rsidR="00C97703" w:rsidRDefault="00C97703"/>
  </w:endnote>
  <w:endnote w:type="continuationSeparator" w:id="0">
    <w:p w14:paraId="35FBE8B7" w14:textId="77777777" w:rsidR="00C97703" w:rsidRDefault="00C97703" w:rsidP="007219F1">
      <w:pPr>
        <w:spacing w:after="0" w:line="240" w:lineRule="auto"/>
      </w:pPr>
      <w:r>
        <w:continuationSeparator/>
      </w:r>
    </w:p>
    <w:p w14:paraId="1C1B76CB" w14:textId="77777777" w:rsidR="00C97703" w:rsidRDefault="00C97703"/>
    <w:p w14:paraId="64A91A11" w14:textId="77777777" w:rsidR="00C97703" w:rsidRDefault="00C97703"/>
    <w:p w14:paraId="4659F397" w14:textId="77777777" w:rsidR="00C97703" w:rsidRDefault="00C97703"/>
    <w:p w14:paraId="03E2B389" w14:textId="77777777" w:rsidR="00C97703" w:rsidRDefault="00C97703"/>
    <w:p w14:paraId="2B0E53C8" w14:textId="77777777" w:rsidR="00C97703" w:rsidRDefault="00C97703"/>
  </w:endnote>
  <w:endnote w:type="continuationNotice" w:id="1">
    <w:p w14:paraId="1F4CDDC2" w14:textId="77777777" w:rsidR="00C97703" w:rsidRDefault="00C977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variable"/>
    <w:sig w:usb0="800000AF"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DFF7D" w14:textId="77777777" w:rsidR="00C97703" w:rsidRDefault="00C97703">
    <w:pPr>
      <w:pStyle w:val="Footer"/>
    </w:pPr>
  </w:p>
  <w:p w14:paraId="6E6F339A" w14:textId="77777777" w:rsidR="00C97703" w:rsidRDefault="00C97703"/>
  <w:p w14:paraId="3B1B88F1" w14:textId="77777777" w:rsidR="00C97703" w:rsidRDefault="00C9770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FE847" w14:textId="7B6D0FAA" w:rsidR="00C97703" w:rsidRDefault="00C97703" w:rsidP="00950F57">
    <w:pPr>
      <w:pStyle w:val="Footer"/>
      <w:spacing w:after="480"/>
      <w:rPr>
        <w:sz w:val="22"/>
        <w:szCs w:val="22"/>
      </w:rPr>
    </w:pPr>
    <w:proofErr w:type="gramStart"/>
    <w:r w:rsidRPr="00FA334F">
      <w:rPr>
        <w:b/>
        <w:bCs/>
        <w:sz w:val="22"/>
        <w:szCs w:val="22"/>
      </w:rPr>
      <w:t>ndis.gov.au</w:t>
    </w:r>
    <w:proofErr w:type="gramEnd"/>
    <w:r w:rsidR="00945E94">
      <w:rPr>
        <w:sz w:val="22"/>
        <w:szCs w:val="22"/>
      </w:rPr>
      <w:tab/>
      <w:t>27</w:t>
    </w:r>
    <w:r w:rsidRPr="00C97703">
      <w:rPr>
        <w:sz w:val="22"/>
        <w:szCs w:val="22"/>
      </w:rPr>
      <w:t xml:space="preserve"> September 2021 | SDA 2020-21 Q4 report</w:t>
    </w:r>
    <w:r w:rsidRPr="00C97703">
      <w:rPr>
        <w:sz w:val="22"/>
        <w:szCs w:val="22"/>
      </w:rPr>
      <w:tab/>
    </w:r>
    <w:sdt>
      <w:sdtPr>
        <w:rPr>
          <w:sz w:val="22"/>
          <w:szCs w:val="22"/>
        </w:rPr>
        <w:id w:val="-619613177"/>
        <w:docPartObj>
          <w:docPartGallery w:val="Page Numbers (Bottom of Page)"/>
          <w:docPartUnique/>
        </w:docPartObj>
      </w:sdtPr>
      <w:sdtEndPr/>
      <w:sdtContent>
        <w:r w:rsidRPr="00FA334F">
          <w:rPr>
            <w:sz w:val="22"/>
            <w:szCs w:val="22"/>
          </w:rPr>
          <w:fldChar w:fldCharType="begin"/>
        </w:r>
        <w:r w:rsidRPr="00FA334F">
          <w:rPr>
            <w:sz w:val="22"/>
            <w:szCs w:val="22"/>
          </w:rPr>
          <w:instrText xml:space="preserve"> PAGE   \* MERGEFORMAT </w:instrText>
        </w:r>
        <w:r w:rsidRPr="00FA334F">
          <w:rPr>
            <w:sz w:val="22"/>
            <w:szCs w:val="22"/>
          </w:rPr>
          <w:fldChar w:fldCharType="separate"/>
        </w:r>
        <w:r w:rsidR="00945E94">
          <w:rPr>
            <w:noProof/>
            <w:sz w:val="22"/>
            <w:szCs w:val="22"/>
          </w:rPr>
          <w:t>3</w:t>
        </w:r>
        <w:r w:rsidRPr="00FA334F">
          <w:rPr>
            <w:sz w:val="22"/>
            <w:szCs w:val="22"/>
          </w:rPr>
          <w:fldChar w:fldCharType="end"/>
        </w:r>
      </w:sdtContent>
    </w:sdt>
  </w:p>
  <w:p w14:paraId="15CED213" w14:textId="1C9F4A2D" w:rsidR="00C97703" w:rsidRPr="00AB4CC5" w:rsidRDefault="00C97703" w:rsidP="00AB4CC5">
    <w:pPr>
      <w:jc w:val="center"/>
      <w:rPr>
        <w:b/>
        <w:color w:val="FF0000"/>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CD19D" w14:textId="77777777" w:rsidR="00C97703" w:rsidRPr="00AB4CC5" w:rsidRDefault="00C97703" w:rsidP="00AB4CC5">
    <w:pPr>
      <w:jc w:val="center"/>
      <w:rPr>
        <w:b/>
        <w:color w:val="FF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7A876" w14:textId="77777777" w:rsidR="00C97703" w:rsidRDefault="00C97703" w:rsidP="007219F1">
      <w:pPr>
        <w:spacing w:after="0" w:line="240" w:lineRule="auto"/>
      </w:pPr>
      <w:r>
        <w:separator/>
      </w:r>
    </w:p>
    <w:p w14:paraId="72568F48" w14:textId="77777777" w:rsidR="00C97703" w:rsidRDefault="00C97703"/>
    <w:p w14:paraId="7DC3A3E1" w14:textId="77777777" w:rsidR="00C97703" w:rsidRDefault="00C97703"/>
    <w:p w14:paraId="5572F023" w14:textId="77777777" w:rsidR="00C97703" w:rsidRDefault="00C97703"/>
    <w:p w14:paraId="3573633B" w14:textId="77777777" w:rsidR="00C97703" w:rsidRDefault="00C97703"/>
    <w:p w14:paraId="26B29338" w14:textId="77777777" w:rsidR="00C97703" w:rsidRDefault="00C97703"/>
  </w:footnote>
  <w:footnote w:type="continuationSeparator" w:id="0">
    <w:p w14:paraId="7D461E8E" w14:textId="77777777" w:rsidR="00C97703" w:rsidRDefault="00C97703" w:rsidP="007219F1">
      <w:pPr>
        <w:spacing w:after="0" w:line="240" w:lineRule="auto"/>
      </w:pPr>
      <w:r>
        <w:continuationSeparator/>
      </w:r>
    </w:p>
    <w:p w14:paraId="060F2BFE" w14:textId="77777777" w:rsidR="00C97703" w:rsidRDefault="00C97703"/>
    <w:p w14:paraId="0F17733D" w14:textId="77777777" w:rsidR="00C97703" w:rsidRDefault="00C97703"/>
    <w:p w14:paraId="11AC94F9" w14:textId="77777777" w:rsidR="00C97703" w:rsidRDefault="00C97703"/>
    <w:p w14:paraId="24DBD592" w14:textId="77777777" w:rsidR="00C97703" w:rsidRDefault="00C97703"/>
    <w:p w14:paraId="209D15F6" w14:textId="77777777" w:rsidR="00C97703" w:rsidRDefault="00C97703"/>
  </w:footnote>
  <w:footnote w:type="continuationNotice" w:id="1">
    <w:p w14:paraId="18E8E02D" w14:textId="77777777" w:rsidR="00C97703" w:rsidRDefault="00C977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937EE" w14:textId="77777777" w:rsidR="00C97703" w:rsidRDefault="00C97703">
    <w:pPr>
      <w:pStyle w:val="Header"/>
    </w:pPr>
  </w:p>
  <w:p w14:paraId="767389B6" w14:textId="77777777" w:rsidR="00C97703" w:rsidRDefault="00C97703"/>
  <w:p w14:paraId="49770CAB" w14:textId="77777777" w:rsidR="00C97703" w:rsidRDefault="00C9770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C4C29" w14:textId="6FCDF25B" w:rsidR="00C97703" w:rsidRPr="00AB4CC5" w:rsidRDefault="00C97703" w:rsidP="00AB4CC5">
    <w:pPr>
      <w:jc w:val="center"/>
      <w:rPr>
        <w:b/>
        <w:color w:val="FF0000"/>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FDCCA" w14:textId="019B9D65" w:rsidR="00C97703" w:rsidRPr="00AB4CC5" w:rsidRDefault="00C97703" w:rsidP="00AB4CC5">
    <w:pPr>
      <w:jc w:val="center"/>
      <w:rPr>
        <w:b/>
        <w:color w:val="FF0000"/>
        <w:sz w:val="24"/>
      </w:rPr>
    </w:pPr>
    <w:r w:rsidRPr="003D7AA6">
      <w:rPr>
        <w:noProof/>
        <w:lang w:eastAsia="en-AU"/>
      </w:rPr>
      <w:drawing>
        <wp:anchor distT="0" distB="0" distL="114300" distR="114300" simplePos="0" relativeHeight="251657216" behindDoc="1" locked="0" layoutInCell="1" allowOverlap="1" wp14:anchorId="4962A3C7" wp14:editId="1585A313">
          <wp:simplePos x="0" y="0"/>
          <wp:positionH relativeFrom="column">
            <wp:posOffset>-900546</wp:posOffset>
          </wp:positionH>
          <wp:positionV relativeFrom="paragraph">
            <wp:posOffset>-443980</wp:posOffset>
          </wp:positionV>
          <wp:extent cx="7124700" cy="9840075"/>
          <wp:effectExtent l="0" t="0" r="0" b="8890"/>
          <wp:wrapNone/>
          <wp:docPr id="3" name="Picture 3" title="Purple background">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 Report cover curve.png"/>
                  <pic:cNvPicPr/>
                </pic:nvPicPr>
                <pic:blipFill>
                  <a:blip r:embed="rId1">
                    <a:extLst>
                      <a:ext uri="{28A0092B-C50C-407E-A947-70E740481C1C}">
                        <a14:useLocalDpi xmlns:a14="http://schemas.microsoft.com/office/drawing/2010/main" val="0"/>
                      </a:ext>
                    </a:extLst>
                  </a:blip>
                  <a:stretch>
                    <a:fillRect/>
                  </a:stretch>
                </pic:blipFill>
                <pic:spPr>
                  <a:xfrm>
                    <a:off x="0" y="0"/>
                    <a:ext cx="7124700" cy="9840075"/>
                  </a:xfrm>
                  <a:prstGeom prst="rect">
                    <a:avLst/>
                  </a:prstGeom>
                </pic:spPr>
              </pic:pic>
            </a:graphicData>
          </a:graphic>
          <wp14:sizeRelH relativeFrom="page">
            <wp14:pctWidth>0</wp14:pctWidth>
          </wp14:sizeRelH>
          <wp14:sizeRelV relativeFrom="page">
            <wp14:pctHeight>0</wp14:pctHeight>
          </wp14:sizeRelV>
        </wp:anchor>
      </w:drawing>
    </w:r>
  </w:p>
  <w:p w14:paraId="5BE61350" w14:textId="77777777" w:rsidR="00C97703" w:rsidRDefault="00C977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NDIS logo" style="width:76.8pt;height:39.6pt;visibility:visible;mso-wrap-style:square" o:bullet="t">
        <v:imagedata r:id="rId1" o:title="NDIS logo"/>
      </v:shape>
    </w:pict>
  </w:numPicBullet>
  <w:abstractNum w:abstractNumId="0" w15:restartNumberingAfterBreak="0">
    <w:nsid w:val="12A74D3B"/>
    <w:multiLevelType w:val="hybridMultilevel"/>
    <w:tmpl w:val="B2145E44"/>
    <w:lvl w:ilvl="0" w:tplc="C3A4F9D8">
      <w:start w:val="1"/>
      <w:numFmt w:val="lowerRoman"/>
      <w:lvlText w:val="%1."/>
      <w:lvlJc w:val="left"/>
      <w:pPr>
        <w:ind w:left="720" w:hanging="360"/>
      </w:pPr>
      <w:rPr>
        <w:rFonts w:ascii="Arial" w:eastAsiaTheme="minorEastAsia"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C1578"/>
    <w:multiLevelType w:val="hybridMultilevel"/>
    <w:tmpl w:val="5D0E7DC2"/>
    <w:lvl w:ilvl="0" w:tplc="0C09001B">
      <w:start w:val="1"/>
      <w:numFmt w:val="lowerRoman"/>
      <w:lvlText w:val="%1."/>
      <w:lvlJc w:val="right"/>
      <w:pPr>
        <w:ind w:left="720" w:hanging="360"/>
      </w:pPr>
      <w:rPr>
        <w:rFonts w:hint="default"/>
        <w:color w:val="6A28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1D7B63"/>
    <w:multiLevelType w:val="hybridMultilevel"/>
    <w:tmpl w:val="3D4A9A98"/>
    <w:lvl w:ilvl="0" w:tplc="532AF2B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75F1867"/>
    <w:multiLevelType w:val="hybridMultilevel"/>
    <w:tmpl w:val="B98CC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FA42B2"/>
    <w:multiLevelType w:val="hybridMultilevel"/>
    <w:tmpl w:val="ECCCE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E1533A"/>
    <w:multiLevelType w:val="hybridMultilevel"/>
    <w:tmpl w:val="2F761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210B2F"/>
    <w:multiLevelType w:val="multilevel"/>
    <w:tmpl w:val="FC2E0792"/>
    <w:lvl w:ilvl="0">
      <w:start w:val="1"/>
      <w:numFmt w:val="decimal"/>
      <w:pStyle w:val="Heading2"/>
      <w:lvlText w:val="%1."/>
      <w:lvlJc w:val="left"/>
      <w:pPr>
        <w:ind w:left="1080" w:hanging="720"/>
      </w:pPr>
      <w:rPr>
        <w:rFonts w:hint="default"/>
        <w:color w:val="6A2875"/>
      </w:rPr>
    </w:lvl>
    <w:lvl w:ilvl="1">
      <w:start w:val="1"/>
      <w:numFmt w:val="decimal"/>
      <w:pStyle w:val="Heading3"/>
      <w:isLgl/>
      <w:lvlText w:val="%1.%2"/>
      <w:lvlJc w:val="left"/>
      <w:pPr>
        <w:ind w:left="1080" w:hanging="720"/>
      </w:pPr>
      <w:rPr>
        <w:rFonts w:hint="default"/>
      </w:rPr>
    </w:lvl>
    <w:lvl w:ilvl="2">
      <w:start w:val="1"/>
      <w:numFmt w:val="decimal"/>
      <w:pStyle w:val="Heading4"/>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40FD7B87"/>
    <w:multiLevelType w:val="hybridMultilevel"/>
    <w:tmpl w:val="94FE7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69047E"/>
    <w:multiLevelType w:val="hybridMultilevel"/>
    <w:tmpl w:val="141A95C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6C0FE2"/>
    <w:multiLevelType w:val="hybridMultilevel"/>
    <w:tmpl w:val="2A58C5A6"/>
    <w:lvl w:ilvl="0" w:tplc="411EB0AC">
      <w:start w:val="1"/>
      <w:numFmt w:val="decimal"/>
      <w:lvlText w:val="%1."/>
      <w:lvlJc w:val="left"/>
      <w:pPr>
        <w:ind w:left="720" w:hanging="360"/>
      </w:pPr>
      <w:rPr>
        <w:rFonts w:hint="default"/>
        <w:color w:val="6A28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A26521"/>
    <w:multiLevelType w:val="hybridMultilevel"/>
    <w:tmpl w:val="C1C06162"/>
    <w:lvl w:ilvl="0" w:tplc="421C8CE6">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6FC63ED0"/>
    <w:multiLevelType w:val="hybridMultilevel"/>
    <w:tmpl w:val="C712B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0B7E01"/>
    <w:multiLevelType w:val="hybridMultilevel"/>
    <w:tmpl w:val="78D06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2"/>
  </w:num>
  <w:num w:numId="4">
    <w:abstractNumId w:val="7"/>
  </w:num>
  <w:num w:numId="5">
    <w:abstractNumId w:val="3"/>
  </w:num>
  <w:num w:numId="6">
    <w:abstractNumId w:val="10"/>
  </w:num>
  <w:num w:numId="7">
    <w:abstractNumId w:val="1"/>
  </w:num>
  <w:num w:numId="8">
    <w:abstractNumId w:val="0"/>
  </w:num>
  <w:num w:numId="9">
    <w:abstractNumId w:val="12"/>
  </w:num>
  <w:num w:numId="10">
    <w:abstractNumId w:val="8"/>
  </w:num>
  <w:num w:numId="11">
    <w:abstractNumId w:val="4"/>
  </w:num>
  <w:num w:numId="12">
    <w:abstractNumId w:val="5"/>
  </w:num>
  <w:num w:numId="13">
    <w:abstractNumId w:val="7"/>
  </w:num>
  <w:num w:numId="14">
    <w:abstractNumId w:val="1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FC6"/>
    <w:rsid w:val="00001445"/>
    <w:rsid w:val="00002B00"/>
    <w:rsid w:val="0000746B"/>
    <w:rsid w:val="0006517D"/>
    <w:rsid w:val="00065411"/>
    <w:rsid w:val="00067EE2"/>
    <w:rsid w:val="00074447"/>
    <w:rsid w:val="00082FD2"/>
    <w:rsid w:val="00083B1A"/>
    <w:rsid w:val="00094EC2"/>
    <w:rsid w:val="000A4E6D"/>
    <w:rsid w:val="000A56AE"/>
    <w:rsid w:val="000A5CCC"/>
    <w:rsid w:val="000B3C54"/>
    <w:rsid w:val="000B3CC4"/>
    <w:rsid w:val="000C429F"/>
    <w:rsid w:val="000C561A"/>
    <w:rsid w:val="000D1B37"/>
    <w:rsid w:val="00113604"/>
    <w:rsid w:val="001204BE"/>
    <w:rsid w:val="00121539"/>
    <w:rsid w:val="00136A8B"/>
    <w:rsid w:val="00137546"/>
    <w:rsid w:val="0014207A"/>
    <w:rsid w:val="001448CA"/>
    <w:rsid w:val="00150DBB"/>
    <w:rsid w:val="001518DF"/>
    <w:rsid w:val="00153900"/>
    <w:rsid w:val="0015622B"/>
    <w:rsid w:val="00160203"/>
    <w:rsid w:val="001646E1"/>
    <w:rsid w:val="001665A1"/>
    <w:rsid w:val="001701DA"/>
    <w:rsid w:val="00180D51"/>
    <w:rsid w:val="00187EA6"/>
    <w:rsid w:val="001A15AB"/>
    <w:rsid w:val="001A565B"/>
    <w:rsid w:val="001C333A"/>
    <w:rsid w:val="001E36D1"/>
    <w:rsid w:val="001E5FC4"/>
    <w:rsid w:val="001E630D"/>
    <w:rsid w:val="001E6FFA"/>
    <w:rsid w:val="001F32F1"/>
    <w:rsid w:val="002006D4"/>
    <w:rsid w:val="00202535"/>
    <w:rsid w:val="002131D4"/>
    <w:rsid w:val="00216801"/>
    <w:rsid w:val="00227990"/>
    <w:rsid w:val="00227B74"/>
    <w:rsid w:val="002321EA"/>
    <w:rsid w:val="0023603F"/>
    <w:rsid w:val="002656F5"/>
    <w:rsid w:val="00280385"/>
    <w:rsid w:val="00286E90"/>
    <w:rsid w:val="00287D39"/>
    <w:rsid w:val="00297F58"/>
    <w:rsid w:val="002A42FC"/>
    <w:rsid w:val="002B33B8"/>
    <w:rsid w:val="002B7506"/>
    <w:rsid w:val="002C0577"/>
    <w:rsid w:val="002D0D74"/>
    <w:rsid w:val="002D3F50"/>
    <w:rsid w:val="002D676F"/>
    <w:rsid w:val="003026B0"/>
    <w:rsid w:val="0030611F"/>
    <w:rsid w:val="00316860"/>
    <w:rsid w:val="003222F5"/>
    <w:rsid w:val="00323BB7"/>
    <w:rsid w:val="00332EBF"/>
    <w:rsid w:val="00335E63"/>
    <w:rsid w:val="00344D2D"/>
    <w:rsid w:val="00346FB3"/>
    <w:rsid w:val="003479E1"/>
    <w:rsid w:val="00351164"/>
    <w:rsid w:val="003622D9"/>
    <w:rsid w:val="00371169"/>
    <w:rsid w:val="00395FE0"/>
    <w:rsid w:val="003977C6"/>
    <w:rsid w:val="003A60EF"/>
    <w:rsid w:val="003B0534"/>
    <w:rsid w:val="003B1156"/>
    <w:rsid w:val="003B2BB8"/>
    <w:rsid w:val="003C1B61"/>
    <w:rsid w:val="003D34FF"/>
    <w:rsid w:val="003D5381"/>
    <w:rsid w:val="003D61B8"/>
    <w:rsid w:val="003D7AA6"/>
    <w:rsid w:val="003E3647"/>
    <w:rsid w:val="0040062A"/>
    <w:rsid w:val="00430CDD"/>
    <w:rsid w:val="00450C40"/>
    <w:rsid w:val="004558D3"/>
    <w:rsid w:val="0045794E"/>
    <w:rsid w:val="004724D6"/>
    <w:rsid w:val="00472827"/>
    <w:rsid w:val="00475A5C"/>
    <w:rsid w:val="0048002C"/>
    <w:rsid w:val="00480E70"/>
    <w:rsid w:val="004861C3"/>
    <w:rsid w:val="00486593"/>
    <w:rsid w:val="004876FD"/>
    <w:rsid w:val="004A712F"/>
    <w:rsid w:val="004B54CA"/>
    <w:rsid w:val="004B7F99"/>
    <w:rsid w:val="004C14FF"/>
    <w:rsid w:val="004C2D9C"/>
    <w:rsid w:val="004C5903"/>
    <w:rsid w:val="004D0500"/>
    <w:rsid w:val="004D32B5"/>
    <w:rsid w:val="004D3998"/>
    <w:rsid w:val="004D7AAB"/>
    <w:rsid w:val="004E461E"/>
    <w:rsid w:val="004E5CBF"/>
    <w:rsid w:val="004F4954"/>
    <w:rsid w:val="004F7727"/>
    <w:rsid w:val="005112D9"/>
    <w:rsid w:val="00515AB6"/>
    <w:rsid w:val="00517D99"/>
    <w:rsid w:val="00521275"/>
    <w:rsid w:val="00536D36"/>
    <w:rsid w:val="005466CD"/>
    <w:rsid w:val="0055492D"/>
    <w:rsid w:val="00561208"/>
    <w:rsid w:val="00567492"/>
    <w:rsid w:val="00572636"/>
    <w:rsid w:val="00576162"/>
    <w:rsid w:val="005811D7"/>
    <w:rsid w:val="0058139C"/>
    <w:rsid w:val="00590706"/>
    <w:rsid w:val="005938B8"/>
    <w:rsid w:val="00593C73"/>
    <w:rsid w:val="005A1743"/>
    <w:rsid w:val="005A6312"/>
    <w:rsid w:val="005B3D4B"/>
    <w:rsid w:val="005C3AA9"/>
    <w:rsid w:val="005C5FC0"/>
    <w:rsid w:val="005D2F61"/>
    <w:rsid w:val="005E0768"/>
    <w:rsid w:val="005E1141"/>
    <w:rsid w:val="005F5619"/>
    <w:rsid w:val="005F5F33"/>
    <w:rsid w:val="005F748B"/>
    <w:rsid w:val="00603054"/>
    <w:rsid w:val="00611D2B"/>
    <w:rsid w:val="00620317"/>
    <w:rsid w:val="00633B98"/>
    <w:rsid w:val="00641D49"/>
    <w:rsid w:val="006426B0"/>
    <w:rsid w:val="00645656"/>
    <w:rsid w:val="006515CD"/>
    <w:rsid w:val="00651E9A"/>
    <w:rsid w:val="006535A4"/>
    <w:rsid w:val="006546B5"/>
    <w:rsid w:val="006603E4"/>
    <w:rsid w:val="00664253"/>
    <w:rsid w:val="006644E6"/>
    <w:rsid w:val="00667BA6"/>
    <w:rsid w:val="00670A54"/>
    <w:rsid w:val="00670E23"/>
    <w:rsid w:val="006717F1"/>
    <w:rsid w:val="006765FF"/>
    <w:rsid w:val="006806E1"/>
    <w:rsid w:val="0068120D"/>
    <w:rsid w:val="00684039"/>
    <w:rsid w:val="00684234"/>
    <w:rsid w:val="00685363"/>
    <w:rsid w:val="006A4CE7"/>
    <w:rsid w:val="006A5E83"/>
    <w:rsid w:val="006A7B95"/>
    <w:rsid w:val="006B46BC"/>
    <w:rsid w:val="006E2DD9"/>
    <w:rsid w:val="0070110B"/>
    <w:rsid w:val="00715085"/>
    <w:rsid w:val="007219F1"/>
    <w:rsid w:val="00731712"/>
    <w:rsid w:val="00733FC6"/>
    <w:rsid w:val="007819A4"/>
    <w:rsid w:val="00784C2F"/>
    <w:rsid w:val="00785261"/>
    <w:rsid w:val="007A0DE0"/>
    <w:rsid w:val="007A0FCA"/>
    <w:rsid w:val="007A5A80"/>
    <w:rsid w:val="007B0256"/>
    <w:rsid w:val="007B0D7F"/>
    <w:rsid w:val="007B1245"/>
    <w:rsid w:val="007D0641"/>
    <w:rsid w:val="007D1A7B"/>
    <w:rsid w:val="007D7FC2"/>
    <w:rsid w:val="007E10B2"/>
    <w:rsid w:val="007E288B"/>
    <w:rsid w:val="007E6F4C"/>
    <w:rsid w:val="007F0700"/>
    <w:rsid w:val="00800E9B"/>
    <w:rsid w:val="00805529"/>
    <w:rsid w:val="008171A6"/>
    <w:rsid w:val="008175A2"/>
    <w:rsid w:val="00830523"/>
    <w:rsid w:val="008402E2"/>
    <w:rsid w:val="00874A69"/>
    <w:rsid w:val="00887867"/>
    <w:rsid w:val="00892262"/>
    <w:rsid w:val="00892DD9"/>
    <w:rsid w:val="008959ED"/>
    <w:rsid w:val="008A4201"/>
    <w:rsid w:val="008A7B39"/>
    <w:rsid w:val="008C1D08"/>
    <w:rsid w:val="008C7021"/>
    <w:rsid w:val="008D028D"/>
    <w:rsid w:val="008D4B76"/>
    <w:rsid w:val="008E25D0"/>
    <w:rsid w:val="00905783"/>
    <w:rsid w:val="00912C64"/>
    <w:rsid w:val="00916C51"/>
    <w:rsid w:val="009225F0"/>
    <w:rsid w:val="00923ED2"/>
    <w:rsid w:val="0094431F"/>
    <w:rsid w:val="009458B4"/>
    <w:rsid w:val="00945E94"/>
    <w:rsid w:val="00947866"/>
    <w:rsid w:val="00950F57"/>
    <w:rsid w:val="009546F7"/>
    <w:rsid w:val="009559DA"/>
    <w:rsid w:val="0097573E"/>
    <w:rsid w:val="00980CCD"/>
    <w:rsid w:val="009856F8"/>
    <w:rsid w:val="009B24F1"/>
    <w:rsid w:val="009B64C2"/>
    <w:rsid w:val="009C00B6"/>
    <w:rsid w:val="009C491C"/>
    <w:rsid w:val="009D0A89"/>
    <w:rsid w:val="009D25DC"/>
    <w:rsid w:val="009E1FB8"/>
    <w:rsid w:val="009F640E"/>
    <w:rsid w:val="00A03CC1"/>
    <w:rsid w:val="00A20631"/>
    <w:rsid w:val="00A21351"/>
    <w:rsid w:val="00A304A6"/>
    <w:rsid w:val="00A345E1"/>
    <w:rsid w:val="00A466C5"/>
    <w:rsid w:val="00A47174"/>
    <w:rsid w:val="00A651CB"/>
    <w:rsid w:val="00A72F61"/>
    <w:rsid w:val="00A77C6B"/>
    <w:rsid w:val="00A932B8"/>
    <w:rsid w:val="00A944E4"/>
    <w:rsid w:val="00AA0192"/>
    <w:rsid w:val="00AA3405"/>
    <w:rsid w:val="00AA6762"/>
    <w:rsid w:val="00AB2672"/>
    <w:rsid w:val="00AB4CC5"/>
    <w:rsid w:val="00AE1787"/>
    <w:rsid w:val="00AE61B4"/>
    <w:rsid w:val="00AF7955"/>
    <w:rsid w:val="00B02B48"/>
    <w:rsid w:val="00B06ED6"/>
    <w:rsid w:val="00B078E1"/>
    <w:rsid w:val="00B11287"/>
    <w:rsid w:val="00B1295A"/>
    <w:rsid w:val="00B176B4"/>
    <w:rsid w:val="00B27C7E"/>
    <w:rsid w:val="00B43B7A"/>
    <w:rsid w:val="00B654EA"/>
    <w:rsid w:val="00B65DA4"/>
    <w:rsid w:val="00B72D81"/>
    <w:rsid w:val="00B73DA2"/>
    <w:rsid w:val="00B76770"/>
    <w:rsid w:val="00B93F0C"/>
    <w:rsid w:val="00B97A26"/>
    <w:rsid w:val="00BA2DB9"/>
    <w:rsid w:val="00BA556D"/>
    <w:rsid w:val="00BB7094"/>
    <w:rsid w:val="00BC2731"/>
    <w:rsid w:val="00BD5993"/>
    <w:rsid w:val="00BE632A"/>
    <w:rsid w:val="00BE7148"/>
    <w:rsid w:val="00BF4DBE"/>
    <w:rsid w:val="00C07A2D"/>
    <w:rsid w:val="00C107E1"/>
    <w:rsid w:val="00C14075"/>
    <w:rsid w:val="00C21DC4"/>
    <w:rsid w:val="00C25F76"/>
    <w:rsid w:val="00C3001B"/>
    <w:rsid w:val="00C32594"/>
    <w:rsid w:val="00C427A2"/>
    <w:rsid w:val="00C530AF"/>
    <w:rsid w:val="00C54B33"/>
    <w:rsid w:val="00C65328"/>
    <w:rsid w:val="00C66B46"/>
    <w:rsid w:val="00C81E1D"/>
    <w:rsid w:val="00C97703"/>
    <w:rsid w:val="00CA7F9D"/>
    <w:rsid w:val="00CB2835"/>
    <w:rsid w:val="00CB5398"/>
    <w:rsid w:val="00CB60E1"/>
    <w:rsid w:val="00CB6D6F"/>
    <w:rsid w:val="00CC072B"/>
    <w:rsid w:val="00CC1958"/>
    <w:rsid w:val="00CD3DF5"/>
    <w:rsid w:val="00CD5718"/>
    <w:rsid w:val="00CE720A"/>
    <w:rsid w:val="00CE75FA"/>
    <w:rsid w:val="00CF4BD2"/>
    <w:rsid w:val="00CF549D"/>
    <w:rsid w:val="00CF5782"/>
    <w:rsid w:val="00CF74D3"/>
    <w:rsid w:val="00D019F6"/>
    <w:rsid w:val="00D03802"/>
    <w:rsid w:val="00D14701"/>
    <w:rsid w:val="00D14993"/>
    <w:rsid w:val="00D14B97"/>
    <w:rsid w:val="00D45880"/>
    <w:rsid w:val="00D47E4C"/>
    <w:rsid w:val="00D512B6"/>
    <w:rsid w:val="00D51B76"/>
    <w:rsid w:val="00D541D4"/>
    <w:rsid w:val="00D564EC"/>
    <w:rsid w:val="00D6191F"/>
    <w:rsid w:val="00D6766E"/>
    <w:rsid w:val="00D83050"/>
    <w:rsid w:val="00D843BD"/>
    <w:rsid w:val="00D87A0F"/>
    <w:rsid w:val="00D96F88"/>
    <w:rsid w:val="00DA49C3"/>
    <w:rsid w:val="00DA4D7B"/>
    <w:rsid w:val="00DB0B44"/>
    <w:rsid w:val="00DD6FAE"/>
    <w:rsid w:val="00DE3193"/>
    <w:rsid w:val="00DE7463"/>
    <w:rsid w:val="00DF2F62"/>
    <w:rsid w:val="00E047E2"/>
    <w:rsid w:val="00E254DC"/>
    <w:rsid w:val="00E3443E"/>
    <w:rsid w:val="00E35833"/>
    <w:rsid w:val="00E37004"/>
    <w:rsid w:val="00E45C11"/>
    <w:rsid w:val="00E64C18"/>
    <w:rsid w:val="00E66666"/>
    <w:rsid w:val="00E77F7B"/>
    <w:rsid w:val="00E82C3A"/>
    <w:rsid w:val="00E84248"/>
    <w:rsid w:val="00E90EC6"/>
    <w:rsid w:val="00EA1019"/>
    <w:rsid w:val="00EA7D08"/>
    <w:rsid w:val="00EB6E16"/>
    <w:rsid w:val="00EC4364"/>
    <w:rsid w:val="00EC73E8"/>
    <w:rsid w:val="00ED4FDD"/>
    <w:rsid w:val="00EE54E1"/>
    <w:rsid w:val="00EF256E"/>
    <w:rsid w:val="00EF7F5A"/>
    <w:rsid w:val="00F20F20"/>
    <w:rsid w:val="00F307DE"/>
    <w:rsid w:val="00F312B5"/>
    <w:rsid w:val="00F35585"/>
    <w:rsid w:val="00F411F2"/>
    <w:rsid w:val="00F50546"/>
    <w:rsid w:val="00F60120"/>
    <w:rsid w:val="00F83335"/>
    <w:rsid w:val="00F84C21"/>
    <w:rsid w:val="00F8782C"/>
    <w:rsid w:val="00FA334F"/>
    <w:rsid w:val="00FA7B2E"/>
    <w:rsid w:val="00FB5514"/>
    <w:rsid w:val="00FB5A20"/>
    <w:rsid w:val="00FC0786"/>
    <w:rsid w:val="00FE0630"/>
    <w:rsid w:val="00FE3582"/>
    <w:rsid w:val="00FF3330"/>
    <w:rsid w:val="00FF4C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88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9F1"/>
    <w:pPr>
      <w:spacing w:line="288" w:lineRule="auto"/>
    </w:pPr>
    <w:rPr>
      <w:rFonts w:ascii="Arial" w:eastAsiaTheme="minorEastAsia" w:hAnsi="Arial"/>
      <w:szCs w:val="24"/>
      <w:lang w:eastAsia="ja-JP"/>
    </w:rPr>
  </w:style>
  <w:style w:type="paragraph" w:styleId="Heading1">
    <w:name w:val="heading 1"/>
    <w:aliases w:val="Report title (one line)"/>
    <w:basedOn w:val="Normal"/>
    <w:next w:val="Normal"/>
    <w:link w:val="Heading1Char"/>
    <w:uiPriority w:val="9"/>
    <w:qFormat/>
    <w:rsid w:val="00AE61B4"/>
    <w:pPr>
      <w:spacing w:before="840" w:after="600"/>
      <w:outlineLvl w:val="0"/>
    </w:pPr>
    <w:rPr>
      <w:rFonts w:cs="Arial"/>
      <w:b/>
      <w:color w:val="FEFFFF" w:themeColor="background1"/>
      <w:sz w:val="80"/>
      <w:szCs w:val="96"/>
    </w:rPr>
  </w:style>
  <w:style w:type="paragraph" w:styleId="Heading2">
    <w:name w:val="heading 2"/>
    <w:basedOn w:val="Normal"/>
    <w:next w:val="Normal"/>
    <w:link w:val="Heading2Char"/>
    <w:uiPriority w:val="9"/>
    <w:unhideWhenUsed/>
    <w:qFormat/>
    <w:rsid w:val="00EC4364"/>
    <w:pPr>
      <w:numPr>
        <w:numId w:val="4"/>
      </w:numPr>
      <w:spacing w:before="200" w:after="240"/>
      <w:ind w:left="720"/>
      <w:outlineLvl w:val="1"/>
    </w:pPr>
    <w:rPr>
      <w:rFonts w:eastAsiaTheme="majorEastAsia" w:cstheme="majorBidi"/>
      <w:b/>
      <w:bCs/>
      <w:color w:val="6B2976"/>
      <w:sz w:val="44"/>
      <w:szCs w:val="26"/>
    </w:rPr>
  </w:style>
  <w:style w:type="paragraph" w:styleId="Heading3">
    <w:name w:val="heading 3"/>
    <w:basedOn w:val="Normal"/>
    <w:next w:val="Normal"/>
    <w:link w:val="Heading3Char"/>
    <w:uiPriority w:val="9"/>
    <w:unhideWhenUsed/>
    <w:qFormat/>
    <w:rsid w:val="00EC4364"/>
    <w:pPr>
      <w:numPr>
        <w:ilvl w:val="1"/>
        <w:numId w:val="4"/>
      </w:numPr>
      <w:spacing w:before="400"/>
      <w:outlineLvl w:val="2"/>
    </w:pPr>
    <w:rPr>
      <w:b/>
      <w:color w:val="6B2976"/>
      <w:sz w:val="30"/>
      <w:szCs w:val="30"/>
    </w:rPr>
  </w:style>
  <w:style w:type="paragraph" w:styleId="Heading4">
    <w:name w:val="heading 4"/>
    <w:basedOn w:val="Normal"/>
    <w:next w:val="Normal"/>
    <w:link w:val="Heading4Char"/>
    <w:uiPriority w:val="9"/>
    <w:unhideWhenUsed/>
    <w:qFormat/>
    <w:rsid w:val="00BE632A"/>
    <w:pPr>
      <w:numPr>
        <w:ilvl w:val="2"/>
        <w:numId w:val="4"/>
      </w:numPr>
      <w:spacing w:after="120"/>
      <w:ind w:left="709" w:hanging="709"/>
      <w:outlineLvl w:val="3"/>
    </w:pPr>
    <w:rPr>
      <w:b/>
      <w:sz w:val="24"/>
    </w:rPr>
  </w:style>
  <w:style w:type="paragraph" w:styleId="Heading5">
    <w:name w:val="heading 5"/>
    <w:basedOn w:val="Normal"/>
    <w:next w:val="Normal"/>
    <w:link w:val="Heading5Char"/>
    <w:uiPriority w:val="9"/>
    <w:unhideWhenUsed/>
    <w:qFormat/>
    <w:rsid w:val="00EC4364"/>
    <w:pPr>
      <w:spacing w:before="400"/>
      <w:outlineLvl w:val="4"/>
    </w:pPr>
    <w:rPr>
      <w:b/>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eport title (one line) Char"/>
    <w:basedOn w:val="DefaultParagraphFont"/>
    <w:link w:val="Heading1"/>
    <w:uiPriority w:val="9"/>
    <w:rsid w:val="00AE61B4"/>
    <w:rPr>
      <w:rFonts w:ascii="Arial" w:eastAsiaTheme="minorEastAsia" w:hAnsi="Arial" w:cs="Arial"/>
      <w:b/>
      <w:color w:val="FEFFFF" w:themeColor="background1"/>
      <w:sz w:val="80"/>
      <w:szCs w:val="96"/>
      <w:lang w:eastAsia="ja-JP"/>
    </w:rPr>
  </w:style>
  <w:style w:type="character" w:customStyle="1" w:styleId="Heading2Char">
    <w:name w:val="Heading 2 Char"/>
    <w:basedOn w:val="DefaultParagraphFont"/>
    <w:link w:val="Heading2"/>
    <w:uiPriority w:val="9"/>
    <w:rsid w:val="00EC4364"/>
    <w:rPr>
      <w:rFonts w:ascii="Arial" w:eastAsiaTheme="majorEastAsia" w:hAnsi="Arial" w:cstheme="majorBidi"/>
      <w:b/>
      <w:bCs/>
      <w:color w:val="6B2976"/>
      <w:sz w:val="44"/>
      <w:szCs w:val="26"/>
      <w:lang w:val="en-US" w:eastAsia="ja-JP"/>
    </w:rPr>
  </w:style>
  <w:style w:type="paragraph" w:styleId="NoSpacing">
    <w:name w:val="No Spacing"/>
    <w:uiPriority w:val="1"/>
    <w:qFormat/>
    <w:rsid w:val="008D4B76"/>
    <w:pPr>
      <w:spacing w:after="0" w:line="240" w:lineRule="auto"/>
    </w:pPr>
    <w:rPr>
      <w:rFonts w:ascii="Arial" w:eastAsiaTheme="minorEastAsia" w:hAnsi="Arial"/>
      <w:szCs w:val="24"/>
      <w:lang w:val="en-US" w:eastAsia="ja-JP"/>
    </w:rPr>
  </w:style>
  <w:style w:type="character" w:customStyle="1" w:styleId="Heading3Char">
    <w:name w:val="Heading 3 Char"/>
    <w:basedOn w:val="DefaultParagraphFont"/>
    <w:link w:val="Heading3"/>
    <w:uiPriority w:val="9"/>
    <w:rsid w:val="00EC4364"/>
    <w:rPr>
      <w:rFonts w:ascii="Arial" w:eastAsiaTheme="minorEastAsia" w:hAnsi="Arial"/>
      <w:b/>
      <w:color w:val="6B2976"/>
      <w:sz w:val="30"/>
      <w:szCs w:val="30"/>
      <w:lang w:val="en-US" w:eastAsia="ja-JP"/>
    </w:rPr>
  </w:style>
  <w:style w:type="character" w:customStyle="1" w:styleId="Heading4Char">
    <w:name w:val="Heading 4 Char"/>
    <w:basedOn w:val="DefaultParagraphFont"/>
    <w:link w:val="Heading4"/>
    <w:uiPriority w:val="9"/>
    <w:rsid w:val="00BE632A"/>
    <w:rPr>
      <w:rFonts w:ascii="Arial" w:eastAsiaTheme="minorEastAsia" w:hAnsi="Arial"/>
      <w:b/>
      <w:sz w:val="24"/>
      <w:szCs w:val="24"/>
      <w:lang w:val="en-US" w:eastAsia="ja-JP"/>
    </w:rPr>
  </w:style>
  <w:style w:type="character" w:customStyle="1" w:styleId="Heading5Char">
    <w:name w:val="Heading 5 Char"/>
    <w:basedOn w:val="DefaultParagraphFont"/>
    <w:link w:val="Heading5"/>
    <w:uiPriority w:val="9"/>
    <w:rsid w:val="00EC4364"/>
    <w:rPr>
      <w:rFonts w:ascii="Arial" w:eastAsiaTheme="minorEastAsia" w:hAnsi="Arial"/>
      <w:b/>
      <w:szCs w:val="24"/>
      <w:lang w:val="en-US" w:eastAsia="ja-JP"/>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List Paragraph11,Recommendation,L,Bullet point,NFP GP Bulleted List,#List Paragraph,Figure_name,Bullet- First level,Listenabsatz1,2nd Bullet point,Number,List Paragraph111,F5 List Paragraph,Dot pt,CV text,Table text,列,列出段"/>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rsid w:val="00785261"/>
    <w:rPr>
      <w:b/>
      <w:bCs/>
      <w:caps/>
      <w:sz w:val="16"/>
      <w:szCs w:val="18"/>
    </w:rPr>
  </w:style>
  <w:style w:type="paragraph" w:styleId="Header">
    <w:name w:val="header"/>
    <w:basedOn w:val="Normal"/>
    <w:link w:val="HeaderChar"/>
    <w:uiPriority w:val="99"/>
    <w:unhideWhenUsed/>
    <w:rsid w:val="00721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9F1"/>
    <w:rPr>
      <w:rFonts w:ascii="Arial" w:eastAsiaTheme="minorEastAsia" w:hAnsi="Arial"/>
      <w:szCs w:val="24"/>
      <w:lang w:val="en-US" w:eastAsia="ja-JP"/>
    </w:rPr>
  </w:style>
  <w:style w:type="paragraph" w:styleId="Footer">
    <w:name w:val="footer"/>
    <w:basedOn w:val="Normal"/>
    <w:link w:val="FooterChar"/>
    <w:uiPriority w:val="99"/>
    <w:unhideWhenUsed/>
    <w:rsid w:val="00FA334F"/>
    <w:pPr>
      <w:pBdr>
        <w:top w:val="single" w:sz="4" w:space="12" w:color="6B2976"/>
      </w:pBdr>
      <w:tabs>
        <w:tab w:val="center" w:pos="4513"/>
        <w:tab w:val="right" w:pos="9026"/>
      </w:tabs>
      <w:spacing w:after="0" w:line="240" w:lineRule="auto"/>
    </w:pPr>
    <w:rPr>
      <w:color w:val="6B2976"/>
      <w:sz w:val="24"/>
    </w:rPr>
  </w:style>
  <w:style w:type="character" w:customStyle="1" w:styleId="FooterChar">
    <w:name w:val="Footer Char"/>
    <w:basedOn w:val="DefaultParagraphFont"/>
    <w:link w:val="Footer"/>
    <w:uiPriority w:val="99"/>
    <w:rsid w:val="00FA334F"/>
    <w:rPr>
      <w:rFonts w:ascii="Arial" w:eastAsiaTheme="minorEastAsia" w:hAnsi="Arial"/>
      <w:color w:val="6B2976"/>
      <w:sz w:val="24"/>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9F1"/>
    <w:rPr>
      <w:rFonts w:ascii="Tahoma" w:eastAsiaTheme="minorEastAsia" w:hAnsi="Tahoma" w:cs="Tahoma"/>
      <w:sz w:val="16"/>
      <w:szCs w:val="16"/>
      <w:lang w:val="en-US" w:eastAsia="ja-JP"/>
    </w:rPr>
  </w:style>
  <w:style w:type="paragraph" w:customStyle="1" w:styleId="tablelistbullet">
    <w:name w:val="table list bullet"/>
    <w:basedOn w:val="ListParagraph"/>
    <w:qFormat/>
    <w:rsid w:val="004D32B5"/>
    <w:pPr>
      <w:numPr>
        <w:numId w:val="1"/>
      </w:numPr>
      <w:tabs>
        <w:tab w:val="num" w:pos="360"/>
      </w:tabs>
      <w:spacing w:after="120" w:line="240" w:lineRule="auto"/>
      <w:ind w:firstLine="0"/>
    </w:pPr>
    <w:rPr>
      <w:rFonts w:eastAsia="MS Mincho" w:cs="FSMe-Bold"/>
      <w:spacing w:val="-2"/>
      <w:sz w:val="20"/>
      <w:szCs w:val="20"/>
      <w:lang w:eastAsia="en-US"/>
    </w:rPr>
  </w:style>
  <w:style w:type="table" w:styleId="LightShading-Accent4">
    <w:name w:val="Light Shading Accent 4"/>
    <w:basedOn w:val="TableNormal"/>
    <w:uiPriority w:val="60"/>
    <w:rsid w:val="00EC4364"/>
    <w:pPr>
      <w:keepLines/>
      <w:spacing w:after="80" w:line="240" w:lineRule="auto"/>
      <w:ind w:left="113" w:right="113"/>
    </w:pPr>
    <w:rPr>
      <w:rFonts w:ascii="Arial" w:eastAsiaTheme="minorEastAsia" w:hAnsi="Arial"/>
      <w:lang w:val="en-US" w:eastAsia="ja-JP"/>
    </w:rPr>
    <w:tblPr>
      <w:tblStyleRowBandSize w:val="1"/>
      <w:tblStyleColBandSize w:val="1"/>
      <w:tblBorders>
        <w:top w:val="single" w:sz="8" w:space="0" w:color="C5296D" w:themeColor="accent4"/>
        <w:bottom w:val="single" w:sz="8" w:space="0" w:color="C5296D"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EFFFF" w:themeColor="background1"/>
        <w:sz w:val="22"/>
      </w:rPr>
      <w:tblPr/>
      <w:tcPr>
        <w:shd w:val="clear" w:color="auto" w:fill="6B2976"/>
      </w:tcPr>
    </w:tblStylePr>
    <w:tblStylePr w:type="lastRow">
      <w:pPr>
        <w:spacing w:before="0" w:after="0" w:line="240" w:lineRule="auto"/>
      </w:pPr>
      <w:rPr>
        <w:b/>
        <w:bCs/>
      </w:rPr>
      <w:tblPr/>
      <w:tcPr>
        <w:tcBorders>
          <w:top w:val="single" w:sz="8" w:space="0" w:color="C5296D" w:themeColor="accent4"/>
          <w:left w:val="nil"/>
          <w:bottom w:val="single" w:sz="8" w:space="0" w:color="C5296D"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3C7DA" w:themeFill="accent4" w:themeFillTint="3F"/>
      </w:tcPr>
    </w:tblStylePr>
    <w:tblStylePr w:type="band1Horz">
      <w:rPr>
        <w:color w:val="auto"/>
      </w:rPr>
      <w:tblPr/>
      <w:tcPr>
        <w:shd w:val="clear" w:color="auto" w:fill="F7EEF7"/>
      </w:tcPr>
    </w:tblStylePr>
    <w:tblStylePr w:type="band2Horz">
      <w:rPr>
        <w:color w:val="auto"/>
      </w:rPr>
    </w:tblStylePr>
  </w:style>
  <w:style w:type="paragraph" w:styleId="ListBullet">
    <w:name w:val="List Bullet"/>
    <w:basedOn w:val="Normal"/>
    <w:autoRedefine/>
    <w:uiPriority w:val="99"/>
    <w:unhideWhenUsed/>
    <w:qFormat/>
    <w:rsid w:val="00BE632A"/>
    <w:rPr>
      <w:rFonts w:cs="Arial"/>
      <w:spacing w:val="-3"/>
      <w:kern w:val="1"/>
      <w:szCs w:val="20"/>
      <w:lang w:val="en-GB" w:eastAsia="en-US"/>
    </w:rPr>
  </w:style>
  <w:style w:type="paragraph" w:styleId="TOC1">
    <w:name w:val="toc 1"/>
    <w:basedOn w:val="Normal"/>
    <w:next w:val="Normal"/>
    <w:autoRedefine/>
    <w:uiPriority w:val="39"/>
    <w:unhideWhenUsed/>
    <w:qFormat/>
    <w:rsid w:val="00C54B33"/>
    <w:pPr>
      <w:tabs>
        <w:tab w:val="right" w:pos="9016"/>
      </w:tabs>
      <w:spacing w:after="100"/>
    </w:pPr>
  </w:style>
  <w:style w:type="paragraph" w:styleId="TOC2">
    <w:name w:val="toc 2"/>
    <w:basedOn w:val="Normal"/>
    <w:next w:val="Normal"/>
    <w:autoRedefine/>
    <w:uiPriority w:val="39"/>
    <w:unhideWhenUsed/>
    <w:qFormat/>
    <w:rsid w:val="00C54B33"/>
    <w:pPr>
      <w:tabs>
        <w:tab w:val="left" w:pos="660"/>
        <w:tab w:val="right" w:pos="9016"/>
        <w:tab w:val="right" w:pos="10206"/>
      </w:tabs>
      <w:spacing w:after="100"/>
      <w:ind w:left="220"/>
    </w:pPr>
  </w:style>
  <w:style w:type="paragraph" w:styleId="TOC3">
    <w:name w:val="toc 3"/>
    <w:basedOn w:val="Normal"/>
    <w:next w:val="Normal"/>
    <w:autoRedefine/>
    <w:uiPriority w:val="39"/>
    <w:unhideWhenUsed/>
    <w:qFormat/>
    <w:rsid w:val="00AB2672"/>
    <w:pPr>
      <w:tabs>
        <w:tab w:val="left" w:pos="1100"/>
        <w:tab w:val="right" w:pos="9016"/>
      </w:tabs>
      <w:spacing w:after="100"/>
      <w:ind w:left="709"/>
    </w:pPr>
  </w:style>
  <w:style w:type="character" w:styleId="Hyperlink">
    <w:name w:val="Hyperlink"/>
    <w:basedOn w:val="DefaultParagraphFont"/>
    <w:uiPriority w:val="99"/>
    <w:unhideWhenUsed/>
    <w:rsid w:val="0040062A"/>
    <w:rPr>
      <w:color w:val="0432FF" w:themeColor="hyperlink"/>
      <w:u w:val="single"/>
    </w:rPr>
  </w:style>
  <w:style w:type="paragraph" w:styleId="TOC4">
    <w:name w:val="toc 4"/>
    <w:basedOn w:val="Normal"/>
    <w:next w:val="Normal"/>
    <w:autoRedefine/>
    <w:uiPriority w:val="39"/>
    <w:unhideWhenUsed/>
    <w:rsid w:val="00C54B33"/>
    <w:pPr>
      <w:tabs>
        <w:tab w:val="left" w:pos="1540"/>
        <w:tab w:val="right" w:pos="9016"/>
      </w:tabs>
      <w:spacing w:after="100"/>
      <w:ind w:left="660"/>
    </w:pPr>
    <w:rPr>
      <w:noProof/>
    </w:rPr>
  </w:style>
  <w:style w:type="paragraph" w:styleId="TOC5">
    <w:name w:val="toc 5"/>
    <w:basedOn w:val="Normal"/>
    <w:next w:val="Normal"/>
    <w:autoRedefine/>
    <w:uiPriority w:val="39"/>
    <w:unhideWhenUsed/>
    <w:rsid w:val="00C54B33"/>
    <w:pPr>
      <w:tabs>
        <w:tab w:val="right" w:pos="9016"/>
      </w:tabs>
      <w:spacing w:after="100"/>
      <w:ind w:left="880"/>
    </w:pPr>
    <w:rPr>
      <w:noProof/>
    </w:rPr>
  </w:style>
  <w:style w:type="paragraph" w:customStyle="1" w:styleId="Versionanddate">
    <w:name w:val="Version and date"/>
    <w:basedOn w:val="Normal"/>
    <w:link w:val="VersionanddateChar"/>
    <w:qFormat/>
    <w:rsid w:val="004E461E"/>
    <w:rPr>
      <w:color w:val="FEFFFF" w:themeColor="background1"/>
      <w:sz w:val="28"/>
      <w:szCs w:val="28"/>
    </w:rPr>
  </w:style>
  <w:style w:type="table" w:styleId="TableGrid">
    <w:name w:val="Table Grid"/>
    <w:basedOn w:val="TableNormal"/>
    <w:uiPriority w:val="59"/>
    <w:rsid w:val="00EC4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porttitletwolines">
    <w:name w:val="Heading 1 Report title (two lines)"/>
    <w:basedOn w:val="Heading1"/>
    <w:qFormat/>
    <w:rsid w:val="00B73DA2"/>
    <w:pPr>
      <w:spacing w:before="8760" w:after="120"/>
    </w:pPr>
    <w:rPr>
      <w:sz w:val="70"/>
    </w:rPr>
  </w:style>
  <w:style w:type="paragraph" w:customStyle="1" w:styleId="TableDescription">
    <w:name w:val="Table Description"/>
    <w:basedOn w:val="Normal"/>
    <w:link w:val="TableDescriptionChar"/>
    <w:qFormat/>
    <w:rsid w:val="001665A1"/>
    <w:rPr>
      <w:b/>
    </w:rPr>
  </w:style>
  <w:style w:type="character" w:customStyle="1" w:styleId="TableDescriptionChar">
    <w:name w:val="Table Description Char"/>
    <w:basedOn w:val="DefaultParagraphFont"/>
    <w:link w:val="TableDescription"/>
    <w:rsid w:val="001665A1"/>
    <w:rPr>
      <w:rFonts w:ascii="Arial" w:eastAsiaTheme="minorEastAsia" w:hAnsi="Arial"/>
      <w:b/>
      <w:szCs w:val="24"/>
      <w:lang w:val="en-US" w:eastAsia="ja-JP"/>
    </w:rPr>
  </w:style>
  <w:style w:type="paragraph" w:customStyle="1" w:styleId="Website">
    <w:name w:val="Website"/>
    <w:basedOn w:val="Versionanddate"/>
    <w:link w:val="WebsiteChar"/>
    <w:qFormat/>
    <w:rsid w:val="00B73DA2"/>
    <w:pPr>
      <w:spacing w:after="60"/>
    </w:pPr>
    <w:rPr>
      <w:rFonts w:cs="Arial"/>
      <w:b/>
    </w:rPr>
  </w:style>
  <w:style w:type="character" w:customStyle="1" w:styleId="VersionanddateChar">
    <w:name w:val="Version and date Char"/>
    <w:basedOn w:val="DefaultParagraphFont"/>
    <w:link w:val="Versionanddate"/>
    <w:rsid w:val="006765FF"/>
    <w:rPr>
      <w:rFonts w:ascii="Arial" w:eastAsiaTheme="minorEastAsia" w:hAnsi="Arial"/>
      <w:color w:val="FEFFFF" w:themeColor="background1"/>
      <w:sz w:val="28"/>
      <w:szCs w:val="28"/>
      <w:lang w:val="en-US" w:eastAsia="ja-JP"/>
    </w:rPr>
  </w:style>
  <w:style w:type="character" w:customStyle="1" w:styleId="WebsiteChar">
    <w:name w:val="Website Char"/>
    <w:basedOn w:val="VersionanddateChar"/>
    <w:link w:val="Website"/>
    <w:rsid w:val="00B73DA2"/>
    <w:rPr>
      <w:rFonts w:ascii="Arial" w:eastAsiaTheme="minorEastAsia" w:hAnsi="Arial" w:cs="Arial"/>
      <w:b/>
      <w:color w:val="FEFFFF" w:themeColor="background1"/>
      <w:sz w:val="28"/>
      <w:szCs w:val="28"/>
      <w:lang w:val="en-US" w:eastAsia="ja-JP"/>
    </w:rPr>
  </w:style>
  <w:style w:type="paragraph" w:customStyle="1" w:styleId="Securitymarker">
    <w:name w:val="Security marker"/>
    <w:basedOn w:val="Normal"/>
    <w:link w:val="SecuritymarkerChar"/>
    <w:qFormat/>
    <w:rsid w:val="00AB4CC5"/>
    <w:pPr>
      <w:suppressAutoHyphens/>
    </w:pPr>
    <w:rPr>
      <w:rFonts w:asciiTheme="minorHAnsi" w:eastAsiaTheme="minorHAnsi" w:hAnsiTheme="minorHAnsi"/>
      <w:b/>
      <w:bCs/>
      <w:sz w:val="28"/>
      <w:szCs w:val="28"/>
      <w:lang w:eastAsia="en-US"/>
    </w:rPr>
  </w:style>
  <w:style w:type="character" w:customStyle="1" w:styleId="SecuritymarkerChar">
    <w:name w:val="Security marker Char"/>
    <w:basedOn w:val="DefaultParagraphFont"/>
    <w:link w:val="Securitymarker"/>
    <w:rsid w:val="00AB4CC5"/>
    <w:rPr>
      <w:b/>
      <w:bCs/>
      <w:sz w:val="28"/>
      <w:szCs w:val="28"/>
    </w:rPr>
  </w:style>
  <w:style w:type="character" w:styleId="CommentReference">
    <w:name w:val="annotation reference"/>
    <w:basedOn w:val="DefaultParagraphFont"/>
    <w:uiPriority w:val="99"/>
    <w:semiHidden/>
    <w:unhideWhenUsed/>
    <w:rsid w:val="00733FC6"/>
    <w:rPr>
      <w:sz w:val="16"/>
      <w:szCs w:val="16"/>
    </w:rPr>
  </w:style>
  <w:style w:type="paragraph" w:styleId="CommentText">
    <w:name w:val="annotation text"/>
    <w:basedOn w:val="Normal"/>
    <w:link w:val="CommentTextChar"/>
    <w:uiPriority w:val="99"/>
    <w:unhideWhenUsed/>
    <w:rsid w:val="00733FC6"/>
    <w:pPr>
      <w:spacing w:line="240" w:lineRule="auto"/>
    </w:pPr>
    <w:rPr>
      <w:sz w:val="20"/>
      <w:szCs w:val="20"/>
    </w:rPr>
  </w:style>
  <w:style w:type="character" w:customStyle="1" w:styleId="CommentTextChar">
    <w:name w:val="Comment Text Char"/>
    <w:basedOn w:val="DefaultParagraphFont"/>
    <w:link w:val="CommentText"/>
    <w:uiPriority w:val="99"/>
    <w:rsid w:val="00733FC6"/>
    <w:rPr>
      <w:rFonts w:ascii="Arial" w:eastAsiaTheme="minorEastAsia" w:hAnsi="Arial"/>
      <w:sz w:val="20"/>
      <w:szCs w:val="20"/>
      <w:lang w:val="en-US" w:eastAsia="ja-JP"/>
    </w:rPr>
  </w:style>
  <w:style w:type="paragraph" w:styleId="CommentSubject">
    <w:name w:val="annotation subject"/>
    <w:basedOn w:val="CommentText"/>
    <w:next w:val="CommentText"/>
    <w:link w:val="CommentSubjectChar"/>
    <w:uiPriority w:val="99"/>
    <w:semiHidden/>
    <w:unhideWhenUsed/>
    <w:rsid w:val="0094431F"/>
    <w:rPr>
      <w:b/>
      <w:bCs/>
    </w:rPr>
  </w:style>
  <w:style w:type="character" w:customStyle="1" w:styleId="CommentSubjectChar">
    <w:name w:val="Comment Subject Char"/>
    <w:basedOn w:val="CommentTextChar"/>
    <w:link w:val="CommentSubject"/>
    <w:uiPriority w:val="99"/>
    <w:semiHidden/>
    <w:rsid w:val="0094431F"/>
    <w:rPr>
      <w:rFonts w:ascii="Arial" w:eastAsiaTheme="minorEastAsia" w:hAnsi="Arial"/>
      <w:b/>
      <w:bCs/>
      <w:sz w:val="20"/>
      <w:szCs w:val="20"/>
      <w:lang w:val="en-US" w:eastAsia="ja-JP"/>
    </w:rPr>
  </w:style>
  <w:style w:type="paragraph" w:styleId="Revision">
    <w:name w:val="Revision"/>
    <w:hidden/>
    <w:uiPriority w:val="99"/>
    <w:semiHidden/>
    <w:rsid w:val="00B93F0C"/>
    <w:pPr>
      <w:spacing w:after="0" w:line="240" w:lineRule="auto"/>
    </w:pPr>
    <w:rPr>
      <w:rFonts w:ascii="Arial" w:eastAsiaTheme="minorEastAsia" w:hAnsi="Arial"/>
      <w:szCs w:val="24"/>
      <w:lang w:val="en-US" w:eastAsia="ja-JP"/>
    </w:rPr>
  </w:style>
  <w:style w:type="character" w:styleId="FollowedHyperlink">
    <w:name w:val="FollowedHyperlink"/>
    <w:basedOn w:val="DefaultParagraphFont"/>
    <w:uiPriority w:val="99"/>
    <w:semiHidden/>
    <w:unhideWhenUsed/>
    <w:rsid w:val="003D7AA6"/>
    <w:rPr>
      <w:color w:val="929292" w:themeColor="followedHyperlink"/>
      <w:u w:val="single"/>
    </w:rPr>
  </w:style>
  <w:style w:type="character" w:customStyle="1" w:styleId="ListParagraphChar">
    <w:name w:val="List Paragraph Char"/>
    <w:aliases w:val="List Paragraph1 Char,List Paragraph11 Char,Recommendation Char,L Char,Bullet point Char,NFP GP Bulleted List Char,#List Paragraph Char,Figure_name Char,Bullet- First level Char,Listenabsatz1 Char,2nd Bullet point Char,Number Char"/>
    <w:link w:val="ListParagraph"/>
    <w:uiPriority w:val="34"/>
    <w:qFormat/>
    <w:locked/>
    <w:rsid w:val="008402E2"/>
    <w:rPr>
      <w:rFonts w:ascii="Arial" w:eastAsiaTheme="minorEastAsia" w:hAnsi="Arial"/>
      <w:szCs w:val="24"/>
      <w:lang w:eastAsia="ja-JP"/>
    </w:rPr>
  </w:style>
  <w:style w:type="paragraph" w:styleId="NormalWeb">
    <w:name w:val="Normal (Web)"/>
    <w:basedOn w:val="Normal"/>
    <w:uiPriority w:val="99"/>
    <w:unhideWhenUsed/>
    <w:rsid w:val="008402E2"/>
    <w:pPr>
      <w:spacing w:before="100" w:beforeAutospacing="1" w:after="100" w:afterAutospacing="1" w:line="240" w:lineRule="auto"/>
    </w:pPr>
    <w:rPr>
      <w:rFonts w:ascii="Times New Roman" w:eastAsia="Times New Roman" w:hAnsi="Times New Roman"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61857">
      <w:bodyDiv w:val="1"/>
      <w:marLeft w:val="0"/>
      <w:marRight w:val="0"/>
      <w:marTop w:val="0"/>
      <w:marBottom w:val="0"/>
      <w:divBdr>
        <w:top w:val="none" w:sz="0" w:space="0" w:color="auto"/>
        <w:left w:val="none" w:sz="0" w:space="0" w:color="auto"/>
        <w:bottom w:val="none" w:sz="0" w:space="0" w:color="auto"/>
        <w:right w:val="none" w:sz="0" w:space="0" w:color="auto"/>
      </w:divBdr>
    </w:div>
    <w:div w:id="480777017">
      <w:bodyDiv w:val="1"/>
      <w:marLeft w:val="0"/>
      <w:marRight w:val="0"/>
      <w:marTop w:val="0"/>
      <w:marBottom w:val="0"/>
      <w:divBdr>
        <w:top w:val="none" w:sz="0" w:space="0" w:color="auto"/>
        <w:left w:val="none" w:sz="0" w:space="0" w:color="auto"/>
        <w:bottom w:val="none" w:sz="0" w:space="0" w:color="auto"/>
        <w:right w:val="none" w:sz="0" w:space="0" w:color="auto"/>
      </w:divBdr>
    </w:div>
    <w:div w:id="48157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ndis.gov.au/about-us/publications/quarterly-reports" TargetMode="External"/><Relationship Id="rId18" Type="http://schemas.openxmlformats.org/officeDocument/2006/relationships/hyperlink" Target="https://www.ndis.gov.au/providers/pricing-arrangements" TargetMode="External"/><Relationship Id="rId26"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ata.ndis.gov.au/" TargetMode="External"/><Relationship Id="rId17" Type="http://schemas.openxmlformats.org/officeDocument/2006/relationships/hyperlink" Target="https://www.legislation.gov.au/Details/F2020L00769" TargetMode="External"/><Relationship Id="rId25" Type="http://schemas.openxmlformats.org/officeDocument/2006/relationships/chart" Target="charts/chart5.xm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dis.gov.au/providers/pricing-arrangements" TargetMode="External"/><Relationship Id="rId20" Type="http://schemas.openxmlformats.org/officeDocument/2006/relationships/chart" Target="charts/chart1.xml"/><Relationship Id="rId29"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dis.gov.au/about-us/publications/quarterly-reports" TargetMode="External"/><Relationship Id="rId24" Type="http://schemas.openxmlformats.org/officeDocument/2006/relationships/chart" Target="charts/chart4.xm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slation.gov.au/Details/F2020L00769" TargetMode="External"/><Relationship Id="rId23" Type="http://schemas.openxmlformats.org/officeDocument/2006/relationships/hyperlink" Target="https://data.ndis.gov.au/" TargetMode="External"/><Relationship Id="rId28" Type="http://schemas.openxmlformats.org/officeDocument/2006/relationships/chart" Target="charts/chart8.xml"/><Relationship Id="rId36" Type="http://schemas.openxmlformats.org/officeDocument/2006/relationships/footer" Target="footer3.xml"/><Relationship Id="rId10" Type="http://schemas.openxmlformats.org/officeDocument/2006/relationships/hyperlink" Target="https://data.ndis.gov.au/" TargetMode="External"/><Relationship Id="rId19" Type="http://schemas.openxmlformats.org/officeDocument/2006/relationships/hyperlink" Target="https://www.ndis.gov.au/providers/pricing-arrangement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dis.gov.au/about-us/publications/quarterly-reports" TargetMode="External"/><Relationship Id="rId14" Type="http://schemas.openxmlformats.org/officeDocument/2006/relationships/hyperlink" Target="https://data.ndis.gov.au/" TargetMode="External"/><Relationship Id="rId22" Type="http://schemas.openxmlformats.org/officeDocument/2006/relationships/chart" Target="charts/chart3.xml"/><Relationship Id="rId27" Type="http://schemas.openxmlformats.org/officeDocument/2006/relationships/chart" Target="charts/chart7.xml"/><Relationship Id="rId30" Type="http://schemas.openxmlformats.org/officeDocument/2006/relationships/chart" Target="charts/chart10.xml"/><Relationship Id="rId35"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NDIASTAFF.NDIA.GOV.AU\Data\Shared\Secured\Market_Settings\Policy%20&amp;%20Legislation%20Team\SDA\SDA%20Quarterly%20market%20report\Market%20Statement%20Data\30.06.2021%20Data\SDA%20market%20statement%201July2021_charts.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NDIASTAFF.NDIA.GOV.AU\Data\Shared\Secured\Market_Settings\Policy%20&amp;%20Legislation%20Team\SDA\SDA%20Quarterly%20market%20report\Market%20Statement%20Data\30.06.2021%20Data\SDA%20market%20statement%201July2021_chart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NDIASTAFF.NDIA.GOV.AU\Data\Shared\Secured\Market_Settings\Policy%20&amp;%20Legislation%20Team\SDA\SDA%20Quarterly%20market%20report\Market%20Statement%20Data\30.06.2021%20Data\SDA%20market%20statement%201July2021_chart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NDIASTAFF.NDIA.GOV.AU\Data\Shared\Secured\Market_Settings\Policy%20&amp;%20Legislation%20Team\SDA\SDA%20Quarterly%20market%20report\Market%20Statement%20Data\30.06.2021%20Data\SDA%20market%20statement%201July2021_charts.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NDIASTAFF.NDIA.GOV.AU\Data\Shared\Secured\Market_Settings\Policy%20&amp;%20Legislation%20Team\SDA\SDA%20Quarterly%20market%20report\Market%20Statement%20Data\30.06.2021%20Data\SDA%20market%20statement%201July2021_charts.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NDIASTAFF.NDIA.GOV.AU\Data\Shared\Secured\Market_Settings\Policy%20&amp;%20Legislation%20Team\SDA\SDA%20Quarterly%20market%20report\Market%20Statement%20Data\30.06.2021%20Data\SDA%20market%20statement%201July2021_charts.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NDIASTAFF.NDIA.GOV.AU\Data\Shared\Secured\Market_Settings\Policy%20&amp;%20Legislation%20Team\SDA\SDA%20Quarterly%20market%20report\Market%20Statement%20Data\30.06.2021%20Data\Quarterly%20report%20-%20participants%20in%20states%20since%20Q2%20FY19-20.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NDIASTAFF.NDIA.GOV.AU\Data\Shared\Secured\Market_Settings\Policy%20&amp;%20Legislation%20Team\SDA\SDA%20Quarterly%20market%20report\Market%20Statement%20Data\30.06.2021%20Data\SDA%20market%20statement%201July2021.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NDIASTAFF.NDIA.GOV.AU\Data\Shared\Secured\Market_Settings\Policy%20&amp;%20Legislation%20Team\SDA\SDA%20Quarterly%20market%20report\Market%20Statement%20Data\30.06.2021%20Data\SDA%20market%20statement%201July2021_charts.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NDIASTAFF.NDIA.GOV.AU\Data\Shared\Secured\Market_Settings\Policy%20&amp;%20Legislation%20Team\SDA\SDA%20Quarterly%20market%20report\Market%20Statement%20Data\30.06.2021%20Data\SDA%20market%20statement%201July2021_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528077243169775"/>
          <c:y val="5.2306229196386118E-2"/>
          <c:w val="0.66185577622650926"/>
          <c:h val="0.83738341551813866"/>
        </c:manualLayout>
      </c:layout>
      <c:lineChart>
        <c:grouping val="standard"/>
        <c:varyColors val="0"/>
        <c:ser>
          <c:idx val="0"/>
          <c:order val="0"/>
          <c:tx>
            <c:strRef>
              <c:f>'Building Type'!$A$17</c:f>
              <c:strCache>
                <c:ptCount val="1"/>
                <c:pt idx="0">
                  <c:v>Existing</c:v>
                </c:pt>
              </c:strCache>
            </c:strRef>
          </c:tx>
          <c:spPr>
            <a:ln w="28575" cap="rnd">
              <a:solidFill>
                <a:schemeClr val="accent1"/>
              </a:solidFill>
              <a:round/>
            </a:ln>
            <a:effectLst/>
          </c:spPr>
          <c:marker>
            <c:symbol val="circle"/>
            <c:size val="4"/>
            <c:spPr>
              <a:solidFill>
                <a:schemeClr val="accent1"/>
              </a:solidFill>
              <a:ln w="9525">
                <a:solidFill>
                  <a:schemeClr val="accent1"/>
                </a:solidFill>
              </a:ln>
              <a:effectLst/>
            </c:spPr>
          </c:marker>
          <c:dPt>
            <c:idx val="3"/>
            <c:marker>
              <c:symbol val="circle"/>
              <c:size val="4"/>
              <c:spPr>
                <a:solidFill>
                  <a:schemeClr val="accent1"/>
                </a:solidFill>
                <a:ln w="9525">
                  <a:solidFill>
                    <a:schemeClr val="accent1"/>
                  </a:solidFill>
                </a:ln>
                <a:effectLst/>
              </c:spPr>
            </c:marker>
            <c:bubble3D val="0"/>
            <c:spPr>
              <a:ln w="19050" cap="rnd">
                <a:solidFill>
                  <a:schemeClr val="accent1"/>
                </a:solidFill>
                <a:round/>
              </a:ln>
              <a:effectLst/>
            </c:spPr>
            <c:extLst>
              <c:ext xmlns:c16="http://schemas.microsoft.com/office/drawing/2014/chart" uri="{C3380CC4-5D6E-409C-BE32-E72D297353CC}">
                <c16:uniqueId val="{00000001-062C-4F44-BF4E-4A2A0D0225CF}"/>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'Building Type'!$B$16:$H$16</c:f>
              <c:numCache>
                <c:formatCode>d\-mmm\-yy</c:formatCode>
                <c:ptCount val="7"/>
                <c:pt idx="0">
                  <c:v>43830</c:v>
                </c:pt>
                <c:pt idx="1">
                  <c:v>43921</c:v>
                </c:pt>
                <c:pt idx="2">
                  <c:v>44012</c:v>
                </c:pt>
                <c:pt idx="3">
                  <c:v>44104</c:v>
                </c:pt>
                <c:pt idx="4">
                  <c:v>44196</c:v>
                </c:pt>
                <c:pt idx="5">
                  <c:v>44286</c:v>
                </c:pt>
                <c:pt idx="6">
                  <c:v>44377</c:v>
                </c:pt>
              </c:numCache>
            </c:numRef>
          </c:cat>
          <c:val>
            <c:numRef>
              <c:f>'Building Type'!$B$17:$H$17</c:f>
              <c:numCache>
                <c:formatCode>General</c:formatCode>
                <c:ptCount val="7"/>
                <c:pt idx="0">
                  <c:v>2952</c:v>
                </c:pt>
                <c:pt idx="1">
                  <c:v>2946</c:v>
                </c:pt>
                <c:pt idx="2">
                  <c:v>2990</c:v>
                </c:pt>
                <c:pt idx="3">
                  <c:v>2993</c:v>
                </c:pt>
                <c:pt idx="4">
                  <c:v>3137</c:v>
                </c:pt>
                <c:pt idx="5">
                  <c:v>3282</c:v>
                </c:pt>
                <c:pt idx="6">
                  <c:v>3913</c:v>
                </c:pt>
              </c:numCache>
            </c:numRef>
          </c:val>
          <c:smooth val="0"/>
          <c:extLst>
            <c:ext xmlns:c16="http://schemas.microsoft.com/office/drawing/2014/chart" uri="{C3380CC4-5D6E-409C-BE32-E72D297353CC}">
              <c16:uniqueId val="{00000002-062C-4F44-BF4E-4A2A0D0225CF}"/>
            </c:ext>
          </c:extLst>
        </c:ser>
        <c:ser>
          <c:idx val="1"/>
          <c:order val="1"/>
          <c:tx>
            <c:strRef>
              <c:f>'Building Type'!$A$18</c:f>
              <c:strCache>
                <c:ptCount val="1"/>
                <c:pt idx="0">
                  <c:v>New build</c:v>
                </c:pt>
              </c:strCache>
            </c:strRef>
          </c:tx>
          <c:spPr>
            <a:ln w="19050" cap="rnd">
              <a:solidFill>
                <a:schemeClr val="accent2"/>
              </a:solidFill>
              <a:round/>
            </a:ln>
            <a:effectLst/>
          </c:spPr>
          <c:marker>
            <c:symbol val="circle"/>
            <c:size val="4"/>
            <c:spPr>
              <a:solidFill>
                <a:schemeClr val="accent2"/>
              </a:solidFill>
              <a:ln w="9525">
                <a:solidFill>
                  <a:schemeClr val="accent2"/>
                </a:solidFill>
              </a:ln>
              <a:effectLst/>
            </c:spPr>
          </c:marker>
          <c:dLbls>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'Building Type'!$B$16:$H$16</c:f>
              <c:numCache>
                <c:formatCode>d\-mmm\-yy</c:formatCode>
                <c:ptCount val="7"/>
                <c:pt idx="0">
                  <c:v>43830</c:v>
                </c:pt>
                <c:pt idx="1">
                  <c:v>43921</c:v>
                </c:pt>
                <c:pt idx="2">
                  <c:v>44012</c:v>
                </c:pt>
                <c:pt idx="3">
                  <c:v>44104</c:v>
                </c:pt>
                <c:pt idx="4">
                  <c:v>44196</c:v>
                </c:pt>
                <c:pt idx="5">
                  <c:v>44286</c:v>
                </c:pt>
                <c:pt idx="6">
                  <c:v>44377</c:v>
                </c:pt>
              </c:numCache>
            </c:numRef>
          </c:cat>
          <c:val>
            <c:numRef>
              <c:f>'Building Type'!$B$18:$H$18</c:f>
              <c:numCache>
                <c:formatCode>General</c:formatCode>
                <c:ptCount val="7"/>
                <c:pt idx="0">
                  <c:v>765</c:v>
                </c:pt>
                <c:pt idx="1">
                  <c:v>956</c:v>
                </c:pt>
                <c:pt idx="2">
                  <c:v>1144</c:v>
                </c:pt>
                <c:pt idx="3">
                  <c:v>1257</c:v>
                </c:pt>
                <c:pt idx="4">
                  <c:v>1546</c:v>
                </c:pt>
                <c:pt idx="5">
                  <c:v>1590</c:v>
                </c:pt>
                <c:pt idx="6">
                  <c:v>1950</c:v>
                </c:pt>
              </c:numCache>
            </c:numRef>
          </c:val>
          <c:smooth val="0"/>
          <c:extLst>
            <c:ext xmlns:c16="http://schemas.microsoft.com/office/drawing/2014/chart" uri="{C3380CC4-5D6E-409C-BE32-E72D297353CC}">
              <c16:uniqueId val="{00000003-062C-4F44-BF4E-4A2A0D0225CF}"/>
            </c:ext>
          </c:extLst>
        </c:ser>
        <c:ser>
          <c:idx val="2"/>
          <c:order val="2"/>
          <c:tx>
            <c:strRef>
              <c:f>'Building Type'!$A$19</c:f>
              <c:strCache>
                <c:ptCount val="1"/>
                <c:pt idx="0">
                  <c:v>New build (refurbished)</c:v>
                </c:pt>
              </c:strCache>
            </c:strRef>
          </c:tx>
          <c:spPr>
            <a:ln w="19050" cap="rnd">
              <a:solidFill>
                <a:schemeClr val="accent3"/>
              </a:solidFill>
              <a:round/>
            </a:ln>
            <a:effectLst/>
          </c:spPr>
          <c:marker>
            <c:symbol val="circle"/>
            <c:size val="4"/>
            <c:spPr>
              <a:solidFill>
                <a:schemeClr val="accent3"/>
              </a:solidFill>
              <a:ln w="9525">
                <a:solidFill>
                  <a:schemeClr val="accent3"/>
                </a:solidFill>
              </a:ln>
              <a:effectLst/>
            </c:spPr>
          </c:marker>
          <c:dLbls>
            <c:dLbl>
              <c:idx val="0"/>
              <c:layout>
                <c:manualLayout>
                  <c:x val="-1.7350851252029283E-2"/>
                  <c:y val="-1.86470577771865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062C-4F44-BF4E-4A2A0D0225CF}"/>
                </c:ext>
              </c:extLst>
            </c:dLbl>
            <c:dLbl>
              <c:idx val="1"/>
              <c:layout>
                <c:manualLayout>
                  <c:x val="-1.6116793552738429E-2"/>
                  <c:y val="-1.66826628224333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062C-4F44-BF4E-4A2A0D0225CF}"/>
                </c:ext>
              </c:extLst>
            </c:dLbl>
            <c:dLbl>
              <c:idx val="2"/>
              <c:layout>
                <c:manualLayout>
                  <c:x val="-1.7350851252029318E-2"/>
                  <c:y val="-1.668266282243353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062C-4F44-BF4E-4A2A0D0225CF}"/>
                </c:ext>
              </c:extLst>
            </c:dLbl>
            <c:dLbl>
              <c:idx val="3"/>
              <c:layout>
                <c:manualLayout>
                  <c:x val="-1.6116793552738429E-2"/>
                  <c:y val="-1.668266282243353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062C-4F44-BF4E-4A2A0D0225CF}"/>
                </c:ext>
              </c:extLst>
            </c:dLbl>
            <c:dLbl>
              <c:idx val="4"/>
              <c:layout>
                <c:manualLayout>
                  <c:x val="-1.6116793552738429E-2"/>
                  <c:y val="-1.471826786768021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062C-4F44-BF4E-4A2A0D0225CF}"/>
                </c:ext>
              </c:extLst>
            </c:dLbl>
            <c:dLbl>
              <c:idx val="5"/>
              <c:layout>
                <c:manualLayout>
                  <c:x val="-1.7350851252029363E-2"/>
                  <c:y val="-1.86470577771865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062C-4F44-BF4E-4A2A0D0225CF}"/>
                </c:ext>
              </c:extLst>
            </c:dLbl>
            <c:dLbl>
              <c:idx val="6"/>
              <c:layout>
                <c:manualLayout>
                  <c:x val="-2.5592732107245816E-2"/>
                  <c:y val="-3.220408789842781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062C-4F44-BF4E-4A2A0D0225CF}"/>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'Building Type'!$B$16:$H$16</c:f>
              <c:numCache>
                <c:formatCode>d\-mmm\-yy</c:formatCode>
                <c:ptCount val="7"/>
                <c:pt idx="0">
                  <c:v>43830</c:v>
                </c:pt>
                <c:pt idx="1">
                  <c:v>43921</c:v>
                </c:pt>
                <c:pt idx="2">
                  <c:v>44012</c:v>
                </c:pt>
                <c:pt idx="3">
                  <c:v>44104</c:v>
                </c:pt>
                <c:pt idx="4">
                  <c:v>44196</c:v>
                </c:pt>
                <c:pt idx="5">
                  <c:v>44286</c:v>
                </c:pt>
                <c:pt idx="6">
                  <c:v>44377</c:v>
                </c:pt>
              </c:numCache>
            </c:numRef>
          </c:cat>
          <c:val>
            <c:numRef>
              <c:f>'Building Type'!$B$19:$H$19</c:f>
              <c:numCache>
                <c:formatCode>General</c:formatCode>
                <c:ptCount val="7"/>
                <c:pt idx="0">
                  <c:v>22</c:v>
                </c:pt>
                <c:pt idx="1">
                  <c:v>24</c:v>
                </c:pt>
                <c:pt idx="2">
                  <c:v>28</c:v>
                </c:pt>
                <c:pt idx="3">
                  <c:v>30</c:v>
                </c:pt>
                <c:pt idx="4">
                  <c:v>38</c:v>
                </c:pt>
                <c:pt idx="5">
                  <c:v>38</c:v>
                </c:pt>
                <c:pt idx="6">
                  <c:v>51</c:v>
                </c:pt>
              </c:numCache>
            </c:numRef>
          </c:val>
          <c:smooth val="0"/>
          <c:extLst>
            <c:ext xmlns:c16="http://schemas.microsoft.com/office/drawing/2014/chart" uri="{C3380CC4-5D6E-409C-BE32-E72D297353CC}">
              <c16:uniqueId val="{0000000A-062C-4F44-BF4E-4A2A0D0225CF}"/>
            </c:ext>
          </c:extLst>
        </c:ser>
        <c:ser>
          <c:idx val="3"/>
          <c:order val="3"/>
          <c:tx>
            <c:strRef>
              <c:f>'Building Type'!$A$20</c:f>
              <c:strCache>
                <c:ptCount val="1"/>
                <c:pt idx="0">
                  <c:v>Legacy</c:v>
                </c:pt>
              </c:strCache>
            </c:strRef>
          </c:tx>
          <c:spPr>
            <a:ln w="19050" cap="rnd">
              <a:solidFill>
                <a:schemeClr val="accent4"/>
              </a:solidFill>
              <a:round/>
            </a:ln>
            <a:effectLst/>
          </c:spPr>
          <c:marker>
            <c:symbol val="circle"/>
            <c:size val="4"/>
            <c:spPr>
              <a:solidFill>
                <a:schemeClr val="accent4"/>
              </a:solidFill>
              <a:ln w="9525">
                <a:solidFill>
                  <a:schemeClr val="accent4"/>
                </a:solidFill>
              </a:ln>
              <a:effectLst/>
            </c:spPr>
          </c:marker>
          <c:dLbls>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'Building Type'!$B$16:$H$16</c:f>
              <c:numCache>
                <c:formatCode>d\-mmm\-yy</c:formatCode>
                <c:ptCount val="7"/>
                <c:pt idx="0">
                  <c:v>43830</c:v>
                </c:pt>
                <c:pt idx="1">
                  <c:v>43921</c:v>
                </c:pt>
                <c:pt idx="2">
                  <c:v>44012</c:v>
                </c:pt>
                <c:pt idx="3">
                  <c:v>44104</c:v>
                </c:pt>
                <c:pt idx="4">
                  <c:v>44196</c:v>
                </c:pt>
                <c:pt idx="5">
                  <c:v>44286</c:v>
                </c:pt>
                <c:pt idx="6">
                  <c:v>44377</c:v>
                </c:pt>
              </c:numCache>
            </c:numRef>
          </c:cat>
          <c:val>
            <c:numRef>
              <c:f>'Building Type'!$B$20:$H$20</c:f>
              <c:numCache>
                <c:formatCode>General</c:formatCode>
                <c:ptCount val="7"/>
                <c:pt idx="0">
                  <c:v>199</c:v>
                </c:pt>
                <c:pt idx="1">
                  <c:v>197</c:v>
                </c:pt>
                <c:pt idx="2">
                  <c:v>198</c:v>
                </c:pt>
                <c:pt idx="3">
                  <c:v>198</c:v>
                </c:pt>
                <c:pt idx="4">
                  <c:v>200</c:v>
                </c:pt>
                <c:pt idx="5">
                  <c:v>199</c:v>
                </c:pt>
                <c:pt idx="6">
                  <c:v>310</c:v>
                </c:pt>
              </c:numCache>
            </c:numRef>
          </c:val>
          <c:smooth val="0"/>
          <c:extLst>
            <c:ext xmlns:c16="http://schemas.microsoft.com/office/drawing/2014/chart" uri="{C3380CC4-5D6E-409C-BE32-E72D297353CC}">
              <c16:uniqueId val="{0000000B-062C-4F44-BF4E-4A2A0D0225CF}"/>
            </c:ext>
          </c:extLst>
        </c:ser>
        <c:dLbls>
          <c:showLegendKey val="0"/>
          <c:showVal val="0"/>
          <c:showCatName val="0"/>
          <c:showSerName val="0"/>
          <c:showPercent val="0"/>
          <c:showBubbleSize val="0"/>
        </c:dLbls>
        <c:marker val="1"/>
        <c:smooth val="0"/>
        <c:axId val="666548840"/>
        <c:axId val="666542936"/>
      </c:lineChart>
      <c:catAx>
        <c:axId val="666548840"/>
        <c:scaling>
          <c:orientation val="minMax"/>
        </c:scaling>
        <c:delete val="0"/>
        <c:axPos val="b"/>
        <c:numFmt formatCode="d\-mmm\-yy" sourceLinked="0"/>
        <c:majorTickMark val="out"/>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542936"/>
        <c:crosses val="autoZero"/>
        <c:auto val="0"/>
        <c:lblAlgn val="ctr"/>
        <c:lblOffset val="100"/>
        <c:noMultiLvlLbl val="0"/>
      </c:catAx>
      <c:valAx>
        <c:axId val="666542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dwellings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548840"/>
        <c:crosses val="autoZero"/>
        <c:crossBetween val="between"/>
      </c:valAx>
      <c:spPr>
        <a:noFill/>
        <a:ln>
          <a:noFill/>
        </a:ln>
        <a:effectLst/>
      </c:spPr>
    </c:plotArea>
    <c:legend>
      <c:legendPos val="r"/>
      <c:layout>
        <c:manualLayout>
          <c:xMode val="edge"/>
          <c:yMode val="edge"/>
          <c:x val="0.7748045453990311"/>
          <c:y val="0.14370097461069864"/>
          <c:w val="0.21779112310717419"/>
          <c:h val="0.71800240376514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F9A929"/>
              </a:solidFill>
              <a:ln>
                <a:noFill/>
              </a:ln>
              <a:effectLst/>
            </c:spPr>
            <c:extLst>
              <c:ext xmlns:c16="http://schemas.microsoft.com/office/drawing/2014/chart" uri="{C3380CC4-5D6E-409C-BE32-E72D297353CC}">
                <c16:uniqueId val="{00000001-2A45-4C75-84A0-D56888EAF156}"/>
              </c:ext>
            </c:extLst>
          </c:dPt>
          <c:dPt>
            <c:idx val="1"/>
            <c:bubble3D val="0"/>
            <c:spPr>
              <a:solidFill>
                <a:srgbClr val="7030A0"/>
              </a:solidFill>
              <a:ln>
                <a:noFill/>
              </a:ln>
              <a:effectLst/>
            </c:spPr>
            <c:extLst>
              <c:ext xmlns:c16="http://schemas.microsoft.com/office/drawing/2014/chart" uri="{C3380CC4-5D6E-409C-BE32-E72D297353CC}">
                <c16:uniqueId val="{00000003-2A45-4C75-84A0-D56888EAF156}"/>
              </c:ext>
            </c:extLst>
          </c:dPt>
          <c:dPt>
            <c:idx val="2"/>
            <c:bubble3D val="0"/>
            <c:spPr>
              <a:solidFill>
                <a:srgbClr val="02AE12"/>
              </a:solidFill>
              <a:ln>
                <a:noFill/>
              </a:ln>
              <a:effectLst/>
            </c:spPr>
            <c:extLst>
              <c:ext xmlns:c16="http://schemas.microsoft.com/office/drawing/2014/chart" uri="{C3380CC4-5D6E-409C-BE32-E72D297353CC}">
                <c16:uniqueId val="{00000005-2A45-4C75-84A0-D56888EAF156}"/>
              </c:ext>
            </c:extLst>
          </c:dPt>
          <c:dLbls>
            <c:dLbl>
              <c:idx val="0"/>
              <c:layout>
                <c:manualLayout>
                  <c:x val="7.2610451908247803E-2"/>
                  <c:y val="4.2719817537900419E-2"/>
                </c:manualLayout>
              </c:layout>
              <c:showLegendKey val="0"/>
              <c:showVal val="1"/>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2A45-4C75-84A0-D56888EAF156}"/>
                </c:ext>
              </c:extLst>
            </c:dLbl>
            <c:dLbl>
              <c:idx val="1"/>
              <c:layout>
                <c:manualLayout>
                  <c:x val="-0.17655528590004865"/>
                  <c:y val="-4.2082009969342096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1"/>
              <c:showBubbleSize val="0"/>
              <c:extLst>
                <c:ext xmlns:c15="http://schemas.microsoft.com/office/drawing/2012/chart" uri="{CE6537A1-D6FC-4f65-9D91-7224C49458BB}">
                  <c15:layout>
                    <c:manualLayout>
                      <c:w val="0.19834591953352337"/>
                      <c:h val="0.24428665166854138"/>
                    </c:manualLayout>
                  </c15:layout>
                </c:ext>
                <c:ext xmlns:c16="http://schemas.microsoft.com/office/drawing/2014/chart" uri="{C3380CC4-5D6E-409C-BE32-E72D297353CC}">
                  <c16:uniqueId val="{00000003-2A45-4C75-84A0-D56888EAF156}"/>
                </c:ext>
              </c:extLst>
            </c:dLbl>
            <c:dLbl>
              <c:idx val="2"/>
              <c:layout>
                <c:manualLayout>
                  <c:x val="-8.1936095900995723E-2"/>
                  <c:y val="2.5112940720966061E-2"/>
                </c:manualLayout>
              </c:layout>
              <c:showLegendKey val="0"/>
              <c:showVal val="1"/>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2A45-4C75-84A0-D56888EAF15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1"/>
            <c:showBubbleSize val="0"/>
            <c:showLeaderLines val="0"/>
            <c:extLst>
              <c:ext xmlns:c15="http://schemas.microsoft.com/office/drawing/2012/chart" uri="{CE6537A1-D6FC-4f65-9D91-7224C49458BB}"/>
            </c:extLst>
          </c:dLbls>
          <c:cat>
            <c:strRef>
              <c:f>'SDA participants one way'!$B$66:$B$68</c:f>
              <c:strCache>
                <c:ptCount val="3"/>
                <c:pt idx="0">
                  <c:v>Yes</c:v>
                </c:pt>
                <c:pt idx="1">
                  <c:v>No</c:v>
                </c:pt>
                <c:pt idx="2">
                  <c:v>Not stated</c:v>
                </c:pt>
              </c:strCache>
            </c:strRef>
          </c:cat>
          <c:val>
            <c:numRef>
              <c:f>'SDA participants one way'!$C$66:$C$68</c:f>
              <c:numCache>
                <c:formatCode>_-* #,##0_-;\-* #,##0_-;_-* "-"??_-;_-@_-</c:formatCode>
                <c:ptCount val="3"/>
                <c:pt idx="0">
                  <c:v>709</c:v>
                </c:pt>
                <c:pt idx="1">
                  <c:v>15220</c:v>
                </c:pt>
                <c:pt idx="2">
                  <c:v>104</c:v>
                </c:pt>
              </c:numCache>
            </c:numRef>
          </c:val>
          <c:extLst>
            <c:ext xmlns:c16="http://schemas.microsoft.com/office/drawing/2014/chart" uri="{C3380CC4-5D6E-409C-BE32-E72D297353CC}">
              <c16:uniqueId val="{00000006-2A45-4C75-84A0-D56888EAF156}"/>
            </c:ext>
          </c:extLst>
        </c:ser>
        <c:dLbls>
          <c:showLegendKey val="0"/>
          <c:showVal val="0"/>
          <c:showCatName val="0"/>
          <c:showSerName val="0"/>
          <c:showPercent val="0"/>
          <c:showBubbleSize val="0"/>
          <c:showLeaderLines val="0"/>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'Design Category'!$A$21</c:f>
              <c:strCache>
                <c:ptCount val="1"/>
                <c:pt idx="0">
                  <c:v>Basic</c:v>
                </c:pt>
              </c:strCache>
            </c:strRef>
          </c:tx>
          <c:spPr>
            <a:ln w="19050" cap="rnd">
              <a:solidFill>
                <a:schemeClr val="accent1"/>
              </a:solidFill>
              <a:round/>
            </a:ln>
            <a:effectLst/>
          </c:spPr>
          <c:marker>
            <c:symbol val="circle"/>
            <c:size val="4"/>
            <c:spPr>
              <a:solidFill>
                <a:schemeClr val="accent1"/>
              </a:solidFill>
              <a:ln w="9525">
                <a:solidFill>
                  <a:schemeClr val="accent1"/>
                </a:solidFill>
              </a:ln>
              <a:effectLst/>
            </c:spPr>
          </c:marker>
          <c:dLbls>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'Design Category'!$B$20:$H$20</c:f>
              <c:numCache>
                <c:formatCode>d\-mmm\-yy</c:formatCode>
                <c:ptCount val="7"/>
                <c:pt idx="0">
                  <c:v>43830</c:v>
                </c:pt>
                <c:pt idx="1">
                  <c:v>43921</c:v>
                </c:pt>
                <c:pt idx="2">
                  <c:v>44012</c:v>
                </c:pt>
                <c:pt idx="3">
                  <c:v>44104</c:v>
                </c:pt>
                <c:pt idx="4">
                  <c:v>44196</c:v>
                </c:pt>
                <c:pt idx="5">
                  <c:v>44286</c:v>
                </c:pt>
                <c:pt idx="6">
                  <c:v>44377</c:v>
                </c:pt>
              </c:numCache>
            </c:numRef>
          </c:cat>
          <c:val>
            <c:numRef>
              <c:f>'Design Category'!$B$21:$H$21</c:f>
              <c:numCache>
                <c:formatCode>General</c:formatCode>
                <c:ptCount val="7"/>
                <c:pt idx="0">
                  <c:v>1934</c:v>
                </c:pt>
                <c:pt idx="1">
                  <c:v>1906</c:v>
                </c:pt>
                <c:pt idx="2">
                  <c:v>1936</c:v>
                </c:pt>
                <c:pt idx="3">
                  <c:v>1937</c:v>
                </c:pt>
                <c:pt idx="4">
                  <c:v>2005</c:v>
                </c:pt>
                <c:pt idx="5">
                  <c:v>2030</c:v>
                </c:pt>
                <c:pt idx="6">
                  <c:v>2167</c:v>
                </c:pt>
              </c:numCache>
            </c:numRef>
          </c:val>
          <c:smooth val="0"/>
          <c:extLst>
            <c:ext xmlns:c16="http://schemas.microsoft.com/office/drawing/2014/chart" uri="{C3380CC4-5D6E-409C-BE32-E72D297353CC}">
              <c16:uniqueId val="{00000000-6414-435E-A434-79DEDA6F6275}"/>
            </c:ext>
          </c:extLst>
        </c:ser>
        <c:ser>
          <c:idx val="1"/>
          <c:order val="1"/>
          <c:tx>
            <c:strRef>
              <c:f>'Design Category'!$A$22</c:f>
              <c:strCache>
                <c:ptCount val="1"/>
                <c:pt idx="0">
                  <c:v>Improved liveability</c:v>
                </c:pt>
              </c:strCache>
            </c:strRef>
          </c:tx>
          <c:spPr>
            <a:ln w="15875" cap="rnd">
              <a:solidFill>
                <a:schemeClr val="accent2"/>
              </a:solidFill>
              <a:round/>
            </a:ln>
            <a:effectLst/>
          </c:spPr>
          <c:marker>
            <c:symbol val="circle"/>
            <c:size val="4"/>
            <c:spPr>
              <a:solidFill>
                <a:schemeClr val="accent2"/>
              </a:solidFill>
              <a:ln w="9525">
                <a:solidFill>
                  <a:schemeClr val="accent2"/>
                </a:solidFill>
              </a:ln>
              <a:effectLst/>
            </c:spPr>
          </c:marker>
          <c:dLbls>
            <c:dLbl>
              <c:idx val="5"/>
              <c:layout>
                <c:manualLayout>
                  <c:x val="-2.0967475648010752E-2"/>
                  <c:y val="3.014221283851447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414-435E-A434-79DEDA6F6275}"/>
                </c:ext>
              </c:extLst>
            </c:dLbl>
            <c:dLbl>
              <c:idx val="6"/>
              <c:layout>
                <c:manualLayout>
                  <c:x val="-3.0960602005405208E-2"/>
                  <c:y val="2.69179899998533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6414-435E-A434-79DEDA6F6275}"/>
                </c:ext>
              </c:extLst>
            </c:dLbl>
            <c:dLbl>
              <c:idx val="7"/>
              <c:layout>
                <c:manualLayout>
                  <c:x val="-2.0967475648010752E-2"/>
                  <c:y val="3.01422128385144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414-435E-A434-79DEDA6F6275}"/>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'Design Category'!$B$20:$H$20</c:f>
              <c:numCache>
                <c:formatCode>d\-mmm\-yy</c:formatCode>
                <c:ptCount val="7"/>
                <c:pt idx="0">
                  <c:v>43830</c:v>
                </c:pt>
                <c:pt idx="1">
                  <c:v>43921</c:v>
                </c:pt>
                <c:pt idx="2">
                  <c:v>44012</c:v>
                </c:pt>
                <c:pt idx="3">
                  <c:v>44104</c:v>
                </c:pt>
                <c:pt idx="4">
                  <c:v>44196</c:v>
                </c:pt>
                <c:pt idx="5">
                  <c:v>44286</c:v>
                </c:pt>
                <c:pt idx="6">
                  <c:v>44377</c:v>
                </c:pt>
              </c:numCache>
            </c:numRef>
          </c:cat>
          <c:val>
            <c:numRef>
              <c:f>'Design Category'!$B$22:$H$22</c:f>
              <c:numCache>
                <c:formatCode>General</c:formatCode>
                <c:ptCount val="7"/>
                <c:pt idx="0">
                  <c:v>847</c:v>
                </c:pt>
                <c:pt idx="1">
                  <c:v>892</c:v>
                </c:pt>
                <c:pt idx="2">
                  <c:v>927</c:v>
                </c:pt>
                <c:pt idx="3">
                  <c:v>943</c:v>
                </c:pt>
                <c:pt idx="4">
                  <c:v>1032</c:v>
                </c:pt>
                <c:pt idx="5">
                  <c:v>1072</c:v>
                </c:pt>
                <c:pt idx="6">
                  <c:v>1315</c:v>
                </c:pt>
              </c:numCache>
            </c:numRef>
          </c:val>
          <c:smooth val="0"/>
          <c:extLst>
            <c:ext xmlns:c16="http://schemas.microsoft.com/office/drawing/2014/chart" uri="{C3380CC4-5D6E-409C-BE32-E72D297353CC}">
              <c16:uniqueId val="{00000004-6414-435E-A434-79DEDA6F6275}"/>
            </c:ext>
          </c:extLst>
        </c:ser>
        <c:ser>
          <c:idx val="2"/>
          <c:order val="2"/>
          <c:tx>
            <c:strRef>
              <c:f>'Design Category'!$A$23</c:f>
              <c:strCache>
                <c:ptCount val="1"/>
                <c:pt idx="0">
                  <c:v>High physical support</c:v>
                </c:pt>
              </c:strCache>
            </c:strRef>
          </c:tx>
          <c:spPr>
            <a:ln w="19050" cap="rnd">
              <a:solidFill>
                <a:schemeClr val="accent3"/>
              </a:solidFill>
              <a:round/>
            </a:ln>
            <a:effectLst/>
          </c:spPr>
          <c:marker>
            <c:symbol val="circle"/>
            <c:size val="4"/>
            <c:spPr>
              <a:solidFill>
                <a:schemeClr val="accent3"/>
              </a:solidFill>
              <a:ln w="9525">
                <a:solidFill>
                  <a:schemeClr val="accent3"/>
                </a:solidFill>
              </a:ln>
              <a:effectLst/>
            </c:spPr>
          </c:marker>
          <c:dLbls>
            <c:dLbl>
              <c:idx val="0"/>
              <c:layout>
                <c:manualLayout>
                  <c:x val="-2.2878438666250254E-2"/>
                  <c:y val="2.607076350093096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6414-435E-A434-79DEDA6F6275}"/>
                </c:ext>
              </c:extLst>
            </c:dLbl>
            <c:dLbl>
              <c:idx val="1"/>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6414-435E-A434-79DEDA6F6275}"/>
                </c:ext>
              </c:extLst>
            </c:dLbl>
            <c:dLbl>
              <c:idx val="2"/>
              <c:layout>
                <c:manualLayout>
                  <c:x val="-2.9525901551249147E-2"/>
                  <c:y val="-3.267232657370342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6414-435E-A434-79DEDA6F6275}"/>
                </c:ext>
              </c:extLst>
            </c:dLbl>
            <c:dLbl>
              <c:idx val="3"/>
              <c:layout>
                <c:manualLayout>
                  <c:x val="-2.4444867059466087E-2"/>
                  <c:y val="2.900980952799894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6414-435E-A434-79DEDA6F6275}"/>
                </c:ext>
              </c:extLst>
            </c:dLbl>
            <c:dLbl>
              <c:idx val="4"/>
              <c:layout>
                <c:manualLayout>
                  <c:x val="-3.2661200974961307E-2"/>
                  <c:y val="3.05960497954514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6414-435E-A434-79DEDA6F6275}"/>
                </c:ext>
              </c:extLst>
            </c:dLbl>
            <c:dLbl>
              <c:idx val="5"/>
              <c:layout>
                <c:manualLayout>
                  <c:x val="-3.9823885852070397E-2"/>
                  <c:y val="-2.234636871508386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6414-435E-A434-79DEDA6F6275}"/>
                </c:ext>
              </c:extLst>
            </c:dLbl>
            <c:dLbl>
              <c:idx val="6"/>
              <c:layout>
                <c:manualLayout>
                  <c:x val="-2.6013799510347647E-2"/>
                  <c:y val="-4.016736048782784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6414-435E-A434-79DEDA6F6275}"/>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'Design Category'!$B$20:$H$20</c:f>
              <c:numCache>
                <c:formatCode>d\-mmm\-yy</c:formatCode>
                <c:ptCount val="7"/>
                <c:pt idx="0">
                  <c:v>43830</c:v>
                </c:pt>
                <c:pt idx="1">
                  <c:v>43921</c:v>
                </c:pt>
                <c:pt idx="2">
                  <c:v>44012</c:v>
                </c:pt>
                <c:pt idx="3">
                  <c:v>44104</c:v>
                </c:pt>
                <c:pt idx="4">
                  <c:v>44196</c:v>
                </c:pt>
                <c:pt idx="5">
                  <c:v>44286</c:v>
                </c:pt>
                <c:pt idx="6">
                  <c:v>44377</c:v>
                </c:pt>
              </c:numCache>
            </c:numRef>
          </c:cat>
          <c:val>
            <c:numRef>
              <c:f>'Design Category'!$B$23:$H$23</c:f>
              <c:numCache>
                <c:formatCode>General</c:formatCode>
                <c:ptCount val="7"/>
                <c:pt idx="0">
                  <c:v>455</c:v>
                </c:pt>
                <c:pt idx="1">
                  <c:v>572</c:v>
                </c:pt>
                <c:pt idx="2">
                  <c:v>691</c:v>
                </c:pt>
                <c:pt idx="3">
                  <c:v>785</c:v>
                </c:pt>
                <c:pt idx="4">
                  <c:v>1007</c:v>
                </c:pt>
                <c:pt idx="5">
                  <c:v>1079</c:v>
                </c:pt>
                <c:pt idx="6">
                  <c:v>1448</c:v>
                </c:pt>
              </c:numCache>
            </c:numRef>
          </c:val>
          <c:smooth val="0"/>
          <c:extLst>
            <c:ext xmlns:c16="http://schemas.microsoft.com/office/drawing/2014/chart" uri="{C3380CC4-5D6E-409C-BE32-E72D297353CC}">
              <c16:uniqueId val="{0000000C-6414-435E-A434-79DEDA6F6275}"/>
            </c:ext>
          </c:extLst>
        </c:ser>
        <c:ser>
          <c:idx val="3"/>
          <c:order val="3"/>
          <c:tx>
            <c:strRef>
              <c:f>'Design Category'!$A$24</c:f>
              <c:strCache>
                <c:ptCount val="1"/>
                <c:pt idx="0">
                  <c:v>Robust</c:v>
                </c:pt>
              </c:strCache>
            </c:strRef>
          </c:tx>
          <c:spPr>
            <a:ln w="19050" cap="rnd">
              <a:solidFill>
                <a:schemeClr val="accent4"/>
              </a:solidFill>
              <a:round/>
            </a:ln>
            <a:effectLst/>
          </c:spPr>
          <c:marker>
            <c:symbol val="circle"/>
            <c:size val="4"/>
            <c:spPr>
              <a:solidFill>
                <a:schemeClr val="accent4"/>
              </a:solidFill>
              <a:ln w="9525">
                <a:solidFill>
                  <a:schemeClr val="accent4"/>
                </a:solidFill>
              </a:ln>
              <a:effectLst/>
            </c:spPr>
          </c:marker>
          <c:dLbls>
            <c:dLbl>
              <c:idx val="0"/>
              <c:layout>
                <c:manualLayout>
                  <c:x val="-5.6115753091244717E-2"/>
                  <c:y val="-1.777474743031436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6414-435E-A434-79DEDA6F6275}"/>
                </c:ext>
              </c:extLst>
            </c:dLbl>
            <c:dLbl>
              <c:idx val="1"/>
              <c:layout>
                <c:manualLayout>
                  <c:x val="-2.9525901551249147E-2"/>
                  <c:y val="-2.894793178785612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6414-435E-A434-79DEDA6F6275}"/>
                </c:ext>
              </c:extLst>
            </c:dLbl>
            <c:dLbl>
              <c:idx val="2"/>
              <c:layout>
                <c:manualLayout>
                  <c:x val="-2.7310080589582848E-2"/>
                  <c:y val="-3.639672135955086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6414-435E-A434-79DEDA6F6275}"/>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'Design Category'!$B$20:$H$20</c:f>
              <c:numCache>
                <c:formatCode>d\-mmm\-yy</c:formatCode>
                <c:ptCount val="7"/>
                <c:pt idx="0">
                  <c:v>43830</c:v>
                </c:pt>
                <c:pt idx="1">
                  <c:v>43921</c:v>
                </c:pt>
                <c:pt idx="2">
                  <c:v>44012</c:v>
                </c:pt>
                <c:pt idx="3">
                  <c:v>44104</c:v>
                </c:pt>
                <c:pt idx="4">
                  <c:v>44196</c:v>
                </c:pt>
                <c:pt idx="5">
                  <c:v>44286</c:v>
                </c:pt>
                <c:pt idx="6">
                  <c:v>44377</c:v>
                </c:pt>
              </c:numCache>
            </c:numRef>
          </c:cat>
          <c:val>
            <c:numRef>
              <c:f>'Design Category'!$B$24:$H$24</c:f>
              <c:numCache>
                <c:formatCode>General</c:formatCode>
                <c:ptCount val="7"/>
                <c:pt idx="0">
                  <c:v>191</c:v>
                </c:pt>
                <c:pt idx="1">
                  <c:v>204</c:v>
                </c:pt>
                <c:pt idx="2">
                  <c:v>217</c:v>
                </c:pt>
                <c:pt idx="3">
                  <c:v>216</c:v>
                </c:pt>
                <c:pt idx="4">
                  <c:v>242</c:v>
                </c:pt>
                <c:pt idx="5">
                  <c:v>254</c:v>
                </c:pt>
                <c:pt idx="6">
                  <c:v>379</c:v>
                </c:pt>
              </c:numCache>
            </c:numRef>
          </c:val>
          <c:smooth val="0"/>
          <c:extLst>
            <c:ext xmlns:c16="http://schemas.microsoft.com/office/drawing/2014/chart" uri="{C3380CC4-5D6E-409C-BE32-E72D297353CC}">
              <c16:uniqueId val="{00000010-6414-435E-A434-79DEDA6F6275}"/>
            </c:ext>
          </c:extLst>
        </c:ser>
        <c:ser>
          <c:idx val="4"/>
          <c:order val="4"/>
          <c:tx>
            <c:strRef>
              <c:f>'Design Category'!$A$25</c:f>
              <c:strCache>
                <c:ptCount val="1"/>
                <c:pt idx="0">
                  <c:v>Fully accessible</c:v>
                </c:pt>
              </c:strCache>
            </c:strRef>
          </c:tx>
          <c:spPr>
            <a:ln w="19050" cap="rnd">
              <a:solidFill>
                <a:schemeClr val="accent5"/>
              </a:solidFill>
              <a:round/>
            </a:ln>
            <a:effectLst/>
          </c:spPr>
          <c:marker>
            <c:symbol val="circle"/>
            <c:size val="4"/>
            <c:spPr>
              <a:solidFill>
                <a:schemeClr val="accent5"/>
              </a:solidFill>
              <a:ln w="9525">
                <a:solidFill>
                  <a:schemeClr val="accent5"/>
                </a:solidFill>
              </a:ln>
              <a:effectLst/>
            </c:spPr>
          </c:marker>
          <c:dLbls>
            <c:dLbl>
              <c:idx val="1"/>
              <c:layout>
                <c:manualLayout>
                  <c:x val="-2.8215950072494025E-2"/>
                  <c:y val="3.237378847197173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6414-435E-A434-79DEDA6F6275}"/>
                </c:ext>
              </c:extLst>
            </c:dLbl>
            <c:dLbl>
              <c:idx val="2"/>
              <c:layout>
                <c:manualLayout>
                  <c:x val="-2.9525901551249147E-2"/>
                  <c:y val="3.064238478570066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6414-435E-A434-79DEDA6F6275}"/>
                </c:ext>
              </c:extLst>
            </c:dLbl>
            <c:dLbl>
              <c:idx val="3"/>
              <c:layout>
                <c:manualLayout>
                  <c:x val="-1.9352652012062699E-2"/>
                  <c:y val="3.237373286561602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6414-435E-A434-79DEDA6F6275}"/>
                </c:ext>
              </c:extLst>
            </c:dLbl>
            <c:dLbl>
              <c:idx val="4"/>
              <c:layout>
                <c:manualLayout>
                  <c:x val="-2.9525901551249227E-2"/>
                  <c:y val="-3.267232657370342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6414-435E-A434-79DEDA6F6275}"/>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'Design Category'!$B$20:$H$20</c:f>
              <c:numCache>
                <c:formatCode>d\-mmm\-yy</c:formatCode>
                <c:ptCount val="7"/>
                <c:pt idx="0">
                  <c:v>43830</c:v>
                </c:pt>
                <c:pt idx="1">
                  <c:v>43921</c:v>
                </c:pt>
                <c:pt idx="2">
                  <c:v>44012</c:v>
                </c:pt>
                <c:pt idx="3">
                  <c:v>44104</c:v>
                </c:pt>
                <c:pt idx="4">
                  <c:v>44196</c:v>
                </c:pt>
                <c:pt idx="5">
                  <c:v>44286</c:v>
                </c:pt>
                <c:pt idx="6">
                  <c:v>44377</c:v>
                </c:pt>
              </c:numCache>
            </c:numRef>
          </c:cat>
          <c:val>
            <c:numRef>
              <c:f>'Design Category'!$B$25:$H$25</c:f>
              <c:numCache>
                <c:formatCode>General</c:formatCode>
                <c:ptCount val="7"/>
                <c:pt idx="0">
                  <c:v>511</c:v>
                </c:pt>
                <c:pt idx="1">
                  <c:v>549</c:v>
                </c:pt>
                <c:pt idx="2">
                  <c:v>589</c:v>
                </c:pt>
                <c:pt idx="3">
                  <c:v>597</c:v>
                </c:pt>
                <c:pt idx="4">
                  <c:v>635</c:v>
                </c:pt>
                <c:pt idx="5">
                  <c:v>674</c:v>
                </c:pt>
                <c:pt idx="6">
                  <c:v>915</c:v>
                </c:pt>
              </c:numCache>
            </c:numRef>
          </c:val>
          <c:smooth val="0"/>
          <c:extLst>
            <c:ext xmlns:c16="http://schemas.microsoft.com/office/drawing/2014/chart" uri="{C3380CC4-5D6E-409C-BE32-E72D297353CC}">
              <c16:uniqueId val="{00000015-6414-435E-A434-79DEDA6F6275}"/>
            </c:ext>
          </c:extLst>
        </c:ser>
        <c:dLbls>
          <c:showLegendKey val="0"/>
          <c:showVal val="0"/>
          <c:showCatName val="0"/>
          <c:showSerName val="0"/>
          <c:showPercent val="0"/>
          <c:showBubbleSize val="0"/>
        </c:dLbls>
        <c:marker val="1"/>
        <c:smooth val="0"/>
        <c:axId val="474481936"/>
        <c:axId val="474483904"/>
      </c:lineChart>
      <c:catAx>
        <c:axId val="474481936"/>
        <c:scaling>
          <c:orientation val="minMax"/>
        </c:scaling>
        <c:delete val="0"/>
        <c:axPos val="b"/>
        <c:numFmt formatCode="d\-mmm\-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4483904"/>
        <c:crosses val="autoZero"/>
        <c:auto val="0"/>
        <c:lblAlgn val="ctr"/>
        <c:lblOffset val="100"/>
        <c:noMultiLvlLbl val="0"/>
      </c:catAx>
      <c:valAx>
        <c:axId val="4744839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a:t>Number of dwellings</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44819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9056507131757371E-2"/>
          <c:y val="6.1714110144700157E-2"/>
          <c:w val="0.65949543793244148"/>
          <c:h val="0.85975695010647757"/>
        </c:manualLayout>
      </c:layout>
      <c:lineChart>
        <c:grouping val="standard"/>
        <c:varyColors val="0"/>
        <c:ser>
          <c:idx val="0"/>
          <c:order val="0"/>
          <c:tx>
            <c:strRef>
              <c:f>'Max.No. of Residents'!$A$23:$B$23</c:f>
              <c:strCache>
                <c:ptCount val="2"/>
                <c:pt idx="0">
                  <c:v>Max. one resident</c:v>
                </c:pt>
              </c:strCache>
            </c:strRef>
          </c:tx>
          <c:spPr>
            <a:ln w="19050" cap="rnd">
              <a:solidFill>
                <a:schemeClr val="accent1"/>
              </a:solidFill>
              <a:round/>
            </a:ln>
            <a:effectLst/>
          </c:spPr>
          <c:marker>
            <c:symbol val="none"/>
          </c:marker>
          <c:cat>
            <c:numRef>
              <c:f>'Max.No. of Residents'!$C$22:$I$22</c:f>
              <c:numCache>
                <c:formatCode>d\-mmm\-yy</c:formatCode>
                <c:ptCount val="7"/>
                <c:pt idx="0">
                  <c:v>43830</c:v>
                </c:pt>
                <c:pt idx="1">
                  <c:v>43921</c:v>
                </c:pt>
                <c:pt idx="2">
                  <c:v>44012</c:v>
                </c:pt>
                <c:pt idx="3">
                  <c:v>44104</c:v>
                </c:pt>
                <c:pt idx="4">
                  <c:v>44196</c:v>
                </c:pt>
                <c:pt idx="5">
                  <c:v>44286</c:v>
                </c:pt>
                <c:pt idx="6">
                  <c:v>44377</c:v>
                </c:pt>
              </c:numCache>
            </c:numRef>
          </c:cat>
          <c:val>
            <c:numRef>
              <c:f>'Max.No. of Residents'!$C$23:$I$23</c:f>
              <c:numCache>
                <c:formatCode>General</c:formatCode>
                <c:ptCount val="7"/>
                <c:pt idx="0">
                  <c:v>960</c:v>
                </c:pt>
                <c:pt idx="1">
                  <c:v>1056</c:v>
                </c:pt>
                <c:pt idx="2">
                  <c:v>1190</c:v>
                </c:pt>
                <c:pt idx="3">
                  <c:v>1285</c:v>
                </c:pt>
                <c:pt idx="4">
                  <c:v>1437</c:v>
                </c:pt>
                <c:pt idx="5">
                  <c:v>1495</c:v>
                </c:pt>
                <c:pt idx="6">
                  <c:v>1779</c:v>
                </c:pt>
              </c:numCache>
            </c:numRef>
          </c:val>
          <c:smooth val="0"/>
          <c:extLst>
            <c:ext xmlns:c16="http://schemas.microsoft.com/office/drawing/2014/chart" uri="{C3380CC4-5D6E-409C-BE32-E72D297353CC}">
              <c16:uniqueId val="{00000000-15F6-439E-9F72-81B2122427B8}"/>
            </c:ext>
          </c:extLst>
        </c:ser>
        <c:ser>
          <c:idx val="1"/>
          <c:order val="1"/>
          <c:tx>
            <c:strRef>
              <c:f>'Max.No. of Residents'!$A$24:$B$24</c:f>
              <c:strCache>
                <c:ptCount val="2"/>
                <c:pt idx="0">
                  <c:v>Max. two residents</c:v>
                </c:pt>
              </c:strCache>
            </c:strRef>
          </c:tx>
          <c:spPr>
            <a:ln w="19050" cap="rnd">
              <a:solidFill>
                <a:schemeClr val="accent2"/>
              </a:solidFill>
              <a:round/>
            </a:ln>
            <a:effectLst/>
          </c:spPr>
          <c:marker>
            <c:symbol val="none"/>
          </c:marker>
          <c:cat>
            <c:numRef>
              <c:f>'Max.No. of Residents'!$C$22:$I$22</c:f>
              <c:numCache>
                <c:formatCode>d\-mmm\-yy</c:formatCode>
                <c:ptCount val="7"/>
                <c:pt idx="0">
                  <c:v>43830</c:v>
                </c:pt>
                <c:pt idx="1">
                  <c:v>43921</c:v>
                </c:pt>
                <c:pt idx="2">
                  <c:v>44012</c:v>
                </c:pt>
                <c:pt idx="3">
                  <c:v>44104</c:v>
                </c:pt>
                <c:pt idx="4">
                  <c:v>44196</c:v>
                </c:pt>
                <c:pt idx="5">
                  <c:v>44286</c:v>
                </c:pt>
                <c:pt idx="6">
                  <c:v>44377</c:v>
                </c:pt>
              </c:numCache>
            </c:numRef>
          </c:cat>
          <c:val>
            <c:numRef>
              <c:f>'Max.No. of Residents'!$C$24:$I$24</c:f>
              <c:numCache>
                <c:formatCode>General</c:formatCode>
                <c:ptCount val="7"/>
                <c:pt idx="0">
                  <c:v>955</c:v>
                </c:pt>
                <c:pt idx="1">
                  <c:v>986</c:v>
                </c:pt>
                <c:pt idx="2">
                  <c:v>1026</c:v>
                </c:pt>
                <c:pt idx="3">
                  <c:v>1030</c:v>
                </c:pt>
                <c:pt idx="4">
                  <c:v>1147</c:v>
                </c:pt>
                <c:pt idx="5">
                  <c:v>1217</c:v>
                </c:pt>
                <c:pt idx="6">
                  <c:v>1341</c:v>
                </c:pt>
              </c:numCache>
            </c:numRef>
          </c:val>
          <c:smooth val="0"/>
          <c:extLst>
            <c:ext xmlns:c16="http://schemas.microsoft.com/office/drawing/2014/chart" uri="{C3380CC4-5D6E-409C-BE32-E72D297353CC}">
              <c16:uniqueId val="{00000001-15F6-439E-9F72-81B2122427B8}"/>
            </c:ext>
          </c:extLst>
        </c:ser>
        <c:ser>
          <c:idx val="2"/>
          <c:order val="2"/>
          <c:tx>
            <c:strRef>
              <c:f>'Max.No. of Residents'!$A$25:$B$25</c:f>
              <c:strCache>
                <c:ptCount val="2"/>
                <c:pt idx="0">
                  <c:v>Max. three residents</c:v>
                </c:pt>
              </c:strCache>
            </c:strRef>
          </c:tx>
          <c:spPr>
            <a:ln w="19050" cap="rnd">
              <a:solidFill>
                <a:schemeClr val="accent3"/>
              </a:solidFill>
              <a:round/>
            </a:ln>
            <a:effectLst/>
          </c:spPr>
          <c:marker>
            <c:symbol val="none"/>
          </c:marker>
          <c:cat>
            <c:numRef>
              <c:f>'Max.No. of Residents'!$C$22:$I$22</c:f>
              <c:numCache>
                <c:formatCode>d\-mmm\-yy</c:formatCode>
                <c:ptCount val="7"/>
                <c:pt idx="0">
                  <c:v>43830</c:v>
                </c:pt>
                <c:pt idx="1">
                  <c:v>43921</c:v>
                </c:pt>
                <c:pt idx="2">
                  <c:v>44012</c:v>
                </c:pt>
                <c:pt idx="3">
                  <c:v>44104</c:v>
                </c:pt>
                <c:pt idx="4">
                  <c:v>44196</c:v>
                </c:pt>
                <c:pt idx="5">
                  <c:v>44286</c:v>
                </c:pt>
                <c:pt idx="6">
                  <c:v>44377</c:v>
                </c:pt>
              </c:numCache>
            </c:numRef>
          </c:cat>
          <c:val>
            <c:numRef>
              <c:f>'Max.No. of Residents'!$C$25:$I$25</c:f>
              <c:numCache>
                <c:formatCode>General</c:formatCode>
                <c:ptCount val="7"/>
                <c:pt idx="0">
                  <c:v>456</c:v>
                </c:pt>
                <c:pt idx="1">
                  <c:v>480</c:v>
                </c:pt>
                <c:pt idx="2">
                  <c:v>510</c:v>
                </c:pt>
                <c:pt idx="3">
                  <c:v>520</c:v>
                </c:pt>
                <c:pt idx="4">
                  <c:v>605</c:v>
                </c:pt>
                <c:pt idx="5">
                  <c:v>649</c:v>
                </c:pt>
                <c:pt idx="6">
                  <c:v>750</c:v>
                </c:pt>
              </c:numCache>
            </c:numRef>
          </c:val>
          <c:smooth val="0"/>
          <c:extLst>
            <c:ext xmlns:c16="http://schemas.microsoft.com/office/drawing/2014/chart" uri="{C3380CC4-5D6E-409C-BE32-E72D297353CC}">
              <c16:uniqueId val="{00000002-15F6-439E-9F72-81B2122427B8}"/>
            </c:ext>
          </c:extLst>
        </c:ser>
        <c:ser>
          <c:idx val="3"/>
          <c:order val="3"/>
          <c:tx>
            <c:strRef>
              <c:f>'Max.No. of Residents'!$A$26:$B$26</c:f>
              <c:strCache>
                <c:ptCount val="2"/>
                <c:pt idx="0">
                  <c:v>Max. four residents</c:v>
                </c:pt>
              </c:strCache>
            </c:strRef>
          </c:tx>
          <c:spPr>
            <a:ln w="19050" cap="rnd">
              <a:solidFill>
                <a:schemeClr val="accent4"/>
              </a:solidFill>
              <a:round/>
            </a:ln>
            <a:effectLst/>
          </c:spPr>
          <c:marker>
            <c:symbol val="none"/>
          </c:marker>
          <c:cat>
            <c:numRef>
              <c:f>'Max.No. of Residents'!$C$22:$I$22</c:f>
              <c:numCache>
                <c:formatCode>d\-mmm\-yy</c:formatCode>
                <c:ptCount val="7"/>
                <c:pt idx="0">
                  <c:v>43830</c:v>
                </c:pt>
                <c:pt idx="1">
                  <c:v>43921</c:v>
                </c:pt>
                <c:pt idx="2">
                  <c:v>44012</c:v>
                </c:pt>
                <c:pt idx="3">
                  <c:v>44104</c:v>
                </c:pt>
                <c:pt idx="4">
                  <c:v>44196</c:v>
                </c:pt>
                <c:pt idx="5">
                  <c:v>44286</c:v>
                </c:pt>
                <c:pt idx="6">
                  <c:v>44377</c:v>
                </c:pt>
              </c:numCache>
            </c:numRef>
          </c:cat>
          <c:val>
            <c:numRef>
              <c:f>'Max.No. of Residents'!$C$26:$I$26</c:f>
              <c:numCache>
                <c:formatCode>General</c:formatCode>
                <c:ptCount val="7"/>
                <c:pt idx="0">
                  <c:v>522</c:v>
                </c:pt>
                <c:pt idx="1">
                  <c:v>542</c:v>
                </c:pt>
                <c:pt idx="2">
                  <c:v>555</c:v>
                </c:pt>
                <c:pt idx="3">
                  <c:v>558</c:v>
                </c:pt>
                <c:pt idx="4">
                  <c:v>597</c:v>
                </c:pt>
                <c:pt idx="5">
                  <c:v>609</c:v>
                </c:pt>
                <c:pt idx="6">
                  <c:v>712</c:v>
                </c:pt>
              </c:numCache>
            </c:numRef>
          </c:val>
          <c:smooth val="0"/>
          <c:extLst>
            <c:ext xmlns:c16="http://schemas.microsoft.com/office/drawing/2014/chart" uri="{C3380CC4-5D6E-409C-BE32-E72D297353CC}">
              <c16:uniqueId val="{00000003-15F6-439E-9F72-81B2122427B8}"/>
            </c:ext>
          </c:extLst>
        </c:ser>
        <c:ser>
          <c:idx val="4"/>
          <c:order val="4"/>
          <c:tx>
            <c:strRef>
              <c:f>'Max.No. of Residents'!$A$27:$B$27</c:f>
              <c:strCache>
                <c:ptCount val="2"/>
                <c:pt idx="0">
                  <c:v>Max. five residents</c:v>
                </c:pt>
              </c:strCache>
            </c:strRef>
          </c:tx>
          <c:spPr>
            <a:ln w="19050" cap="rnd">
              <a:solidFill>
                <a:schemeClr val="accent5"/>
              </a:solidFill>
              <a:round/>
            </a:ln>
            <a:effectLst/>
          </c:spPr>
          <c:marker>
            <c:symbol val="none"/>
          </c:marker>
          <c:cat>
            <c:numRef>
              <c:f>'Max.No. of Residents'!$C$22:$I$22</c:f>
              <c:numCache>
                <c:formatCode>d\-mmm\-yy</c:formatCode>
                <c:ptCount val="7"/>
                <c:pt idx="0">
                  <c:v>43830</c:v>
                </c:pt>
                <c:pt idx="1">
                  <c:v>43921</c:v>
                </c:pt>
                <c:pt idx="2">
                  <c:v>44012</c:v>
                </c:pt>
                <c:pt idx="3">
                  <c:v>44104</c:v>
                </c:pt>
                <c:pt idx="4">
                  <c:v>44196</c:v>
                </c:pt>
                <c:pt idx="5">
                  <c:v>44286</c:v>
                </c:pt>
                <c:pt idx="6">
                  <c:v>44377</c:v>
                </c:pt>
              </c:numCache>
            </c:numRef>
          </c:cat>
          <c:val>
            <c:numRef>
              <c:f>'Max.No. of Residents'!$C$27:$I$27</c:f>
              <c:numCache>
                <c:formatCode>General</c:formatCode>
                <c:ptCount val="7"/>
                <c:pt idx="0">
                  <c:v>846</c:v>
                </c:pt>
                <c:pt idx="1">
                  <c:v>862</c:v>
                </c:pt>
                <c:pt idx="2">
                  <c:v>881</c:v>
                </c:pt>
                <c:pt idx="3">
                  <c:v>885</c:v>
                </c:pt>
                <c:pt idx="4">
                  <c:v>935</c:v>
                </c:pt>
                <c:pt idx="5">
                  <c:v>940</c:v>
                </c:pt>
                <c:pt idx="6">
                  <c:v>1332</c:v>
                </c:pt>
              </c:numCache>
            </c:numRef>
          </c:val>
          <c:smooth val="0"/>
          <c:extLst>
            <c:ext xmlns:c16="http://schemas.microsoft.com/office/drawing/2014/chart" uri="{C3380CC4-5D6E-409C-BE32-E72D297353CC}">
              <c16:uniqueId val="{00000004-15F6-439E-9F72-81B2122427B8}"/>
            </c:ext>
          </c:extLst>
        </c:ser>
        <c:ser>
          <c:idx val="5"/>
          <c:order val="5"/>
          <c:tx>
            <c:strRef>
              <c:f>'Max.No. of Residents'!$A$28:$B$28</c:f>
              <c:strCache>
                <c:ptCount val="2"/>
                <c:pt idx="0">
                  <c:v>Max. six or more residents</c:v>
                </c:pt>
              </c:strCache>
            </c:strRef>
          </c:tx>
          <c:spPr>
            <a:ln w="19050" cap="rnd">
              <a:solidFill>
                <a:schemeClr val="accent6"/>
              </a:solidFill>
              <a:round/>
            </a:ln>
            <a:effectLst/>
          </c:spPr>
          <c:marker>
            <c:symbol val="none"/>
          </c:marker>
          <c:cat>
            <c:numRef>
              <c:f>'Max.No. of Residents'!$C$22:$I$22</c:f>
              <c:numCache>
                <c:formatCode>d\-mmm\-yy</c:formatCode>
                <c:ptCount val="7"/>
                <c:pt idx="0">
                  <c:v>43830</c:v>
                </c:pt>
                <c:pt idx="1">
                  <c:v>43921</c:v>
                </c:pt>
                <c:pt idx="2">
                  <c:v>44012</c:v>
                </c:pt>
                <c:pt idx="3">
                  <c:v>44104</c:v>
                </c:pt>
                <c:pt idx="4">
                  <c:v>44196</c:v>
                </c:pt>
                <c:pt idx="5">
                  <c:v>44286</c:v>
                </c:pt>
                <c:pt idx="6">
                  <c:v>44377</c:v>
                </c:pt>
              </c:numCache>
            </c:numRef>
          </c:cat>
          <c:val>
            <c:numRef>
              <c:f>'Max.No. of Residents'!$C$28:$I$28</c:f>
              <c:numCache>
                <c:formatCode>General</c:formatCode>
                <c:ptCount val="7"/>
                <c:pt idx="0">
                  <c:v>199</c:v>
                </c:pt>
                <c:pt idx="1">
                  <c:v>197</c:v>
                </c:pt>
                <c:pt idx="2">
                  <c:v>198</c:v>
                </c:pt>
                <c:pt idx="3">
                  <c:v>200</c:v>
                </c:pt>
                <c:pt idx="4">
                  <c:v>200</c:v>
                </c:pt>
                <c:pt idx="5">
                  <c:v>199</c:v>
                </c:pt>
                <c:pt idx="6">
                  <c:v>310</c:v>
                </c:pt>
              </c:numCache>
            </c:numRef>
          </c:val>
          <c:smooth val="0"/>
          <c:extLst>
            <c:ext xmlns:c16="http://schemas.microsoft.com/office/drawing/2014/chart" uri="{C3380CC4-5D6E-409C-BE32-E72D297353CC}">
              <c16:uniqueId val="{00000005-15F6-439E-9F72-81B2122427B8}"/>
            </c:ext>
          </c:extLst>
        </c:ser>
        <c:dLbls>
          <c:showLegendKey val="0"/>
          <c:showVal val="0"/>
          <c:showCatName val="0"/>
          <c:showSerName val="0"/>
          <c:showPercent val="0"/>
          <c:showBubbleSize val="0"/>
        </c:dLbls>
        <c:smooth val="0"/>
        <c:axId val="666586232"/>
        <c:axId val="666586560"/>
      </c:lineChart>
      <c:catAx>
        <c:axId val="666586232"/>
        <c:scaling>
          <c:orientation val="minMax"/>
        </c:scaling>
        <c:delete val="0"/>
        <c:axPos val="b"/>
        <c:numFmt formatCode="d\-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586560"/>
        <c:crosses val="autoZero"/>
        <c:auto val="0"/>
        <c:lblAlgn val="ctr"/>
        <c:lblOffset val="100"/>
        <c:noMultiLvlLbl val="0"/>
      </c:catAx>
      <c:valAx>
        <c:axId val="666586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a:t>Number of dwellings</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586232"/>
        <c:crosses val="autoZero"/>
        <c:crossBetween val="between"/>
      </c:valAx>
      <c:spPr>
        <a:noFill/>
        <a:ln>
          <a:noFill/>
        </a:ln>
        <a:effectLst/>
      </c:spPr>
    </c:plotArea>
    <c:legend>
      <c:legendPos val="r"/>
      <c:layout>
        <c:manualLayout>
          <c:xMode val="edge"/>
          <c:yMode val="edge"/>
          <c:x val="0.77235083211070499"/>
          <c:y val="8.2547697921609986E-2"/>
          <c:w val="0.22016876611482"/>
          <c:h val="0.80777872600415068"/>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strRef>
              <c:f>ST!$A$7</c:f>
              <c:strCache>
                <c:ptCount val="1"/>
                <c:pt idx="0">
                  <c:v>NSW</c:v>
                </c:pt>
              </c:strCache>
            </c:strRef>
          </c:tx>
          <c:spPr>
            <a:ln w="15875"/>
          </c:spPr>
          <c:marker>
            <c:symbol val="square"/>
            <c:size val="4"/>
          </c:marker>
          <c:dLbls>
            <c:delete val="1"/>
          </c:dLbls>
          <c:cat>
            <c:numRef>
              <c:f>ST!$C$3:$I$3</c:f>
              <c:numCache>
                <c:formatCode>d\-mmm\-yy</c:formatCode>
                <c:ptCount val="7"/>
                <c:pt idx="0">
                  <c:v>43830</c:v>
                </c:pt>
                <c:pt idx="1">
                  <c:v>43921</c:v>
                </c:pt>
                <c:pt idx="2">
                  <c:v>44012</c:v>
                </c:pt>
                <c:pt idx="3">
                  <c:v>44104</c:v>
                </c:pt>
                <c:pt idx="4">
                  <c:v>44196</c:v>
                </c:pt>
                <c:pt idx="5">
                  <c:v>44286</c:v>
                </c:pt>
                <c:pt idx="6">
                  <c:v>44377</c:v>
                </c:pt>
              </c:numCache>
            </c:numRef>
          </c:cat>
          <c:val>
            <c:numRef>
              <c:f>ST!$C$7:$I$7</c:f>
              <c:numCache>
                <c:formatCode>#,##0</c:formatCode>
                <c:ptCount val="7"/>
                <c:pt idx="0">
                  <c:v>1757</c:v>
                </c:pt>
                <c:pt idx="1">
                  <c:v>1885</c:v>
                </c:pt>
                <c:pt idx="2">
                  <c:v>1994</c:v>
                </c:pt>
                <c:pt idx="3">
                  <c:v>2042</c:v>
                </c:pt>
                <c:pt idx="4">
                  <c:v>2159</c:v>
                </c:pt>
                <c:pt idx="5">
                  <c:v>2242</c:v>
                </c:pt>
                <c:pt idx="6">
                  <c:v>2285</c:v>
                </c:pt>
              </c:numCache>
            </c:numRef>
          </c:val>
          <c:smooth val="0"/>
          <c:extLst>
            <c:ext xmlns:c16="http://schemas.microsoft.com/office/drawing/2014/chart" uri="{C3380CC4-5D6E-409C-BE32-E72D297353CC}">
              <c16:uniqueId val="{00000000-76C8-4302-974A-8EE412E3B0AE}"/>
            </c:ext>
          </c:extLst>
        </c:ser>
        <c:ser>
          <c:idx val="6"/>
          <c:order val="1"/>
          <c:tx>
            <c:strRef>
              <c:f>ST!$A$22</c:f>
              <c:strCache>
                <c:ptCount val="1"/>
                <c:pt idx="0">
                  <c:v>Vic</c:v>
                </c:pt>
              </c:strCache>
            </c:strRef>
          </c:tx>
          <c:spPr>
            <a:ln w="15875"/>
          </c:spPr>
          <c:marker>
            <c:symbol val="plus"/>
            <c:size val="4"/>
          </c:marker>
          <c:dLbls>
            <c:delete val="1"/>
          </c:dLbls>
          <c:cat>
            <c:numRef>
              <c:f>ST!$C$3:$I$3</c:f>
              <c:numCache>
                <c:formatCode>d\-mmm\-yy</c:formatCode>
                <c:ptCount val="7"/>
                <c:pt idx="0">
                  <c:v>43830</c:v>
                </c:pt>
                <c:pt idx="1">
                  <c:v>43921</c:v>
                </c:pt>
                <c:pt idx="2">
                  <c:v>44012</c:v>
                </c:pt>
                <c:pt idx="3">
                  <c:v>44104</c:v>
                </c:pt>
                <c:pt idx="4">
                  <c:v>44196</c:v>
                </c:pt>
                <c:pt idx="5">
                  <c:v>44286</c:v>
                </c:pt>
                <c:pt idx="6">
                  <c:v>44377</c:v>
                </c:pt>
              </c:numCache>
            </c:numRef>
          </c:cat>
          <c:val>
            <c:numRef>
              <c:f>ST!$C$22:$I$22</c:f>
              <c:numCache>
                <c:formatCode>#,##0</c:formatCode>
                <c:ptCount val="7"/>
                <c:pt idx="0">
                  <c:v>580</c:v>
                </c:pt>
                <c:pt idx="1">
                  <c:v>600</c:v>
                </c:pt>
                <c:pt idx="2">
                  <c:v>647</c:v>
                </c:pt>
                <c:pt idx="3">
                  <c:v>676</c:v>
                </c:pt>
                <c:pt idx="4">
                  <c:v>753</c:v>
                </c:pt>
                <c:pt idx="5">
                  <c:v>789</c:v>
                </c:pt>
                <c:pt idx="6">
                  <c:v>1693</c:v>
                </c:pt>
              </c:numCache>
            </c:numRef>
          </c:val>
          <c:smooth val="0"/>
          <c:extLst>
            <c:ext xmlns:c16="http://schemas.microsoft.com/office/drawing/2014/chart" uri="{C3380CC4-5D6E-409C-BE32-E72D297353CC}">
              <c16:uniqueId val="{00000001-76C8-4302-974A-8EE412E3B0AE}"/>
            </c:ext>
          </c:extLst>
        </c:ser>
        <c:ser>
          <c:idx val="4"/>
          <c:order val="2"/>
          <c:tx>
            <c:strRef>
              <c:f>ST!$A$16</c:f>
              <c:strCache>
                <c:ptCount val="1"/>
                <c:pt idx="0">
                  <c:v>SA</c:v>
                </c:pt>
              </c:strCache>
            </c:strRef>
          </c:tx>
          <c:spPr>
            <a:ln w="15875"/>
          </c:spPr>
          <c:marker>
            <c:symbol val="star"/>
            <c:size val="4"/>
          </c:marker>
          <c:dLbls>
            <c:delete val="1"/>
          </c:dLbls>
          <c:cat>
            <c:numRef>
              <c:f>ST!$C$3:$I$3</c:f>
              <c:numCache>
                <c:formatCode>d\-mmm\-yy</c:formatCode>
                <c:ptCount val="7"/>
                <c:pt idx="0">
                  <c:v>43830</c:v>
                </c:pt>
                <c:pt idx="1">
                  <c:v>43921</c:v>
                </c:pt>
                <c:pt idx="2">
                  <c:v>44012</c:v>
                </c:pt>
                <c:pt idx="3">
                  <c:v>44104</c:v>
                </c:pt>
                <c:pt idx="4">
                  <c:v>44196</c:v>
                </c:pt>
                <c:pt idx="5">
                  <c:v>44286</c:v>
                </c:pt>
                <c:pt idx="6">
                  <c:v>44377</c:v>
                </c:pt>
              </c:numCache>
            </c:numRef>
          </c:cat>
          <c:val>
            <c:numRef>
              <c:f>ST!$C$16:$I$16</c:f>
              <c:numCache>
                <c:formatCode>#,##0</c:formatCode>
                <c:ptCount val="7"/>
                <c:pt idx="0">
                  <c:v>968</c:v>
                </c:pt>
                <c:pt idx="1">
                  <c:v>960</c:v>
                </c:pt>
                <c:pt idx="2">
                  <c:v>1002</c:v>
                </c:pt>
                <c:pt idx="3">
                  <c:v>999</c:v>
                </c:pt>
                <c:pt idx="4">
                  <c:v>1010</c:v>
                </c:pt>
                <c:pt idx="5">
                  <c:v>1040</c:v>
                </c:pt>
                <c:pt idx="6">
                  <c:v>1126</c:v>
                </c:pt>
              </c:numCache>
            </c:numRef>
          </c:val>
          <c:smooth val="0"/>
          <c:extLst>
            <c:ext xmlns:c16="http://schemas.microsoft.com/office/drawing/2014/chart" uri="{C3380CC4-5D6E-409C-BE32-E72D297353CC}">
              <c16:uniqueId val="{00000002-76C8-4302-974A-8EE412E3B0AE}"/>
            </c:ext>
          </c:extLst>
        </c:ser>
        <c:ser>
          <c:idx val="3"/>
          <c:order val="3"/>
          <c:tx>
            <c:strRef>
              <c:f>ST!$A$13</c:f>
              <c:strCache>
                <c:ptCount val="1"/>
                <c:pt idx="0">
                  <c:v>Qld</c:v>
                </c:pt>
              </c:strCache>
            </c:strRef>
          </c:tx>
          <c:spPr>
            <a:ln w="15875"/>
          </c:spPr>
          <c:marker>
            <c:symbol val="x"/>
            <c:size val="4"/>
          </c:marker>
          <c:dLbls>
            <c:delete val="1"/>
          </c:dLbls>
          <c:cat>
            <c:numRef>
              <c:f>ST!$C$3:$I$3</c:f>
              <c:numCache>
                <c:formatCode>d\-mmm\-yy</c:formatCode>
                <c:ptCount val="7"/>
                <c:pt idx="0">
                  <c:v>43830</c:v>
                </c:pt>
                <c:pt idx="1">
                  <c:v>43921</c:v>
                </c:pt>
                <c:pt idx="2">
                  <c:v>44012</c:v>
                </c:pt>
                <c:pt idx="3">
                  <c:v>44104</c:v>
                </c:pt>
                <c:pt idx="4">
                  <c:v>44196</c:v>
                </c:pt>
                <c:pt idx="5">
                  <c:v>44286</c:v>
                </c:pt>
                <c:pt idx="6">
                  <c:v>44377</c:v>
                </c:pt>
              </c:numCache>
            </c:numRef>
          </c:cat>
          <c:val>
            <c:numRef>
              <c:f>ST!$C$13:$I$13</c:f>
              <c:numCache>
                <c:formatCode>#,##0</c:formatCode>
                <c:ptCount val="7"/>
                <c:pt idx="0">
                  <c:v>535</c:v>
                </c:pt>
                <c:pt idx="1">
                  <c:v>562</c:v>
                </c:pt>
                <c:pt idx="2">
                  <c:v>601</c:v>
                </c:pt>
                <c:pt idx="3">
                  <c:v>621</c:v>
                </c:pt>
                <c:pt idx="4">
                  <c:v>732</c:v>
                </c:pt>
                <c:pt idx="5">
                  <c:v>765</c:v>
                </c:pt>
                <c:pt idx="6">
                  <c:v>840</c:v>
                </c:pt>
              </c:numCache>
            </c:numRef>
          </c:val>
          <c:smooth val="0"/>
          <c:extLst>
            <c:ext xmlns:c16="http://schemas.microsoft.com/office/drawing/2014/chart" uri="{C3380CC4-5D6E-409C-BE32-E72D297353CC}">
              <c16:uniqueId val="{00000003-76C8-4302-974A-8EE412E3B0AE}"/>
            </c:ext>
          </c:extLst>
        </c:ser>
        <c:ser>
          <c:idx val="0"/>
          <c:order val="4"/>
          <c:tx>
            <c:strRef>
              <c:f>ST!$A$4</c:f>
              <c:strCache>
                <c:ptCount val="1"/>
                <c:pt idx="0">
                  <c:v>ACT</c:v>
                </c:pt>
              </c:strCache>
            </c:strRef>
          </c:tx>
          <c:spPr>
            <a:ln w="15875"/>
          </c:spPr>
          <c:marker>
            <c:symbol val="diamond"/>
            <c:size val="4"/>
          </c:marker>
          <c:dLbls>
            <c:delete val="1"/>
          </c:dLbls>
          <c:cat>
            <c:numRef>
              <c:f>ST!$C$3:$I$3</c:f>
              <c:numCache>
                <c:formatCode>d\-mmm\-yy</c:formatCode>
                <c:ptCount val="7"/>
                <c:pt idx="0">
                  <c:v>43830</c:v>
                </c:pt>
                <c:pt idx="1">
                  <c:v>43921</c:v>
                </c:pt>
                <c:pt idx="2">
                  <c:v>44012</c:v>
                </c:pt>
                <c:pt idx="3">
                  <c:v>44104</c:v>
                </c:pt>
                <c:pt idx="4">
                  <c:v>44196</c:v>
                </c:pt>
                <c:pt idx="5">
                  <c:v>44286</c:v>
                </c:pt>
                <c:pt idx="6">
                  <c:v>44377</c:v>
                </c:pt>
              </c:numCache>
            </c:numRef>
          </c:cat>
          <c:val>
            <c:numRef>
              <c:f>ST!$C$4:$I$4</c:f>
              <c:numCache>
                <c:formatCode>#,##0</c:formatCode>
                <c:ptCount val="7"/>
                <c:pt idx="0">
                  <c:v>11</c:v>
                </c:pt>
                <c:pt idx="1">
                  <c:v>19</c:v>
                </c:pt>
                <c:pt idx="2">
                  <c:v>19</c:v>
                </c:pt>
                <c:pt idx="3">
                  <c:v>30</c:v>
                </c:pt>
                <c:pt idx="4">
                  <c:v>142</c:v>
                </c:pt>
                <c:pt idx="5">
                  <c:v>142</c:v>
                </c:pt>
                <c:pt idx="6">
                  <c:v>143</c:v>
                </c:pt>
              </c:numCache>
            </c:numRef>
          </c:val>
          <c:smooth val="0"/>
          <c:extLst>
            <c:ext xmlns:c16="http://schemas.microsoft.com/office/drawing/2014/chart" uri="{C3380CC4-5D6E-409C-BE32-E72D297353CC}">
              <c16:uniqueId val="{00000004-76C8-4302-974A-8EE412E3B0AE}"/>
            </c:ext>
          </c:extLst>
        </c:ser>
        <c:ser>
          <c:idx val="7"/>
          <c:order val="5"/>
          <c:tx>
            <c:strRef>
              <c:f>ST!$A$25</c:f>
              <c:strCache>
                <c:ptCount val="1"/>
                <c:pt idx="0">
                  <c:v>WA</c:v>
                </c:pt>
              </c:strCache>
            </c:strRef>
          </c:tx>
          <c:spPr>
            <a:ln w="15875"/>
          </c:spPr>
          <c:marker>
            <c:symbol val="dot"/>
            <c:size val="4"/>
          </c:marker>
          <c:dLbls>
            <c:delete val="1"/>
          </c:dLbls>
          <c:cat>
            <c:numRef>
              <c:f>ST!$C$3:$I$3</c:f>
              <c:numCache>
                <c:formatCode>d\-mmm\-yy</c:formatCode>
                <c:ptCount val="7"/>
                <c:pt idx="0">
                  <c:v>43830</c:v>
                </c:pt>
                <c:pt idx="1">
                  <c:v>43921</c:v>
                </c:pt>
                <c:pt idx="2">
                  <c:v>44012</c:v>
                </c:pt>
                <c:pt idx="3">
                  <c:v>44104</c:v>
                </c:pt>
                <c:pt idx="4">
                  <c:v>44196</c:v>
                </c:pt>
                <c:pt idx="5">
                  <c:v>44286</c:v>
                </c:pt>
                <c:pt idx="6">
                  <c:v>44377</c:v>
                </c:pt>
              </c:numCache>
            </c:numRef>
          </c:cat>
          <c:val>
            <c:numRef>
              <c:f>ST!$C$25:$I$25</c:f>
              <c:numCache>
                <c:formatCode>#,##0</c:formatCode>
                <c:ptCount val="7"/>
                <c:pt idx="0">
                  <c:v>10</c:v>
                </c:pt>
                <c:pt idx="1">
                  <c:v>20</c:v>
                </c:pt>
                <c:pt idx="2">
                  <c:v>27</c:v>
                </c:pt>
                <c:pt idx="3">
                  <c:v>40</c:v>
                </c:pt>
                <c:pt idx="4">
                  <c:v>54</c:v>
                </c:pt>
                <c:pt idx="5">
                  <c:v>61</c:v>
                </c:pt>
                <c:pt idx="6">
                  <c:v>65</c:v>
                </c:pt>
              </c:numCache>
            </c:numRef>
          </c:val>
          <c:smooth val="0"/>
          <c:extLst>
            <c:ext xmlns:c16="http://schemas.microsoft.com/office/drawing/2014/chart" uri="{C3380CC4-5D6E-409C-BE32-E72D297353CC}">
              <c16:uniqueId val="{00000005-76C8-4302-974A-8EE412E3B0AE}"/>
            </c:ext>
          </c:extLst>
        </c:ser>
        <c:ser>
          <c:idx val="5"/>
          <c:order val="6"/>
          <c:tx>
            <c:strRef>
              <c:f>ST!$A$19</c:f>
              <c:strCache>
                <c:ptCount val="1"/>
                <c:pt idx="0">
                  <c:v>Tas</c:v>
                </c:pt>
              </c:strCache>
            </c:strRef>
          </c:tx>
          <c:spPr>
            <a:ln w="15875"/>
          </c:spPr>
          <c:marker>
            <c:symbol val="circle"/>
            <c:size val="4"/>
          </c:marker>
          <c:dLbls>
            <c:delete val="1"/>
          </c:dLbls>
          <c:cat>
            <c:numRef>
              <c:f>ST!$C$3:$I$3</c:f>
              <c:numCache>
                <c:formatCode>d\-mmm\-yy</c:formatCode>
                <c:ptCount val="7"/>
                <c:pt idx="0">
                  <c:v>43830</c:v>
                </c:pt>
                <c:pt idx="1">
                  <c:v>43921</c:v>
                </c:pt>
                <c:pt idx="2">
                  <c:v>44012</c:v>
                </c:pt>
                <c:pt idx="3">
                  <c:v>44104</c:v>
                </c:pt>
                <c:pt idx="4">
                  <c:v>44196</c:v>
                </c:pt>
                <c:pt idx="5">
                  <c:v>44286</c:v>
                </c:pt>
                <c:pt idx="6">
                  <c:v>44377</c:v>
                </c:pt>
              </c:numCache>
            </c:numRef>
          </c:cat>
          <c:val>
            <c:numRef>
              <c:f>ST!$C$19:$I$19</c:f>
              <c:numCache>
                <c:formatCode>#,##0</c:formatCode>
                <c:ptCount val="7"/>
                <c:pt idx="0">
                  <c:v>48</c:v>
                </c:pt>
                <c:pt idx="1">
                  <c:v>49</c:v>
                </c:pt>
                <c:pt idx="2">
                  <c:v>42</c:v>
                </c:pt>
                <c:pt idx="3">
                  <c:v>42</c:v>
                </c:pt>
                <c:pt idx="4">
                  <c:v>43</c:v>
                </c:pt>
                <c:pt idx="5">
                  <c:v>42</c:v>
                </c:pt>
                <c:pt idx="6">
                  <c:v>43</c:v>
                </c:pt>
              </c:numCache>
            </c:numRef>
          </c:val>
          <c:smooth val="0"/>
          <c:extLst>
            <c:ext xmlns:c16="http://schemas.microsoft.com/office/drawing/2014/chart" uri="{C3380CC4-5D6E-409C-BE32-E72D297353CC}">
              <c16:uniqueId val="{00000006-76C8-4302-974A-8EE412E3B0AE}"/>
            </c:ext>
          </c:extLst>
        </c:ser>
        <c:ser>
          <c:idx val="2"/>
          <c:order val="7"/>
          <c:tx>
            <c:strRef>
              <c:f>ST!$A$10</c:f>
              <c:strCache>
                <c:ptCount val="1"/>
                <c:pt idx="0">
                  <c:v>NT</c:v>
                </c:pt>
              </c:strCache>
            </c:strRef>
          </c:tx>
          <c:spPr>
            <a:ln w="15875"/>
          </c:spPr>
          <c:marker>
            <c:symbol val="triangle"/>
            <c:size val="4"/>
          </c:marker>
          <c:dLbls>
            <c:delete val="1"/>
          </c:dLbls>
          <c:cat>
            <c:numRef>
              <c:f>ST!$C$3:$I$3</c:f>
              <c:numCache>
                <c:formatCode>d\-mmm\-yy</c:formatCode>
                <c:ptCount val="7"/>
                <c:pt idx="0">
                  <c:v>43830</c:v>
                </c:pt>
                <c:pt idx="1">
                  <c:v>43921</c:v>
                </c:pt>
                <c:pt idx="2">
                  <c:v>44012</c:v>
                </c:pt>
                <c:pt idx="3">
                  <c:v>44104</c:v>
                </c:pt>
                <c:pt idx="4">
                  <c:v>44196</c:v>
                </c:pt>
                <c:pt idx="5">
                  <c:v>44286</c:v>
                </c:pt>
                <c:pt idx="6">
                  <c:v>44377</c:v>
                </c:pt>
              </c:numCache>
            </c:numRef>
          </c:cat>
          <c:val>
            <c:numRef>
              <c:f>ST!$C$10:$I$10</c:f>
              <c:numCache>
                <c:formatCode>#,##0</c:formatCode>
                <c:ptCount val="7"/>
                <c:pt idx="0">
                  <c:v>29</c:v>
                </c:pt>
                <c:pt idx="1">
                  <c:v>28</c:v>
                </c:pt>
                <c:pt idx="2">
                  <c:v>28</c:v>
                </c:pt>
                <c:pt idx="3">
                  <c:v>28</c:v>
                </c:pt>
                <c:pt idx="4">
                  <c:v>28</c:v>
                </c:pt>
                <c:pt idx="5">
                  <c:v>28</c:v>
                </c:pt>
                <c:pt idx="6">
                  <c:v>29</c:v>
                </c:pt>
              </c:numCache>
            </c:numRef>
          </c:val>
          <c:smooth val="0"/>
          <c:extLst>
            <c:ext xmlns:c16="http://schemas.microsoft.com/office/drawing/2014/chart" uri="{C3380CC4-5D6E-409C-BE32-E72D297353CC}">
              <c16:uniqueId val="{00000007-76C8-4302-974A-8EE412E3B0AE}"/>
            </c:ext>
          </c:extLst>
        </c:ser>
        <c:dLbls>
          <c:dLblPos val="ctr"/>
          <c:showLegendKey val="0"/>
          <c:showVal val="1"/>
          <c:showCatName val="0"/>
          <c:showSerName val="0"/>
          <c:showPercent val="0"/>
          <c:showBubbleSize val="0"/>
        </c:dLbls>
        <c:marker val="1"/>
        <c:smooth val="0"/>
        <c:axId val="448476712"/>
        <c:axId val="448475536"/>
      </c:lineChart>
      <c:catAx>
        <c:axId val="448476712"/>
        <c:scaling>
          <c:orientation val="minMax"/>
        </c:scaling>
        <c:delete val="0"/>
        <c:axPos val="b"/>
        <c:numFmt formatCode="d\-mmm\-yy"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700"/>
            </a:pPr>
            <a:endParaRPr lang="en-US"/>
          </a:p>
        </c:txPr>
        <c:crossAx val="448475536"/>
        <c:crosses val="autoZero"/>
        <c:auto val="0"/>
        <c:lblAlgn val="ctr"/>
        <c:lblOffset val="100"/>
        <c:noMultiLvlLbl val="0"/>
      </c:catAx>
      <c:valAx>
        <c:axId val="448475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sz="700" b="0"/>
                </a:pPr>
                <a:r>
                  <a:rPr lang="en-US" sz="700" b="0"/>
                  <a:t>Number of dwellings</a:t>
                </a:r>
              </a:p>
            </c:rich>
          </c:tx>
          <c:layout/>
          <c:overlay val="0"/>
        </c:title>
        <c:numFmt formatCode="#,##0" sourceLinked="1"/>
        <c:majorTickMark val="none"/>
        <c:minorTickMark val="none"/>
        <c:tickLblPos val="nextTo"/>
        <c:spPr>
          <a:noFill/>
          <a:ln>
            <a:noFill/>
          </a:ln>
          <a:effectLst/>
        </c:spPr>
        <c:txPr>
          <a:bodyPr rot="-60000000" vert="horz"/>
          <a:lstStyle/>
          <a:p>
            <a:pPr>
              <a:defRPr sz="700"/>
            </a:pPr>
            <a:endParaRPr lang="en-US"/>
          </a:p>
        </c:txPr>
        <c:crossAx val="448476712"/>
        <c:crosses val="autoZero"/>
        <c:crossBetween val="between"/>
      </c:valAx>
    </c:plotArea>
    <c:legend>
      <c:legendPos val="r"/>
      <c:layout>
        <c:manualLayout>
          <c:xMode val="edge"/>
          <c:yMode val="edge"/>
          <c:x val="0.87540717891096764"/>
          <c:y val="3.0511618849466141E-2"/>
          <c:w val="0.11751056876809081"/>
          <c:h val="0.92163317284656043"/>
        </c:manualLayout>
      </c:layout>
      <c:overlay val="0"/>
      <c:txPr>
        <a:bodyPr/>
        <a:lstStyle/>
        <a:p>
          <a:pPr>
            <a:defRPr sz="700"/>
          </a:pPr>
          <a:endParaRPr lang="en-US"/>
        </a:p>
      </c:txPr>
    </c:legend>
    <c:plotVisOnly val="1"/>
    <c:dispBlanksAs val="gap"/>
    <c:showDLblsOverMax val="0"/>
  </c:chart>
  <c:spPr>
    <a:noFill/>
    <a:ln>
      <a:solidFill>
        <a:schemeClr val="bg1">
          <a:lumMod val="85000"/>
        </a:schemeClr>
      </a:solidFill>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6B2976"/>
            </a:solidFill>
            <a:ln w="9525" cap="flat" cmpd="sng" algn="ctr">
              <a:solidFill>
                <a:srgbClr val="6B2976"/>
              </a:solidFill>
              <a:prstDash val="solid"/>
              <a:round/>
              <a:headEnd type="none" w="med" len="med"/>
              <a:tailEnd type="none" w="med" len="me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'SDA participants one way'!$B$26:$B$33</c:f>
              <c:strCache>
                <c:ptCount val="8"/>
                <c:pt idx="0">
                  <c:v>NSW</c:v>
                </c:pt>
                <c:pt idx="1">
                  <c:v>Vic</c:v>
                </c:pt>
                <c:pt idx="2">
                  <c:v>Qld</c:v>
                </c:pt>
                <c:pt idx="3">
                  <c:v>WA</c:v>
                </c:pt>
                <c:pt idx="4">
                  <c:v>SA</c:v>
                </c:pt>
                <c:pt idx="5">
                  <c:v>Tas</c:v>
                </c:pt>
                <c:pt idx="6">
                  <c:v>ACT</c:v>
                </c:pt>
                <c:pt idx="7">
                  <c:v>NT</c:v>
                </c:pt>
              </c:strCache>
            </c:strRef>
          </c:cat>
          <c:val>
            <c:numRef>
              <c:f>'SDA participants one way'!$C$26:$C$33</c:f>
              <c:numCache>
                <c:formatCode>_-* #,##0_-;\-* #,##0_-;_-* "-"??_-;_-@_-</c:formatCode>
                <c:ptCount val="8"/>
                <c:pt idx="0">
                  <c:v>5572</c:v>
                </c:pt>
                <c:pt idx="1">
                  <c:v>5295</c:v>
                </c:pt>
                <c:pt idx="2">
                  <c:v>1650</c:v>
                </c:pt>
                <c:pt idx="3">
                  <c:v>1149</c:v>
                </c:pt>
                <c:pt idx="4">
                  <c:v>1675</c:v>
                </c:pt>
                <c:pt idx="5">
                  <c:v>396</c:v>
                </c:pt>
                <c:pt idx="6">
                  <c:v>170</c:v>
                </c:pt>
                <c:pt idx="7">
                  <c:v>126</c:v>
                </c:pt>
              </c:numCache>
            </c:numRef>
          </c:val>
          <c:extLst>
            <c:ext xmlns:c16="http://schemas.microsoft.com/office/drawing/2014/chart" uri="{C3380CC4-5D6E-409C-BE32-E72D297353CC}">
              <c16:uniqueId val="{00000000-240C-42AA-B0DF-FA608BE0B870}"/>
            </c:ext>
          </c:extLst>
        </c:ser>
        <c:dLbls>
          <c:showLegendKey val="0"/>
          <c:showVal val="0"/>
          <c:showCatName val="0"/>
          <c:showSerName val="0"/>
          <c:showPercent val="0"/>
          <c:showBubbleSize val="0"/>
        </c:dLbls>
        <c:gapWidth val="150"/>
        <c:axId val="640425104"/>
        <c:axId val="640423136"/>
      </c:barChart>
      <c:catAx>
        <c:axId val="64042510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a:t>State</a:t>
                </a:r>
                <a:r>
                  <a:rPr lang="en-US" sz="900" baseline="0"/>
                  <a:t> or t</a:t>
                </a:r>
                <a:r>
                  <a:rPr lang="en-US" sz="900"/>
                  <a:t>erritory</a:t>
                </a:r>
              </a:p>
            </c:rich>
          </c:tx>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0423136"/>
        <c:crosses val="autoZero"/>
        <c:auto val="1"/>
        <c:lblAlgn val="ctr"/>
        <c:lblOffset val="100"/>
        <c:noMultiLvlLbl val="0"/>
      </c:catAx>
      <c:valAx>
        <c:axId val="640423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a:t>Number of participants</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0425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Sheet1!$A$3</c:f>
              <c:strCache>
                <c:ptCount val="1"/>
                <c:pt idx="0">
                  <c:v>NSW</c:v>
                </c:pt>
              </c:strCache>
            </c:strRef>
          </c:tx>
          <c:spPr>
            <a:ln w="19050" cap="rnd">
              <a:solidFill>
                <a:schemeClr val="accent1"/>
              </a:solidFill>
              <a:round/>
            </a:ln>
            <a:effectLst/>
          </c:spPr>
          <c:marker>
            <c:symbol val="none"/>
          </c:marker>
          <c:cat>
            <c:numRef>
              <c:f>Sheet1!$B$2:$H$2</c:f>
              <c:numCache>
                <c:formatCode>d\-mmm\-yy</c:formatCode>
                <c:ptCount val="7"/>
                <c:pt idx="0">
                  <c:v>43830</c:v>
                </c:pt>
                <c:pt idx="1">
                  <c:v>43921</c:v>
                </c:pt>
                <c:pt idx="2">
                  <c:v>44012</c:v>
                </c:pt>
                <c:pt idx="3">
                  <c:v>44104</c:v>
                </c:pt>
                <c:pt idx="4">
                  <c:v>44196</c:v>
                </c:pt>
                <c:pt idx="5">
                  <c:v>44286</c:v>
                </c:pt>
                <c:pt idx="6">
                  <c:v>44377</c:v>
                </c:pt>
              </c:numCache>
            </c:numRef>
          </c:cat>
          <c:val>
            <c:numRef>
              <c:f>Sheet1!$B$3:$H$3</c:f>
              <c:numCache>
                <c:formatCode>_-* #,##0_-;\-* #,##0_-;_-* "-"??_-;_-@_-</c:formatCode>
                <c:ptCount val="7"/>
                <c:pt idx="0">
                  <c:v>4917</c:v>
                </c:pt>
                <c:pt idx="1">
                  <c:v>5061</c:v>
                </c:pt>
                <c:pt idx="2">
                  <c:v>5307</c:v>
                </c:pt>
                <c:pt idx="3">
                  <c:v>5429</c:v>
                </c:pt>
                <c:pt idx="4">
                  <c:v>5513</c:v>
                </c:pt>
                <c:pt idx="5">
                  <c:v>5533</c:v>
                </c:pt>
                <c:pt idx="6">
                  <c:v>5572</c:v>
                </c:pt>
              </c:numCache>
            </c:numRef>
          </c:val>
          <c:smooth val="0"/>
          <c:extLst>
            <c:ext xmlns:c16="http://schemas.microsoft.com/office/drawing/2014/chart" uri="{C3380CC4-5D6E-409C-BE32-E72D297353CC}">
              <c16:uniqueId val="{00000000-5C2F-4E99-87B2-44CF2C0606C5}"/>
            </c:ext>
          </c:extLst>
        </c:ser>
        <c:ser>
          <c:idx val="1"/>
          <c:order val="1"/>
          <c:tx>
            <c:strRef>
              <c:f>Sheet1!$A$4</c:f>
              <c:strCache>
                <c:ptCount val="1"/>
                <c:pt idx="0">
                  <c:v>Vic</c:v>
                </c:pt>
              </c:strCache>
            </c:strRef>
          </c:tx>
          <c:spPr>
            <a:ln w="19050" cap="rnd">
              <a:solidFill>
                <a:schemeClr val="accent2"/>
              </a:solidFill>
              <a:round/>
            </a:ln>
            <a:effectLst/>
          </c:spPr>
          <c:marker>
            <c:symbol val="none"/>
          </c:marker>
          <c:cat>
            <c:numRef>
              <c:f>Sheet1!$B$2:$H$2</c:f>
              <c:numCache>
                <c:formatCode>d\-mmm\-yy</c:formatCode>
                <c:ptCount val="7"/>
                <c:pt idx="0">
                  <c:v>43830</c:v>
                </c:pt>
                <c:pt idx="1">
                  <c:v>43921</c:v>
                </c:pt>
                <c:pt idx="2">
                  <c:v>44012</c:v>
                </c:pt>
                <c:pt idx="3">
                  <c:v>44104</c:v>
                </c:pt>
                <c:pt idx="4">
                  <c:v>44196</c:v>
                </c:pt>
                <c:pt idx="5">
                  <c:v>44286</c:v>
                </c:pt>
                <c:pt idx="6">
                  <c:v>44377</c:v>
                </c:pt>
              </c:numCache>
            </c:numRef>
          </c:cat>
          <c:val>
            <c:numRef>
              <c:f>Sheet1!$B$4:$H$4</c:f>
              <c:numCache>
                <c:formatCode>_-* #,##0_-;\-* #,##0_-;_-* "-"??_-;_-@_-</c:formatCode>
                <c:ptCount val="7"/>
                <c:pt idx="0">
                  <c:v>4599</c:v>
                </c:pt>
                <c:pt idx="1">
                  <c:v>4738</c:v>
                </c:pt>
                <c:pt idx="2">
                  <c:v>4929</c:v>
                </c:pt>
                <c:pt idx="3">
                  <c:v>5004</c:v>
                </c:pt>
                <c:pt idx="4">
                  <c:v>5128</c:v>
                </c:pt>
                <c:pt idx="5">
                  <c:v>5195</c:v>
                </c:pt>
                <c:pt idx="6">
                  <c:v>5295</c:v>
                </c:pt>
              </c:numCache>
            </c:numRef>
          </c:val>
          <c:smooth val="0"/>
          <c:extLst>
            <c:ext xmlns:c16="http://schemas.microsoft.com/office/drawing/2014/chart" uri="{C3380CC4-5D6E-409C-BE32-E72D297353CC}">
              <c16:uniqueId val="{00000001-5C2F-4E99-87B2-44CF2C0606C5}"/>
            </c:ext>
          </c:extLst>
        </c:ser>
        <c:ser>
          <c:idx val="4"/>
          <c:order val="2"/>
          <c:tx>
            <c:strRef>
              <c:f>Sheet1!$A$7</c:f>
              <c:strCache>
                <c:ptCount val="1"/>
                <c:pt idx="0">
                  <c:v>SA</c:v>
                </c:pt>
              </c:strCache>
            </c:strRef>
          </c:tx>
          <c:spPr>
            <a:ln w="19050" cap="rnd">
              <a:solidFill>
                <a:schemeClr val="accent5"/>
              </a:solidFill>
              <a:round/>
            </a:ln>
            <a:effectLst/>
          </c:spPr>
          <c:marker>
            <c:symbol val="none"/>
          </c:marker>
          <c:cat>
            <c:numRef>
              <c:f>Sheet1!$B$2:$H$2</c:f>
              <c:numCache>
                <c:formatCode>d\-mmm\-yy</c:formatCode>
                <c:ptCount val="7"/>
                <c:pt idx="0">
                  <c:v>43830</c:v>
                </c:pt>
                <c:pt idx="1">
                  <c:v>43921</c:v>
                </c:pt>
                <c:pt idx="2">
                  <c:v>44012</c:v>
                </c:pt>
                <c:pt idx="3">
                  <c:v>44104</c:v>
                </c:pt>
                <c:pt idx="4">
                  <c:v>44196</c:v>
                </c:pt>
                <c:pt idx="5">
                  <c:v>44286</c:v>
                </c:pt>
                <c:pt idx="6">
                  <c:v>44377</c:v>
                </c:pt>
              </c:numCache>
            </c:numRef>
          </c:cat>
          <c:val>
            <c:numRef>
              <c:f>Sheet1!$B$7:$H$7</c:f>
              <c:numCache>
                <c:formatCode>_-* #,##0_-;\-* #,##0_-;_-* "-"??_-;_-@_-</c:formatCode>
                <c:ptCount val="7"/>
                <c:pt idx="0">
                  <c:v>1777</c:v>
                </c:pt>
                <c:pt idx="1">
                  <c:v>1770</c:v>
                </c:pt>
                <c:pt idx="2">
                  <c:v>1711</c:v>
                </c:pt>
                <c:pt idx="3">
                  <c:v>1669</c:v>
                </c:pt>
                <c:pt idx="4">
                  <c:v>1676</c:v>
                </c:pt>
                <c:pt idx="5">
                  <c:v>1670</c:v>
                </c:pt>
                <c:pt idx="6">
                  <c:v>1675</c:v>
                </c:pt>
              </c:numCache>
            </c:numRef>
          </c:val>
          <c:smooth val="0"/>
          <c:extLst>
            <c:ext xmlns:c16="http://schemas.microsoft.com/office/drawing/2014/chart" uri="{C3380CC4-5D6E-409C-BE32-E72D297353CC}">
              <c16:uniqueId val="{00000002-5C2F-4E99-87B2-44CF2C0606C5}"/>
            </c:ext>
          </c:extLst>
        </c:ser>
        <c:ser>
          <c:idx val="2"/>
          <c:order val="3"/>
          <c:tx>
            <c:strRef>
              <c:f>Sheet1!$A$5</c:f>
              <c:strCache>
                <c:ptCount val="1"/>
                <c:pt idx="0">
                  <c:v>Qld</c:v>
                </c:pt>
              </c:strCache>
            </c:strRef>
          </c:tx>
          <c:spPr>
            <a:ln w="19050" cap="rnd">
              <a:solidFill>
                <a:schemeClr val="accent3"/>
              </a:solidFill>
              <a:round/>
            </a:ln>
            <a:effectLst/>
          </c:spPr>
          <c:marker>
            <c:symbol val="none"/>
          </c:marker>
          <c:cat>
            <c:numRef>
              <c:f>Sheet1!$B$2:$H$2</c:f>
              <c:numCache>
                <c:formatCode>d\-mmm\-yy</c:formatCode>
                <c:ptCount val="7"/>
                <c:pt idx="0">
                  <c:v>43830</c:v>
                </c:pt>
                <c:pt idx="1">
                  <c:v>43921</c:v>
                </c:pt>
                <c:pt idx="2">
                  <c:v>44012</c:v>
                </c:pt>
                <c:pt idx="3">
                  <c:v>44104</c:v>
                </c:pt>
                <c:pt idx="4">
                  <c:v>44196</c:v>
                </c:pt>
                <c:pt idx="5">
                  <c:v>44286</c:v>
                </c:pt>
                <c:pt idx="6">
                  <c:v>44377</c:v>
                </c:pt>
              </c:numCache>
            </c:numRef>
          </c:cat>
          <c:val>
            <c:numRef>
              <c:f>Sheet1!$B$5:$H$5</c:f>
              <c:numCache>
                <c:formatCode>_-* #,##0_-;\-* #,##0_-;_-* "-"??_-;_-@_-</c:formatCode>
                <c:ptCount val="7"/>
                <c:pt idx="0">
                  <c:v>1452</c:v>
                </c:pt>
                <c:pt idx="1">
                  <c:v>1378</c:v>
                </c:pt>
                <c:pt idx="2">
                  <c:v>1425</c:v>
                </c:pt>
                <c:pt idx="3">
                  <c:v>1451</c:v>
                </c:pt>
                <c:pt idx="4">
                  <c:v>1524</c:v>
                </c:pt>
                <c:pt idx="5">
                  <c:v>1595</c:v>
                </c:pt>
                <c:pt idx="6">
                  <c:v>1650</c:v>
                </c:pt>
              </c:numCache>
            </c:numRef>
          </c:val>
          <c:smooth val="0"/>
          <c:extLst>
            <c:ext xmlns:c16="http://schemas.microsoft.com/office/drawing/2014/chart" uri="{C3380CC4-5D6E-409C-BE32-E72D297353CC}">
              <c16:uniqueId val="{00000003-5C2F-4E99-87B2-44CF2C0606C5}"/>
            </c:ext>
          </c:extLst>
        </c:ser>
        <c:ser>
          <c:idx val="3"/>
          <c:order val="4"/>
          <c:tx>
            <c:strRef>
              <c:f>Sheet1!$A$6</c:f>
              <c:strCache>
                <c:ptCount val="1"/>
                <c:pt idx="0">
                  <c:v>WA</c:v>
                </c:pt>
              </c:strCache>
            </c:strRef>
          </c:tx>
          <c:spPr>
            <a:ln w="19050" cap="rnd">
              <a:solidFill>
                <a:schemeClr val="accent4"/>
              </a:solidFill>
              <a:round/>
            </a:ln>
            <a:effectLst/>
          </c:spPr>
          <c:marker>
            <c:symbol val="none"/>
          </c:marker>
          <c:cat>
            <c:numRef>
              <c:f>Sheet1!$B$2:$H$2</c:f>
              <c:numCache>
                <c:formatCode>d\-mmm\-yy</c:formatCode>
                <c:ptCount val="7"/>
                <c:pt idx="0">
                  <c:v>43830</c:v>
                </c:pt>
                <c:pt idx="1">
                  <c:v>43921</c:v>
                </c:pt>
                <c:pt idx="2">
                  <c:v>44012</c:v>
                </c:pt>
                <c:pt idx="3">
                  <c:v>44104</c:v>
                </c:pt>
                <c:pt idx="4">
                  <c:v>44196</c:v>
                </c:pt>
                <c:pt idx="5">
                  <c:v>44286</c:v>
                </c:pt>
                <c:pt idx="6">
                  <c:v>44377</c:v>
                </c:pt>
              </c:numCache>
            </c:numRef>
          </c:cat>
          <c:val>
            <c:numRef>
              <c:f>Sheet1!$B$6:$H$6</c:f>
              <c:numCache>
                <c:formatCode>_-* #,##0_-;\-* #,##0_-;_-* "-"??_-;_-@_-</c:formatCode>
                <c:ptCount val="7"/>
                <c:pt idx="0">
                  <c:v>365</c:v>
                </c:pt>
                <c:pt idx="1">
                  <c:v>391</c:v>
                </c:pt>
                <c:pt idx="2">
                  <c:v>954</c:v>
                </c:pt>
                <c:pt idx="3">
                  <c:v>1024</c:v>
                </c:pt>
                <c:pt idx="4">
                  <c:v>1152</c:v>
                </c:pt>
                <c:pt idx="5">
                  <c:v>1160</c:v>
                </c:pt>
                <c:pt idx="6">
                  <c:v>1149</c:v>
                </c:pt>
              </c:numCache>
            </c:numRef>
          </c:val>
          <c:smooth val="0"/>
          <c:extLst>
            <c:ext xmlns:c16="http://schemas.microsoft.com/office/drawing/2014/chart" uri="{C3380CC4-5D6E-409C-BE32-E72D297353CC}">
              <c16:uniqueId val="{00000004-5C2F-4E99-87B2-44CF2C0606C5}"/>
            </c:ext>
          </c:extLst>
        </c:ser>
        <c:ser>
          <c:idx val="5"/>
          <c:order val="5"/>
          <c:tx>
            <c:strRef>
              <c:f>Sheet1!$A$8</c:f>
              <c:strCache>
                <c:ptCount val="1"/>
                <c:pt idx="0">
                  <c:v>Tas</c:v>
                </c:pt>
              </c:strCache>
            </c:strRef>
          </c:tx>
          <c:spPr>
            <a:ln w="19050" cap="rnd">
              <a:solidFill>
                <a:schemeClr val="accent6"/>
              </a:solidFill>
              <a:round/>
            </a:ln>
            <a:effectLst/>
          </c:spPr>
          <c:marker>
            <c:symbol val="none"/>
          </c:marker>
          <c:cat>
            <c:numRef>
              <c:f>Sheet1!$B$2:$H$2</c:f>
              <c:numCache>
                <c:formatCode>d\-mmm\-yy</c:formatCode>
                <c:ptCount val="7"/>
                <c:pt idx="0">
                  <c:v>43830</c:v>
                </c:pt>
                <c:pt idx="1">
                  <c:v>43921</c:v>
                </c:pt>
                <c:pt idx="2">
                  <c:v>44012</c:v>
                </c:pt>
                <c:pt idx="3">
                  <c:v>44104</c:v>
                </c:pt>
                <c:pt idx="4">
                  <c:v>44196</c:v>
                </c:pt>
                <c:pt idx="5">
                  <c:v>44286</c:v>
                </c:pt>
                <c:pt idx="6">
                  <c:v>44377</c:v>
                </c:pt>
              </c:numCache>
            </c:numRef>
          </c:cat>
          <c:val>
            <c:numRef>
              <c:f>Sheet1!$B$8:$H$8</c:f>
              <c:numCache>
                <c:formatCode>_-* #,##0_-;\-* #,##0_-;_-* "-"??_-;_-@_-</c:formatCode>
                <c:ptCount val="7"/>
                <c:pt idx="0">
                  <c:v>411</c:v>
                </c:pt>
                <c:pt idx="1">
                  <c:v>421</c:v>
                </c:pt>
                <c:pt idx="2">
                  <c:v>428</c:v>
                </c:pt>
                <c:pt idx="3">
                  <c:v>424</c:v>
                </c:pt>
                <c:pt idx="4">
                  <c:v>417</c:v>
                </c:pt>
                <c:pt idx="5">
                  <c:v>402</c:v>
                </c:pt>
                <c:pt idx="6">
                  <c:v>396</c:v>
                </c:pt>
              </c:numCache>
            </c:numRef>
          </c:val>
          <c:smooth val="0"/>
          <c:extLst>
            <c:ext xmlns:c16="http://schemas.microsoft.com/office/drawing/2014/chart" uri="{C3380CC4-5D6E-409C-BE32-E72D297353CC}">
              <c16:uniqueId val="{00000005-5C2F-4E99-87B2-44CF2C0606C5}"/>
            </c:ext>
          </c:extLst>
        </c:ser>
        <c:ser>
          <c:idx val="6"/>
          <c:order val="6"/>
          <c:tx>
            <c:strRef>
              <c:f>Sheet1!$A$9</c:f>
              <c:strCache>
                <c:ptCount val="1"/>
                <c:pt idx="0">
                  <c:v>ACT</c:v>
                </c:pt>
              </c:strCache>
            </c:strRef>
          </c:tx>
          <c:spPr>
            <a:ln w="19050" cap="rnd">
              <a:solidFill>
                <a:schemeClr val="accent1">
                  <a:lumMod val="60000"/>
                </a:schemeClr>
              </a:solidFill>
              <a:round/>
            </a:ln>
            <a:effectLst/>
          </c:spPr>
          <c:marker>
            <c:symbol val="none"/>
          </c:marker>
          <c:cat>
            <c:numRef>
              <c:f>Sheet1!$B$2:$H$2</c:f>
              <c:numCache>
                <c:formatCode>d\-mmm\-yy</c:formatCode>
                <c:ptCount val="7"/>
                <c:pt idx="0">
                  <c:v>43830</c:v>
                </c:pt>
                <c:pt idx="1">
                  <c:v>43921</c:v>
                </c:pt>
                <c:pt idx="2">
                  <c:v>44012</c:v>
                </c:pt>
                <c:pt idx="3">
                  <c:v>44104</c:v>
                </c:pt>
                <c:pt idx="4">
                  <c:v>44196</c:v>
                </c:pt>
                <c:pt idx="5">
                  <c:v>44286</c:v>
                </c:pt>
                <c:pt idx="6">
                  <c:v>44377</c:v>
                </c:pt>
              </c:numCache>
            </c:numRef>
          </c:cat>
          <c:val>
            <c:numRef>
              <c:f>Sheet1!$B$9:$H$9</c:f>
              <c:numCache>
                <c:formatCode>_-* #,##0_-;\-* #,##0_-;_-* "-"??_-;_-@_-</c:formatCode>
                <c:ptCount val="7"/>
                <c:pt idx="0">
                  <c:v>23</c:v>
                </c:pt>
                <c:pt idx="1">
                  <c:v>48</c:v>
                </c:pt>
                <c:pt idx="2">
                  <c:v>92</c:v>
                </c:pt>
                <c:pt idx="3">
                  <c:v>106</c:v>
                </c:pt>
                <c:pt idx="4">
                  <c:v>127</c:v>
                </c:pt>
                <c:pt idx="5">
                  <c:v>158</c:v>
                </c:pt>
                <c:pt idx="6">
                  <c:v>170</c:v>
                </c:pt>
              </c:numCache>
            </c:numRef>
          </c:val>
          <c:smooth val="0"/>
          <c:extLst>
            <c:ext xmlns:c16="http://schemas.microsoft.com/office/drawing/2014/chart" uri="{C3380CC4-5D6E-409C-BE32-E72D297353CC}">
              <c16:uniqueId val="{00000006-5C2F-4E99-87B2-44CF2C0606C5}"/>
            </c:ext>
          </c:extLst>
        </c:ser>
        <c:ser>
          <c:idx val="7"/>
          <c:order val="7"/>
          <c:tx>
            <c:strRef>
              <c:f>Sheet1!$A$10</c:f>
              <c:strCache>
                <c:ptCount val="1"/>
                <c:pt idx="0">
                  <c:v>NT</c:v>
                </c:pt>
              </c:strCache>
            </c:strRef>
          </c:tx>
          <c:spPr>
            <a:ln w="19050" cap="rnd">
              <a:solidFill>
                <a:schemeClr val="accent2">
                  <a:lumMod val="60000"/>
                </a:schemeClr>
              </a:solidFill>
              <a:round/>
            </a:ln>
            <a:effectLst/>
          </c:spPr>
          <c:marker>
            <c:symbol val="none"/>
          </c:marker>
          <c:cat>
            <c:numRef>
              <c:f>Sheet1!$B$2:$H$2</c:f>
              <c:numCache>
                <c:formatCode>d\-mmm\-yy</c:formatCode>
                <c:ptCount val="7"/>
                <c:pt idx="0">
                  <c:v>43830</c:v>
                </c:pt>
                <c:pt idx="1">
                  <c:v>43921</c:v>
                </c:pt>
                <c:pt idx="2">
                  <c:v>44012</c:v>
                </c:pt>
                <c:pt idx="3">
                  <c:v>44104</c:v>
                </c:pt>
                <c:pt idx="4">
                  <c:v>44196</c:v>
                </c:pt>
                <c:pt idx="5">
                  <c:v>44286</c:v>
                </c:pt>
                <c:pt idx="6">
                  <c:v>44377</c:v>
                </c:pt>
              </c:numCache>
            </c:numRef>
          </c:cat>
          <c:val>
            <c:numRef>
              <c:f>Sheet1!$B$10:$H$10</c:f>
              <c:numCache>
                <c:formatCode>_-* #,##0_-;\-* #,##0_-;_-* "-"??_-;_-@_-</c:formatCode>
                <c:ptCount val="7"/>
                <c:pt idx="0">
                  <c:v>139</c:v>
                </c:pt>
                <c:pt idx="1">
                  <c:v>137</c:v>
                </c:pt>
                <c:pt idx="2">
                  <c:v>136</c:v>
                </c:pt>
                <c:pt idx="3">
                  <c:v>132</c:v>
                </c:pt>
                <c:pt idx="4">
                  <c:v>130</c:v>
                </c:pt>
                <c:pt idx="5">
                  <c:v>129</c:v>
                </c:pt>
                <c:pt idx="6">
                  <c:v>126</c:v>
                </c:pt>
              </c:numCache>
            </c:numRef>
          </c:val>
          <c:smooth val="0"/>
          <c:extLst>
            <c:ext xmlns:c16="http://schemas.microsoft.com/office/drawing/2014/chart" uri="{C3380CC4-5D6E-409C-BE32-E72D297353CC}">
              <c16:uniqueId val="{00000007-5C2F-4E99-87B2-44CF2C0606C5}"/>
            </c:ext>
          </c:extLst>
        </c:ser>
        <c:dLbls>
          <c:showLegendKey val="0"/>
          <c:showVal val="0"/>
          <c:showCatName val="0"/>
          <c:showSerName val="0"/>
          <c:showPercent val="0"/>
          <c:showBubbleSize val="0"/>
        </c:dLbls>
        <c:smooth val="0"/>
        <c:axId val="496106104"/>
        <c:axId val="496105120"/>
      </c:lineChart>
      <c:catAx>
        <c:axId val="496106104"/>
        <c:scaling>
          <c:orientation val="minMax"/>
        </c:scaling>
        <c:delete val="0"/>
        <c:axPos val="b"/>
        <c:numFmt formatCode="d\-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6105120"/>
        <c:crosses val="autoZero"/>
        <c:auto val="0"/>
        <c:lblAlgn val="ctr"/>
        <c:lblOffset val="100"/>
        <c:tickLblSkip val="1"/>
        <c:tickMarkSkip val="1"/>
        <c:noMultiLvlLbl val="1"/>
      </c:catAx>
      <c:valAx>
        <c:axId val="49610512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noFill/>
              <a:round/>
            </a:ln>
            <a:effectLst/>
          </c:spPr>
        </c:min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a:t>Number of participants</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6106104"/>
        <c:crosses val="autoZero"/>
        <c:crossBetween val="between"/>
        <c:majorUnit val="500"/>
      </c:valAx>
      <c:spPr>
        <a:noFill/>
        <a:ln>
          <a:noFill/>
        </a:ln>
        <a:effectLst/>
      </c:spPr>
    </c:plotArea>
    <c:legend>
      <c:legendPos val="r"/>
      <c:layout>
        <c:manualLayout>
          <c:xMode val="edge"/>
          <c:yMode val="edge"/>
          <c:x val="0.87085148590859995"/>
          <c:y val="2.9227605787712344E-2"/>
          <c:w val="0.11848186603530307"/>
          <c:h val="0.955148969523121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6B2976"/>
            </a:solidFill>
            <a:ln w="9525" cap="flat" cmpd="sng" algn="ctr">
              <a:solidFill>
                <a:srgbClr val="6B2976"/>
              </a:solidFill>
              <a:prstDash val="solid"/>
              <a:round/>
              <a:headEnd type="none" w="med" len="med"/>
              <a:tailEnd type="none" w="med" len="med"/>
            </a:ln>
            <a:effectLst/>
          </c:spPr>
          <c:invertIfNegative val="0"/>
          <c:dLbls>
            <c:dLbl>
              <c:idx val="0"/>
              <c:layout/>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7FD-40C9-9EBD-25088188BB29}"/>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'SDA participants one way'!$B$4:$B$12</c:f>
              <c:strCache>
                <c:ptCount val="9"/>
                <c:pt idx="0">
                  <c:v>0 to 6</c:v>
                </c:pt>
                <c:pt idx="1">
                  <c:v>7 to 14</c:v>
                </c:pt>
                <c:pt idx="2">
                  <c:v>15 to 18</c:v>
                </c:pt>
                <c:pt idx="3">
                  <c:v>19 to 24</c:v>
                </c:pt>
                <c:pt idx="4">
                  <c:v>25 to 34</c:v>
                </c:pt>
                <c:pt idx="5">
                  <c:v>35 to 44</c:v>
                </c:pt>
                <c:pt idx="6">
                  <c:v>45 to 54</c:v>
                </c:pt>
                <c:pt idx="7">
                  <c:v>55 to 64</c:v>
                </c:pt>
                <c:pt idx="8">
                  <c:v>65+</c:v>
                </c:pt>
              </c:strCache>
            </c:strRef>
          </c:cat>
          <c:val>
            <c:numRef>
              <c:f>'SDA participants one way'!$C$4:$C$12</c:f>
              <c:numCache>
                <c:formatCode>_-* #,##0_-;\-* #,##0_-;_-* "-"??_-;_-@_-</c:formatCode>
                <c:ptCount val="9"/>
                <c:pt idx="0">
                  <c:v>0</c:v>
                </c:pt>
                <c:pt idx="1">
                  <c:v>2</c:v>
                </c:pt>
                <c:pt idx="2">
                  <c:v>82</c:v>
                </c:pt>
                <c:pt idx="3">
                  <c:v>795</c:v>
                </c:pt>
                <c:pt idx="4">
                  <c:v>2274</c:v>
                </c:pt>
                <c:pt idx="5">
                  <c:v>2867</c:v>
                </c:pt>
                <c:pt idx="6">
                  <c:v>4294</c:v>
                </c:pt>
                <c:pt idx="7">
                  <c:v>4562</c:v>
                </c:pt>
                <c:pt idx="8">
                  <c:v>1157</c:v>
                </c:pt>
              </c:numCache>
            </c:numRef>
          </c:val>
          <c:extLst>
            <c:ext xmlns:c16="http://schemas.microsoft.com/office/drawing/2014/chart" uri="{C3380CC4-5D6E-409C-BE32-E72D297353CC}">
              <c16:uniqueId val="{00000000-6DE7-456D-A0DB-760548C27EDF}"/>
            </c:ext>
          </c:extLst>
        </c:ser>
        <c:dLbls>
          <c:showLegendKey val="0"/>
          <c:showVal val="0"/>
          <c:showCatName val="0"/>
          <c:showSerName val="0"/>
          <c:showPercent val="0"/>
          <c:showBubbleSize val="0"/>
        </c:dLbls>
        <c:gapWidth val="300"/>
        <c:axId val="640425104"/>
        <c:axId val="640423136"/>
      </c:barChart>
      <c:catAx>
        <c:axId val="64042510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Age (years)</a:t>
                </a:r>
              </a:p>
            </c:rich>
          </c:tx>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0423136"/>
        <c:crosses val="autoZero"/>
        <c:auto val="1"/>
        <c:lblAlgn val="ctr"/>
        <c:lblOffset val="100"/>
        <c:noMultiLvlLbl val="0"/>
      </c:catAx>
      <c:valAx>
        <c:axId val="64042313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noFill/>
              <a:round/>
            </a:ln>
            <a:effectLst/>
          </c:spPr>
        </c:min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Number of participants</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0425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spPr>
            <a:solidFill>
              <a:schemeClr val="accent1"/>
            </a:solidFill>
          </c:spPr>
          <c:dPt>
            <c:idx val="0"/>
            <c:bubble3D val="0"/>
            <c:spPr>
              <a:solidFill>
                <a:srgbClr val="7030A0"/>
              </a:solidFill>
              <a:ln>
                <a:noFill/>
              </a:ln>
              <a:effectLst/>
            </c:spPr>
            <c:extLst>
              <c:ext xmlns:c16="http://schemas.microsoft.com/office/drawing/2014/chart" uri="{C3380CC4-5D6E-409C-BE32-E72D297353CC}">
                <c16:uniqueId val="{00000001-E41D-42C9-A337-97A3957162DE}"/>
              </c:ext>
            </c:extLst>
          </c:dPt>
          <c:dPt>
            <c:idx val="1"/>
            <c:bubble3D val="0"/>
            <c:spPr>
              <a:solidFill>
                <a:srgbClr val="02AE12"/>
              </a:solidFill>
              <a:ln>
                <a:noFill/>
              </a:ln>
              <a:effectLst/>
            </c:spPr>
            <c:extLst>
              <c:ext xmlns:c16="http://schemas.microsoft.com/office/drawing/2014/chart" uri="{C3380CC4-5D6E-409C-BE32-E72D297353CC}">
                <c16:uniqueId val="{00000003-E41D-42C9-A337-97A3957162DE}"/>
              </c:ext>
            </c:extLst>
          </c:dPt>
          <c:dPt>
            <c:idx val="2"/>
            <c:bubble3D val="0"/>
            <c:spPr>
              <a:solidFill>
                <a:srgbClr val="FFC000"/>
              </a:solidFill>
              <a:ln>
                <a:noFill/>
              </a:ln>
              <a:effectLst/>
            </c:spPr>
            <c:extLst>
              <c:ext xmlns:c16="http://schemas.microsoft.com/office/drawing/2014/chart" uri="{C3380CC4-5D6E-409C-BE32-E72D297353CC}">
                <c16:uniqueId val="{00000005-E41D-42C9-A337-97A3957162DE}"/>
              </c:ext>
            </c:extLst>
          </c:dPt>
          <c:dLbls>
            <c:dLbl>
              <c:idx val="0"/>
              <c:layout>
                <c:manualLayout>
                  <c:x val="1.8649040078914873E-2"/>
                  <c:y val="-3.9469374651395071E-2"/>
                </c:manualLayout>
              </c:layout>
              <c:tx>
                <c:rich>
                  <a:bodyPr/>
                  <a:lstStyle/>
                  <a:p>
                    <a:fld id="{670EBB52-503B-4093-8F85-2A148255FC16}" type="VALUE">
                      <a:rPr lang="en-US"/>
                      <a:pPr/>
                      <a:t>[VALUE]</a:t>
                    </a:fld>
                    <a:r>
                      <a:rPr lang="en-US"/>
                      <a:t>, 59%</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E41D-42C9-A337-97A3957162DE}"/>
                </c:ext>
              </c:extLst>
            </c:dLbl>
            <c:dLbl>
              <c:idx val="1"/>
              <c:layout>
                <c:manualLayout>
                  <c:x val="-3.2908872968025485E-2"/>
                  <c:y val="9.7903727792807538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2"/>
                        </a:solidFill>
                        <a:latin typeface="+mn-lt"/>
                        <a:ea typeface="+mn-ea"/>
                        <a:cs typeface="+mn-cs"/>
                      </a:defRPr>
                    </a:pPr>
                    <a:fld id="{785831D0-6171-42F3-A94A-922A64F5D580}" type="VALUE">
                      <a:rPr lang="en-US"/>
                      <a:pPr>
                        <a:defRPr/>
                      </a:pPr>
                      <a:t>[VALUE]</a:t>
                    </a:fld>
                    <a:r>
                      <a:rPr lang="en-US"/>
                      <a:t>, 40%</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4781577386835343"/>
                      <c:h val="0.25934054388494249"/>
                    </c:manualLayout>
                  </c15:layout>
                  <c15:dlblFieldTable/>
                  <c15:showDataLabelsRange val="0"/>
                </c:ext>
                <c:ext xmlns:c16="http://schemas.microsoft.com/office/drawing/2014/chart" uri="{C3380CC4-5D6E-409C-BE32-E72D297353CC}">
                  <c16:uniqueId val="{00000003-E41D-42C9-A337-97A3957162DE}"/>
                </c:ext>
              </c:extLst>
            </c:dLbl>
            <c:dLbl>
              <c:idx val="2"/>
              <c:layout/>
              <c:tx>
                <c:rich>
                  <a:bodyPr/>
                  <a:lstStyle/>
                  <a:p>
                    <a:fld id="{5B00850F-9A7B-49F7-AB0E-B8EF7E38937F}" type="VALUE">
                      <a:rPr lang="en-US"/>
                      <a:pPr/>
                      <a:t>[VALUE]</a:t>
                    </a:fld>
                    <a:r>
                      <a:rPr lang="en-US"/>
                      <a:t>, 1%</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E41D-42C9-A337-97A3957162D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'SDA participants one way'!$B$18:$B$20</c:f>
              <c:strCache>
                <c:ptCount val="3"/>
                <c:pt idx="0">
                  <c:v>Male</c:v>
                </c:pt>
                <c:pt idx="1">
                  <c:v>Female</c:v>
                </c:pt>
                <c:pt idx="2">
                  <c:v>Other</c:v>
                </c:pt>
              </c:strCache>
            </c:strRef>
          </c:cat>
          <c:val>
            <c:numRef>
              <c:f>'SDA participants one way'!$C$18:$C$20</c:f>
              <c:numCache>
                <c:formatCode>_-* #,##0_-;\-* #,##0_-;_-* "-"??_-;_-@_-</c:formatCode>
                <c:ptCount val="3"/>
                <c:pt idx="0">
                  <c:v>9389</c:v>
                </c:pt>
                <c:pt idx="1">
                  <c:v>6465</c:v>
                </c:pt>
                <c:pt idx="2">
                  <c:v>179</c:v>
                </c:pt>
              </c:numCache>
            </c:numRef>
          </c:val>
          <c:extLst>
            <c:ext xmlns:c16="http://schemas.microsoft.com/office/drawing/2014/chart" uri="{C3380CC4-5D6E-409C-BE32-E72D297353CC}">
              <c16:uniqueId val="{00000006-E41D-42C9-A337-97A3957162DE}"/>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F9A929"/>
              </a:solidFill>
              <a:ln>
                <a:noFill/>
              </a:ln>
              <a:effectLst/>
            </c:spPr>
            <c:extLst>
              <c:ext xmlns:c16="http://schemas.microsoft.com/office/drawing/2014/chart" uri="{C3380CC4-5D6E-409C-BE32-E72D297353CC}">
                <c16:uniqueId val="{00000001-97D0-4F6C-84D3-02304F930A5C}"/>
              </c:ext>
            </c:extLst>
          </c:dPt>
          <c:dPt>
            <c:idx val="1"/>
            <c:bubble3D val="0"/>
            <c:spPr>
              <a:solidFill>
                <a:srgbClr val="7030A0"/>
              </a:solidFill>
              <a:ln>
                <a:noFill/>
              </a:ln>
              <a:effectLst/>
            </c:spPr>
            <c:extLst>
              <c:ext xmlns:c16="http://schemas.microsoft.com/office/drawing/2014/chart" uri="{C3380CC4-5D6E-409C-BE32-E72D297353CC}">
                <c16:uniqueId val="{00000003-97D0-4F6C-84D3-02304F930A5C}"/>
              </c:ext>
            </c:extLst>
          </c:dPt>
          <c:dPt>
            <c:idx val="2"/>
            <c:bubble3D val="0"/>
            <c:spPr>
              <a:solidFill>
                <a:srgbClr val="02AE12"/>
              </a:solidFill>
              <a:ln>
                <a:noFill/>
              </a:ln>
              <a:effectLst/>
            </c:spPr>
            <c:extLst>
              <c:ext xmlns:c16="http://schemas.microsoft.com/office/drawing/2014/chart" uri="{C3380CC4-5D6E-409C-BE32-E72D297353CC}">
                <c16:uniqueId val="{00000005-97D0-4F6C-84D3-02304F930A5C}"/>
              </c:ext>
            </c:extLst>
          </c:dPt>
          <c:dLbls>
            <c:dLbl>
              <c:idx val="1"/>
              <c:layout>
                <c:manualLayout>
                  <c:x val="3.4753842078843883E-2"/>
                  <c:y val="-6.852603246022819E-2"/>
                </c:manualLayout>
              </c:layout>
              <c:showLegendKey val="0"/>
              <c:showVal val="1"/>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97D0-4F6C-84D3-02304F930A5C}"/>
                </c:ext>
              </c:extLst>
            </c:dLbl>
            <c:dLbl>
              <c:idx val="2"/>
              <c:layout>
                <c:manualLayout>
                  <c:x val="-2.4190344029339773E-2"/>
                  <c:y val="0.11506297761925484"/>
                </c:manualLayout>
              </c:layout>
              <c:showLegendKey val="0"/>
              <c:showVal val="1"/>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97D0-4F6C-84D3-02304F930A5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1"/>
            <c:showBubbleSize val="0"/>
            <c:showLeaderLines val="0"/>
            <c:extLst>
              <c:ext xmlns:c15="http://schemas.microsoft.com/office/drawing/2012/chart" uri="{CE6537A1-D6FC-4f65-9D91-7224C49458BB}">
                <c15:layout/>
              </c:ext>
            </c:extLst>
          </c:dLbls>
          <c:cat>
            <c:strRef>
              <c:f>'SDA participants one way'!$B$58:$B$60</c:f>
              <c:strCache>
                <c:ptCount val="3"/>
                <c:pt idx="0">
                  <c:v>Yes</c:v>
                </c:pt>
                <c:pt idx="1">
                  <c:v>No</c:v>
                </c:pt>
                <c:pt idx="2">
                  <c:v>Not stated</c:v>
                </c:pt>
              </c:strCache>
            </c:strRef>
          </c:cat>
          <c:val>
            <c:numRef>
              <c:f>'SDA participants one way'!$C$58:$C$60</c:f>
              <c:numCache>
                <c:formatCode>_-* #,##0_-;\-* #,##0_-;_-* "-"??_-;_-@_-</c:formatCode>
                <c:ptCount val="3"/>
                <c:pt idx="0">
                  <c:v>571</c:v>
                </c:pt>
                <c:pt idx="1">
                  <c:v>11924</c:v>
                </c:pt>
                <c:pt idx="2">
                  <c:v>3538</c:v>
                </c:pt>
              </c:numCache>
            </c:numRef>
          </c:val>
          <c:extLst>
            <c:ext xmlns:c16="http://schemas.microsoft.com/office/drawing/2014/chart" uri="{C3380CC4-5D6E-409C-BE32-E72D297353CC}">
              <c16:uniqueId val="{00000006-97D0-4F6C-84D3-02304F930A5C}"/>
            </c:ext>
          </c:extLst>
        </c:ser>
        <c:dLbls>
          <c:showLegendKey val="0"/>
          <c:showVal val="0"/>
          <c:showCatName val="0"/>
          <c:showSerName val="0"/>
          <c:showPercent val="0"/>
          <c:showBubbleSize val="0"/>
          <c:showLeaderLines val="0"/>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9.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NDIS">
  <a:themeElements>
    <a:clrScheme name="NDIA colour palette">
      <a:dk1>
        <a:srgbClr val="000000"/>
      </a:dk1>
      <a:lt1>
        <a:srgbClr val="FEFFFF"/>
      </a:lt1>
      <a:dk2>
        <a:srgbClr val="8AC640"/>
      </a:dk2>
      <a:lt2>
        <a:srgbClr val="6B2976"/>
      </a:lt2>
      <a:accent1>
        <a:srgbClr val="57BCC7"/>
      </a:accent1>
      <a:accent2>
        <a:srgbClr val="009EAD"/>
      </a:accent2>
      <a:accent3>
        <a:srgbClr val="D6829A"/>
      </a:accent3>
      <a:accent4>
        <a:srgbClr val="C5296D"/>
      </a:accent4>
      <a:accent5>
        <a:srgbClr val="FAA41A"/>
      </a:accent5>
      <a:accent6>
        <a:srgbClr val="F26322"/>
      </a:accent6>
      <a:hlink>
        <a:srgbClr val="0432FF"/>
      </a:hlink>
      <a:folHlink>
        <a:srgbClr val="92929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DIS" id="{40D95CFA-5B88-D84F-94DC-F95D899DD32C}" vid="{2C9AD999-B78C-A940-855A-D41994C07343}"/>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900EE-1D97-4F8B-8D1C-D23E41629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3365</Words>
  <Characters>19187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SDA 2020-21 Q4 report</dc:title>
  <dc:subject/>
  <dc:creator/>
  <cp:keywords/>
  <dc:description/>
  <cp:lastModifiedBy/>
  <cp:revision>1</cp:revision>
  <dcterms:created xsi:type="dcterms:W3CDTF">2021-09-22T00:33:00Z</dcterms:created>
  <dcterms:modified xsi:type="dcterms:W3CDTF">2021-09-27T01:45:00Z</dcterms:modified>
</cp:coreProperties>
</file>