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7C9C7895" w:rsidR="00FF429B" w:rsidRPr="004A01CD" w:rsidRDefault="00861638" w:rsidP="007C2499">
      <w:pPr>
        <w:pStyle w:val="Heading1"/>
      </w:pPr>
      <w:bookmarkStart w:id="0" w:name="_Toc14105805"/>
      <w:bookmarkStart w:id="1" w:name="_Toc529955892"/>
      <w:bookmarkStart w:id="2" w:name="_Toc9427979"/>
      <w:bookmarkStart w:id="3" w:name="_Toc67926986"/>
      <w:r w:rsidRPr="004A01CD">
        <w:t>The NDIS Market</w:t>
      </w:r>
      <w:r w:rsidR="00FF429B" w:rsidRPr="004A01CD">
        <w:t xml:space="preserve"> </w:t>
      </w:r>
      <w:r w:rsidR="003A7B01" w:rsidRPr="004A01CD">
        <w:t>–</w:t>
      </w:r>
      <w:r w:rsidRPr="004A01CD">
        <w:t xml:space="preserve"> </w:t>
      </w:r>
      <w:r w:rsidR="00E44D05">
        <w:t>3</w:t>
      </w:r>
      <w:r w:rsidR="004761EC">
        <w:t>1</w:t>
      </w:r>
      <w:r w:rsidR="00E44D05">
        <w:t xml:space="preserve"> </w:t>
      </w:r>
      <w:r w:rsidR="004761EC">
        <w:t>December</w:t>
      </w:r>
      <w:r w:rsidR="00E44D05">
        <w:t xml:space="preserve"> 2020</w:t>
      </w:r>
      <w:bookmarkEnd w:id="0"/>
      <w:bookmarkEnd w:id="3"/>
    </w:p>
    <w:p w14:paraId="4F118E03" w14:textId="77777777" w:rsidR="00A07DF7" w:rsidRDefault="000B1117" w:rsidP="007C2499">
      <w:pPr>
        <w:pStyle w:val="Heading2"/>
        <w:rPr>
          <w:noProof/>
        </w:rPr>
      </w:pPr>
      <w:bookmarkStart w:id="4" w:name="_Toc14105806"/>
      <w:bookmarkStart w:id="5" w:name="_Toc67926987"/>
      <w:r w:rsidRPr="004A01CD">
        <w:t xml:space="preserve">Table of </w:t>
      </w:r>
      <w:r w:rsidR="00FF429B" w:rsidRPr="004A01CD">
        <w:t>Contents</w:t>
      </w:r>
      <w:bookmarkEnd w:id="4"/>
      <w:bookmarkEnd w:id="5"/>
      <w:r w:rsidR="00410810" w:rsidRPr="004A01CD">
        <w:fldChar w:fldCharType="begin"/>
      </w:r>
      <w:r w:rsidR="00410810" w:rsidRPr="004A01CD">
        <w:instrText xml:space="preserve"> TOC \o "1-2" \h \z \u </w:instrText>
      </w:r>
      <w:r w:rsidR="00410810" w:rsidRPr="004A01CD">
        <w:fldChar w:fldCharType="separate"/>
      </w:r>
    </w:p>
    <w:p w14:paraId="6F81FA3B" w14:textId="795F6FD8" w:rsidR="00A07DF7" w:rsidRDefault="00A07DF7">
      <w:pPr>
        <w:pStyle w:val="TOC1"/>
        <w:tabs>
          <w:tab w:val="right" w:leader="dot" w:pos="9016"/>
        </w:tabs>
        <w:rPr>
          <w:rFonts w:asciiTheme="minorHAnsi" w:eastAsiaTheme="minorEastAsia" w:hAnsiTheme="minorHAnsi"/>
          <w:noProof/>
          <w:lang w:eastAsia="en-AU"/>
        </w:rPr>
      </w:pPr>
      <w:hyperlink w:anchor="_Toc67926986" w:history="1">
        <w:r w:rsidRPr="00E70C5B">
          <w:rPr>
            <w:rStyle w:val="Hyperlink"/>
            <w:noProof/>
          </w:rPr>
          <w:t>The NDIS Market – 31 December 2020</w:t>
        </w:r>
        <w:r>
          <w:rPr>
            <w:noProof/>
            <w:webHidden/>
          </w:rPr>
          <w:tab/>
        </w:r>
        <w:r>
          <w:rPr>
            <w:noProof/>
            <w:webHidden/>
          </w:rPr>
          <w:fldChar w:fldCharType="begin"/>
        </w:r>
        <w:r>
          <w:rPr>
            <w:noProof/>
            <w:webHidden/>
          </w:rPr>
          <w:instrText xml:space="preserve"> PAGEREF _Toc67926986 \h </w:instrText>
        </w:r>
        <w:r>
          <w:rPr>
            <w:noProof/>
            <w:webHidden/>
          </w:rPr>
        </w:r>
        <w:r>
          <w:rPr>
            <w:noProof/>
            <w:webHidden/>
          </w:rPr>
          <w:fldChar w:fldCharType="separate"/>
        </w:r>
        <w:r>
          <w:rPr>
            <w:noProof/>
            <w:webHidden/>
          </w:rPr>
          <w:t>1</w:t>
        </w:r>
        <w:r>
          <w:rPr>
            <w:noProof/>
            <w:webHidden/>
          </w:rPr>
          <w:fldChar w:fldCharType="end"/>
        </w:r>
      </w:hyperlink>
    </w:p>
    <w:p w14:paraId="68698DE9" w14:textId="4498FEEE" w:rsidR="00A07DF7" w:rsidRDefault="00A07DF7">
      <w:pPr>
        <w:pStyle w:val="TOC2"/>
        <w:tabs>
          <w:tab w:val="right" w:leader="dot" w:pos="9016"/>
        </w:tabs>
        <w:rPr>
          <w:rFonts w:asciiTheme="minorHAnsi" w:eastAsiaTheme="minorEastAsia" w:hAnsiTheme="minorHAnsi"/>
          <w:noProof/>
          <w:lang w:eastAsia="en-AU"/>
        </w:rPr>
      </w:pPr>
      <w:hyperlink w:anchor="_Toc67926987" w:history="1">
        <w:r w:rsidRPr="00E70C5B">
          <w:rPr>
            <w:rStyle w:val="Hyperlink"/>
            <w:noProof/>
          </w:rPr>
          <w:t>Table of Contents</w:t>
        </w:r>
        <w:r>
          <w:rPr>
            <w:noProof/>
            <w:webHidden/>
          </w:rPr>
          <w:tab/>
        </w:r>
        <w:r>
          <w:rPr>
            <w:noProof/>
            <w:webHidden/>
          </w:rPr>
          <w:fldChar w:fldCharType="begin"/>
        </w:r>
        <w:r>
          <w:rPr>
            <w:noProof/>
            <w:webHidden/>
          </w:rPr>
          <w:instrText xml:space="preserve"> PAGEREF _Toc67926987 \h </w:instrText>
        </w:r>
        <w:r>
          <w:rPr>
            <w:noProof/>
            <w:webHidden/>
          </w:rPr>
        </w:r>
        <w:r>
          <w:rPr>
            <w:noProof/>
            <w:webHidden/>
          </w:rPr>
          <w:fldChar w:fldCharType="separate"/>
        </w:r>
        <w:r>
          <w:rPr>
            <w:noProof/>
            <w:webHidden/>
          </w:rPr>
          <w:t>1</w:t>
        </w:r>
        <w:r>
          <w:rPr>
            <w:noProof/>
            <w:webHidden/>
          </w:rPr>
          <w:fldChar w:fldCharType="end"/>
        </w:r>
      </w:hyperlink>
    </w:p>
    <w:p w14:paraId="347613D0" w14:textId="6339EE61" w:rsidR="00A07DF7" w:rsidRDefault="00A07DF7">
      <w:pPr>
        <w:pStyle w:val="TOC2"/>
        <w:tabs>
          <w:tab w:val="right" w:leader="dot" w:pos="9016"/>
        </w:tabs>
        <w:rPr>
          <w:rFonts w:asciiTheme="minorHAnsi" w:eastAsiaTheme="minorEastAsia" w:hAnsiTheme="minorHAnsi"/>
          <w:noProof/>
          <w:lang w:eastAsia="en-AU"/>
        </w:rPr>
      </w:pPr>
      <w:hyperlink w:anchor="_Toc67926988" w:history="1">
        <w:r w:rsidRPr="00E70C5B">
          <w:rPr>
            <w:rStyle w:val="Hyperlink"/>
            <w:noProof/>
          </w:rPr>
          <w:t>Slide 1: The NDIS Market – 31 December 2020</w:t>
        </w:r>
        <w:r>
          <w:rPr>
            <w:noProof/>
            <w:webHidden/>
          </w:rPr>
          <w:tab/>
        </w:r>
        <w:r>
          <w:rPr>
            <w:noProof/>
            <w:webHidden/>
          </w:rPr>
          <w:fldChar w:fldCharType="begin"/>
        </w:r>
        <w:r>
          <w:rPr>
            <w:noProof/>
            <w:webHidden/>
          </w:rPr>
          <w:instrText xml:space="preserve"> PAGEREF _Toc67926988 \h </w:instrText>
        </w:r>
        <w:r>
          <w:rPr>
            <w:noProof/>
            <w:webHidden/>
          </w:rPr>
        </w:r>
        <w:r>
          <w:rPr>
            <w:noProof/>
            <w:webHidden/>
          </w:rPr>
          <w:fldChar w:fldCharType="separate"/>
        </w:r>
        <w:r>
          <w:rPr>
            <w:noProof/>
            <w:webHidden/>
          </w:rPr>
          <w:t>3</w:t>
        </w:r>
        <w:r>
          <w:rPr>
            <w:noProof/>
            <w:webHidden/>
          </w:rPr>
          <w:fldChar w:fldCharType="end"/>
        </w:r>
      </w:hyperlink>
    </w:p>
    <w:p w14:paraId="30E2E92E" w14:textId="34268028" w:rsidR="00A07DF7" w:rsidRDefault="00A07DF7">
      <w:pPr>
        <w:pStyle w:val="TOC2"/>
        <w:tabs>
          <w:tab w:val="right" w:leader="dot" w:pos="9016"/>
        </w:tabs>
        <w:rPr>
          <w:rFonts w:asciiTheme="minorHAnsi" w:eastAsiaTheme="minorEastAsia" w:hAnsiTheme="minorHAnsi"/>
          <w:noProof/>
          <w:lang w:eastAsia="en-AU"/>
        </w:rPr>
      </w:pPr>
      <w:hyperlink w:anchor="_Toc67926989" w:history="1">
        <w:r w:rsidRPr="00E70C5B">
          <w:rPr>
            <w:rStyle w:val="Hyperlink"/>
            <w:noProof/>
          </w:rPr>
          <w:t>Slide 2: Outline</w:t>
        </w:r>
        <w:r>
          <w:rPr>
            <w:noProof/>
            <w:webHidden/>
          </w:rPr>
          <w:tab/>
        </w:r>
        <w:r>
          <w:rPr>
            <w:noProof/>
            <w:webHidden/>
          </w:rPr>
          <w:fldChar w:fldCharType="begin"/>
        </w:r>
        <w:r>
          <w:rPr>
            <w:noProof/>
            <w:webHidden/>
          </w:rPr>
          <w:instrText xml:space="preserve"> PAGEREF _Toc67926989 \h </w:instrText>
        </w:r>
        <w:r>
          <w:rPr>
            <w:noProof/>
            <w:webHidden/>
          </w:rPr>
        </w:r>
        <w:r>
          <w:rPr>
            <w:noProof/>
            <w:webHidden/>
          </w:rPr>
          <w:fldChar w:fldCharType="separate"/>
        </w:r>
        <w:r>
          <w:rPr>
            <w:noProof/>
            <w:webHidden/>
          </w:rPr>
          <w:t>3</w:t>
        </w:r>
        <w:r>
          <w:rPr>
            <w:noProof/>
            <w:webHidden/>
          </w:rPr>
          <w:fldChar w:fldCharType="end"/>
        </w:r>
      </w:hyperlink>
    </w:p>
    <w:p w14:paraId="0C1862A8" w14:textId="48D15783" w:rsidR="00A07DF7" w:rsidRDefault="00A07DF7">
      <w:pPr>
        <w:pStyle w:val="TOC2"/>
        <w:tabs>
          <w:tab w:val="left" w:pos="660"/>
          <w:tab w:val="right" w:leader="dot" w:pos="9016"/>
        </w:tabs>
        <w:rPr>
          <w:rFonts w:asciiTheme="minorHAnsi" w:eastAsiaTheme="minorEastAsia" w:hAnsiTheme="minorHAnsi"/>
          <w:noProof/>
          <w:lang w:eastAsia="en-AU"/>
        </w:rPr>
      </w:pPr>
      <w:hyperlink w:anchor="_Toc67926990" w:history="1">
        <w:r w:rsidRPr="00E70C5B">
          <w:rPr>
            <w:rStyle w:val="Hyperlink"/>
            <w:rFonts w:cs="Arial"/>
            <w:noProof/>
          </w:rPr>
          <w:t>–</w:t>
        </w:r>
        <w:r>
          <w:rPr>
            <w:rFonts w:asciiTheme="minorHAnsi" w:eastAsiaTheme="minorEastAsia" w:hAnsiTheme="minorHAnsi"/>
            <w:noProof/>
            <w:lang w:eastAsia="en-AU"/>
          </w:rPr>
          <w:tab/>
        </w:r>
        <w:r w:rsidRPr="00E70C5B">
          <w:rPr>
            <w:rStyle w:val="Hyperlink"/>
            <w:rFonts w:cs="Arial"/>
            <w:noProof/>
          </w:rPr>
          <w:t>Outer Gippsland (VIC)</w:t>
        </w:r>
        <w:r>
          <w:rPr>
            <w:noProof/>
            <w:webHidden/>
          </w:rPr>
          <w:tab/>
        </w:r>
        <w:r>
          <w:rPr>
            <w:noProof/>
            <w:webHidden/>
          </w:rPr>
          <w:fldChar w:fldCharType="begin"/>
        </w:r>
        <w:r>
          <w:rPr>
            <w:noProof/>
            <w:webHidden/>
          </w:rPr>
          <w:instrText xml:space="preserve"> PAGEREF _Toc67926990 \h </w:instrText>
        </w:r>
        <w:r>
          <w:rPr>
            <w:noProof/>
            <w:webHidden/>
          </w:rPr>
        </w:r>
        <w:r>
          <w:rPr>
            <w:noProof/>
            <w:webHidden/>
          </w:rPr>
          <w:fldChar w:fldCharType="separate"/>
        </w:r>
        <w:r>
          <w:rPr>
            <w:noProof/>
            <w:webHidden/>
          </w:rPr>
          <w:t>3</w:t>
        </w:r>
        <w:r>
          <w:rPr>
            <w:noProof/>
            <w:webHidden/>
          </w:rPr>
          <w:fldChar w:fldCharType="end"/>
        </w:r>
      </w:hyperlink>
    </w:p>
    <w:p w14:paraId="1E8D6B73" w14:textId="0B45E505" w:rsidR="00A07DF7" w:rsidRDefault="00A07DF7">
      <w:pPr>
        <w:pStyle w:val="TOC2"/>
        <w:tabs>
          <w:tab w:val="left" w:pos="660"/>
          <w:tab w:val="right" w:leader="dot" w:pos="9016"/>
        </w:tabs>
        <w:rPr>
          <w:rFonts w:asciiTheme="minorHAnsi" w:eastAsiaTheme="minorEastAsia" w:hAnsiTheme="minorHAnsi"/>
          <w:noProof/>
          <w:lang w:eastAsia="en-AU"/>
        </w:rPr>
      </w:pPr>
      <w:hyperlink w:anchor="_Toc67926991" w:history="1">
        <w:r w:rsidRPr="00E70C5B">
          <w:rPr>
            <w:rStyle w:val="Hyperlink"/>
            <w:rFonts w:cs="Arial"/>
            <w:noProof/>
          </w:rPr>
          <w:t>–</w:t>
        </w:r>
        <w:r>
          <w:rPr>
            <w:rFonts w:asciiTheme="minorHAnsi" w:eastAsiaTheme="minorEastAsia" w:hAnsiTheme="minorHAnsi"/>
            <w:noProof/>
            <w:lang w:eastAsia="en-AU"/>
          </w:rPr>
          <w:tab/>
        </w:r>
        <w:r w:rsidRPr="00E70C5B">
          <w:rPr>
            <w:rStyle w:val="Hyperlink"/>
            <w:rFonts w:cs="Arial"/>
            <w:noProof/>
          </w:rPr>
          <w:t>Murray and Mallee (SA)</w:t>
        </w:r>
        <w:r>
          <w:rPr>
            <w:noProof/>
            <w:webHidden/>
          </w:rPr>
          <w:tab/>
        </w:r>
        <w:r>
          <w:rPr>
            <w:noProof/>
            <w:webHidden/>
          </w:rPr>
          <w:fldChar w:fldCharType="begin"/>
        </w:r>
        <w:r>
          <w:rPr>
            <w:noProof/>
            <w:webHidden/>
          </w:rPr>
          <w:instrText xml:space="preserve"> PAGEREF _Toc67926991 \h </w:instrText>
        </w:r>
        <w:r>
          <w:rPr>
            <w:noProof/>
            <w:webHidden/>
          </w:rPr>
        </w:r>
        <w:r>
          <w:rPr>
            <w:noProof/>
            <w:webHidden/>
          </w:rPr>
          <w:fldChar w:fldCharType="separate"/>
        </w:r>
        <w:r>
          <w:rPr>
            <w:noProof/>
            <w:webHidden/>
          </w:rPr>
          <w:t>3</w:t>
        </w:r>
        <w:r>
          <w:rPr>
            <w:noProof/>
            <w:webHidden/>
          </w:rPr>
          <w:fldChar w:fldCharType="end"/>
        </w:r>
      </w:hyperlink>
    </w:p>
    <w:p w14:paraId="325FD8E5" w14:textId="5078B919" w:rsidR="00A07DF7" w:rsidRDefault="00A07DF7">
      <w:pPr>
        <w:pStyle w:val="TOC2"/>
        <w:tabs>
          <w:tab w:val="right" w:leader="dot" w:pos="9016"/>
        </w:tabs>
        <w:rPr>
          <w:rFonts w:asciiTheme="minorHAnsi" w:eastAsiaTheme="minorEastAsia" w:hAnsiTheme="minorHAnsi"/>
          <w:noProof/>
          <w:lang w:eastAsia="en-AU"/>
        </w:rPr>
      </w:pPr>
      <w:hyperlink w:anchor="_Toc67926992" w:history="1">
        <w:r w:rsidRPr="00E70C5B">
          <w:rPr>
            <w:rStyle w:val="Hyperlink"/>
            <w:noProof/>
          </w:rPr>
          <w:t>Slide 3: 01 Introduction</w:t>
        </w:r>
        <w:r>
          <w:rPr>
            <w:noProof/>
            <w:webHidden/>
          </w:rPr>
          <w:tab/>
        </w:r>
        <w:r>
          <w:rPr>
            <w:noProof/>
            <w:webHidden/>
          </w:rPr>
          <w:fldChar w:fldCharType="begin"/>
        </w:r>
        <w:r>
          <w:rPr>
            <w:noProof/>
            <w:webHidden/>
          </w:rPr>
          <w:instrText xml:space="preserve"> PAGEREF _Toc67926992 \h </w:instrText>
        </w:r>
        <w:r>
          <w:rPr>
            <w:noProof/>
            <w:webHidden/>
          </w:rPr>
        </w:r>
        <w:r>
          <w:rPr>
            <w:noProof/>
            <w:webHidden/>
          </w:rPr>
          <w:fldChar w:fldCharType="separate"/>
        </w:r>
        <w:r>
          <w:rPr>
            <w:noProof/>
            <w:webHidden/>
          </w:rPr>
          <w:t>3</w:t>
        </w:r>
        <w:r>
          <w:rPr>
            <w:noProof/>
            <w:webHidden/>
          </w:rPr>
          <w:fldChar w:fldCharType="end"/>
        </w:r>
      </w:hyperlink>
    </w:p>
    <w:p w14:paraId="221092EC" w14:textId="282E038A" w:rsidR="00A07DF7" w:rsidRDefault="00A07DF7">
      <w:pPr>
        <w:pStyle w:val="TOC2"/>
        <w:tabs>
          <w:tab w:val="right" w:leader="dot" w:pos="9016"/>
        </w:tabs>
        <w:rPr>
          <w:rFonts w:asciiTheme="minorHAnsi" w:eastAsiaTheme="minorEastAsia" w:hAnsiTheme="minorHAnsi"/>
          <w:noProof/>
          <w:lang w:eastAsia="en-AU"/>
        </w:rPr>
      </w:pPr>
      <w:hyperlink w:anchor="_Toc67926993" w:history="1">
        <w:r w:rsidRPr="00E70C5B">
          <w:rPr>
            <w:rStyle w:val="Hyperlink"/>
            <w:noProof/>
          </w:rPr>
          <w:t>Slide 4: Background</w:t>
        </w:r>
        <w:r>
          <w:rPr>
            <w:noProof/>
            <w:webHidden/>
          </w:rPr>
          <w:tab/>
        </w:r>
        <w:r>
          <w:rPr>
            <w:noProof/>
            <w:webHidden/>
          </w:rPr>
          <w:fldChar w:fldCharType="begin"/>
        </w:r>
        <w:r>
          <w:rPr>
            <w:noProof/>
            <w:webHidden/>
          </w:rPr>
          <w:instrText xml:space="preserve"> PAGEREF _Toc67926993 \h </w:instrText>
        </w:r>
        <w:r>
          <w:rPr>
            <w:noProof/>
            <w:webHidden/>
          </w:rPr>
        </w:r>
        <w:r>
          <w:rPr>
            <w:noProof/>
            <w:webHidden/>
          </w:rPr>
          <w:fldChar w:fldCharType="separate"/>
        </w:r>
        <w:r>
          <w:rPr>
            <w:noProof/>
            <w:webHidden/>
          </w:rPr>
          <w:t>3</w:t>
        </w:r>
        <w:r>
          <w:rPr>
            <w:noProof/>
            <w:webHidden/>
          </w:rPr>
          <w:fldChar w:fldCharType="end"/>
        </w:r>
      </w:hyperlink>
    </w:p>
    <w:p w14:paraId="70E13761" w14:textId="27D3F8BA" w:rsidR="00A07DF7" w:rsidRDefault="00A07DF7">
      <w:pPr>
        <w:pStyle w:val="TOC2"/>
        <w:tabs>
          <w:tab w:val="right" w:leader="dot" w:pos="9016"/>
        </w:tabs>
        <w:rPr>
          <w:rFonts w:asciiTheme="minorHAnsi" w:eastAsiaTheme="minorEastAsia" w:hAnsiTheme="minorHAnsi"/>
          <w:noProof/>
          <w:lang w:eastAsia="en-AU"/>
        </w:rPr>
      </w:pPr>
      <w:hyperlink w:anchor="_Toc67926994" w:history="1">
        <w:r w:rsidRPr="00E70C5B">
          <w:rPr>
            <w:rStyle w:val="Hyperlink"/>
            <w:noProof/>
          </w:rPr>
          <w:t>Slide 5: Context</w:t>
        </w:r>
        <w:r>
          <w:rPr>
            <w:noProof/>
            <w:webHidden/>
          </w:rPr>
          <w:tab/>
        </w:r>
        <w:r>
          <w:rPr>
            <w:noProof/>
            <w:webHidden/>
          </w:rPr>
          <w:fldChar w:fldCharType="begin"/>
        </w:r>
        <w:r>
          <w:rPr>
            <w:noProof/>
            <w:webHidden/>
          </w:rPr>
          <w:instrText xml:space="preserve"> PAGEREF _Toc67926994 \h </w:instrText>
        </w:r>
        <w:r>
          <w:rPr>
            <w:noProof/>
            <w:webHidden/>
          </w:rPr>
        </w:r>
        <w:r>
          <w:rPr>
            <w:noProof/>
            <w:webHidden/>
          </w:rPr>
          <w:fldChar w:fldCharType="separate"/>
        </w:r>
        <w:r>
          <w:rPr>
            <w:noProof/>
            <w:webHidden/>
          </w:rPr>
          <w:t>4</w:t>
        </w:r>
        <w:r>
          <w:rPr>
            <w:noProof/>
            <w:webHidden/>
          </w:rPr>
          <w:fldChar w:fldCharType="end"/>
        </w:r>
      </w:hyperlink>
    </w:p>
    <w:p w14:paraId="0B1687AB" w14:textId="5B6EF05F" w:rsidR="00A07DF7" w:rsidRDefault="00A07DF7">
      <w:pPr>
        <w:pStyle w:val="TOC2"/>
        <w:tabs>
          <w:tab w:val="right" w:leader="dot" w:pos="9016"/>
        </w:tabs>
        <w:rPr>
          <w:rFonts w:asciiTheme="minorHAnsi" w:eastAsiaTheme="minorEastAsia" w:hAnsiTheme="minorHAnsi"/>
          <w:noProof/>
          <w:lang w:eastAsia="en-AU"/>
        </w:rPr>
      </w:pPr>
      <w:hyperlink w:anchor="_Toc67926995" w:history="1">
        <w:r w:rsidRPr="00E70C5B">
          <w:rPr>
            <w:rStyle w:val="Hyperlink"/>
            <w:noProof/>
          </w:rPr>
          <w:t>Slide 6: Active participants, plan budgets and payments over time</w:t>
        </w:r>
        <w:r>
          <w:rPr>
            <w:noProof/>
            <w:webHidden/>
          </w:rPr>
          <w:tab/>
        </w:r>
        <w:r>
          <w:rPr>
            <w:noProof/>
            <w:webHidden/>
          </w:rPr>
          <w:fldChar w:fldCharType="begin"/>
        </w:r>
        <w:r>
          <w:rPr>
            <w:noProof/>
            <w:webHidden/>
          </w:rPr>
          <w:instrText xml:space="preserve"> PAGEREF _Toc67926995 \h </w:instrText>
        </w:r>
        <w:r>
          <w:rPr>
            <w:noProof/>
            <w:webHidden/>
          </w:rPr>
        </w:r>
        <w:r>
          <w:rPr>
            <w:noProof/>
            <w:webHidden/>
          </w:rPr>
          <w:fldChar w:fldCharType="separate"/>
        </w:r>
        <w:r>
          <w:rPr>
            <w:noProof/>
            <w:webHidden/>
          </w:rPr>
          <w:t>4</w:t>
        </w:r>
        <w:r>
          <w:rPr>
            <w:noProof/>
            <w:webHidden/>
          </w:rPr>
          <w:fldChar w:fldCharType="end"/>
        </w:r>
      </w:hyperlink>
    </w:p>
    <w:p w14:paraId="7A5F4F4F" w14:textId="4EF65661" w:rsidR="00A07DF7" w:rsidRDefault="00A07DF7">
      <w:pPr>
        <w:pStyle w:val="TOC2"/>
        <w:tabs>
          <w:tab w:val="right" w:leader="dot" w:pos="9016"/>
        </w:tabs>
        <w:rPr>
          <w:rFonts w:asciiTheme="minorHAnsi" w:eastAsiaTheme="minorEastAsia" w:hAnsiTheme="minorHAnsi"/>
          <w:noProof/>
          <w:lang w:eastAsia="en-AU"/>
        </w:rPr>
      </w:pPr>
      <w:hyperlink w:anchor="_Toc67926996" w:history="1">
        <w:r w:rsidRPr="00E70C5B">
          <w:rPr>
            <w:rStyle w:val="Hyperlink"/>
            <w:noProof/>
          </w:rPr>
          <w:t>Slide 7:  Payments by support category</w:t>
        </w:r>
        <w:r>
          <w:rPr>
            <w:noProof/>
            <w:webHidden/>
          </w:rPr>
          <w:tab/>
        </w:r>
        <w:r>
          <w:rPr>
            <w:noProof/>
            <w:webHidden/>
          </w:rPr>
          <w:fldChar w:fldCharType="begin"/>
        </w:r>
        <w:r>
          <w:rPr>
            <w:noProof/>
            <w:webHidden/>
          </w:rPr>
          <w:instrText xml:space="preserve"> PAGEREF _Toc67926996 \h </w:instrText>
        </w:r>
        <w:r>
          <w:rPr>
            <w:noProof/>
            <w:webHidden/>
          </w:rPr>
        </w:r>
        <w:r>
          <w:rPr>
            <w:noProof/>
            <w:webHidden/>
          </w:rPr>
          <w:fldChar w:fldCharType="separate"/>
        </w:r>
        <w:r>
          <w:rPr>
            <w:noProof/>
            <w:webHidden/>
          </w:rPr>
          <w:t>4</w:t>
        </w:r>
        <w:r>
          <w:rPr>
            <w:noProof/>
            <w:webHidden/>
          </w:rPr>
          <w:fldChar w:fldCharType="end"/>
        </w:r>
      </w:hyperlink>
    </w:p>
    <w:p w14:paraId="35727FA3" w14:textId="70B11957" w:rsidR="00A07DF7" w:rsidRDefault="00A07DF7">
      <w:pPr>
        <w:pStyle w:val="TOC2"/>
        <w:tabs>
          <w:tab w:val="right" w:leader="dot" w:pos="9016"/>
        </w:tabs>
        <w:rPr>
          <w:rFonts w:asciiTheme="minorHAnsi" w:eastAsiaTheme="minorEastAsia" w:hAnsiTheme="minorHAnsi"/>
          <w:noProof/>
          <w:lang w:eastAsia="en-AU"/>
        </w:rPr>
      </w:pPr>
      <w:hyperlink w:anchor="_Toc67926997" w:history="1">
        <w:r w:rsidRPr="00E70C5B">
          <w:rPr>
            <w:rStyle w:val="Hyperlink"/>
            <w:noProof/>
          </w:rPr>
          <w:t>Slide 8: Key indicators for monitoring the NDIS market – plan utilisation</w:t>
        </w:r>
        <w:r>
          <w:rPr>
            <w:noProof/>
            <w:webHidden/>
          </w:rPr>
          <w:tab/>
        </w:r>
        <w:r>
          <w:rPr>
            <w:noProof/>
            <w:webHidden/>
          </w:rPr>
          <w:fldChar w:fldCharType="begin"/>
        </w:r>
        <w:r>
          <w:rPr>
            <w:noProof/>
            <w:webHidden/>
          </w:rPr>
          <w:instrText xml:space="preserve"> PAGEREF _Toc67926997 \h </w:instrText>
        </w:r>
        <w:r>
          <w:rPr>
            <w:noProof/>
            <w:webHidden/>
          </w:rPr>
        </w:r>
        <w:r>
          <w:rPr>
            <w:noProof/>
            <w:webHidden/>
          </w:rPr>
          <w:fldChar w:fldCharType="separate"/>
        </w:r>
        <w:r>
          <w:rPr>
            <w:noProof/>
            <w:webHidden/>
          </w:rPr>
          <w:t>5</w:t>
        </w:r>
        <w:r>
          <w:rPr>
            <w:noProof/>
            <w:webHidden/>
          </w:rPr>
          <w:fldChar w:fldCharType="end"/>
        </w:r>
      </w:hyperlink>
    </w:p>
    <w:p w14:paraId="04976676" w14:textId="02FE73F0" w:rsidR="00A07DF7" w:rsidRDefault="00A07DF7">
      <w:pPr>
        <w:pStyle w:val="TOC2"/>
        <w:tabs>
          <w:tab w:val="right" w:leader="dot" w:pos="9016"/>
        </w:tabs>
        <w:rPr>
          <w:rFonts w:asciiTheme="minorHAnsi" w:eastAsiaTheme="minorEastAsia" w:hAnsiTheme="minorHAnsi"/>
          <w:noProof/>
          <w:lang w:eastAsia="en-AU"/>
        </w:rPr>
      </w:pPr>
      <w:hyperlink w:anchor="_Toc67926998" w:history="1">
        <w:r w:rsidRPr="00E70C5B">
          <w:rPr>
            <w:rStyle w:val="Hyperlink"/>
            <w:noProof/>
          </w:rPr>
          <w:t>Slide 9: Key indicators for monitoring the NDIS market – market concentration</w:t>
        </w:r>
        <w:r>
          <w:rPr>
            <w:noProof/>
            <w:webHidden/>
          </w:rPr>
          <w:tab/>
        </w:r>
        <w:r>
          <w:rPr>
            <w:noProof/>
            <w:webHidden/>
          </w:rPr>
          <w:fldChar w:fldCharType="begin"/>
        </w:r>
        <w:r>
          <w:rPr>
            <w:noProof/>
            <w:webHidden/>
          </w:rPr>
          <w:instrText xml:space="preserve"> PAGEREF _Toc67926998 \h </w:instrText>
        </w:r>
        <w:r>
          <w:rPr>
            <w:noProof/>
            <w:webHidden/>
          </w:rPr>
        </w:r>
        <w:r>
          <w:rPr>
            <w:noProof/>
            <w:webHidden/>
          </w:rPr>
          <w:fldChar w:fldCharType="separate"/>
        </w:r>
        <w:r>
          <w:rPr>
            <w:noProof/>
            <w:webHidden/>
          </w:rPr>
          <w:t>6</w:t>
        </w:r>
        <w:r>
          <w:rPr>
            <w:noProof/>
            <w:webHidden/>
          </w:rPr>
          <w:fldChar w:fldCharType="end"/>
        </w:r>
      </w:hyperlink>
    </w:p>
    <w:p w14:paraId="3F4272F7" w14:textId="1EFFA0D3" w:rsidR="00A07DF7" w:rsidRDefault="00A07DF7">
      <w:pPr>
        <w:pStyle w:val="TOC2"/>
        <w:tabs>
          <w:tab w:val="right" w:leader="dot" w:pos="9016"/>
        </w:tabs>
        <w:rPr>
          <w:rFonts w:asciiTheme="minorHAnsi" w:eastAsiaTheme="minorEastAsia" w:hAnsiTheme="minorHAnsi"/>
          <w:noProof/>
          <w:lang w:eastAsia="en-AU"/>
        </w:rPr>
      </w:pPr>
      <w:hyperlink w:anchor="_Toc67926999" w:history="1">
        <w:r w:rsidRPr="00E70C5B">
          <w:rPr>
            <w:rStyle w:val="Hyperlink"/>
            <w:noProof/>
          </w:rPr>
          <w:t>Slide 10: Key indicators for monitoring the NDIS market – choice and control</w:t>
        </w:r>
        <w:r>
          <w:rPr>
            <w:noProof/>
            <w:webHidden/>
          </w:rPr>
          <w:tab/>
        </w:r>
        <w:r>
          <w:rPr>
            <w:noProof/>
            <w:webHidden/>
          </w:rPr>
          <w:fldChar w:fldCharType="begin"/>
        </w:r>
        <w:r>
          <w:rPr>
            <w:noProof/>
            <w:webHidden/>
          </w:rPr>
          <w:instrText xml:space="preserve"> PAGEREF _Toc67926999 \h </w:instrText>
        </w:r>
        <w:r>
          <w:rPr>
            <w:noProof/>
            <w:webHidden/>
          </w:rPr>
        </w:r>
        <w:r>
          <w:rPr>
            <w:noProof/>
            <w:webHidden/>
          </w:rPr>
          <w:fldChar w:fldCharType="separate"/>
        </w:r>
        <w:r>
          <w:rPr>
            <w:noProof/>
            <w:webHidden/>
          </w:rPr>
          <w:t>6</w:t>
        </w:r>
        <w:r>
          <w:rPr>
            <w:noProof/>
            <w:webHidden/>
          </w:rPr>
          <w:fldChar w:fldCharType="end"/>
        </w:r>
      </w:hyperlink>
    </w:p>
    <w:p w14:paraId="73414D1D" w14:textId="22859A3F" w:rsidR="00A07DF7" w:rsidRDefault="00A07DF7">
      <w:pPr>
        <w:pStyle w:val="TOC2"/>
        <w:tabs>
          <w:tab w:val="right" w:leader="dot" w:pos="9016"/>
        </w:tabs>
        <w:rPr>
          <w:rFonts w:asciiTheme="minorHAnsi" w:eastAsiaTheme="minorEastAsia" w:hAnsiTheme="minorHAnsi"/>
          <w:noProof/>
          <w:lang w:eastAsia="en-AU"/>
        </w:rPr>
      </w:pPr>
      <w:hyperlink w:anchor="_Toc67927000" w:history="1">
        <w:r w:rsidRPr="00E70C5B">
          <w:rPr>
            <w:rStyle w:val="Hyperlink"/>
            <w:noProof/>
          </w:rPr>
          <w:t>Slide 11: Summary of indicators across market segments</w:t>
        </w:r>
        <w:r>
          <w:rPr>
            <w:noProof/>
            <w:webHidden/>
          </w:rPr>
          <w:tab/>
        </w:r>
        <w:r>
          <w:rPr>
            <w:noProof/>
            <w:webHidden/>
          </w:rPr>
          <w:fldChar w:fldCharType="begin"/>
        </w:r>
        <w:r>
          <w:rPr>
            <w:noProof/>
            <w:webHidden/>
          </w:rPr>
          <w:instrText xml:space="preserve"> PAGEREF _Toc67927000 \h </w:instrText>
        </w:r>
        <w:r>
          <w:rPr>
            <w:noProof/>
            <w:webHidden/>
          </w:rPr>
        </w:r>
        <w:r>
          <w:rPr>
            <w:noProof/>
            <w:webHidden/>
          </w:rPr>
          <w:fldChar w:fldCharType="separate"/>
        </w:r>
        <w:r>
          <w:rPr>
            <w:noProof/>
            <w:webHidden/>
          </w:rPr>
          <w:t>6</w:t>
        </w:r>
        <w:r>
          <w:rPr>
            <w:noProof/>
            <w:webHidden/>
          </w:rPr>
          <w:fldChar w:fldCharType="end"/>
        </w:r>
      </w:hyperlink>
    </w:p>
    <w:p w14:paraId="2B383424" w14:textId="64E056CA" w:rsidR="00A07DF7" w:rsidRDefault="00A07DF7">
      <w:pPr>
        <w:pStyle w:val="TOC2"/>
        <w:tabs>
          <w:tab w:val="right" w:leader="dot" w:pos="9016"/>
        </w:tabs>
        <w:rPr>
          <w:rFonts w:asciiTheme="minorHAnsi" w:eastAsiaTheme="minorEastAsia" w:hAnsiTheme="minorHAnsi"/>
          <w:noProof/>
          <w:lang w:eastAsia="en-AU"/>
        </w:rPr>
      </w:pPr>
      <w:hyperlink w:anchor="_Toc67927001" w:history="1">
        <w:r w:rsidRPr="00E70C5B">
          <w:rPr>
            <w:rStyle w:val="Hyperlink"/>
            <w:noProof/>
          </w:rPr>
          <w:t>Slide 12: Each of the service districts has been allocated into one of three categories (based on size of total plan budgets) to allow for a fairer comparison of the indicators across districts</w:t>
        </w:r>
        <w:r>
          <w:rPr>
            <w:noProof/>
            <w:webHidden/>
          </w:rPr>
          <w:tab/>
        </w:r>
        <w:r>
          <w:rPr>
            <w:noProof/>
            <w:webHidden/>
          </w:rPr>
          <w:fldChar w:fldCharType="begin"/>
        </w:r>
        <w:r>
          <w:rPr>
            <w:noProof/>
            <w:webHidden/>
          </w:rPr>
          <w:instrText xml:space="preserve"> PAGEREF _Toc67927001 \h </w:instrText>
        </w:r>
        <w:r>
          <w:rPr>
            <w:noProof/>
            <w:webHidden/>
          </w:rPr>
        </w:r>
        <w:r>
          <w:rPr>
            <w:noProof/>
            <w:webHidden/>
          </w:rPr>
          <w:fldChar w:fldCharType="separate"/>
        </w:r>
        <w:r>
          <w:rPr>
            <w:noProof/>
            <w:webHidden/>
          </w:rPr>
          <w:t>7</w:t>
        </w:r>
        <w:r>
          <w:rPr>
            <w:noProof/>
            <w:webHidden/>
          </w:rPr>
          <w:fldChar w:fldCharType="end"/>
        </w:r>
      </w:hyperlink>
    </w:p>
    <w:p w14:paraId="2635246B" w14:textId="120372E6" w:rsidR="00A07DF7" w:rsidRDefault="00A07DF7">
      <w:pPr>
        <w:pStyle w:val="TOC2"/>
        <w:tabs>
          <w:tab w:val="right" w:leader="dot" w:pos="9016"/>
        </w:tabs>
        <w:rPr>
          <w:rFonts w:asciiTheme="minorHAnsi" w:eastAsiaTheme="minorEastAsia" w:hAnsiTheme="minorHAnsi"/>
          <w:noProof/>
          <w:lang w:eastAsia="en-AU"/>
        </w:rPr>
      </w:pPr>
      <w:hyperlink w:anchor="_Toc67927002" w:history="1">
        <w:r w:rsidRPr="00E70C5B">
          <w:rPr>
            <w:rStyle w:val="Hyperlink"/>
            <w:noProof/>
          </w:rPr>
          <w:t>Slide 13: 02 Key Insights covering the period from April 2020 to September 2020</w:t>
        </w:r>
        <w:r>
          <w:rPr>
            <w:noProof/>
            <w:webHidden/>
          </w:rPr>
          <w:tab/>
        </w:r>
        <w:r>
          <w:rPr>
            <w:noProof/>
            <w:webHidden/>
          </w:rPr>
          <w:fldChar w:fldCharType="begin"/>
        </w:r>
        <w:r>
          <w:rPr>
            <w:noProof/>
            <w:webHidden/>
          </w:rPr>
          <w:instrText xml:space="preserve"> PAGEREF _Toc67927002 \h </w:instrText>
        </w:r>
        <w:r>
          <w:rPr>
            <w:noProof/>
            <w:webHidden/>
          </w:rPr>
        </w:r>
        <w:r>
          <w:rPr>
            <w:noProof/>
            <w:webHidden/>
          </w:rPr>
          <w:fldChar w:fldCharType="separate"/>
        </w:r>
        <w:r>
          <w:rPr>
            <w:noProof/>
            <w:webHidden/>
          </w:rPr>
          <w:t>8</w:t>
        </w:r>
        <w:r>
          <w:rPr>
            <w:noProof/>
            <w:webHidden/>
          </w:rPr>
          <w:fldChar w:fldCharType="end"/>
        </w:r>
      </w:hyperlink>
    </w:p>
    <w:p w14:paraId="5FC2E074" w14:textId="2F50E0F8" w:rsidR="00A07DF7" w:rsidRDefault="00A07DF7">
      <w:pPr>
        <w:pStyle w:val="TOC2"/>
        <w:tabs>
          <w:tab w:val="right" w:leader="dot" w:pos="9016"/>
        </w:tabs>
        <w:rPr>
          <w:rFonts w:asciiTheme="minorHAnsi" w:eastAsiaTheme="minorEastAsia" w:hAnsiTheme="minorHAnsi"/>
          <w:noProof/>
          <w:lang w:eastAsia="en-AU"/>
        </w:rPr>
      </w:pPr>
      <w:hyperlink w:anchor="_Toc67927003" w:history="1">
        <w:r w:rsidRPr="00E70C5B">
          <w:rPr>
            <w:rStyle w:val="Hyperlink"/>
            <w:noProof/>
          </w:rPr>
          <w:t>Slide 14: Analysis of utilisation against the districts ordered by budget size indicates some positive correlation</w:t>
        </w:r>
        <w:r>
          <w:rPr>
            <w:noProof/>
            <w:webHidden/>
          </w:rPr>
          <w:tab/>
        </w:r>
        <w:r>
          <w:rPr>
            <w:noProof/>
            <w:webHidden/>
          </w:rPr>
          <w:fldChar w:fldCharType="begin"/>
        </w:r>
        <w:r>
          <w:rPr>
            <w:noProof/>
            <w:webHidden/>
          </w:rPr>
          <w:instrText xml:space="preserve"> PAGEREF _Toc67927003 \h </w:instrText>
        </w:r>
        <w:r>
          <w:rPr>
            <w:noProof/>
            <w:webHidden/>
          </w:rPr>
        </w:r>
        <w:r>
          <w:rPr>
            <w:noProof/>
            <w:webHidden/>
          </w:rPr>
          <w:fldChar w:fldCharType="separate"/>
        </w:r>
        <w:r>
          <w:rPr>
            <w:noProof/>
            <w:webHidden/>
          </w:rPr>
          <w:t>8</w:t>
        </w:r>
        <w:r>
          <w:rPr>
            <w:noProof/>
            <w:webHidden/>
          </w:rPr>
          <w:fldChar w:fldCharType="end"/>
        </w:r>
      </w:hyperlink>
    </w:p>
    <w:p w14:paraId="5229BC33" w14:textId="040349E8" w:rsidR="00A07DF7" w:rsidRDefault="00A07DF7">
      <w:pPr>
        <w:pStyle w:val="TOC2"/>
        <w:tabs>
          <w:tab w:val="right" w:leader="dot" w:pos="9016"/>
        </w:tabs>
        <w:rPr>
          <w:rFonts w:asciiTheme="minorHAnsi" w:eastAsiaTheme="minorEastAsia" w:hAnsiTheme="minorHAnsi"/>
          <w:noProof/>
          <w:lang w:eastAsia="en-AU"/>
        </w:rPr>
      </w:pPr>
      <w:hyperlink w:anchor="_Toc67927004" w:history="1">
        <w:r w:rsidRPr="00E70C5B">
          <w:rPr>
            <w:rStyle w:val="Hyperlink"/>
            <w:noProof/>
          </w:rPr>
          <w:t>Slide 15: Plan utilisation was more than 10% below the benchmark for eight service districts</w:t>
        </w:r>
        <w:r>
          <w:rPr>
            <w:noProof/>
            <w:webHidden/>
          </w:rPr>
          <w:tab/>
        </w:r>
        <w:r>
          <w:rPr>
            <w:noProof/>
            <w:webHidden/>
          </w:rPr>
          <w:fldChar w:fldCharType="begin"/>
        </w:r>
        <w:r>
          <w:rPr>
            <w:noProof/>
            <w:webHidden/>
          </w:rPr>
          <w:instrText xml:space="preserve"> PAGEREF _Toc67927004 \h </w:instrText>
        </w:r>
        <w:r>
          <w:rPr>
            <w:noProof/>
            <w:webHidden/>
          </w:rPr>
        </w:r>
        <w:r>
          <w:rPr>
            <w:noProof/>
            <w:webHidden/>
          </w:rPr>
          <w:fldChar w:fldCharType="separate"/>
        </w:r>
        <w:r>
          <w:rPr>
            <w:noProof/>
            <w:webHidden/>
          </w:rPr>
          <w:t>8</w:t>
        </w:r>
        <w:r>
          <w:rPr>
            <w:noProof/>
            <w:webHidden/>
          </w:rPr>
          <w:fldChar w:fldCharType="end"/>
        </w:r>
      </w:hyperlink>
    </w:p>
    <w:p w14:paraId="2625C63F" w14:textId="1195B6D6" w:rsidR="00A07DF7" w:rsidRDefault="00A07DF7">
      <w:pPr>
        <w:pStyle w:val="TOC2"/>
        <w:tabs>
          <w:tab w:val="right" w:leader="dot" w:pos="9016"/>
        </w:tabs>
        <w:rPr>
          <w:rFonts w:asciiTheme="minorHAnsi" w:eastAsiaTheme="minorEastAsia" w:hAnsiTheme="minorHAnsi"/>
          <w:noProof/>
          <w:lang w:eastAsia="en-AU"/>
        </w:rPr>
      </w:pPr>
      <w:hyperlink w:anchor="_Toc67927005" w:history="1">
        <w:r w:rsidRPr="00E70C5B">
          <w:rPr>
            <w:rStyle w:val="Hyperlink"/>
            <w:noProof/>
          </w:rPr>
          <w:t>Slide 16: The majority of districts more than 5% below the national average benchmark have annualised plan budgets of less than $100m</w:t>
        </w:r>
        <w:r>
          <w:rPr>
            <w:noProof/>
            <w:webHidden/>
          </w:rPr>
          <w:tab/>
        </w:r>
        <w:r>
          <w:rPr>
            <w:noProof/>
            <w:webHidden/>
          </w:rPr>
          <w:fldChar w:fldCharType="begin"/>
        </w:r>
        <w:r>
          <w:rPr>
            <w:noProof/>
            <w:webHidden/>
          </w:rPr>
          <w:instrText xml:space="preserve"> PAGEREF _Toc67927005 \h </w:instrText>
        </w:r>
        <w:r>
          <w:rPr>
            <w:noProof/>
            <w:webHidden/>
          </w:rPr>
        </w:r>
        <w:r>
          <w:rPr>
            <w:noProof/>
            <w:webHidden/>
          </w:rPr>
          <w:fldChar w:fldCharType="separate"/>
        </w:r>
        <w:r>
          <w:rPr>
            <w:noProof/>
            <w:webHidden/>
          </w:rPr>
          <w:t>8</w:t>
        </w:r>
        <w:r>
          <w:rPr>
            <w:noProof/>
            <w:webHidden/>
          </w:rPr>
          <w:fldChar w:fldCharType="end"/>
        </w:r>
      </w:hyperlink>
    </w:p>
    <w:p w14:paraId="123330F0" w14:textId="14C99D74" w:rsidR="00A07DF7" w:rsidRDefault="00A07DF7">
      <w:pPr>
        <w:pStyle w:val="TOC2"/>
        <w:tabs>
          <w:tab w:val="right" w:leader="dot" w:pos="9016"/>
        </w:tabs>
        <w:rPr>
          <w:rFonts w:asciiTheme="minorHAnsi" w:eastAsiaTheme="minorEastAsia" w:hAnsiTheme="minorHAnsi"/>
          <w:noProof/>
          <w:lang w:eastAsia="en-AU"/>
        </w:rPr>
      </w:pPr>
      <w:hyperlink w:anchor="_Toc67927006" w:history="1">
        <w:r w:rsidRPr="00E70C5B">
          <w:rPr>
            <w:rStyle w:val="Hyperlink"/>
            <w:noProof/>
          </w:rPr>
          <w:t>Slide 17: The number of districts with an overall utilisation rate more than 10% below national average has not changed between June 2020 and December 2020</w:t>
        </w:r>
        <w:r>
          <w:rPr>
            <w:noProof/>
            <w:webHidden/>
          </w:rPr>
          <w:tab/>
        </w:r>
        <w:r>
          <w:rPr>
            <w:noProof/>
            <w:webHidden/>
          </w:rPr>
          <w:fldChar w:fldCharType="begin"/>
        </w:r>
        <w:r>
          <w:rPr>
            <w:noProof/>
            <w:webHidden/>
          </w:rPr>
          <w:instrText xml:space="preserve"> PAGEREF _Toc67927006 \h </w:instrText>
        </w:r>
        <w:r>
          <w:rPr>
            <w:noProof/>
            <w:webHidden/>
          </w:rPr>
        </w:r>
        <w:r>
          <w:rPr>
            <w:noProof/>
            <w:webHidden/>
          </w:rPr>
          <w:fldChar w:fldCharType="separate"/>
        </w:r>
        <w:r>
          <w:rPr>
            <w:noProof/>
            <w:webHidden/>
          </w:rPr>
          <w:t>9</w:t>
        </w:r>
        <w:r>
          <w:rPr>
            <w:noProof/>
            <w:webHidden/>
          </w:rPr>
          <w:fldChar w:fldCharType="end"/>
        </w:r>
      </w:hyperlink>
    </w:p>
    <w:p w14:paraId="50E916B1" w14:textId="2D651236" w:rsidR="00A07DF7" w:rsidRDefault="00A07DF7">
      <w:pPr>
        <w:pStyle w:val="TOC2"/>
        <w:tabs>
          <w:tab w:val="right" w:leader="dot" w:pos="9016"/>
        </w:tabs>
        <w:rPr>
          <w:rFonts w:asciiTheme="minorHAnsi" w:eastAsiaTheme="minorEastAsia" w:hAnsiTheme="minorHAnsi"/>
          <w:noProof/>
          <w:lang w:eastAsia="en-AU"/>
        </w:rPr>
      </w:pPr>
      <w:hyperlink w:anchor="_Toc67927007" w:history="1">
        <w:r w:rsidRPr="00E70C5B">
          <w:rPr>
            <w:rStyle w:val="Hyperlink"/>
            <w:noProof/>
          </w:rPr>
          <w:t>Slide 18: Overall utilisation rates have fallen slightly across Australia</w:t>
        </w:r>
        <w:r>
          <w:rPr>
            <w:noProof/>
            <w:webHidden/>
          </w:rPr>
          <w:tab/>
        </w:r>
        <w:r>
          <w:rPr>
            <w:noProof/>
            <w:webHidden/>
          </w:rPr>
          <w:fldChar w:fldCharType="begin"/>
        </w:r>
        <w:r>
          <w:rPr>
            <w:noProof/>
            <w:webHidden/>
          </w:rPr>
          <w:instrText xml:space="preserve"> PAGEREF _Toc67927007 \h </w:instrText>
        </w:r>
        <w:r>
          <w:rPr>
            <w:noProof/>
            <w:webHidden/>
          </w:rPr>
        </w:r>
        <w:r>
          <w:rPr>
            <w:noProof/>
            <w:webHidden/>
          </w:rPr>
          <w:fldChar w:fldCharType="separate"/>
        </w:r>
        <w:r>
          <w:rPr>
            <w:noProof/>
            <w:webHidden/>
          </w:rPr>
          <w:t>10</w:t>
        </w:r>
        <w:r>
          <w:rPr>
            <w:noProof/>
            <w:webHidden/>
          </w:rPr>
          <w:fldChar w:fldCharType="end"/>
        </w:r>
      </w:hyperlink>
    </w:p>
    <w:p w14:paraId="19186449" w14:textId="798853DC" w:rsidR="00A07DF7" w:rsidRDefault="00A07DF7">
      <w:pPr>
        <w:pStyle w:val="TOC2"/>
        <w:tabs>
          <w:tab w:val="right" w:leader="dot" w:pos="9016"/>
        </w:tabs>
        <w:rPr>
          <w:rFonts w:asciiTheme="minorHAnsi" w:eastAsiaTheme="minorEastAsia" w:hAnsiTheme="minorHAnsi"/>
          <w:noProof/>
          <w:lang w:eastAsia="en-AU"/>
        </w:rPr>
      </w:pPr>
      <w:hyperlink w:anchor="_Toc67927008" w:history="1">
        <w:r w:rsidRPr="00E70C5B">
          <w:rPr>
            <w:rStyle w:val="Hyperlink"/>
            <w:noProof/>
          </w:rPr>
          <w:t>Slide 19: 14 of 28 small districts were more than 5% below the utilisation benchmark.</w:t>
        </w:r>
        <w:r>
          <w:rPr>
            <w:noProof/>
            <w:webHidden/>
          </w:rPr>
          <w:tab/>
        </w:r>
        <w:r>
          <w:rPr>
            <w:noProof/>
            <w:webHidden/>
          </w:rPr>
          <w:fldChar w:fldCharType="begin"/>
        </w:r>
        <w:r>
          <w:rPr>
            <w:noProof/>
            <w:webHidden/>
          </w:rPr>
          <w:instrText xml:space="preserve"> PAGEREF _Toc67927008 \h </w:instrText>
        </w:r>
        <w:r>
          <w:rPr>
            <w:noProof/>
            <w:webHidden/>
          </w:rPr>
        </w:r>
        <w:r>
          <w:rPr>
            <w:noProof/>
            <w:webHidden/>
          </w:rPr>
          <w:fldChar w:fldCharType="separate"/>
        </w:r>
        <w:r>
          <w:rPr>
            <w:noProof/>
            <w:webHidden/>
          </w:rPr>
          <w:t>10</w:t>
        </w:r>
        <w:r>
          <w:rPr>
            <w:noProof/>
            <w:webHidden/>
          </w:rPr>
          <w:fldChar w:fldCharType="end"/>
        </w:r>
      </w:hyperlink>
    </w:p>
    <w:p w14:paraId="57CC1225" w14:textId="28A2695C" w:rsidR="00A07DF7" w:rsidRDefault="00A07DF7">
      <w:pPr>
        <w:pStyle w:val="TOC2"/>
        <w:tabs>
          <w:tab w:val="right" w:leader="dot" w:pos="9016"/>
        </w:tabs>
        <w:rPr>
          <w:rFonts w:asciiTheme="minorHAnsi" w:eastAsiaTheme="minorEastAsia" w:hAnsiTheme="minorHAnsi"/>
          <w:noProof/>
          <w:lang w:eastAsia="en-AU"/>
        </w:rPr>
      </w:pPr>
      <w:hyperlink w:anchor="_Toc67927009" w:history="1">
        <w:r w:rsidRPr="00E70C5B">
          <w:rPr>
            <w:rStyle w:val="Hyperlink"/>
            <w:noProof/>
          </w:rPr>
          <w:t>Slide 20: Plan utilisation for all districts with total plan budgets greater than $100m were within ten percentage points of the benchmark</w:t>
        </w:r>
        <w:r>
          <w:rPr>
            <w:noProof/>
            <w:webHidden/>
          </w:rPr>
          <w:tab/>
        </w:r>
        <w:r>
          <w:rPr>
            <w:noProof/>
            <w:webHidden/>
          </w:rPr>
          <w:fldChar w:fldCharType="begin"/>
        </w:r>
        <w:r>
          <w:rPr>
            <w:noProof/>
            <w:webHidden/>
          </w:rPr>
          <w:instrText xml:space="preserve"> PAGEREF _Toc67927009 \h </w:instrText>
        </w:r>
        <w:r>
          <w:rPr>
            <w:noProof/>
            <w:webHidden/>
          </w:rPr>
        </w:r>
        <w:r>
          <w:rPr>
            <w:noProof/>
            <w:webHidden/>
          </w:rPr>
          <w:fldChar w:fldCharType="separate"/>
        </w:r>
        <w:r>
          <w:rPr>
            <w:noProof/>
            <w:webHidden/>
          </w:rPr>
          <w:t>10</w:t>
        </w:r>
        <w:r>
          <w:rPr>
            <w:noProof/>
            <w:webHidden/>
          </w:rPr>
          <w:fldChar w:fldCharType="end"/>
        </w:r>
      </w:hyperlink>
    </w:p>
    <w:p w14:paraId="4AE0F62C" w14:textId="5B99D1D0" w:rsidR="00A07DF7" w:rsidRDefault="00A07DF7">
      <w:pPr>
        <w:pStyle w:val="TOC2"/>
        <w:tabs>
          <w:tab w:val="right" w:leader="dot" w:pos="9016"/>
        </w:tabs>
        <w:rPr>
          <w:rFonts w:asciiTheme="minorHAnsi" w:eastAsiaTheme="minorEastAsia" w:hAnsiTheme="minorHAnsi"/>
          <w:noProof/>
          <w:lang w:eastAsia="en-AU"/>
        </w:rPr>
      </w:pPr>
      <w:hyperlink w:anchor="_Toc67927010" w:history="1">
        <w:r w:rsidRPr="00E70C5B">
          <w:rPr>
            <w:rStyle w:val="Hyperlink"/>
            <w:noProof/>
          </w:rPr>
          <w:t>Slide 21: Provider concentration tends to fall as total budget increases</w:t>
        </w:r>
        <w:r>
          <w:rPr>
            <w:noProof/>
            <w:webHidden/>
          </w:rPr>
          <w:tab/>
        </w:r>
        <w:r>
          <w:rPr>
            <w:noProof/>
            <w:webHidden/>
          </w:rPr>
          <w:fldChar w:fldCharType="begin"/>
        </w:r>
        <w:r>
          <w:rPr>
            <w:noProof/>
            <w:webHidden/>
          </w:rPr>
          <w:instrText xml:space="preserve"> PAGEREF _Toc67927010 \h </w:instrText>
        </w:r>
        <w:r>
          <w:rPr>
            <w:noProof/>
            <w:webHidden/>
          </w:rPr>
        </w:r>
        <w:r>
          <w:rPr>
            <w:noProof/>
            <w:webHidden/>
          </w:rPr>
          <w:fldChar w:fldCharType="separate"/>
        </w:r>
        <w:r>
          <w:rPr>
            <w:noProof/>
            <w:webHidden/>
          </w:rPr>
          <w:t>11</w:t>
        </w:r>
        <w:r>
          <w:rPr>
            <w:noProof/>
            <w:webHidden/>
          </w:rPr>
          <w:fldChar w:fldCharType="end"/>
        </w:r>
      </w:hyperlink>
    </w:p>
    <w:p w14:paraId="3350E2EE" w14:textId="150FA2D2" w:rsidR="00A07DF7" w:rsidRDefault="00A07DF7">
      <w:pPr>
        <w:pStyle w:val="TOC2"/>
        <w:tabs>
          <w:tab w:val="right" w:leader="dot" w:pos="9016"/>
        </w:tabs>
        <w:rPr>
          <w:rFonts w:asciiTheme="minorHAnsi" w:eastAsiaTheme="minorEastAsia" w:hAnsiTheme="minorHAnsi"/>
          <w:noProof/>
          <w:lang w:eastAsia="en-AU"/>
        </w:rPr>
      </w:pPr>
      <w:hyperlink w:anchor="_Toc67927011" w:history="1">
        <w:r w:rsidRPr="00E70C5B">
          <w:rPr>
            <w:rStyle w:val="Hyperlink"/>
            <w:noProof/>
          </w:rPr>
          <w:t>Slide 22: Provider concentration was above the benchmark of 85% for seven service districts, all with total plan budgets below $100m</w:t>
        </w:r>
        <w:r>
          <w:rPr>
            <w:noProof/>
            <w:webHidden/>
          </w:rPr>
          <w:tab/>
        </w:r>
        <w:r>
          <w:rPr>
            <w:noProof/>
            <w:webHidden/>
          </w:rPr>
          <w:fldChar w:fldCharType="begin"/>
        </w:r>
        <w:r>
          <w:rPr>
            <w:noProof/>
            <w:webHidden/>
          </w:rPr>
          <w:instrText xml:space="preserve"> PAGEREF _Toc67927011 \h </w:instrText>
        </w:r>
        <w:r>
          <w:rPr>
            <w:noProof/>
            <w:webHidden/>
          </w:rPr>
        </w:r>
        <w:r>
          <w:rPr>
            <w:noProof/>
            <w:webHidden/>
          </w:rPr>
          <w:fldChar w:fldCharType="separate"/>
        </w:r>
        <w:r>
          <w:rPr>
            <w:noProof/>
            <w:webHidden/>
          </w:rPr>
          <w:t>11</w:t>
        </w:r>
        <w:r>
          <w:rPr>
            <w:noProof/>
            <w:webHidden/>
          </w:rPr>
          <w:fldChar w:fldCharType="end"/>
        </w:r>
      </w:hyperlink>
    </w:p>
    <w:p w14:paraId="411EA259" w14:textId="7253D784" w:rsidR="00A07DF7" w:rsidRDefault="00A07DF7">
      <w:pPr>
        <w:pStyle w:val="TOC2"/>
        <w:tabs>
          <w:tab w:val="right" w:leader="dot" w:pos="9016"/>
        </w:tabs>
        <w:rPr>
          <w:rFonts w:asciiTheme="minorHAnsi" w:eastAsiaTheme="minorEastAsia" w:hAnsiTheme="minorHAnsi"/>
          <w:noProof/>
          <w:lang w:eastAsia="en-AU"/>
        </w:rPr>
      </w:pPr>
      <w:hyperlink w:anchor="_Toc67927012" w:history="1">
        <w:r w:rsidRPr="00E70C5B">
          <w:rPr>
            <w:rStyle w:val="Hyperlink"/>
            <w:noProof/>
          </w:rPr>
          <w:t>Slide 23: The majority of districts above the provider concentration benchmark were in NT and WA.</w:t>
        </w:r>
        <w:r>
          <w:rPr>
            <w:noProof/>
            <w:webHidden/>
          </w:rPr>
          <w:tab/>
        </w:r>
        <w:r>
          <w:rPr>
            <w:noProof/>
            <w:webHidden/>
          </w:rPr>
          <w:fldChar w:fldCharType="begin"/>
        </w:r>
        <w:r>
          <w:rPr>
            <w:noProof/>
            <w:webHidden/>
          </w:rPr>
          <w:instrText xml:space="preserve"> PAGEREF _Toc67927012 \h </w:instrText>
        </w:r>
        <w:r>
          <w:rPr>
            <w:noProof/>
            <w:webHidden/>
          </w:rPr>
        </w:r>
        <w:r>
          <w:rPr>
            <w:noProof/>
            <w:webHidden/>
          </w:rPr>
          <w:fldChar w:fldCharType="separate"/>
        </w:r>
        <w:r>
          <w:rPr>
            <w:noProof/>
            <w:webHidden/>
          </w:rPr>
          <w:t>11</w:t>
        </w:r>
        <w:r>
          <w:rPr>
            <w:noProof/>
            <w:webHidden/>
          </w:rPr>
          <w:fldChar w:fldCharType="end"/>
        </w:r>
      </w:hyperlink>
    </w:p>
    <w:p w14:paraId="4F46FAA9" w14:textId="35C7878A" w:rsidR="00A07DF7" w:rsidRDefault="00A07DF7">
      <w:pPr>
        <w:pStyle w:val="TOC2"/>
        <w:tabs>
          <w:tab w:val="right" w:leader="dot" w:pos="9016"/>
        </w:tabs>
        <w:rPr>
          <w:rFonts w:asciiTheme="minorHAnsi" w:eastAsiaTheme="minorEastAsia" w:hAnsiTheme="minorHAnsi"/>
          <w:noProof/>
          <w:lang w:eastAsia="en-AU"/>
        </w:rPr>
      </w:pPr>
      <w:hyperlink w:anchor="_Toc67927013" w:history="1">
        <w:r w:rsidRPr="00E70C5B">
          <w:rPr>
            <w:rStyle w:val="Hyperlink"/>
            <w:noProof/>
          </w:rPr>
          <w:t>Slide 24</w:t>
        </w:r>
        <w:r w:rsidRPr="00E70C5B">
          <w:rPr>
            <w:rStyle w:val="Hyperlink"/>
            <w:rFonts w:cs="Arial"/>
            <w:noProof/>
            <w:kern w:val="24"/>
          </w:rPr>
          <w:t xml:space="preserve"> </w:t>
        </w:r>
        <w:r w:rsidRPr="00E70C5B">
          <w:rPr>
            <w:rStyle w:val="Hyperlink"/>
            <w:noProof/>
          </w:rPr>
          <w:t>Districts with provider concentration of between 90-95% has decreased compared to June 2020, indicating more providers in some districts</w:t>
        </w:r>
        <w:r>
          <w:rPr>
            <w:noProof/>
            <w:webHidden/>
          </w:rPr>
          <w:tab/>
        </w:r>
        <w:r>
          <w:rPr>
            <w:noProof/>
            <w:webHidden/>
          </w:rPr>
          <w:fldChar w:fldCharType="begin"/>
        </w:r>
        <w:r>
          <w:rPr>
            <w:noProof/>
            <w:webHidden/>
          </w:rPr>
          <w:instrText xml:space="preserve"> PAGEREF _Toc67927013 \h </w:instrText>
        </w:r>
        <w:r>
          <w:rPr>
            <w:noProof/>
            <w:webHidden/>
          </w:rPr>
        </w:r>
        <w:r>
          <w:rPr>
            <w:noProof/>
            <w:webHidden/>
          </w:rPr>
          <w:fldChar w:fldCharType="separate"/>
        </w:r>
        <w:r>
          <w:rPr>
            <w:noProof/>
            <w:webHidden/>
          </w:rPr>
          <w:t>12</w:t>
        </w:r>
        <w:r>
          <w:rPr>
            <w:noProof/>
            <w:webHidden/>
          </w:rPr>
          <w:fldChar w:fldCharType="end"/>
        </w:r>
      </w:hyperlink>
    </w:p>
    <w:p w14:paraId="710B066D" w14:textId="26C57302" w:rsidR="00A07DF7" w:rsidRDefault="00A07DF7">
      <w:pPr>
        <w:pStyle w:val="TOC2"/>
        <w:tabs>
          <w:tab w:val="right" w:leader="dot" w:pos="9016"/>
        </w:tabs>
        <w:rPr>
          <w:rFonts w:asciiTheme="minorHAnsi" w:eastAsiaTheme="minorEastAsia" w:hAnsiTheme="minorHAnsi"/>
          <w:noProof/>
          <w:lang w:eastAsia="en-AU"/>
        </w:rPr>
      </w:pPr>
      <w:hyperlink w:anchor="_Toc67927014" w:history="1">
        <w:r w:rsidRPr="00E70C5B">
          <w:rPr>
            <w:rStyle w:val="Hyperlink"/>
            <w:noProof/>
          </w:rPr>
          <w:t>Slide 25: Provider concentration has remained relatively stable compared to June 2020</w:t>
        </w:r>
        <w:r>
          <w:rPr>
            <w:noProof/>
            <w:webHidden/>
          </w:rPr>
          <w:tab/>
        </w:r>
        <w:r>
          <w:rPr>
            <w:noProof/>
            <w:webHidden/>
          </w:rPr>
          <w:fldChar w:fldCharType="begin"/>
        </w:r>
        <w:r>
          <w:rPr>
            <w:noProof/>
            <w:webHidden/>
          </w:rPr>
          <w:instrText xml:space="preserve"> PAGEREF _Toc67927014 \h </w:instrText>
        </w:r>
        <w:r>
          <w:rPr>
            <w:noProof/>
            <w:webHidden/>
          </w:rPr>
        </w:r>
        <w:r>
          <w:rPr>
            <w:noProof/>
            <w:webHidden/>
          </w:rPr>
          <w:fldChar w:fldCharType="separate"/>
        </w:r>
        <w:r>
          <w:rPr>
            <w:noProof/>
            <w:webHidden/>
          </w:rPr>
          <w:t>12</w:t>
        </w:r>
        <w:r>
          <w:rPr>
            <w:noProof/>
            <w:webHidden/>
          </w:rPr>
          <w:fldChar w:fldCharType="end"/>
        </w:r>
      </w:hyperlink>
    </w:p>
    <w:p w14:paraId="4F02660E" w14:textId="768EB436" w:rsidR="00A07DF7" w:rsidRDefault="00A07DF7">
      <w:pPr>
        <w:pStyle w:val="TOC2"/>
        <w:tabs>
          <w:tab w:val="right" w:leader="dot" w:pos="9016"/>
        </w:tabs>
        <w:rPr>
          <w:rFonts w:asciiTheme="minorHAnsi" w:eastAsiaTheme="minorEastAsia" w:hAnsiTheme="minorHAnsi"/>
          <w:noProof/>
          <w:lang w:eastAsia="en-AU"/>
        </w:rPr>
      </w:pPr>
      <w:hyperlink w:anchor="_Toc67927015" w:history="1">
        <w:r w:rsidRPr="00E70C5B">
          <w:rPr>
            <w:rStyle w:val="Hyperlink"/>
            <w:noProof/>
          </w:rPr>
          <w:t>Slide 26: All the districts above the provider concentration benchmark had less than $100m in total plan budgets</w:t>
        </w:r>
        <w:r>
          <w:rPr>
            <w:noProof/>
            <w:webHidden/>
          </w:rPr>
          <w:tab/>
        </w:r>
        <w:r>
          <w:rPr>
            <w:noProof/>
            <w:webHidden/>
          </w:rPr>
          <w:fldChar w:fldCharType="begin"/>
        </w:r>
        <w:r>
          <w:rPr>
            <w:noProof/>
            <w:webHidden/>
          </w:rPr>
          <w:instrText xml:space="preserve"> PAGEREF _Toc67927015 \h </w:instrText>
        </w:r>
        <w:r>
          <w:rPr>
            <w:noProof/>
            <w:webHidden/>
          </w:rPr>
        </w:r>
        <w:r>
          <w:rPr>
            <w:noProof/>
            <w:webHidden/>
          </w:rPr>
          <w:fldChar w:fldCharType="separate"/>
        </w:r>
        <w:r>
          <w:rPr>
            <w:noProof/>
            <w:webHidden/>
          </w:rPr>
          <w:t>13</w:t>
        </w:r>
        <w:r>
          <w:rPr>
            <w:noProof/>
            <w:webHidden/>
          </w:rPr>
          <w:fldChar w:fldCharType="end"/>
        </w:r>
      </w:hyperlink>
    </w:p>
    <w:p w14:paraId="2A11F4A3" w14:textId="227B999D" w:rsidR="00A07DF7" w:rsidRDefault="00A07DF7">
      <w:pPr>
        <w:pStyle w:val="TOC2"/>
        <w:tabs>
          <w:tab w:val="right" w:leader="dot" w:pos="9016"/>
        </w:tabs>
        <w:rPr>
          <w:rFonts w:asciiTheme="minorHAnsi" w:eastAsiaTheme="minorEastAsia" w:hAnsiTheme="minorHAnsi"/>
          <w:noProof/>
          <w:lang w:eastAsia="en-AU"/>
        </w:rPr>
      </w:pPr>
      <w:hyperlink w:anchor="_Toc67927016" w:history="1">
        <w:r w:rsidRPr="00E70C5B">
          <w:rPr>
            <w:rStyle w:val="Hyperlink"/>
            <w:noProof/>
          </w:rPr>
          <w:t>Slide 27: All districts with more than $100m in total plan budgets had provider concentration below the benchmark</w:t>
        </w:r>
        <w:r>
          <w:rPr>
            <w:noProof/>
            <w:webHidden/>
          </w:rPr>
          <w:tab/>
        </w:r>
        <w:r>
          <w:rPr>
            <w:noProof/>
            <w:webHidden/>
          </w:rPr>
          <w:fldChar w:fldCharType="begin"/>
        </w:r>
        <w:r>
          <w:rPr>
            <w:noProof/>
            <w:webHidden/>
          </w:rPr>
          <w:instrText xml:space="preserve"> PAGEREF _Toc67927016 \h </w:instrText>
        </w:r>
        <w:r>
          <w:rPr>
            <w:noProof/>
            <w:webHidden/>
          </w:rPr>
        </w:r>
        <w:r>
          <w:rPr>
            <w:noProof/>
            <w:webHidden/>
          </w:rPr>
          <w:fldChar w:fldCharType="separate"/>
        </w:r>
        <w:r>
          <w:rPr>
            <w:noProof/>
            <w:webHidden/>
          </w:rPr>
          <w:t>13</w:t>
        </w:r>
        <w:r>
          <w:rPr>
            <w:noProof/>
            <w:webHidden/>
          </w:rPr>
          <w:fldChar w:fldCharType="end"/>
        </w:r>
      </w:hyperlink>
    </w:p>
    <w:p w14:paraId="0DE2EAFB" w14:textId="07063AEF" w:rsidR="00A07DF7" w:rsidRDefault="00A07DF7">
      <w:pPr>
        <w:pStyle w:val="TOC2"/>
        <w:tabs>
          <w:tab w:val="right" w:leader="dot" w:pos="9016"/>
        </w:tabs>
        <w:rPr>
          <w:rFonts w:asciiTheme="minorHAnsi" w:eastAsiaTheme="minorEastAsia" w:hAnsiTheme="minorHAnsi"/>
          <w:noProof/>
          <w:lang w:eastAsia="en-AU"/>
        </w:rPr>
      </w:pPr>
      <w:hyperlink w:anchor="_Toc67927017" w:history="1">
        <w:r w:rsidRPr="00E70C5B">
          <w:rPr>
            <w:rStyle w:val="Hyperlink"/>
            <w:noProof/>
          </w:rPr>
          <w:t>Slide 28: The outcomes indicator on choice and control for four districts was more than 10% below the benchmark</w:t>
        </w:r>
        <w:r>
          <w:rPr>
            <w:noProof/>
            <w:webHidden/>
          </w:rPr>
          <w:tab/>
        </w:r>
        <w:r>
          <w:rPr>
            <w:noProof/>
            <w:webHidden/>
          </w:rPr>
          <w:fldChar w:fldCharType="begin"/>
        </w:r>
        <w:r>
          <w:rPr>
            <w:noProof/>
            <w:webHidden/>
          </w:rPr>
          <w:instrText xml:space="preserve"> PAGEREF _Toc67927017 \h </w:instrText>
        </w:r>
        <w:r>
          <w:rPr>
            <w:noProof/>
            <w:webHidden/>
          </w:rPr>
        </w:r>
        <w:r>
          <w:rPr>
            <w:noProof/>
            <w:webHidden/>
          </w:rPr>
          <w:fldChar w:fldCharType="separate"/>
        </w:r>
        <w:r>
          <w:rPr>
            <w:noProof/>
            <w:webHidden/>
          </w:rPr>
          <w:t>13</w:t>
        </w:r>
        <w:r>
          <w:rPr>
            <w:noProof/>
            <w:webHidden/>
          </w:rPr>
          <w:fldChar w:fldCharType="end"/>
        </w:r>
      </w:hyperlink>
    </w:p>
    <w:p w14:paraId="555D69E3" w14:textId="2CA60F42" w:rsidR="00A07DF7" w:rsidRDefault="00A07DF7">
      <w:pPr>
        <w:pStyle w:val="TOC2"/>
        <w:tabs>
          <w:tab w:val="right" w:leader="dot" w:pos="9016"/>
        </w:tabs>
        <w:rPr>
          <w:rFonts w:asciiTheme="minorHAnsi" w:eastAsiaTheme="minorEastAsia" w:hAnsiTheme="minorHAnsi"/>
          <w:noProof/>
          <w:lang w:eastAsia="en-AU"/>
        </w:rPr>
      </w:pPr>
      <w:hyperlink w:anchor="_Toc67927018" w:history="1">
        <w:r w:rsidRPr="00E70C5B">
          <w:rPr>
            <w:rStyle w:val="Hyperlink"/>
            <w:noProof/>
          </w:rPr>
          <w:t>Slide 29: The majority of districts more than 10% below the outcomes indicator benchmark were in NT</w:t>
        </w:r>
        <w:r>
          <w:rPr>
            <w:noProof/>
            <w:webHidden/>
          </w:rPr>
          <w:tab/>
        </w:r>
        <w:r>
          <w:rPr>
            <w:noProof/>
            <w:webHidden/>
          </w:rPr>
          <w:fldChar w:fldCharType="begin"/>
        </w:r>
        <w:r>
          <w:rPr>
            <w:noProof/>
            <w:webHidden/>
          </w:rPr>
          <w:instrText xml:space="preserve"> PAGEREF _Toc67927018 \h </w:instrText>
        </w:r>
        <w:r>
          <w:rPr>
            <w:noProof/>
            <w:webHidden/>
          </w:rPr>
        </w:r>
        <w:r>
          <w:rPr>
            <w:noProof/>
            <w:webHidden/>
          </w:rPr>
          <w:fldChar w:fldCharType="separate"/>
        </w:r>
        <w:r>
          <w:rPr>
            <w:noProof/>
            <w:webHidden/>
          </w:rPr>
          <w:t>13</w:t>
        </w:r>
        <w:r>
          <w:rPr>
            <w:noProof/>
            <w:webHidden/>
          </w:rPr>
          <w:fldChar w:fldCharType="end"/>
        </w:r>
      </w:hyperlink>
    </w:p>
    <w:p w14:paraId="7BB406F9" w14:textId="3C9985C7" w:rsidR="00A07DF7" w:rsidRDefault="00A07DF7">
      <w:pPr>
        <w:pStyle w:val="TOC2"/>
        <w:tabs>
          <w:tab w:val="right" w:leader="dot" w:pos="9016"/>
        </w:tabs>
        <w:rPr>
          <w:rFonts w:asciiTheme="minorHAnsi" w:eastAsiaTheme="minorEastAsia" w:hAnsiTheme="minorHAnsi"/>
          <w:noProof/>
          <w:lang w:eastAsia="en-AU"/>
        </w:rPr>
      </w:pPr>
      <w:hyperlink w:anchor="_Toc67927019" w:history="1">
        <w:r w:rsidRPr="00E70C5B">
          <w:rPr>
            <w:rStyle w:val="Hyperlink"/>
            <w:noProof/>
          </w:rPr>
          <w:t>Slide 30: The number of districts that are within five percentage points of the benchmark has risen from 39 to 44 between June 2020 and December 2020</w:t>
        </w:r>
        <w:r>
          <w:rPr>
            <w:noProof/>
            <w:webHidden/>
          </w:rPr>
          <w:tab/>
        </w:r>
        <w:r>
          <w:rPr>
            <w:noProof/>
            <w:webHidden/>
          </w:rPr>
          <w:fldChar w:fldCharType="begin"/>
        </w:r>
        <w:r>
          <w:rPr>
            <w:noProof/>
            <w:webHidden/>
          </w:rPr>
          <w:instrText xml:space="preserve"> PAGEREF _Toc67927019 \h </w:instrText>
        </w:r>
        <w:r>
          <w:rPr>
            <w:noProof/>
            <w:webHidden/>
          </w:rPr>
        </w:r>
        <w:r>
          <w:rPr>
            <w:noProof/>
            <w:webHidden/>
          </w:rPr>
          <w:fldChar w:fldCharType="separate"/>
        </w:r>
        <w:r>
          <w:rPr>
            <w:noProof/>
            <w:webHidden/>
          </w:rPr>
          <w:t>14</w:t>
        </w:r>
        <w:r>
          <w:rPr>
            <w:noProof/>
            <w:webHidden/>
          </w:rPr>
          <w:fldChar w:fldCharType="end"/>
        </w:r>
      </w:hyperlink>
    </w:p>
    <w:p w14:paraId="447C72AC" w14:textId="30E41A2C" w:rsidR="00A07DF7" w:rsidRDefault="00A07DF7">
      <w:pPr>
        <w:pStyle w:val="TOC2"/>
        <w:tabs>
          <w:tab w:val="right" w:leader="dot" w:pos="9016"/>
        </w:tabs>
        <w:rPr>
          <w:rFonts w:asciiTheme="minorHAnsi" w:eastAsiaTheme="minorEastAsia" w:hAnsiTheme="minorHAnsi"/>
          <w:noProof/>
          <w:lang w:eastAsia="en-AU"/>
        </w:rPr>
      </w:pPr>
      <w:hyperlink w:anchor="_Toc67927020" w:history="1">
        <w:r w:rsidRPr="00E70C5B">
          <w:rPr>
            <w:rStyle w:val="Hyperlink"/>
            <w:noProof/>
          </w:rPr>
          <w:t>Slide 31: The outcomes indicator on choice and control has increased slightly compared to June 2020</w:t>
        </w:r>
        <w:r>
          <w:rPr>
            <w:noProof/>
            <w:webHidden/>
          </w:rPr>
          <w:tab/>
        </w:r>
        <w:r>
          <w:rPr>
            <w:noProof/>
            <w:webHidden/>
          </w:rPr>
          <w:fldChar w:fldCharType="begin"/>
        </w:r>
        <w:r>
          <w:rPr>
            <w:noProof/>
            <w:webHidden/>
          </w:rPr>
          <w:instrText xml:space="preserve"> PAGEREF _Toc67927020 \h </w:instrText>
        </w:r>
        <w:r>
          <w:rPr>
            <w:noProof/>
            <w:webHidden/>
          </w:rPr>
        </w:r>
        <w:r>
          <w:rPr>
            <w:noProof/>
            <w:webHidden/>
          </w:rPr>
          <w:fldChar w:fldCharType="separate"/>
        </w:r>
        <w:r>
          <w:rPr>
            <w:noProof/>
            <w:webHidden/>
          </w:rPr>
          <w:t>15</w:t>
        </w:r>
        <w:r>
          <w:rPr>
            <w:noProof/>
            <w:webHidden/>
          </w:rPr>
          <w:fldChar w:fldCharType="end"/>
        </w:r>
      </w:hyperlink>
    </w:p>
    <w:p w14:paraId="7547FFD5" w14:textId="5E71B8D1" w:rsidR="00A07DF7" w:rsidRDefault="00A07DF7">
      <w:pPr>
        <w:pStyle w:val="TOC2"/>
        <w:tabs>
          <w:tab w:val="right" w:leader="dot" w:pos="9016"/>
        </w:tabs>
        <w:rPr>
          <w:rFonts w:asciiTheme="minorHAnsi" w:eastAsiaTheme="minorEastAsia" w:hAnsiTheme="minorHAnsi"/>
          <w:noProof/>
          <w:lang w:eastAsia="en-AU"/>
        </w:rPr>
      </w:pPr>
      <w:hyperlink w:anchor="_Toc67927021" w:history="1">
        <w:r w:rsidRPr="00E70C5B">
          <w:rPr>
            <w:rStyle w:val="Hyperlink"/>
            <w:noProof/>
          </w:rPr>
          <w:t>Slide 32: The districts more than 10% below the benchmark had less than $100m in total plan budgets</w:t>
        </w:r>
        <w:r>
          <w:rPr>
            <w:noProof/>
            <w:webHidden/>
          </w:rPr>
          <w:tab/>
        </w:r>
        <w:r>
          <w:rPr>
            <w:noProof/>
            <w:webHidden/>
          </w:rPr>
          <w:fldChar w:fldCharType="begin"/>
        </w:r>
        <w:r>
          <w:rPr>
            <w:noProof/>
            <w:webHidden/>
          </w:rPr>
          <w:instrText xml:space="preserve"> PAGEREF _Toc67927021 \h </w:instrText>
        </w:r>
        <w:r>
          <w:rPr>
            <w:noProof/>
            <w:webHidden/>
          </w:rPr>
        </w:r>
        <w:r>
          <w:rPr>
            <w:noProof/>
            <w:webHidden/>
          </w:rPr>
          <w:fldChar w:fldCharType="separate"/>
        </w:r>
        <w:r>
          <w:rPr>
            <w:noProof/>
            <w:webHidden/>
          </w:rPr>
          <w:t>15</w:t>
        </w:r>
        <w:r>
          <w:rPr>
            <w:noProof/>
            <w:webHidden/>
          </w:rPr>
          <w:fldChar w:fldCharType="end"/>
        </w:r>
      </w:hyperlink>
    </w:p>
    <w:p w14:paraId="662E75EE" w14:textId="50DFA56B" w:rsidR="00A07DF7" w:rsidRDefault="00A07DF7">
      <w:pPr>
        <w:pStyle w:val="TOC2"/>
        <w:tabs>
          <w:tab w:val="right" w:leader="dot" w:pos="9016"/>
        </w:tabs>
        <w:rPr>
          <w:rFonts w:asciiTheme="minorHAnsi" w:eastAsiaTheme="minorEastAsia" w:hAnsiTheme="minorHAnsi"/>
          <w:noProof/>
          <w:lang w:eastAsia="en-AU"/>
        </w:rPr>
      </w:pPr>
      <w:hyperlink w:anchor="_Toc67927022" w:history="1">
        <w:r w:rsidRPr="00E70C5B">
          <w:rPr>
            <w:rStyle w:val="Hyperlink"/>
            <w:noProof/>
          </w:rPr>
          <w:t>Slide 33: The outcomes indicator on choice and control was more than 10% above the benchmark for two districts with more than $225m in total plan budgets</w:t>
        </w:r>
        <w:r>
          <w:rPr>
            <w:noProof/>
            <w:webHidden/>
          </w:rPr>
          <w:tab/>
        </w:r>
        <w:r>
          <w:rPr>
            <w:noProof/>
            <w:webHidden/>
          </w:rPr>
          <w:fldChar w:fldCharType="begin"/>
        </w:r>
        <w:r>
          <w:rPr>
            <w:noProof/>
            <w:webHidden/>
          </w:rPr>
          <w:instrText xml:space="preserve"> PAGEREF _Toc67927022 \h </w:instrText>
        </w:r>
        <w:r>
          <w:rPr>
            <w:noProof/>
            <w:webHidden/>
          </w:rPr>
        </w:r>
        <w:r>
          <w:rPr>
            <w:noProof/>
            <w:webHidden/>
          </w:rPr>
          <w:fldChar w:fldCharType="separate"/>
        </w:r>
        <w:r>
          <w:rPr>
            <w:noProof/>
            <w:webHidden/>
          </w:rPr>
          <w:t>15</w:t>
        </w:r>
        <w:r>
          <w:rPr>
            <w:noProof/>
            <w:webHidden/>
          </w:rPr>
          <w:fldChar w:fldCharType="end"/>
        </w:r>
      </w:hyperlink>
    </w:p>
    <w:p w14:paraId="1F6F0680" w14:textId="1FB2CE7E" w:rsidR="00A07DF7" w:rsidRDefault="00A07DF7">
      <w:pPr>
        <w:pStyle w:val="TOC2"/>
        <w:tabs>
          <w:tab w:val="right" w:leader="dot" w:pos="9016"/>
        </w:tabs>
        <w:rPr>
          <w:rFonts w:asciiTheme="minorHAnsi" w:eastAsiaTheme="minorEastAsia" w:hAnsiTheme="minorHAnsi"/>
          <w:noProof/>
          <w:lang w:eastAsia="en-AU"/>
        </w:rPr>
      </w:pPr>
      <w:hyperlink w:anchor="_Toc67927023" w:history="1">
        <w:r w:rsidRPr="00E70C5B">
          <w:rPr>
            <w:rStyle w:val="Hyperlink"/>
            <w:noProof/>
          </w:rPr>
          <w:t>Slide 34: Section 3 Service District hotspots</w:t>
        </w:r>
        <w:r>
          <w:rPr>
            <w:noProof/>
            <w:webHidden/>
          </w:rPr>
          <w:tab/>
        </w:r>
        <w:r>
          <w:rPr>
            <w:noProof/>
            <w:webHidden/>
          </w:rPr>
          <w:fldChar w:fldCharType="begin"/>
        </w:r>
        <w:r>
          <w:rPr>
            <w:noProof/>
            <w:webHidden/>
          </w:rPr>
          <w:instrText xml:space="preserve"> PAGEREF _Toc67927023 \h </w:instrText>
        </w:r>
        <w:r>
          <w:rPr>
            <w:noProof/>
            <w:webHidden/>
          </w:rPr>
        </w:r>
        <w:r>
          <w:rPr>
            <w:noProof/>
            <w:webHidden/>
          </w:rPr>
          <w:fldChar w:fldCharType="separate"/>
        </w:r>
        <w:r>
          <w:rPr>
            <w:noProof/>
            <w:webHidden/>
          </w:rPr>
          <w:t>16</w:t>
        </w:r>
        <w:r>
          <w:rPr>
            <w:noProof/>
            <w:webHidden/>
          </w:rPr>
          <w:fldChar w:fldCharType="end"/>
        </w:r>
      </w:hyperlink>
    </w:p>
    <w:p w14:paraId="01592A94" w14:textId="2582284B" w:rsidR="00A07DF7" w:rsidRDefault="00A07DF7">
      <w:pPr>
        <w:pStyle w:val="TOC2"/>
        <w:tabs>
          <w:tab w:val="right" w:leader="dot" w:pos="9016"/>
        </w:tabs>
        <w:rPr>
          <w:rFonts w:asciiTheme="minorHAnsi" w:eastAsiaTheme="minorEastAsia" w:hAnsiTheme="minorHAnsi"/>
          <w:noProof/>
          <w:lang w:eastAsia="en-AU"/>
        </w:rPr>
      </w:pPr>
      <w:hyperlink w:anchor="_Toc67927024" w:history="1">
        <w:r w:rsidRPr="00E70C5B">
          <w:rPr>
            <w:rStyle w:val="Hyperlink"/>
            <w:noProof/>
          </w:rPr>
          <w:t>Slide 35: Hotspots are districts that score relatively worse against one or many corporate target metric benchmarks compared with other districts</w:t>
        </w:r>
        <w:r>
          <w:rPr>
            <w:noProof/>
            <w:webHidden/>
          </w:rPr>
          <w:tab/>
        </w:r>
        <w:r>
          <w:rPr>
            <w:noProof/>
            <w:webHidden/>
          </w:rPr>
          <w:fldChar w:fldCharType="begin"/>
        </w:r>
        <w:r>
          <w:rPr>
            <w:noProof/>
            <w:webHidden/>
          </w:rPr>
          <w:instrText xml:space="preserve"> PAGEREF _Toc67927024 \h </w:instrText>
        </w:r>
        <w:r>
          <w:rPr>
            <w:noProof/>
            <w:webHidden/>
          </w:rPr>
        </w:r>
        <w:r>
          <w:rPr>
            <w:noProof/>
            <w:webHidden/>
          </w:rPr>
          <w:fldChar w:fldCharType="separate"/>
        </w:r>
        <w:r>
          <w:rPr>
            <w:noProof/>
            <w:webHidden/>
          </w:rPr>
          <w:t>16</w:t>
        </w:r>
        <w:r>
          <w:rPr>
            <w:noProof/>
            <w:webHidden/>
          </w:rPr>
          <w:fldChar w:fldCharType="end"/>
        </w:r>
      </w:hyperlink>
    </w:p>
    <w:p w14:paraId="54C32D95" w14:textId="66233D45" w:rsidR="00A07DF7" w:rsidRDefault="00A07DF7">
      <w:pPr>
        <w:pStyle w:val="TOC2"/>
        <w:tabs>
          <w:tab w:val="right" w:leader="dot" w:pos="9016"/>
        </w:tabs>
        <w:rPr>
          <w:rFonts w:asciiTheme="minorHAnsi" w:eastAsiaTheme="minorEastAsia" w:hAnsiTheme="minorHAnsi"/>
          <w:noProof/>
          <w:lang w:eastAsia="en-AU"/>
        </w:rPr>
      </w:pPr>
      <w:hyperlink w:anchor="_Toc67927025" w:history="1">
        <w:r w:rsidRPr="00E70C5B">
          <w:rPr>
            <w:rStyle w:val="Hyperlink"/>
            <w:noProof/>
          </w:rPr>
          <w:t>Slide 36: Hotspots identified in the December 2019 and June 2020 NDIS Market report</w:t>
        </w:r>
        <w:r>
          <w:rPr>
            <w:noProof/>
            <w:webHidden/>
          </w:rPr>
          <w:tab/>
        </w:r>
        <w:r>
          <w:rPr>
            <w:noProof/>
            <w:webHidden/>
          </w:rPr>
          <w:fldChar w:fldCharType="begin"/>
        </w:r>
        <w:r>
          <w:rPr>
            <w:noProof/>
            <w:webHidden/>
          </w:rPr>
          <w:instrText xml:space="preserve"> PAGEREF _Toc67927025 \h </w:instrText>
        </w:r>
        <w:r>
          <w:rPr>
            <w:noProof/>
            <w:webHidden/>
          </w:rPr>
        </w:r>
        <w:r>
          <w:rPr>
            <w:noProof/>
            <w:webHidden/>
          </w:rPr>
          <w:fldChar w:fldCharType="separate"/>
        </w:r>
        <w:r>
          <w:rPr>
            <w:noProof/>
            <w:webHidden/>
          </w:rPr>
          <w:t>16</w:t>
        </w:r>
        <w:r>
          <w:rPr>
            <w:noProof/>
            <w:webHidden/>
          </w:rPr>
          <w:fldChar w:fldCharType="end"/>
        </w:r>
      </w:hyperlink>
    </w:p>
    <w:p w14:paraId="5EB88159" w14:textId="1B7FE115" w:rsidR="00A07DF7" w:rsidRDefault="00A07DF7">
      <w:pPr>
        <w:pStyle w:val="TOC2"/>
        <w:tabs>
          <w:tab w:val="right" w:leader="dot" w:pos="9016"/>
        </w:tabs>
        <w:rPr>
          <w:rFonts w:asciiTheme="minorHAnsi" w:eastAsiaTheme="minorEastAsia" w:hAnsiTheme="minorHAnsi"/>
          <w:noProof/>
          <w:lang w:eastAsia="en-AU"/>
        </w:rPr>
      </w:pPr>
      <w:hyperlink w:anchor="_Toc67927026" w:history="1">
        <w:r w:rsidRPr="00E70C5B">
          <w:rPr>
            <w:rStyle w:val="Hyperlink"/>
            <w:noProof/>
          </w:rPr>
          <w:t>Slide 37: Market interventions addressing hotspots</w:t>
        </w:r>
        <w:r>
          <w:rPr>
            <w:noProof/>
            <w:webHidden/>
          </w:rPr>
          <w:tab/>
        </w:r>
        <w:r>
          <w:rPr>
            <w:noProof/>
            <w:webHidden/>
          </w:rPr>
          <w:fldChar w:fldCharType="begin"/>
        </w:r>
        <w:r>
          <w:rPr>
            <w:noProof/>
            <w:webHidden/>
          </w:rPr>
          <w:instrText xml:space="preserve"> PAGEREF _Toc67927026 \h </w:instrText>
        </w:r>
        <w:r>
          <w:rPr>
            <w:noProof/>
            <w:webHidden/>
          </w:rPr>
        </w:r>
        <w:r>
          <w:rPr>
            <w:noProof/>
            <w:webHidden/>
          </w:rPr>
          <w:fldChar w:fldCharType="separate"/>
        </w:r>
        <w:r>
          <w:rPr>
            <w:noProof/>
            <w:webHidden/>
          </w:rPr>
          <w:t>17</w:t>
        </w:r>
        <w:r>
          <w:rPr>
            <w:noProof/>
            <w:webHidden/>
          </w:rPr>
          <w:fldChar w:fldCharType="end"/>
        </w:r>
      </w:hyperlink>
    </w:p>
    <w:p w14:paraId="67471EED" w14:textId="42577C66" w:rsidR="00A07DF7" w:rsidRDefault="00A07DF7">
      <w:pPr>
        <w:pStyle w:val="TOC2"/>
        <w:tabs>
          <w:tab w:val="right" w:leader="dot" w:pos="9016"/>
        </w:tabs>
        <w:rPr>
          <w:rFonts w:asciiTheme="minorHAnsi" w:eastAsiaTheme="minorEastAsia" w:hAnsiTheme="minorHAnsi"/>
          <w:noProof/>
          <w:lang w:eastAsia="en-AU"/>
        </w:rPr>
      </w:pPr>
      <w:hyperlink w:anchor="_Toc67927027" w:history="1">
        <w:r w:rsidRPr="00E70C5B">
          <w:rPr>
            <w:rStyle w:val="Hyperlink"/>
            <w:noProof/>
          </w:rPr>
          <w:t>Slide 38: Outer Gippsland (VIC)</w:t>
        </w:r>
        <w:r>
          <w:rPr>
            <w:noProof/>
            <w:webHidden/>
          </w:rPr>
          <w:tab/>
        </w:r>
        <w:r>
          <w:rPr>
            <w:noProof/>
            <w:webHidden/>
          </w:rPr>
          <w:fldChar w:fldCharType="begin"/>
        </w:r>
        <w:r>
          <w:rPr>
            <w:noProof/>
            <w:webHidden/>
          </w:rPr>
          <w:instrText xml:space="preserve"> PAGEREF _Toc67927027 \h </w:instrText>
        </w:r>
        <w:r>
          <w:rPr>
            <w:noProof/>
            <w:webHidden/>
          </w:rPr>
        </w:r>
        <w:r>
          <w:rPr>
            <w:noProof/>
            <w:webHidden/>
          </w:rPr>
          <w:fldChar w:fldCharType="separate"/>
        </w:r>
        <w:r>
          <w:rPr>
            <w:noProof/>
            <w:webHidden/>
          </w:rPr>
          <w:t>18</w:t>
        </w:r>
        <w:r>
          <w:rPr>
            <w:noProof/>
            <w:webHidden/>
          </w:rPr>
          <w:fldChar w:fldCharType="end"/>
        </w:r>
      </w:hyperlink>
    </w:p>
    <w:p w14:paraId="2E7A6402" w14:textId="4D13EF41" w:rsidR="00A07DF7" w:rsidRDefault="00A07DF7">
      <w:pPr>
        <w:pStyle w:val="TOC2"/>
        <w:tabs>
          <w:tab w:val="right" w:leader="dot" w:pos="9016"/>
        </w:tabs>
        <w:rPr>
          <w:rFonts w:asciiTheme="minorHAnsi" w:eastAsiaTheme="minorEastAsia" w:hAnsiTheme="minorHAnsi"/>
          <w:noProof/>
          <w:lang w:eastAsia="en-AU"/>
        </w:rPr>
      </w:pPr>
      <w:hyperlink w:anchor="_Toc67927028" w:history="1">
        <w:r w:rsidRPr="00E70C5B">
          <w:rPr>
            <w:rStyle w:val="Hyperlink"/>
            <w:noProof/>
          </w:rPr>
          <w:t>Slide 39: Plan utilisation in the Outer Gippsland (VIC) region was below benchmark for all of the major support categories</w:t>
        </w:r>
        <w:r>
          <w:rPr>
            <w:noProof/>
            <w:webHidden/>
          </w:rPr>
          <w:tab/>
        </w:r>
        <w:r>
          <w:rPr>
            <w:noProof/>
            <w:webHidden/>
          </w:rPr>
          <w:fldChar w:fldCharType="begin"/>
        </w:r>
        <w:r>
          <w:rPr>
            <w:noProof/>
            <w:webHidden/>
          </w:rPr>
          <w:instrText xml:space="preserve"> PAGEREF _Toc67927028 \h </w:instrText>
        </w:r>
        <w:r>
          <w:rPr>
            <w:noProof/>
            <w:webHidden/>
          </w:rPr>
        </w:r>
        <w:r>
          <w:rPr>
            <w:noProof/>
            <w:webHidden/>
          </w:rPr>
          <w:fldChar w:fldCharType="separate"/>
        </w:r>
        <w:r>
          <w:rPr>
            <w:noProof/>
            <w:webHidden/>
          </w:rPr>
          <w:t>18</w:t>
        </w:r>
        <w:r>
          <w:rPr>
            <w:noProof/>
            <w:webHidden/>
          </w:rPr>
          <w:fldChar w:fldCharType="end"/>
        </w:r>
      </w:hyperlink>
    </w:p>
    <w:p w14:paraId="285B6882" w14:textId="0F94B671" w:rsidR="00A07DF7" w:rsidRDefault="00A07DF7">
      <w:pPr>
        <w:pStyle w:val="TOC2"/>
        <w:tabs>
          <w:tab w:val="right" w:leader="dot" w:pos="9016"/>
        </w:tabs>
        <w:rPr>
          <w:rFonts w:asciiTheme="minorHAnsi" w:eastAsiaTheme="minorEastAsia" w:hAnsiTheme="minorHAnsi"/>
          <w:noProof/>
          <w:lang w:eastAsia="en-AU"/>
        </w:rPr>
      </w:pPr>
      <w:hyperlink w:anchor="_Toc67927029" w:history="1">
        <w:r w:rsidRPr="00E70C5B">
          <w:rPr>
            <w:rStyle w:val="Hyperlink"/>
            <w:noProof/>
          </w:rPr>
          <w:t>Slide 40: Utilisation for participants in the Outer Gippsland (VIC) region was below benchmark across nearly all age groups for Core-Community support</w:t>
        </w:r>
        <w:r>
          <w:rPr>
            <w:noProof/>
            <w:webHidden/>
          </w:rPr>
          <w:tab/>
        </w:r>
        <w:r>
          <w:rPr>
            <w:noProof/>
            <w:webHidden/>
          </w:rPr>
          <w:fldChar w:fldCharType="begin"/>
        </w:r>
        <w:r>
          <w:rPr>
            <w:noProof/>
            <w:webHidden/>
          </w:rPr>
          <w:instrText xml:space="preserve"> PAGEREF _Toc67927029 \h </w:instrText>
        </w:r>
        <w:r>
          <w:rPr>
            <w:noProof/>
            <w:webHidden/>
          </w:rPr>
        </w:r>
        <w:r>
          <w:rPr>
            <w:noProof/>
            <w:webHidden/>
          </w:rPr>
          <w:fldChar w:fldCharType="separate"/>
        </w:r>
        <w:r>
          <w:rPr>
            <w:noProof/>
            <w:webHidden/>
          </w:rPr>
          <w:t>18</w:t>
        </w:r>
        <w:r>
          <w:rPr>
            <w:noProof/>
            <w:webHidden/>
          </w:rPr>
          <w:fldChar w:fldCharType="end"/>
        </w:r>
      </w:hyperlink>
    </w:p>
    <w:p w14:paraId="55C51D84" w14:textId="67E30ABC" w:rsidR="00A07DF7" w:rsidRDefault="00A07DF7">
      <w:pPr>
        <w:pStyle w:val="TOC2"/>
        <w:tabs>
          <w:tab w:val="right" w:leader="dot" w:pos="9016"/>
        </w:tabs>
        <w:rPr>
          <w:rFonts w:asciiTheme="minorHAnsi" w:eastAsiaTheme="minorEastAsia" w:hAnsiTheme="minorHAnsi"/>
          <w:noProof/>
          <w:lang w:eastAsia="en-AU"/>
        </w:rPr>
      </w:pPr>
      <w:hyperlink w:anchor="_Toc67927030" w:history="1">
        <w:r w:rsidRPr="00E70C5B">
          <w:rPr>
            <w:rStyle w:val="Hyperlink"/>
            <w:noProof/>
          </w:rPr>
          <w:t>Slide 41: Utilisation is low for all disability groups, expect for developmental delay</w:t>
        </w:r>
        <w:r>
          <w:rPr>
            <w:noProof/>
            <w:webHidden/>
          </w:rPr>
          <w:tab/>
        </w:r>
        <w:r>
          <w:rPr>
            <w:noProof/>
            <w:webHidden/>
          </w:rPr>
          <w:fldChar w:fldCharType="begin"/>
        </w:r>
        <w:r>
          <w:rPr>
            <w:noProof/>
            <w:webHidden/>
          </w:rPr>
          <w:instrText xml:space="preserve"> PAGEREF _Toc67927030 \h </w:instrText>
        </w:r>
        <w:r>
          <w:rPr>
            <w:noProof/>
            <w:webHidden/>
          </w:rPr>
        </w:r>
        <w:r>
          <w:rPr>
            <w:noProof/>
            <w:webHidden/>
          </w:rPr>
          <w:fldChar w:fldCharType="separate"/>
        </w:r>
        <w:r>
          <w:rPr>
            <w:noProof/>
            <w:webHidden/>
          </w:rPr>
          <w:t>19</w:t>
        </w:r>
        <w:r>
          <w:rPr>
            <w:noProof/>
            <w:webHidden/>
          </w:rPr>
          <w:fldChar w:fldCharType="end"/>
        </w:r>
      </w:hyperlink>
    </w:p>
    <w:p w14:paraId="060A2613" w14:textId="718F230D" w:rsidR="00A07DF7" w:rsidRDefault="00A07DF7">
      <w:pPr>
        <w:pStyle w:val="TOC2"/>
        <w:tabs>
          <w:tab w:val="right" w:leader="dot" w:pos="9016"/>
        </w:tabs>
        <w:rPr>
          <w:rFonts w:asciiTheme="minorHAnsi" w:eastAsiaTheme="minorEastAsia" w:hAnsiTheme="minorHAnsi"/>
          <w:noProof/>
          <w:lang w:eastAsia="en-AU"/>
        </w:rPr>
      </w:pPr>
      <w:hyperlink w:anchor="_Toc67927031" w:history="1">
        <w:r w:rsidRPr="00E70C5B">
          <w:rPr>
            <w:rStyle w:val="Hyperlink"/>
            <w:noProof/>
          </w:rPr>
          <w:t>Slide 42: Murray and Mallee (SA)</w:t>
        </w:r>
        <w:r>
          <w:rPr>
            <w:noProof/>
            <w:webHidden/>
          </w:rPr>
          <w:tab/>
        </w:r>
        <w:r>
          <w:rPr>
            <w:noProof/>
            <w:webHidden/>
          </w:rPr>
          <w:fldChar w:fldCharType="begin"/>
        </w:r>
        <w:r>
          <w:rPr>
            <w:noProof/>
            <w:webHidden/>
          </w:rPr>
          <w:instrText xml:space="preserve"> PAGEREF _Toc67927031 \h </w:instrText>
        </w:r>
        <w:r>
          <w:rPr>
            <w:noProof/>
            <w:webHidden/>
          </w:rPr>
        </w:r>
        <w:r>
          <w:rPr>
            <w:noProof/>
            <w:webHidden/>
          </w:rPr>
          <w:fldChar w:fldCharType="separate"/>
        </w:r>
        <w:r>
          <w:rPr>
            <w:noProof/>
            <w:webHidden/>
          </w:rPr>
          <w:t>19</w:t>
        </w:r>
        <w:r>
          <w:rPr>
            <w:noProof/>
            <w:webHidden/>
          </w:rPr>
          <w:fldChar w:fldCharType="end"/>
        </w:r>
      </w:hyperlink>
    </w:p>
    <w:p w14:paraId="4E636791" w14:textId="2C957394" w:rsidR="00A07DF7" w:rsidRDefault="00A07DF7">
      <w:pPr>
        <w:pStyle w:val="TOC2"/>
        <w:tabs>
          <w:tab w:val="right" w:leader="dot" w:pos="9016"/>
        </w:tabs>
        <w:rPr>
          <w:rFonts w:asciiTheme="minorHAnsi" w:eastAsiaTheme="minorEastAsia" w:hAnsiTheme="minorHAnsi"/>
          <w:noProof/>
          <w:lang w:eastAsia="en-AU"/>
        </w:rPr>
      </w:pPr>
      <w:hyperlink w:anchor="_Toc67927032" w:history="1">
        <w:r w:rsidRPr="00E70C5B">
          <w:rPr>
            <w:rStyle w:val="Hyperlink"/>
            <w:noProof/>
          </w:rPr>
          <w:t>Slide 43: Plan utilisation in the Murray and Mallee (SA) region was below benchmark for all of the large support categories</w:t>
        </w:r>
        <w:r>
          <w:rPr>
            <w:noProof/>
            <w:webHidden/>
          </w:rPr>
          <w:tab/>
        </w:r>
        <w:r>
          <w:rPr>
            <w:noProof/>
            <w:webHidden/>
          </w:rPr>
          <w:fldChar w:fldCharType="begin"/>
        </w:r>
        <w:r>
          <w:rPr>
            <w:noProof/>
            <w:webHidden/>
          </w:rPr>
          <w:instrText xml:space="preserve"> PAGEREF _Toc67927032 \h </w:instrText>
        </w:r>
        <w:r>
          <w:rPr>
            <w:noProof/>
            <w:webHidden/>
          </w:rPr>
        </w:r>
        <w:r>
          <w:rPr>
            <w:noProof/>
            <w:webHidden/>
          </w:rPr>
          <w:fldChar w:fldCharType="separate"/>
        </w:r>
        <w:r>
          <w:rPr>
            <w:noProof/>
            <w:webHidden/>
          </w:rPr>
          <w:t>19</w:t>
        </w:r>
        <w:r>
          <w:rPr>
            <w:noProof/>
            <w:webHidden/>
          </w:rPr>
          <w:fldChar w:fldCharType="end"/>
        </w:r>
      </w:hyperlink>
    </w:p>
    <w:p w14:paraId="5688F626" w14:textId="231447B3" w:rsidR="00A07DF7" w:rsidRDefault="00A07DF7">
      <w:pPr>
        <w:pStyle w:val="TOC2"/>
        <w:tabs>
          <w:tab w:val="right" w:leader="dot" w:pos="9016"/>
        </w:tabs>
        <w:rPr>
          <w:rFonts w:asciiTheme="minorHAnsi" w:eastAsiaTheme="minorEastAsia" w:hAnsiTheme="minorHAnsi"/>
          <w:noProof/>
          <w:lang w:eastAsia="en-AU"/>
        </w:rPr>
      </w:pPr>
      <w:hyperlink w:anchor="_Toc67927033" w:history="1">
        <w:r w:rsidRPr="00E70C5B">
          <w:rPr>
            <w:rStyle w:val="Hyperlink"/>
            <w:noProof/>
          </w:rPr>
          <w:t>Slide 44: Utilisation for participants in the Murray and Mallee (SA) region was below benchmark for all age bands</w:t>
        </w:r>
        <w:r>
          <w:rPr>
            <w:noProof/>
            <w:webHidden/>
          </w:rPr>
          <w:tab/>
        </w:r>
        <w:r>
          <w:rPr>
            <w:noProof/>
            <w:webHidden/>
          </w:rPr>
          <w:fldChar w:fldCharType="begin"/>
        </w:r>
        <w:r>
          <w:rPr>
            <w:noProof/>
            <w:webHidden/>
          </w:rPr>
          <w:instrText xml:space="preserve"> PAGEREF _Toc67927033 \h </w:instrText>
        </w:r>
        <w:r>
          <w:rPr>
            <w:noProof/>
            <w:webHidden/>
          </w:rPr>
        </w:r>
        <w:r>
          <w:rPr>
            <w:noProof/>
            <w:webHidden/>
          </w:rPr>
          <w:fldChar w:fldCharType="separate"/>
        </w:r>
        <w:r>
          <w:rPr>
            <w:noProof/>
            <w:webHidden/>
          </w:rPr>
          <w:t>19</w:t>
        </w:r>
        <w:r>
          <w:rPr>
            <w:noProof/>
            <w:webHidden/>
          </w:rPr>
          <w:fldChar w:fldCharType="end"/>
        </w:r>
      </w:hyperlink>
    </w:p>
    <w:p w14:paraId="5F57ECCA" w14:textId="54F20B06" w:rsidR="00A07DF7" w:rsidRDefault="00A07DF7">
      <w:pPr>
        <w:pStyle w:val="TOC2"/>
        <w:tabs>
          <w:tab w:val="right" w:leader="dot" w:pos="9016"/>
        </w:tabs>
        <w:rPr>
          <w:rFonts w:asciiTheme="minorHAnsi" w:eastAsiaTheme="minorEastAsia" w:hAnsiTheme="minorHAnsi"/>
          <w:noProof/>
          <w:lang w:eastAsia="en-AU"/>
        </w:rPr>
      </w:pPr>
      <w:hyperlink w:anchor="_Toc67927034" w:history="1">
        <w:r w:rsidRPr="00E70C5B">
          <w:rPr>
            <w:rStyle w:val="Hyperlink"/>
            <w:noProof/>
          </w:rPr>
          <w:t>Slide 45: Participants with intellectual disability and psychosocial disability are key areas of focus for the Murray and Mallee (SA) region</w:t>
        </w:r>
        <w:r>
          <w:rPr>
            <w:noProof/>
            <w:webHidden/>
          </w:rPr>
          <w:tab/>
        </w:r>
        <w:r>
          <w:rPr>
            <w:noProof/>
            <w:webHidden/>
          </w:rPr>
          <w:fldChar w:fldCharType="begin"/>
        </w:r>
        <w:r>
          <w:rPr>
            <w:noProof/>
            <w:webHidden/>
          </w:rPr>
          <w:instrText xml:space="preserve"> PAGEREF _Toc67927034 \h </w:instrText>
        </w:r>
        <w:r>
          <w:rPr>
            <w:noProof/>
            <w:webHidden/>
          </w:rPr>
        </w:r>
        <w:r>
          <w:rPr>
            <w:noProof/>
            <w:webHidden/>
          </w:rPr>
          <w:fldChar w:fldCharType="separate"/>
        </w:r>
        <w:r>
          <w:rPr>
            <w:noProof/>
            <w:webHidden/>
          </w:rPr>
          <w:t>19</w:t>
        </w:r>
        <w:r>
          <w:rPr>
            <w:noProof/>
            <w:webHidden/>
          </w:rPr>
          <w:fldChar w:fldCharType="end"/>
        </w:r>
      </w:hyperlink>
    </w:p>
    <w:p w14:paraId="4B23EB2E" w14:textId="64D4B76F" w:rsidR="00A07DF7" w:rsidRDefault="00A07DF7">
      <w:pPr>
        <w:pStyle w:val="TOC2"/>
        <w:tabs>
          <w:tab w:val="right" w:leader="dot" w:pos="9016"/>
        </w:tabs>
        <w:rPr>
          <w:rFonts w:asciiTheme="minorHAnsi" w:eastAsiaTheme="minorEastAsia" w:hAnsiTheme="minorHAnsi"/>
          <w:noProof/>
          <w:lang w:eastAsia="en-AU"/>
        </w:rPr>
      </w:pPr>
      <w:hyperlink w:anchor="_Toc67927035" w:history="1">
        <w:r w:rsidRPr="00E70C5B">
          <w:rPr>
            <w:rStyle w:val="Hyperlink"/>
            <w:noProof/>
          </w:rPr>
          <w:t>Slide 46: Copyright Notice</w:t>
        </w:r>
        <w:r>
          <w:rPr>
            <w:noProof/>
            <w:webHidden/>
          </w:rPr>
          <w:tab/>
        </w:r>
        <w:r>
          <w:rPr>
            <w:noProof/>
            <w:webHidden/>
          </w:rPr>
          <w:fldChar w:fldCharType="begin"/>
        </w:r>
        <w:r>
          <w:rPr>
            <w:noProof/>
            <w:webHidden/>
          </w:rPr>
          <w:instrText xml:space="preserve"> PAGEREF _Toc67927035 \h </w:instrText>
        </w:r>
        <w:r>
          <w:rPr>
            <w:noProof/>
            <w:webHidden/>
          </w:rPr>
        </w:r>
        <w:r>
          <w:rPr>
            <w:noProof/>
            <w:webHidden/>
          </w:rPr>
          <w:fldChar w:fldCharType="separate"/>
        </w:r>
        <w:r>
          <w:rPr>
            <w:noProof/>
            <w:webHidden/>
          </w:rPr>
          <w:t>20</w:t>
        </w:r>
        <w:r>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p>
    <w:p w14:paraId="0D56AD39" w14:textId="5E43F125" w:rsidR="00FF429B" w:rsidRPr="004A01CD" w:rsidRDefault="00FF429B" w:rsidP="003A7B01">
      <w:pPr>
        <w:pStyle w:val="Heading2"/>
      </w:pPr>
      <w:bookmarkStart w:id="6" w:name="_Toc67926988"/>
      <w:r w:rsidRPr="004A01CD">
        <w:lastRenderedPageBreak/>
        <w:t xml:space="preserve">Slide 1: </w:t>
      </w:r>
      <w:r w:rsidR="00861638" w:rsidRPr="004A01CD">
        <w:t xml:space="preserve">The NDIS Market – </w:t>
      </w:r>
      <w:r w:rsidR="00E44D05">
        <w:t>3</w:t>
      </w:r>
      <w:r w:rsidR="004761EC">
        <w:t>1 December</w:t>
      </w:r>
      <w:r w:rsidR="00E44D05">
        <w:t xml:space="preserve"> 2020</w:t>
      </w:r>
      <w:bookmarkEnd w:id="6"/>
    </w:p>
    <w:p w14:paraId="5D937BEC" w14:textId="3CAF4308" w:rsidR="0021480A" w:rsidRPr="004A01CD" w:rsidRDefault="0021480A" w:rsidP="003A7B01">
      <w:pPr>
        <w:pStyle w:val="Heading2"/>
      </w:pPr>
      <w:bookmarkStart w:id="7" w:name="_Toc67926989"/>
      <w:r w:rsidRPr="004A01CD">
        <w:t xml:space="preserve">Slide 2: </w:t>
      </w:r>
      <w:r w:rsidR="00861638" w:rsidRPr="004A01CD">
        <w:t>Outline</w:t>
      </w:r>
      <w:bookmarkEnd w:id="7"/>
    </w:p>
    <w:p w14:paraId="74527DD2" w14:textId="76DE0D15" w:rsidR="0021480A" w:rsidRPr="004A01CD" w:rsidRDefault="0021480A" w:rsidP="00C834BA">
      <w:pPr>
        <w:jc w:val="both"/>
        <w:rPr>
          <w:rFonts w:cs="Arial"/>
        </w:rPr>
      </w:pPr>
      <w:r w:rsidRPr="004A01CD">
        <w:rPr>
          <w:rFonts w:cs="Arial"/>
        </w:rPr>
        <w:t>The presentation will discuss the following topics:</w:t>
      </w:r>
    </w:p>
    <w:p w14:paraId="5927E294" w14:textId="64F68728" w:rsidR="00861638" w:rsidRPr="004A01CD" w:rsidRDefault="00861638" w:rsidP="00C834BA">
      <w:pPr>
        <w:jc w:val="both"/>
        <w:rPr>
          <w:rFonts w:cs="Arial"/>
        </w:rPr>
      </w:pPr>
      <w:r w:rsidRPr="004A01CD">
        <w:rPr>
          <w:rFonts w:cs="Arial"/>
        </w:rPr>
        <w:t>Introduction</w:t>
      </w:r>
    </w:p>
    <w:p w14:paraId="6A2C20DA" w14:textId="43B7264C" w:rsidR="00861638" w:rsidRPr="004A01CD" w:rsidRDefault="00861638" w:rsidP="00C834BA">
      <w:pPr>
        <w:jc w:val="both"/>
        <w:rPr>
          <w:rFonts w:cs="Arial"/>
        </w:rPr>
      </w:pPr>
      <w:r w:rsidRPr="004A01CD">
        <w:rPr>
          <w:rFonts w:cs="Arial"/>
        </w:rPr>
        <w:t>Key insights</w:t>
      </w:r>
    </w:p>
    <w:p w14:paraId="39F54A46" w14:textId="77777777" w:rsidR="00861638" w:rsidRPr="004A01CD" w:rsidRDefault="00861638" w:rsidP="00C834BA">
      <w:pPr>
        <w:jc w:val="both"/>
        <w:rPr>
          <w:rFonts w:cs="Arial"/>
        </w:rPr>
      </w:pPr>
      <w:r w:rsidRPr="004A01CD">
        <w:rPr>
          <w:rFonts w:cs="Arial"/>
        </w:rPr>
        <w:t>– Plan utilisation</w:t>
      </w:r>
    </w:p>
    <w:p w14:paraId="122F3BAB" w14:textId="77777777" w:rsidR="00861638" w:rsidRPr="004A01CD" w:rsidRDefault="00861638" w:rsidP="00C834BA">
      <w:pPr>
        <w:jc w:val="both"/>
        <w:rPr>
          <w:rFonts w:cs="Arial"/>
        </w:rPr>
      </w:pPr>
      <w:r w:rsidRPr="004A01CD">
        <w:rPr>
          <w:rFonts w:cs="Arial"/>
        </w:rPr>
        <w:t>– Provider concentration</w:t>
      </w:r>
    </w:p>
    <w:p w14:paraId="3910D99A" w14:textId="77777777" w:rsidR="00861638" w:rsidRPr="004A01CD" w:rsidRDefault="00861638" w:rsidP="00C834BA">
      <w:pPr>
        <w:jc w:val="both"/>
        <w:rPr>
          <w:rFonts w:cs="Arial"/>
        </w:rPr>
      </w:pPr>
      <w:r w:rsidRPr="004A01CD">
        <w:rPr>
          <w:rFonts w:cs="Arial"/>
        </w:rPr>
        <w:t>– Outcomes indicator on choice and control</w:t>
      </w:r>
    </w:p>
    <w:p w14:paraId="1027BED7" w14:textId="6F591A89" w:rsidR="00861638" w:rsidRDefault="006B51E3" w:rsidP="00C834BA">
      <w:pPr>
        <w:jc w:val="both"/>
        <w:rPr>
          <w:rFonts w:cs="Arial"/>
        </w:rPr>
      </w:pPr>
      <w:r>
        <w:rPr>
          <w:rFonts w:cs="Arial"/>
        </w:rPr>
        <w:t>Service District hotspots</w:t>
      </w:r>
    </w:p>
    <w:p w14:paraId="5321C444" w14:textId="77777777" w:rsidR="006B51E3" w:rsidRPr="006B51E3" w:rsidRDefault="006B51E3" w:rsidP="008A7087">
      <w:pPr>
        <w:pStyle w:val="Heading2"/>
        <w:numPr>
          <w:ilvl w:val="0"/>
          <w:numId w:val="5"/>
        </w:numPr>
        <w:rPr>
          <w:rFonts w:eastAsiaTheme="minorHAnsi" w:cs="Arial"/>
          <w:b w:val="0"/>
          <w:bCs w:val="0"/>
          <w:color w:val="auto"/>
          <w:sz w:val="22"/>
          <w:szCs w:val="22"/>
        </w:rPr>
      </w:pPr>
      <w:bookmarkStart w:id="8" w:name="_Toc67926990"/>
      <w:r w:rsidRPr="006B51E3">
        <w:rPr>
          <w:rFonts w:eastAsiaTheme="minorHAnsi" w:cs="Arial"/>
          <w:b w:val="0"/>
          <w:bCs w:val="0"/>
          <w:color w:val="auto"/>
          <w:sz w:val="22"/>
          <w:szCs w:val="22"/>
        </w:rPr>
        <w:t>Outer Gippsland (VIC)</w:t>
      </w:r>
      <w:bookmarkEnd w:id="8"/>
    </w:p>
    <w:p w14:paraId="5173576B" w14:textId="77777777" w:rsidR="006B51E3" w:rsidRPr="006B51E3" w:rsidRDefault="006B51E3" w:rsidP="008A7087">
      <w:pPr>
        <w:pStyle w:val="Heading2"/>
        <w:numPr>
          <w:ilvl w:val="0"/>
          <w:numId w:val="5"/>
        </w:numPr>
        <w:rPr>
          <w:rFonts w:eastAsiaTheme="minorHAnsi" w:cs="Arial"/>
          <w:b w:val="0"/>
          <w:bCs w:val="0"/>
          <w:color w:val="auto"/>
          <w:sz w:val="22"/>
          <w:szCs w:val="22"/>
        </w:rPr>
      </w:pPr>
      <w:bookmarkStart w:id="9" w:name="_Toc67926991"/>
      <w:r w:rsidRPr="006B51E3">
        <w:rPr>
          <w:rFonts w:eastAsiaTheme="minorHAnsi" w:cs="Arial"/>
          <w:b w:val="0"/>
          <w:bCs w:val="0"/>
          <w:color w:val="auto"/>
          <w:sz w:val="22"/>
          <w:szCs w:val="22"/>
        </w:rPr>
        <w:t>Murray and Mallee (SA)</w:t>
      </w:r>
      <w:bookmarkEnd w:id="9"/>
    </w:p>
    <w:p w14:paraId="50ED813B" w14:textId="77777777" w:rsidR="006B51E3" w:rsidRPr="006B51E3" w:rsidRDefault="006B51E3" w:rsidP="006B51E3">
      <w:pPr>
        <w:jc w:val="both"/>
        <w:rPr>
          <w:rFonts w:cs="Arial"/>
        </w:rPr>
      </w:pPr>
      <w:r w:rsidRPr="006B51E3">
        <w:rPr>
          <w:rFonts w:cs="Arial"/>
          <w:i/>
          <w:iCs/>
        </w:rPr>
        <w:t>(Note that there are ten hotspots in total, two of which are covered in this report. The other eight hotspots have been covered in previous reports.)</w:t>
      </w:r>
    </w:p>
    <w:p w14:paraId="5E1A5924" w14:textId="4D5FBACE" w:rsidR="0021480A" w:rsidRPr="004A01CD" w:rsidRDefault="00E57243" w:rsidP="003A7B01">
      <w:pPr>
        <w:pStyle w:val="Heading2"/>
      </w:pPr>
      <w:bookmarkStart w:id="10" w:name="_Toc67926992"/>
      <w:r w:rsidRPr="004A01CD">
        <w:t>Slide 3:</w:t>
      </w:r>
      <w:r w:rsidR="003237EE" w:rsidRPr="004A01CD">
        <w:t xml:space="preserve"> 01</w:t>
      </w:r>
      <w:r w:rsidRPr="004A01CD">
        <w:t xml:space="preserve"> </w:t>
      </w:r>
      <w:r w:rsidR="00861638" w:rsidRPr="004A01CD">
        <w:t>Introduction</w:t>
      </w:r>
      <w:bookmarkEnd w:id="10"/>
    </w:p>
    <w:p w14:paraId="16F41E53" w14:textId="5B235DD0" w:rsidR="006015EC" w:rsidRPr="004A01CD" w:rsidRDefault="006015EC" w:rsidP="00C834BA">
      <w:pPr>
        <w:jc w:val="both"/>
        <w:rPr>
          <w:rFonts w:cs="Arial"/>
        </w:rPr>
      </w:pPr>
      <w:r w:rsidRPr="004A01CD">
        <w:rPr>
          <w:rFonts w:cs="Arial"/>
        </w:rPr>
        <w:t xml:space="preserve">Slides 4 to </w:t>
      </w:r>
      <w:r w:rsidR="003C323A" w:rsidRPr="004A01CD">
        <w:rPr>
          <w:rFonts w:cs="Arial"/>
        </w:rPr>
        <w:t>1</w:t>
      </w:r>
      <w:r w:rsidR="006B51E3">
        <w:rPr>
          <w:rFonts w:cs="Arial"/>
        </w:rPr>
        <w:t>1</w:t>
      </w:r>
      <w:r w:rsidRPr="004A01CD">
        <w:rPr>
          <w:rFonts w:cs="Arial"/>
        </w:rPr>
        <w:t xml:space="preserve"> serve as an introduction to the analysis</w:t>
      </w:r>
    </w:p>
    <w:p w14:paraId="4EB1C33A" w14:textId="5AA9F603" w:rsidR="00613CC4" w:rsidRDefault="00613CC4" w:rsidP="00613CC4">
      <w:pPr>
        <w:pStyle w:val="Heading2"/>
        <w:rPr>
          <w:rFonts w:eastAsiaTheme="minorHAnsi" w:cs="Arial"/>
          <w:color w:val="auto"/>
          <w:sz w:val="22"/>
          <w:szCs w:val="22"/>
        </w:rPr>
      </w:pPr>
      <w:bookmarkStart w:id="11" w:name="_Toc67926993"/>
      <w:r w:rsidRPr="004A01CD">
        <w:t xml:space="preserve">Slide </w:t>
      </w:r>
      <w:r>
        <w:t>4: Background</w:t>
      </w:r>
      <w:bookmarkEnd w:id="11"/>
    </w:p>
    <w:p w14:paraId="48414EF9" w14:textId="2FC9176A" w:rsidR="00036E40" w:rsidRPr="00613CC4" w:rsidRDefault="00036E40" w:rsidP="00036E40">
      <w:pPr>
        <w:jc w:val="both"/>
        <w:rPr>
          <w:rFonts w:cs="Arial"/>
        </w:rPr>
      </w:pPr>
      <w:r>
        <w:rPr>
          <w:rFonts w:cs="Arial"/>
        </w:rPr>
        <w:t xml:space="preserve">The purpose </w:t>
      </w:r>
      <w:r w:rsidRPr="00036E40">
        <w:rPr>
          <w:rFonts w:cs="Arial"/>
          <w:bCs/>
        </w:rPr>
        <w:t>of the National Disability Insurance Scheme (NDIS) is to provide reasonable and necessary funding to people with a permanent and significant disability so that they may access the supports and services they need to assist with achieving their goals. Participants receive individual budgets from which they choose the providers to support them.</w:t>
      </w:r>
    </w:p>
    <w:p w14:paraId="32E2C0AF" w14:textId="19213F09" w:rsidR="00613CC4" w:rsidRPr="00613CC4" w:rsidRDefault="00613CC4" w:rsidP="00613CC4">
      <w:pPr>
        <w:jc w:val="both"/>
        <w:rPr>
          <w:rFonts w:cs="Arial"/>
        </w:rPr>
      </w:pPr>
      <w:r>
        <w:rPr>
          <w:rFonts w:cs="Arial"/>
        </w:rPr>
        <w:t>T</w:t>
      </w:r>
      <w:r w:rsidRPr="00613CC4">
        <w:rPr>
          <w:rFonts w:cs="Arial"/>
        </w:rPr>
        <w:t>his report is the latest update (using data as at 31 December 2020) to the biannual report on the NDIS market. The previous report was released in September 2020 (using data as at 30 June 2020). The aim of this report is to support the purpose of the NDIS by comparing a number of market indicators across geographical districts and participant characteristics to identify “hot spots” where support provision is comparatively lower or higher than the rest of the NDIS market. This report is updated every 6 months.</w:t>
      </w:r>
    </w:p>
    <w:p w14:paraId="4006BA50" w14:textId="77777777" w:rsidR="00613CC4" w:rsidRPr="00613CC4" w:rsidRDefault="00613CC4" w:rsidP="00613CC4">
      <w:pPr>
        <w:jc w:val="both"/>
        <w:rPr>
          <w:rFonts w:cs="Arial"/>
        </w:rPr>
      </w:pPr>
      <w:r w:rsidRPr="00613CC4">
        <w:rPr>
          <w:rFonts w:cs="Arial"/>
        </w:rPr>
        <w:t xml:space="preserve">As at 31 December 2020, the Scheme had just under 433,000 active participants with approved plans, residing across 80 service districts1, which are all covered in this analysis. </w:t>
      </w:r>
    </w:p>
    <w:p w14:paraId="5D266681" w14:textId="50202E87" w:rsidR="00613CC4" w:rsidRDefault="00613CC4" w:rsidP="00613CC4">
      <w:pPr>
        <w:jc w:val="both"/>
        <w:rPr>
          <w:rFonts w:cs="Arial"/>
        </w:rPr>
      </w:pPr>
      <w:r w:rsidRPr="00613CC4">
        <w:rPr>
          <w:rFonts w:cs="Arial"/>
        </w:rPr>
        <w:t>Accompanying this presentation are dashboards showing the market indicators for each Service District and LGA (where the LGA has more than 10 NDIS participants), using data as at 31 December 2020.</w:t>
      </w:r>
    </w:p>
    <w:p w14:paraId="7DA5D1D9" w14:textId="5F13B969" w:rsidR="00DF3E18" w:rsidRDefault="00DF3E18" w:rsidP="00613CC4">
      <w:pPr>
        <w:jc w:val="both"/>
      </w:pPr>
      <w:r>
        <w:rPr>
          <w:rFonts w:cs="Arial"/>
        </w:rPr>
        <w:t xml:space="preserve">Note: </w:t>
      </w:r>
      <w:r>
        <w:t xml:space="preserve">Bilateral agreements were signed between the Commonwealth government and the States and Territories; these agreements detailed the Scheme phase-in dates of the 80 districts, which are based on combinations of Local Government Areas (LGAs).  </w:t>
      </w:r>
    </w:p>
    <w:p w14:paraId="12BCE24A" w14:textId="7341EEFF" w:rsidR="00DF3E18" w:rsidRDefault="00DF3E18" w:rsidP="00613CC4">
      <w:pPr>
        <w:jc w:val="both"/>
      </w:pPr>
    </w:p>
    <w:p w14:paraId="437A9CBB" w14:textId="77777777" w:rsidR="00DF3E18" w:rsidRDefault="00DF3E18" w:rsidP="00613CC4">
      <w:pPr>
        <w:jc w:val="both"/>
      </w:pPr>
    </w:p>
    <w:p w14:paraId="45063C40" w14:textId="0FB648CE" w:rsidR="00DF3E18" w:rsidRDefault="00DF3E18" w:rsidP="00DF3E18">
      <w:pPr>
        <w:pStyle w:val="Heading2"/>
        <w:rPr>
          <w:rFonts w:eastAsiaTheme="minorHAnsi" w:cs="Arial"/>
          <w:color w:val="auto"/>
          <w:sz w:val="22"/>
          <w:szCs w:val="22"/>
        </w:rPr>
      </w:pPr>
      <w:bookmarkStart w:id="12" w:name="_Toc67926994"/>
      <w:r w:rsidRPr="004A01CD">
        <w:lastRenderedPageBreak/>
        <w:t xml:space="preserve">Slide </w:t>
      </w:r>
      <w:r>
        <w:t>5: Context</w:t>
      </w:r>
      <w:bookmarkEnd w:id="12"/>
    </w:p>
    <w:p w14:paraId="42B83834" w14:textId="77777777" w:rsidR="00DF3E18" w:rsidRDefault="00DF3E18" w:rsidP="00DF3E18">
      <w:pPr>
        <w:jc w:val="both"/>
        <w:rPr>
          <w:rFonts w:ascii="FS Me" w:hAnsi="FS Me" w:cs="FS Me"/>
          <w:b/>
          <w:bCs/>
          <w:color w:val="000000"/>
        </w:rPr>
      </w:pPr>
      <w:r w:rsidRPr="00DF3E18">
        <w:rPr>
          <w:rFonts w:ascii="FS Me" w:hAnsi="FS Me" w:cs="FS Me"/>
          <w:b/>
          <w:bCs/>
          <w:color w:val="000000"/>
        </w:rPr>
        <w:t xml:space="preserve">The NDIA has been taking more targeted action over the last 12 months to address market gaps. </w:t>
      </w:r>
    </w:p>
    <w:p w14:paraId="53AAC93C" w14:textId="77777777" w:rsidR="00DF3E18" w:rsidRPr="00DF3E18" w:rsidRDefault="00DF3E18" w:rsidP="00DF3E18">
      <w:pPr>
        <w:autoSpaceDE w:val="0"/>
        <w:autoSpaceDN w:val="0"/>
        <w:adjustRightInd w:val="0"/>
        <w:spacing w:after="100" w:line="241" w:lineRule="atLeast"/>
        <w:rPr>
          <w:rFonts w:ascii="FS Me" w:hAnsi="FS Me" w:cs="FS Me"/>
          <w:color w:val="000000"/>
        </w:rPr>
      </w:pPr>
      <w:r w:rsidRPr="00DF3E18">
        <w:rPr>
          <w:rFonts w:ascii="FS Me" w:hAnsi="FS Me" w:cs="FS Me"/>
          <w:color w:val="000000"/>
        </w:rPr>
        <w:t xml:space="preserve">The NDIA is progressing thin market trials in each state and territory, in liaison with state and territory governments and other key stakeholders. Learnings from these trials are informing an ongoing program of market interventions across Australia which targets the areas identified in this report. </w:t>
      </w:r>
    </w:p>
    <w:p w14:paraId="3F42C76B" w14:textId="77777777" w:rsidR="00DF3E18" w:rsidRDefault="00DF3E18" w:rsidP="00DF3E18">
      <w:pPr>
        <w:jc w:val="both"/>
        <w:rPr>
          <w:rFonts w:ascii="FS Me" w:hAnsi="FS Me" w:cs="FS Me"/>
          <w:color w:val="000000"/>
        </w:rPr>
      </w:pPr>
      <w:r w:rsidRPr="00DF3E18">
        <w:rPr>
          <w:rFonts w:ascii="FS Me" w:hAnsi="FS Me" w:cs="FS Me"/>
          <w:color w:val="000000"/>
        </w:rPr>
        <w:t xml:space="preserve">Market intervention actions are flexible and tailored in response to local issues, and may include improving plan implementation, improving information signals, market facilitation, coordinated funding proposals, and if required, direct commissioning. </w:t>
      </w:r>
    </w:p>
    <w:p w14:paraId="08A61ED8" w14:textId="77777777" w:rsidR="00DF3E18" w:rsidRPr="00DF3E18" w:rsidRDefault="00DF3E18" w:rsidP="00DF3E18">
      <w:pPr>
        <w:autoSpaceDE w:val="0"/>
        <w:autoSpaceDN w:val="0"/>
        <w:adjustRightInd w:val="0"/>
        <w:spacing w:after="100" w:line="241" w:lineRule="atLeast"/>
        <w:rPr>
          <w:rFonts w:ascii="FS Me" w:hAnsi="FS Me" w:cs="FS Me"/>
          <w:color w:val="000000"/>
        </w:rPr>
      </w:pPr>
      <w:r w:rsidRPr="00DF3E18">
        <w:rPr>
          <w:rFonts w:ascii="FS Me" w:hAnsi="FS Me" w:cs="FS Me"/>
          <w:color w:val="000000"/>
        </w:rPr>
        <w:t xml:space="preserve">Most of the NDIA’s current market intervention projects are in areas highlighted in this report. Market interventions are done at LGA level, and are targeted to specific communities, cohorts and/or support types within the LGA. As such, while there have been some promising early improvements in particular LGAs and communities resulting from market interventions, these are yet to reach a scale at which they are impacting the results reported at service district level in this report. We expect to see this impact build over time. </w:t>
      </w:r>
    </w:p>
    <w:p w14:paraId="73CAC576" w14:textId="67F9E91B" w:rsidR="00DF3E18" w:rsidRPr="00613CC4" w:rsidRDefault="00DF3E18" w:rsidP="00DF3E18">
      <w:pPr>
        <w:jc w:val="both"/>
        <w:rPr>
          <w:rFonts w:cs="Arial"/>
        </w:rPr>
      </w:pPr>
      <w:r w:rsidRPr="00DF3E18">
        <w:rPr>
          <w:rFonts w:ascii="FS Me" w:hAnsi="FS Me" w:cs="FS Me"/>
          <w:color w:val="000000"/>
        </w:rPr>
        <w:t>The NDIA undertakes regular market monitoring at a service district and LGA level to understand the impact of market interventions and to inform prioritisation for future market interventions.</w:t>
      </w:r>
    </w:p>
    <w:p w14:paraId="2F9F9891" w14:textId="4F341B41" w:rsidR="00861638" w:rsidRPr="004A01CD" w:rsidRDefault="00DF3E18" w:rsidP="0005284D">
      <w:pPr>
        <w:pStyle w:val="Heading2"/>
      </w:pPr>
      <w:bookmarkStart w:id="13" w:name="_Toc67926995"/>
      <w:r>
        <w:t>Slide 6</w:t>
      </w:r>
      <w:r w:rsidR="00861638" w:rsidRPr="004A01CD">
        <w:t xml:space="preserve">: </w:t>
      </w:r>
      <w:r w:rsidR="003C323A" w:rsidRPr="004A01CD">
        <w:t>Active participants, plan budgets and payments over time</w:t>
      </w:r>
      <w:bookmarkEnd w:id="13"/>
    </w:p>
    <w:p w14:paraId="69541A19" w14:textId="77777777" w:rsidR="006B51E3" w:rsidRPr="006B51E3" w:rsidRDefault="006B51E3" w:rsidP="006B51E3">
      <w:pPr>
        <w:jc w:val="both"/>
        <w:rPr>
          <w:rFonts w:cs="Arial"/>
        </w:rPr>
      </w:pPr>
      <w:r w:rsidRPr="006B51E3">
        <w:rPr>
          <w:rFonts w:cs="Arial"/>
        </w:rPr>
        <w:t>The number of participants, plan budgets and payments has grown rapidly since scheme inception. This growth is expected to continue until the scheme reaches maturity, supporting an estimated 500,000 Australians.</w:t>
      </w:r>
    </w:p>
    <w:p w14:paraId="18E1029D" w14:textId="6D9FBC16" w:rsidR="003B090F" w:rsidRPr="004A01CD" w:rsidRDefault="002F6D71" w:rsidP="003C323A">
      <w:pPr>
        <w:jc w:val="both"/>
        <w:rPr>
          <w:rFonts w:cs="Arial"/>
        </w:rPr>
      </w:pPr>
      <w:r w:rsidRPr="004A01CD">
        <w:rPr>
          <w:rFonts w:cs="Arial"/>
        </w:rPr>
        <w:t>A table shows the number of active participants, total committed supports, total payments and utilisation by financial year.</w:t>
      </w:r>
    </w:p>
    <w:p w14:paraId="23FF7B59" w14:textId="7FCA36E1" w:rsidR="002F6D71" w:rsidRPr="004A01CD" w:rsidRDefault="002F6D71" w:rsidP="003C323A">
      <w:pPr>
        <w:jc w:val="both"/>
        <w:rPr>
          <w:rFonts w:cs="Arial"/>
        </w:rPr>
      </w:pPr>
      <w:r w:rsidRPr="004A01CD">
        <w:rPr>
          <w:rFonts w:cs="Arial"/>
        </w:rPr>
        <w:t>For ‘trial years’, there were 29,719 active participants, $1,569 million total committed supports, $1,161 million total payments and utilisation was 74%.</w:t>
      </w:r>
    </w:p>
    <w:p w14:paraId="6D5E5A8F" w14:textId="003E02C2" w:rsidR="002F6D71" w:rsidRPr="004A01CD" w:rsidRDefault="002F6D71" w:rsidP="003C323A">
      <w:pPr>
        <w:jc w:val="both"/>
        <w:rPr>
          <w:rFonts w:cs="Arial"/>
        </w:rPr>
      </w:pPr>
      <w:r w:rsidRPr="004A01CD">
        <w:rPr>
          <w:rFonts w:cs="Arial"/>
        </w:rPr>
        <w:t>For 2016-17, there were 89</w:t>
      </w:r>
      <w:r w:rsidR="0005284D">
        <w:rPr>
          <w:rFonts w:cs="Arial"/>
        </w:rPr>
        <w:t>,610 active participants, $3,234</w:t>
      </w:r>
      <w:r w:rsidRPr="004A01CD">
        <w:rPr>
          <w:rFonts w:cs="Arial"/>
        </w:rPr>
        <w:t xml:space="preserve"> million </w:t>
      </w:r>
      <w:r w:rsidR="0005284D">
        <w:rPr>
          <w:rFonts w:cs="Arial"/>
        </w:rPr>
        <w:t>total committed supports, $2,185</w:t>
      </w:r>
      <w:r w:rsidRPr="004A01CD">
        <w:rPr>
          <w:rFonts w:cs="Arial"/>
        </w:rPr>
        <w:t xml:space="preserve"> million total</w:t>
      </w:r>
      <w:r w:rsidR="0005284D">
        <w:rPr>
          <w:rFonts w:cs="Arial"/>
        </w:rPr>
        <w:t xml:space="preserve"> payments and utilisation was 68</w:t>
      </w:r>
      <w:r w:rsidRPr="004A01CD">
        <w:rPr>
          <w:rFonts w:cs="Arial"/>
        </w:rPr>
        <w:t>%.</w:t>
      </w:r>
    </w:p>
    <w:p w14:paraId="699B7919" w14:textId="2AFB24DF" w:rsidR="002F6D71" w:rsidRPr="004A01CD" w:rsidRDefault="002F6D71" w:rsidP="002F6D71">
      <w:pPr>
        <w:jc w:val="both"/>
        <w:rPr>
          <w:rFonts w:cs="Arial"/>
        </w:rPr>
      </w:pPr>
      <w:r w:rsidRPr="004A01CD">
        <w:rPr>
          <w:rFonts w:cs="Arial"/>
        </w:rPr>
        <w:t>For 2017-18, there were 172</w:t>
      </w:r>
      <w:r w:rsidR="00181C68">
        <w:rPr>
          <w:rFonts w:cs="Arial"/>
        </w:rPr>
        <w:t>,333 active participants, $7,741</w:t>
      </w:r>
      <w:r w:rsidRPr="004A01CD">
        <w:rPr>
          <w:rFonts w:cs="Arial"/>
        </w:rPr>
        <w:t xml:space="preserve"> million </w:t>
      </w:r>
      <w:r w:rsidR="0005284D">
        <w:rPr>
          <w:rFonts w:cs="Arial"/>
        </w:rPr>
        <w:t>total committed supports, $5,4</w:t>
      </w:r>
      <w:r w:rsidR="006B51E3">
        <w:rPr>
          <w:rFonts w:cs="Arial"/>
        </w:rPr>
        <w:t>32</w:t>
      </w:r>
      <w:r w:rsidRPr="004A01CD">
        <w:rPr>
          <w:rFonts w:cs="Arial"/>
        </w:rPr>
        <w:t xml:space="preserve"> million total payments and utilisation was 70%.</w:t>
      </w:r>
    </w:p>
    <w:p w14:paraId="1A86CAF8" w14:textId="31D635B5" w:rsidR="006B51E3" w:rsidRDefault="002F6D71" w:rsidP="002F6D71">
      <w:pPr>
        <w:jc w:val="both"/>
        <w:rPr>
          <w:rFonts w:cs="Arial"/>
        </w:rPr>
      </w:pPr>
      <w:r w:rsidRPr="004A01CD">
        <w:rPr>
          <w:rFonts w:cs="Arial"/>
        </w:rPr>
        <w:t>For 2018-19, there were 286,</w:t>
      </w:r>
      <w:r w:rsidR="006B51E3">
        <w:rPr>
          <w:rFonts w:cs="Arial"/>
        </w:rPr>
        <w:t>015 active participants, $14,560</w:t>
      </w:r>
      <w:r w:rsidRPr="004A01CD">
        <w:rPr>
          <w:rFonts w:cs="Arial"/>
        </w:rPr>
        <w:t xml:space="preserve"> million t</w:t>
      </w:r>
      <w:r w:rsidR="0005284D">
        <w:rPr>
          <w:rFonts w:cs="Arial"/>
        </w:rPr>
        <w:t>otal committed supports, $10,3</w:t>
      </w:r>
      <w:r w:rsidR="006B51E3">
        <w:rPr>
          <w:rFonts w:cs="Arial"/>
        </w:rPr>
        <w:t>85</w:t>
      </w:r>
      <w:r w:rsidRPr="004A01CD">
        <w:rPr>
          <w:rFonts w:cs="Arial"/>
        </w:rPr>
        <w:t xml:space="preserve"> million total</w:t>
      </w:r>
      <w:r w:rsidR="0005284D">
        <w:rPr>
          <w:rFonts w:cs="Arial"/>
        </w:rPr>
        <w:t xml:space="preserve"> payments and utilisation was 71</w:t>
      </w:r>
      <w:r w:rsidRPr="004A01CD">
        <w:rPr>
          <w:rFonts w:cs="Arial"/>
        </w:rPr>
        <w:t>%.</w:t>
      </w:r>
    </w:p>
    <w:p w14:paraId="0A84B858" w14:textId="162882F3" w:rsidR="006B51E3" w:rsidRPr="004A01CD" w:rsidRDefault="006B51E3" w:rsidP="006B51E3">
      <w:pPr>
        <w:jc w:val="both"/>
        <w:rPr>
          <w:rFonts w:cs="Arial"/>
        </w:rPr>
      </w:pPr>
      <w:r w:rsidRPr="004A01CD">
        <w:rPr>
          <w:rFonts w:cs="Arial"/>
        </w:rPr>
        <w:t>For 20</w:t>
      </w:r>
      <w:r>
        <w:rPr>
          <w:rFonts w:cs="Arial"/>
        </w:rPr>
        <w:t>19</w:t>
      </w:r>
      <w:r w:rsidRPr="004A01CD">
        <w:rPr>
          <w:rFonts w:cs="Arial"/>
        </w:rPr>
        <w:t>-</w:t>
      </w:r>
      <w:r>
        <w:rPr>
          <w:rFonts w:cs="Arial"/>
        </w:rPr>
        <w:t>20</w:t>
      </w:r>
      <w:r w:rsidRPr="004A01CD">
        <w:rPr>
          <w:rFonts w:cs="Arial"/>
        </w:rPr>
        <w:t xml:space="preserve">, there were </w:t>
      </w:r>
      <w:r>
        <w:rPr>
          <w:rFonts w:cs="Arial"/>
        </w:rPr>
        <w:t>391,999 active participants, $24,515</w:t>
      </w:r>
      <w:r w:rsidRPr="004A01CD">
        <w:rPr>
          <w:rFonts w:cs="Arial"/>
        </w:rPr>
        <w:t xml:space="preserve"> million t</w:t>
      </w:r>
      <w:r>
        <w:rPr>
          <w:rFonts w:cs="Arial"/>
        </w:rPr>
        <w:t>otal committed supports, $10,363</w:t>
      </w:r>
      <w:r w:rsidRPr="004A01CD">
        <w:rPr>
          <w:rFonts w:cs="Arial"/>
        </w:rPr>
        <w:t xml:space="preserve"> million total</w:t>
      </w:r>
      <w:r>
        <w:rPr>
          <w:rFonts w:cs="Arial"/>
        </w:rPr>
        <w:t xml:space="preserve"> payments and utilisation was 7</w:t>
      </w:r>
      <w:r w:rsidR="00181C68">
        <w:rPr>
          <w:rFonts w:cs="Arial"/>
        </w:rPr>
        <w:t>0</w:t>
      </w:r>
      <w:r w:rsidRPr="004A01CD">
        <w:rPr>
          <w:rFonts w:cs="Arial"/>
        </w:rPr>
        <w:t>%.</w:t>
      </w:r>
    </w:p>
    <w:p w14:paraId="507BCF37" w14:textId="1989C255" w:rsidR="002F6D71" w:rsidRPr="004A01CD" w:rsidRDefault="002F6D71" w:rsidP="002F6D71">
      <w:pPr>
        <w:jc w:val="both"/>
        <w:rPr>
          <w:rFonts w:cs="Arial"/>
        </w:rPr>
      </w:pPr>
      <w:r w:rsidRPr="004A01CD">
        <w:rPr>
          <w:rFonts w:cs="Arial"/>
        </w:rPr>
        <w:t>For 20</w:t>
      </w:r>
      <w:r w:rsidR="00181C68">
        <w:rPr>
          <w:rFonts w:cs="Arial"/>
        </w:rPr>
        <w:t>20-21</w:t>
      </w:r>
      <w:r w:rsidRPr="004A01CD">
        <w:rPr>
          <w:rFonts w:cs="Arial"/>
        </w:rPr>
        <w:t xml:space="preserve"> year to date</w:t>
      </w:r>
      <w:r w:rsidR="00327A47" w:rsidRPr="004A01CD">
        <w:rPr>
          <w:rFonts w:cs="Arial"/>
        </w:rPr>
        <w:t xml:space="preserve"> (YTD)</w:t>
      </w:r>
      <w:r w:rsidR="0005284D">
        <w:rPr>
          <w:rFonts w:cs="Arial"/>
        </w:rPr>
        <w:t xml:space="preserve">, there were </w:t>
      </w:r>
      <w:r w:rsidR="00181C68">
        <w:rPr>
          <w:rFonts w:cs="Arial"/>
        </w:rPr>
        <w:t xml:space="preserve">432,649 </w:t>
      </w:r>
      <w:r w:rsidR="0005284D">
        <w:rPr>
          <w:rFonts w:cs="Arial"/>
        </w:rPr>
        <w:t>active participants, $</w:t>
      </w:r>
      <w:r w:rsidR="00181C68">
        <w:rPr>
          <w:rFonts w:cs="Arial"/>
        </w:rPr>
        <w:t>28,203</w:t>
      </w:r>
      <w:r w:rsidRPr="004A01CD">
        <w:rPr>
          <w:rFonts w:cs="Arial"/>
        </w:rPr>
        <w:t xml:space="preserve"> million total committed supports and $</w:t>
      </w:r>
      <w:r w:rsidR="00181C68">
        <w:rPr>
          <w:rFonts w:cs="Arial"/>
        </w:rPr>
        <w:t>9,824</w:t>
      </w:r>
      <w:r w:rsidRPr="004A01CD">
        <w:rPr>
          <w:rFonts w:cs="Arial"/>
        </w:rPr>
        <w:t xml:space="preserve"> million total payments. Note</w:t>
      </w:r>
      <w:r w:rsidR="00181C68">
        <w:rPr>
          <w:rFonts w:cs="Arial"/>
        </w:rPr>
        <w:t>s</w:t>
      </w:r>
      <w:r w:rsidRPr="004A01CD">
        <w:rPr>
          <w:rFonts w:cs="Arial"/>
        </w:rPr>
        <w:t>: There is a lag between when support is provided and when it is paid – hence, payments will increase.</w:t>
      </w:r>
      <w:r w:rsidR="00181C68">
        <w:rPr>
          <w:rFonts w:cs="Arial"/>
        </w:rPr>
        <w:t xml:space="preserve"> </w:t>
      </w:r>
      <w:r w:rsidR="00181C68" w:rsidRPr="00181C68">
        <w:rPr>
          <w:rFonts w:cs="Arial"/>
        </w:rPr>
        <w:t>Total paid by year is based on the date the support was provided, and not on the date the payment was made for the support.</w:t>
      </w:r>
    </w:p>
    <w:p w14:paraId="7FD01751" w14:textId="33C341ED" w:rsidR="003B090F" w:rsidRPr="004A01CD" w:rsidRDefault="00DF3E18" w:rsidP="003A7B01">
      <w:pPr>
        <w:pStyle w:val="Heading2"/>
      </w:pPr>
      <w:bookmarkStart w:id="14" w:name="_Toc67926996"/>
      <w:r>
        <w:t>Slide 7</w:t>
      </w:r>
      <w:r w:rsidR="003B090F" w:rsidRPr="004A01CD">
        <w:t xml:space="preserve">:  </w:t>
      </w:r>
      <w:r w:rsidR="00AF228B" w:rsidRPr="004A01CD">
        <w:t>P</w:t>
      </w:r>
      <w:r w:rsidR="00AC6018" w:rsidRPr="004A01CD">
        <w:t>ayments by support category</w:t>
      </w:r>
      <w:bookmarkEnd w:id="14"/>
    </w:p>
    <w:p w14:paraId="53E411CF" w14:textId="3736369C" w:rsidR="00AF228B" w:rsidRPr="004A01CD" w:rsidRDefault="00AF228B" w:rsidP="00AF228B">
      <w:pPr>
        <w:jc w:val="both"/>
        <w:rPr>
          <w:rFonts w:cs="Arial"/>
        </w:rPr>
      </w:pPr>
      <w:r w:rsidRPr="004A01CD">
        <w:rPr>
          <w:rFonts w:cs="Arial"/>
        </w:rPr>
        <w:lastRenderedPageBreak/>
        <w:t>The level of payments vary between support categories, with the largest three being Core – Daily Activities, Core – Community and Capacity Building – Daily Activities</w:t>
      </w:r>
      <w:r w:rsidR="008A7087">
        <w:rPr>
          <w:rFonts w:cs="Arial"/>
        </w:rPr>
        <w:t>.</w:t>
      </w:r>
      <w:r w:rsidRPr="004A01CD">
        <w:rPr>
          <w:rFonts w:cs="Arial"/>
        </w:rPr>
        <w:t xml:space="preserve"> </w:t>
      </w:r>
    </w:p>
    <w:p w14:paraId="5F1F6BF1" w14:textId="0078E6B2" w:rsidR="003B090F" w:rsidRPr="004A01CD" w:rsidRDefault="00327A47" w:rsidP="00327A47">
      <w:pPr>
        <w:jc w:val="both"/>
        <w:rPr>
          <w:rFonts w:cs="Arial"/>
        </w:rPr>
      </w:pPr>
      <w:r w:rsidRPr="004A01CD">
        <w:rPr>
          <w:rFonts w:cs="Arial"/>
        </w:rPr>
        <w:t>A table shows total payments split by support category and financial year. For 20</w:t>
      </w:r>
      <w:r w:rsidR="008A7087">
        <w:rPr>
          <w:rFonts w:cs="Arial"/>
        </w:rPr>
        <w:t>20-21</w:t>
      </w:r>
      <w:r w:rsidRPr="004A01CD">
        <w:rPr>
          <w:rFonts w:cs="Arial"/>
        </w:rPr>
        <w:t xml:space="preserve"> YTD, it also shows payments for each support category as a percentage of total supports.</w:t>
      </w:r>
    </w:p>
    <w:p w14:paraId="3E9AF613" w14:textId="3AA10F5A" w:rsidR="00327A47" w:rsidRPr="004A01CD" w:rsidRDefault="00BB5B1A" w:rsidP="00327A47">
      <w:pPr>
        <w:jc w:val="both"/>
        <w:rPr>
          <w:rFonts w:cs="Arial"/>
        </w:rPr>
      </w:pPr>
      <w:r w:rsidRPr="004A01CD">
        <w:rPr>
          <w:rFonts w:cs="Arial"/>
        </w:rPr>
        <w:t xml:space="preserve">The largest support categories by payments made are: Core </w:t>
      </w:r>
      <w:r w:rsidR="0005284D">
        <w:rPr>
          <w:rFonts w:cs="Arial"/>
        </w:rPr>
        <w:t>– Daily Activities, making up 56</w:t>
      </w:r>
      <w:r w:rsidRPr="004A01CD">
        <w:rPr>
          <w:rFonts w:cs="Arial"/>
        </w:rPr>
        <w:t xml:space="preserve">% of </w:t>
      </w:r>
      <w:r w:rsidR="0005284D">
        <w:rPr>
          <w:rFonts w:cs="Arial"/>
        </w:rPr>
        <w:t>payments, Core-Community with 17</w:t>
      </w:r>
      <w:r w:rsidRPr="004A01CD">
        <w:rPr>
          <w:rFonts w:cs="Arial"/>
        </w:rPr>
        <w:t>%, Capacity Building - Daily Activities with 11%, Core – Transport with 4% and Capit</w:t>
      </w:r>
      <w:r w:rsidR="008A7087">
        <w:rPr>
          <w:rFonts w:cs="Arial"/>
        </w:rPr>
        <w:t>al – Assistive Technology with 3</w:t>
      </w:r>
      <w:r w:rsidRPr="004A01CD">
        <w:rPr>
          <w:rFonts w:cs="Arial"/>
        </w:rPr>
        <w:t xml:space="preserve">%. All other support categories are less than 2% of total payments. </w:t>
      </w:r>
    </w:p>
    <w:p w14:paraId="4D594A45" w14:textId="1B5F0DB0" w:rsidR="008A7087" w:rsidRPr="008A7087" w:rsidRDefault="003D303B" w:rsidP="008A7087">
      <w:pPr>
        <w:jc w:val="both"/>
        <w:rPr>
          <w:rFonts w:cs="Arial"/>
        </w:rPr>
      </w:pPr>
      <w:r w:rsidRPr="004A01CD">
        <w:rPr>
          <w:rFonts w:cs="Arial"/>
        </w:rPr>
        <w:t>The percentage of total payments consisting of Core – Daily Activities has declined steadily since 2016-17 (61% of payments</w:t>
      </w:r>
      <w:r w:rsidR="00606B47" w:rsidRPr="004A01CD">
        <w:rPr>
          <w:rFonts w:cs="Arial"/>
        </w:rPr>
        <w:t xml:space="preserve">), </w:t>
      </w:r>
      <w:r w:rsidRPr="004A01CD">
        <w:rPr>
          <w:rFonts w:cs="Arial"/>
        </w:rPr>
        <w:t xml:space="preserve">while Core – Community has increased steadily from 14% in 2016-17. </w:t>
      </w:r>
      <w:r w:rsidR="00606B47" w:rsidRPr="004A01CD">
        <w:rPr>
          <w:rFonts w:cs="Arial"/>
        </w:rPr>
        <w:t xml:space="preserve">The percentage of total payments consisting of Capacity Building – Daily Activities has been increasing since 2017-18 (8% of payments). </w:t>
      </w:r>
      <w:r w:rsidR="008A7087">
        <w:rPr>
          <w:rFonts w:cs="Arial"/>
        </w:rPr>
        <w:t xml:space="preserve">Note: </w:t>
      </w:r>
      <w:r w:rsidR="008A7087" w:rsidRPr="008A7087">
        <w:rPr>
          <w:rFonts w:cs="Arial"/>
        </w:rPr>
        <w:t>Total paid by year is based on the date the support was provided, and not on the date the payment was made for the support.</w:t>
      </w:r>
    </w:p>
    <w:p w14:paraId="38ACBAF1" w14:textId="289CCCA4" w:rsidR="009D4433" w:rsidRPr="004A01CD" w:rsidRDefault="009D4433" w:rsidP="009D4433">
      <w:pPr>
        <w:jc w:val="both"/>
        <w:rPr>
          <w:rFonts w:cs="Arial"/>
        </w:rPr>
      </w:pPr>
    </w:p>
    <w:p w14:paraId="12DD2294" w14:textId="536B519C" w:rsidR="00746B56" w:rsidRPr="004A01CD" w:rsidRDefault="0005284D" w:rsidP="00746B56">
      <w:pPr>
        <w:pStyle w:val="Heading2"/>
      </w:pPr>
      <w:bookmarkStart w:id="15" w:name="_Toc67926997"/>
      <w:r>
        <w:t xml:space="preserve">Slide </w:t>
      </w:r>
      <w:r w:rsidR="00DF3E18">
        <w:t>8</w:t>
      </w:r>
      <w:r w:rsidR="00746B56" w:rsidRPr="004A01CD">
        <w:t xml:space="preserve">: </w:t>
      </w:r>
      <w:r w:rsidR="009D4433" w:rsidRPr="004A01CD">
        <w:t xml:space="preserve">Key indicators for monitoring the NDIS market </w:t>
      </w:r>
      <w:r w:rsidR="007C74D1" w:rsidRPr="004A01CD">
        <w:t xml:space="preserve">– </w:t>
      </w:r>
      <w:r w:rsidR="009D4433" w:rsidRPr="004A01CD">
        <w:t>plan utilisation</w:t>
      </w:r>
      <w:bookmarkEnd w:id="15"/>
    </w:p>
    <w:p w14:paraId="49AE5AC3" w14:textId="77777777" w:rsidR="008A7087" w:rsidRPr="008A7087" w:rsidRDefault="008A7087" w:rsidP="008A7087">
      <w:r w:rsidRPr="008A7087">
        <w:t>For support provided between 1 April 2020 and 30 September 2020, 67% had been utilised nationally, based on data at 31 December 2020.1 There are reasons why some participants are not utilising all of their plans – these include:</w:t>
      </w:r>
    </w:p>
    <w:p w14:paraId="2A24AB96" w14:textId="77777777" w:rsidR="001B3BFE" w:rsidRPr="008A7087" w:rsidRDefault="001B3BFE" w:rsidP="008A7087">
      <w:pPr>
        <w:pStyle w:val="ListParagraph"/>
        <w:numPr>
          <w:ilvl w:val="0"/>
          <w:numId w:val="6"/>
        </w:numPr>
      </w:pPr>
      <w:r w:rsidRPr="008A7087">
        <w:t>More support was provided informally through family, friends and community</w:t>
      </w:r>
    </w:p>
    <w:p w14:paraId="5BD761A6" w14:textId="77777777" w:rsidR="001B3BFE" w:rsidRPr="008A7087" w:rsidRDefault="001B3BFE" w:rsidP="008A7087">
      <w:pPr>
        <w:pStyle w:val="ListParagraph"/>
        <w:numPr>
          <w:ilvl w:val="0"/>
          <w:numId w:val="6"/>
        </w:numPr>
      </w:pPr>
      <w:r w:rsidRPr="008A7087">
        <w:t>Supports being put in plans “just in case” they are required</w:t>
      </w:r>
    </w:p>
    <w:p w14:paraId="70C9F412" w14:textId="77777777" w:rsidR="001B3BFE" w:rsidRPr="008A7087" w:rsidRDefault="001B3BFE" w:rsidP="008A7087">
      <w:pPr>
        <w:pStyle w:val="ListParagraph"/>
        <w:numPr>
          <w:ilvl w:val="0"/>
          <w:numId w:val="6"/>
        </w:numPr>
      </w:pPr>
      <w:r w:rsidRPr="008A7087">
        <w:t>Participants needing more support to implement their plans</w:t>
      </w:r>
    </w:p>
    <w:p w14:paraId="0EA53D6B" w14:textId="77777777" w:rsidR="001B3BFE" w:rsidRPr="008A7087" w:rsidRDefault="001B3BFE" w:rsidP="008A7087">
      <w:pPr>
        <w:pStyle w:val="ListParagraph"/>
        <w:numPr>
          <w:ilvl w:val="0"/>
          <w:numId w:val="6"/>
        </w:numPr>
      </w:pPr>
      <w:r w:rsidRPr="008A7087">
        <w:t>Providers needing more support to claim for supports provided</w:t>
      </w:r>
    </w:p>
    <w:p w14:paraId="7431F47B" w14:textId="77777777" w:rsidR="001B3BFE" w:rsidRPr="008A7087" w:rsidRDefault="001B3BFE" w:rsidP="008A7087">
      <w:pPr>
        <w:pStyle w:val="ListParagraph"/>
        <w:numPr>
          <w:ilvl w:val="0"/>
          <w:numId w:val="6"/>
        </w:numPr>
      </w:pPr>
      <w:r w:rsidRPr="008A7087">
        <w:t>Supports being unavailable in the market.</w:t>
      </w:r>
    </w:p>
    <w:p w14:paraId="2CF10010" w14:textId="77777777" w:rsidR="008A7087" w:rsidRDefault="008A7087" w:rsidP="008A7087"/>
    <w:p w14:paraId="42BE81B9" w14:textId="3886F851" w:rsidR="008A7087" w:rsidRPr="008A7087" w:rsidRDefault="008A7087" w:rsidP="008A7087">
      <w:r w:rsidRPr="008A7087">
        <w:t>Significant insights can be drawn by understanding how utilisation differs from this national average (“the benchmark”) across service districts, participant cohorts, and support categories. In order to compare districts, the two biggest drivers of utilisation are accounted for in the national benchmark to allow like-for-like comparisons – these are:</w:t>
      </w:r>
    </w:p>
    <w:p w14:paraId="383A9B7E" w14:textId="77777777" w:rsidR="001B3BFE" w:rsidRPr="008A7087" w:rsidRDefault="001B3BFE" w:rsidP="008A7087">
      <w:pPr>
        <w:pStyle w:val="ListParagraph"/>
        <w:numPr>
          <w:ilvl w:val="0"/>
          <w:numId w:val="6"/>
        </w:numPr>
      </w:pPr>
      <w:r w:rsidRPr="008A7087">
        <w:t>Whether or not a participant is in supported independent living (SIL) – with participants in SIL utilising more of their plan compared with those not in SIL (83% compared to 60%)</w:t>
      </w:r>
    </w:p>
    <w:p w14:paraId="3B6C0C09" w14:textId="77777777" w:rsidR="001B3BFE" w:rsidRPr="008A7087" w:rsidRDefault="001B3BFE" w:rsidP="008A7087">
      <w:pPr>
        <w:pStyle w:val="ListParagraph"/>
        <w:numPr>
          <w:ilvl w:val="0"/>
          <w:numId w:val="6"/>
        </w:numPr>
      </w:pPr>
      <w:r w:rsidRPr="008A7087">
        <w:t>The amount of time the participant has been in the Scheme – the longer the participant is in the Scheme the more they utilise their plan (46% for participants on their first plan compared with 75% for participants on their fifth plan).</w:t>
      </w:r>
    </w:p>
    <w:p w14:paraId="1FF18A06" w14:textId="0482B230" w:rsidR="008A7087" w:rsidRDefault="008A7087" w:rsidP="008A7087">
      <w:r w:rsidRPr="008A7087">
        <w:t>Districts more than ten percentage points below or above the national benchmark indicate possible thin markets and markets that are doing relatively better than other districts. Some districts that differ substantially from the benchmark are analysed in more detail in this document, including looking at participant characteristics and support categories within the district.</w:t>
      </w:r>
    </w:p>
    <w:p w14:paraId="24FA9F79" w14:textId="3DC4BC19" w:rsidR="00DF3E18" w:rsidRDefault="00DF3E18" w:rsidP="008A7087"/>
    <w:p w14:paraId="3F70EE70" w14:textId="77777777" w:rsidR="00DF3E18" w:rsidRPr="008A7087" w:rsidRDefault="00DF3E18" w:rsidP="008A7087"/>
    <w:p w14:paraId="7298A296" w14:textId="2AF49847" w:rsidR="001C1D6B" w:rsidRPr="004A01CD" w:rsidRDefault="001C1D6B" w:rsidP="00C04369">
      <w:pPr>
        <w:pStyle w:val="Heading2"/>
      </w:pPr>
      <w:bookmarkStart w:id="16" w:name="_Toc67926998"/>
      <w:r w:rsidRPr="004A01CD">
        <w:lastRenderedPageBreak/>
        <w:t xml:space="preserve">Slide </w:t>
      </w:r>
      <w:r w:rsidR="00DF3E18">
        <w:t>9</w:t>
      </w:r>
      <w:r w:rsidRPr="004A01CD">
        <w:t xml:space="preserve">: </w:t>
      </w:r>
      <w:r w:rsidR="007C74D1" w:rsidRPr="004A01CD">
        <w:t>Key indicators for monitoring the NDIS market – market concentration</w:t>
      </w:r>
      <w:bookmarkEnd w:id="16"/>
    </w:p>
    <w:p w14:paraId="37747C18" w14:textId="77777777" w:rsidR="008A7087" w:rsidRPr="008A7087" w:rsidRDefault="008A7087" w:rsidP="008A7087">
      <w:pPr>
        <w:jc w:val="both"/>
        <w:rPr>
          <w:rFonts w:cs="Arial"/>
        </w:rPr>
      </w:pPr>
      <w:r w:rsidRPr="008A7087">
        <w:rPr>
          <w:rFonts w:cs="Arial"/>
        </w:rPr>
        <w:t>Understanding the distribution of payments to service providers in a district can indicate whether a small number of providers receive most of the payments from the NDIA, or whether a large number of providers are receiving the payments. The provider concentration metric is defined as the proportion of total provider payments made to the top ten providers that received the most payments in the exposure period.</w:t>
      </w:r>
    </w:p>
    <w:p w14:paraId="0AC96EC0" w14:textId="77777777" w:rsidR="008A7087" w:rsidRPr="008A7087" w:rsidRDefault="008A7087" w:rsidP="008A7087">
      <w:pPr>
        <w:jc w:val="both"/>
        <w:rPr>
          <w:rFonts w:cs="Arial"/>
        </w:rPr>
      </w:pPr>
      <w:r w:rsidRPr="008A7087">
        <w:rPr>
          <w:rFonts w:cs="Arial"/>
        </w:rPr>
        <w:t>A low provider concentration means that there is less risk in terms of the importance of a particular provider or group of providers to a district and a high provider concentration might suggest that there is insufficient competition in a district, and that further investment could be of benefit. Districts that have recently phased into the Scheme tend to have high concentration levels as providers are likely to still be entering the market.</w:t>
      </w:r>
    </w:p>
    <w:p w14:paraId="6CAA80E8" w14:textId="77777777" w:rsidR="008A7087" w:rsidRPr="008A7087" w:rsidRDefault="008A7087" w:rsidP="008A7087">
      <w:pPr>
        <w:jc w:val="both"/>
        <w:rPr>
          <w:rFonts w:cs="Arial"/>
        </w:rPr>
      </w:pPr>
      <w:r w:rsidRPr="008A7087">
        <w:rPr>
          <w:rFonts w:cs="Arial"/>
        </w:rPr>
        <w:t xml:space="preserve">Where only a small number of providers are receiving a large amount of the payments, the market is considered to be more concentrated and could mean that there is less competition in the district. On average across districts, 59% of payments go to the largest ten providers. </w:t>
      </w:r>
    </w:p>
    <w:p w14:paraId="64203738" w14:textId="77777777" w:rsidR="008A7087" w:rsidRPr="008A7087" w:rsidRDefault="008A7087" w:rsidP="008A7087">
      <w:pPr>
        <w:jc w:val="both"/>
        <w:rPr>
          <w:rFonts w:cs="Arial"/>
        </w:rPr>
      </w:pPr>
      <w:r w:rsidRPr="008A7087">
        <w:rPr>
          <w:rFonts w:cs="Arial"/>
        </w:rPr>
        <w:t xml:space="preserve">Note that when looking at market concentration, only the agency-managed part of the market was considered (which is approximately 56%). Participants with plan managers and participants who </w:t>
      </w:r>
      <w:proofErr w:type="spellStart"/>
      <w:r w:rsidRPr="008A7087">
        <w:rPr>
          <w:rFonts w:cs="Arial"/>
        </w:rPr>
        <w:t>self manage</w:t>
      </w:r>
      <w:proofErr w:type="spellEnd"/>
      <w:r w:rsidRPr="008A7087">
        <w:rPr>
          <w:rFonts w:cs="Arial"/>
        </w:rPr>
        <w:t xml:space="preserve"> are excluded, which leads to limitations with this measure.</w:t>
      </w:r>
    </w:p>
    <w:p w14:paraId="170117ED" w14:textId="2799DDF6" w:rsidR="001C1D6B" w:rsidRPr="004A01CD" w:rsidRDefault="001C1D6B" w:rsidP="001C1D6B">
      <w:pPr>
        <w:pStyle w:val="Heading2"/>
      </w:pPr>
      <w:bookmarkStart w:id="17" w:name="_Toc67926999"/>
      <w:r w:rsidRPr="004A01CD">
        <w:t xml:space="preserve">Slide </w:t>
      </w:r>
      <w:r w:rsidR="00DF3E18">
        <w:t>10</w:t>
      </w:r>
      <w:r w:rsidRPr="004A01CD">
        <w:t xml:space="preserve">: Key indicators for monitoring the NDIS market – </w:t>
      </w:r>
      <w:r w:rsidR="007C74D1" w:rsidRPr="004A01CD">
        <w:t>c</w:t>
      </w:r>
      <w:r w:rsidRPr="004A01CD">
        <w:t>hoice and control</w:t>
      </w:r>
      <w:bookmarkEnd w:id="17"/>
    </w:p>
    <w:p w14:paraId="14CFED77" w14:textId="77777777" w:rsidR="008A7087" w:rsidRPr="008A7087" w:rsidRDefault="008A7087" w:rsidP="008A7087">
      <w:pPr>
        <w:jc w:val="both"/>
        <w:rPr>
          <w:rFonts w:cs="Arial"/>
        </w:rPr>
      </w:pPr>
      <w:r w:rsidRPr="008A7087">
        <w:rPr>
          <w:rFonts w:cs="Arial"/>
        </w:rPr>
        <w:t>The NDIS outcomes framework survey looks into the proportion of participants reporting that they choose who supports them. This is determined for each district and measured against a national benchmark that takes into account the differences in the response rate arising from whether a participant receives SIL supports. Additionally, as a secondary measure, the survey also looks into the proportion of participants who report that the NDIS has helped with choice and control.</w:t>
      </w:r>
    </w:p>
    <w:p w14:paraId="07D5B198" w14:textId="77777777" w:rsidR="001B3BFE" w:rsidRPr="008A7087" w:rsidRDefault="001B3BFE" w:rsidP="008A7087">
      <w:pPr>
        <w:numPr>
          <w:ilvl w:val="0"/>
          <w:numId w:val="10"/>
        </w:numPr>
        <w:jc w:val="both"/>
        <w:rPr>
          <w:rFonts w:cs="Arial"/>
        </w:rPr>
      </w:pPr>
      <w:r w:rsidRPr="008A7087">
        <w:rPr>
          <w:rFonts w:cs="Arial"/>
        </w:rPr>
        <w:t xml:space="preserve">Nationally, 52% of participants aged 15 years and over indicated that they choose who supports them, and 72% indicated that the NDIS has helped with choice and control. </w:t>
      </w:r>
    </w:p>
    <w:p w14:paraId="2C0AD303" w14:textId="77777777" w:rsidR="001B3BFE" w:rsidRPr="008A7087" w:rsidRDefault="001B3BFE" w:rsidP="008A7087">
      <w:pPr>
        <w:numPr>
          <w:ilvl w:val="0"/>
          <w:numId w:val="10"/>
        </w:numPr>
        <w:jc w:val="both"/>
        <w:rPr>
          <w:rFonts w:cs="Arial"/>
        </w:rPr>
      </w:pPr>
      <w:r w:rsidRPr="008A7087">
        <w:rPr>
          <w:rFonts w:cs="Arial"/>
        </w:rPr>
        <w:t xml:space="preserve">Over time, it is expected that these percentages will increase – however, understanding how different districts, participant cohorts, and support categories differ from this national average (“the benchmark”) provides insight into potential hot spots where investment might be required to better support participants. </w:t>
      </w:r>
    </w:p>
    <w:p w14:paraId="24D68DCA" w14:textId="26502C07" w:rsidR="00C85B2C" w:rsidRPr="008A7087" w:rsidRDefault="001B3BFE" w:rsidP="008A7087">
      <w:pPr>
        <w:numPr>
          <w:ilvl w:val="0"/>
          <w:numId w:val="10"/>
        </w:numPr>
        <w:jc w:val="both"/>
        <w:rPr>
          <w:rFonts w:cs="Arial"/>
        </w:rPr>
      </w:pPr>
      <w:r w:rsidRPr="008A7087">
        <w:rPr>
          <w:rFonts w:cs="Arial"/>
        </w:rPr>
        <w:t>In particular, where districts are more than ten percentage points below or above this benchmark indicates possible thin markets and markets that are doing relatively better than other districts. Some districts that differ substantially from the benchmark are analysed in more detail in this document, including looking at participant characteristics and support categories within the district.</w:t>
      </w:r>
    </w:p>
    <w:p w14:paraId="4FBC62E8" w14:textId="25C076E9" w:rsidR="001C1D6B" w:rsidRPr="004A01CD" w:rsidRDefault="001C1D6B" w:rsidP="001C1D6B">
      <w:pPr>
        <w:pStyle w:val="Heading2"/>
      </w:pPr>
      <w:bookmarkStart w:id="18" w:name="_Toc67927000"/>
      <w:r w:rsidRPr="004A01CD">
        <w:t>Slide 1</w:t>
      </w:r>
      <w:r w:rsidR="00DF3E18">
        <w:t>1</w:t>
      </w:r>
      <w:r w:rsidRPr="004A01CD">
        <w:t xml:space="preserve">: </w:t>
      </w:r>
      <w:r w:rsidR="007C74D1" w:rsidRPr="004A01CD">
        <w:t>Summary of indicators across market segments</w:t>
      </w:r>
      <w:bookmarkEnd w:id="18"/>
    </w:p>
    <w:p w14:paraId="79DCA36B" w14:textId="77777777" w:rsidR="008A7087" w:rsidRPr="008A7087" w:rsidRDefault="008A7087" w:rsidP="008A7087">
      <w:pPr>
        <w:jc w:val="both"/>
      </w:pPr>
      <w:r w:rsidRPr="008A7087">
        <w:t>The key indicators have been calculated over the period from 1 April 2020 to 30 September 2020, using data available as at 31 December 2020, and are presented by:</w:t>
      </w:r>
    </w:p>
    <w:p w14:paraId="7F36AA3A" w14:textId="727F2972" w:rsidR="003237EE" w:rsidRPr="004A01CD" w:rsidRDefault="003237EE" w:rsidP="008A7087">
      <w:pPr>
        <w:numPr>
          <w:ilvl w:val="0"/>
          <w:numId w:val="2"/>
        </w:numPr>
        <w:jc w:val="both"/>
      </w:pPr>
      <w:r w:rsidRPr="004A01CD">
        <w:t xml:space="preserve">Geographical </w:t>
      </w:r>
      <w:r w:rsidR="00265C2C">
        <w:t>district</w:t>
      </w:r>
    </w:p>
    <w:p w14:paraId="6F2D7CDC" w14:textId="77777777" w:rsidR="003237EE" w:rsidRPr="004A01CD" w:rsidRDefault="003237EE" w:rsidP="008A7087">
      <w:pPr>
        <w:numPr>
          <w:ilvl w:val="0"/>
          <w:numId w:val="2"/>
        </w:numPr>
        <w:jc w:val="both"/>
      </w:pPr>
      <w:r w:rsidRPr="004A01CD">
        <w:t>Support category</w:t>
      </w:r>
    </w:p>
    <w:p w14:paraId="3F1C05A0" w14:textId="77777777" w:rsidR="003237EE" w:rsidRPr="004A01CD" w:rsidRDefault="003237EE" w:rsidP="008A7087">
      <w:pPr>
        <w:numPr>
          <w:ilvl w:val="0"/>
          <w:numId w:val="2"/>
        </w:numPr>
        <w:jc w:val="both"/>
      </w:pPr>
      <w:r w:rsidRPr="004A01CD">
        <w:lastRenderedPageBreak/>
        <w:t xml:space="preserve">Participant characteristics, including age, primary disability type, level of function, remoteness, Indigenous status and culturally and linguistically diverse (CALD) status </w:t>
      </w:r>
    </w:p>
    <w:p w14:paraId="6EDAD26B" w14:textId="476EEE86" w:rsidR="008A7087" w:rsidRPr="008A7087" w:rsidRDefault="008A7087" w:rsidP="008A7087">
      <w:pPr>
        <w:jc w:val="both"/>
      </w:pPr>
      <w:r w:rsidRPr="008A7087">
        <w:t xml:space="preserve">On the dashboards (which can be downloaded from </w:t>
      </w:r>
      <w:hyperlink r:id="rId11" w:history="1">
        <w:r w:rsidRPr="008A7087">
          <w:rPr>
            <w:rStyle w:val="Hyperlink"/>
          </w:rPr>
          <w:t>data.ndis.gov.au</w:t>
        </w:r>
      </w:hyperlink>
      <w:r>
        <w:t xml:space="preserve"> </w:t>
      </w:r>
      <w:r w:rsidRPr="008A7087">
        <w:t>website</w:t>
      </w:r>
      <w:r>
        <w:t xml:space="preserve"> (Note: </w:t>
      </w:r>
      <w:r w:rsidR="001B3BFE" w:rsidRPr="008A7087">
        <w:t xml:space="preserve">The market reports can be found in </w:t>
      </w:r>
      <w:hyperlink r:id="rId12" w:history="1">
        <w:r w:rsidR="001B3BFE" w:rsidRPr="008A7087">
          <w:t>https://</w:t>
        </w:r>
      </w:hyperlink>
      <w:hyperlink r:id="rId13" w:history="1">
        <w:r w:rsidR="001B3BFE" w:rsidRPr="008A7087">
          <w:t>data.ndis.gov.au/reports-and-analyses/market-monitoring</w:t>
        </w:r>
      </w:hyperlink>
      <w:r w:rsidR="001B3BFE" w:rsidRPr="008A7087">
        <w:t xml:space="preserve"> under Dashboards.</w:t>
      </w:r>
      <w:r>
        <w:t>) T</w:t>
      </w:r>
      <w:r w:rsidRPr="008A7087">
        <w:t xml:space="preserve">he indicators are presented both including and excluding participants in supported independent living (SIL). </w:t>
      </w:r>
    </w:p>
    <w:p w14:paraId="6482BCF7" w14:textId="70B70A0C" w:rsidR="00BF752C" w:rsidRPr="004A01CD" w:rsidRDefault="00BF752C" w:rsidP="00BF752C">
      <w:pPr>
        <w:jc w:val="both"/>
      </w:pPr>
      <w:r w:rsidRPr="004A01CD">
        <w:t>Definitions of the key indicators are as follows:</w:t>
      </w:r>
    </w:p>
    <w:p w14:paraId="7A727B09" w14:textId="21E82117" w:rsidR="00BF752C" w:rsidRPr="004A01CD" w:rsidRDefault="00BF752C" w:rsidP="00BF752C">
      <w:pPr>
        <w:jc w:val="both"/>
      </w:pPr>
      <w:r w:rsidRPr="004A01CD">
        <w:t>Plan utilisation: Payments as a proportion of total plan budgets (or supports committed) for the period</w:t>
      </w:r>
    </w:p>
    <w:p w14:paraId="614A39E8" w14:textId="0D65AA29" w:rsidR="00BF752C" w:rsidRPr="004A01CD" w:rsidRDefault="00BF752C" w:rsidP="00BF752C">
      <w:pPr>
        <w:jc w:val="both"/>
      </w:pPr>
      <w:r w:rsidRPr="004A01CD">
        <w:t xml:space="preserve">Provider concentration: Proportion of </w:t>
      </w:r>
      <w:r w:rsidR="005F7C16" w:rsidRPr="004A01CD">
        <w:t>total</w:t>
      </w:r>
      <w:r w:rsidRPr="004A01CD">
        <w:t xml:space="preserve"> provider payments that were paid to the ten providers that received the most payments</w:t>
      </w:r>
    </w:p>
    <w:p w14:paraId="6A0D571F" w14:textId="43BA9A9B" w:rsidR="00BF752C" w:rsidRPr="004A01CD" w:rsidRDefault="00BF752C" w:rsidP="00BF752C">
      <w:pPr>
        <w:jc w:val="both"/>
      </w:pPr>
      <w:r w:rsidRPr="004A01CD">
        <w:t xml:space="preserve">Choice and control: Proportion of </w:t>
      </w:r>
      <w:r w:rsidR="005F7C16" w:rsidRPr="004A01CD">
        <w:t>participants</w:t>
      </w:r>
      <w:r w:rsidRPr="004A01CD">
        <w:t xml:space="preserve"> who report that they choose who supports them and that the NDIA helps with choice and control</w:t>
      </w:r>
    </w:p>
    <w:p w14:paraId="7F3130A2" w14:textId="0249EF93" w:rsidR="00BF752C" w:rsidRPr="004A01CD" w:rsidRDefault="00BF752C" w:rsidP="00BF752C">
      <w:pPr>
        <w:jc w:val="both"/>
      </w:pPr>
      <w:r w:rsidRPr="004A01CD">
        <w:t xml:space="preserve">An appropriate benchmark is also presented for each indicator and market segments. Note: the benchmark represents the </w:t>
      </w:r>
      <w:r w:rsidR="001B05D2" w:rsidRPr="004A01CD">
        <w:t>national</w:t>
      </w:r>
      <w:r w:rsidRPr="004A01CD">
        <w:t xml:space="preserve"> average, and for some indicators, is adjusted for the mix of participants within the market being analysed. </w:t>
      </w:r>
    </w:p>
    <w:p w14:paraId="41E56654" w14:textId="5553DD2B" w:rsidR="00B65202" w:rsidRPr="004A01CD" w:rsidRDefault="00B65202" w:rsidP="00B65202">
      <w:pPr>
        <w:pStyle w:val="Heading2"/>
      </w:pPr>
      <w:bookmarkStart w:id="19" w:name="_Toc67927001"/>
      <w:r w:rsidRPr="004A01CD">
        <w:t>Slide 1</w:t>
      </w:r>
      <w:r w:rsidR="00DF3E18">
        <w:t>2</w:t>
      </w:r>
      <w:r w:rsidRPr="004A01CD">
        <w:t xml:space="preserve">: </w:t>
      </w:r>
      <w:r w:rsidR="008A7087" w:rsidRPr="008A7087">
        <w:t>Each of the service districts has been allocated into one of three categories (based on size of total plan budgets) to allow for a fairer comparison of the indicators across districts</w:t>
      </w:r>
      <w:bookmarkEnd w:id="19"/>
    </w:p>
    <w:p w14:paraId="37069241" w14:textId="77777777" w:rsidR="008A7087" w:rsidRPr="008A7087" w:rsidRDefault="008A7087" w:rsidP="008A7087">
      <w:r w:rsidRPr="008A7087">
        <w:t xml:space="preserve">Prior analysis indicates that key indicators at the service district level may be correlated to the size of the particular service district (for example, provider concentration was generally higher for smaller districts). </w:t>
      </w:r>
    </w:p>
    <w:p w14:paraId="6E5A7F17" w14:textId="77777777" w:rsidR="008A7087" w:rsidRPr="008A7087" w:rsidRDefault="008A7087" w:rsidP="008A7087">
      <w:r w:rsidRPr="008A7087">
        <w:t>To mitigate this effect, each service district has been allocated into one of three categories for comparison against other districts of similar size. The categories have been defined by the value of total plan budgets over the period from 1 April 2020 to 30 September 20201. The three categories are:</w:t>
      </w:r>
    </w:p>
    <w:p w14:paraId="20CA9689" w14:textId="77777777" w:rsidR="008A7087" w:rsidRPr="008A7087" w:rsidRDefault="008A7087" w:rsidP="008A7087">
      <w:pPr>
        <w:numPr>
          <w:ilvl w:val="0"/>
          <w:numId w:val="3"/>
        </w:numPr>
      </w:pPr>
      <w:r w:rsidRPr="008A7087">
        <w:t>Less than $100m in total plan budgets</w:t>
      </w:r>
    </w:p>
    <w:p w14:paraId="16FDBEF1" w14:textId="77777777" w:rsidR="008A7087" w:rsidRPr="008A7087" w:rsidRDefault="008A7087" w:rsidP="008A7087">
      <w:pPr>
        <w:numPr>
          <w:ilvl w:val="0"/>
          <w:numId w:val="3"/>
        </w:numPr>
      </w:pPr>
      <w:r w:rsidRPr="008A7087">
        <w:t>$100m to $225m in total plan budgets</w:t>
      </w:r>
    </w:p>
    <w:p w14:paraId="1F92EDBB" w14:textId="77777777" w:rsidR="008A7087" w:rsidRPr="008A7087" w:rsidRDefault="008A7087" w:rsidP="008A7087">
      <w:pPr>
        <w:numPr>
          <w:ilvl w:val="0"/>
          <w:numId w:val="3"/>
        </w:numPr>
      </w:pPr>
      <w:r w:rsidRPr="008A7087">
        <w:t>Greater than $225m in total plan budgets</w:t>
      </w:r>
    </w:p>
    <w:p w14:paraId="37E6A247" w14:textId="62B6F207" w:rsidR="008A7087" w:rsidRPr="004A01CD" w:rsidRDefault="008A7087" w:rsidP="008A7087">
      <w:pPr>
        <w:pStyle w:val="ListParagraph"/>
        <w:numPr>
          <w:ilvl w:val="0"/>
          <w:numId w:val="3"/>
        </w:numPr>
      </w:pPr>
      <w:r w:rsidRPr="008A7087">
        <w:t>The chart on the right shows the number and proportion of service districts that have been allocated to each category</w:t>
      </w:r>
    </w:p>
    <w:p w14:paraId="2D5BFA4C" w14:textId="77FD2D0A" w:rsidR="00461D91" w:rsidRDefault="00461D91" w:rsidP="00461D91">
      <w:r w:rsidRPr="004A01CD">
        <w:t xml:space="preserve">A chart shows the number and proportion of </w:t>
      </w:r>
      <w:r w:rsidR="00265C2C">
        <w:t>service district</w:t>
      </w:r>
      <w:r w:rsidRPr="004A01CD">
        <w:t>s that have been allocated to each category. 2</w:t>
      </w:r>
      <w:r w:rsidR="00C04369">
        <w:t>8</w:t>
      </w:r>
      <w:r w:rsidRPr="004A01CD">
        <w:t xml:space="preserve"> (3</w:t>
      </w:r>
      <w:r w:rsidR="00C04369">
        <w:t>5</w:t>
      </w:r>
      <w:r w:rsidRPr="004A01CD">
        <w:t xml:space="preserve">%) </w:t>
      </w:r>
      <w:r w:rsidR="00265C2C">
        <w:t>service district</w:t>
      </w:r>
      <w:r w:rsidRPr="004A01CD">
        <w:t>s have less than $</w:t>
      </w:r>
      <w:r w:rsidR="008A7087">
        <w:t>100</w:t>
      </w:r>
      <w:r w:rsidRPr="004A01CD">
        <w:t xml:space="preserve"> m</w:t>
      </w:r>
      <w:r w:rsidR="00C04369">
        <w:t>illion in total plan budgets, 2</w:t>
      </w:r>
      <w:r w:rsidR="008A7087">
        <w:t>7</w:t>
      </w:r>
      <w:r w:rsidRPr="004A01CD">
        <w:t xml:space="preserve"> (</w:t>
      </w:r>
      <w:r w:rsidR="008A7087">
        <w:t>34</w:t>
      </w:r>
      <w:r w:rsidRPr="004A01CD">
        <w:t>%) have between $</w:t>
      </w:r>
      <w:r w:rsidR="008A7087">
        <w:t>100</w:t>
      </w:r>
      <w:r w:rsidRPr="004A01CD">
        <w:t xml:space="preserve"> </w:t>
      </w:r>
      <w:r w:rsidR="00C04369">
        <w:t>million and $</w:t>
      </w:r>
      <w:r w:rsidR="008A7087">
        <w:t>22</w:t>
      </w:r>
      <w:r w:rsidR="00C04369">
        <w:t xml:space="preserve">5 million, and </w:t>
      </w:r>
      <w:r w:rsidR="008A7087">
        <w:t>25</w:t>
      </w:r>
      <w:r w:rsidRPr="004A01CD">
        <w:t xml:space="preserve"> (3</w:t>
      </w:r>
      <w:r w:rsidR="008A7087">
        <w:t>1</w:t>
      </w:r>
      <w:r w:rsidRPr="004A01CD">
        <w:t>%) have more than $</w:t>
      </w:r>
      <w:r w:rsidR="008A7087">
        <w:t>22</w:t>
      </w:r>
      <w:r w:rsidR="00C04369">
        <w:t>5</w:t>
      </w:r>
      <w:r w:rsidRPr="004A01CD">
        <w:t xml:space="preserve"> million.</w:t>
      </w:r>
    </w:p>
    <w:p w14:paraId="2E37E5A0" w14:textId="437DC4C1" w:rsidR="00C04369" w:rsidRDefault="00D0656B" w:rsidP="00C04369">
      <w:r w:rsidRPr="00D0656B">
        <w:t>Note that in the June 2020 report, the category thresholds were $75m and $175m. Over time districts grow as more participants enter the Scheme, necessitating a periodic redefinition of the total plan budget categories.</w:t>
      </w:r>
    </w:p>
    <w:p w14:paraId="4AF1F262" w14:textId="77777777" w:rsidR="00DF3E18" w:rsidRPr="00D0656B" w:rsidRDefault="00DF3E18" w:rsidP="00C04369"/>
    <w:p w14:paraId="3859EB15" w14:textId="1DD65B6A" w:rsidR="00B65202" w:rsidRPr="004A01CD" w:rsidRDefault="00B65202" w:rsidP="00B65202">
      <w:pPr>
        <w:pStyle w:val="Heading2"/>
      </w:pPr>
      <w:bookmarkStart w:id="20" w:name="_Toc67927002"/>
      <w:r w:rsidRPr="004A01CD">
        <w:lastRenderedPageBreak/>
        <w:t>Slide 1</w:t>
      </w:r>
      <w:r w:rsidR="00DF3E18">
        <w:t>3</w:t>
      </w:r>
      <w:r w:rsidRPr="004A01CD">
        <w:t>:</w:t>
      </w:r>
      <w:r w:rsidR="003237EE" w:rsidRPr="004A01CD">
        <w:t xml:space="preserve"> 02 Key Insights covering the period from </w:t>
      </w:r>
      <w:r w:rsidR="00D0656B">
        <w:t>April 2020 to September 2020</w:t>
      </w:r>
      <w:bookmarkEnd w:id="20"/>
    </w:p>
    <w:p w14:paraId="5335F8A9" w14:textId="36B5B88D" w:rsidR="00C85B2C" w:rsidRPr="004A01CD" w:rsidRDefault="003237EE" w:rsidP="003237EE">
      <w:pPr>
        <w:jc w:val="both"/>
        <w:rPr>
          <w:rFonts w:cs="Arial"/>
        </w:rPr>
      </w:pPr>
      <w:r w:rsidRPr="004A01CD">
        <w:rPr>
          <w:rFonts w:cs="Arial"/>
        </w:rPr>
        <w:t>Slides 1</w:t>
      </w:r>
      <w:r w:rsidR="00D0656B">
        <w:rPr>
          <w:rFonts w:cs="Arial"/>
        </w:rPr>
        <w:t>2</w:t>
      </w:r>
      <w:r w:rsidRPr="004A01CD">
        <w:rPr>
          <w:rFonts w:cs="Arial"/>
        </w:rPr>
        <w:t xml:space="preserve"> to 3</w:t>
      </w:r>
      <w:r w:rsidR="00BA6971">
        <w:rPr>
          <w:rFonts w:cs="Arial"/>
        </w:rPr>
        <w:t>2</w:t>
      </w:r>
      <w:r w:rsidRPr="004A01CD">
        <w:rPr>
          <w:rFonts w:cs="Arial"/>
        </w:rPr>
        <w:t xml:space="preserve"> present key insights covering the period from </w:t>
      </w:r>
      <w:r w:rsidR="00D0656B">
        <w:rPr>
          <w:rFonts w:cs="Arial"/>
        </w:rPr>
        <w:t>April 2020</w:t>
      </w:r>
      <w:r w:rsidRPr="004A01CD">
        <w:rPr>
          <w:rFonts w:cs="Arial"/>
        </w:rPr>
        <w:t xml:space="preserve"> to </w:t>
      </w:r>
      <w:r w:rsidR="00D0656B">
        <w:rPr>
          <w:rFonts w:cs="Arial"/>
        </w:rPr>
        <w:t>September 2020</w:t>
      </w:r>
    </w:p>
    <w:p w14:paraId="46DC0EC9" w14:textId="129F2A80" w:rsidR="00D8006B" w:rsidRPr="004A01CD" w:rsidRDefault="0005284D" w:rsidP="00D8006B">
      <w:pPr>
        <w:pStyle w:val="Heading2"/>
      </w:pPr>
      <w:bookmarkStart w:id="21" w:name="_Toc67927003"/>
      <w:r>
        <w:t>Slide 1</w:t>
      </w:r>
      <w:r w:rsidR="00DF3E18">
        <w:t>4</w:t>
      </w:r>
      <w:r w:rsidR="00D8006B" w:rsidRPr="004A01CD">
        <w:t xml:space="preserve">: </w:t>
      </w:r>
      <w:r w:rsidR="003237EE" w:rsidRPr="004A01CD">
        <w:t xml:space="preserve">Analysis of utilisation against the </w:t>
      </w:r>
      <w:r w:rsidR="00265C2C">
        <w:t>district</w:t>
      </w:r>
      <w:r w:rsidR="003237EE" w:rsidRPr="004A01CD">
        <w:t>s ordered by budget size indicates some positive correlation</w:t>
      </w:r>
      <w:bookmarkEnd w:id="21"/>
    </w:p>
    <w:p w14:paraId="67CAAF01" w14:textId="51F062F2" w:rsidR="00C53F79" w:rsidRPr="004A01CD" w:rsidRDefault="00F5157E" w:rsidP="00C53F79">
      <w:pPr>
        <w:jc w:val="both"/>
        <w:rPr>
          <w:rFonts w:cs="Arial"/>
          <w:b/>
          <w:bCs/>
        </w:rPr>
      </w:pPr>
      <w:r w:rsidRPr="00F5157E">
        <w:rPr>
          <w:rFonts w:cs="Arial"/>
          <w:b/>
          <w:bCs/>
        </w:rPr>
        <w:t>Ordering districts by budget size indicates that larger districts tend to have higher utilisation rates.</w:t>
      </w:r>
    </w:p>
    <w:p w14:paraId="6BC0FB19" w14:textId="01A4899F" w:rsidR="00C53F79" w:rsidRPr="004A01CD" w:rsidRDefault="00C53F79" w:rsidP="00C53F79">
      <w:pPr>
        <w:jc w:val="both"/>
        <w:rPr>
          <w:rFonts w:cs="Arial"/>
        </w:rPr>
      </w:pPr>
      <w:r w:rsidRPr="004A01CD">
        <w:rPr>
          <w:rFonts w:cs="Arial"/>
          <w:bCs/>
        </w:rPr>
        <w:t xml:space="preserve">A chart shows plan utilisation by </w:t>
      </w:r>
      <w:r w:rsidR="00265C2C">
        <w:rPr>
          <w:rFonts w:cs="Arial"/>
          <w:bCs/>
        </w:rPr>
        <w:t>service district</w:t>
      </w:r>
      <w:r w:rsidRPr="004A01CD">
        <w:rPr>
          <w:rFonts w:cs="Arial"/>
          <w:bCs/>
        </w:rPr>
        <w:t xml:space="preserve">. The </w:t>
      </w:r>
      <w:r w:rsidR="00265C2C">
        <w:rPr>
          <w:rFonts w:cs="Arial"/>
          <w:bCs/>
        </w:rPr>
        <w:t>district</w:t>
      </w:r>
      <w:r w:rsidRPr="004A01CD">
        <w:rPr>
          <w:rFonts w:cs="Arial"/>
          <w:bCs/>
        </w:rPr>
        <w:t xml:space="preserve">s are ordered by budget size, showing a pattern of some positive correlation or total budget size with utilisation. Utilisation increases from approximately 50% for the smallest </w:t>
      </w:r>
      <w:r w:rsidR="00265C2C">
        <w:rPr>
          <w:rFonts w:cs="Arial"/>
          <w:bCs/>
        </w:rPr>
        <w:t>district</w:t>
      </w:r>
      <w:r w:rsidRPr="004A01CD">
        <w:rPr>
          <w:rFonts w:cs="Arial"/>
          <w:bCs/>
        </w:rPr>
        <w:t>s to around 70% for largest.</w:t>
      </w:r>
    </w:p>
    <w:p w14:paraId="757B237C" w14:textId="287F3A36" w:rsidR="00C53F79" w:rsidRPr="004A01CD" w:rsidRDefault="00C53F79" w:rsidP="00F5157E">
      <w:pPr>
        <w:rPr>
          <w:rFonts w:cs="Arial"/>
        </w:rPr>
      </w:pPr>
      <w:r w:rsidRPr="004A01CD">
        <w:rPr>
          <w:rFonts w:cs="Arial"/>
        </w:rPr>
        <w:t xml:space="preserve">Note: </w:t>
      </w:r>
      <w:r w:rsidR="00F5157E" w:rsidRPr="00F5157E">
        <w:rPr>
          <w:rFonts w:cs="Arial"/>
        </w:rPr>
        <w:t>The correlation coefficient is 0.51. A correlation coefficient above zero indicates that there is a positive relationship between size and utilisation rates – i.e. as budget size increases, so do utilisation rates for a district. The size of the co-efficient (between zero and one) indicates the strength of the relationship. A coefficient of 0.51 indicates a relationship, but the relationship is not overly strong.</w:t>
      </w:r>
    </w:p>
    <w:p w14:paraId="4BD4E24A" w14:textId="3A6F267F" w:rsidR="004D0FA0" w:rsidRPr="004A01CD" w:rsidRDefault="004D0FA0" w:rsidP="003A7B01">
      <w:pPr>
        <w:pStyle w:val="Heading2"/>
      </w:pPr>
      <w:bookmarkStart w:id="22" w:name="_Toc67927004"/>
      <w:r w:rsidRPr="004A01CD">
        <w:t xml:space="preserve">Slide </w:t>
      </w:r>
      <w:r w:rsidR="00DF3E18">
        <w:t>15</w:t>
      </w:r>
      <w:r w:rsidRPr="004A01CD">
        <w:t xml:space="preserve">: </w:t>
      </w:r>
      <w:r w:rsidR="00F5157E" w:rsidRPr="00F5157E">
        <w:t>Plan utilisation was more than 10% below the benchmark for eight service districts</w:t>
      </w:r>
      <w:bookmarkEnd w:id="22"/>
    </w:p>
    <w:p w14:paraId="3516B71E" w14:textId="713D4462" w:rsidR="00F5157E" w:rsidRPr="00F5157E" w:rsidRDefault="00F5157E" w:rsidP="00F5157E">
      <w:r>
        <w:t>A chart</w:t>
      </w:r>
      <w:r w:rsidRPr="00F5157E">
        <w:t xml:space="preserve"> shows the distribution of the gap between the plan utilisation indicator and the benchmark, for each of the 80 service districts. </w:t>
      </w:r>
    </w:p>
    <w:p w14:paraId="437BC9D9" w14:textId="77777777" w:rsidR="00F5157E" w:rsidRPr="00F5157E" w:rsidRDefault="00F5157E" w:rsidP="00F5157E">
      <w:r w:rsidRPr="00F5157E">
        <w:t>The benchmark represents the national average, adjusted for the mix of participants receiving SIL supports and the number of plans each participant has received.</w:t>
      </w:r>
    </w:p>
    <w:p w14:paraId="7EFB5C66" w14:textId="1AE30F6A" w:rsidR="00F5157E" w:rsidRPr="00F5157E" w:rsidRDefault="00F5157E" w:rsidP="00F5157E">
      <w:r>
        <w:t>The chart shows</w:t>
      </w:r>
      <w:r w:rsidRPr="00F5157E">
        <w:t xml:space="preserve"> 2 districts had </w:t>
      </w:r>
      <w:proofErr w:type="gramStart"/>
      <w:r w:rsidRPr="00F5157E">
        <w:t>a</w:t>
      </w:r>
      <w:proofErr w:type="gramEnd"/>
      <w:r w:rsidRPr="00F5157E">
        <w:t xml:space="preserve"> utilisation rate that was 5 to 10% greater than their benchmark, whereas 8 districts had a utilisation rate more than 10% lower than their benchmark.</w:t>
      </w:r>
    </w:p>
    <w:p w14:paraId="0C14BBB4" w14:textId="35A417FD" w:rsidR="00F5157E" w:rsidRDefault="00F5157E" w:rsidP="00F5157E">
      <w:r w:rsidRPr="00F5157E">
        <w:t>The majority (72.5%) of districts are within 5 percentage points of their benchmark.</w:t>
      </w:r>
    </w:p>
    <w:p w14:paraId="73392245" w14:textId="1309AB71" w:rsidR="00622AC9" w:rsidRDefault="00622AC9" w:rsidP="00F5157E">
      <w:pPr>
        <w:rPr>
          <w:bCs/>
        </w:rPr>
      </w:pPr>
      <w:r>
        <w:t>Note 1:</w:t>
      </w:r>
      <w:r w:rsidRPr="00F5157E">
        <w:t xml:space="preserve"> </w:t>
      </w:r>
      <w:r w:rsidRPr="00622AC9">
        <w:rPr>
          <w:bCs/>
        </w:rPr>
        <w:t>Calculated over the period from 1 April 2020 to 30 September 2020, using data available as at 31 December 2020</w:t>
      </w:r>
    </w:p>
    <w:p w14:paraId="044E9AA9" w14:textId="0BE59334" w:rsidR="00622AC9" w:rsidRPr="00F5157E" w:rsidRDefault="00622AC9" w:rsidP="00622AC9">
      <w:r>
        <w:t>Note 2:</w:t>
      </w:r>
      <w:r w:rsidRPr="00F5157E">
        <w:t xml:space="preserve"> </w:t>
      </w:r>
      <w:r>
        <w:rPr>
          <w:bCs/>
        </w:rPr>
        <w:t xml:space="preserve">Further detail on </w:t>
      </w:r>
      <w:r w:rsidRPr="00622AC9">
        <w:rPr>
          <w:bCs/>
        </w:rPr>
        <w:t>benchmarks is provided in Appendix B</w:t>
      </w:r>
    </w:p>
    <w:p w14:paraId="42428F56" w14:textId="16E4CDB5" w:rsidR="00A207B5" w:rsidRPr="004A01CD" w:rsidRDefault="00DF3E18" w:rsidP="00A207B5">
      <w:pPr>
        <w:pStyle w:val="Heading2"/>
      </w:pPr>
      <w:bookmarkStart w:id="23" w:name="_Toc67927005"/>
      <w:r>
        <w:t>Slide 16</w:t>
      </w:r>
      <w:r w:rsidR="00A207B5" w:rsidRPr="004A01CD">
        <w:t xml:space="preserve">: </w:t>
      </w:r>
      <w:r w:rsidR="00F07A6E" w:rsidRPr="00F07A6E">
        <w:t>The majority of districts more than 5% below the national average benchmark have annualised plan budgets of less than $100m</w:t>
      </w:r>
      <w:bookmarkEnd w:id="23"/>
    </w:p>
    <w:p w14:paraId="0E81BC5F" w14:textId="47A8FBB2" w:rsidR="00A207B5" w:rsidRPr="004A01CD" w:rsidRDefault="00436207" w:rsidP="00A207B5">
      <w:r>
        <w:t xml:space="preserve">The </w:t>
      </w:r>
      <w:r w:rsidR="00F3166D">
        <w:t>top</w:t>
      </w:r>
      <w:r w:rsidR="00A207B5" w:rsidRPr="004A01CD">
        <w:t xml:space="preserve"> table shows a list of the e</w:t>
      </w:r>
      <w:r w:rsidR="00F3166D">
        <w:t>ight</w:t>
      </w:r>
      <w:r w:rsidR="00A207B5" w:rsidRPr="004A01CD">
        <w:t xml:space="preserve"> </w:t>
      </w:r>
      <w:r w:rsidR="00265C2C">
        <w:t>district</w:t>
      </w:r>
      <w:r w:rsidR="00A207B5" w:rsidRPr="004A01CD">
        <w:t>s that were between</w:t>
      </w:r>
      <w:r w:rsidR="00FA6BA8">
        <w:t xml:space="preserve"> five </w:t>
      </w:r>
      <w:r w:rsidR="00A207B5" w:rsidRPr="004A01CD">
        <w:t>and</w:t>
      </w:r>
      <w:r w:rsidR="00FA6BA8">
        <w:t xml:space="preserve"> ten </w:t>
      </w:r>
      <w:r w:rsidR="00A207B5" w:rsidRPr="004A01CD">
        <w:t xml:space="preserve">percentage points below national average (benchmark). Note: ‘National average’ on this context refers to the benchmark used for that </w:t>
      </w:r>
      <w:r w:rsidR="00265C2C">
        <w:t>district</w:t>
      </w:r>
      <w:r w:rsidR="00A207B5" w:rsidRPr="004A01CD">
        <w:t xml:space="preserve"> – which is the national average utilisation rate adjusted to reflect SIL category and plan number profile of the </w:t>
      </w:r>
      <w:r w:rsidR="00265C2C">
        <w:t>district</w:t>
      </w:r>
      <w:r w:rsidR="00A207B5" w:rsidRPr="004A01CD">
        <w:t xml:space="preserve"> in question.</w:t>
      </w:r>
    </w:p>
    <w:p w14:paraId="22245218" w14:textId="550ACE1E" w:rsidR="00A207B5" w:rsidRPr="004A01CD" w:rsidRDefault="00A207B5" w:rsidP="00A207B5">
      <w:r w:rsidRPr="004A01CD">
        <w:t xml:space="preserve">The </w:t>
      </w:r>
      <w:r w:rsidR="00265C2C">
        <w:t>district</w:t>
      </w:r>
      <w:r w:rsidRPr="004A01CD">
        <w:t>s are:</w:t>
      </w:r>
    </w:p>
    <w:p w14:paraId="25E70DDD" w14:textId="5C0B6E2C" w:rsidR="00F3166D" w:rsidRDefault="00F07A6E" w:rsidP="008A7087">
      <w:pPr>
        <w:pStyle w:val="ListParagraph"/>
        <w:numPr>
          <w:ilvl w:val="0"/>
          <w:numId w:val="4"/>
        </w:numPr>
      </w:pPr>
      <w:r>
        <w:t>Far West</w:t>
      </w:r>
      <w:r w:rsidR="00F3166D" w:rsidRPr="004A01CD">
        <w:t xml:space="preserve"> (</w:t>
      </w:r>
      <w:r>
        <w:t>NSW</w:t>
      </w:r>
      <w:r w:rsidR="00F3166D" w:rsidRPr="004A01CD">
        <w:t xml:space="preserve">) with utilisation of </w:t>
      </w:r>
      <w:r>
        <w:t>56</w:t>
      </w:r>
      <w:r w:rsidR="00F3166D" w:rsidRPr="004A01CD">
        <w:t xml:space="preserve">%, compared to a benchmark of </w:t>
      </w:r>
      <w:r>
        <w:t>66</w:t>
      </w:r>
      <w:r w:rsidR="00F3166D" w:rsidRPr="004A01CD">
        <w:t>%</w:t>
      </w:r>
    </w:p>
    <w:p w14:paraId="2F7ACACC" w14:textId="5A98CF4E" w:rsidR="00F3166D" w:rsidRDefault="00F07A6E" w:rsidP="008A7087">
      <w:pPr>
        <w:pStyle w:val="ListParagraph"/>
        <w:numPr>
          <w:ilvl w:val="0"/>
          <w:numId w:val="4"/>
        </w:numPr>
      </w:pPr>
      <w:proofErr w:type="spellStart"/>
      <w:r>
        <w:t>Goulbum</w:t>
      </w:r>
      <w:proofErr w:type="spellEnd"/>
      <w:r w:rsidR="00F3166D">
        <w:t xml:space="preserve"> (</w:t>
      </w:r>
      <w:r>
        <w:t>VIC)</w:t>
      </w:r>
      <w:r w:rsidR="00F3166D">
        <w:t xml:space="preserve"> with utilisation of </w:t>
      </w:r>
      <w:r>
        <w:t>54%</w:t>
      </w:r>
      <w:r w:rsidR="00F3166D">
        <w:t xml:space="preserve">, compared to a benchmark of </w:t>
      </w:r>
      <w:r>
        <w:t>62</w:t>
      </w:r>
      <w:r w:rsidR="00F3166D">
        <w:t>%</w:t>
      </w:r>
    </w:p>
    <w:p w14:paraId="09C880DC" w14:textId="3CECA6DE" w:rsidR="00F3166D" w:rsidRPr="004A01CD" w:rsidRDefault="00F07A6E" w:rsidP="008A7087">
      <w:pPr>
        <w:pStyle w:val="ListParagraph"/>
        <w:numPr>
          <w:ilvl w:val="0"/>
          <w:numId w:val="4"/>
        </w:numPr>
      </w:pPr>
      <w:r>
        <w:lastRenderedPageBreak/>
        <w:t>Central Highlands</w:t>
      </w:r>
      <w:r w:rsidR="00F3166D" w:rsidRPr="004A01CD">
        <w:t xml:space="preserve"> (</w:t>
      </w:r>
      <w:r>
        <w:t>VIC</w:t>
      </w:r>
      <w:r w:rsidR="00F3166D" w:rsidRPr="004A01CD">
        <w:t xml:space="preserve">) with utilisation of </w:t>
      </w:r>
      <w:r>
        <w:t>63</w:t>
      </w:r>
      <w:r w:rsidR="00F3166D" w:rsidRPr="004A01CD">
        <w:t>%, compared to a benchmark of 7</w:t>
      </w:r>
      <w:r>
        <w:t>0</w:t>
      </w:r>
      <w:r w:rsidR="00F3166D" w:rsidRPr="004A01CD">
        <w:t>%</w:t>
      </w:r>
    </w:p>
    <w:p w14:paraId="666E246E" w14:textId="39A18743" w:rsidR="00A207B5" w:rsidRPr="004A01CD" w:rsidRDefault="00F07A6E" w:rsidP="008A7087">
      <w:pPr>
        <w:pStyle w:val="ListParagraph"/>
        <w:numPr>
          <w:ilvl w:val="0"/>
          <w:numId w:val="4"/>
        </w:numPr>
      </w:pPr>
      <w:r>
        <w:t>Wheat Belt</w:t>
      </w:r>
      <w:r w:rsidR="00A207B5" w:rsidRPr="004A01CD">
        <w:t xml:space="preserve"> (</w:t>
      </w:r>
      <w:r>
        <w:t>WA</w:t>
      </w:r>
      <w:r w:rsidR="00A207B5" w:rsidRPr="004A01CD">
        <w:t xml:space="preserve">) with utilisation of </w:t>
      </w:r>
      <w:r>
        <w:t>53</w:t>
      </w:r>
      <w:r w:rsidR="00A207B5" w:rsidRPr="004A01CD">
        <w:t xml:space="preserve">%, compared to a benchmark of </w:t>
      </w:r>
      <w:r>
        <w:t>60</w:t>
      </w:r>
      <w:r w:rsidR="00A207B5" w:rsidRPr="004A01CD">
        <w:t>%</w:t>
      </w:r>
    </w:p>
    <w:p w14:paraId="5BF5BE14" w14:textId="34AADAE3" w:rsidR="00F3166D" w:rsidRPr="004A01CD" w:rsidRDefault="00F07A6E" w:rsidP="008A7087">
      <w:pPr>
        <w:pStyle w:val="ListParagraph"/>
        <w:numPr>
          <w:ilvl w:val="0"/>
          <w:numId w:val="4"/>
        </w:numPr>
      </w:pPr>
      <w:r>
        <w:t>Goldfields-Esperance (WA</w:t>
      </w:r>
      <w:r w:rsidR="00F3166D" w:rsidRPr="004A01CD">
        <w:t xml:space="preserve">) with utilisation of </w:t>
      </w:r>
      <w:r>
        <w:t>5</w:t>
      </w:r>
      <w:r w:rsidR="00F3166D">
        <w:t>3</w:t>
      </w:r>
      <w:r w:rsidR="00F3166D" w:rsidRPr="004A01CD">
        <w:t xml:space="preserve">%, compared to a benchmark of </w:t>
      </w:r>
      <w:r>
        <w:t>60</w:t>
      </w:r>
      <w:r w:rsidR="00F3166D" w:rsidRPr="004A01CD">
        <w:t>%</w:t>
      </w:r>
    </w:p>
    <w:p w14:paraId="5C0679B5" w14:textId="2B79439E" w:rsidR="00F3166D" w:rsidRPr="004A01CD" w:rsidRDefault="005939F9" w:rsidP="008A7087">
      <w:pPr>
        <w:pStyle w:val="ListParagraph"/>
        <w:numPr>
          <w:ilvl w:val="0"/>
          <w:numId w:val="4"/>
        </w:numPr>
      </w:pPr>
      <w:r>
        <w:t>Limestone Coast</w:t>
      </w:r>
      <w:r w:rsidR="00F3166D" w:rsidRPr="004A01CD">
        <w:t xml:space="preserve"> (</w:t>
      </w:r>
      <w:r>
        <w:t>S</w:t>
      </w:r>
      <w:r w:rsidR="00F3166D" w:rsidRPr="004A01CD">
        <w:t xml:space="preserve">A) with utilisation of </w:t>
      </w:r>
      <w:r>
        <w:t>63</w:t>
      </w:r>
      <w:r w:rsidR="00F3166D" w:rsidRPr="004A01CD">
        <w:t xml:space="preserve">%, compared to a benchmark of </w:t>
      </w:r>
      <w:r>
        <w:t>70</w:t>
      </w:r>
      <w:r w:rsidR="00F3166D" w:rsidRPr="004A01CD">
        <w:t>%</w:t>
      </w:r>
    </w:p>
    <w:p w14:paraId="178F11B5" w14:textId="1C864343" w:rsidR="00F3166D" w:rsidRDefault="005939F9" w:rsidP="008A7087">
      <w:pPr>
        <w:pStyle w:val="ListParagraph"/>
        <w:numPr>
          <w:ilvl w:val="0"/>
          <w:numId w:val="4"/>
        </w:numPr>
      </w:pPr>
      <w:r>
        <w:t>Inner Gippsland</w:t>
      </w:r>
      <w:r w:rsidR="00F3166D">
        <w:t xml:space="preserve"> (</w:t>
      </w:r>
      <w:r>
        <w:t>VIC</w:t>
      </w:r>
      <w:r w:rsidR="00F3166D">
        <w:t xml:space="preserve">) </w:t>
      </w:r>
      <w:r w:rsidR="00F3166D" w:rsidRPr="004A01CD">
        <w:t>with utilisation of 5</w:t>
      </w:r>
      <w:r>
        <w:t>9</w:t>
      </w:r>
      <w:r w:rsidR="00F3166D" w:rsidRPr="004A01CD">
        <w:t xml:space="preserve">%, compared to a benchmark of </w:t>
      </w:r>
      <w:r>
        <w:t>65</w:t>
      </w:r>
      <w:r w:rsidR="00F3166D" w:rsidRPr="004A01CD">
        <w:t>%</w:t>
      </w:r>
    </w:p>
    <w:p w14:paraId="7731FA91" w14:textId="7BE46242" w:rsidR="00F3166D" w:rsidRDefault="005939F9" w:rsidP="008A7087">
      <w:pPr>
        <w:pStyle w:val="ListParagraph"/>
        <w:numPr>
          <w:ilvl w:val="0"/>
          <w:numId w:val="4"/>
        </w:numPr>
      </w:pPr>
      <w:r>
        <w:t>Western District</w:t>
      </w:r>
      <w:r w:rsidR="00F3166D" w:rsidRPr="004A01CD">
        <w:t xml:space="preserve"> (</w:t>
      </w:r>
      <w:r>
        <w:t>VIC</w:t>
      </w:r>
      <w:r w:rsidR="00F3166D" w:rsidRPr="004A01CD">
        <w:t xml:space="preserve">) with utilisation of </w:t>
      </w:r>
      <w:r>
        <w:t>63</w:t>
      </w:r>
      <w:r w:rsidR="00F3166D" w:rsidRPr="004A01CD">
        <w:t xml:space="preserve">%, compared to a benchmark of </w:t>
      </w:r>
      <w:r>
        <w:t>70</w:t>
      </w:r>
      <w:r w:rsidR="00F3166D" w:rsidRPr="004A01CD">
        <w:t>%</w:t>
      </w:r>
    </w:p>
    <w:p w14:paraId="57830C7E" w14:textId="3F25E5C3" w:rsidR="007A20D5" w:rsidRPr="004A01CD" w:rsidRDefault="007A20D5" w:rsidP="007A20D5">
      <w:pPr>
        <w:pStyle w:val="ListParagraph"/>
        <w:numPr>
          <w:ilvl w:val="0"/>
          <w:numId w:val="4"/>
        </w:numPr>
      </w:pPr>
      <w:r>
        <w:t>Barwon (VIC</w:t>
      </w:r>
      <w:r w:rsidRPr="004A01CD">
        <w:t xml:space="preserve">) with utilisation of </w:t>
      </w:r>
      <w:r>
        <w:t>64</w:t>
      </w:r>
      <w:r w:rsidRPr="004A01CD">
        <w:t xml:space="preserve">%, compared to a benchmark of </w:t>
      </w:r>
      <w:r>
        <w:t>70</w:t>
      </w:r>
      <w:r w:rsidRPr="004A01CD">
        <w:t>%</w:t>
      </w:r>
    </w:p>
    <w:p w14:paraId="59832A6B" w14:textId="1114BF7A" w:rsidR="007A20D5" w:rsidRPr="004A01CD" w:rsidRDefault="007A20D5" w:rsidP="007A20D5">
      <w:pPr>
        <w:pStyle w:val="ListParagraph"/>
        <w:numPr>
          <w:ilvl w:val="0"/>
          <w:numId w:val="4"/>
        </w:numPr>
      </w:pPr>
      <w:r>
        <w:t>Western NSW</w:t>
      </w:r>
      <w:r w:rsidRPr="004A01CD">
        <w:t xml:space="preserve"> (</w:t>
      </w:r>
      <w:r>
        <w:t>NSW</w:t>
      </w:r>
      <w:r w:rsidRPr="004A01CD">
        <w:t xml:space="preserve">) with utilisation of </w:t>
      </w:r>
      <w:r>
        <w:t>63</w:t>
      </w:r>
      <w:r w:rsidRPr="004A01CD">
        <w:t xml:space="preserve">%, compared to a benchmark of </w:t>
      </w:r>
      <w:r>
        <w:t>69</w:t>
      </w:r>
      <w:r w:rsidRPr="004A01CD">
        <w:t>%</w:t>
      </w:r>
    </w:p>
    <w:p w14:paraId="17FF3340" w14:textId="666724A8" w:rsidR="007A20D5" w:rsidRDefault="007A20D5" w:rsidP="007A20D5">
      <w:pPr>
        <w:pStyle w:val="ListParagraph"/>
        <w:numPr>
          <w:ilvl w:val="0"/>
          <w:numId w:val="4"/>
        </w:numPr>
      </w:pPr>
      <w:r>
        <w:t xml:space="preserve">Inner East Melbourne (VIC) </w:t>
      </w:r>
      <w:r w:rsidRPr="004A01CD">
        <w:t xml:space="preserve">with utilisation of </w:t>
      </w:r>
      <w:r>
        <w:t>64</w:t>
      </w:r>
      <w:r w:rsidRPr="004A01CD">
        <w:t xml:space="preserve">%, compared to a benchmark of </w:t>
      </w:r>
      <w:r>
        <w:t>69</w:t>
      </w:r>
      <w:r w:rsidRPr="004A01CD">
        <w:t>%</w:t>
      </w:r>
    </w:p>
    <w:p w14:paraId="345DD2B3" w14:textId="77EA952A" w:rsidR="007A20D5" w:rsidRDefault="007A20D5" w:rsidP="007A20D5">
      <w:pPr>
        <w:pStyle w:val="ListParagraph"/>
        <w:numPr>
          <w:ilvl w:val="0"/>
          <w:numId w:val="4"/>
        </w:numPr>
      </w:pPr>
      <w:r>
        <w:t>Ovens Murray</w:t>
      </w:r>
      <w:r w:rsidRPr="004A01CD">
        <w:t xml:space="preserve"> (</w:t>
      </w:r>
      <w:r>
        <w:t>VIC</w:t>
      </w:r>
      <w:r w:rsidRPr="004A01CD">
        <w:t xml:space="preserve">) with utilisation of </w:t>
      </w:r>
      <w:r>
        <w:t>61</w:t>
      </w:r>
      <w:r w:rsidRPr="004A01CD">
        <w:t xml:space="preserve">%, compared to a benchmark of </w:t>
      </w:r>
      <w:r>
        <w:t>67</w:t>
      </w:r>
      <w:r w:rsidRPr="004A01CD">
        <w:t>%</w:t>
      </w:r>
    </w:p>
    <w:p w14:paraId="5AF03DE8" w14:textId="77777777" w:rsidR="002A3698" w:rsidRDefault="002A3698" w:rsidP="002A3698">
      <w:pPr>
        <w:pStyle w:val="ListParagraph"/>
        <w:ind w:left="360"/>
      </w:pPr>
    </w:p>
    <w:p w14:paraId="1F9C2C79" w14:textId="3F818DE0" w:rsidR="00F3166D" w:rsidRDefault="002A3698" w:rsidP="007A20D5">
      <w:r w:rsidRPr="004A01CD">
        <w:t xml:space="preserve">By total annualised plan budgets, the largest </w:t>
      </w:r>
      <w:r>
        <w:t>district</w:t>
      </w:r>
      <w:r w:rsidRPr="004A01CD">
        <w:t xml:space="preserve">s are </w:t>
      </w:r>
      <w:r w:rsidR="007A20D5">
        <w:t>Barwon</w:t>
      </w:r>
      <w:r w:rsidRPr="004A01CD">
        <w:t xml:space="preserve"> ($</w:t>
      </w:r>
      <w:r w:rsidR="007A20D5">
        <w:t>271</w:t>
      </w:r>
      <w:r w:rsidRPr="004A01CD">
        <w:t xml:space="preserve"> million) and </w:t>
      </w:r>
      <w:r w:rsidR="007A20D5">
        <w:t xml:space="preserve">Inner East Melbourne </w:t>
      </w:r>
      <w:r w:rsidRPr="004A01CD">
        <w:t>($</w:t>
      </w:r>
      <w:r w:rsidR="007A20D5">
        <w:t>270</w:t>
      </w:r>
      <w:r w:rsidRPr="004A01CD">
        <w:t xml:space="preserve"> million). The smallest are </w:t>
      </w:r>
      <w:r w:rsidR="007A20D5">
        <w:t xml:space="preserve">Goldfields-Esperance </w:t>
      </w:r>
      <w:r w:rsidRPr="004A01CD">
        <w:t>($</w:t>
      </w:r>
      <w:r w:rsidR="007A20D5">
        <w:t>17</w:t>
      </w:r>
      <w:r w:rsidRPr="004A01CD">
        <w:t xml:space="preserve"> million) and Wheat Belt ($</w:t>
      </w:r>
      <w:r w:rsidR="007A20D5">
        <w:t>19 million).</w:t>
      </w:r>
    </w:p>
    <w:p w14:paraId="02C24143" w14:textId="20F7208E" w:rsidR="00F3166D" w:rsidRDefault="00F3166D" w:rsidP="00F3166D">
      <w:r>
        <w:t>The lower</w:t>
      </w:r>
      <w:r w:rsidRPr="004A01CD">
        <w:t xml:space="preserve"> table shows a list of the eight </w:t>
      </w:r>
      <w:r>
        <w:t>district</w:t>
      </w:r>
      <w:r w:rsidRPr="004A01CD">
        <w:t>s that were more than</w:t>
      </w:r>
      <w:r w:rsidR="00FA6BA8">
        <w:t xml:space="preserve"> ten </w:t>
      </w:r>
      <w:r w:rsidRPr="004A01CD">
        <w:t>percentage points below national average (benchmark).</w:t>
      </w:r>
    </w:p>
    <w:p w14:paraId="7E4B0A67" w14:textId="77777777" w:rsidR="002A3698" w:rsidRDefault="002A3698" w:rsidP="00F3166D"/>
    <w:p w14:paraId="43FF6652" w14:textId="41F20F8A" w:rsidR="00F3166D" w:rsidRPr="004A01CD" w:rsidRDefault="00F3166D" w:rsidP="00F3166D">
      <w:r w:rsidRPr="004A01CD">
        <w:t xml:space="preserve">The </w:t>
      </w:r>
      <w:r>
        <w:t>district</w:t>
      </w:r>
      <w:r w:rsidRPr="004A01CD">
        <w:t>s are:</w:t>
      </w:r>
    </w:p>
    <w:p w14:paraId="7FA9CE53" w14:textId="103216DF" w:rsidR="002A3698" w:rsidRDefault="002A3698" w:rsidP="008A7087">
      <w:pPr>
        <w:pStyle w:val="ListParagraph"/>
        <w:numPr>
          <w:ilvl w:val="0"/>
          <w:numId w:val="4"/>
        </w:numPr>
      </w:pPr>
      <w:r>
        <w:t>East Arnhem (NT) with utilisation of 3</w:t>
      </w:r>
      <w:r w:rsidR="00D46C95">
        <w:t>8</w:t>
      </w:r>
      <w:r>
        <w:t>%, compared to a benchmark of 6</w:t>
      </w:r>
      <w:r w:rsidR="00D46C95">
        <w:t>2</w:t>
      </w:r>
      <w:r>
        <w:t>%</w:t>
      </w:r>
    </w:p>
    <w:p w14:paraId="6CA41032" w14:textId="18E432C6" w:rsidR="00D46C95" w:rsidRDefault="00D46C95" w:rsidP="008A7087">
      <w:pPr>
        <w:pStyle w:val="ListParagraph"/>
        <w:numPr>
          <w:ilvl w:val="0"/>
          <w:numId w:val="4"/>
        </w:numPr>
      </w:pPr>
      <w:r>
        <w:t>Darwin Remote (NT) with utilisation of 38%, compared to a benchmark of 56%</w:t>
      </w:r>
    </w:p>
    <w:p w14:paraId="057C9D0A" w14:textId="347576C0" w:rsidR="00D46C95" w:rsidRDefault="00D46C95" w:rsidP="008A7087">
      <w:pPr>
        <w:pStyle w:val="ListParagraph"/>
        <w:numPr>
          <w:ilvl w:val="0"/>
          <w:numId w:val="4"/>
        </w:numPr>
      </w:pPr>
      <w:r>
        <w:t>Barkly (NT) with utilisation of 57%, compared to a benchmark of 72%</w:t>
      </w:r>
    </w:p>
    <w:p w14:paraId="17878ECD" w14:textId="7F59DE61" w:rsidR="0013290D" w:rsidRPr="004A01CD" w:rsidRDefault="0013290D" w:rsidP="0013290D">
      <w:pPr>
        <w:pStyle w:val="ListParagraph"/>
        <w:numPr>
          <w:ilvl w:val="0"/>
          <w:numId w:val="4"/>
        </w:numPr>
      </w:pPr>
      <w:r>
        <w:t>Far North (SA) with utilisation of 50%, compared to a benchmark of 65%</w:t>
      </w:r>
    </w:p>
    <w:p w14:paraId="1959726D" w14:textId="4C365FD3" w:rsidR="0013290D" w:rsidRDefault="0013290D" w:rsidP="0013290D">
      <w:pPr>
        <w:pStyle w:val="ListParagraph"/>
        <w:numPr>
          <w:ilvl w:val="0"/>
          <w:numId w:val="4"/>
        </w:numPr>
      </w:pPr>
      <w:r>
        <w:t>Eyre and Western (SA) with utilisation of 53%, compared to a benchmark of 64%</w:t>
      </w:r>
    </w:p>
    <w:p w14:paraId="771FDAAA" w14:textId="36061C08" w:rsidR="0013290D" w:rsidRDefault="0013290D" w:rsidP="0013290D">
      <w:pPr>
        <w:pStyle w:val="ListParagraph"/>
        <w:numPr>
          <w:ilvl w:val="0"/>
          <w:numId w:val="4"/>
        </w:numPr>
      </w:pPr>
      <w:r>
        <w:t>Kimberly-Pilbara (WA) with utilisation of 49%, compared to a benchmark of 60%</w:t>
      </w:r>
    </w:p>
    <w:p w14:paraId="561C4DB7" w14:textId="586358A0" w:rsidR="0013290D" w:rsidRPr="004A01CD" w:rsidRDefault="0013290D" w:rsidP="0013290D">
      <w:pPr>
        <w:pStyle w:val="ListParagraph"/>
        <w:numPr>
          <w:ilvl w:val="0"/>
          <w:numId w:val="4"/>
        </w:numPr>
      </w:pPr>
      <w:r>
        <w:t>Outer Gippsland (VIC) with utilisation of 51%, compared to a benchmark of 62%</w:t>
      </w:r>
    </w:p>
    <w:p w14:paraId="2DC974EB" w14:textId="43F942E3" w:rsidR="0013290D" w:rsidRPr="004A01CD" w:rsidRDefault="0013290D" w:rsidP="0013290D">
      <w:pPr>
        <w:pStyle w:val="ListParagraph"/>
        <w:numPr>
          <w:ilvl w:val="0"/>
          <w:numId w:val="4"/>
        </w:numPr>
      </w:pPr>
      <w:r>
        <w:t>Murray and Mallee (SA) with utilisation of 59%, compared to a benchmark of 69%</w:t>
      </w:r>
    </w:p>
    <w:p w14:paraId="367E0CF2" w14:textId="3147272B" w:rsidR="00A207B5" w:rsidRPr="004A01CD" w:rsidRDefault="00A207B5" w:rsidP="00A207B5">
      <w:r w:rsidRPr="004A01CD">
        <w:t xml:space="preserve">By total annualised plan budgets, the largest </w:t>
      </w:r>
      <w:r w:rsidR="00265C2C">
        <w:t>district</w:t>
      </w:r>
      <w:r w:rsidRPr="004A01CD">
        <w:t>s are</w:t>
      </w:r>
      <w:r w:rsidR="0013290D">
        <w:t xml:space="preserve"> Murray and Mallee </w:t>
      </w:r>
      <w:r w:rsidRPr="004A01CD">
        <w:t>($</w:t>
      </w:r>
      <w:r w:rsidR="0013290D">
        <w:t>56</w:t>
      </w:r>
      <w:r w:rsidRPr="004A01CD">
        <w:t xml:space="preserve"> million) and </w:t>
      </w:r>
      <w:r w:rsidR="0013290D">
        <w:t>Outer Gippsland</w:t>
      </w:r>
      <w:r w:rsidRPr="004A01CD">
        <w:t xml:space="preserve"> ($</w:t>
      </w:r>
      <w:r w:rsidR="0013290D">
        <w:t>47</w:t>
      </w:r>
      <w:r w:rsidRPr="004A01CD">
        <w:t xml:space="preserve"> million). The smallest are </w:t>
      </w:r>
      <w:r w:rsidR="0013290D">
        <w:t>East Arnhem</w:t>
      </w:r>
      <w:r w:rsidR="002A3698">
        <w:t xml:space="preserve"> ($</w:t>
      </w:r>
      <w:r w:rsidR="0013290D">
        <w:t>9</w:t>
      </w:r>
      <w:r w:rsidR="000E18F1">
        <w:t xml:space="preserve">m) </w:t>
      </w:r>
      <w:r w:rsidR="002A3698">
        <w:t xml:space="preserve">and </w:t>
      </w:r>
      <w:r w:rsidR="0013290D">
        <w:t>Barkly</w:t>
      </w:r>
      <w:r w:rsidR="002A3698">
        <w:t xml:space="preserve"> ($1</w:t>
      </w:r>
      <w:r w:rsidR="0013290D">
        <w:t>0</w:t>
      </w:r>
      <w:r w:rsidR="002A3698">
        <w:t>m)</w:t>
      </w:r>
      <w:r w:rsidRPr="004A01CD">
        <w:t>.</w:t>
      </w:r>
    </w:p>
    <w:p w14:paraId="6952518F" w14:textId="00C8FAE3" w:rsidR="00376969" w:rsidRPr="004A01CD" w:rsidRDefault="00376969" w:rsidP="00376969">
      <w:pPr>
        <w:pStyle w:val="Heading2"/>
      </w:pPr>
      <w:bookmarkStart w:id="24" w:name="_Toc67927006"/>
      <w:r w:rsidRPr="004A01CD">
        <w:t>Slide 1</w:t>
      </w:r>
      <w:r w:rsidR="00DF3E18">
        <w:t>7</w:t>
      </w:r>
      <w:r w:rsidRPr="004A01CD">
        <w:t xml:space="preserve">: </w:t>
      </w:r>
      <w:r w:rsidR="000E18F1" w:rsidRPr="000E18F1">
        <w:t>The number of districts with an overall utilisation rate more than 10% below national average has not changed between June 2020 and December 2020</w:t>
      </w:r>
      <w:bookmarkEnd w:id="24"/>
    </w:p>
    <w:p w14:paraId="6EE34CAC" w14:textId="32FB8578" w:rsidR="00BE2476" w:rsidRPr="004A01CD" w:rsidRDefault="00BE2476" w:rsidP="00BE2476">
      <w:r w:rsidRPr="004A01CD">
        <w:t xml:space="preserve">There are two charts. One shows the distribution of </w:t>
      </w:r>
      <w:r w:rsidR="00265C2C">
        <w:t>district</w:t>
      </w:r>
      <w:r w:rsidRPr="004A01CD">
        <w:t xml:space="preserve">s by their </w:t>
      </w:r>
      <w:r w:rsidR="001026A1" w:rsidRPr="004A01CD">
        <w:t>gap</w:t>
      </w:r>
      <w:r w:rsidRPr="004A01CD">
        <w:t xml:space="preserve"> to benchmark utilisation at</w:t>
      </w:r>
      <w:r w:rsidR="000E18F1">
        <w:t xml:space="preserve"> December</w:t>
      </w:r>
      <w:r w:rsidRPr="004A01CD">
        <w:t xml:space="preserve"> 20</w:t>
      </w:r>
      <w:r w:rsidR="002A3698">
        <w:t>20</w:t>
      </w:r>
      <w:r w:rsidRPr="004A01CD">
        <w:t xml:space="preserve">, and the other shows </w:t>
      </w:r>
      <w:r w:rsidR="00D440EC" w:rsidRPr="004A01CD">
        <w:t xml:space="preserve">the distribution of </w:t>
      </w:r>
      <w:r w:rsidR="00265C2C">
        <w:t>district</w:t>
      </w:r>
      <w:r w:rsidR="00D440EC" w:rsidRPr="004A01CD">
        <w:t xml:space="preserve">s by their </w:t>
      </w:r>
      <w:r w:rsidR="001026A1" w:rsidRPr="004A01CD">
        <w:t xml:space="preserve">gap </w:t>
      </w:r>
      <w:r w:rsidR="00D440EC" w:rsidRPr="004A01CD">
        <w:t xml:space="preserve">to benchmark utilisation </w:t>
      </w:r>
      <w:r w:rsidRPr="004A01CD">
        <w:t xml:space="preserve">at </w:t>
      </w:r>
      <w:r w:rsidR="000E18F1">
        <w:t>June</w:t>
      </w:r>
      <w:r w:rsidR="002A3698">
        <w:t xml:space="preserve"> 20</w:t>
      </w:r>
      <w:r w:rsidR="000E18F1">
        <w:t>20</w:t>
      </w:r>
      <w:r w:rsidRPr="004A01CD">
        <w:t>.</w:t>
      </w:r>
    </w:p>
    <w:p w14:paraId="5A6B9FC9" w14:textId="0A7D9EEF" w:rsidR="00BE2476" w:rsidRPr="004A01CD" w:rsidRDefault="00BA113A" w:rsidP="00BE2476">
      <w:r w:rsidRPr="004A01CD">
        <w:t xml:space="preserve">At </w:t>
      </w:r>
      <w:r w:rsidR="000E18F1">
        <w:t>December</w:t>
      </w:r>
      <w:r w:rsidR="002A3698">
        <w:t xml:space="preserve"> 2020</w:t>
      </w:r>
      <w:r w:rsidR="00DD7D11">
        <w:t xml:space="preserve"> and June 2020</w:t>
      </w:r>
      <w:r w:rsidRPr="004A01CD">
        <w:t xml:space="preserve">, 8 </w:t>
      </w:r>
      <w:r w:rsidR="00265C2C">
        <w:t>district</w:t>
      </w:r>
      <w:r w:rsidRPr="004A01CD">
        <w:t>s (10.</w:t>
      </w:r>
      <w:r w:rsidR="002A3698">
        <w:t>0</w:t>
      </w:r>
      <w:r w:rsidRPr="004A01CD">
        <w:t>%) were more than</w:t>
      </w:r>
      <w:r w:rsidR="00FA6BA8">
        <w:t xml:space="preserve"> ten </w:t>
      </w:r>
      <w:r w:rsidRPr="004A01CD">
        <w:t>percentage points below benchmark</w:t>
      </w:r>
      <w:r w:rsidR="00DD7D11">
        <w:t>.</w:t>
      </w:r>
    </w:p>
    <w:p w14:paraId="3C642738" w14:textId="070D2B2A" w:rsidR="00BA113A" w:rsidRPr="004A01CD" w:rsidRDefault="00BA113A" w:rsidP="00BA113A">
      <w:r w:rsidRPr="004A01CD">
        <w:t xml:space="preserve">At </w:t>
      </w:r>
      <w:r w:rsidR="000E18F1">
        <w:t>December 2020</w:t>
      </w:r>
      <w:r w:rsidRPr="004A01CD">
        <w:t xml:space="preserve">, </w:t>
      </w:r>
      <w:r w:rsidR="000E18F1">
        <w:t>12</w:t>
      </w:r>
      <w:r w:rsidRPr="004A01CD">
        <w:t xml:space="preserve"> </w:t>
      </w:r>
      <w:r w:rsidR="00265C2C">
        <w:t>district</w:t>
      </w:r>
      <w:r w:rsidRPr="004A01CD">
        <w:t>s (1</w:t>
      </w:r>
      <w:r w:rsidR="000E18F1">
        <w:t>5</w:t>
      </w:r>
      <w:r w:rsidR="002A3698">
        <w:t>.0</w:t>
      </w:r>
      <w:r w:rsidRPr="004A01CD">
        <w:t>%) were between</w:t>
      </w:r>
      <w:r w:rsidR="00FA6BA8">
        <w:t xml:space="preserve"> five </w:t>
      </w:r>
      <w:r w:rsidRPr="004A01CD">
        <w:t>and</w:t>
      </w:r>
      <w:r w:rsidR="00FA6BA8">
        <w:t xml:space="preserve"> ten </w:t>
      </w:r>
      <w:r w:rsidRPr="004A01CD">
        <w:t xml:space="preserve">percentage points below benchmark, compared to </w:t>
      </w:r>
      <w:r w:rsidR="000E18F1">
        <w:t>8</w:t>
      </w:r>
      <w:r w:rsidRPr="004A01CD">
        <w:t xml:space="preserve"> (</w:t>
      </w:r>
      <w:r w:rsidR="002A3698">
        <w:t>1</w:t>
      </w:r>
      <w:r w:rsidR="000E18F1">
        <w:t>0</w:t>
      </w:r>
      <w:r w:rsidRPr="004A01CD">
        <w:t xml:space="preserve">%) at </w:t>
      </w:r>
      <w:r w:rsidR="000E18F1">
        <w:t>June 2020</w:t>
      </w:r>
      <w:r w:rsidRPr="004A01CD">
        <w:t>.</w:t>
      </w:r>
    </w:p>
    <w:p w14:paraId="6941764B" w14:textId="2F0B8EDF" w:rsidR="00BA113A" w:rsidRPr="004A01CD" w:rsidRDefault="00BA113A" w:rsidP="00BA113A">
      <w:r w:rsidRPr="004A01CD">
        <w:t xml:space="preserve">At </w:t>
      </w:r>
      <w:r w:rsidR="000E18F1">
        <w:t xml:space="preserve">December 2020, </w:t>
      </w:r>
      <w:r w:rsidR="00DD7D11">
        <w:t>58</w:t>
      </w:r>
      <w:r w:rsidRPr="004A01CD">
        <w:t xml:space="preserve"> </w:t>
      </w:r>
      <w:r w:rsidR="00265C2C">
        <w:t>district</w:t>
      </w:r>
      <w:r w:rsidRPr="004A01CD">
        <w:t xml:space="preserve">s </w:t>
      </w:r>
      <w:r w:rsidR="00E43B0F" w:rsidRPr="004A01CD">
        <w:t>(</w:t>
      </w:r>
      <w:r w:rsidR="002A3698">
        <w:t>7</w:t>
      </w:r>
      <w:r w:rsidR="00DD7D11">
        <w:t>2</w:t>
      </w:r>
      <w:r w:rsidR="00E43B0F" w:rsidRPr="004A01CD">
        <w:t>.</w:t>
      </w:r>
      <w:r w:rsidR="00DD7D11">
        <w:t>5</w:t>
      </w:r>
      <w:r w:rsidR="00E43B0F" w:rsidRPr="004A01CD">
        <w:t xml:space="preserve">%) </w:t>
      </w:r>
      <w:r w:rsidRPr="004A01CD">
        <w:t>were within</w:t>
      </w:r>
      <w:r w:rsidR="00FA6BA8">
        <w:t xml:space="preserve"> five </w:t>
      </w:r>
      <w:r w:rsidR="00E43B0F" w:rsidRPr="004A01CD">
        <w:t xml:space="preserve">percentage </w:t>
      </w:r>
      <w:r w:rsidRPr="004A01CD">
        <w:t xml:space="preserve">points of benchmark, compared to </w:t>
      </w:r>
      <w:r w:rsidR="00DD7D11">
        <w:t>63</w:t>
      </w:r>
      <w:r w:rsidRPr="004A01CD">
        <w:t xml:space="preserve"> (</w:t>
      </w:r>
      <w:r w:rsidR="00DD7D11">
        <w:t>7</w:t>
      </w:r>
      <w:r w:rsidR="002A3698">
        <w:t>8</w:t>
      </w:r>
      <w:r w:rsidRPr="004A01CD">
        <w:t>.</w:t>
      </w:r>
      <w:r w:rsidR="00DD7D11">
        <w:t>8</w:t>
      </w:r>
      <w:r w:rsidRPr="004A01CD">
        <w:t xml:space="preserve">%) at </w:t>
      </w:r>
      <w:r w:rsidR="000E18F1">
        <w:t>June 2020</w:t>
      </w:r>
      <w:r w:rsidRPr="004A01CD">
        <w:t>.</w:t>
      </w:r>
    </w:p>
    <w:p w14:paraId="182C171B" w14:textId="3088D20A" w:rsidR="00BA113A" w:rsidRDefault="00BA113A" w:rsidP="00BA113A">
      <w:r w:rsidRPr="004A01CD">
        <w:t xml:space="preserve">At </w:t>
      </w:r>
      <w:r w:rsidR="000E18F1">
        <w:t>December 2020</w:t>
      </w:r>
      <w:r w:rsidRPr="004A01CD">
        <w:t xml:space="preserve">, </w:t>
      </w:r>
      <w:r w:rsidR="00DD7D11">
        <w:t>2</w:t>
      </w:r>
      <w:r w:rsidRPr="004A01CD">
        <w:t xml:space="preserve"> </w:t>
      </w:r>
      <w:r w:rsidR="00265C2C">
        <w:t>district</w:t>
      </w:r>
      <w:r w:rsidR="00DD7D11">
        <w:t>s</w:t>
      </w:r>
      <w:r w:rsidRPr="004A01CD">
        <w:t xml:space="preserve"> </w:t>
      </w:r>
      <w:r w:rsidR="00E43B0F" w:rsidRPr="004A01CD">
        <w:t>(</w:t>
      </w:r>
      <w:r w:rsidR="00DD7D11">
        <w:t>2.5</w:t>
      </w:r>
      <w:r w:rsidR="00E43B0F" w:rsidRPr="004A01CD">
        <w:t xml:space="preserve">%) </w:t>
      </w:r>
      <w:r w:rsidRPr="004A01CD">
        <w:t>w</w:t>
      </w:r>
      <w:r w:rsidR="002A3698">
        <w:t>as</w:t>
      </w:r>
      <w:r w:rsidRPr="004A01CD">
        <w:t xml:space="preserve"> </w:t>
      </w:r>
      <w:r w:rsidR="002A3698">
        <w:t>between</w:t>
      </w:r>
      <w:r w:rsidR="00E43B0F" w:rsidRPr="004A01CD">
        <w:t xml:space="preserve"> than</w:t>
      </w:r>
      <w:r w:rsidR="00FA6BA8">
        <w:t xml:space="preserve"> five </w:t>
      </w:r>
      <w:r w:rsidR="002A3698">
        <w:t>and</w:t>
      </w:r>
      <w:r w:rsidR="00FA6BA8">
        <w:t xml:space="preserve"> ten </w:t>
      </w:r>
      <w:r w:rsidR="00E43B0F" w:rsidRPr="004A01CD">
        <w:t xml:space="preserve">percentage </w:t>
      </w:r>
      <w:r w:rsidRPr="004A01CD">
        <w:t xml:space="preserve">points </w:t>
      </w:r>
      <w:r w:rsidR="00E43B0F" w:rsidRPr="004A01CD">
        <w:t xml:space="preserve">above </w:t>
      </w:r>
      <w:r w:rsidRPr="004A01CD">
        <w:t xml:space="preserve">benchmark, compared to </w:t>
      </w:r>
      <w:r w:rsidR="00DD7D11">
        <w:t>1</w:t>
      </w:r>
      <w:r w:rsidR="00DD7D11" w:rsidRPr="004A01CD">
        <w:t xml:space="preserve"> </w:t>
      </w:r>
      <w:r w:rsidR="00DD7D11">
        <w:t>district</w:t>
      </w:r>
      <w:r w:rsidR="00DD7D11" w:rsidRPr="004A01CD">
        <w:t xml:space="preserve"> (</w:t>
      </w:r>
      <w:r w:rsidR="00DD7D11">
        <w:t>1</w:t>
      </w:r>
      <w:r w:rsidR="00DD7D11" w:rsidRPr="004A01CD">
        <w:t>.</w:t>
      </w:r>
      <w:r w:rsidR="00DD7D11">
        <w:t>3</w:t>
      </w:r>
      <w:r w:rsidR="00DD7D11" w:rsidRPr="004A01CD">
        <w:t xml:space="preserve">%) </w:t>
      </w:r>
      <w:r w:rsidRPr="004A01CD">
        <w:t xml:space="preserve">at </w:t>
      </w:r>
      <w:r w:rsidR="000E18F1">
        <w:t>June 2020</w:t>
      </w:r>
      <w:r w:rsidRPr="004A01CD">
        <w:t>.</w:t>
      </w:r>
    </w:p>
    <w:p w14:paraId="77A9B524" w14:textId="3C72EAB9" w:rsidR="002A3698" w:rsidRPr="004A01CD" w:rsidRDefault="002A3698" w:rsidP="00BA113A">
      <w:r>
        <w:lastRenderedPageBreak/>
        <w:t>There were no districts more than</w:t>
      </w:r>
      <w:r w:rsidR="00FA6BA8">
        <w:t xml:space="preserve"> ten </w:t>
      </w:r>
      <w:r>
        <w:t xml:space="preserve">percentage points above benchmark in </w:t>
      </w:r>
      <w:r w:rsidR="00DD7D11">
        <w:t xml:space="preserve">both </w:t>
      </w:r>
      <w:r w:rsidR="000E18F1">
        <w:t>December 2020</w:t>
      </w:r>
      <w:r w:rsidR="00DD7D11">
        <w:t xml:space="preserve"> and June 2020.</w:t>
      </w:r>
    </w:p>
    <w:p w14:paraId="75A6A0BB" w14:textId="6C30B110" w:rsidR="00376969" w:rsidRPr="004A01CD" w:rsidRDefault="00376969" w:rsidP="00376969">
      <w:pPr>
        <w:pStyle w:val="Heading2"/>
      </w:pPr>
      <w:bookmarkStart w:id="25" w:name="_Toc67927007"/>
      <w:r w:rsidRPr="004A01CD">
        <w:t>Slide 1</w:t>
      </w:r>
      <w:r w:rsidR="00DF3E18">
        <w:t>8</w:t>
      </w:r>
      <w:r w:rsidRPr="004A01CD">
        <w:t xml:space="preserve">: </w:t>
      </w:r>
      <w:r w:rsidR="00F345A1" w:rsidRPr="00F345A1">
        <w:t>Overall utilisation rates have fallen slightly across Australia</w:t>
      </w:r>
      <w:bookmarkEnd w:id="25"/>
    </w:p>
    <w:p w14:paraId="1270FD7A" w14:textId="5DC4BCC3" w:rsidR="00F345A1" w:rsidRPr="00F345A1" w:rsidRDefault="00F345A1" w:rsidP="00F345A1">
      <w:pPr>
        <w:rPr>
          <w:b/>
          <w:bCs/>
        </w:rPr>
      </w:pPr>
      <w:r w:rsidRPr="00F345A1">
        <w:rPr>
          <w:b/>
          <w:bCs/>
        </w:rPr>
        <w:t xml:space="preserve">National utilisation </w:t>
      </w:r>
      <w:r>
        <w:rPr>
          <w:b/>
          <w:bCs/>
        </w:rPr>
        <w:t>rate has fallen from 70% to 67%</w:t>
      </w:r>
      <w:r w:rsidRPr="00F345A1">
        <w:rPr>
          <w:b/>
          <w:bCs/>
        </w:rPr>
        <w:t xml:space="preserve"> between end of June 2020 and end of December 2020 and the benchmark charts (preceding slide) show that districts are shifting to levels of utilisation lower to benchmark. </w:t>
      </w:r>
    </w:p>
    <w:p w14:paraId="0C4CFC0D" w14:textId="77777777" w:rsidR="00F345A1" w:rsidRPr="00F345A1" w:rsidRDefault="00F345A1" w:rsidP="00F345A1">
      <w:r w:rsidRPr="00F345A1">
        <w:t>As shown in the charts on the preceding slide, at the end of June 2020 there were 16 districts with utilisation rates more than 5% below their benchmark. At the end of December 2020 this rose to 20.</w:t>
      </w:r>
    </w:p>
    <w:p w14:paraId="006E3CB1" w14:textId="77777777" w:rsidR="00F345A1" w:rsidRPr="00F345A1" w:rsidRDefault="00F345A1" w:rsidP="00F345A1">
      <w:r w:rsidRPr="00F345A1">
        <w:t xml:space="preserve">However, at the end of June 2020, one district had </w:t>
      </w:r>
      <w:proofErr w:type="gramStart"/>
      <w:r w:rsidRPr="00F345A1">
        <w:t>a</w:t>
      </w:r>
      <w:proofErr w:type="gramEnd"/>
      <w:r w:rsidRPr="00F345A1">
        <w:t xml:space="preserve"> utilisation rate of more than 5% above their benchmark. At the end of December 2020 this had risen to two.</w:t>
      </w:r>
    </w:p>
    <w:p w14:paraId="201B0E19" w14:textId="77777777" w:rsidR="00F345A1" w:rsidRPr="00F345A1" w:rsidRDefault="00F345A1" w:rsidP="00F345A1">
      <w:r w:rsidRPr="00F345A1">
        <w:t>Overall this indicates that some regions are moving further from the benchmark.</w:t>
      </w:r>
    </w:p>
    <w:p w14:paraId="48F8869C" w14:textId="6F0ED10C" w:rsidR="00F345A1" w:rsidRDefault="00F345A1" w:rsidP="00F345A1">
      <w:r w:rsidRPr="00F345A1">
        <w:t>One district (Outer Gippsland) was less than 5% below the benchmark in June 2020, is now more than 10% below its benchmark in December 2020.</w:t>
      </w:r>
    </w:p>
    <w:p w14:paraId="1651D238" w14:textId="1999FFEA" w:rsidR="00F345A1" w:rsidRPr="00F345A1" w:rsidRDefault="00F345A1" w:rsidP="00F345A1">
      <w:r>
        <w:t xml:space="preserve">Note: </w:t>
      </w:r>
      <w:r w:rsidRPr="00F345A1">
        <w:t>The fall in utilisation is mainly driven by an increase in committed supports, rather than a drop in payments</w:t>
      </w:r>
    </w:p>
    <w:p w14:paraId="09BE3768" w14:textId="0BBE7150" w:rsidR="00376969" w:rsidRPr="004A01CD" w:rsidRDefault="00376969" w:rsidP="00376969">
      <w:pPr>
        <w:pStyle w:val="Heading2"/>
      </w:pPr>
      <w:bookmarkStart w:id="26" w:name="_Toc67927008"/>
      <w:r w:rsidRPr="004A01CD">
        <w:t xml:space="preserve">Slide </w:t>
      </w:r>
      <w:r w:rsidR="0005284D">
        <w:t>1</w:t>
      </w:r>
      <w:r w:rsidR="00DF3E18">
        <w:t>9</w:t>
      </w:r>
      <w:r w:rsidRPr="004A01CD">
        <w:t xml:space="preserve">: </w:t>
      </w:r>
      <w:r w:rsidR="00F345A1" w:rsidRPr="00F345A1">
        <w:t>14 of 28 small districts were more than 5% below the utilisation benchmark.</w:t>
      </w:r>
      <w:bookmarkEnd w:id="26"/>
    </w:p>
    <w:p w14:paraId="62FF49AC" w14:textId="6B7CDED9" w:rsidR="00F345A1" w:rsidRPr="00F345A1" w:rsidRDefault="00F345A1" w:rsidP="00F345A1">
      <w:r>
        <w:t>A chart showing</w:t>
      </w:r>
      <w:r w:rsidRPr="00F345A1">
        <w:t xml:space="preserve"> plan utilisation for each of the service districts that had less than $100m in total plan budgets for the period – arranged in order of gap between utilisation rate and benchmark.</w:t>
      </w:r>
    </w:p>
    <w:p w14:paraId="76BA30B6" w14:textId="77777777" w:rsidR="00F345A1" w:rsidRPr="00F345A1" w:rsidRDefault="00F345A1" w:rsidP="00F345A1">
      <w:r w:rsidRPr="00F345A1">
        <w:t xml:space="preserve">East Arnhem (NT) had </w:t>
      </w:r>
      <w:proofErr w:type="gramStart"/>
      <w:r w:rsidRPr="00F345A1">
        <w:t>a</w:t>
      </w:r>
      <w:proofErr w:type="gramEnd"/>
      <w:r w:rsidRPr="00F345A1">
        <w:t xml:space="preserve"> utilisation rate more than 24% below its benchmark.</w:t>
      </w:r>
    </w:p>
    <w:p w14:paraId="5FEB9F2A" w14:textId="77777777" w:rsidR="00F345A1" w:rsidRPr="00F345A1" w:rsidRDefault="00F345A1" w:rsidP="00F345A1">
      <w:r w:rsidRPr="00F345A1">
        <w:t xml:space="preserve">The table on slide 15 lists the eight districts that are more than 10% below the benchmark. </w:t>
      </w:r>
    </w:p>
    <w:p w14:paraId="2F108652" w14:textId="58F8C2DF" w:rsidR="00376969" w:rsidRPr="004A01CD" w:rsidRDefault="00376969" w:rsidP="00376969">
      <w:pPr>
        <w:pStyle w:val="Heading2"/>
      </w:pPr>
      <w:bookmarkStart w:id="27" w:name="_Toc67927009"/>
      <w:r w:rsidRPr="004A01CD">
        <w:t xml:space="preserve">Slide </w:t>
      </w:r>
      <w:r w:rsidR="00DF3E18">
        <w:t>20</w:t>
      </w:r>
      <w:r w:rsidRPr="004A01CD">
        <w:t xml:space="preserve">: </w:t>
      </w:r>
      <w:r w:rsidR="00F345A1" w:rsidRPr="00F345A1">
        <w:t>Plan utilisation for all districts with total plan budgets greater than $100m were within ten percentage points of the benchmark</w:t>
      </w:r>
      <w:bookmarkEnd w:id="27"/>
    </w:p>
    <w:p w14:paraId="7B4DA422" w14:textId="1EBBD06C" w:rsidR="00F345A1" w:rsidRPr="00F345A1" w:rsidRDefault="00F345A1" w:rsidP="00F345A1">
      <w:r w:rsidRPr="00F345A1">
        <w:t>The charts show plan utilisation for each of the service districts that had $100m to $225m and greater than $225m in total plan budgets for the period. None of these districts had plan utilisation of more than 10% below the benchmark or more than 10% above the benchmark.</w:t>
      </w:r>
    </w:p>
    <w:p w14:paraId="32B9A320" w14:textId="77777777" w:rsidR="00F345A1" w:rsidRPr="00F345A1" w:rsidRDefault="00F345A1" w:rsidP="00F345A1">
      <w:r w:rsidRPr="00F345A1">
        <w:t>For districts with $100m to $225m in total plan budgets, Northern NSW showed the highest utilisation above benchmark (utilisation rate of 70%, benchmark of 67%) and Central Highlands in Victoria showed the lowest utilisation below benchmark (utilisation rate of 63%, benchmark of 70%).</w:t>
      </w:r>
    </w:p>
    <w:p w14:paraId="16B3D2CD" w14:textId="77777777" w:rsidR="00F345A1" w:rsidRPr="00F345A1" w:rsidRDefault="00F345A1" w:rsidP="00F345A1">
      <w:r w:rsidRPr="00F345A1">
        <w:t>For districts with greater than $225m in total plan budgets, South Western Sydney in New South Wales showed the highest utilisation above benchmark (utilisation rate of 76%, benchmark of 69%) and Barwon in Victoria showed the lowest utilisation below benchmark (utilisation rate of 64%, benchmark of 70%).</w:t>
      </w:r>
    </w:p>
    <w:p w14:paraId="4554A7C0" w14:textId="77777777" w:rsidR="00F345A1" w:rsidRDefault="00F345A1" w:rsidP="00CB4DA4">
      <w:pPr>
        <w:pStyle w:val="Heading2"/>
        <w:rPr>
          <w:rFonts w:eastAsiaTheme="minorHAnsi" w:cstheme="minorBidi"/>
          <w:b w:val="0"/>
          <w:bCs w:val="0"/>
          <w:color w:val="auto"/>
          <w:sz w:val="22"/>
          <w:szCs w:val="22"/>
        </w:rPr>
      </w:pPr>
    </w:p>
    <w:p w14:paraId="522EF415" w14:textId="09E809FB" w:rsidR="00CB4DA4" w:rsidRPr="004A01CD" w:rsidRDefault="00F7718E" w:rsidP="00CB4DA4">
      <w:pPr>
        <w:pStyle w:val="Heading2"/>
      </w:pPr>
      <w:bookmarkStart w:id="28" w:name="_Toc67927010"/>
      <w:r w:rsidRPr="004A01CD">
        <w:lastRenderedPageBreak/>
        <w:t xml:space="preserve">Slide </w:t>
      </w:r>
      <w:r w:rsidR="0073775E" w:rsidRPr="004A01CD">
        <w:t>2</w:t>
      </w:r>
      <w:r w:rsidR="00DF3E18">
        <w:t>1</w:t>
      </w:r>
      <w:r w:rsidRPr="004A01CD">
        <w:t xml:space="preserve">: </w:t>
      </w:r>
      <w:r w:rsidR="00F345A1" w:rsidRPr="00F345A1">
        <w:t>Provider concentration tends to fall as total budget increases</w:t>
      </w:r>
      <w:bookmarkEnd w:id="28"/>
    </w:p>
    <w:p w14:paraId="21FECEA9" w14:textId="27AAB0F6" w:rsidR="00EE391E" w:rsidRDefault="00EE391E" w:rsidP="00EE391E">
      <w:r w:rsidRPr="004A01CD">
        <w:t xml:space="preserve">A chart shows </w:t>
      </w:r>
      <w:r w:rsidR="0064587C" w:rsidRPr="004A01CD">
        <w:t xml:space="preserve">provider concentration for each </w:t>
      </w:r>
      <w:r w:rsidR="00265C2C">
        <w:t>service district</w:t>
      </w:r>
      <w:r w:rsidR="0064587C" w:rsidRPr="004A01CD">
        <w:t xml:space="preserve">. The </w:t>
      </w:r>
      <w:r w:rsidR="00265C2C">
        <w:t>district</w:t>
      </w:r>
      <w:r w:rsidR="0064587C" w:rsidRPr="004A01CD">
        <w:t xml:space="preserve">s are ordered by total plan budgets. Concentration in the smallest </w:t>
      </w:r>
      <w:r w:rsidR="00265C2C">
        <w:t>district</w:t>
      </w:r>
      <w:r w:rsidR="0064587C" w:rsidRPr="004A01CD">
        <w:t xml:space="preserve">s is approximately 85-95%, decreasing </w:t>
      </w:r>
      <w:r w:rsidR="001C07F5" w:rsidRPr="004A01CD">
        <w:t xml:space="preserve">to approximately 35-40% for the largest </w:t>
      </w:r>
      <w:r w:rsidR="00265C2C">
        <w:t>district</w:t>
      </w:r>
      <w:r w:rsidR="001C07F5" w:rsidRPr="004A01CD">
        <w:t>s.</w:t>
      </w:r>
    </w:p>
    <w:p w14:paraId="46A350E3" w14:textId="75971083" w:rsidR="00036E40" w:rsidRPr="00622AC9" w:rsidRDefault="00622AC9" w:rsidP="00036E40">
      <w:r w:rsidRPr="00622AC9">
        <w:t>Ordering</w:t>
      </w:r>
      <w:r w:rsidR="00036E40" w:rsidRPr="00622AC9">
        <w:t xml:space="preserve"> </w:t>
      </w:r>
      <w:r w:rsidRPr="00622AC9">
        <w:rPr>
          <w:bCs/>
        </w:rPr>
        <w:t xml:space="preserve">districts by budget size indicates that larger districts have lower provider concentration (see chart below). </w:t>
      </w:r>
      <w:proofErr w:type="gramStart"/>
      <w:r w:rsidRPr="00622AC9">
        <w:rPr>
          <w:bCs/>
        </w:rPr>
        <w:t>districts</w:t>
      </w:r>
      <w:proofErr w:type="gramEnd"/>
      <w:r w:rsidRPr="00622AC9">
        <w:rPr>
          <w:bCs/>
        </w:rPr>
        <w:t xml:space="preserve"> with large budgets are likely to be populous districts (e.g. urban areas) and these tend to have a larger number of providers.</w:t>
      </w:r>
    </w:p>
    <w:p w14:paraId="68D78A4F" w14:textId="125085FD" w:rsidR="000860E6" w:rsidRPr="000860E6" w:rsidRDefault="000860E6" w:rsidP="000860E6">
      <w:r>
        <w:t xml:space="preserve">Note: </w:t>
      </w:r>
      <w:r w:rsidRPr="000860E6">
        <w:t xml:space="preserve">The correlation coefficient is -0.73. A correlation coefficient below zero indicates that there is a negative relationship between size and provider concentration – i.e. as budget size increases, provider concentration decreases. The size of the co-efficient (between zero and one) indicates the strength of the relationship. A coefficient of -0.73 indicates a moderately strong relationship.    </w:t>
      </w:r>
    </w:p>
    <w:p w14:paraId="4F25A595" w14:textId="38D4101F" w:rsidR="006015EC" w:rsidRPr="004A01CD" w:rsidRDefault="006015EC" w:rsidP="00CB4DA4">
      <w:pPr>
        <w:pStyle w:val="Heading2"/>
      </w:pPr>
      <w:bookmarkStart w:id="29" w:name="_Toc67927011"/>
      <w:r w:rsidRPr="004A01CD">
        <w:t xml:space="preserve">Slide </w:t>
      </w:r>
      <w:r w:rsidR="00846FEB" w:rsidRPr="004A01CD">
        <w:t>2</w:t>
      </w:r>
      <w:r w:rsidR="00DF3E18">
        <w:t>2</w:t>
      </w:r>
      <w:r w:rsidRPr="004A01CD">
        <w:t xml:space="preserve">: </w:t>
      </w:r>
      <w:r w:rsidR="000860E6" w:rsidRPr="000860E6">
        <w:t>Provider concentration was above the benchmark of 85% for seven service districts, all with total plan budgets below $100m</w:t>
      </w:r>
      <w:bookmarkEnd w:id="29"/>
    </w:p>
    <w:p w14:paraId="5275782E" w14:textId="3FEE2B39" w:rsidR="000860E6" w:rsidRPr="000860E6" w:rsidRDefault="00422AAC" w:rsidP="000860E6">
      <w:pPr>
        <w:jc w:val="both"/>
        <w:rPr>
          <w:rFonts w:cs="Arial"/>
        </w:rPr>
      </w:pPr>
      <w:r w:rsidRPr="004A01CD">
        <w:rPr>
          <w:rFonts w:cs="Arial"/>
        </w:rPr>
        <w:t>A</w:t>
      </w:r>
      <w:r w:rsidR="00AA5422" w:rsidRPr="004A01CD">
        <w:rPr>
          <w:rFonts w:cs="Arial"/>
        </w:rPr>
        <w:t xml:space="preserve"> chart </w:t>
      </w:r>
      <w:r w:rsidR="000860E6" w:rsidRPr="000860E6">
        <w:rPr>
          <w:rFonts w:cs="Arial"/>
        </w:rPr>
        <w:t>show</w:t>
      </w:r>
      <w:r w:rsidR="000860E6">
        <w:rPr>
          <w:rFonts w:cs="Arial"/>
        </w:rPr>
        <w:t>ing</w:t>
      </w:r>
      <w:r w:rsidR="000860E6" w:rsidRPr="000860E6">
        <w:rPr>
          <w:rFonts w:cs="Arial"/>
        </w:rPr>
        <w:t xml:space="preserve"> the number of service districts that have provider concentration above or below the benchmark, as well as the size of the gap. The benchmark has been set at 85% for all districts.</w:t>
      </w:r>
    </w:p>
    <w:p w14:paraId="168CBE44" w14:textId="77777777" w:rsidR="000860E6" w:rsidRPr="000860E6" w:rsidRDefault="000860E6" w:rsidP="000860E6">
      <w:pPr>
        <w:jc w:val="both"/>
        <w:rPr>
          <w:rFonts w:cs="Arial"/>
        </w:rPr>
      </w:pPr>
      <w:r w:rsidRPr="000860E6">
        <w:rPr>
          <w:rFonts w:cs="Arial"/>
        </w:rPr>
        <w:t xml:space="preserve">Overall, seven out of 80 districts (8.8%) were above the benchmark. </w:t>
      </w:r>
    </w:p>
    <w:p w14:paraId="306C0348" w14:textId="77777777" w:rsidR="000860E6" w:rsidRPr="000860E6" w:rsidRDefault="000860E6" w:rsidP="000860E6">
      <w:pPr>
        <w:jc w:val="both"/>
        <w:rPr>
          <w:rFonts w:cs="Arial"/>
        </w:rPr>
      </w:pPr>
      <w:r w:rsidRPr="000860E6">
        <w:rPr>
          <w:rFonts w:cs="Arial"/>
        </w:rPr>
        <w:t>19 out of 80 districts (23.8%) were more than 40% below the benchmark.</w:t>
      </w:r>
    </w:p>
    <w:p w14:paraId="654C424E" w14:textId="2C979290" w:rsidR="001B3BFE" w:rsidRPr="000860E6" w:rsidRDefault="00886F15" w:rsidP="000860E6">
      <w:pPr>
        <w:rPr>
          <w:rFonts w:cs="Arial"/>
        </w:rPr>
      </w:pPr>
      <w:r w:rsidRPr="004A01CD">
        <w:rPr>
          <w:rFonts w:cs="Arial"/>
        </w:rPr>
        <w:t xml:space="preserve">Note 1: </w:t>
      </w:r>
      <w:r w:rsidR="001B3BFE" w:rsidRPr="000860E6">
        <w:rPr>
          <w:rFonts w:cs="Arial"/>
        </w:rPr>
        <w:t>Calculated over the period from 1 April 2020 to 30 September 2020, using data available as at 31 December 2020</w:t>
      </w:r>
    </w:p>
    <w:p w14:paraId="3F261517" w14:textId="356E58AA" w:rsidR="00886F15" w:rsidRPr="004A01CD" w:rsidRDefault="00886F15" w:rsidP="00886F15">
      <w:pPr>
        <w:jc w:val="both"/>
        <w:rPr>
          <w:rFonts w:cs="Arial"/>
        </w:rPr>
      </w:pPr>
    </w:p>
    <w:p w14:paraId="356C99F3" w14:textId="77777777" w:rsidR="001B3BFE" w:rsidRPr="000860E6" w:rsidRDefault="00886F15" w:rsidP="000860E6">
      <w:pPr>
        <w:rPr>
          <w:rFonts w:cs="Arial"/>
        </w:rPr>
      </w:pPr>
      <w:r w:rsidRPr="004A01CD">
        <w:rPr>
          <w:rFonts w:cs="Arial"/>
        </w:rPr>
        <w:t xml:space="preserve">Note 2: </w:t>
      </w:r>
      <w:r w:rsidR="001B3BFE" w:rsidRPr="000860E6">
        <w:rPr>
          <w:rFonts w:cs="Arial"/>
        </w:rPr>
        <w:t>Further detail on benchmarks is provided in Appendix B</w:t>
      </w:r>
    </w:p>
    <w:p w14:paraId="3303F5AA" w14:textId="73A2538F" w:rsidR="00886F15" w:rsidRPr="004A01CD" w:rsidRDefault="00886F15" w:rsidP="00886F15">
      <w:pPr>
        <w:jc w:val="both"/>
        <w:rPr>
          <w:rFonts w:cs="Arial"/>
        </w:rPr>
      </w:pPr>
    </w:p>
    <w:p w14:paraId="472DA771" w14:textId="26CA534D" w:rsidR="00B24C0D" w:rsidRPr="004A01CD" w:rsidRDefault="00B24C0D" w:rsidP="003A7B01">
      <w:pPr>
        <w:pStyle w:val="Heading2"/>
      </w:pPr>
      <w:bookmarkStart w:id="30" w:name="_Toc67927012"/>
      <w:r w:rsidRPr="004A01CD">
        <w:t xml:space="preserve">Slide </w:t>
      </w:r>
      <w:r w:rsidR="00846FEB" w:rsidRPr="004A01CD">
        <w:t>2</w:t>
      </w:r>
      <w:r w:rsidR="00DF3E18">
        <w:t>3</w:t>
      </w:r>
      <w:r w:rsidRPr="004A01CD">
        <w:t xml:space="preserve">: </w:t>
      </w:r>
      <w:r w:rsidR="000860E6" w:rsidRPr="000860E6">
        <w:t>The majority of districts above the provider concentration benchmark were in NT and WA.</w:t>
      </w:r>
      <w:bookmarkEnd w:id="30"/>
    </w:p>
    <w:p w14:paraId="6837D543" w14:textId="09873781" w:rsidR="00B24C0D" w:rsidRPr="004A01CD" w:rsidRDefault="00886F15" w:rsidP="00886F15">
      <w:pPr>
        <w:tabs>
          <w:tab w:val="left" w:pos="3431"/>
        </w:tabs>
        <w:jc w:val="both"/>
      </w:pPr>
      <w:r w:rsidRPr="004A01CD">
        <w:rPr>
          <w:rFonts w:cs="Arial"/>
        </w:rPr>
        <w:t xml:space="preserve">There are two tables. The first table shows </w:t>
      </w:r>
      <w:r w:rsidRPr="004A01CD">
        <w:t xml:space="preserve">a list of the six </w:t>
      </w:r>
      <w:r w:rsidR="00265C2C">
        <w:t>district</w:t>
      </w:r>
      <w:r w:rsidRPr="004A01CD">
        <w:t>s where 90% to 95% of payments are made to the</w:t>
      </w:r>
      <w:r w:rsidR="00FA6BA8">
        <w:t xml:space="preserve"> ten </w:t>
      </w:r>
      <w:r w:rsidRPr="004A01CD">
        <w:t xml:space="preserve">largest providers, and the second table shows a list of the </w:t>
      </w:r>
      <w:r w:rsidR="008338F5">
        <w:t>four</w:t>
      </w:r>
      <w:r w:rsidRPr="004A01CD">
        <w:t xml:space="preserve"> </w:t>
      </w:r>
      <w:r w:rsidR="00265C2C">
        <w:t>district</w:t>
      </w:r>
      <w:r w:rsidRPr="004A01CD">
        <w:t>s where 85% to 90% of payments are made to the</w:t>
      </w:r>
      <w:r w:rsidR="00FA6BA8">
        <w:t xml:space="preserve"> ten </w:t>
      </w:r>
      <w:r w:rsidRPr="004A01CD">
        <w:t>largest providers.</w:t>
      </w:r>
      <w:r w:rsidR="008A7453" w:rsidRPr="004A01CD">
        <w:t xml:space="preserve"> Note that the benchmark concentration is 85% for all </w:t>
      </w:r>
      <w:r w:rsidR="00265C2C">
        <w:t>district</w:t>
      </w:r>
      <w:r w:rsidR="008A7453" w:rsidRPr="004A01CD">
        <w:t>s</w:t>
      </w:r>
      <w:r w:rsidR="001F48CA" w:rsidRPr="004A01CD">
        <w:t xml:space="preserve">, and the tables are showing those </w:t>
      </w:r>
      <w:r w:rsidR="00265C2C">
        <w:t>district</w:t>
      </w:r>
      <w:r w:rsidR="001F48CA" w:rsidRPr="004A01CD">
        <w:t>s that are above the benchmark for provider concentration</w:t>
      </w:r>
      <w:r w:rsidR="008A7453" w:rsidRPr="004A01CD">
        <w:t>.</w:t>
      </w:r>
    </w:p>
    <w:p w14:paraId="469CA7E7" w14:textId="7B389FDB" w:rsidR="008A7453" w:rsidRPr="004A01CD" w:rsidRDefault="008A7453" w:rsidP="008A7453">
      <w:r w:rsidRPr="004A01CD">
        <w:t xml:space="preserve">The </w:t>
      </w:r>
      <w:r w:rsidR="00265C2C">
        <w:t>district</w:t>
      </w:r>
      <w:r w:rsidRPr="004A01CD">
        <w:t>s where 90% to 95% of payments are made to the</w:t>
      </w:r>
      <w:r w:rsidR="00FA6BA8">
        <w:t xml:space="preserve"> ten </w:t>
      </w:r>
      <w:r w:rsidRPr="004A01CD">
        <w:t>largest providers are:</w:t>
      </w:r>
    </w:p>
    <w:p w14:paraId="67EAE731" w14:textId="167B6219" w:rsidR="008723FD" w:rsidRDefault="008723FD" w:rsidP="008A7087">
      <w:pPr>
        <w:pStyle w:val="ListParagraph"/>
        <w:numPr>
          <w:ilvl w:val="0"/>
          <w:numId w:val="4"/>
        </w:numPr>
        <w:tabs>
          <w:tab w:val="left" w:pos="3431"/>
        </w:tabs>
        <w:jc w:val="both"/>
      </w:pPr>
      <w:r>
        <w:t>Midwest-Gascoyne (WA) with concentration of 94%</w:t>
      </w:r>
    </w:p>
    <w:p w14:paraId="166F267C" w14:textId="61D84691" w:rsidR="008723FD" w:rsidRDefault="008723FD" w:rsidP="008A7087">
      <w:pPr>
        <w:pStyle w:val="ListParagraph"/>
        <w:numPr>
          <w:ilvl w:val="0"/>
          <w:numId w:val="4"/>
        </w:numPr>
        <w:tabs>
          <w:tab w:val="left" w:pos="3431"/>
        </w:tabs>
        <w:jc w:val="both"/>
      </w:pPr>
      <w:r>
        <w:t>Great Southe</w:t>
      </w:r>
      <w:r w:rsidR="000860E6">
        <w:t>rn (WA) with concentration of 93</w:t>
      </w:r>
      <w:r>
        <w:t>%</w:t>
      </w:r>
    </w:p>
    <w:p w14:paraId="05796A0C" w14:textId="25E4BD75" w:rsidR="008338F5" w:rsidRDefault="008A7453" w:rsidP="008338F5">
      <w:pPr>
        <w:pStyle w:val="ListParagraph"/>
        <w:numPr>
          <w:ilvl w:val="0"/>
          <w:numId w:val="4"/>
        </w:numPr>
        <w:tabs>
          <w:tab w:val="left" w:pos="3431"/>
        </w:tabs>
        <w:jc w:val="both"/>
      </w:pPr>
      <w:r w:rsidRPr="004A01CD">
        <w:t>Barkly (NT) with concentration of 9</w:t>
      </w:r>
      <w:r w:rsidR="000860E6">
        <w:t>2</w:t>
      </w:r>
      <w:r w:rsidRPr="004A01CD">
        <w:t>%</w:t>
      </w:r>
    </w:p>
    <w:p w14:paraId="3F02C10D" w14:textId="73D283FF" w:rsidR="008E16AC" w:rsidRPr="004A01CD" w:rsidRDefault="008E16AC" w:rsidP="008E16AC">
      <w:r w:rsidRPr="004A01CD">
        <w:t xml:space="preserve">The </w:t>
      </w:r>
      <w:r w:rsidR="00265C2C">
        <w:t>district</w:t>
      </w:r>
      <w:r w:rsidRPr="004A01CD">
        <w:t>s where 90% to 95% of payments are made to the</w:t>
      </w:r>
      <w:r w:rsidR="00FA6BA8">
        <w:t xml:space="preserve"> ten </w:t>
      </w:r>
      <w:r w:rsidRPr="004A01CD">
        <w:t>largest providers are:</w:t>
      </w:r>
    </w:p>
    <w:p w14:paraId="59F85C96" w14:textId="683DD508" w:rsidR="008338F5" w:rsidRDefault="008338F5" w:rsidP="008A7087">
      <w:pPr>
        <w:pStyle w:val="ListParagraph"/>
        <w:numPr>
          <w:ilvl w:val="0"/>
          <w:numId w:val="4"/>
        </w:numPr>
        <w:tabs>
          <w:tab w:val="left" w:pos="3431"/>
        </w:tabs>
        <w:jc w:val="both"/>
      </w:pPr>
      <w:r w:rsidRPr="004A01CD">
        <w:t xml:space="preserve">Goldfields-Esperance (WA) with concentration of </w:t>
      </w:r>
      <w:r w:rsidR="000860E6">
        <w:t>90</w:t>
      </w:r>
      <w:r w:rsidRPr="004A01CD">
        <w:t>%</w:t>
      </w:r>
    </w:p>
    <w:p w14:paraId="67B4F3C0" w14:textId="720F2512" w:rsidR="008E16AC" w:rsidRDefault="008E16AC" w:rsidP="008A7087">
      <w:pPr>
        <w:pStyle w:val="ListParagraph"/>
        <w:numPr>
          <w:ilvl w:val="0"/>
          <w:numId w:val="4"/>
        </w:numPr>
        <w:tabs>
          <w:tab w:val="left" w:pos="3431"/>
        </w:tabs>
        <w:jc w:val="both"/>
      </w:pPr>
      <w:r w:rsidRPr="004A01CD">
        <w:t>Far North (SA) with concentration of 8</w:t>
      </w:r>
      <w:r w:rsidR="000860E6">
        <w:t>9</w:t>
      </w:r>
      <w:r w:rsidRPr="004A01CD">
        <w:t>%</w:t>
      </w:r>
    </w:p>
    <w:p w14:paraId="67C74665" w14:textId="73E3693D" w:rsidR="000860E6" w:rsidRPr="004A01CD" w:rsidRDefault="000860E6" w:rsidP="000860E6">
      <w:pPr>
        <w:pStyle w:val="ListParagraph"/>
        <w:numPr>
          <w:ilvl w:val="0"/>
          <w:numId w:val="4"/>
        </w:numPr>
        <w:tabs>
          <w:tab w:val="left" w:pos="3431"/>
        </w:tabs>
        <w:jc w:val="both"/>
      </w:pPr>
      <w:r>
        <w:lastRenderedPageBreak/>
        <w:t>Katherine</w:t>
      </w:r>
      <w:r w:rsidRPr="004A01CD">
        <w:t xml:space="preserve"> (</w:t>
      </w:r>
      <w:r>
        <w:t>NT</w:t>
      </w:r>
      <w:r w:rsidRPr="004A01CD">
        <w:t xml:space="preserve">) with concentration of </w:t>
      </w:r>
      <w:r>
        <w:t>88</w:t>
      </w:r>
      <w:r w:rsidRPr="004A01CD">
        <w:t>%</w:t>
      </w:r>
    </w:p>
    <w:p w14:paraId="62E4789D" w14:textId="17453266" w:rsidR="000860E6" w:rsidRPr="004A01CD" w:rsidRDefault="000860E6" w:rsidP="000860E6">
      <w:pPr>
        <w:pStyle w:val="ListParagraph"/>
        <w:numPr>
          <w:ilvl w:val="0"/>
          <w:numId w:val="4"/>
        </w:numPr>
        <w:tabs>
          <w:tab w:val="left" w:pos="3431"/>
        </w:tabs>
        <w:jc w:val="both"/>
      </w:pPr>
      <w:r w:rsidRPr="004A01CD">
        <w:t xml:space="preserve">Kimberley-Pilbara (WA) with concentration of </w:t>
      </w:r>
      <w:r>
        <w:t>85</w:t>
      </w:r>
      <w:r w:rsidRPr="004A01CD">
        <w:t>%</w:t>
      </w:r>
    </w:p>
    <w:p w14:paraId="1D81F1F2" w14:textId="75388BC8" w:rsidR="001B3BFE" w:rsidRPr="00C34ADB" w:rsidRDefault="00C34ADB" w:rsidP="00C34ADB">
      <w:pPr>
        <w:tabs>
          <w:tab w:val="left" w:pos="3431"/>
        </w:tabs>
        <w:jc w:val="both"/>
      </w:pPr>
      <w:r>
        <w:t>F</w:t>
      </w:r>
      <w:r w:rsidR="001B3BFE" w:rsidRPr="00C34ADB">
        <w:t>our of the seven districts are in the Western Australia, two are in Northern Territory, and one in South Australia.</w:t>
      </w:r>
    </w:p>
    <w:p w14:paraId="7196A1B1" w14:textId="076A7377" w:rsidR="008E16AC" w:rsidRPr="004A01CD" w:rsidRDefault="008338F5" w:rsidP="008E16AC">
      <w:pPr>
        <w:tabs>
          <w:tab w:val="left" w:pos="3431"/>
        </w:tabs>
        <w:jc w:val="both"/>
      </w:pPr>
      <w:r>
        <w:t>All</w:t>
      </w:r>
      <w:r w:rsidR="008E16AC" w:rsidRPr="004A01CD">
        <w:t xml:space="preserve"> of the </w:t>
      </w:r>
      <w:r w:rsidR="00265C2C">
        <w:t>district</w:t>
      </w:r>
      <w:r w:rsidR="008E16AC" w:rsidRPr="004A01CD">
        <w:t xml:space="preserve">s have less than $100 million in total annualised plan budgets. </w:t>
      </w:r>
    </w:p>
    <w:p w14:paraId="5FE56FA7" w14:textId="05779DBB" w:rsidR="003903B9" w:rsidRPr="004A01CD" w:rsidRDefault="003903B9" w:rsidP="003A7B01">
      <w:pPr>
        <w:pStyle w:val="Heading2"/>
      </w:pPr>
      <w:bookmarkStart w:id="31" w:name="_Toc67927013"/>
      <w:r w:rsidRPr="004A01CD">
        <w:t xml:space="preserve">Slide </w:t>
      </w:r>
      <w:r w:rsidR="00846FEB" w:rsidRPr="004A01CD">
        <w:t>2</w:t>
      </w:r>
      <w:r w:rsidR="00DF3E18">
        <w:t>4</w:t>
      </w:r>
      <w:r w:rsidR="00C34ADB" w:rsidRPr="00C34ADB">
        <w:rPr>
          <w:rFonts w:cs="Arial"/>
          <w:kern w:val="24"/>
          <w:sz w:val="40"/>
          <w:szCs w:val="40"/>
        </w:rPr>
        <w:t xml:space="preserve"> </w:t>
      </w:r>
      <w:r w:rsidR="00C34ADB" w:rsidRPr="00C34ADB">
        <w:t>Districts with provider concentration of between 90-95% has decreased compared to June 2020, indicating more providers in some districts</w:t>
      </w:r>
      <w:bookmarkEnd w:id="31"/>
    </w:p>
    <w:p w14:paraId="2D69C165" w14:textId="682ACDF8" w:rsidR="00D440EC" w:rsidRPr="004A01CD" w:rsidRDefault="00D440EC" w:rsidP="00D440EC">
      <w:r w:rsidRPr="004A01CD">
        <w:t xml:space="preserve">There are two charts. One shows the distribution of </w:t>
      </w:r>
      <w:r w:rsidR="00265C2C">
        <w:t>district</w:t>
      </w:r>
      <w:r w:rsidRPr="004A01CD">
        <w:t xml:space="preserve">s by </w:t>
      </w:r>
      <w:r w:rsidR="00AF1042" w:rsidRPr="004A01CD">
        <w:t>provider concentration</w:t>
      </w:r>
      <w:r w:rsidRPr="004A01CD">
        <w:t xml:space="preserve"> at </w:t>
      </w:r>
      <w:r w:rsidR="00C34ADB">
        <w:t>December 2020</w:t>
      </w:r>
      <w:r w:rsidRPr="004A01CD">
        <w:t xml:space="preserve"> and the other shows the distribution of </w:t>
      </w:r>
      <w:r w:rsidR="00265C2C">
        <w:t>district</w:t>
      </w:r>
      <w:r w:rsidRPr="004A01CD">
        <w:t xml:space="preserve">s by </w:t>
      </w:r>
      <w:r w:rsidR="00AF1042" w:rsidRPr="004A01CD">
        <w:t xml:space="preserve">provider concentration </w:t>
      </w:r>
      <w:r w:rsidRPr="004A01CD">
        <w:t xml:space="preserve">at </w:t>
      </w:r>
      <w:r w:rsidR="00C34ADB">
        <w:t>June 2020</w:t>
      </w:r>
      <w:r w:rsidRPr="004A01CD">
        <w:t>.</w:t>
      </w:r>
    </w:p>
    <w:p w14:paraId="4D2D0F6A" w14:textId="1FB60B31" w:rsidR="00D440EC" w:rsidRPr="004A01CD" w:rsidRDefault="00CD6E71" w:rsidP="00D440EC">
      <w:r w:rsidRPr="004A01CD">
        <w:t>At</w:t>
      </w:r>
      <w:r w:rsidR="00C34ADB">
        <w:t xml:space="preserve"> December</w:t>
      </w:r>
      <w:r w:rsidR="002A3698">
        <w:t xml:space="preserve"> 2020</w:t>
      </w:r>
      <w:r w:rsidRPr="004A01CD">
        <w:t>, 1</w:t>
      </w:r>
      <w:r w:rsidR="00C34ADB">
        <w:t>9</w:t>
      </w:r>
      <w:r w:rsidR="00D440EC" w:rsidRPr="004A01CD">
        <w:t xml:space="preserve"> </w:t>
      </w:r>
      <w:r w:rsidR="00265C2C">
        <w:t>district</w:t>
      </w:r>
      <w:r w:rsidR="00D440EC" w:rsidRPr="004A01CD">
        <w:t>s (</w:t>
      </w:r>
      <w:r w:rsidR="00504335">
        <w:t>2</w:t>
      </w:r>
      <w:r w:rsidR="00C34ADB">
        <w:t>3</w:t>
      </w:r>
      <w:r w:rsidR="00D440EC" w:rsidRPr="004A01CD">
        <w:t>.</w:t>
      </w:r>
      <w:r w:rsidR="00C34ADB">
        <w:t>8</w:t>
      </w:r>
      <w:r w:rsidR="00D440EC" w:rsidRPr="004A01CD">
        <w:t xml:space="preserve">%) </w:t>
      </w:r>
      <w:r w:rsidR="004867FC" w:rsidRPr="004A01CD">
        <w:t>had provider concentration of less than 45%</w:t>
      </w:r>
      <w:r w:rsidR="00D440EC" w:rsidRPr="004A01CD">
        <w:t xml:space="preserve">, compared to </w:t>
      </w:r>
      <w:r w:rsidR="00C34ADB" w:rsidRPr="004A01CD">
        <w:t>1</w:t>
      </w:r>
      <w:r w:rsidR="00C34ADB">
        <w:t>8</w:t>
      </w:r>
      <w:r w:rsidR="00C34ADB" w:rsidRPr="004A01CD">
        <w:t xml:space="preserve"> </w:t>
      </w:r>
      <w:r w:rsidR="00C34ADB">
        <w:t>district</w:t>
      </w:r>
      <w:r w:rsidR="00C34ADB" w:rsidRPr="004A01CD">
        <w:t>s (</w:t>
      </w:r>
      <w:r w:rsidR="00C34ADB">
        <w:t>22</w:t>
      </w:r>
      <w:r w:rsidR="00C34ADB" w:rsidRPr="004A01CD">
        <w:t>.</w:t>
      </w:r>
      <w:r w:rsidR="00C34ADB">
        <w:t>5</w:t>
      </w:r>
      <w:r w:rsidR="00C34ADB" w:rsidRPr="004A01CD">
        <w:t xml:space="preserve">%) </w:t>
      </w:r>
      <w:r w:rsidR="00D440EC" w:rsidRPr="004A01CD">
        <w:t xml:space="preserve">at </w:t>
      </w:r>
      <w:r w:rsidR="00C34ADB">
        <w:t>June 2020</w:t>
      </w:r>
      <w:r w:rsidR="00D440EC" w:rsidRPr="004A01CD">
        <w:t>.</w:t>
      </w:r>
    </w:p>
    <w:p w14:paraId="5EC07611" w14:textId="125BB6AA" w:rsidR="00622C55" w:rsidRPr="004A01CD" w:rsidRDefault="00622C55" w:rsidP="00622C55">
      <w:r w:rsidRPr="004A01CD">
        <w:t xml:space="preserve">At </w:t>
      </w:r>
      <w:r w:rsidR="00C34ADB">
        <w:t>December</w:t>
      </w:r>
      <w:r w:rsidR="002A3698">
        <w:t xml:space="preserve"> 2020</w:t>
      </w:r>
      <w:r w:rsidRPr="004A01CD">
        <w:t>, 3</w:t>
      </w:r>
      <w:r w:rsidR="00C34ADB">
        <w:t>4</w:t>
      </w:r>
      <w:r w:rsidRPr="004A01CD">
        <w:t xml:space="preserve"> </w:t>
      </w:r>
      <w:r w:rsidR="00265C2C">
        <w:t>district</w:t>
      </w:r>
      <w:r w:rsidRPr="004A01CD">
        <w:t>s (4</w:t>
      </w:r>
      <w:r w:rsidR="00C34ADB">
        <w:t>2</w:t>
      </w:r>
      <w:r w:rsidRPr="004A01CD">
        <w:t>.</w:t>
      </w:r>
      <w:r w:rsidR="00C34ADB">
        <w:t>5</w:t>
      </w:r>
      <w:r w:rsidRPr="004A01CD">
        <w:t xml:space="preserve">%) had provider concentration of between 45% and 65%, compared to </w:t>
      </w:r>
      <w:r w:rsidR="00C34ADB" w:rsidRPr="004A01CD">
        <w:t>3</w:t>
      </w:r>
      <w:r w:rsidR="00C34ADB">
        <w:t>3</w:t>
      </w:r>
      <w:r w:rsidR="00C34ADB" w:rsidRPr="004A01CD">
        <w:t xml:space="preserve"> </w:t>
      </w:r>
      <w:r w:rsidR="00C34ADB">
        <w:t>district</w:t>
      </w:r>
      <w:r w:rsidR="00C34ADB" w:rsidRPr="004A01CD">
        <w:t>s (4</w:t>
      </w:r>
      <w:r w:rsidR="00C34ADB">
        <w:t>1</w:t>
      </w:r>
      <w:r w:rsidR="00C34ADB" w:rsidRPr="004A01CD">
        <w:t>.</w:t>
      </w:r>
      <w:r w:rsidR="00C34ADB">
        <w:t>3</w:t>
      </w:r>
      <w:r w:rsidR="00C34ADB" w:rsidRPr="004A01CD">
        <w:t xml:space="preserve">%) </w:t>
      </w:r>
      <w:r w:rsidRPr="004A01CD">
        <w:t xml:space="preserve">at </w:t>
      </w:r>
      <w:r w:rsidR="00C34ADB">
        <w:t>June 2020</w:t>
      </w:r>
      <w:r w:rsidR="00C34ADB" w:rsidRPr="004A01CD">
        <w:t>.</w:t>
      </w:r>
    </w:p>
    <w:p w14:paraId="187E4391" w14:textId="7B9EF51A" w:rsidR="00622C55" w:rsidRPr="004A01CD" w:rsidRDefault="00622C55" w:rsidP="00622C55">
      <w:r w:rsidRPr="004A01CD">
        <w:t xml:space="preserve">At </w:t>
      </w:r>
      <w:r w:rsidR="00C34ADB">
        <w:t>December</w:t>
      </w:r>
      <w:r w:rsidR="002A3698">
        <w:t xml:space="preserve"> 2020</w:t>
      </w:r>
      <w:r w:rsidRPr="004A01CD">
        <w:t xml:space="preserve">, </w:t>
      </w:r>
      <w:r w:rsidR="00C34ADB">
        <w:t>20</w:t>
      </w:r>
      <w:r w:rsidRPr="004A01CD">
        <w:t xml:space="preserve"> </w:t>
      </w:r>
      <w:r w:rsidR="00265C2C">
        <w:t>district</w:t>
      </w:r>
      <w:r w:rsidRPr="004A01CD">
        <w:t>s (2</w:t>
      </w:r>
      <w:r w:rsidR="00C34ADB">
        <w:t>5.0</w:t>
      </w:r>
      <w:r w:rsidRPr="004A01CD">
        <w:t xml:space="preserve">%) had provider concentration of between 65% and 85%, compared to </w:t>
      </w:r>
      <w:r w:rsidR="00C34ADB">
        <w:t>19</w:t>
      </w:r>
      <w:r w:rsidR="00C34ADB" w:rsidRPr="004A01CD">
        <w:t xml:space="preserve"> </w:t>
      </w:r>
      <w:r w:rsidR="00C34ADB">
        <w:t>district</w:t>
      </w:r>
      <w:r w:rsidR="00C34ADB" w:rsidRPr="004A01CD">
        <w:t>s (2</w:t>
      </w:r>
      <w:r w:rsidR="00C34ADB">
        <w:t>3</w:t>
      </w:r>
      <w:r w:rsidR="00C34ADB" w:rsidRPr="004A01CD">
        <w:t>.</w:t>
      </w:r>
      <w:r w:rsidR="00C34ADB">
        <w:t>8</w:t>
      </w:r>
      <w:r w:rsidR="00C34ADB" w:rsidRPr="004A01CD">
        <w:t xml:space="preserve">%) </w:t>
      </w:r>
      <w:r w:rsidRPr="004A01CD">
        <w:t xml:space="preserve">at </w:t>
      </w:r>
      <w:r w:rsidR="00C34ADB">
        <w:t>June 2020</w:t>
      </w:r>
      <w:r w:rsidR="00C34ADB" w:rsidRPr="004A01CD">
        <w:t>.</w:t>
      </w:r>
    </w:p>
    <w:p w14:paraId="3EF2DFE7" w14:textId="2B818517" w:rsidR="00622C55" w:rsidRDefault="00622C55" w:rsidP="00622C55">
      <w:r w:rsidRPr="004A01CD">
        <w:t xml:space="preserve">At </w:t>
      </w:r>
      <w:r w:rsidR="00C34ADB">
        <w:t>both December</w:t>
      </w:r>
      <w:r w:rsidR="002A3698">
        <w:t xml:space="preserve"> 2020</w:t>
      </w:r>
      <w:r w:rsidR="00C34ADB">
        <w:t xml:space="preserve"> and June 2020</w:t>
      </w:r>
      <w:r w:rsidRPr="004A01CD">
        <w:t xml:space="preserve">, </w:t>
      </w:r>
      <w:r w:rsidR="00C34ADB">
        <w:t>4</w:t>
      </w:r>
      <w:r w:rsidRPr="004A01CD">
        <w:t xml:space="preserve"> </w:t>
      </w:r>
      <w:r w:rsidR="00265C2C">
        <w:t>district</w:t>
      </w:r>
      <w:r w:rsidRPr="004A01CD">
        <w:t>s (</w:t>
      </w:r>
      <w:r w:rsidR="00504335">
        <w:t>5</w:t>
      </w:r>
      <w:r w:rsidRPr="004A01CD">
        <w:t>.</w:t>
      </w:r>
      <w:r w:rsidR="00504335">
        <w:t>0</w:t>
      </w:r>
      <w:r w:rsidRPr="004A01CD">
        <w:t xml:space="preserve">%) had provider concentration of </w:t>
      </w:r>
      <w:r w:rsidR="00504335">
        <w:t>between</w:t>
      </w:r>
      <w:r w:rsidRPr="004A01CD">
        <w:t xml:space="preserve"> 85%</w:t>
      </w:r>
      <w:r w:rsidR="00504335">
        <w:t xml:space="preserve"> and 90%</w:t>
      </w:r>
      <w:r w:rsidR="00C34ADB">
        <w:t>.</w:t>
      </w:r>
    </w:p>
    <w:p w14:paraId="0019E320" w14:textId="0B685724" w:rsidR="007917BB" w:rsidRDefault="007917BB" w:rsidP="007917BB">
      <w:r w:rsidRPr="004A01CD">
        <w:t xml:space="preserve">At </w:t>
      </w:r>
      <w:r w:rsidR="00C34ADB">
        <w:t>December</w:t>
      </w:r>
      <w:r>
        <w:t xml:space="preserve"> 2020</w:t>
      </w:r>
      <w:r w:rsidRPr="004A01CD">
        <w:t xml:space="preserve">, </w:t>
      </w:r>
      <w:r w:rsidR="00C34ADB">
        <w:t>3</w:t>
      </w:r>
      <w:r w:rsidRPr="004A01CD">
        <w:t xml:space="preserve"> </w:t>
      </w:r>
      <w:r>
        <w:t>district</w:t>
      </w:r>
      <w:r w:rsidRPr="004A01CD">
        <w:t>s (</w:t>
      </w:r>
      <w:r w:rsidR="00C34ADB">
        <w:t>3.8</w:t>
      </w:r>
      <w:r w:rsidRPr="004A01CD">
        <w:t xml:space="preserve">%) had provider concentration of </w:t>
      </w:r>
      <w:r>
        <w:t>between</w:t>
      </w:r>
      <w:r w:rsidRPr="004A01CD">
        <w:t xml:space="preserve"> </w:t>
      </w:r>
      <w:r>
        <w:t>90</w:t>
      </w:r>
      <w:r w:rsidRPr="004A01CD">
        <w:t>%</w:t>
      </w:r>
      <w:r>
        <w:t xml:space="preserve"> and 95%</w:t>
      </w:r>
      <w:r w:rsidRPr="004A01CD">
        <w:t>, compared to</w:t>
      </w:r>
      <w:r>
        <w:t xml:space="preserve"> </w:t>
      </w:r>
      <w:r w:rsidR="00C34ADB">
        <w:t>6</w:t>
      </w:r>
      <w:r w:rsidR="00C34ADB" w:rsidRPr="004A01CD">
        <w:t xml:space="preserve"> </w:t>
      </w:r>
      <w:r w:rsidR="00C34ADB">
        <w:t>district</w:t>
      </w:r>
      <w:r w:rsidR="00C34ADB" w:rsidRPr="004A01CD">
        <w:t>s (</w:t>
      </w:r>
      <w:r w:rsidR="00C34ADB">
        <w:t>7</w:t>
      </w:r>
      <w:r w:rsidR="00C34ADB" w:rsidRPr="004A01CD">
        <w:t>.</w:t>
      </w:r>
      <w:r w:rsidR="00C34ADB">
        <w:t>5</w:t>
      </w:r>
      <w:r w:rsidR="00C34ADB" w:rsidRPr="004A01CD">
        <w:t xml:space="preserve">%) </w:t>
      </w:r>
      <w:r w:rsidRPr="004A01CD">
        <w:t xml:space="preserve">at </w:t>
      </w:r>
      <w:r w:rsidR="00C34ADB">
        <w:t>June 2020</w:t>
      </w:r>
      <w:r w:rsidR="00C34ADB" w:rsidRPr="004A01CD">
        <w:t>.</w:t>
      </w:r>
    </w:p>
    <w:p w14:paraId="3CE3C3AA" w14:textId="75047176" w:rsidR="00C34ADB" w:rsidRDefault="00C34ADB" w:rsidP="007917BB">
      <w:r>
        <w:t>At both December 2020 and June 2020, none had provider concentration above 95%.</w:t>
      </w:r>
    </w:p>
    <w:p w14:paraId="4DBF1023" w14:textId="191DBB00" w:rsidR="00937916" w:rsidRPr="004A01CD" w:rsidRDefault="00937916" w:rsidP="003A7B01">
      <w:pPr>
        <w:pStyle w:val="Heading2"/>
      </w:pPr>
      <w:bookmarkStart w:id="32" w:name="_Toc67927014"/>
      <w:r w:rsidRPr="004A01CD">
        <w:t xml:space="preserve">Slide </w:t>
      </w:r>
      <w:r w:rsidR="00846FEB" w:rsidRPr="004A01CD">
        <w:t>2</w:t>
      </w:r>
      <w:r w:rsidR="00DF3E18">
        <w:t>5</w:t>
      </w:r>
      <w:r w:rsidRPr="004A01CD">
        <w:t xml:space="preserve">: </w:t>
      </w:r>
      <w:r w:rsidR="00C34ADB" w:rsidRPr="00C34ADB">
        <w:t>Provider concentration has remained relatively stable compared to June 2020</w:t>
      </w:r>
      <w:bookmarkEnd w:id="32"/>
    </w:p>
    <w:p w14:paraId="2D7D97F5" w14:textId="77777777" w:rsidR="00C34ADB" w:rsidRPr="00C34ADB" w:rsidRDefault="00C34ADB" w:rsidP="00C34ADB">
      <w:pPr>
        <w:jc w:val="both"/>
        <w:rPr>
          <w:rFonts w:cs="Arial"/>
        </w:rPr>
      </w:pPr>
      <w:r w:rsidRPr="00C34ADB">
        <w:rPr>
          <w:rFonts w:cs="Arial"/>
          <w:b/>
          <w:bCs/>
        </w:rPr>
        <w:t>The average level of provider concentration across districts in Australia has fallen from 60% to 59%. Overall this indicates a slight improvement since the June 2020 NDIS Market Report.</w:t>
      </w:r>
    </w:p>
    <w:p w14:paraId="32504EEB" w14:textId="77777777" w:rsidR="00C34ADB" w:rsidRPr="00C34ADB" w:rsidRDefault="00C34ADB" w:rsidP="00C34ADB">
      <w:pPr>
        <w:jc w:val="both"/>
        <w:rPr>
          <w:rFonts w:cs="Arial"/>
        </w:rPr>
      </w:pPr>
      <w:r w:rsidRPr="00C34ADB">
        <w:rPr>
          <w:rFonts w:cs="Arial"/>
        </w:rPr>
        <w:t>As shown on the charts on the preceding slide, the number of districts above the benchmark (85% of provider payments made to the top ten providers that received the most payments in the exposure period) has fallen from ten (out of 80) to seven (out of 80).</w:t>
      </w:r>
    </w:p>
    <w:p w14:paraId="57520BF7" w14:textId="77777777" w:rsidR="00C34ADB" w:rsidRPr="00C34ADB" w:rsidRDefault="00C34ADB" w:rsidP="00C34ADB">
      <w:pPr>
        <w:jc w:val="both"/>
        <w:rPr>
          <w:rFonts w:cs="Arial"/>
        </w:rPr>
      </w:pPr>
      <w:r w:rsidRPr="00C34ADB">
        <w:rPr>
          <w:rFonts w:cs="Arial"/>
        </w:rPr>
        <w:t xml:space="preserve">East Arnhem (NT), Central Australia (NT), and </w:t>
      </w:r>
      <w:proofErr w:type="spellStart"/>
      <w:r w:rsidRPr="00C34ADB">
        <w:rPr>
          <w:rFonts w:cs="Arial"/>
        </w:rPr>
        <w:t>Fleurieu</w:t>
      </w:r>
      <w:proofErr w:type="spellEnd"/>
      <w:r w:rsidRPr="00C34ADB">
        <w:rPr>
          <w:rFonts w:cs="Arial"/>
        </w:rPr>
        <w:t xml:space="preserve"> and Kangaroo Island (SA) are districts with provider concentration above benchmark in June 2020 which are now below the benchmark. </w:t>
      </w:r>
    </w:p>
    <w:p w14:paraId="59EC9AC5" w14:textId="77777777" w:rsidR="00C34ADB" w:rsidRPr="00C34ADB" w:rsidRDefault="00C34ADB" w:rsidP="00C34ADB">
      <w:pPr>
        <w:jc w:val="both"/>
        <w:rPr>
          <w:rFonts w:cs="Arial"/>
        </w:rPr>
      </w:pPr>
      <w:r w:rsidRPr="00C34ADB">
        <w:rPr>
          <w:rFonts w:cs="Arial"/>
        </w:rPr>
        <w:t>The number of districts below the benchmark has increased from 70 to 73 (out of 80).</w:t>
      </w:r>
    </w:p>
    <w:p w14:paraId="64FA62A3" w14:textId="77777777" w:rsidR="00C34ADB" w:rsidRPr="00C34ADB" w:rsidRDefault="00C34ADB" w:rsidP="00C34ADB">
      <w:pPr>
        <w:jc w:val="both"/>
        <w:rPr>
          <w:rFonts w:cs="Arial"/>
        </w:rPr>
      </w:pPr>
      <w:r w:rsidRPr="00C34ADB">
        <w:rPr>
          <w:rFonts w:cs="Arial"/>
        </w:rPr>
        <w:t>The proportion of the overall split (between ‘65% to 85%’, ‘45% to 65%’ and ‘below 45%’ of payments goes to top ten providers) has not significantly changed compared to June 2020.</w:t>
      </w:r>
    </w:p>
    <w:p w14:paraId="74A6F6B5" w14:textId="77777777" w:rsidR="00C34ADB" w:rsidRPr="00C34ADB" w:rsidRDefault="00C34ADB" w:rsidP="00C34ADB">
      <w:pPr>
        <w:jc w:val="both"/>
        <w:rPr>
          <w:rFonts w:cs="Arial"/>
        </w:rPr>
      </w:pPr>
      <w:r w:rsidRPr="00C34ADB">
        <w:rPr>
          <w:rFonts w:cs="Arial"/>
        </w:rPr>
        <w:t>Similar results in June and December 2019 indicate that provider concentration is a relatively stable metric.</w:t>
      </w:r>
    </w:p>
    <w:p w14:paraId="0AE46519" w14:textId="04F3AE9F" w:rsidR="00C34ADB" w:rsidRPr="00622AC9" w:rsidRDefault="00937916" w:rsidP="00C34ADB">
      <w:pPr>
        <w:pStyle w:val="Heading2"/>
      </w:pPr>
      <w:bookmarkStart w:id="33" w:name="_Toc67927015"/>
      <w:r w:rsidRPr="00C34ADB">
        <w:lastRenderedPageBreak/>
        <w:t xml:space="preserve">Slide </w:t>
      </w:r>
      <w:r w:rsidR="00B67826" w:rsidRPr="00C34ADB">
        <w:t>2</w:t>
      </w:r>
      <w:r w:rsidR="00DF3E18">
        <w:t>6</w:t>
      </w:r>
      <w:r w:rsidRPr="00C34ADB">
        <w:t xml:space="preserve">: </w:t>
      </w:r>
      <w:r w:rsidR="00C34ADB" w:rsidRPr="00C34ADB">
        <w:t>All the districts above the provider concentration benchmark had less than $100m in total plan budgets</w:t>
      </w:r>
      <w:bookmarkEnd w:id="33"/>
    </w:p>
    <w:p w14:paraId="1B386CD3" w14:textId="3A22EFE8" w:rsidR="00622AC9" w:rsidRDefault="00622AC9" w:rsidP="00622AC9">
      <w:pPr>
        <w:jc w:val="both"/>
        <w:rPr>
          <w:rFonts w:cs="Arial"/>
          <w:bCs/>
        </w:rPr>
      </w:pPr>
      <w:r w:rsidRPr="00622AC9">
        <w:rPr>
          <w:rFonts w:cs="Arial"/>
        </w:rPr>
        <w:t xml:space="preserve">A </w:t>
      </w:r>
      <w:r w:rsidRPr="00622AC9">
        <w:rPr>
          <w:rFonts w:cs="Arial"/>
          <w:bCs/>
        </w:rPr>
        <w:t>chart provides further insight into each service district with less than $100m in total plan budgets over the period.</w:t>
      </w:r>
    </w:p>
    <w:p w14:paraId="4B933C60" w14:textId="178F6922" w:rsidR="00622AC9" w:rsidRDefault="00622AC9" w:rsidP="00622AC9">
      <w:pPr>
        <w:jc w:val="both"/>
        <w:rPr>
          <w:rFonts w:cs="Arial"/>
          <w:bCs/>
        </w:rPr>
      </w:pPr>
      <w:r w:rsidRPr="00622AC9">
        <w:rPr>
          <w:rFonts w:cs="Arial"/>
        </w:rPr>
        <w:t xml:space="preserve">A </w:t>
      </w:r>
      <w:r w:rsidRPr="00622AC9">
        <w:rPr>
          <w:rFonts w:cs="Arial"/>
          <w:bCs/>
        </w:rPr>
        <w:t>service district with the highest provider concentration is Midwest-Gascoyne followed by Great Southern – both in Western Australia. At 94% and 93%, respectively, these are districts with the highest concentration across all service districts in Australia.</w:t>
      </w:r>
    </w:p>
    <w:p w14:paraId="4E9B7E65" w14:textId="5F196647" w:rsidR="00622AC9" w:rsidRPr="00622AC9" w:rsidRDefault="00622AC9" w:rsidP="00622AC9">
      <w:pPr>
        <w:jc w:val="both"/>
        <w:rPr>
          <w:rFonts w:cs="Arial"/>
          <w:bCs/>
        </w:rPr>
      </w:pPr>
      <w:r w:rsidRPr="00622AC9">
        <w:rPr>
          <w:rFonts w:cs="Arial"/>
        </w:rPr>
        <w:t xml:space="preserve">These </w:t>
      </w:r>
      <w:r w:rsidRPr="00622AC9">
        <w:rPr>
          <w:rFonts w:cs="Arial"/>
          <w:bCs/>
        </w:rPr>
        <w:t>districts are relatively new to the analysis and have been in Scheme for a year and a half as at 31 December 2020.</w:t>
      </w:r>
    </w:p>
    <w:p w14:paraId="6649F950" w14:textId="7FDB4294" w:rsidR="00614642" w:rsidRPr="004A01CD" w:rsidRDefault="00614642" w:rsidP="002E3512">
      <w:pPr>
        <w:pStyle w:val="Heading2"/>
      </w:pPr>
      <w:bookmarkStart w:id="34" w:name="_Toc67927016"/>
      <w:r w:rsidRPr="004A01CD">
        <w:t xml:space="preserve">Slide </w:t>
      </w:r>
      <w:r w:rsidR="00A53212" w:rsidRPr="004A01CD">
        <w:t>2</w:t>
      </w:r>
      <w:r w:rsidR="00DF3E18">
        <w:t>7</w:t>
      </w:r>
      <w:r w:rsidRPr="004A01CD">
        <w:t xml:space="preserve">: </w:t>
      </w:r>
      <w:r w:rsidR="00C34ADB" w:rsidRPr="00C34ADB">
        <w:t>All districts with more than $100m in total plan budgets had provider concentration below the benchmark</w:t>
      </w:r>
      <w:bookmarkEnd w:id="34"/>
    </w:p>
    <w:p w14:paraId="7149ABC5" w14:textId="35B14DC2" w:rsidR="001A4479" w:rsidRDefault="007261CA" w:rsidP="00CD0537">
      <w:r w:rsidRPr="004A01CD">
        <w:t>There are two charts. One</w:t>
      </w:r>
      <w:r w:rsidR="0039187F" w:rsidRPr="004A01CD">
        <w:t xml:space="preserve"> chart shows provider concentration, and the corresponding benchmark (85%), for each </w:t>
      </w:r>
      <w:r w:rsidR="00265C2C">
        <w:t>service district</w:t>
      </w:r>
      <w:r w:rsidR="0039187F" w:rsidRPr="004A01CD">
        <w:t xml:space="preserve"> with total annualised plan budgets of </w:t>
      </w:r>
      <w:r w:rsidRPr="004A01CD">
        <w:t>between $</w:t>
      </w:r>
      <w:r w:rsidR="00C34ADB">
        <w:t>100</w:t>
      </w:r>
      <w:r w:rsidRPr="004A01CD">
        <w:t xml:space="preserve"> million and $</w:t>
      </w:r>
      <w:r w:rsidR="00C34ADB">
        <w:t>225</w:t>
      </w:r>
      <w:r w:rsidRPr="004A01CD">
        <w:t xml:space="preserve"> million, and the other shows the same provider concentration for </w:t>
      </w:r>
      <w:r w:rsidR="00265C2C">
        <w:t>district</w:t>
      </w:r>
      <w:r w:rsidRPr="004A01CD">
        <w:t>s with total annualised plan budgets of more than $</w:t>
      </w:r>
      <w:r w:rsidR="00C34ADB">
        <w:t>225</w:t>
      </w:r>
      <w:r w:rsidRPr="004A01CD">
        <w:t xml:space="preserve"> million</w:t>
      </w:r>
      <w:r w:rsidR="0039187F" w:rsidRPr="004A01CD">
        <w:t>.</w:t>
      </w:r>
    </w:p>
    <w:p w14:paraId="6E00E41D" w14:textId="2A5B6AE8" w:rsidR="00D420E9" w:rsidRPr="00D420E9" w:rsidRDefault="00D420E9" w:rsidP="00CD0537">
      <w:r w:rsidRPr="00D420E9">
        <w:t xml:space="preserve">While </w:t>
      </w:r>
      <w:r w:rsidRPr="00D420E9">
        <w:rPr>
          <w:bCs/>
        </w:rPr>
        <w:t>all of the districts display levels of provider concentration below the benchmark, there are still markets where investment could be beneficial. Comparison of the two charts also shows that provider concentration tends to be greater in the smaller districts</w:t>
      </w:r>
      <w:r>
        <w:rPr>
          <w:bCs/>
        </w:rPr>
        <w:t>.</w:t>
      </w:r>
    </w:p>
    <w:p w14:paraId="36BBBCEA" w14:textId="31207FEA" w:rsidR="00307D5A" w:rsidRPr="004A01CD" w:rsidRDefault="00307D5A" w:rsidP="00CD0537">
      <w:pPr>
        <w:pStyle w:val="Heading2"/>
      </w:pPr>
      <w:bookmarkStart w:id="35" w:name="_Toc67927017"/>
      <w:r w:rsidRPr="004A01CD">
        <w:t xml:space="preserve">Slide </w:t>
      </w:r>
      <w:r w:rsidR="00A53212" w:rsidRPr="004A01CD">
        <w:t>2</w:t>
      </w:r>
      <w:r w:rsidR="00DF3E18">
        <w:t>8</w:t>
      </w:r>
      <w:r w:rsidRPr="004A01CD">
        <w:t xml:space="preserve">: </w:t>
      </w:r>
      <w:r w:rsidR="00C34ADB" w:rsidRPr="00C34ADB">
        <w:t>The outcomes indicator on choice and control for four districts was more than 10% below the benchmark</w:t>
      </w:r>
      <w:bookmarkEnd w:id="35"/>
    </w:p>
    <w:p w14:paraId="24799D75" w14:textId="6FDBF772" w:rsidR="00C34ADB" w:rsidRDefault="00C34ADB" w:rsidP="00C34ADB">
      <w:pPr>
        <w:jc w:val="both"/>
        <w:rPr>
          <w:b/>
          <w:bCs/>
        </w:rPr>
      </w:pPr>
      <w:r w:rsidRPr="00C34ADB">
        <w:rPr>
          <w:b/>
          <w:bCs/>
        </w:rPr>
        <w:t>The analysis shows that the proportion of participants that reported that they do not choose who supports them was more than 10% below the benchmark for four districts.</w:t>
      </w:r>
    </w:p>
    <w:p w14:paraId="64B0BC9C" w14:textId="72C48EAE" w:rsidR="00D420E9" w:rsidRDefault="00D420E9" w:rsidP="00D420E9">
      <w:pPr>
        <w:rPr>
          <w:bCs/>
        </w:rPr>
      </w:pPr>
      <w:r w:rsidRPr="00D420E9">
        <w:t xml:space="preserve">A </w:t>
      </w:r>
      <w:r w:rsidRPr="00D420E9">
        <w:rPr>
          <w:bCs/>
        </w:rPr>
        <w:t>chart shows the distribution of the gap between the outcomes indicator on choice and control1 and the benchmark2, for each service district. The benchmark represents the national average, adjusted for the mix of SIL participants</w:t>
      </w:r>
      <w:r>
        <w:rPr>
          <w:bCs/>
        </w:rPr>
        <w:t>.</w:t>
      </w:r>
    </w:p>
    <w:p w14:paraId="6F950153" w14:textId="680369B5" w:rsidR="00D420E9" w:rsidRDefault="00D420E9" w:rsidP="00D420E9">
      <w:pPr>
        <w:rPr>
          <w:bCs/>
        </w:rPr>
      </w:pPr>
      <w:r w:rsidRPr="00D420E9">
        <w:t xml:space="preserve">The </w:t>
      </w:r>
      <w:r w:rsidRPr="00D420E9">
        <w:rPr>
          <w:bCs/>
        </w:rPr>
        <w:t>indicator in respect of four districts was more than 10% below the benchmark: Darwin Remote (NT)</w:t>
      </w:r>
      <w:proofErr w:type="gramStart"/>
      <w:r w:rsidRPr="00D420E9">
        <w:rPr>
          <w:bCs/>
        </w:rPr>
        <w:t>,  Katherine</w:t>
      </w:r>
      <w:proofErr w:type="gramEnd"/>
      <w:r w:rsidRPr="00D420E9">
        <w:rPr>
          <w:bCs/>
        </w:rPr>
        <w:t xml:space="preserve"> (NT), East Arnhem (NT) and Goldfields-Esperance (WA).</w:t>
      </w:r>
    </w:p>
    <w:p w14:paraId="70F37ACE" w14:textId="7C11D2C4" w:rsidR="00D420E9" w:rsidRPr="00D420E9" w:rsidRDefault="00D420E9" w:rsidP="00D420E9">
      <w:r w:rsidRPr="00D420E9">
        <w:t xml:space="preserve">The </w:t>
      </w:r>
      <w:r w:rsidRPr="00D420E9">
        <w:rPr>
          <w:bCs/>
        </w:rPr>
        <w:t>indicator for three districts was more than 10% above the benchmark: Barkly (NT), ACT (ACT), and Barwon (VIC). Limestone Coast (SA) which was more than 10% above the benchmark in June 2020 is now just 9% above the benchmark</w:t>
      </w:r>
      <w:r>
        <w:rPr>
          <w:bCs/>
        </w:rPr>
        <w:t>.</w:t>
      </w:r>
    </w:p>
    <w:p w14:paraId="6C5C7736" w14:textId="658A5E30" w:rsidR="00267A94" w:rsidRPr="00C34ADB" w:rsidRDefault="00267A94" w:rsidP="003A7B01">
      <w:pPr>
        <w:pStyle w:val="Heading2"/>
      </w:pPr>
      <w:bookmarkStart w:id="36" w:name="_Toc67927018"/>
      <w:r w:rsidRPr="00C34ADB">
        <w:t xml:space="preserve">Slide </w:t>
      </w:r>
      <w:r w:rsidR="0005284D" w:rsidRPr="00C34ADB">
        <w:t>2</w:t>
      </w:r>
      <w:r w:rsidR="00DF3E18">
        <w:t>9</w:t>
      </w:r>
      <w:r w:rsidRPr="00C34ADB">
        <w:t xml:space="preserve">: </w:t>
      </w:r>
      <w:r w:rsidR="00C34ADB" w:rsidRPr="00C34ADB">
        <w:t>The majority of districts more than 10% below the outcomes indicator benchmark were in NT</w:t>
      </w:r>
      <w:bookmarkEnd w:id="36"/>
    </w:p>
    <w:p w14:paraId="5C5A85C5" w14:textId="7A0EA511" w:rsidR="00754E74" w:rsidRPr="004A01CD" w:rsidRDefault="00C64C37" w:rsidP="003B6F30">
      <w:r w:rsidRPr="004A01CD">
        <w:t>There are two tables.</w:t>
      </w:r>
      <w:r w:rsidR="0050142D" w:rsidRPr="004A01CD">
        <w:t xml:space="preserve"> One shows </w:t>
      </w:r>
      <w:r w:rsidR="00C72488" w:rsidRPr="004A01CD">
        <w:t xml:space="preserve">a list of the </w:t>
      </w:r>
      <w:r w:rsidR="00754E74" w:rsidRPr="004A01CD">
        <w:t xml:space="preserve">two </w:t>
      </w:r>
      <w:r w:rsidR="00265C2C">
        <w:t>district</w:t>
      </w:r>
      <w:r w:rsidR="00754E74" w:rsidRPr="004A01CD">
        <w:t>s more than</w:t>
      </w:r>
      <w:r w:rsidR="00FA6BA8">
        <w:t xml:space="preserve"> ten </w:t>
      </w:r>
      <w:r w:rsidR="00754E74" w:rsidRPr="004A01CD">
        <w:t xml:space="preserve">percentage points below benchmark for the outcomes indicator on choice and control. The second shows </w:t>
      </w:r>
      <w:r w:rsidR="00C72488" w:rsidRPr="004A01CD">
        <w:t xml:space="preserve">a list of the </w:t>
      </w:r>
      <w:r w:rsidR="003B6F30">
        <w:t>15</w:t>
      </w:r>
      <w:r w:rsidR="00754E74" w:rsidRPr="004A01CD">
        <w:t xml:space="preserve"> </w:t>
      </w:r>
      <w:r w:rsidR="00265C2C">
        <w:t>district</w:t>
      </w:r>
      <w:r w:rsidR="00754E74" w:rsidRPr="004A01CD">
        <w:t>s between</w:t>
      </w:r>
      <w:r w:rsidR="00FA6BA8">
        <w:t xml:space="preserve"> five </w:t>
      </w:r>
      <w:r w:rsidR="00754E74" w:rsidRPr="004A01CD">
        <w:t>and</w:t>
      </w:r>
      <w:r w:rsidR="00FA6BA8">
        <w:t xml:space="preserve"> ten </w:t>
      </w:r>
      <w:r w:rsidR="00754E74" w:rsidRPr="004A01CD">
        <w:t>percentage points below benchmark for the outcomes indicator on choice and control.</w:t>
      </w:r>
    </w:p>
    <w:p w14:paraId="3235EF6D" w14:textId="50F40F34" w:rsidR="00C72488" w:rsidRPr="004A01CD" w:rsidRDefault="00C72488" w:rsidP="003B6F30">
      <w:r w:rsidRPr="004A01CD">
        <w:t xml:space="preserve">The </w:t>
      </w:r>
      <w:r w:rsidR="00265C2C">
        <w:t>district</w:t>
      </w:r>
      <w:r w:rsidRPr="004A01CD">
        <w:t>s more than</w:t>
      </w:r>
      <w:r w:rsidR="00FA6BA8">
        <w:t xml:space="preserve"> ten </w:t>
      </w:r>
      <w:r w:rsidRPr="004A01CD">
        <w:t>percentage points below benchmark for the outcomes indicator on choice and control are:</w:t>
      </w:r>
    </w:p>
    <w:p w14:paraId="6ED57A5E" w14:textId="39635895" w:rsidR="003B6F30" w:rsidRDefault="003B6F30" w:rsidP="008A7087">
      <w:pPr>
        <w:pStyle w:val="ListParagraph"/>
        <w:numPr>
          <w:ilvl w:val="0"/>
          <w:numId w:val="8"/>
        </w:numPr>
      </w:pPr>
      <w:r>
        <w:lastRenderedPageBreak/>
        <w:t>Darwin Remote</w:t>
      </w:r>
      <w:r w:rsidRPr="004A01CD">
        <w:t xml:space="preserve"> (NT) with an outcomes indicator of </w:t>
      </w:r>
      <w:r w:rsidR="00C34ADB">
        <w:t>36</w:t>
      </w:r>
      <w:r w:rsidRPr="004A01CD">
        <w:t>%, compared to a benchmark of 5</w:t>
      </w:r>
      <w:r w:rsidR="00C34ADB">
        <w:t>6</w:t>
      </w:r>
      <w:r w:rsidRPr="004A01CD">
        <w:t>%</w:t>
      </w:r>
    </w:p>
    <w:p w14:paraId="7BC5D3AC" w14:textId="07E03C67" w:rsidR="00C34ADB" w:rsidRPr="004A01CD" w:rsidRDefault="00C34ADB" w:rsidP="00C34ADB">
      <w:pPr>
        <w:pStyle w:val="ListParagraph"/>
        <w:numPr>
          <w:ilvl w:val="0"/>
          <w:numId w:val="8"/>
        </w:numPr>
      </w:pPr>
      <w:r w:rsidRPr="004A01CD">
        <w:t xml:space="preserve">Katherine (NT) </w:t>
      </w:r>
      <w:r>
        <w:t>with an outcomes indicator of 27</w:t>
      </w:r>
      <w:r w:rsidRPr="004A01CD">
        <w:t>%, compared to a benchmark of 4</w:t>
      </w:r>
      <w:r>
        <w:t>5</w:t>
      </w:r>
      <w:r w:rsidRPr="004A01CD">
        <w:t>%</w:t>
      </w:r>
    </w:p>
    <w:p w14:paraId="0EC45566" w14:textId="32417696" w:rsidR="003B6F30" w:rsidRPr="004A01CD" w:rsidRDefault="003B6F30" w:rsidP="008A7087">
      <w:pPr>
        <w:pStyle w:val="ListParagraph"/>
        <w:numPr>
          <w:ilvl w:val="0"/>
          <w:numId w:val="8"/>
        </w:numPr>
      </w:pPr>
      <w:r w:rsidRPr="004A01CD">
        <w:t>East Arnhem (NT) with an outcomes indicator of 4</w:t>
      </w:r>
      <w:r w:rsidR="00C34ADB">
        <w:t>5</w:t>
      </w:r>
      <w:r w:rsidRPr="004A01CD">
        <w:t xml:space="preserve">%, compared to a benchmark of </w:t>
      </w:r>
      <w:r w:rsidR="00C34ADB">
        <w:t>56</w:t>
      </w:r>
      <w:r w:rsidRPr="004A01CD">
        <w:t>%</w:t>
      </w:r>
    </w:p>
    <w:p w14:paraId="1D0CD73D" w14:textId="0929F5B6" w:rsidR="003B6F30" w:rsidRPr="004A01CD" w:rsidRDefault="003B6F30" w:rsidP="008A7087">
      <w:pPr>
        <w:pStyle w:val="ListParagraph"/>
        <w:numPr>
          <w:ilvl w:val="0"/>
          <w:numId w:val="8"/>
        </w:numPr>
      </w:pPr>
      <w:r>
        <w:t>Goldfields-Esperance</w:t>
      </w:r>
      <w:r w:rsidRPr="004A01CD">
        <w:t xml:space="preserve"> (</w:t>
      </w:r>
      <w:r>
        <w:t>WA</w:t>
      </w:r>
      <w:r w:rsidRPr="004A01CD">
        <w:t>) with an outcomes indicator of 4</w:t>
      </w:r>
      <w:r w:rsidR="00C34ADB">
        <w:t>2</w:t>
      </w:r>
      <w:r w:rsidRPr="004A01CD">
        <w:t>%, compared to a benchmark of 5</w:t>
      </w:r>
      <w:r w:rsidR="00C34ADB">
        <w:t>3</w:t>
      </w:r>
      <w:r w:rsidRPr="004A01CD">
        <w:t>%</w:t>
      </w:r>
    </w:p>
    <w:p w14:paraId="32B32F84" w14:textId="454024C2" w:rsidR="00DF6D4F" w:rsidRPr="004A01CD" w:rsidRDefault="003B6F30" w:rsidP="003B6F30">
      <w:r>
        <w:t>All of these</w:t>
      </w:r>
      <w:r w:rsidR="00DF6D4F" w:rsidRPr="004A01CD">
        <w:t xml:space="preserve"> </w:t>
      </w:r>
      <w:r w:rsidR="00265C2C">
        <w:t>district</w:t>
      </w:r>
      <w:r w:rsidR="00DF6D4F" w:rsidRPr="004A01CD">
        <w:t xml:space="preserve">s are small, with </w:t>
      </w:r>
      <w:proofErr w:type="gramStart"/>
      <w:r>
        <w:t>participants</w:t>
      </w:r>
      <w:proofErr w:type="gramEnd"/>
      <w:r>
        <w:t xml:space="preserve"> numbers ranging from 1</w:t>
      </w:r>
      <w:r w:rsidR="00B47312">
        <w:t>77</w:t>
      </w:r>
      <w:r>
        <w:t xml:space="preserve"> to </w:t>
      </w:r>
      <w:r w:rsidR="00B47312">
        <w:t>546</w:t>
      </w:r>
      <w:r>
        <w:t>.</w:t>
      </w:r>
    </w:p>
    <w:p w14:paraId="2F504F3C" w14:textId="457795B0" w:rsidR="00C72488" w:rsidRDefault="00C72488" w:rsidP="003B6F30">
      <w:r w:rsidRPr="004A01CD">
        <w:t xml:space="preserve">The </w:t>
      </w:r>
      <w:r w:rsidR="00265C2C">
        <w:t>district</w:t>
      </w:r>
      <w:r w:rsidRPr="004A01CD">
        <w:t>s between</w:t>
      </w:r>
      <w:r w:rsidR="00FA6BA8">
        <w:t xml:space="preserve"> five </w:t>
      </w:r>
      <w:r w:rsidRPr="004A01CD">
        <w:t>and</w:t>
      </w:r>
      <w:r w:rsidR="00FA6BA8">
        <w:t xml:space="preserve"> ten </w:t>
      </w:r>
      <w:r w:rsidRPr="004A01CD">
        <w:t>percentage points below benchmark for the outcomes indicator on choice and control are:</w:t>
      </w:r>
    </w:p>
    <w:p w14:paraId="40EF9B03" w14:textId="38A7E169" w:rsidR="00B47312" w:rsidRDefault="00B47312" w:rsidP="00B47312">
      <w:pPr>
        <w:pStyle w:val="ListParagraph"/>
        <w:numPr>
          <w:ilvl w:val="0"/>
          <w:numId w:val="7"/>
        </w:numPr>
      </w:pPr>
      <w:r w:rsidRPr="004A01CD">
        <w:t>South Western Sydney (NSW) with an outcomes indicator of 4</w:t>
      </w:r>
      <w:r>
        <w:t>5</w:t>
      </w:r>
      <w:r w:rsidRPr="004A01CD">
        <w:t>%, compared to a benchmark of 5</w:t>
      </w:r>
      <w:r w:rsidR="008D04AC">
        <w:t>2</w:t>
      </w:r>
      <w:r w:rsidRPr="004A01CD">
        <w:t>%</w:t>
      </w:r>
    </w:p>
    <w:p w14:paraId="4976361A" w14:textId="7D5D6DB3" w:rsidR="003B6F30" w:rsidRDefault="003B6F30" w:rsidP="00B47312">
      <w:pPr>
        <w:pStyle w:val="ListParagraph"/>
        <w:numPr>
          <w:ilvl w:val="0"/>
          <w:numId w:val="7"/>
        </w:numPr>
      </w:pPr>
      <w:r w:rsidRPr="004A01CD">
        <w:t>Central Australia (NT) with an outcomes indicator of 3</w:t>
      </w:r>
      <w:r w:rsidR="00B47312">
        <w:t>7</w:t>
      </w:r>
      <w:r w:rsidRPr="004A01CD">
        <w:t>%, compared to a benchmark of 4</w:t>
      </w:r>
      <w:r w:rsidR="008D04AC">
        <w:t>6</w:t>
      </w:r>
      <w:r w:rsidRPr="004A01CD">
        <w:t>%</w:t>
      </w:r>
    </w:p>
    <w:p w14:paraId="6E1D0931" w14:textId="1CCFA3E4" w:rsidR="00B47312" w:rsidRPr="004A01CD" w:rsidRDefault="00B47312" w:rsidP="00B47312">
      <w:pPr>
        <w:pStyle w:val="ListParagraph"/>
        <w:numPr>
          <w:ilvl w:val="0"/>
          <w:numId w:val="7"/>
        </w:numPr>
      </w:pPr>
      <w:r w:rsidRPr="004A01CD">
        <w:t>South Eastern Sydney (NSW) with an outcomes indicator of 4</w:t>
      </w:r>
      <w:r>
        <w:t>4</w:t>
      </w:r>
      <w:r w:rsidRPr="004A01CD">
        <w:t>%, compared to a benchmark of 5</w:t>
      </w:r>
      <w:r w:rsidR="008D04AC">
        <w:t>2</w:t>
      </w:r>
      <w:r w:rsidRPr="004A01CD">
        <w:t>%</w:t>
      </w:r>
    </w:p>
    <w:p w14:paraId="0763DE86" w14:textId="77FDFCAB" w:rsidR="003B6F30" w:rsidRPr="004A01CD" w:rsidRDefault="003B6F30" w:rsidP="008A7087">
      <w:pPr>
        <w:pStyle w:val="ListParagraph"/>
        <w:numPr>
          <w:ilvl w:val="0"/>
          <w:numId w:val="7"/>
        </w:numPr>
      </w:pPr>
      <w:r w:rsidRPr="004A01CD">
        <w:t>Sydney (NSW) with an outcomes indicator of 4</w:t>
      </w:r>
      <w:r w:rsidR="00B47312">
        <w:t>5</w:t>
      </w:r>
      <w:r w:rsidRPr="004A01CD">
        <w:t>%, compared to a benchmark of 5</w:t>
      </w:r>
      <w:r w:rsidR="008D04AC">
        <w:t>3</w:t>
      </w:r>
      <w:r w:rsidRPr="004A01CD">
        <w:t>%</w:t>
      </w:r>
    </w:p>
    <w:p w14:paraId="12DBF4E0" w14:textId="6FC2F035" w:rsidR="003B6F30" w:rsidRDefault="003B6F30" w:rsidP="008A7087">
      <w:pPr>
        <w:pStyle w:val="ListParagraph"/>
        <w:numPr>
          <w:ilvl w:val="0"/>
          <w:numId w:val="7"/>
        </w:numPr>
      </w:pPr>
      <w:r>
        <w:t>Central North Metro (WA) with an outcomes indicator of 4</w:t>
      </w:r>
      <w:r w:rsidR="00B47312">
        <w:t>4</w:t>
      </w:r>
      <w:r>
        <w:t>% compared to a benchmark of 5</w:t>
      </w:r>
      <w:r w:rsidR="008D04AC">
        <w:t>1</w:t>
      </w:r>
      <w:r>
        <w:t>%</w:t>
      </w:r>
    </w:p>
    <w:p w14:paraId="06DA0D17" w14:textId="56DBFACA" w:rsidR="00B47312" w:rsidRDefault="00B47312" w:rsidP="00B47312">
      <w:pPr>
        <w:pStyle w:val="ListParagraph"/>
        <w:numPr>
          <w:ilvl w:val="0"/>
          <w:numId w:val="7"/>
        </w:numPr>
      </w:pPr>
      <w:r>
        <w:t>Wheat Belt (WA) with an outcomes indicator of 48% compared to a benchmark of 5</w:t>
      </w:r>
      <w:r w:rsidR="008D04AC">
        <w:t>5</w:t>
      </w:r>
      <w:r>
        <w:t>%</w:t>
      </w:r>
    </w:p>
    <w:p w14:paraId="5AB7BE72" w14:textId="002FEE8E" w:rsidR="003B6F30" w:rsidRDefault="003B6F30" w:rsidP="008A7087">
      <w:pPr>
        <w:pStyle w:val="ListParagraph"/>
        <w:numPr>
          <w:ilvl w:val="0"/>
          <w:numId w:val="7"/>
        </w:numPr>
      </w:pPr>
      <w:r w:rsidRPr="004A01CD">
        <w:t>TAS South East (TAS) with an outcomes indicator of 4</w:t>
      </w:r>
      <w:r w:rsidR="00B47312">
        <w:t>6</w:t>
      </w:r>
      <w:r w:rsidRPr="004A01CD">
        <w:t xml:space="preserve">%, compared to a benchmark of </w:t>
      </w:r>
      <w:r>
        <w:t>5</w:t>
      </w:r>
      <w:r w:rsidR="008D04AC">
        <w:t>1</w:t>
      </w:r>
      <w:r w:rsidRPr="004A01CD">
        <w:t>%</w:t>
      </w:r>
    </w:p>
    <w:p w14:paraId="204AB9D7" w14:textId="1DA4F19B" w:rsidR="00B47312" w:rsidRDefault="00B47312" w:rsidP="00B47312">
      <w:pPr>
        <w:pStyle w:val="ListParagraph"/>
        <w:numPr>
          <w:ilvl w:val="0"/>
          <w:numId w:val="7"/>
        </w:numPr>
      </w:pPr>
      <w:proofErr w:type="spellStart"/>
      <w:r>
        <w:t>Brimbank</w:t>
      </w:r>
      <w:proofErr w:type="spellEnd"/>
      <w:r>
        <w:t xml:space="preserve"> Melton</w:t>
      </w:r>
      <w:r w:rsidRPr="004A01CD">
        <w:t xml:space="preserve"> (</w:t>
      </w:r>
      <w:r>
        <w:t>VIC</w:t>
      </w:r>
      <w:r w:rsidRPr="004A01CD">
        <w:t>) with an outcomes indicator of 4</w:t>
      </w:r>
      <w:r>
        <w:t>8</w:t>
      </w:r>
      <w:r w:rsidRPr="004A01CD">
        <w:t xml:space="preserve">%, compared to a benchmark of </w:t>
      </w:r>
      <w:r>
        <w:t>5</w:t>
      </w:r>
      <w:r w:rsidR="008D04AC">
        <w:t>4</w:t>
      </w:r>
      <w:r w:rsidRPr="004A01CD">
        <w:t>%</w:t>
      </w:r>
    </w:p>
    <w:p w14:paraId="0968BA5F" w14:textId="2BBC95B0" w:rsidR="003B6F30" w:rsidRDefault="00B47312" w:rsidP="008A7087">
      <w:pPr>
        <w:pStyle w:val="ListParagraph"/>
        <w:numPr>
          <w:ilvl w:val="0"/>
          <w:numId w:val="7"/>
        </w:numPr>
      </w:pPr>
      <w:r>
        <w:t>Western Sydney</w:t>
      </w:r>
      <w:r w:rsidR="003B6F30">
        <w:t xml:space="preserve"> (</w:t>
      </w:r>
      <w:r>
        <w:t>NSW</w:t>
      </w:r>
      <w:r w:rsidR="003B6F30">
        <w:t>) with an outcomes indicator of 4</w:t>
      </w:r>
      <w:r>
        <w:t>6</w:t>
      </w:r>
      <w:r w:rsidR="003B6F30">
        <w:t>% compared to a benchmark of 5</w:t>
      </w:r>
      <w:r w:rsidR="008D04AC">
        <w:t>1</w:t>
      </w:r>
      <w:r w:rsidR="003B6F30">
        <w:t>%.</w:t>
      </w:r>
    </w:p>
    <w:p w14:paraId="75F8AB2C" w14:textId="16493035" w:rsidR="003B6F30" w:rsidRDefault="00B47312" w:rsidP="008A7087">
      <w:pPr>
        <w:pStyle w:val="ListParagraph"/>
        <w:numPr>
          <w:ilvl w:val="0"/>
          <w:numId w:val="7"/>
        </w:numPr>
      </w:pPr>
      <w:r>
        <w:t>Inner East Melbourne</w:t>
      </w:r>
      <w:r w:rsidR="003B6F30">
        <w:t xml:space="preserve"> (</w:t>
      </w:r>
      <w:r>
        <w:t>VIC</w:t>
      </w:r>
      <w:r w:rsidR="003B6F30">
        <w:t xml:space="preserve">) with an outcomes indicator of </w:t>
      </w:r>
      <w:r>
        <w:t>45</w:t>
      </w:r>
      <w:r w:rsidR="003B6F30">
        <w:t xml:space="preserve">% compared to a benchmark of </w:t>
      </w:r>
      <w:r w:rsidR="008D04AC">
        <w:t>50</w:t>
      </w:r>
      <w:r w:rsidR="003B6F30">
        <w:t>%.</w:t>
      </w:r>
    </w:p>
    <w:p w14:paraId="6FAFADF1" w14:textId="5E118BA0" w:rsidR="003B6F30" w:rsidRDefault="003B6F30" w:rsidP="008A7087">
      <w:pPr>
        <w:pStyle w:val="ListParagraph"/>
        <w:numPr>
          <w:ilvl w:val="0"/>
          <w:numId w:val="7"/>
        </w:numPr>
      </w:pPr>
      <w:r>
        <w:t>Southern Melbourne (VIC) with an outcomes indicator of 4</w:t>
      </w:r>
      <w:r w:rsidR="00B47312">
        <w:t>9</w:t>
      </w:r>
      <w:r>
        <w:t>%, compared to a benchmark of 5</w:t>
      </w:r>
      <w:r w:rsidR="008D04AC">
        <w:t>4</w:t>
      </w:r>
      <w:r>
        <w:t>%</w:t>
      </w:r>
    </w:p>
    <w:p w14:paraId="72E5CA5E" w14:textId="740FF67A" w:rsidR="00B47312" w:rsidRDefault="00B47312" w:rsidP="00B47312">
      <w:pPr>
        <w:pStyle w:val="ListParagraph"/>
        <w:numPr>
          <w:ilvl w:val="0"/>
          <w:numId w:val="7"/>
        </w:numPr>
      </w:pPr>
      <w:r w:rsidRPr="004A01CD">
        <w:t>North Metro (WA) with an outcomes indicator of 4</w:t>
      </w:r>
      <w:r>
        <w:t>8</w:t>
      </w:r>
      <w:r w:rsidRPr="004A01CD">
        <w:t>%, compared to a benchmark of 5</w:t>
      </w:r>
      <w:r w:rsidR="008D04AC">
        <w:t>3</w:t>
      </w:r>
      <w:r w:rsidRPr="004A01CD">
        <w:t>%</w:t>
      </w:r>
    </w:p>
    <w:p w14:paraId="4CA0E45A" w14:textId="78BF378D" w:rsidR="00B47312" w:rsidRDefault="00B47312" w:rsidP="00B47312">
      <w:pPr>
        <w:pStyle w:val="ListParagraph"/>
        <w:numPr>
          <w:ilvl w:val="0"/>
          <w:numId w:val="7"/>
        </w:numPr>
      </w:pPr>
      <w:r w:rsidRPr="004A01CD">
        <w:t>North Sydney (NSW) with an outcomes indicator of 4</w:t>
      </w:r>
      <w:r>
        <w:t>5</w:t>
      </w:r>
      <w:r w:rsidRPr="004A01CD">
        <w:t xml:space="preserve">%, compared to a benchmark of </w:t>
      </w:r>
      <w:r w:rsidR="008D04AC">
        <w:t>50</w:t>
      </w:r>
      <w:r w:rsidRPr="004A01CD">
        <w:t>%</w:t>
      </w:r>
    </w:p>
    <w:p w14:paraId="74795F0F" w14:textId="0B1A37A7" w:rsidR="00FE0AF2" w:rsidRPr="004A01CD" w:rsidRDefault="00FE0AF2" w:rsidP="00FE0AF2">
      <w:pPr>
        <w:pStyle w:val="Heading2"/>
      </w:pPr>
      <w:bookmarkStart w:id="37" w:name="_Toc67927019"/>
      <w:r w:rsidRPr="004A01CD">
        <w:t xml:space="preserve">Slide </w:t>
      </w:r>
      <w:r w:rsidR="00DF3E18">
        <w:t>30</w:t>
      </w:r>
      <w:r w:rsidRPr="004A01CD">
        <w:t xml:space="preserve">: </w:t>
      </w:r>
      <w:r w:rsidR="00AD4F20" w:rsidRPr="00AD4F20">
        <w:t>The number of districts that are within five percentage points of the benchmark has risen from 39 to 44 between June 2020 and December 2020</w:t>
      </w:r>
      <w:bookmarkEnd w:id="37"/>
    </w:p>
    <w:p w14:paraId="78A21E0F" w14:textId="3B5DD2F9" w:rsidR="00EF4381" w:rsidRPr="004A01CD" w:rsidRDefault="00EF4381" w:rsidP="00EF4381">
      <w:r w:rsidRPr="004A01CD">
        <w:t xml:space="preserve">There are two charts. One shows the distribution of </w:t>
      </w:r>
      <w:r w:rsidR="00265C2C">
        <w:t>district</w:t>
      </w:r>
      <w:r w:rsidRPr="004A01CD">
        <w:t xml:space="preserve">s by their </w:t>
      </w:r>
      <w:r w:rsidRPr="004A01CD">
        <w:rPr>
          <w:rFonts w:cs="Arial"/>
        </w:rPr>
        <w:t>gap between the outcomes indicator on choice and control and the benchmark</w:t>
      </w:r>
      <w:r w:rsidRPr="004A01CD">
        <w:t xml:space="preserve"> at </w:t>
      </w:r>
      <w:r w:rsidR="00AD4F20">
        <w:t>December</w:t>
      </w:r>
      <w:r w:rsidR="002A3698">
        <w:t xml:space="preserve"> 2020</w:t>
      </w:r>
      <w:r w:rsidRPr="004A01CD">
        <w:t xml:space="preserve">, and the other shows the distribution of </w:t>
      </w:r>
      <w:r w:rsidR="00265C2C">
        <w:t>district</w:t>
      </w:r>
      <w:r w:rsidRPr="004A01CD">
        <w:t xml:space="preserve">s by their </w:t>
      </w:r>
      <w:r w:rsidRPr="004A01CD">
        <w:rPr>
          <w:rFonts w:cs="Arial"/>
        </w:rPr>
        <w:t>gap between the outcomes indicator on choice and control and the benchmark</w:t>
      </w:r>
      <w:r w:rsidRPr="004A01CD">
        <w:t xml:space="preserve"> at </w:t>
      </w:r>
      <w:r w:rsidR="00AD4F20">
        <w:t>June 2020</w:t>
      </w:r>
      <w:r w:rsidRPr="004A01CD">
        <w:t>.</w:t>
      </w:r>
    </w:p>
    <w:p w14:paraId="7E682BDE" w14:textId="2E55AAEB" w:rsidR="00EF4381" w:rsidRPr="004A01CD" w:rsidRDefault="004D3FF7" w:rsidP="00EF4381">
      <w:r w:rsidRPr="004A01CD">
        <w:t xml:space="preserve">At </w:t>
      </w:r>
      <w:r w:rsidR="00AD4F20">
        <w:t>December</w:t>
      </w:r>
      <w:r w:rsidR="002A3698">
        <w:t xml:space="preserve"> 2020</w:t>
      </w:r>
      <w:r w:rsidRPr="004A01CD">
        <w:t xml:space="preserve">, </w:t>
      </w:r>
      <w:r w:rsidR="00AD4F20">
        <w:t>3</w:t>
      </w:r>
      <w:r w:rsidR="00EF4381" w:rsidRPr="004A01CD">
        <w:t xml:space="preserve"> </w:t>
      </w:r>
      <w:r w:rsidR="00265C2C">
        <w:t>district</w:t>
      </w:r>
      <w:r w:rsidR="00EF4381" w:rsidRPr="004A01CD">
        <w:t>s (</w:t>
      </w:r>
      <w:r w:rsidR="00AD4F20">
        <w:t>3</w:t>
      </w:r>
      <w:r w:rsidRPr="004A01CD">
        <w:t>.</w:t>
      </w:r>
      <w:r w:rsidR="00AD4F20">
        <w:t>8</w:t>
      </w:r>
      <w:r w:rsidR="00EF4381" w:rsidRPr="004A01CD">
        <w:t xml:space="preserve">%) </w:t>
      </w:r>
      <w:r w:rsidRPr="004A01CD">
        <w:t>were more than</w:t>
      </w:r>
      <w:r w:rsidR="00FA6BA8">
        <w:t xml:space="preserve"> ten </w:t>
      </w:r>
      <w:r w:rsidRPr="004A01CD">
        <w:t>percentage points below benchmark</w:t>
      </w:r>
      <w:r w:rsidR="00EF4381" w:rsidRPr="004A01CD">
        <w:t xml:space="preserve">, compared to </w:t>
      </w:r>
      <w:r w:rsidR="00AD4F20">
        <w:t>4</w:t>
      </w:r>
      <w:r w:rsidR="00AD4F20" w:rsidRPr="004A01CD">
        <w:t xml:space="preserve"> </w:t>
      </w:r>
      <w:r w:rsidR="00AD4F20">
        <w:t>district</w:t>
      </w:r>
      <w:r w:rsidR="00AD4F20" w:rsidRPr="004A01CD">
        <w:t>s (</w:t>
      </w:r>
      <w:r w:rsidR="00AD4F20">
        <w:t>5</w:t>
      </w:r>
      <w:r w:rsidR="00AD4F20" w:rsidRPr="004A01CD">
        <w:t>.</w:t>
      </w:r>
      <w:r w:rsidR="00AD4F20">
        <w:t>0</w:t>
      </w:r>
      <w:r w:rsidR="00AD4F20" w:rsidRPr="004A01CD">
        <w:t xml:space="preserve">%) </w:t>
      </w:r>
      <w:r w:rsidR="00EF4381" w:rsidRPr="004A01CD">
        <w:t xml:space="preserve">at </w:t>
      </w:r>
      <w:r w:rsidR="00AD4F20">
        <w:t>June 2020</w:t>
      </w:r>
      <w:r w:rsidR="00EF4381" w:rsidRPr="004A01CD">
        <w:t>.</w:t>
      </w:r>
    </w:p>
    <w:p w14:paraId="229ABB40" w14:textId="29CEC89D" w:rsidR="004D3FF7" w:rsidRPr="004A01CD" w:rsidRDefault="004D3FF7" w:rsidP="004D3FF7">
      <w:r w:rsidRPr="004A01CD">
        <w:t>At</w:t>
      </w:r>
      <w:r w:rsidR="00AD4F20">
        <w:t xml:space="preserve"> Decembe</w:t>
      </w:r>
      <w:r w:rsidR="00980258">
        <w:t xml:space="preserve">r </w:t>
      </w:r>
      <w:r w:rsidR="002A3698">
        <w:t>2020</w:t>
      </w:r>
      <w:r w:rsidRPr="004A01CD">
        <w:t>, 1</w:t>
      </w:r>
      <w:r w:rsidR="00AD4F20">
        <w:t>6</w:t>
      </w:r>
      <w:r w:rsidRPr="004A01CD">
        <w:t xml:space="preserve"> </w:t>
      </w:r>
      <w:r w:rsidR="00265C2C">
        <w:t>district</w:t>
      </w:r>
      <w:r w:rsidRPr="004A01CD">
        <w:t>s (</w:t>
      </w:r>
      <w:r w:rsidR="00AD4F20">
        <w:t>20</w:t>
      </w:r>
      <w:r w:rsidRPr="004A01CD">
        <w:t>%) were between</w:t>
      </w:r>
      <w:r w:rsidR="00FA6BA8">
        <w:t xml:space="preserve"> five </w:t>
      </w:r>
      <w:r w:rsidRPr="004A01CD">
        <w:t>and</w:t>
      </w:r>
      <w:r w:rsidR="00FA6BA8">
        <w:t xml:space="preserve"> ten </w:t>
      </w:r>
      <w:r w:rsidRPr="004A01CD">
        <w:t xml:space="preserve">percentage points below benchmark, compared to </w:t>
      </w:r>
      <w:r w:rsidR="00AD4F20" w:rsidRPr="004A01CD">
        <w:t>1</w:t>
      </w:r>
      <w:r w:rsidR="00AD4F20">
        <w:t>8</w:t>
      </w:r>
      <w:r w:rsidR="00AD4F20" w:rsidRPr="004A01CD">
        <w:t xml:space="preserve"> </w:t>
      </w:r>
      <w:r w:rsidR="00AD4F20">
        <w:t>district</w:t>
      </w:r>
      <w:r w:rsidR="00AD4F20" w:rsidRPr="004A01CD">
        <w:t>s (2</w:t>
      </w:r>
      <w:r w:rsidR="00AD4F20">
        <w:t>2</w:t>
      </w:r>
      <w:r w:rsidR="00AD4F20" w:rsidRPr="004A01CD">
        <w:t>.</w:t>
      </w:r>
      <w:r w:rsidR="00AD4F20">
        <w:t>5</w:t>
      </w:r>
      <w:r w:rsidR="00AD4F20" w:rsidRPr="004A01CD">
        <w:t xml:space="preserve">%) </w:t>
      </w:r>
      <w:r w:rsidRPr="004A01CD">
        <w:t xml:space="preserve">at </w:t>
      </w:r>
      <w:r w:rsidR="00AD4F20">
        <w:t>June 2020</w:t>
      </w:r>
      <w:r w:rsidRPr="004A01CD">
        <w:t>.</w:t>
      </w:r>
    </w:p>
    <w:p w14:paraId="250E5BE5" w14:textId="245B3FEA" w:rsidR="004D3FF7" w:rsidRPr="004A01CD" w:rsidRDefault="00A5033C" w:rsidP="004D3FF7">
      <w:r w:rsidRPr="004A01CD">
        <w:lastRenderedPageBreak/>
        <w:t xml:space="preserve">At </w:t>
      </w:r>
      <w:r w:rsidR="00AD4F20">
        <w:t xml:space="preserve">December </w:t>
      </w:r>
      <w:r w:rsidR="002A3698">
        <w:t>2020</w:t>
      </w:r>
      <w:r w:rsidRPr="004A01CD">
        <w:t xml:space="preserve">, </w:t>
      </w:r>
      <w:r w:rsidR="00AD4F20">
        <w:t>44</w:t>
      </w:r>
      <w:r w:rsidR="004D3FF7" w:rsidRPr="004A01CD">
        <w:t xml:space="preserve"> </w:t>
      </w:r>
      <w:r w:rsidR="00265C2C">
        <w:t>district</w:t>
      </w:r>
      <w:r w:rsidR="004D3FF7" w:rsidRPr="004A01CD">
        <w:t>s (</w:t>
      </w:r>
      <w:r w:rsidR="00AD4F20">
        <w:t>55.0</w:t>
      </w:r>
      <w:r w:rsidR="004D3FF7" w:rsidRPr="004A01CD">
        <w:t>%) were more than</w:t>
      </w:r>
      <w:r w:rsidR="00FA6BA8">
        <w:t xml:space="preserve"> ten </w:t>
      </w:r>
      <w:r w:rsidR="004D3FF7" w:rsidRPr="004A01CD">
        <w:t xml:space="preserve">percentage points below benchmark, compared to </w:t>
      </w:r>
      <w:r w:rsidR="00AD4F20">
        <w:t>39</w:t>
      </w:r>
      <w:r w:rsidR="00AD4F20" w:rsidRPr="004A01CD">
        <w:t xml:space="preserve"> </w:t>
      </w:r>
      <w:r w:rsidR="00AD4F20">
        <w:t>district</w:t>
      </w:r>
      <w:r w:rsidR="00AD4F20" w:rsidRPr="004A01CD">
        <w:t>s (</w:t>
      </w:r>
      <w:r w:rsidR="00AD4F20">
        <w:t>48</w:t>
      </w:r>
      <w:r w:rsidR="00AD4F20" w:rsidRPr="004A01CD">
        <w:t>.</w:t>
      </w:r>
      <w:r w:rsidR="00AD4F20">
        <w:t>8</w:t>
      </w:r>
      <w:r w:rsidR="00AD4F20" w:rsidRPr="004A01CD">
        <w:t xml:space="preserve">%) </w:t>
      </w:r>
      <w:r w:rsidR="004D3FF7" w:rsidRPr="004A01CD">
        <w:t xml:space="preserve">at </w:t>
      </w:r>
      <w:r w:rsidR="00AD4F20">
        <w:t>June 2020</w:t>
      </w:r>
      <w:r w:rsidR="004D3FF7" w:rsidRPr="004A01CD">
        <w:t>.</w:t>
      </w:r>
    </w:p>
    <w:p w14:paraId="32E82B45" w14:textId="79A6BDF1" w:rsidR="004D3FF7" w:rsidRPr="004A01CD" w:rsidRDefault="004D3FF7" w:rsidP="004D3FF7">
      <w:r w:rsidRPr="004A01CD">
        <w:t xml:space="preserve">At </w:t>
      </w:r>
      <w:r w:rsidR="00AD4F20">
        <w:t xml:space="preserve">December </w:t>
      </w:r>
      <w:r w:rsidR="002A3698">
        <w:t>2020</w:t>
      </w:r>
      <w:r w:rsidRPr="004A01CD">
        <w:t xml:space="preserve">, </w:t>
      </w:r>
      <w:r w:rsidR="00A5033C" w:rsidRPr="004A01CD">
        <w:t>1</w:t>
      </w:r>
      <w:r w:rsidR="00980258">
        <w:t>3</w:t>
      </w:r>
      <w:r w:rsidR="00A5033C" w:rsidRPr="004A01CD">
        <w:t xml:space="preserve"> </w:t>
      </w:r>
      <w:r w:rsidR="00265C2C">
        <w:t>district</w:t>
      </w:r>
      <w:r w:rsidRPr="004A01CD">
        <w:t>s (</w:t>
      </w:r>
      <w:r w:rsidR="00A5033C" w:rsidRPr="004A01CD">
        <w:t>1</w:t>
      </w:r>
      <w:r w:rsidR="00980258">
        <w:t>6</w:t>
      </w:r>
      <w:r w:rsidR="00A5033C" w:rsidRPr="004A01CD">
        <w:t>.</w:t>
      </w:r>
      <w:r w:rsidR="00980258">
        <w:t>3</w:t>
      </w:r>
      <w:r w:rsidRPr="004A01CD">
        <w:t>%) were more than</w:t>
      </w:r>
      <w:r w:rsidR="00FA6BA8">
        <w:t xml:space="preserve"> ten </w:t>
      </w:r>
      <w:r w:rsidRPr="004A01CD">
        <w:t>percentage points below benchmark, compared to</w:t>
      </w:r>
      <w:r w:rsidR="00A5033C" w:rsidRPr="004A01CD">
        <w:t xml:space="preserve"> </w:t>
      </w:r>
      <w:r w:rsidR="00AD4F20" w:rsidRPr="004A01CD">
        <w:t>1</w:t>
      </w:r>
      <w:r w:rsidR="00AD4F20">
        <w:t>5</w:t>
      </w:r>
      <w:r w:rsidR="00AD4F20" w:rsidRPr="004A01CD">
        <w:t xml:space="preserve"> </w:t>
      </w:r>
      <w:r w:rsidR="00AD4F20">
        <w:t>district</w:t>
      </w:r>
      <w:r w:rsidR="00AD4F20" w:rsidRPr="004A01CD">
        <w:t>s (1</w:t>
      </w:r>
      <w:r w:rsidR="00AD4F20">
        <w:t>8</w:t>
      </w:r>
      <w:r w:rsidR="00AD4F20" w:rsidRPr="004A01CD">
        <w:t xml:space="preserve">.8%) </w:t>
      </w:r>
      <w:r w:rsidRPr="004A01CD">
        <w:t xml:space="preserve">at </w:t>
      </w:r>
      <w:r w:rsidR="00AD4F20">
        <w:t>June 2020</w:t>
      </w:r>
      <w:r w:rsidRPr="004A01CD">
        <w:t>.</w:t>
      </w:r>
    </w:p>
    <w:p w14:paraId="0FD0D00F" w14:textId="0CD1C329" w:rsidR="004D3FF7" w:rsidRPr="004A01CD" w:rsidRDefault="004D3FF7" w:rsidP="004D3FF7">
      <w:r w:rsidRPr="004A01CD">
        <w:t xml:space="preserve">At </w:t>
      </w:r>
      <w:r w:rsidR="00AD4F20">
        <w:t>Decembe</w:t>
      </w:r>
      <w:r w:rsidR="00980258">
        <w:t>r</w:t>
      </w:r>
      <w:r w:rsidR="002A3698">
        <w:t xml:space="preserve"> 2020</w:t>
      </w:r>
      <w:r w:rsidRPr="004A01CD">
        <w:t xml:space="preserve">, </w:t>
      </w:r>
      <w:r w:rsidR="00386A90">
        <w:t>4</w:t>
      </w:r>
      <w:r w:rsidRPr="004A01CD">
        <w:t xml:space="preserve"> </w:t>
      </w:r>
      <w:r w:rsidR="00265C2C">
        <w:t>district</w:t>
      </w:r>
      <w:r w:rsidRPr="004A01CD">
        <w:t>s (</w:t>
      </w:r>
      <w:r w:rsidR="00386A90">
        <w:t>5</w:t>
      </w:r>
      <w:r w:rsidR="00692CF9" w:rsidRPr="004A01CD">
        <w:t>.</w:t>
      </w:r>
      <w:r w:rsidR="00386A90">
        <w:t>0</w:t>
      </w:r>
      <w:r w:rsidRPr="004A01CD">
        <w:t>%) were more than</w:t>
      </w:r>
      <w:r w:rsidR="00FA6BA8">
        <w:t xml:space="preserve"> ten </w:t>
      </w:r>
      <w:r w:rsidRPr="004A01CD">
        <w:t xml:space="preserve">percentage points below benchmark, compared to </w:t>
      </w:r>
      <w:r w:rsidR="00AD4F20">
        <w:t>4</w:t>
      </w:r>
      <w:r w:rsidR="00AD4F20" w:rsidRPr="004A01CD">
        <w:t xml:space="preserve"> </w:t>
      </w:r>
      <w:r w:rsidR="00AD4F20">
        <w:t>district</w:t>
      </w:r>
      <w:r w:rsidR="00AD4F20" w:rsidRPr="004A01CD">
        <w:t>s (</w:t>
      </w:r>
      <w:r w:rsidR="00AD4F20">
        <w:t>5</w:t>
      </w:r>
      <w:r w:rsidR="00AD4F20" w:rsidRPr="004A01CD">
        <w:t>.</w:t>
      </w:r>
      <w:r w:rsidR="00AD4F20">
        <w:t>0</w:t>
      </w:r>
      <w:r w:rsidR="00AD4F20" w:rsidRPr="004A01CD">
        <w:t xml:space="preserve">%) </w:t>
      </w:r>
      <w:r w:rsidRPr="004A01CD">
        <w:t xml:space="preserve">at </w:t>
      </w:r>
      <w:r w:rsidR="00AD4F20">
        <w:t>June 2020</w:t>
      </w:r>
      <w:r w:rsidRPr="004A01CD">
        <w:t>.</w:t>
      </w:r>
    </w:p>
    <w:p w14:paraId="7EC21E25" w14:textId="2FAC7A6C" w:rsidR="00EA16F2" w:rsidRPr="004A01CD" w:rsidRDefault="00EA16F2" w:rsidP="003A7B01">
      <w:pPr>
        <w:pStyle w:val="Heading2"/>
      </w:pPr>
      <w:bookmarkStart w:id="38" w:name="_Toc67927020"/>
      <w:r w:rsidRPr="004A01CD">
        <w:t xml:space="preserve">Slide </w:t>
      </w:r>
      <w:r w:rsidR="00FE0AF2" w:rsidRPr="004A01CD">
        <w:t>3</w:t>
      </w:r>
      <w:r w:rsidR="00DF3E18">
        <w:t>1</w:t>
      </w:r>
      <w:r w:rsidRPr="004A01CD">
        <w:t xml:space="preserve">: </w:t>
      </w:r>
      <w:r w:rsidR="001D3C27" w:rsidRPr="001D3C27">
        <w:t>The outcomes indicator on choice and control has increased slightly compared to June 2020</w:t>
      </w:r>
      <w:bookmarkEnd w:id="38"/>
    </w:p>
    <w:p w14:paraId="79183DBC" w14:textId="77777777" w:rsidR="001D3C27" w:rsidRPr="001D3C27" w:rsidRDefault="001D3C27" w:rsidP="001D3C27">
      <w:r w:rsidRPr="001D3C27">
        <w:rPr>
          <w:b/>
          <w:bCs/>
        </w:rPr>
        <w:t>The nationwide response to the Outcomes indicator on Choice and Control has risen from 51% to 52%. Overall this indicates a slight improvement compared to June 2020.</w:t>
      </w:r>
    </w:p>
    <w:p w14:paraId="77B669E7" w14:textId="77777777" w:rsidR="001D3C27" w:rsidRPr="001D3C27" w:rsidRDefault="00C95684" w:rsidP="001D3C27">
      <w:pPr>
        <w:rPr>
          <w:rFonts w:cs="Arial"/>
        </w:rPr>
      </w:pPr>
      <w:r w:rsidRPr="00C95684">
        <w:rPr>
          <w:rFonts w:cs="Arial"/>
        </w:rPr>
        <w:t xml:space="preserve">As shown on the charts on the preceding slide, the number of districts greater than five </w:t>
      </w:r>
      <w:r w:rsidR="001D3C27" w:rsidRPr="001D3C27">
        <w:rPr>
          <w:rFonts w:cs="Arial"/>
        </w:rPr>
        <w:t xml:space="preserve">As shown on the charts on the preceding slide, the number of districts greater than five percentage </w:t>
      </w:r>
      <w:r w:rsidR="001D3C27" w:rsidRPr="00D420E9">
        <w:rPr>
          <w:rFonts w:cs="Arial"/>
        </w:rPr>
        <w:t xml:space="preserve">points </w:t>
      </w:r>
      <w:r w:rsidR="001D3C27" w:rsidRPr="00D420E9">
        <w:rPr>
          <w:rFonts w:cs="Arial"/>
          <w:bCs/>
        </w:rPr>
        <w:t>below</w:t>
      </w:r>
      <w:r w:rsidR="001D3C27" w:rsidRPr="00D420E9">
        <w:rPr>
          <w:rFonts w:cs="Arial"/>
        </w:rPr>
        <w:t xml:space="preserve"> the</w:t>
      </w:r>
      <w:r w:rsidR="001D3C27" w:rsidRPr="001D3C27">
        <w:rPr>
          <w:rFonts w:cs="Arial"/>
        </w:rPr>
        <w:t xml:space="preserve"> benchmark has fallen from 19 to 17 (out of 80).</w:t>
      </w:r>
    </w:p>
    <w:p w14:paraId="2C09C72B" w14:textId="77777777" w:rsidR="001D3C27" w:rsidRPr="001D3C27" w:rsidRDefault="001D3C27" w:rsidP="001D3C27">
      <w:pPr>
        <w:rPr>
          <w:rFonts w:cs="Arial"/>
        </w:rPr>
      </w:pPr>
      <w:r w:rsidRPr="001D3C27">
        <w:rPr>
          <w:rFonts w:cs="Arial"/>
        </w:rPr>
        <w:t xml:space="preserve">Limestone Coast (SA) which was more than 10% above the benchmark in June 2020 is now just 9% above the benchmark. </w:t>
      </w:r>
    </w:p>
    <w:p w14:paraId="26485DB0" w14:textId="77777777" w:rsidR="00D420E9" w:rsidRPr="00D420E9" w:rsidRDefault="001D3C27" w:rsidP="00D420E9">
      <w:pPr>
        <w:rPr>
          <w:rFonts w:cs="Arial"/>
        </w:rPr>
      </w:pPr>
      <w:r w:rsidRPr="001D3C27">
        <w:rPr>
          <w:rFonts w:cs="Arial"/>
        </w:rPr>
        <w:t>Overall, the number of districts greater than five percentage po</w:t>
      </w:r>
      <w:r w:rsidRPr="00D420E9">
        <w:rPr>
          <w:rFonts w:cs="Arial"/>
        </w:rPr>
        <w:t xml:space="preserve">ints </w:t>
      </w:r>
      <w:r w:rsidRPr="00D420E9">
        <w:rPr>
          <w:rFonts w:cs="Arial"/>
          <w:bCs/>
        </w:rPr>
        <w:t>above</w:t>
      </w:r>
      <w:r w:rsidRPr="00D420E9">
        <w:rPr>
          <w:rFonts w:cs="Arial"/>
        </w:rPr>
        <w:t xml:space="preserve"> the</w:t>
      </w:r>
      <w:r w:rsidRPr="001D3C27">
        <w:rPr>
          <w:rFonts w:cs="Arial"/>
        </w:rPr>
        <w:t xml:space="preserve"> benchmark </w:t>
      </w:r>
      <w:r w:rsidRPr="00D420E9">
        <w:rPr>
          <w:rFonts w:cs="Arial"/>
        </w:rPr>
        <w:t>has dropped to 19 in Decem</w:t>
      </w:r>
      <w:r w:rsidR="00D420E9" w:rsidRPr="00D420E9">
        <w:rPr>
          <w:rFonts w:cs="Arial"/>
        </w:rPr>
        <w:t>ber 2020 from 22 in June 2020.</w:t>
      </w:r>
    </w:p>
    <w:p w14:paraId="69C4075D" w14:textId="77777777" w:rsidR="00D420E9" w:rsidRPr="00D420E9" w:rsidRDefault="001D3C27" w:rsidP="00D420E9">
      <w:pPr>
        <w:rPr>
          <w:rFonts w:cs="Arial"/>
          <w:bCs/>
        </w:rPr>
      </w:pPr>
      <w:r w:rsidRPr="00D420E9">
        <w:rPr>
          <w:rFonts w:cs="Arial"/>
          <w:bCs/>
        </w:rPr>
        <w:t>The number of districts above the benchmark has remained the same – 44 (out of 80)</w:t>
      </w:r>
      <w:r w:rsidR="00D420E9" w:rsidRPr="00D420E9">
        <w:rPr>
          <w:rFonts w:cs="Arial"/>
          <w:bCs/>
        </w:rPr>
        <w:t>.</w:t>
      </w:r>
    </w:p>
    <w:p w14:paraId="503A4C4D" w14:textId="77777777" w:rsidR="00D420E9" w:rsidRPr="00D420E9" w:rsidRDefault="001D3C27" w:rsidP="00D420E9">
      <w:pPr>
        <w:rPr>
          <w:rFonts w:cs="Arial"/>
          <w:bCs/>
        </w:rPr>
      </w:pPr>
      <w:r w:rsidRPr="00D420E9">
        <w:rPr>
          <w:rFonts w:cs="Arial"/>
          <w:bCs/>
        </w:rPr>
        <w:t>The number of districts greater than ten percentage points above the benchmark has decreased from 4 to 3.</w:t>
      </w:r>
    </w:p>
    <w:p w14:paraId="35E8D0D9" w14:textId="06DC65CE" w:rsidR="001D3C27" w:rsidRPr="00D420E9" w:rsidRDefault="001D3C27" w:rsidP="00D420E9">
      <w:pPr>
        <w:rPr>
          <w:rFonts w:cs="Arial"/>
        </w:rPr>
      </w:pPr>
      <w:r w:rsidRPr="00D420E9">
        <w:rPr>
          <w:rFonts w:cs="Arial"/>
          <w:bCs/>
        </w:rPr>
        <w:t>As mentioned previously, the three districts are Barkly (NT), ACT (ACT), and Barwon (VIC). Limestone Coast (SA) which was more than 10% above the benchmark in June 2020 is now just 9% above the benchmark.</w:t>
      </w:r>
    </w:p>
    <w:p w14:paraId="2E6DD703" w14:textId="563746BF" w:rsidR="00D420E9" w:rsidRDefault="00DC5242" w:rsidP="001D3C27">
      <w:pPr>
        <w:pStyle w:val="Heading2"/>
      </w:pPr>
      <w:bookmarkStart w:id="39" w:name="_Toc67927021"/>
      <w:r w:rsidRPr="001D3C27">
        <w:t xml:space="preserve">Slide </w:t>
      </w:r>
      <w:r w:rsidR="00D02B25" w:rsidRPr="001D3C27">
        <w:t>3</w:t>
      </w:r>
      <w:r w:rsidR="00DF3E18">
        <w:t>2</w:t>
      </w:r>
      <w:r w:rsidRPr="001D3C27">
        <w:t xml:space="preserve">: </w:t>
      </w:r>
      <w:r w:rsidR="001D3C27" w:rsidRPr="001D3C27">
        <w:t>The districts more than 10% below the benchmark had less than $100m in total plan budgets</w:t>
      </w:r>
      <w:bookmarkEnd w:id="39"/>
    </w:p>
    <w:p w14:paraId="3C2293A3" w14:textId="77777777" w:rsidR="00D420E9" w:rsidRDefault="00D420E9" w:rsidP="00D420E9">
      <w:pPr>
        <w:rPr>
          <w:rFonts w:cs="Arial"/>
          <w:bCs/>
        </w:rPr>
      </w:pPr>
      <w:r>
        <w:t xml:space="preserve">The </w:t>
      </w:r>
      <w:r w:rsidRPr="00D420E9">
        <w:rPr>
          <w:rFonts w:cs="Arial"/>
          <w:bCs/>
        </w:rPr>
        <w:t>chart on the left shows the outcomes indicator on choice and control for each of the service districts that had less than $100m in total plan budgets for the period</w:t>
      </w:r>
      <w:r>
        <w:rPr>
          <w:rFonts w:cs="Arial"/>
          <w:bCs/>
        </w:rPr>
        <w:t>.</w:t>
      </w:r>
    </w:p>
    <w:p w14:paraId="6FC68E09" w14:textId="77777777" w:rsidR="00D420E9" w:rsidRPr="00D420E9" w:rsidRDefault="001D3C27" w:rsidP="00D420E9">
      <w:pPr>
        <w:rPr>
          <w:rFonts w:cs="Arial"/>
          <w:bCs/>
        </w:rPr>
      </w:pPr>
      <w:r w:rsidRPr="00D420E9">
        <w:rPr>
          <w:rFonts w:cs="Arial"/>
          <w:bCs/>
        </w:rPr>
        <w:t>The districts more than 10% below the benchmark are Darwin Remote (NT), Katherine (NT), East Arnhem (NT) and Goldfields-Esperance (WA).</w:t>
      </w:r>
    </w:p>
    <w:p w14:paraId="73917959" w14:textId="77777777" w:rsidR="00D420E9" w:rsidRPr="00D420E9" w:rsidRDefault="001D3C27" w:rsidP="00D420E9">
      <w:pPr>
        <w:rPr>
          <w:rFonts w:cs="Arial"/>
          <w:bCs/>
        </w:rPr>
      </w:pPr>
      <w:r w:rsidRPr="00D420E9">
        <w:rPr>
          <w:rFonts w:cs="Arial"/>
          <w:bCs/>
        </w:rPr>
        <w:t>These were also the regions with the largest gap below benchmark in the June 2020, December 2019, and June 2019 reports</w:t>
      </w:r>
      <w:r w:rsidR="00D420E9" w:rsidRPr="00D420E9">
        <w:rPr>
          <w:rFonts w:cs="Arial"/>
          <w:bCs/>
        </w:rPr>
        <w:t>.</w:t>
      </w:r>
    </w:p>
    <w:p w14:paraId="22BB81C7" w14:textId="69B583E3" w:rsidR="001D3C27" w:rsidRPr="00D420E9" w:rsidRDefault="001D3C27" w:rsidP="00D420E9">
      <w:pPr>
        <w:rPr>
          <w:rFonts w:cs="Arial"/>
          <w:bCs/>
        </w:rPr>
      </w:pPr>
      <w:r w:rsidRPr="00D420E9">
        <w:rPr>
          <w:rFonts w:cs="Arial"/>
          <w:bCs/>
        </w:rPr>
        <w:t xml:space="preserve">Darwin Remote (NT) is covered in more detail in the December 2019 report. Katherine (NT), and Goldfields-Esperance (WA), and East Arnhem (NT) are covered in more detail in the June 2020 report. </w:t>
      </w:r>
    </w:p>
    <w:p w14:paraId="7F866339" w14:textId="5D77F37D" w:rsidR="00023998" w:rsidRPr="00023998" w:rsidRDefault="001B3BFE" w:rsidP="00023998">
      <w:pPr>
        <w:pStyle w:val="Heading2"/>
      </w:pPr>
      <w:bookmarkStart w:id="40" w:name="_Toc67927022"/>
      <w:r w:rsidRPr="001D3C27">
        <w:t>Slide 3</w:t>
      </w:r>
      <w:r w:rsidR="00DF3E18">
        <w:t>3</w:t>
      </w:r>
      <w:r>
        <w:t xml:space="preserve">: </w:t>
      </w:r>
      <w:r w:rsidR="00023998" w:rsidRPr="00023998">
        <w:t>The outcomes indicator on choice and control was more than 10% above the benchmark for two districts with more than $225m in total plan budgets</w:t>
      </w:r>
      <w:bookmarkEnd w:id="40"/>
    </w:p>
    <w:p w14:paraId="314BEB04" w14:textId="0BC43B28" w:rsidR="001B3BFE" w:rsidRPr="001B3BFE" w:rsidRDefault="001B3BFE" w:rsidP="001B3BFE">
      <w:r>
        <w:lastRenderedPageBreak/>
        <w:t xml:space="preserve">The two charts </w:t>
      </w:r>
      <w:r w:rsidRPr="001B3BFE">
        <w:t xml:space="preserve">show the outcomes indicator on choice and control for each of the service districts that had $100m to $225m and greater than $225m in total plan budgets for the period. </w:t>
      </w:r>
    </w:p>
    <w:p w14:paraId="6B695639" w14:textId="12C86494" w:rsidR="00C5144F" w:rsidRDefault="001B3BFE" w:rsidP="001B3BFE">
      <w:r w:rsidRPr="001B3BFE">
        <w:t xml:space="preserve">None of these districts had an outcomes indicator on choice and control of more than 10% below the benchmark. The two districts from these categories that had an indicator that was more than 10% above the benchmark, were the ACT and Barwon (VIC) districts. </w:t>
      </w:r>
    </w:p>
    <w:p w14:paraId="3D817C98" w14:textId="6F5532F4" w:rsidR="007423FA" w:rsidRPr="004A01CD" w:rsidRDefault="007423FA" w:rsidP="003A7B01">
      <w:pPr>
        <w:pStyle w:val="Heading2"/>
      </w:pPr>
      <w:bookmarkStart w:id="41" w:name="_Toc67927023"/>
      <w:r w:rsidRPr="004A01CD">
        <w:t xml:space="preserve">Slide </w:t>
      </w:r>
      <w:r w:rsidR="000B09DC" w:rsidRPr="004A01CD">
        <w:t>3</w:t>
      </w:r>
      <w:r w:rsidR="00DF3E18">
        <w:t>4</w:t>
      </w:r>
      <w:r w:rsidRPr="004A01CD">
        <w:t>:</w:t>
      </w:r>
      <w:r w:rsidR="00AC3101" w:rsidRPr="004A01CD">
        <w:t xml:space="preserve"> </w:t>
      </w:r>
      <w:r w:rsidR="00C5144F">
        <w:t xml:space="preserve">Section </w:t>
      </w:r>
      <w:r w:rsidR="00AC3101" w:rsidRPr="004A01CD">
        <w:t xml:space="preserve">3 </w:t>
      </w:r>
      <w:r w:rsidR="00C5144F">
        <w:t>Service District hotspots</w:t>
      </w:r>
      <w:bookmarkEnd w:id="41"/>
    </w:p>
    <w:p w14:paraId="5684E35B" w14:textId="267C4B64" w:rsidR="00AC3101" w:rsidRPr="004A01CD" w:rsidRDefault="00AC3101" w:rsidP="00AC3101">
      <w:pPr>
        <w:jc w:val="both"/>
        <w:rPr>
          <w:rFonts w:cs="Arial"/>
        </w:rPr>
      </w:pPr>
      <w:r w:rsidRPr="004A01CD">
        <w:rPr>
          <w:rFonts w:cs="Arial"/>
        </w:rPr>
        <w:t>Slides 3</w:t>
      </w:r>
      <w:r w:rsidR="00420B2A">
        <w:rPr>
          <w:rFonts w:cs="Arial"/>
        </w:rPr>
        <w:t>5</w:t>
      </w:r>
      <w:r w:rsidRPr="004A01CD">
        <w:rPr>
          <w:rFonts w:cs="Arial"/>
        </w:rPr>
        <w:t xml:space="preserve"> to </w:t>
      </w:r>
      <w:r w:rsidR="001B3BFE">
        <w:rPr>
          <w:rFonts w:cs="Arial"/>
        </w:rPr>
        <w:t>4</w:t>
      </w:r>
      <w:r w:rsidR="00420B2A">
        <w:rPr>
          <w:rFonts w:cs="Arial"/>
        </w:rPr>
        <w:t>4</w:t>
      </w:r>
      <w:r w:rsidRPr="004A01CD">
        <w:rPr>
          <w:rFonts w:cs="Arial"/>
        </w:rPr>
        <w:t xml:space="preserve"> present insights on </w:t>
      </w:r>
      <w:r w:rsidR="00C5144F">
        <w:rPr>
          <w:rFonts w:cs="Arial"/>
        </w:rPr>
        <w:t>Service District</w:t>
      </w:r>
      <w:r w:rsidRPr="004A01CD">
        <w:rPr>
          <w:rFonts w:cs="Arial"/>
        </w:rPr>
        <w:t xml:space="preserve"> hotspots</w:t>
      </w:r>
    </w:p>
    <w:p w14:paraId="5B00A910" w14:textId="73181C56" w:rsidR="00793F7D" w:rsidRPr="004A01CD" w:rsidRDefault="00793F7D" w:rsidP="003A7B01">
      <w:pPr>
        <w:pStyle w:val="Heading2"/>
      </w:pPr>
      <w:bookmarkStart w:id="42" w:name="_Toc67927024"/>
      <w:r w:rsidRPr="004A01CD">
        <w:t>Slide</w:t>
      </w:r>
      <w:r w:rsidR="000B09DC" w:rsidRPr="004A01CD">
        <w:t xml:space="preserve"> 3</w:t>
      </w:r>
      <w:r w:rsidR="00DF3E18">
        <w:t>5</w:t>
      </w:r>
      <w:r w:rsidRPr="004A01CD">
        <w:t xml:space="preserve">: </w:t>
      </w:r>
      <w:r w:rsidR="001B3BFE" w:rsidRPr="001B3BFE">
        <w:t>Hotspots are districts that score relatively worse against one or many corporate target metric benchmarks compared with other districts</w:t>
      </w:r>
      <w:bookmarkEnd w:id="42"/>
    </w:p>
    <w:p w14:paraId="31E9C0C3" w14:textId="77777777" w:rsidR="001B3BFE" w:rsidRPr="001B3BFE" w:rsidRDefault="001B3BFE" w:rsidP="001B3BFE">
      <w:pPr>
        <w:rPr>
          <w:rFonts w:cs="Arial"/>
        </w:rPr>
      </w:pPr>
      <w:r w:rsidRPr="001B3BFE">
        <w:rPr>
          <w:rFonts w:cs="Arial"/>
        </w:rPr>
        <w:t>Review and analysis of hotspots allows us to understand the characteristics of districts where the NDIS market may not be functioning well as other districts.</w:t>
      </w:r>
    </w:p>
    <w:p w14:paraId="6F94CA96" w14:textId="77777777" w:rsidR="001B3BFE" w:rsidRPr="001B3BFE" w:rsidRDefault="001B3BFE" w:rsidP="001B3BFE">
      <w:pPr>
        <w:rPr>
          <w:rFonts w:cs="Arial"/>
        </w:rPr>
      </w:pPr>
      <w:r w:rsidRPr="001B3BFE">
        <w:rPr>
          <w:rFonts w:cs="Arial"/>
        </w:rPr>
        <w:t>Hotspots in general are chosen based on where that district sits in relation to its benchmarks. Key identifiers are:</w:t>
      </w:r>
    </w:p>
    <w:p w14:paraId="3A2CBCDA" w14:textId="77777777" w:rsidR="001B3BFE" w:rsidRPr="001B3BFE" w:rsidRDefault="001B3BFE" w:rsidP="001B3BFE">
      <w:pPr>
        <w:pStyle w:val="ListParagraph"/>
        <w:numPr>
          <w:ilvl w:val="0"/>
          <w:numId w:val="9"/>
        </w:numPr>
      </w:pPr>
      <w:r w:rsidRPr="001B3BFE">
        <w:t>Utilisation rate more than ten percentage points below benchmark.</w:t>
      </w:r>
    </w:p>
    <w:p w14:paraId="6155C173" w14:textId="77777777" w:rsidR="001B3BFE" w:rsidRPr="001B3BFE" w:rsidRDefault="001B3BFE" w:rsidP="001B3BFE">
      <w:pPr>
        <w:pStyle w:val="ListParagraph"/>
        <w:numPr>
          <w:ilvl w:val="0"/>
          <w:numId w:val="9"/>
        </w:numPr>
      </w:pPr>
      <w:r w:rsidRPr="001B3BFE">
        <w:t>More than 95% of payments go to the top ten providers (provider concentration)</w:t>
      </w:r>
    </w:p>
    <w:p w14:paraId="31EB32D8" w14:textId="77777777" w:rsidR="001B3BFE" w:rsidRPr="001B3BFE" w:rsidRDefault="001B3BFE" w:rsidP="001B3BFE">
      <w:pPr>
        <w:pStyle w:val="ListParagraph"/>
        <w:numPr>
          <w:ilvl w:val="0"/>
          <w:numId w:val="9"/>
        </w:numPr>
        <w:rPr>
          <w:rFonts w:cs="Arial"/>
        </w:rPr>
      </w:pPr>
      <w:r w:rsidRPr="001B3BFE">
        <w:t>Outcomes indicator</w:t>
      </w:r>
      <w:r w:rsidRPr="001B3BFE">
        <w:rPr>
          <w:rFonts w:cs="Arial"/>
        </w:rPr>
        <w:t xml:space="preserve"> on choice and control is more than ten percentage points below benchmark.</w:t>
      </w:r>
    </w:p>
    <w:p w14:paraId="4A6BBD9C" w14:textId="77777777" w:rsidR="00F54F75" w:rsidRPr="00F54F75" w:rsidRDefault="00F54F75" w:rsidP="00F54F75">
      <w:r w:rsidRPr="00F54F75">
        <w:t>The following districts have been identified as hotspots for the reason(s) shown:</w:t>
      </w:r>
    </w:p>
    <w:p w14:paraId="00FD894D" w14:textId="109EDC13" w:rsidR="001B3BFE" w:rsidRPr="001B3BFE" w:rsidRDefault="00FD3FD8" w:rsidP="001B3BFE">
      <w:pPr>
        <w:pStyle w:val="ListParagraph"/>
        <w:numPr>
          <w:ilvl w:val="0"/>
          <w:numId w:val="9"/>
        </w:numPr>
      </w:pPr>
      <w:r>
        <w:t xml:space="preserve">Katherine (NT) – </w:t>
      </w:r>
      <w:r w:rsidR="001B3BFE" w:rsidRPr="001B3BFE">
        <w:t>low choice and control outcomes indicator score</w:t>
      </w:r>
    </w:p>
    <w:p w14:paraId="1988F5B7" w14:textId="292B0E8F" w:rsidR="001B3BFE" w:rsidRPr="001B3BFE" w:rsidRDefault="00FD3FD8" w:rsidP="001B3BFE">
      <w:pPr>
        <w:pStyle w:val="ListParagraph"/>
        <w:numPr>
          <w:ilvl w:val="0"/>
          <w:numId w:val="9"/>
        </w:numPr>
      </w:pPr>
      <w:r>
        <w:t xml:space="preserve">Goldfields-Esperance (WA) – </w:t>
      </w:r>
      <w:r w:rsidR="001B3BFE" w:rsidRPr="001B3BFE">
        <w:t>low choice and control outcomes indicator score</w:t>
      </w:r>
    </w:p>
    <w:p w14:paraId="36471D70" w14:textId="5E1451A7" w:rsidR="001B3BFE" w:rsidRPr="001B3BFE" w:rsidRDefault="00FD3FD8" w:rsidP="001B3BFE">
      <w:pPr>
        <w:pStyle w:val="ListParagraph"/>
        <w:numPr>
          <w:ilvl w:val="0"/>
          <w:numId w:val="9"/>
        </w:numPr>
      </w:pPr>
      <w:r>
        <w:t xml:space="preserve">East Arnhem (NT) – </w:t>
      </w:r>
      <w:r w:rsidR="001B3BFE" w:rsidRPr="001B3BFE">
        <w:t>low utilisation and low choice and control outcomes indicator score</w:t>
      </w:r>
    </w:p>
    <w:p w14:paraId="61411A41" w14:textId="6F00F2C9" w:rsidR="001B3BFE" w:rsidRPr="001B3BFE" w:rsidRDefault="001B3BFE" w:rsidP="001B3BFE">
      <w:pPr>
        <w:pStyle w:val="ListParagraph"/>
        <w:numPr>
          <w:ilvl w:val="0"/>
          <w:numId w:val="9"/>
        </w:numPr>
      </w:pPr>
      <w:r w:rsidRPr="001B3BFE">
        <w:t>Darwin Remote (NT)</w:t>
      </w:r>
      <w:r w:rsidR="00FD3FD8">
        <w:t xml:space="preserve"> – </w:t>
      </w:r>
      <w:r w:rsidRPr="001B3BFE">
        <w:t>low utilisation and low choice and control outcomes indicator score</w:t>
      </w:r>
    </w:p>
    <w:p w14:paraId="19991991" w14:textId="04D33995" w:rsidR="001B3BFE" w:rsidRPr="001B3BFE" w:rsidRDefault="001B3BFE" w:rsidP="001B3BFE">
      <w:pPr>
        <w:pStyle w:val="ListParagraph"/>
        <w:numPr>
          <w:ilvl w:val="0"/>
          <w:numId w:val="9"/>
        </w:numPr>
      </w:pPr>
      <w:r w:rsidRPr="001B3BFE">
        <w:t>Barkly (NT)</w:t>
      </w:r>
      <w:r w:rsidR="00FD3FD8">
        <w:t xml:space="preserve"> – </w:t>
      </w:r>
      <w:r w:rsidRPr="001B3BFE">
        <w:t>low utilisation</w:t>
      </w:r>
    </w:p>
    <w:p w14:paraId="21767D02" w14:textId="6E28D535" w:rsidR="001B3BFE" w:rsidRPr="001B3BFE" w:rsidRDefault="001B3BFE" w:rsidP="001B3BFE">
      <w:pPr>
        <w:pStyle w:val="ListParagraph"/>
        <w:numPr>
          <w:ilvl w:val="0"/>
          <w:numId w:val="9"/>
        </w:numPr>
      </w:pPr>
      <w:r w:rsidRPr="001B3BFE">
        <w:t>Far North (SA)</w:t>
      </w:r>
      <w:r w:rsidR="00FD3FD8">
        <w:t xml:space="preserve"> – </w:t>
      </w:r>
      <w:r w:rsidRPr="001B3BFE">
        <w:t>low utilisation</w:t>
      </w:r>
    </w:p>
    <w:p w14:paraId="59A68B71" w14:textId="5626963C" w:rsidR="001B3BFE" w:rsidRPr="001B3BFE" w:rsidRDefault="001B3BFE" w:rsidP="001B3BFE">
      <w:pPr>
        <w:pStyle w:val="ListParagraph"/>
        <w:numPr>
          <w:ilvl w:val="0"/>
          <w:numId w:val="9"/>
        </w:numPr>
      </w:pPr>
      <w:r w:rsidRPr="001B3BFE">
        <w:t>Eyre and Western (SA)</w:t>
      </w:r>
      <w:r w:rsidR="00FD3FD8">
        <w:t xml:space="preserve"> – </w:t>
      </w:r>
      <w:r w:rsidRPr="001B3BFE">
        <w:t>low utilisation</w:t>
      </w:r>
    </w:p>
    <w:p w14:paraId="65406675" w14:textId="76EB7FD6" w:rsidR="001B3BFE" w:rsidRPr="001B3BFE" w:rsidRDefault="001B3BFE" w:rsidP="001B3BFE">
      <w:pPr>
        <w:pStyle w:val="ListParagraph"/>
        <w:numPr>
          <w:ilvl w:val="0"/>
          <w:numId w:val="9"/>
        </w:numPr>
      </w:pPr>
      <w:r w:rsidRPr="001B3BFE">
        <w:t>Kimberley-Pilbara (WA)</w:t>
      </w:r>
      <w:r w:rsidR="00FD3FD8">
        <w:t xml:space="preserve"> – </w:t>
      </w:r>
      <w:r w:rsidRPr="001B3BFE">
        <w:t>low utilisation</w:t>
      </w:r>
    </w:p>
    <w:p w14:paraId="72A792BB" w14:textId="61C439F0" w:rsidR="001B3BFE" w:rsidRPr="001B3BFE" w:rsidRDefault="00FD3FD8" w:rsidP="001B3BFE">
      <w:pPr>
        <w:pStyle w:val="ListParagraph"/>
        <w:numPr>
          <w:ilvl w:val="0"/>
          <w:numId w:val="9"/>
        </w:numPr>
      </w:pPr>
      <w:r>
        <w:t xml:space="preserve">Outer Gippsland (VIC) – </w:t>
      </w:r>
      <w:r w:rsidR="001B3BFE" w:rsidRPr="001B3BFE">
        <w:t xml:space="preserve">low utilisation </w:t>
      </w:r>
    </w:p>
    <w:p w14:paraId="21B51648" w14:textId="45D07BC0" w:rsidR="001B3BFE" w:rsidRPr="001B3BFE" w:rsidRDefault="00FD3FD8" w:rsidP="001B3BFE">
      <w:pPr>
        <w:pStyle w:val="ListParagraph"/>
        <w:numPr>
          <w:ilvl w:val="0"/>
          <w:numId w:val="9"/>
        </w:numPr>
      </w:pPr>
      <w:r>
        <w:t xml:space="preserve">Murray and Mallee (SA) – </w:t>
      </w:r>
      <w:r w:rsidR="001B3BFE" w:rsidRPr="001B3BFE">
        <w:t>low utilisation</w:t>
      </w:r>
    </w:p>
    <w:p w14:paraId="5DD6B8BF" w14:textId="019B7A06" w:rsidR="00203D72" w:rsidRDefault="00497A22" w:rsidP="00497A22">
      <w:r w:rsidRPr="00497A22">
        <w:t xml:space="preserve">In this report, </w:t>
      </w:r>
      <w:r>
        <w:t>only</w:t>
      </w:r>
      <w:r w:rsidRPr="00497A22">
        <w:t xml:space="preserve"> Outer Gippsland and Murray and Mallee</w:t>
      </w:r>
      <w:r>
        <w:t xml:space="preserve"> are covered in detail</w:t>
      </w:r>
      <w:r w:rsidRPr="00497A22">
        <w:t xml:space="preserve">. The other hotspots were covered in the June </w:t>
      </w:r>
      <w:r w:rsidR="00140315">
        <w:t>2020 and December 2019</w:t>
      </w:r>
      <w:r w:rsidRPr="00497A22">
        <w:t xml:space="preserve"> reports (see next slide for details).</w:t>
      </w:r>
    </w:p>
    <w:p w14:paraId="07377AEB" w14:textId="730C20C8" w:rsidR="00AC3101" w:rsidRPr="004A01CD" w:rsidRDefault="000B09DC" w:rsidP="00F54F75">
      <w:pPr>
        <w:pStyle w:val="Heading2"/>
      </w:pPr>
      <w:bookmarkStart w:id="43" w:name="_Toc67927025"/>
      <w:r w:rsidRPr="004A01CD">
        <w:t xml:space="preserve">Slide </w:t>
      </w:r>
      <w:r w:rsidR="00FE4238" w:rsidRPr="004A01CD">
        <w:t>3</w:t>
      </w:r>
      <w:r w:rsidR="00DF3E18">
        <w:t>6</w:t>
      </w:r>
      <w:r w:rsidRPr="004A01CD">
        <w:t xml:space="preserve">: </w:t>
      </w:r>
      <w:r w:rsidR="00497A22" w:rsidRPr="00497A22">
        <w:t>Hotspots identified in the December 2019 and June 2020 NDIS Market report</w:t>
      </w:r>
      <w:bookmarkEnd w:id="43"/>
    </w:p>
    <w:p w14:paraId="01F61214" w14:textId="77777777" w:rsidR="00497A22" w:rsidRPr="00497A22" w:rsidRDefault="00497A22" w:rsidP="00497A22">
      <w:pPr>
        <w:jc w:val="both"/>
        <w:rPr>
          <w:rFonts w:cs="Arial"/>
        </w:rPr>
      </w:pPr>
      <w:r w:rsidRPr="00497A22">
        <w:rPr>
          <w:rFonts w:cs="Arial"/>
        </w:rPr>
        <w:t>The June 2020 NDIS Market report covered ten hotspots. Of these, nine hotspots were chosen according to similar criteria as set out in the preceding slide (i.e. poor performance relative to benchmark) and one was chosen for strong performance against the corporate target benchmarks.</w:t>
      </w:r>
    </w:p>
    <w:p w14:paraId="58203ED7" w14:textId="77777777" w:rsidR="00497A22" w:rsidRPr="00497A22" w:rsidRDefault="00497A22" w:rsidP="00497A22">
      <w:pPr>
        <w:jc w:val="both"/>
        <w:rPr>
          <w:rFonts w:cs="Arial"/>
        </w:rPr>
      </w:pPr>
      <w:r w:rsidRPr="00497A22">
        <w:rPr>
          <w:rFonts w:cs="Arial"/>
        </w:rPr>
        <w:lastRenderedPageBreak/>
        <w:t>The following eight districts, covered in detail either in the December 2019 or June 2020 report, have remained hotspots in December 2020 for the same reasons identified previously. They are not covered in this report to avoid repetition.</w:t>
      </w:r>
    </w:p>
    <w:tbl>
      <w:tblPr>
        <w:tblW w:w="8744" w:type="dxa"/>
        <w:tblCellMar>
          <w:left w:w="0" w:type="dxa"/>
          <w:right w:w="0" w:type="dxa"/>
        </w:tblCellMar>
        <w:tblLook w:val="0420" w:firstRow="1" w:lastRow="0" w:firstColumn="0" w:lastColumn="0" w:noHBand="0" w:noVBand="1"/>
      </w:tblPr>
      <w:tblGrid>
        <w:gridCol w:w="4372"/>
        <w:gridCol w:w="4372"/>
      </w:tblGrid>
      <w:tr w:rsidR="00497A22" w:rsidRPr="00497A22" w14:paraId="0329071D" w14:textId="77777777" w:rsidTr="00497A22">
        <w:trPr>
          <w:trHeight w:val="324"/>
        </w:trPr>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346B47" w14:textId="77777777" w:rsidR="00497A22" w:rsidRPr="00497A22" w:rsidRDefault="00497A22" w:rsidP="00497A22">
            <w:pPr>
              <w:jc w:val="both"/>
            </w:pPr>
            <w:r w:rsidRPr="00497A22">
              <w:rPr>
                <w:b/>
                <w:bCs/>
              </w:rPr>
              <w:t>December 2019 report</w:t>
            </w:r>
          </w:p>
        </w:tc>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45B22" w14:textId="77777777" w:rsidR="00497A22" w:rsidRPr="00497A22" w:rsidRDefault="00497A22" w:rsidP="00497A22">
            <w:pPr>
              <w:jc w:val="both"/>
            </w:pPr>
            <w:r w:rsidRPr="00497A22">
              <w:rPr>
                <w:b/>
                <w:bCs/>
              </w:rPr>
              <w:t>June 2020 report</w:t>
            </w:r>
          </w:p>
        </w:tc>
      </w:tr>
      <w:tr w:rsidR="00497A22" w:rsidRPr="00497A22" w14:paraId="3AD86094" w14:textId="77777777" w:rsidTr="00497A22">
        <w:trPr>
          <w:trHeight w:val="324"/>
        </w:trPr>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029C41" w14:textId="77777777" w:rsidR="00497A22" w:rsidRPr="00497A22" w:rsidRDefault="00497A22" w:rsidP="00497A22">
            <w:pPr>
              <w:jc w:val="both"/>
            </w:pPr>
            <w:r w:rsidRPr="00497A22">
              <w:t>Goldfields-Esperance (WA)</w:t>
            </w:r>
          </w:p>
        </w:tc>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3156B5" w14:textId="77777777" w:rsidR="00497A22" w:rsidRPr="00497A22" w:rsidRDefault="00497A22" w:rsidP="00497A22">
            <w:pPr>
              <w:jc w:val="both"/>
            </w:pPr>
            <w:r w:rsidRPr="00497A22">
              <w:t>Katherine (NT)</w:t>
            </w:r>
            <w:r w:rsidRPr="00497A22">
              <w:tab/>
            </w:r>
          </w:p>
        </w:tc>
      </w:tr>
      <w:tr w:rsidR="00497A22" w:rsidRPr="00497A22" w14:paraId="42B94443" w14:textId="77777777" w:rsidTr="00497A22">
        <w:trPr>
          <w:trHeight w:val="324"/>
        </w:trPr>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DED4D" w14:textId="77777777" w:rsidR="00497A22" w:rsidRPr="00497A22" w:rsidRDefault="00497A22" w:rsidP="00497A22">
            <w:pPr>
              <w:jc w:val="both"/>
            </w:pPr>
            <w:r w:rsidRPr="00497A22">
              <w:t>Darwin Remote (NT)</w:t>
            </w:r>
            <w:r w:rsidRPr="00497A22">
              <w:tab/>
            </w:r>
          </w:p>
        </w:tc>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856D27" w14:textId="77777777" w:rsidR="00497A22" w:rsidRPr="00497A22" w:rsidRDefault="00497A22" w:rsidP="00497A22">
            <w:pPr>
              <w:jc w:val="both"/>
            </w:pPr>
            <w:r w:rsidRPr="00497A22">
              <w:t>East Arnhem (NT)</w:t>
            </w:r>
          </w:p>
        </w:tc>
      </w:tr>
      <w:tr w:rsidR="00497A22" w:rsidRPr="00497A22" w14:paraId="28371064" w14:textId="77777777" w:rsidTr="00497A22">
        <w:trPr>
          <w:trHeight w:val="324"/>
        </w:trPr>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7CA909" w14:textId="77777777" w:rsidR="00497A22" w:rsidRPr="00497A22" w:rsidRDefault="00497A22" w:rsidP="00497A22">
            <w:pPr>
              <w:jc w:val="both"/>
            </w:pPr>
            <w:r w:rsidRPr="00497A22">
              <w:t>Eyre and Western (SA)</w:t>
            </w:r>
          </w:p>
        </w:tc>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6DB149" w14:textId="77777777" w:rsidR="00497A22" w:rsidRPr="00497A22" w:rsidRDefault="00497A22" w:rsidP="00497A22">
            <w:pPr>
              <w:jc w:val="both"/>
            </w:pPr>
            <w:r w:rsidRPr="00497A22">
              <w:t xml:space="preserve">Barkly (NT) </w:t>
            </w:r>
          </w:p>
        </w:tc>
      </w:tr>
      <w:tr w:rsidR="00497A22" w:rsidRPr="00497A22" w14:paraId="079B6D8B" w14:textId="77777777" w:rsidTr="00497A22">
        <w:trPr>
          <w:trHeight w:val="324"/>
        </w:trPr>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7CA21F" w14:textId="77777777" w:rsidR="00497A22" w:rsidRPr="00497A22" w:rsidRDefault="00497A22" w:rsidP="00497A22">
            <w:pPr>
              <w:jc w:val="both"/>
            </w:pPr>
            <w:r w:rsidRPr="00497A22">
              <w:t>Kimberley-Pilbara (WA)</w:t>
            </w:r>
          </w:p>
        </w:tc>
        <w:tc>
          <w:tcPr>
            <w:tcW w:w="43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645847" w14:textId="77777777" w:rsidR="00497A22" w:rsidRPr="00497A22" w:rsidRDefault="00497A22" w:rsidP="00497A22">
            <w:pPr>
              <w:jc w:val="both"/>
            </w:pPr>
            <w:r w:rsidRPr="00497A22">
              <w:t>Far North (SA)</w:t>
            </w:r>
            <w:r w:rsidRPr="00497A22">
              <w:tab/>
            </w:r>
          </w:p>
        </w:tc>
      </w:tr>
    </w:tbl>
    <w:p w14:paraId="5F33ABEF" w14:textId="7967C7F9" w:rsidR="00CF4818" w:rsidRDefault="00CF4818" w:rsidP="00AC3101">
      <w:pPr>
        <w:jc w:val="both"/>
        <w:rPr>
          <w:rFonts w:cs="Arial"/>
        </w:rPr>
      </w:pPr>
    </w:p>
    <w:p w14:paraId="4BC590B9" w14:textId="77777777" w:rsidR="00497A22" w:rsidRPr="00497A22" w:rsidRDefault="00497A22" w:rsidP="00497A22">
      <w:pPr>
        <w:jc w:val="both"/>
        <w:rPr>
          <w:rFonts w:cs="Arial"/>
        </w:rPr>
      </w:pPr>
      <w:r w:rsidRPr="00497A22">
        <w:rPr>
          <w:rFonts w:cs="Arial"/>
        </w:rPr>
        <w:t xml:space="preserve">The following districts were identified as a hotspot in the June 2020 report - either due to low choice and control outcomes indicator, or high provider concentration, or that it is a district performing well in relation to benchmarks.  They are no longer considered as hotspots in this December 2020 report due to improvements relative to benchmarks. </w:t>
      </w:r>
    </w:p>
    <w:tbl>
      <w:tblPr>
        <w:tblW w:w="8730" w:type="dxa"/>
        <w:tblCellMar>
          <w:left w:w="0" w:type="dxa"/>
          <w:right w:w="0" w:type="dxa"/>
        </w:tblCellMar>
        <w:tblLook w:val="0420" w:firstRow="1" w:lastRow="0" w:firstColumn="0" w:lastColumn="0" w:noHBand="0" w:noVBand="1"/>
      </w:tblPr>
      <w:tblGrid>
        <w:gridCol w:w="4365"/>
        <w:gridCol w:w="4365"/>
      </w:tblGrid>
      <w:tr w:rsidR="00497A22" w:rsidRPr="00497A22" w14:paraId="520920D7" w14:textId="77777777" w:rsidTr="00497A22">
        <w:trPr>
          <w:trHeight w:val="401"/>
        </w:trPr>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E5CBE8" w14:textId="77777777" w:rsidR="00497A22" w:rsidRPr="00497A22" w:rsidRDefault="00497A22" w:rsidP="00497A22">
            <w:pPr>
              <w:jc w:val="both"/>
              <w:rPr>
                <w:rFonts w:cs="Arial"/>
              </w:rPr>
            </w:pPr>
            <w:r w:rsidRPr="00497A22">
              <w:rPr>
                <w:rFonts w:cs="Arial"/>
              </w:rPr>
              <w:t>Great Southern (WA)</w:t>
            </w:r>
            <w:r w:rsidRPr="00497A22">
              <w:rPr>
                <w:rFonts w:cs="Arial"/>
              </w:rPr>
              <w:tab/>
            </w:r>
          </w:p>
        </w:tc>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C5C9A" w14:textId="77777777" w:rsidR="00497A22" w:rsidRPr="00497A22" w:rsidRDefault="00497A22" w:rsidP="00497A22">
            <w:pPr>
              <w:jc w:val="both"/>
              <w:rPr>
                <w:rFonts w:cs="Arial"/>
              </w:rPr>
            </w:pPr>
            <w:r w:rsidRPr="00497A22">
              <w:rPr>
                <w:rFonts w:cs="Arial"/>
              </w:rPr>
              <w:t>Central North Metro (WA)</w:t>
            </w:r>
          </w:p>
        </w:tc>
      </w:tr>
      <w:tr w:rsidR="00497A22" w:rsidRPr="00497A22" w14:paraId="609DEA6C" w14:textId="77777777" w:rsidTr="00497A22">
        <w:trPr>
          <w:trHeight w:val="424"/>
        </w:trPr>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DA7FB" w14:textId="77777777" w:rsidR="00497A22" w:rsidRPr="00497A22" w:rsidRDefault="00497A22" w:rsidP="00497A22">
            <w:pPr>
              <w:jc w:val="both"/>
              <w:rPr>
                <w:rFonts w:cs="Arial"/>
              </w:rPr>
            </w:pPr>
            <w:r w:rsidRPr="00497A22">
              <w:rPr>
                <w:rFonts w:cs="Arial"/>
              </w:rPr>
              <w:t>Midwest-Gascoyne (WA)</w:t>
            </w:r>
          </w:p>
        </w:tc>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6213CA" w14:textId="77777777" w:rsidR="00497A22" w:rsidRPr="00497A22" w:rsidRDefault="00497A22" w:rsidP="00497A22">
            <w:pPr>
              <w:jc w:val="both"/>
              <w:rPr>
                <w:rFonts w:cs="Arial"/>
              </w:rPr>
            </w:pPr>
            <w:r w:rsidRPr="00497A22">
              <w:rPr>
                <w:rFonts w:cs="Arial"/>
              </w:rPr>
              <w:t>South East Metro (WA) – this district was chosen as example of a service district that is performing well.</w:t>
            </w:r>
          </w:p>
        </w:tc>
      </w:tr>
      <w:tr w:rsidR="00DF3E18" w:rsidRPr="00497A22" w14:paraId="3D162FD9" w14:textId="77777777" w:rsidTr="00497A22">
        <w:trPr>
          <w:trHeight w:val="424"/>
        </w:trPr>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D3CCC9" w14:textId="06F6CFCA" w:rsidR="00DF3E18" w:rsidRPr="00497A22" w:rsidRDefault="00DF3E18" w:rsidP="00497A22">
            <w:pPr>
              <w:jc w:val="both"/>
              <w:rPr>
                <w:rFonts w:cs="Arial"/>
              </w:rPr>
            </w:pPr>
            <w:r>
              <w:rPr>
                <w:rFonts w:cs="Arial"/>
              </w:rPr>
              <w:t>Limestone Coast (SA)</w:t>
            </w:r>
          </w:p>
        </w:tc>
        <w:tc>
          <w:tcPr>
            <w:tcW w:w="4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642618" w14:textId="77777777" w:rsidR="00DF3E18" w:rsidRPr="00497A22" w:rsidRDefault="00DF3E18" w:rsidP="00497A22">
            <w:pPr>
              <w:jc w:val="both"/>
              <w:rPr>
                <w:rFonts w:cs="Arial"/>
              </w:rPr>
            </w:pPr>
          </w:p>
        </w:tc>
      </w:tr>
    </w:tbl>
    <w:p w14:paraId="1D6F9957" w14:textId="77777777" w:rsidR="00497A22" w:rsidRDefault="00497A22" w:rsidP="00AC3101">
      <w:pPr>
        <w:jc w:val="both"/>
        <w:rPr>
          <w:rFonts w:cs="Arial"/>
        </w:rPr>
      </w:pPr>
    </w:p>
    <w:p w14:paraId="47D2C990" w14:textId="517D3D54" w:rsidR="00420B2A" w:rsidRPr="004A01CD" w:rsidRDefault="00420B2A" w:rsidP="00420B2A">
      <w:pPr>
        <w:pStyle w:val="Heading2"/>
      </w:pPr>
      <w:bookmarkStart w:id="44" w:name="_Toc67927026"/>
      <w:r w:rsidRPr="004A01CD">
        <w:t xml:space="preserve">Slide </w:t>
      </w:r>
      <w:r>
        <w:t>37</w:t>
      </w:r>
      <w:r w:rsidRPr="004A01CD">
        <w:t xml:space="preserve">: </w:t>
      </w:r>
      <w:r>
        <w:t>Market interventions addressing hotspots</w:t>
      </w:r>
      <w:bookmarkEnd w:id="44"/>
    </w:p>
    <w:p w14:paraId="364AD84F" w14:textId="0FCD655A" w:rsidR="00CF4818" w:rsidRDefault="00420B2A" w:rsidP="00AC3101">
      <w:pPr>
        <w:jc w:val="both"/>
      </w:pPr>
      <w:r w:rsidRPr="00420B2A">
        <w:t>The NDIA is progressing market interventions in the majority of the identified hot spots:</w:t>
      </w:r>
    </w:p>
    <w:tbl>
      <w:tblPr>
        <w:tblStyle w:val="TableGrid"/>
        <w:tblW w:w="0" w:type="auto"/>
        <w:tblLook w:val="04A0" w:firstRow="1" w:lastRow="0" w:firstColumn="1" w:lastColumn="0" w:noHBand="0" w:noVBand="1"/>
      </w:tblPr>
      <w:tblGrid>
        <w:gridCol w:w="4508"/>
        <w:gridCol w:w="4508"/>
      </w:tblGrid>
      <w:tr w:rsidR="00420B2A" w14:paraId="334D2080" w14:textId="77777777" w:rsidTr="00420B2A">
        <w:trPr>
          <w:trHeight w:val="309"/>
        </w:trPr>
        <w:tc>
          <w:tcPr>
            <w:tcW w:w="4508" w:type="dxa"/>
          </w:tcPr>
          <w:p w14:paraId="2AA19C28" w14:textId="77777777" w:rsidR="00420B2A" w:rsidRPr="00420B2A" w:rsidRDefault="00420B2A" w:rsidP="00420B2A">
            <w:pPr>
              <w:jc w:val="both"/>
              <w:rPr>
                <w:rFonts w:cs="Arial"/>
              </w:rPr>
            </w:pPr>
            <w:r w:rsidRPr="00420B2A">
              <w:rPr>
                <w:rFonts w:cs="Arial"/>
              </w:rPr>
              <w:t xml:space="preserve">Katherine (NT) </w:t>
            </w:r>
          </w:p>
          <w:p w14:paraId="3A38E89E" w14:textId="77777777" w:rsidR="00420B2A" w:rsidRPr="00420B2A" w:rsidRDefault="00420B2A" w:rsidP="00420B2A">
            <w:pPr>
              <w:jc w:val="both"/>
              <w:rPr>
                <w:rFonts w:cs="Arial"/>
              </w:rPr>
            </w:pPr>
          </w:p>
        </w:tc>
        <w:tc>
          <w:tcPr>
            <w:tcW w:w="4508" w:type="dxa"/>
          </w:tcPr>
          <w:p w14:paraId="22CC9BFA" w14:textId="77777777" w:rsidR="00420B2A" w:rsidRPr="00420B2A" w:rsidRDefault="00420B2A" w:rsidP="00420B2A">
            <w:pPr>
              <w:jc w:val="both"/>
              <w:rPr>
                <w:rFonts w:cs="Arial"/>
              </w:rPr>
            </w:pPr>
            <w:r w:rsidRPr="00420B2A">
              <w:rPr>
                <w:rFonts w:cs="Arial"/>
              </w:rPr>
              <w:t xml:space="preserve">Market intervention is underway focusing on assistive technology and home modifications. </w:t>
            </w:r>
          </w:p>
          <w:p w14:paraId="3440C187" w14:textId="77777777" w:rsidR="00420B2A" w:rsidRPr="00420B2A" w:rsidRDefault="00420B2A" w:rsidP="00420B2A">
            <w:pPr>
              <w:jc w:val="both"/>
              <w:rPr>
                <w:rFonts w:cs="Arial"/>
              </w:rPr>
            </w:pPr>
          </w:p>
        </w:tc>
      </w:tr>
      <w:tr w:rsidR="00420B2A" w14:paraId="5DC515F9" w14:textId="77777777" w:rsidTr="00420B2A">
        <w:tc>
          <w:tcPr>
            <w:tcW w:w="4508" w:type="dxa"/>
          </w:tcPr>
          <w:p w14:paraId="06CC42F4" w14:textId="77777777" w:rsidR="00420B2A" w:rsidRPr="00420B2A" w:rsidRDefault="00420B2A" w:rsidP="00420B2A">
            <w:pPr>
              <w:jc w:val="both"/>
              <w:rPr>
                <w:rFonts w:cs="Arial"/>
              </w:rPr>
            </w:pPr>
            <w:r w:rsidRPr="00420B2A">
              <w:rPr>
                <w:rFonts w:cs="Arial"/>
              </w:rPr>
              <w:t xml:space="preserve">Goldfields-Esperance (WA) </w:t>
            </w:r>
          </w:p>
          <w:p w14:paraId="30E49AC7" w14:textId="77777777" w:rsidR="00420B2A" w:rsidRPr="00420B2A" w:rsidRDefault="00420B2A" w:rsidP="00420B2A">
            <w:pPr>
              <w:jc w:val="both"/>
              <w:rPr>
                <w:rFonts w:cs="Arial"/>
              </w:rPr>
            </w:pPr>
          </w:p>
        </w:tc>
        <w:tc>
          <w:tcPr>
            <w:tcW w:w="4508" w:type="dxa"/>
          </w:tcPr>
          <w:p w14:paraId="1EBA4563" w14:textId="77777777" w:rsidR="00420B2A" w:rsidRPr="00420B2A" w:rsidRDefault="00420B2A" w:rsidP="00420B2A">
            <w:pPr>
              <w:jc w:val="both"/>
              <w:rPr>
                <w:rFonts w:cs="Arial"/>
              </w:rPr>
            </w:pPr>
            <w:r w:rsidRPr="00420B2A">
              <w:rPr>
                <w:rFonts w:cs="Arial"/>
              </w:rPr>
              <w:t xml:space="preserve">Market intervention will commence soon across all support types. </w:t>
            </w:r>
          </w:p>
          <w:p w14:paraId="4D129AAF" w14:textId="77777777" w:rsidR="00420B2A" w:rsidRPr="00420B2A" w:rsidRDefault="00420B2A" w:rsidP="00420B2A">
            <w:pPr>
              <w:jc w:val="both"/>
              <w:rPr>
                <w:rFonts w:cs="Arial"/>
              </w:rPr>
            </w:pPr>
          </w:p>
        </w:tc>
      </w:tr>
      <w:tr w:rsidR="00420B2A" w14:paraId="5E8063A1" w14:textId="77777777" w:rsidTr="00420B2A">
        <w:tc>
          <w:tcPr>
            <w:tcW w:w="4508" w:type="dxa"/>
          </w:tcPr>
          <w:p w14:paraId="2CD1B0D1" w14:textId="77777777" w:rsidR="00420B2A" w:rsidRPr="00420B2A" w:rsidRDefault="00420B2A" w:rsidP="00420B2A">
            <w:pPr>
              <w:jc w:val="both"/>
              <w:rPr>
                <w:rFonts w:cs="Arial"/>
              </w:rPr>
            </w:pPr>
            <w:r w:rsidRPr="00420B2A">
              <w:rPr>
                <w:rFonts w:cs="Arial"/>
              </w:rPr>
              <w:t xml:space="preserve">East Arnhem (NT) </w:t>
            </w:r>
          </w:p>
          <w:p w14:paraId="6CE8C899" w14:textId="77777777" w:rsidR="00420B2A" w:rsidRPr="00420B2A" w:rsidRDefault="00420B2A" w:rsidP="00420B2A">
            <w:pPr>
              <w:jc w:val="both"/>
              <w:rPr>
                <w:rFonts w:cs="Arial"/>
              </w:rPr>
            </w:pPr>
          </w:p>
        </w:tc>
        <w:tc>
          <w:tcPr>
            <w:tcW w:w="4508" w:type="dxa"/>
          </w:tcPr>
          <w:p w14:paraId="7577CAC9" w14:textId="77777777" w:rsidR="00420B2A" w:rsidRPr="00420B2A" w:rsidRDefault="00420B2A" w:rsidP="00420B2A">
            <w:pPr>
              <w:jc w:val="both"/>
              <w:rPr>
                <w:rFonts w:cs="Arial"/>
              </w:rPr>
            </w:pPr>
            <w:r w:rsidRPr="00420B2A">
              <w:rPr>
                <w:rFonts w:cs="Arial"/>
              </w:rPr>
              <w:t xml:space="preserve">Market intervention will commence soon for social, community and civic participation supports. </w:t>
            </w:r>
          </w:p>
          <w:p w14:paraId="396478F0" w14:textId="77777777" w:rsidR="00420B2A" w:rsidRPr="00420B2A" w:rsidRDefault="00420B2A" w:rsidP="00420B2A">
            <w:pPr>
              <w:jc w:val="both"/>
              <w:rPr>
                <w:rFonts w:cs="Arial"/>
              </w:rPr>
            </w:pPr>
          </w:p>
        </w:tc>
      </w:tr>
      <w:tr w:rsidR="00420B2A" w14:paraId="780B3236" w14:textId="77777777" w:rsidTr="00420B2A">
        <w:tc>
          <w:tcPr>
            <w:tcW w:w="4508" w:type="dxa"/>
          </w:tcPr>
          <w:p w14:paraId="1E3540ED" w14:textId="77777777" w:rsidR="00420B2A" w:rsidRPr="00420B2A" w:rsidRDefault="00420B2A" w:rsidP="00420B2A">
            <w:pPr>
              <w:jc w:val="both"/>
              <w:rPr>
                <w:rFonts w:cs="Arial"/>
              </w:rPr>
            </w:pPr>
            <w:r w:rsidRPr="00420B2A">
              <w:rPr>
                <w:rFonts w:cs="Arial"/>
              </w:rPr>
              <w:lastRenderedPageBreak/>
              <w:t xml:space="preserve">Barkly (NT) </w:t>
            </w:r>
          </w:p>
          <w:p w14:paraId="7E7B0C86" w14:textId="77777777" w:rsidR="00420B2A" w:rsidRPr="00420B2A" w:rsidRDefault="00420B2A" w:rsidP="00420B2A">
            <w:pPr>
              <w:jc w:val="both"/>
              <w:rPr>
                <w:rFonts w:cs="Arial"/>
              </w:rPr>
            </w:pPr>
          </w:p>
        </w:tc>
        <w:tc>
          <w:tcPr>
            <w:tcW w:w="4508" w:type="dxa"/>
          </w:tcPr>
          <w:p w14:paraId="5748F900" w14:textId="77777777" w:rsidR="00420B2A" w:rsidRPr="00420B2A" w:rsidRDefault="00420B2A" w:rsidP="00420B2A">
            <w:pPr>
              <w:jc w:val="both"/>
              <w:rPr>
                <w:rFonts w:cs="Arial"/>
              </w:rPr>
            </w:pPr>
            <w:r w:rsidRPr="00420B2A">
              <w:rPr>
                <w:rFonts w:cs="Arial"/>
              </w:rPr>
              <w:t xml:space="preserve">Market intervention is underway across all supports. </w:t>
            </w:r>
          </w:p>
          <w:p w14:paraId="519C663E" w14:textId="77777777" w:rsidR="00420B2A" w:rsidRPr="00420B2A" w:rsidRDefault="00420B2A" w:rsidP="00420B2A">
            <w:pPr>
              <w:jc w:val="both"/>
              <w:rPr>
                <w:rFonts w:cs="Arial"/>
              </w:rPr>
            </w:pPr>
          </w:p>
        </w:tc>
      </w:tr>
      <w:tr w:rsidR="00420B2A" w14:paraId="45CC3F03" w14:textId="77777777" w:rsidTr="00420B2A">
        <w:tc>
          <w:tcPr>
            <w:tcW w:w="4508" w:type="dxa"/>
          </w:tcPr>
          <w:p w14:paraId="37D2372F" w14:textId="77777777" w:rsidR="00420B2A" w:rsidRPr="00420B2A" w:rsidRDefault="00420B2A" w:rsidP="00420B2A">
            <w:pPr>
              <w:jc w:val="both"/>
              <w:rPr>
                <w:rFonts w:cs="Arial"/>
              </w:rPr>
            </w:pPr>
            <w:r w:rsidRPr="00420B2A">
              <w:rPr>
                <w:rFonts w:cs="Arial"/>
              </w:rPr>
              <w:t xml:space="preserve">Far North (SA) </w:t>
            </w:r>
          </w:p>
          <w:p w14:paraId="2EBB8038" w14:textId="77777777" w:rsidR="00420B2A" w:rsidRPr="00420B2A" w:rsidRDefault="00420B2A" w:rsidP="00420B2A">
            <w:pPr>
              <w:jc w:val="both"/>
              <w:rPr>
                <w:rFonts w:cs="Arial"/>
              </w:rPr>
            </w:pPr>
            <w:r w:rsidRPr="00420B2A">
              <w:rPr>
                <w:rFonts w:cs="Arial"/>
              </w:rPr>
              <w:t xml:space="preserve">Eyre and Western (SA) </w:t>
            </w:r>
          </w:p>
          <w:p w14:paraId="60922BB7" w14:textId="77777777" w:rsidR="00420B2A" w:rsidRPr="00420B2A" w:rsidRDefault="00420B2A" w:rsidP="00420B2A">
            <w:pPr>
              <w:jc w:val="both"/>
              <w:rPr>
                <w:rFonts w:cs="Arial"/>
              </w:rPr>
            </w:pPr>
          </w:p>
        </w:tc>
        <w:tc>
          <w:tcPr>
            <w:tcW w:w="4508" w:type="dxa"/>
          </w:tcPr>
          <w:p w14:paraId="4AB48759" w14:textId="77777777" w:rsidR="00420B2A" w:rsidRPr="00420B2A" w:rsidRDefault="00420B2A" w:rsidP="00420B2A">
            <w:pPr>
              <w:jc w:val="both"/>
              <w:rPr>
                <w:rFonts w:cs="Arial"/>
              </w:rPr>
            </w:pPr>
            <w:r w:rsidRPr="00420B2A">
              <w:rPr>
                <w:rFonts w:cs="Arial"/>
              </w:rPr>
              <w:t xml:space="preserve">Market intervention is being explored for the LGA of Roxby Downs. </w:t>
            </w:r>
          </w:p>
          <w:p w14:paraId="5F0BDD8F" w14:textId="77777777" w:rsidR="00420B2A" w:rsidRPr="00420B2A" w:rsidRDefault="00420B2A" w:rsidP="00420B2A">
            <w:pPr>
              <w:jc w:val="both"/>
              <w:rPr>
                <w:rFonts w:cs="Arial"/>
              </w:rPr>
            </w:pPr>
            <w:r w:rsidRPr="00420B2A">
              <w:rPr>
                <w:rFonts w:cs="Arial"/>
              </w:rPr>
              <w:t xml:space="preserve">Market intervention is being considered. </w:t>
            </w:r>
          </w:p>
          <w:p w14:paraId="62A3ED1C" w14:textId="77777777" w:rsidR="00420B2A" w:rsidRPr="00420B2A" w:rsidRDefault="00420B2A" w:rsidP="00420B2A">
            <w:pPr>
              <w:jc w:val="both"/>
              <w:rPr>
                <w:rFonts w:cs="Arial"/>
              </w:rPr>
            </w:pPr>
          </w:p>
        </w:tc>
      </w:tr>
      <w:tr w:rsidR="00420B2A" w14:paraId="4DFE0305" w14:textId="77777777" w:rsidTr="00420B2A">
        <w:tc>
          <w:tcPr>
            <w:tcW w:w="4508" w:type="dxa"/>
          </w:tcPr>
          <w:p w14:paraId="744AA664" w14:textId="77777777" w:rsidR="00420B2A" w:rsidRPr="00420B2A" w:rsidRDefault="00420B2A" w:rsidP="00420B2A">
            <w:pPr>
              <w:jc w:val="both"/>
              <w:rPr>
                <w:rFonts w:cs="Arial"/>
              </w:rPr>
            </w:pPr>
            <w:r w:rsidRPr="00420B2A">
              <w:rPr>
                <w:rFonts w:cs="Arial"/>
              </w:rPr>
              <w:t xml:space="preserve">Kimberley-Pilbara (WA) </w:t>
            </w:r>
          </w:p>
          <w:p w14:paraId="479A28E3" w14:textId="77777777" w:rsidR="00420B2A" w:rsidRPr="00420B2A" w:rsidRDefault="00420B2A" w:rsidP="00420B2A">
            <w:pPr>
              <w:jc w:val="both"/>
              <w:rPr>
                <w:rFonts w:cs="Arial"/>
              </w:rPr>
            </w:pPr>
          </w:p>
        </w:tc>
        <w:tc>
          <w:tcPr>
            <w:tcW w:w="4508" w:type="dxa"/>
          </w:tcPr>
          <w:p w14:paraId="6B995B1D" w14:textId="77777777" w:rsidR="00420B2A" w:rsidRPr="00420B2A" w:rsidRDefault="00420B2A" w:rsidP="00420B2A">
            <w:pPr>
              <w:jc w:val="both"/>
              <w:rPr>
                <w:rFonts w:cs="Arial"/>
              </w:rPr>
            </w:pPr>
            <w:r w:rsidRPr="00420B2A">
              <w:rPr>
                <w:rFonts w:cs="Arial"/>
              </w:rPr>
              <w:t xml:space="preserve">Market intervention is being explored in the LGA of Derby West Kimberley. </w:t>
            </w:r>
          </w:p>
          <w:p w14:paraId="001F5B4B" w14:textId="77777777" w:rsidR="00420B2A" w:rsidRPr="00420B2A" w:rsidRDefault="00420B2A" w:rsidP="00420B2A">
            <w:pPr>
              <w:jc w:val="both"/>
              <w:rPr>
                <w:rFonts w:cs="Arial"/>
              </w:rPr>
            </w:pPr>
          </w:p>
        </w:tc>
      </w:tr>
      <w:tr w:rsidR="00420B2A" w14:paraId="50AC724E" w14:textId="77777777" w:rsidTr="00420B2A">
        <w:tc>
          <w:tcPr>
            <w:tcW w:w="4508" w:type="dxa"/>
          </w:tcPr>
          <w:p w14:paraId="43137C93" w14:textId="77777777" w:rsidR="00420B2A" w:rsidRPr="00420B2A" w:rsidRDefault="00420B2A" w:rsidP="00420B2A">
            <w:pPr>
              <w:jc w:val="both"/>
              <w:rPr>
                <w:rFonts w:cs="Arial"/>
              </w:rPr>
            </w:pPr>
            <w:r w:rsidRPr="00420B2A">
              <w:rPr>
                <w:rFonts w:cs="Arial"/>
              </w:rPr>
              <w:t xml:space="preserve">Outer Gippsland (VIC) </w:t>
            </w:r>
          </w:p>
          <w:p w14:paraId="24C6A831" w14:textId="77777777" w:rsidR="00420B2A" w:rsidRPr="00420B2A" w:rsidRDefault="00420B2A" w:rsidP="00420B2A">
            <w:pPr>
              <w:jc w:val="both"/>
              <w:rPr>
                <w:rFonts w:cs="Arial"/>
              </w:rPr>
            </w:pPr>
          </w:p>
        </w:tc>
        <w:tc>
          <w:tcPr>
            <w:tcW w:w="4508" w:type="dxa"/>
          </w:tcPr>
          <w:p w14:paraId="3172B054" w14:textId="77777777" w:rsidR="00420B2A" w:rsidRPr="00420B2A" w:rsidRDefault="00420B2A" w:rsidP="00420B2A">
            <w:pPr>
              <w:jc w:val="both"/>
              <w:rPr>
                <w:rFonts w:cs="Arial"/>
              </w:rPr>
            </w:pPr>
            <w:r w:rsidRPr="00420B2A">
              <w:rPr>
                <w:rFonts w:cs="Arial"/>
              </w:rPr>
              <w:t xml:space="preserve">Market intervention is underway for inner and outer Gippsland focusing on capability building improved relationships supports. </w:t>
            </w:r>
          </w:p>
          <w:p w14:paraId="742F2BB3" w14:textId="77777777" w:rsidR="00420B2A" w:rsidRPr="00420B2A" w:rsidRDefault="00420B2A" w:rsidP="00420B2A">
            <w:pPr>
              <w:jc w:val="both"/>
              <w:rPr>
                <w:rFonts w:cs="Arial"/>
              </w:rPr>
            </w:pPr>
          </w:p>
        </w:tc>
      </w:tr>
      <w:tr w:rsidR="00420B2A" w14:paraId="10B6DEF6" w14:textId="77777777" w:rsidTr="00420B2A">
        <w:tc>
          <w:tcPr>
            <w:tcW w:w="4508" w:type="dxa"/>
          </w:tcPr>
          <w:p w14:paraId="072A1C77" w14:textId="77777777" w:rsidR="00420B2A" w:rsidRPr="00420B2A" w:rsidRDefault="00420B2A" w:rsidP="00420B2A">
            <w:pPr>
              <w:jc w:val="both"/>
              <w:rPr>
                <w:rFonts w:cs="Arial"/>
              </w:rPr>
            </w:pPr>
            <w:r w:rsidRPr="00420B2A">
              <w:rPr>
                <w:rFonts w:cs="Arial"/>
              </w:rPr>
              <w:t xml:space="preserve">Murray and Mallee (SA) </w:t>
            </w:r>
          </w:p>
          <w:p w14:paraId="02A9F2FB" w14:textId="77777777" w:rsidR="00420B2A" w:rsidRPr="00420B2A" w:rsidRDefault="00420B2A" w:rsidP="00420B2A">
            <w:pPr>
              <w:jc w:val="both"/>
              <w:rPr>
                <w:rFonts w:cs="Arial"/>
              </w:rPr>
            </w:pPr>
          </w:p>
        </w:tc>
        <w:tc>
          <w:tcPr>
            <w:tcW w:w="4508" w:type="dxa"/>
          </w:tcPr>
          <w:p w14:paraId="7127160A" w14:textId="77777777" w:rsidR="00420B2A" w:rsidRPr="00420B2A" w:rsidRDefault="00420B2A" w:rsidP="00420B2A">
            <w:pPr>
              <w:jc w:val="both"/>
              <w:rPr>
                <w:rFonts w:cs="Arial"/>
              </w:rPr>
            </w:pPr>
            <w:r w:rsidRPr="00420B2A">
              <w:rPr>
                <w:rFonts w:cs="Arial"/>
              </w:rPr>
              <w:t xml:space="preserve">Market intervention is being explored for the LGAs of Loxton Waikerie, Southern Mallee, Berri and Barmera. </w:t>
            </w:r>
          </w:p>
          <w:p w14:paraId="4CDB3617" w14:textId="77777777" w:rsidR="00420B2A" w:rsidRPr="00420B2A" w:rsidRDefault="00420B2A" w:rsidP="00420B2A">
            <w:pPr>
              <w:jc w:val="both"/>
              <w:rPr>
                <w:rFonts w:cs="Arial"/>
              </w:rPr>
            </w:pPr>
          </w:p>
        </w:tc>
      </w:tr>
    </w:tbl>
    <w:p w14:paraId="55B5DE66" w14:textId="77777777" w:rsidR="00420B2A" w:rsidRPr="00420B2A" w:rsidRDefault="00420B2A" w:rsidP="00AC3101">
      <w:pPr>
        <w:jc w:val="both"/>
      </w:pPr>
    </w:p>
    <w:p w14:paraId="3DC78B41" w14:textId="1C7B8A6E" w:rsidR="00D866CB" w:rsidRPr="004A01CD" w:rsidRDefault="00D866CB" w:rsidP="003A7B01">
      <w:pPr>
        <w:pStyle w:val="Heading2"/>
      </w:pPr>
      <w:bookmarkStart w:id="45" w:name="_Toc67927027"/>
      <w:r w:rsidRPr="004A01CD">
        <w:t xml:space="preserve">Slide </w:t>
      </w:r>
      <w:r w:rsidR="0005284D">
        <w:t>3</w:t>
      </w:r>
      <w:r w:rsidR="00420B2A">
        <w:t>8</w:t>
      </w:r>
      <w:r w:rsidRPr="004A01CD">
        <w:t xml:space="preserve">: </w:t>
      </w:r>
      <w:r w:rsidR="00497A22" w:rsidRPr="00497A22">
        <w:t>Outer Gippsland (VIC)</w:t>
      </w:r>
      <w:bookmarkEnd w:id="45"/>
    </w:p>
    <w:p w14:paraId="20B06A8B" w14:textId="75E9F067" w:rsidR="00AC3101" w:rsidRPr="004A01CD" w:rsidRDefault="00AC3101" w:rsidP="00AC3101">
      <w:r w:rsidRPr="004A01CD">
        <w:t>Slides 3</w:t>
      </w:r>
      <w:r w:rsidR="00DF3E18">
        <w:t>8</w:t>
      </w:r>
      <w:r w:rsidRPr="004A01CD">
        <w:t xml:space="preserve"> to </w:t>
      </w:r>
      <w:r w:rsidR="00DF3E18">
        <w:t>40</w:t>
      </w:r>
      <w:r w:rsidRPr="004A01CD">
        <w:t xml:space="preserve"> present insights on </w:t>
      </w:r>
      <w:r w:rsidR="00497A22" w:rsidRPr="00497A22">
        <w:t>Outer Gippsland (VIC)</w:t>
      </w:r>
    </w:p>
    <w:p w14:paraId="7F89F1F5" w14:textId="17AD49A4" w:rsidR="00F44336" w:rsidRPr="004A01CD" w:rsidRDefault="00F44336" w:rsidP="003A7B01">
      <w:pPr>
        <w:pStyle w:val="Heading2"/>
      </w:pPr>
      <w:bookmarkStart w:id="46" w:name="_Toc67927028"/>
      <w:r w:rsidRPr="004A01CD">
        <w:t xml:space="preserve">Slide </w:t>
      </w:r>
      <w:r w:rsidR="0005284D">
        <w:t>3</w:t>
      </w:r>
      <w:r w:rsidR="00420B2A">
        <w:t>9</w:t>
      </w:r>
      <w:r w:rsidRPr="004A01CD">
        <w:t xml:space="preserve">: </w:t>
      </w:r>
      <w:r w:rsidR="00497A22" w:rsidRPr="00497A22">
        <w:t>Plan utilisation in the Outer Gippsland (VIC) region was below benchmark for all of the major support categories</w:t>
      </w:r>
      <w:bookmarkEnd w:id="46"/>
    </w:p>
    <w:p w14:paraId="47544332" w14:textId="77777777" w:rsidR="00497A22" w:rsidRPr="00497A22" w:rsidRDefault="00497A22" w:rsidP="00497A22">
      <w:pPr>
        <w:jc w:val="both"/>
        <w:rPr>
          <w:rFonts w:cs="Arial"/>
        </w:rPr>
      </w:pPr>
      <w:r w:rsidRPr="00497A22">
        <w:rPr>
          <w:rFonts w:cs="Arial"/>
        </w:rPr>
        <w:t xml:space="preserve">Plan utilisation was lower than benchmark across most of the major support categories. </w:t>
      </w:r>
    </w:p>
    <w:p w14:paraId="5D161B47" w14:textId="6B6CBDF0" w:rsidR="00661BFA" w:rsidRDefault="00497A22" w:rsidP="00AC3101">
      <w:pPr>
        <w:jc w:val="both"/>
        <w:rPr>
          <w:rFonts w:cs="Arial"/>
        </w:rPr>
      </w:pPr>
      <w:r w:rsidRPr="00497A22">
        <w:rPr>
          <w:rFonts w:cs="Arial"/>
        </w:rPr>
        <w:t>Core – Community and Capacity Building - Daily Activities are the second and third largest support categories, respectively, and utilisation of these supports was very low relative to benchmark which contributed to the overall utilisation result.</w:t>
      </w:r>
      <w:r>
        <w:rPr>
          <w:rFonts w:cs="Arial"/>
        </w:rPr>
        <w:t>\</w:t>
      </w:r>
    </w:p>
    <w:p w14:paraId="210BBAD5" w14:textId="401DC5EB" w:rsidR="00714564" w:rsidRPr="004A01CD" w:rsidRDefault="00714564" w:rsidP="00714564">
      <w:pPr>
        <w:pStyle w:val="Heading2"/>
      </w:pPr>
      <w:bookmarkStart w:id="47" w:name="_Toc67927029"/>
      <w:r w:rsidRPr="004A01CD">
        <w:t>Slid</w:t>
      </w:r>
      <w:r w:rsidR="00420B2A">
        <w:t>e 40</w:t>
      </w:r>
      <w:r w:rsidRPr="004A01CD">
        <w:t xml:space="preserve">: </w:t>
      </w:r>
      <w:r w:rsidR="00497A22" w:rsidRPr="00497A22">
        <w:t>Utilisation for participants in the Outer Gippsland (VIC) region was below benchmark across nearly all age groups for Core-Community support</w:t>
      </w:r>
      <w:bookmarkEnd w:id="47"/>
    </w:p>
    <w:p w14:paraId="1D5A10FE" w14:textId="77777777" w:rsidR="00497A22" w:rsidRPr="00497A22" w:rsidRDefault="00497A22" w:rsidP="00497A22">
      <w:pPr>
        <w:jc w:val="both"/>
        <w:rPr>
          <w:rFonts w:cs="Arial"/>
        </w:rPr>
      </w:pPr>
      <w:r w:rsidRPr="00497A22">
        <w:rPr>
          <w:rFonts w:cs="Arial"/>
        </w:rPr>
        <w:t xml:space="preserve">Utilisation for Core– Community was below benchmark across all age groups except for the 0 to 6 age group. The gap was largest for the over 65 age group which was 71% below benchmark. </w:t>
      </w:r>
    </w:p>
    <w:p w14:paraId="0D33C2D4" w14:textId="234A9F37" w:rsidR="00661BFA" w:rsidRDefault="00497A22" w:rsidP="00497A22">
      <w:pPr>
        <w:jc w:val="both"/>
        <w:rPr>
          <w:rFonts w:cs="Arial"/>
        </w:rPr>
      </w:pPr>
      <w:r w:rsidRPr="00497A22">
        <w:rPr>
          <w:rFonts w:cs="Arial"/>
        </w:rPr>
        <w:t>The overall utilisation result is significantly driven by the 45 to 54 age group which is 54% below the benchmark but contributes 19% to the budgets of Core – Community</w:t>
      </w:r>
    </w:p>
    <w:p w14:paraId="0DB9AE78" w14:textId="77777777" w:rsidR="00497A22" w:rsidRPr="00497A22" w:rsidRDefault="00497A22" w:rsidP="00497A22">
      <w:pPr>
        <w:jc w:val="both"/>
        <w:rPr>
          <w:rFonts w:cs="Arial"/>
        </w:rPr>
      </w:pPr>
      <w:r w:rsidRPr="00497A22">
        <w:rPr>
          <w:rFonts w:cs="Arial"/>
        </w:rPr>
        <w:t>* The benchmark is the national average, adjusted for the mix of SIL / SDA participants and plan number</w:t>
      </w:r>
    </w:p>
    <w:p w14:paraId="0BA083DA" w14:textId="77777777" w:rsidR="00661BFA" w:rsidRDefault="00661BFA" w:rsidP="00AC3101">
      <w:pPr>
        <w:jc w:val="both"/>
        <w:rPr>
          <w:rFonts w:cs="Arial"/>
        </w:rPr>
      </w:pPr>
    </w:p>
    <w:p w14:paraId="6EE704C3" w14:textId="4E4B625A" w:rsidR="00714564" w:rsidRPr="004A01CD" w:rsidRDefault="00714564" w:rsidP="00714564">
      <w:pPr>
        <w:pStyle w:val="Heading2"/>
      </w:pPr>
      <w:bookmarkStart w:id="48" w:name="_Toc67927030"/>
      <w:r w:rsidRPr="004A01CD">
        <w:t xml:space="preserve">Slide </w:t>
      </w:r>
      <w:r w:rsidR="00420B2A">
        <w:t>41</w:t>
      </w:r>
      <w:r w:rsidRPr="004A01CD">
        <w:t xml:space="preserve">: </w:t>
      </w:r>
      <w:r w:rsidR="00497A22" w:rsidRPr="00497A22">
        <w:t>Utilisation is low for all disability groups, expect for developmental delay</w:t>
      </w:r>
      <w:bookmarkEnd w:id="48"/>
    </w:p>
    <w:p w14:paraId="05E89374" w14:textId="77777777" w:rsidR="00497A22" w:rsidRPr="00497A22" w:rsidRDefault="00497A22" w:rsidP="00497A22">
      <w:pPr>
        <w:jc w:val="both"/>
        <w:rPr>
          <w:rFonts w:cs="Arial"/>
        </w:rPr>
      </w:pPr>
      <w:r w:rsidRPr="00497A22">
        <w:rPr>
          <w:rFonts w:cs="Arial"/>
        </w:rPr>
        <w:t xml:space="preserve">Approximately 33% of the Core – Community plan budgets was allocated to participants with an intellectual disability, 19% to participants with psychosocial disability and 15% to participants with autism. </w:t>
      </w:r>
    </w:p>
    <w:p w14:paraId="466D7965" w14:textId="77777777" w:rsidR="00497A22" w:rsidRPr="00497A22" w:rsidRDefault="00497A22" w:rsidP="00497A22">
      <w:pPr>
        <w:jc w:val="both"/>
        <w:rPr>
          <w:rFonts w:cs="Arial"/>
        </w:rPr>
      </w:pPr>
      <w:r w:rsidRPr="00497A22">
        <w:rPr>
          <w:rFonts w:cs="Arial"/>
        </w:rPr>
        <w:t xml:space="preserve">The utilisation rate for these disability groups was low relative to benchmark, although there was a gap for almost all disability groups (other than developmental delay). </w:t>
      </w:r>
    </w:p>
    <w:p w14:paraId="0A29E77E" w14:textId="07C18582" w:rsidR="00A63791" w:rsidRDefault="00A63791" w:rsidP="00A63791">
      <w:pPr>
        <w:jc w:val="both"/>
        <w:rPr>
          <w:rFonts w:cs="Arial"/>
        </w:rPr>
      </w:pPr>
      <w:r>
        <w:rPr>
          <w:rFonts w:cs="Arial"/>
        </w:rPr>
        <w:t xml:space="preserve">Note: </w:t>
      </w:r>
      <w:r w:rsidR="00497A22" w:rsidRPr="00497A22">
        <w:rPr>
          <w:rFonts w:cs="Arial"/>
        </w:rPr>
        <w:t>* The benchmark is the national average, adjusted for the mix of SIL / SDA participants and plan number</w:t>
      </w:r>
    </w:p>
    <w:p w14:paraId="308B0692" w14:textId="7AD7C54F" w:rsidR="00A63791" w:rsidRPr="00A63791" w:rsidRDefault="00A63791" w:rsidP="00A63791">
      <w:pPr>
        <w:pStyle w:val="Heading2"/>
      </w:pPr>
      <w:bookmarkStart w:id="49" w:name="_Toc67927031"/>
      <w:r w:rsidRPr="00A63791">
        <w:t>Slide 4</w:t>
      </w:r>
      <w:r w:rsidR="00420B2A">
        <w:t>2</w:t>
      </w:r>
      <w:r w:rsidRPr="00A63791">
        <w:t xml:space="preserve">: </w:t>
      </w:r>
      <w:r w:rsidR="00497A22" w:rsidRPr="00497A22">
        <w:t>Murray and Mallee (SA)</w:t>
      </w:r>
      <w:bookmarkEnd w:id="49"/>
    </w:p>
    <w:p w14:paraId="6087DBEA" w14:textId="137059B7" w:rsidR="00A63791" w:rsidRPr="00A63791" w:rsidRDefault="00DF3E18" w:rsidP="00A63791">
      <w:r>
        <w:t>Slides 42 to 44</w:t>
      </w:r>
      <w:r w:rsidR="00A63791" w:rsidRPr="00A63791">
        <w:t xml:space="preserve"> present insights on </w:t>
      </w:r>
      <w:r w:rsidR="00A63791" w:rsidRPr="00A63791">
        <w:rPr>
          <w:bCs/>
        </w:rPr>
        <w:t>Great Southern (WA)</w:t>
      </w:r>
    </w:p>
    <w:p w14:paraId="570C87C8" w14:textId="58A26E92" w:rsidR="00A63791" w:rsidRPr="00A63791" w:rsidRDefault="00420B2A" w:rsidP="00A63791">
      <w:pPr>
        <w:pStyle w:val="Heading2"/>
      </w:pPr>
      <w:bookmarkStart w:id="50" w:name="_Toc67927032"/>
      <w:r>
        <w:t>Slide 43</w:t>
      </w:r>
      <w:r w:rsidR="00A63791" w:rsidRPr="00A63791">
        <w:t xml:space="preserve">: </w:t>
      </w:r>
      <w:r w:rsidR="00497A22" w:rsidRPr="00497A22">
        <w:t>Plan utilisation in the Murray and Mallee (SA) region was below benchmark for all of the large support categories</w:t>
      </w:r>
      <w:bookmarkEnd w:id="50"/>
    </w:p>
    <w:p w14:paraId="21F7444B" w14:textId="35AA7BFB" w:rsidR="00497A22" w:rsidRPr="00D420E9" w:rsidRDefault="00D420E9" w:rsidP="00D420E9">
      <w:pPr>
        <w:rPr>
          <w:bCs/>
        </w:rPr>
      </w:pPr>
      <w:r w:rsidRPr="00D420E9">
        <w:rPr>
          <w:bCs/>
        </w:rPr>
        <w:t>While plan utilisation was below the benchmark for all support categories, Capacity – Daily Activities and Core - Community supports are the second and third largest support categories and had utilisation over the period that were very low relative to the benchmark. These two support categories are key drivers to the overall utilisation result</w:t>
      </w:r>
      <w:r w:rsidR="00497A22" w:rsidRPr="00D420E9">
        <w:rPr>
          <w:bCs/>
        </w:rPr>
        <w:t xml:space="preserve">. </w:t>
      </w:r>
    </w:p>
    <w:p w14:paraId="3820223B" w14:textId="381E0124" w:rsidR="00A63791" w:rsidRPr="00A63791" w:rsidRDefault="00A63791" w:rsidP="00A63791">
      <w:pPr>
        <w:pStyle w:val="Heading2"/>
      </w:pPr>
      <w:bookmarkStart w:id="51" w:name="_Toc67927033"/>
      <w:r w:rsidRPr="00A63791">
        <w:t xml:space="preserve">Slide </w:t>
      </w:r>
      <w:r w:rsidR="00420B2A">
        <w:t>44</w:t>
      </w:r>
      <w:r w:rsidRPr="00A63791">
        <w:t xml:space="preserve">: </w:t>
      </w:r>
      <w:r w:rsidR="00497A22" w:rsidRPr="00497A22">
        <w:t>Utilisation for participants in the Murray and Mallee (SA) region was below benchmark for all age bands</w:t>
      </w:r>
      <w:bookmarkEnd w:id="51"/>
    </w:p>
    <w:p w14:paraId="09068677" w14:textId="747114B7" w:rsidR="00D420E9" w:rsidRDefault="00D420E9" w:rsidP="00D420E9">
      <w:pPr>
        <w:rPr>
          <w:bCs/>
        </w:rPr>
      </w:pPr>
      <w:r>
        <w:rPr>
          <w:bCs/>
        </w:rPr>
        <w:t>Utilisation</w:t>
      </w:r>
      <w:r w:rsidRPr="00D420E9">
        <w:rPr>
          <w:bCs/>
        </w:rPr>
        <w:t xml:space="preserve"> is lowest for participants aged between 15 and 24, noting that these participants represented 12% of plan budgets.</w:t>
      </w:r>
    </w:p>
    <w:p w14:paraId="19D713C4" w14:textId="77777777" w:rsidR="00D420E9" w:rsidRDefault="00D420E9" w:rsidP="00497A22">
      <w:pPr>
        <w:rPr>
          <w:bCs/>
        </w:rPr>
      </w:pPr>
      <w:r>
        <w:rPr>
          <w:bCs/>
        </w:rPr>
        <w:t>Utilisation</w:t>
      </w:r>
      <w:r w:rsidRPr="00D420E9">
        <w:rPr>
          <w:bCs/>
        </w:rPr>
        <w:t xml:space="preserve"> is also relatively lower for participants aged 55-64, and participants in this age group represent 19% of plan budgets.</w:t>
      </w:r>
    </w:p>
    <w:p w14:paraId="40F8969C" w14:textId="42B7A238" w:rsidR="00760644" w:rsidRPr="00D420E9" w:rsidRDefault="00497A22" w:rsidP="00497A22">
      <w:pPr>
        <w:rPr>
          <w:bCs/>
        </w:rPr>
      </w:pPr>
      <w:r>
        <w:t xml:space="preserve">Note: </w:t>
      </w:r>
      <w:r w:rsidRPr="00497A22">
        <w:t>The benchmark is the national average, adjusted for the mix of SIL / SDA participants and plan number</w:t>
      </w:r>
    </w:p>
    <w:p w14:paraId="2D514F56" w14:textId="23885363" w:rsidR="00A63791" w:rsidRPr="00497A22" w:rsidRDefault="00A63791" w:rsidP="00497A22">
      <w:pPr>
        <w:pStyle w:val="Heading2"/>
      </w:pPr>
      <w:bookmarkStart w:id="52" w:name="_Toc67927034"/>
      <w:r w:rsidRPr="00A63791">
        <w:t xml:space="preserve">Slide </w:t>
      </w:r>
      <w:r w:rsidR="00420B2A">
        <w:t>45</w:t>
      </w:r>
      <w:r w:rsidRPr="00A63791">
        <w:t xml:space="preserve">: </w:t>
      </w:r>
      <w:r w:rsidR="00497A22" w:rsidRPr="00497A22">
        <w:t>Participants with intellectual disability and psychosocial disability are key areas of focus for the Murray and Mallee (SA) region</w:t>
      </w:r>
      <w:bookmarkEnd w:id="52"/>
    </w:p>
    <w:p w14:paraId="1F916F9A" w14:textId="77777777" w:rsidR="00D420E9" w:rsidRDefault="00A63791" w:rsidP="00D420E9">
      <w:pPr>
        <w:jc w:val="both"/>
        <w:rPr>
          <w:rFonts w:cs="Arial"/>
        </w:rPr>
      </w:pPr>
      <w:r w:rsidRPr="00A63791">
        <w:rPr>
          <w:rFonts w:cs="Arial"/>
        </w:rPr>
        <w:t xml:space="preserve">There are two charts. One shows </w:t>
      </w:r>
      <w:r w:rsidR="00AC41CD">
        <w:rPr>
          <w:rFonts w:cs="Arial"/>
        </w:rPr>
        <w:t>utilisation for primary disability and the other is the budget distribution by primary disability, both for Murray and Mallee (SA) district.</w:t>
      </w:r>
      <w:r w:rsidR="00D420E9">
        <w:rPr>
          <w:rFonts w:cs="Arial"/>
        </w:rPr>
        <w:t xml:space="preserve"> </w:t>
      </w:r>
    </w:p>
    <w:p w14:paraId="5D760B22" w14:textId="77777777" w:rsidR="00D420E9" w:rsidRPr="00D420E9" w:rsidRDefault="00497A22" w:rsidP="00D420E9">
      <w:pPr>
        <w:jc w:val="both"/>
        <w:rPr>
          <w:rFonts w:cs="Arial"/>
          <w:bCs/>
        </w:rPr>
      </w:pPr>
      <w:r w:rsidRPr="00D420E9">
        <w:rPr>
          <w:rFonts w:cs="Arial"/>
          <w:bCs/>
        </w:rPr>
        <w:t>Utilisation was below the benchmark for all disability types.</w:t>
      </w:r>
    </w:p>
    <w:p w14:paraId="60D7B3DE" w14:textId="77777777" w:rsidR="00D420E9" w:rsidRPr="00D420E9" w:rsidRDefault="00497A22" w:rsidP="00D420E9">
      <w:pPr>
        <w:jc w:val="both"/>
        <w:rPr>
          <w:rFonts w:cs="Arial"/>
          <w:bCs/>
        </w:rPr>
      </w:pPr>
      <w:r w:rsidRPr="00D420E9">
        <w:rPr>
          <w:rFonts w:cs="Arial"/>
          <w:bCs/>
        </w:rPr>
        <w:t xml:space="preserve">Participants with intellectual disability and autism are the two largest primary disabilities in Murray and Mallee (SA) and approximately contribute a combined 52% of plan budgets for the region. </w:t>
      </w:r>
    </w:p>
    <w:p w14:paraId="7F008A26" w14:textId="0A8664DA" w:rsidR="00497A22" w:rsidRPr="00D420E9" w:rsidRDefault="00497A22" w:rsidP="00D420E9">
      <w:pPr>
        <w:jc w:val="both"/>
        <w:rPr>
          <w:rFonts w:cs="Arial"/>
        </w:rPr>
      </w:pPr>
      <w:r w:rsidRPr="00D420E9">
        <w:rPr>
          <w:rFonts w:cs="Arial"/>
          <w:bCs/>
        </w:rPr>
        <w:t>Utilisation rates for these two disabilities is 10 percentage points and 11 percentage points below their benchmarks, respectively.</w:t>
      </w:r>
    </w:p>
    <w:p w14:paraId="5A450737" w14:textId="03238C75" w:rsidR="00A63791" w:rsidRPr="00A63791" w:rsidRDefault="00A63791" w:rsidP="00A63791">
      <w:pPr>
        <w:pStyle w:val="Heading2"/>
      </w:pPr>
      <w:bookmarkStart w:id="53" w:name="_Toc67927035"/>
      <w:bookmarkStart w:id="54" w:name="_GoBack"/>
      <w:bookmarkEnd w:id="54"/>
      <w:r w:rsidRPr="00A63791">
        <w:lastRenderedPageBreak/>
        <w:t>Slide 4</w:t>
      </w:r>
      <w:r w:rsidR="00420B2A">
        <w:t>6</w:t>
      </w:r>
      <w:r w:rsidRPr="00A63791">
        <w:t xml:space="preserve">: </w:t>
      </w:r>
      <w:r w:rsidR="00AC41CD" w:rsidRPr="004A01CD">
        <w:t>Copyright Notice</w:t>
      </w:r>
      <w:bookmarkEnd w:id="53"/>
    </w:p>
    <w:p w14:paraId="21F4E09E" w14:textId="77777777" w:rsidR="00AC41CD" w:rsidRPr="004A01CD" w:rsidRDefault="00AC41CD" w:rsidP="00AC41CD">
      <w:pPr>
        <w:jc w:val="both"/>
        <w:rPr>
          <w:rFonts w:cs="Arial"/>
        </w:rPr>
      </w:pPr>
      <w:r w:rsidRPr="004A01CD">
        <w:rPr>
          <w:rFonts w:cs="Arial"/>
        </w:rPr>
        <w:t xml:space="preserve">www.ndis.gov.au </w:t>
      </w:r>
    </w:p>
    <w:p w14:paraId="4A59C85E" w14:textId="77777777" w:rsidR="00AC41CD" w:rsidRPr="004A01CD" w:rsidRDefault="00AC41CD" w:rsidP="00AC41CD">
      <w:pPr>
        <w:jc w:val="both"/>
        <w:rPr>
          <w:rFonts w:cs="Arial"/>
        </w:rPr>
      </w:pPr>
      <w:r w:rsidRPr="004A01CD">
        <w:rPr>
          <w:rFonts w:cs="Arial"/>
        </w:rPr>
        <w:t>Copyright notice</w:t>
      </w:r>
    </w:p>
    <w:p w14:paraId="7168961D" w14:textId="77777777" w:rsidR="00AC41CD" w:rsidRPr="004A01CD" w:rsidRDefault="00AC41CD" w:rsidP="00AC41CD">
      <w:pPr>
        <w:jc w:val="both"/>
        <w:rPr>
          <w:rFonts w:cs="Arial"/>
        </w:rPr>
      </w:pPr>
      <w:r w:rsidRPr="004A01CD">
        <w:rPr>
          <w:rFonts w:cs="Arial"/>
        </w:rPr>
        <w:t>© National Disability Insurance Scheme Launch Transition Agency</w:t>
      </w:r>
    </w:p>
    <w:p w14:paraId="5453B9D0" w14:textId="77777777" w:rsidR="00AC41CD" w:rsidRPr="004A01CD" w:rsidRDefault="00AC41CD" w:rsidP="00AC41CD">
      <w:pPr>
        <w:jc w:val="both"/>
        <w:rPr>
          <w:rFonts w:cs="Arial"/>
        </w:rPr>
      </w:pPr>
      <w:r w:rsidRPr="004A01CD">
        <w:rPr>
          <w:rFonts w:cs="Arial"/>
        </w:rPr>
        <w:t>Copyright and use of the material in this document</w:t>
      </w:r>
    </w:p>
    <w:p w14:paraId="2B0C5454" w14:textId="77777777" w:rsidR="00AC41CD" w:rsidRPr="004A01CD" w:rsidRDefault="00AC41CD" w:rsidP="00AC41CD">
      <w:pPr>
        <w:jc w:val="both"/>
        <w:rPr>
          <w:rFonts w:cs="Arial"/>
        </w:rPr>
      </w:pPr>
      <w:r w:rsidRPr="004A01CD">
        <w:rPr>
          <w:rFonts w:cs="Arial"/>
        </w:rPr>
        <w:t>Copyright in the material in this document, with the exception of third party material, is owned and protected by the National Disability Insurance Scheme Launch Transition Agency (National Disability Insurance Agency).</w:t>
      </w:r>
    </w:p>
    <w:p w14:paraId="130BE659" w14:textId="77777777" w:rsidR="00AC41CD" w:rsidRPr="004A01CD" w:rsidRDefault="00AC41CD" w:rsidP="00AC41CD">
      <w:pPr>
        <w:jc w:val="both"/>
        <w:rPr>
          <w:rFonts w:cs="Arial"/>
        </w:rPr>
      </w:pPr>
      <w:r w:rsidRPr="004A01CD">
        <w:rPr>
          <w:rFonts w:cs="Arial"/>
        </w:rPr>
        <w:t xml:space="preserve">The material in this document, with the exception of logos, </w:t>
      </w:r>
      <w:proofErr w:type="spellStart"/>
      <w:r w:rsidRPr="004A01CD">
        <w:rPr>
          <w:rFonts w:cs="Arial"/>
        </w:rPr>
        <w:t>trade marks</w:t>
      </w:r>
      <w:proofErr w:type="spellEnd"/>
      <w:r w:rsidRPr="004A01CD">
        <w:rPr>
          <w:rFonts w:cs="Arial"/>
        </w:rPr>
        <w:t>,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4A9090EA" w14:textId="77777777" w:rsidR="00AC41CD" w:rsidRPr="004A01CD" w:rsidRDefault="00AC41CD" w:rsidP="00AC41CD">
      <w:pPr>
        <w:jc w:val="both"/>
        <w:rPr>
          <w:rFonts w:cs="Arial"/>
        </w:rPr>
      </w:pPr>
      <w:r w:rsidRPr="004A01CD">
        <w:rPr>
          <w:rFonts w:cs="Arial"/>
        </w:rPr>
        <w:t>Reproduction of any material contained in this document is subject to the CC BY NC ND licence conditions available on the Creative Commons Australia site, as is the full legal code for this material.</w:t>
      </w:r>
    </w:p>
    <w:p w14:paraId="27143DC5" w14:textId="77777777" w:rsidR="00AC41CD" w:rsidRPr="004A01CD" w:rsidRDefault="00AC41CD" w:rsidP="00AC41CD">
      <w:pPr>
        <w:jc w:val="both"/>
        <w:rPr>
          <w:rFonts w:cs="Arial"/>
        </w:rPr>
      </w:pPr>
      <w:r w:rsidRPr="004A01CD">
        <w:rPr>
          <w:rFonts w:cs="Arial"/>
        </w:rPr>
        <w:t>The National Disability Insurance Agency expects that you will only use the information in this document to benefit people with disability.</w:t>
      </w:r>
    </w:p>
    <w:p w14:paraId="1F067E18" w14:textId="4DA67840" w:rsidR="004B6448" w:rsidRPr="00AC41CD" w:rsidRDefault="00AC41CD" w:rsidP="00AC41CD">
      <w:pPr>
        <w:jc w:val="both"/>
        <w:rPr>
          <w:rFonts w:cs="Arial"/>
        </w:rPr>
      </w:pPr>
      <w:r w:rsidRPr="004A01CD">
        <w:rPr>
          <w:rFonts w:cs="Arial"/>
        </w:rPr>
        <w:t xml:space="preserve">Please see the </w:t>
      </w:r>
      <w:hyperlink r:id="rId14" w:history="1">
        <w:r w:rsidRPr="004A01CD">
          <w:rPr>
            <w:rStyle w:val="Hyperlink"/>
            <w:rFonts w:cs="Arial"/>
          </w:rPr>
          <w:t>NDIS website copyright statement</w:t>
        </w:r>
      </w:hyperlink>
      <w:r w:rsidRPr="004A01CD">
        <w:rPr>
          <w:rFonts w:cs="Arial"/>
        </w:rPr>
        <w:t xml:space="preserve"> for further details about the use of logos and third party material.</w:t>
      </w:r>
      <w:bookmarkEnd w:id="1"/>
      <w:bookmarkEnd w:id="2"/>
    </w:p>
    <w:sectPr w:rsidR="004B6448" w:rsidRPr="00AC41CD" w:rsidSect="0091657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036E40" w:rsidRDefault="00036E40" w:rsidP="007219F1">
      <w:pPr>
        <w:spacing w:after="0" w:line="240" w:lineRule="auto"/>
      </w:pPr>
      <w:r>
        <w:separator/>
      </w:r>
    </w:p>
    <w:p w14:paraId="2AB8833E" w14:textId="77777777" w:rsidR="00036E40" w:rsidRDefault="00036E40"/>
    <w:p w14:paraId="038FAF4E" w14:textId="77777777" w:rsidR="00036E40" w:rsidRDefault="00036E40"/>
  </w:endnote>
  <w:endnote w:type="continuationSeparator" w:id="0">
    <w:p w14:paraId="001CB980" w14:textId="77777777" w:rsidR="00036E40" w:rsidRDefault="00036E40" w:rsidP="007219F1">
      <w:pPr>
        <w:spacing w:after="0" w:line="240" w:lineRule="auto"/>
      </w:pPr>
      <w:r>
        <w:continuationSeparator/>
      </w:r>
    </w:p>
    <w:p w14:paraId="69051BC5" w14:textId="77777777" w:rsidR="00036E40" w:rsidRDefault="00036E40"/>
    <w:p w14:paraId="04073E39" w14:textId="77777777" w:rsidR="00036E40" w:rsidRDefault="00036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036E40" w:rsidRDefault="00036E40">
    <w:pPr>
      <w:pStyle w:val="Footer"/>
    </w:pPr>
  </w:p>
  <w:p w14:paraId="62E29BCF" w14:textId="77777777" w:rsidR="00036E40" w:rsidRDefault="00036E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036E40" w:rsidRPr="00C330B4" w:rsidRDefault="00036E40" w:rsidP="007219F1">
    <w:pPr>
      <w:pStyle w:val="Footer"/>
      <w:jc w:val="center"/>
      <w:rPr>
        <w:rFonts w:cs="Arial"/>
      </w:rPr>
    </w:pPr>
  </w:p>
  <w:p w14:paraId="1BF43438" w14:textId="77777777" w:rsidR="00036E40" w:rsidRPr="00C330B4" w:rsidRDefault="00036E40">
    <w:pPr>
      <w:rPr>
        <w:rFonts w:cs="Arial"/>
      </w:rPr>
    </w:pPr>
  </w:p>
  <w:p w14:paraId="3888199B" w14:textId="77777777" w:rsidR="00036E40" w:rsidRDefault="00036E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036E40" w:rsidRPr="000B1117" w:rsidRDefault="00036E40"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036E40" w:rsidRDefault="00036E40" w:rsidP="007219F1">
      <w:pPr>
        <w:spacing w:after="0" w:line="240" w:lineRule="auto"/>
      </w:pPr>
      <w:r>
        <w:separator/>
      </w:r>
    </w:p>
    <w:p w14:paraId="5BC274FD" w14:textId="77777777" w:rsidR="00036E40" w:rsidRDefault="00036E40"/>
    <w:p w14:paraId="4E0EFF0D" w14:textId="77777777" w:rsidR="00036E40" w:rsidRDefault="00036E40"/>
  </w:footnote>
  <w:footnote w:type="continuationSeparator" w:id="0">
    <w:p w14:paraId="406BE69F" w14:textId="77777777" w:rsidR="00036E40" w:rsidRDefault="00036E40" w:rsidP="007219F1">
      <w:pPr>
        <w:spacing w:after="0" w:line="240" w:lineRule="auto"/>
      </w:pPr>
      <w:r>
        <w:continuationSeparator/>
      </w:r>
    </w:p>
    <w:p w14:paraId="067B316A" w14:textId="77777777" w:rsidR="00036E40" w:rsidRDefault="00036E40"/>
    <w:p w14:paraId="3F236635" w14:textId="77777777" w:rsidR="00036E40" w:rsidRDefault="00036E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036E40" w:rsidRDefault="00036E40">
    <w:pPr>
      <w:pStyle w:val="Header"/>
    </w:pPr>
  </w:p>
  <w:p w14:paraId="52FB035B" w14:textId="77777777" w:rsidR="00036E40" w:rsidRDefault="00036E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036E40" w:rsidRDefault="00036E40">
    <w:pPr>
      <w:pStyle w:val="Header"/>
    </w:pPr>
  </w:p>
  <w:p w14:paraId="3C53CA3B" w14:textId="77777777" w:rsidR="00036E40" w:rsidRDefault="00036E4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036E40" w:rsidRDefault="00036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4F5"/>
    <w:multiLevelType w:val="hybridMultilevel"/>
    <w:tmpl w:val="A3C66076"/>
    <w:lvl w:ilvl="0" w:tplc="23E8D40E">
      <w:start w:val="1"/>
      <w:numFmt w:val="decimal"/>
      <w:lvlText w:val="%1."/>
      <w:lvlJc w:val="left"/>
      <w:pPr>
        <w:tabs>
          <w:tab w:val="num" w:pos="720"/>
        </w:tabs>
        <w:ind w:left="720" w:hanging="360"/>
      </w:pPr>
    </w:lvl>
    <w:lvl w:ilvl="1" w:tplc="99340E7A" w:tentative="1">
      <w:start w:val="1"/>
      <w:numFmt w:val="decimal"/>
      <w:lvlText w:val="%2."/>
      <w:lvlJc w:val="left"/>
      <w:pPr>
        <w:tabs>
          <w:tab w:val="num" w:pos="1440"/>
        </w:tabs>
        <w:ind w:left="1440" w:hanging="360"/>
      </w:pPr>
    </w:lvl>
    <w:lvl w:ilvl="2" w:tplc="C6DA3CE4" w:tentative="1">
      <w:start w:val="1"/>
      <w:numFmt w:val="decimal"/>
      <w:lvlText w:val="%3."/>
      <w:lvlJc w:val="left"/>
      <w:pPr>
        <w:tabs>
          <w:tab w:val="num" w:pos="2160"/>
        </w:tabs>
        <w:ind w:left="2160" w:hanging="360"/>
      </w:pPr>
    </w:lvl>
    <w:lvl w:ilvl="3" w:tplc="645EF4E4" w:tentative="1">
      <w:start w:val="1"/>
      <w:numFmt w:val="decimal"/>
      <w:lvlText w:val="%4."/>
      <w:lvlJc w:val="left"/>
      <w:pPr>
        <w:tabs>
          <w:tab w:val="num" w:pos="2880"/>
        </w:tabs>
        <w:ind w:left="2880" w:hanging="360"/>
      </w:pPr>
    </w:lvl>
    <w:lvl w:ilvl="4" w:tplc="851E563C" w:tentative="1">
      <w:start w:val="1"/>
      <w:numFmt w:val="decimal"/>
      <w:lvlText w:val="%5."/>
      <w:lvlJc w:val="left"/>
      <w:pPr>
        <w:tabs>
          <w:tab w:val="num" w:pos="3600"/>
        </w:tabs>
        <w:ind w:left="3600" w:hanging="360"/>
      </w:pPr>
    </w:lvl>
    <w:lvl w:ilvl="5" w:tplc="C2944396" w:tentative="1">
      <w:start w:val="1"/>
      <w:numFmt w:val="decimal"/>
      <w:lvlText w:val="%6."/>
      <w:lvlJc w:val="left"/>
      <w:pPr>
        <w:tabs>
          <w:tab w:val="num" w:pos="4320"/>
        </w:tabs>
        <w:ind w:left="4320" w:hanging="360"/>
      </w:pPr>
    </w:lvl>
    <w:lvl w:ilvl="6" w:tplc="5BAC32E6" w:tentative="1">
      <w:start w:val="1"/>
      <w:numFmt w:val="decimal"/>
      <w:lvlText w:val="%7."/>
      <w:lvlJc w:val="left"/>
      <w:pPr>
        <w:tabs>
          <w:tab w:val="num" w:pos="5040"/>
        </w:tabs>
        <w:ind w:left="5040" w:hanging="360"/>
      </w:pPr>
    </w:lvl>
    <w:lvl w:ilvl="7" w:tplc="F98C23EC" w:tentative="1">
      <w:start w:val="1"/>
      <w:numFmt w:val="decimal"/>
      <w:lvlText w:val="%8."/>
      <w:lvlJc w:val="left"/>
      <w:pPr>
        <w:tabs>
          <w:tab w:val="num" w:pos="5760"/>
        </w:tabs>
        <w:ind w:left="5760" w:hanging="360"/>
      </w:pPr>
    </w:lvl>
    <w:lvl w:ilvl="8" w:tplc="9A5A0C82" w:tentative="1">
      <w:start w:val="1"/>
      <w:numFmt w:val="decimal"/>
      <w:lvlText w:val="%9."/>
      <w:lvlJc w:val="left"/>
      <w:pPr>
        <w:tabs>
          <w:tab w:val="num" w:pos="6480"/>
        </w:tabs>
        <w:ind w:left="6480" w:hanging="360"/>
      </w:pPr>
    </w:lvl>
  </w:abstractNum>
  <w:abstractNum w:abstractNumId="1" w15:restartNumberingAfterBreak="0">
    <w:nsid w:val="0A9E09B8"/>
    <w:multiLevelType w:val="hybridMultilevel"/>
    <w:tmpl w:val="F0BCFDB8"/>
    <w:lvl w:ilvl="0" w:tplc="3E442CC0">
      <w:start w:val="1"/>
      <w:numFmt w:val="bullet"/>
      <w:lvlText w:val="•"/>
      <w:lvlJc w:val="left"/>
      <w:pPr>
        <w:tabs>
          <w:tab w:val="num" w:pos="720"/>
        </w:tabs>
        <w:ind w:left="720" w:hanging="360"/>
      </w:pPr>
      <w:rPr>
        <w:rFonts w:ascii="Arial" w:hAnsi="Arial" w:hint="default"/>
      </w:rPr>
    </w:lvl>
    <w:lvl w:ilvl="1" w:tplc="4A26EF7A" w:tentative="1">
      <w:start w:val="1"/>
      <w:numFmt w:val="bullet"/>
      <w:lvlText w:val="•"/>
      <w:lvlJc w:val="left"/>
      <w:pPr>
        <w:tabs>
          <w:tab w:val="num" w:pos="1440"/>
        </w:tabs>
        <w:ind w:left="1440" w:hanging="360"/>
      </w:pPr>
      <w:rPr>
        <w:rFonts w:ascii="Arial" w:hAnsi="Arial" w:hint="default"/>
      </w:rPr>
    </w:lvl>
    <w:lvl w:ilvl="2" w:tplc="D848C652" w:tentative="1">
      <w:start w:val="1"/>
      <w:numFmt w:val="bullet"/>
      <w:lvlText w:val="•"/>
      <w:lvlJc w:val="left"/>
      <w:pPr>
        <w:tabs>
          <w:tab w:val="num" w:pos="2160"/>
        </w:tabs>
        <w:ind w:left="2160" w:hanging="360"/>
      </w:pPr>
      <w:rPr>
        <w:rFonts w:ascii="Arial" w:hAnsi="Arial" w:hint="default"/>
      </w:rPr>
    </w:lvl>
    <w:lvl w:ilvl="3" w:tplc="C2524BDE" w:tentative="1">
      <w:start w:val="1"/>
      <w:numFmt w:val="bullet"/>
      <w:lvlText w:val="•"/>
      <w:lvlJc w:val="left"/>
      <w:pPr>
        <w:tabs>
          <w:tab w:val="num" w:pos="2880"/>
        </w:tabs>
        <w:ind w:left="2880" w:hanging="360"/>
      </w:pPr>
      <w:rPr>
        <w:rFonts w:ascii="Arial" w:hAnsi="Arial" w:hint="default"/>
      </w:rPr>
    </w:lvl>
    <w:lvl w:ilvl="4" w:tplc="01A8F9C6" w:tentative="1">
      <w:start w:val="1"/>
      <w:numFmt w:val="bullet"/>
      <w:lvlText w:val="•"/>
      <w:lvlJc w:val="left"/>
      <w:pPr>
        <w:tabs>
          <w:tab w:val="num" w:pos="3600"/>
        </w:tabs>
        <w:ind w:left="3600" w:hanging="360"/>
      </w:pPr>
      <w:rPr>
        <w:rFonts w:ascii="Arial" w:hAnsi="Arial" w:hint="default"/>
      </w:rPr>
    </w:lvl>
    <w:lvl w:ilvl="5" w:tplc="A426BDD8" w:tentative="1">
      <w:start w:val="1"/>
      <w:numFmt w:val="bullet"/>
      <w:lvlText w:val="•"/>
      <w:lvlJc w:val="left"/>
      <w:pPr>
        <w:tabs>
          <w:tab w:val="num" w:pos="4320"/>
        </w:tabs>
        <w:ind w:left="4320" w:hanging="360"/>
      </w:pPr>
      <w:rPr>
        <w:rFonts w:ascii="Arial" w:hAnsi="Arial" w:hint="default"/>
      </w:rPr>
    </w:lvl>
    <w:lvl w:ilvl="6" w:tplc="A70E741E" w:tentative="1">
      <w:start w:val="1"/>
      <w:numFmt w:val="bullet"/>
      <w:lvlText w:val="•"/>
      <w:lvlJc w:val="left"/>
      <w:pPr>
        <w:tabs>
          <w:tab w:val="num" w:pos="5040"/>
        </w:tabs>
        <w:ind w:left="5040" w:hanging="360"/>
      </w:pPr>
      <w:rPr>
        <w:rFonts w:ascii="Arial" w:hAnsi="Arial" w:hint="default"/>
      </w:rPr>
    </w:lvl>
    <w:lvl w:ilvl="7" w:tplc="1AAE0A0E" w:tentative="1">
      <w:start w:val="1"/>
      <w:numFmt w:val="bullet"/>
      <w:lvlText w:val="•"/>
      <w:lvlJc w:val="left"/>
      <w:pPr>
        <w:tabs>
          <w:tab w:val="num" w:pos="5760"/>
        </w:tabs>
        <w:ind w:left="5760" w:hanging="360"/>
      </w:pPr>
      <w:rPr>
        <w:rFonts w:ascii="Arial" w:hAnsi="Arial" w:hint="default"/>
      </w:rPr>
    </w:lvl>
    <w:lvl w:ilvl="8" w:tplc="1960DF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3E37F2"/>
    <w:multiLevelType w:val="hybridMultilevel"/>
    <w:tmpl w:val="E2381E18"/>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625C6"/>
    <w:multiLevelType w:val="hybridMultilevel"/>
    <w:tmpl w:val="8960CE94"/>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2305A"/>
    <w:multiLevelType w:val="hybridMultilevel"/>
    <w:tmpl w:val="702CABF6"/>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11A3C"/>
    <w:multiLevelType w:val="hybridMultilevel"/>
    <w:tmpl w:val="3F1A542A"/>
    <w:lvl w:ilvl="0" w:tplc="4B4CFDAC">
      <w:start w:val="1"/>
      <w:numFmt w:val="bullet"/>
      <w:lvlText w:val="•"/>
      <w:lvlJc w:val="left"/>
      <w:pPr>
        <w:tabs>
          <w:tab w:val="num" w:pos="720"/>
        </w:tabs>
        <w:ind w:left="720" w:hanging="360"/>
      </w:pPr>
      <w:rPr>
        <w:rFonts w:ascii="Arial" w:hAnsi="Arial" w:hint="default"/>
      </w:rPr>
    </w:lvl>
    <w:lvl w:ilvl="1" w:tplc="529EEECC" w:tentative="1">
      <w:start w:val="1"/>
      <w:numFmt w:val="bullet"/>
      <w:lvlText w:val="•"/>
      <w:lvlJc w:val="left"/>
      <w:pPr>
        <w:tabs>
          <w:tab w:val="num" w:pos="1440"/>
        </w:tabs>
        <w:ind w:left="1440" w:hanging="360"/>
      </w:pPr>
      <w:rPr>
        <w:rFonts w:ascii="Arial" w:hAnsi="Arial" w:hint="default"/>
      </w:rPr>
    </w:lvl>
    <w:lvl w:ilvl="2" w:tplc="BD108938" w:tentative="1">
      <w:start w:val="1"/>
      <w:numFmt w:val="bullet"/>
      <w:lvlText w:val="•"/>
      <w:lvlJc w:val="left"/>
      <w:pPr>
        <w:tabs>
          <w:tab w:val="num" w:pos="2160"/>
        </w:tabs>
        <w:ind w:left="2160" w:hanging="360"/>
      </w:pPr>
      <w:rPr>
        <w:rFonts w:ascii="Arial" w:hAnsi="Arial" w:hint="default"/>
      </w:rPr>
    </w:lvl>
    <w:lvl w:ilvl="3" w:tplc="965CF0A0" w:tentative="1">
      <w:start w:val="1"/>
      <w:numFmt w:val="bullet"/>
      <w:lvlText w:val="•"/>
      <w:lvlJc w:val="left"/>
      <w:pPr>
        <w:tabs>
          <w:tab w:val="num" w:pos="2880"/>
        </w:tabs>
        <w:ind w:left="2880" w:hanging="360"/>
      </w:pPr>
      <w:rPr>
        <w:rFonts w:ascii="Arial" w:hAnsi="Arial" w:hint="default"/>
      </w:rPr>
    </w:lvl>
    <w:lvl w:ilvl="4" w:tplc="B6B8267A" w:tentative="1">
      <w:start w:val="1"/>
      <w:numFmt w:val="bullet"/>
      <w:lvlText w:val="•"/>
      <w:lvlJc w:val="left"/>
      <w:pPr>
        <w:tabs>
          <w:tab w:val="num" w:pos="3600"/>
        </w:tabs>
        <w:ind w:left="3600" w:hanging="360"/>
      </w:pPr>
      <w:rPr>
        <w:rFonts w:ascii="Arial" w:hAnsi="Arial" w:hint="default"/>
      </w:rPr>
    </w:lvl>
    <w:lvl w:ilvl="5" w:tplc="77BA917A" w:tentative="1">
      <w:start w:val="1"/>
      <w:numFmt w:val="bullet"/>
      <w:lvlText w:val="•"/>
      <w:lvlJc w:val="left"/>
      <w:pPr>
        <w:tabs>
          <w:tab w:val="num" w:pos="4320"/>
        </w:tabs>
        <w:ind w:left="4320" w:hanging="360"/>
      </w:pPr>
      <w:rPr>
        <w:rFonts w:ascii="Arial" w:hAnsi="Arial" w:hint="default"/>
      </w:rPr>
    </w:lvl>
    <w:lvl w:ilvl="6" w:tplc="5886A026" w:tentative="1">
      <w:start w:val="1"/>
      <w:numFmt w:val="bullet"/>
      <w:lvlText w:val="•"/>
      <w:lvlJc w:val="left"/>
      <w:pPr>
        <w:tabs>
          <w:tab w:val="num" w:pos="5040"/>
        </w:tabs>
        <w:ind w:left="5040" w:hanging="360"/>
      </w:pPr>
      <w:rPr>
        <w:rFonts w:ascii="Arial" w:hAnsi="Arial" w:hint="default"/>
      </w:rPr>
    </w:lvl>
    <w:lvl w:ilvl="7" w:tplc="3EE07450" w:tentative="1">
      <w:start w:val="1"/>
      <w:numFmt w:val="bullet"/>
      <w:lvlText w:val="•"/>
      <w:lvlJc w:val="left"/>
      <w:pPr>
        <w:tabs>
          <w:tab w:val="num" w:pos="5760"/>
        </w:tabs>
        <w:ind w:left="5760" w:hanging="360"/>
      </w:pPr>
      <w:rPr>
        <w:rFonts w:ascii="Arial" w:hAnsi="Arial" w:hint="default"/>
      </w:rPr>
    </w:lvl>
    <w:lvl w:ilvl="8" w:tplc="918E5A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68224D"/>
    <w:multiLevelType w:val="hybridMultilevel"/>
    <w:tmpl w:val="42A8722E"/>
    <w:lvl w:ilvl="0" w:tplc="B0CE54DC">
      <w:start w:val="1"/>
      <w:numFmt w:val="decimal"/>
      <w:lvlText w:val="%1."/>
      <w:lvlJc w:val="left"/>
      <w:pPr>
        <w:tabs>
          <w:tab w:val="num" w:pos="720"/>
        </w:tabs>
        <w:ind w:left="720" w:hanging="360"/>
      </w:pPr>
    </w:lvl>
    <w:lvl w:ilvl="1" w:tplc="E0D624B6" w:tentative="1">
      <w:start w:val="1"/>
      <w:numFmt w:val="decimal"/>
      <w:lvlText w:val="%2."/>
      <w:lvlJc w:val="left"/>
      <w:pPr>
        <w:tabs>
          <w:tab w:val="num" w:pos="1440"/>
        </w:tabs>
        <w:ind w:left="1440" w:hanging="360"/>
      </w:pPr>
    </w:lvl>
    <w:lvl w:ilvl="2" w:tplc="A48ADDB6" w:tentative="1">
      <w:start w:val="1"/>
      <w:numFmt w:val="decimal"/>
      <w:lvlText w:val="%3."/>
      <w:lvlJc w:val="left"/>
      <w:pPr>
        <w:tabs>
          <w:tab w:val="num" w:pos="2160"/>
        </w:tabs>
        <w:ind w:left="2160" w:hanging="360"/>
      </w:pPr>
    </w:lvl>
    <w:lvl w:ilvl="3" w:tplc="265CE854" w:tentative="1">
      <w:start w:val="1"/>
      <w:numFmt w:val="decimal"/>
      <w:lvlText w:val="%4."/>
      <w:lvlJc w:val="left"/>
      <w:pPr>
        <w:tabs>
          <w:tab w:val="num" w:pos="2880"/>
        </w:tabs>
        <w:ind w:left="2880" w:hanging="360"/>
      </w:pPr>
    </w:lvl>
    <w:lvl w:ilvl="4" w:tplc="602256AA" w:tentative="1">
      <w:start w:val="1"/>
      <w:numFmt w:val="decimal"/>
      <w:lvlText w:val="%5."/>
      <w:lvlJc w:val="left"/>
      <w:pPr>
        <w:tabs>
          <w:tab w:val="num" w:pos="3600"/>
        </w:tabs>
        <w:ind w:left="3600" w:hanging="360"/>
      </w:pPr>
    </w:lvl>
    <w:lvl w:ilvl="5" w:tplc="09B8240E" w:tentative="1">
      <w:start w:val="1"/>
      <w:numFmt w:val="decimal"/>
      <w:lvlText w:val="%6."/>
      <w:lvlJc w:val="left"/>
      <w:pPr>
        <w:tabs>
          <w:tab w:val="num" w:pos="4320"/>
        </w:tabs>
        <w:ind w:left="4320" w:hanging="360"/>
      </w:pPr>
    </w:lvl>
    <w:lvl w:ilvl="6" w:tplc="A3B61A5E" w:tentative="1">
      <w:start w:val="1"/>
      <w:numFmt w:val="decimal"/>
      <w:lvlText w:val="%7."/>
      <w:lvlJc w:val="left"/>
      <w:pPr>
        <w:tabs>
          <w:tab w:val="num" w:pos="5040"/>
        </w:tabs>
        <w:ind w:left="5040" w:hanging="360"/>
      </w:pPr>
    </w:lvl>
    <w:lvl w:ilvl="7" w:tplc="F1CE1F82" w:tentative="1">
      <w:start w:val="1"/>
      <w:numFmt w:val="decimal"/>
      <w:lvlText w:val="%8."/>
      <w:lvlJc w:val="left"/>
      <w:pPr>
        <w:tabs>
          <w:tab w:val="num" w:pos="5760"/>
        </w:tabs>
        <w:ind w:left="5760" w:hanging="360"/>
      </w:pPr>
    </w:lvl>
    <w:lvl w:ilvl="8" w:tplc="46688DCE" w:tentative="1">
      <w:start w:val="1"/>
      <w:numFmt w:val="decimal"/>
      <w:lvlText w:val="%9."/>
      <w:lvlJc w:val="left"/>
      <w:pPr>
        <w:tabs>
          <w:tab w:val="num" w:pos="6480"/>
        </w:tabs>
        <w:ind w:left="6480" w:hanging="360"/>
      </w:pPr>
    </w:lvl>
  </w:abstractNum>
  <w:abstractNum w:abstractNumId="7" w15:restartNumberingAfterBreak="0">
    <w:nsid w:val="340A11EF"/>
    <w:multiLevelType w:val="hybridMultilevel"/>
    <w:tmpl w:val="601EF41C"/>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AE364A"/>
    <w:multiLevelType w:val="hybridMultilevel"/>
    <w:tmpl w:val="E206C1BA"/>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AE7536"/>
    <w:multiLevelType w:val="hybridMultilevel"/>
    <w:tmpl w:val="CA104616"/>
    <w:lvl w:ilvl="0" w:tplc="3048CA54">
      <w:start w:val="1"/>
      <w:numFmt w:val="bullet"/>
      <w:lvlText w:val="•"/>
      <w:lvlJc w:val="left"/>
      <w:pPr>
        <w:tabs>
          <w:tab w:val="num" w:pos="720"/>
        </w:tabs>
        <w:ind w:left="720" w:hanging="360"/>
      </w:pPr>
      <w:rPr>
        <w:rFonts w:ascii="Arial" w:hAnsi="Arial" w:hint="default"/>
      </w:rPr>
    </w:lvl>
    <w:lvl w:ilvl="1" w:tplc="8974AF48" w:tentative="1">
      <w:start w:val="1"/>
      <w:numFmt w:val="bullet"/>
      <w:lvlText w:val="•"/>
      <w:lvlJc w:val="left"/>
      <w:pPr>
        <w:tabs>
          <w:tab w:val="num" w:pos="1440"/>
        </w:tabs>
        <w:ind w:left="1440" w:hanging="360"/>
      </w:pPr>
      <w:rPr>
        <w:rFonts w:ascii="Arial" w:hAnsi="Arial" w:hint="default"/>
      </w:rPr>
    </w:lvl>
    <w:lvl w:ilvl="2" w:tplc="CC649388" w:tentative="1">
      <w:start w:val="1"/>
      <w:numFmt w:val="bullet"/>
      <w:lvlText w:val="•"/>
      <w:lvlJc w:val="left"/>
      <w:pPr>
        <w:tabs>
          <w:tab w:val="num" w:pos="2160"/>
        </w:tabs>
        <w:ind w:left="2160" w:hanging="360"/>
      </w:pPr>
      <w:rPr>
        <w:rFonts w:ascii="Arial" w:hAnsi="Arial" w:hint="default"/>
      </w:rPr>
    </w:lvl>
    <w:lvl w:ilvl="3" w:tplc="367A6366" w:tentative="1">
      <w:start w:val="1"/>
      <w:numFmt w:val="bullet"/>
      <w:lvlText w:val="•"/>
      <w:lvlJc w:val="left"/>
      <w:pPr>
        <w:tabs>
          <w:tab w:val="num" w:pos="2880"/>
        </w:tabs>
        <w:ind w:left="2880" w:hanging="360"/>
      </w:pPr>
      <w:rPr>
        <w:rFonts w:ascii="Arial" w:hAnsi="Arial" w:hint="default"/>
      </w:rPr>
    </w:lvl>
    <w:lvl w:ilvl="4" w:tplc="A500A508" w:tentative="1">
      <w:start w:val="1"/>
      <w:numFmt w:val="bullet"/>
      <w:lvlText w:val="•"/>
      <w:lvlJc w:val="left"/>
      <w:pPr>
        <w:tabs>
          <w:tab w:val="num" w:pos="3600"/>
        </w:tabs>
        <w:ind w:left="3600" w:hanging="360"/>
      </w:pPr>
      <w:rPr>
        <w:rFonts w:ascii="Arial" w:hAnsi="Arial" w:hint="default"/>
      </w:rPr>
    </w:lvl>
    <w:lvl w:ilvl="5" w:tplc="AD669E9C" w:tentative="1">
      <w:start w:val="1"/>
      <w:numFmt w:val="bullet"/>
      <w:lvlText w:val="•"/>
      <w:lvlJc w:val="left"/>
      <w:pPr>
        <w:tabs>
          <w:tab w:val="num" w:pos="4320"/>
        </w:tabs>
        <w:ind w:left="4320" w:hanging="360"/>
      </w:pPr>
      <w:rPr>
        <w:rFonts w:ascii="Arial" w:hAnsi="Arial" w:hint="default"/>
      </w:rPr>
    </w:lvl>
    <w:lvl w:ilvl="6" w:tplc="4034598E" w:tentative="1">
      <w:start w:val="1"/>
      <w:numFmt w:val="bullet"/>
      <w:lvlText w:val="•"/>
      <w:lvlJc w:val="left"/>
      <w:pPr>
        <w:tabs>
          <w:tab w:val="num" w:pos="5040"/>
        </w:tabs>
        <w:ind w:left="5040" w:hanging="360"/>
      </w:pPr>
      <w:rPr>
        <w:rFonts w:ascii="Arial" w:hAnsi="Arial" w:hint="default"/>
      </w:rPr>
    </w:lvl>
    <w:lvl w:ilvl="7" w:tplc="15689994" w:tentative="1">
      <w:start w:val="1"/>
      <w:numFmt w:val="bullet"/>
      <w:lvlText w:val="•"/>
      <w:lvlJc w:val="left"/>
      <w:pPr>
        <w:tabs>
          <w:tab w:val="num" w:pos="5760"/>
        </w:tabs>
        <w:ind w:left="5760" w:hanging="360"/>
      </w:pPr>
      <w:rPr>
        <w:rFonts w:ascii="Arial" w:hAnsi="Arial" w:hint="default"/>
      </w:rPr>
    </w:lvl>
    <w:lvl w:ilvl="8" w:tplc="5768A5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F72222"/>
    <w:multiLevelType w:val="hybridMultilevel"/>
    <w:tmpl w:val="4CDC0A02"/>
    <w:lvl w:ilvl="0" w:tplc="2C3A3352">
      <w:start w:val="1"/>
      <w:numFmt w:val="decimal"/>
      <w:lvlText w:val="%1."/>
      <w:lvlJc w:val="left"/>
      <w:pPr>
        <w:tabs>
          <w:tab w:val="num" w:pos="720"/>
        </w:tabs>
        <w:ind w:left="720" w:hanging="360"/>
      </w:pPr>
    </w:lvl>
    <w:lvl w:ilvl="1" w:tplc="26E8D466" w:tentative="1">
      <w:start w:val="1"/>
      <w:numFmt w:val="decimal"/>
      <w:lvlText w:val="%2."/>
      <w:lvlJc w:val="left"/>
      <w:pPr>
        <w:tabs>
          <w:tab w:val="num" w:pos="1440"/>
        </w:tabs>
        <w:ind w:left="1440" w:hanging="360"/>
      </w:pPr>
    </w:lvl>
    <w:lvl w:ilvl="2" w:tplc="D6AC1310" w:tentative="1">
      <w:start w:val="1"/>
      <w:numFmt w:val="decimal"/>
      <w:lvlText w:val="%3."/>
      <w:lvlJc w:val="left"/>
      <w:pPr>
        <w:tabs>
          <w:tab w:val="num" w:pos="2160"/>
        </w:tabs>
        <w:ind w:left="2160" w:hanging="360"/>
      </w:pPr>
    </w:lvl>
    <w:lvl w:ilvl="3" w:tplc="9E580D36" w:tentative="1">
      <w:start w:val="1"/>
      <w:numFmt w:val="decimal"/>
      <w:lvlText w:val="%4."/>
      <w:lvlJc w:val="left"/>
      <w:pPr>
        <w:tabs>
          <w:tab w:val="num" w:pos="2880"/>
        </w:tabs>
        <w:ind w:left="2880" w:hanging="360"/>
      </w:pPr>
    </w:lvl>
    <w:lvl w:ilvl="4" w:tplc="278C7AAC" w:tentative="1">
      <w:start w:val="1"/>
      <w:numFmt w:val="decimal"/>
      <w:lvlText w:val="%5."/>
      <w:lvlJc w:val="left"/>
      <w:pPr>
        <w:tabs>
          <w:tab w:val="num" w:pos="3600"/>
        </w:tabs>
        <w:ind w:left="3600" w:hanging="360"/>
      </w:pPr>
    </w:lvl>
    <w:lvl w:ilvl="5" w:tplc="B184A156" w:tentative="1">
      <w:start w:val="1"/>
      <w:numFmt w:val="decimal"/>
      <w:lvlText w:val="%6."/>
      <w:lvlJc w:val="left"/>
      <w:pPr>
        <w:tabs>
          <w:tab w:val="num" w:pos="4320"/>
        </w:tabs>
        <w:ind w:left="4320" w:hanging="360"/>
      </w:pPr>
    </w:lvl>
    <w:lvl w:ilvl="6" w:tplc="EE0A81DE" w:tentative="1">
      <w:start w:val="1"/>
      <w:numFmt w:val="decimal"/>
      <w:lvlText w:val="%7."/>
      <w:lvlJc w:val="left"/>
      <w:pPr>
        <w:tabs>
          <w:tab w:val="num" w:pos="5040"/>
        </w:tabs>
        <w:ind w:left="5040" w:hanging="360"/>
      </w:pPr>
    </w:lvl>
    <w:lvl w:ilvl="7" w:tplc="9B16276C" w:tentative="1">
      <w:start w:val="1"/>
      <w:numFmt w:val="decimal"/>
      <w:lvlText w:val="%8."/>
      <w:lvlJc w:val="left"/>
      <w:pPr>
        <w:tabs>
          <w:tab w:val="num" w:pos="5760"/>
        </w:tabs>
        <w:ind w:left="5760" w:hanging="360"/>
      </w:pPr>
    </w:lvl>
    <w:lvl w:ilvl="8" w:tplc="A8AA2680" w:tentative="1">
      <w:start w:val="1"/>
      <w:numFmt w:val="decimal"/>
      <w:lvlText w:val="%9."/>
      <w:lvlJc w:val="left"/>
      <w:pPr>
        <w:tabs>
          <w:tab w:val="num" w:pos="6480"/>
        </w:tabs>
        <w:ind w:left="6480" w:hanging="360"/>
      </w:pPr>
    </w:lvl>
  </w:abstractNum>
  <w:abstractNum w:abstractNumId="12" w15:restartNumberingAfterBreak="0">
    <w:nsid w:val="71755906"/>
    <w:multiLevelType w:val="hybridMultilevel"/>
    <w:tmpl w:val="E6141A1E"/>
    <w:lvl w:ilvl="0" w:tplc="183AC34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A6594E"/>
    <w:multiLevelType w:val="hybridMultilevel"/>
    <w:tmpl w:val="A31851AE"/>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4"/>
  </w:num>
  <w:num w:numId="6">
    <w:abstractNumId w:val="3"/>
  </w:num>
  <w:num w:numId="7">
    <w:abstractNumId w:val="12"/>
  </w:num>
  <w:num w:numId="8">
    <w:abstractNumId w:val="2"/>
  </w:num>
  <w:num w:numId="9">
    <w:abstractNumId w:val="9"/>
  </w:num>
  <w:num w:numId="10">
    <w:abstractNumId w:val="1"/>
  </w:num>
  <w:num w:numId="11">
    <w:abstractNumId w:val="6"/>
  </w:num>
  <w:num w:numId="12">
    <w:abstractNumId w:val="0"/>
  </w:num>
  <w:num w:numId="13">
    <w:abstractNumId w:val="11"/>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0B4"/>
    <w:rsid w:val="0001446D"/>
    <w:rsid w:val="00014AAA"/>
    <w:rsid w:val="00014CA1"/>
    <w:rsid w:val="000166CA"/>
    <w:rsid w:val="00017055"/>
    <w:rsid w:val="00017089"/>
    <w:rsid w:val="00017EAA"/>
    <w:rsid w:val="00017F26"/>
    <w:rsid w:val="000204C4"/>
    <w:rsid w:val="00020B2E"/>
    <w:rsid w:val="00023998"/>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6E40"/>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5284D"/>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A99"/>
    <w:rsid w:val="0008298A"/>
    <w:rsid w:val="0008362E"/>
    <w:rsid w:val="00084840"/>
    <w:rsid w:val="00085A4A"/>
    <w:rsid w:val="000860A2"/>
    <w:rsid w:val="000860E6"/>
    <w:rsid w:val="00086362"/>
    <w:rsid w:val="0008654A"/>
    <w:rsid w:val="000868D2"/>
    <w:rsid w:val="00086EAE"/>
    <w:rsid w:val="00087A47"/>
    <w:rsid w:val="00090079"/>
    <w:rsid w:val="000904CA"/>
    <w:rsid w:val="00091032"/>
    <w:rsid w:val="000911AB"/>
    <w:rsid w:val="000920EA"/>
    <w:rsid w:val="000934F4"/>
    <w:rsid w:val="00095BF2"/>
    <w:rsid w:val="000968EF"/>
    <w:rsid w:val="000A043B"/>
    <w:rsid w:val="000A0F71"/>
    <w:rsid w:val="000A178E"/>
    <w:rsid w:val="000A27BF"/>
    <w:rsid w:val="000A2B0F"/>
    <w:rsid w:val="000A2CA9"/>
    <w:rsid w:val="000A3F9B"/>
    <w:rsid w:val="000A5203"/>
    <w:rsid w:val="000A57D4"/>
    <w:rsid w:val="000B09DC"/>
    <w:rsid w:val="000B0A74"/>
    <w:rsid w:val="000B1117"/>
    <w:rsid w:val="000B1144"/>
    <w:rsid w:val="000B17C5"/>
    <w:rsid w:val="000B2814"/>
    <w:rsid w:val="000B2F97"/>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8F1"/>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100CE1"/>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90D"/>
    <w:rsid w:val="00132A0F"/>
    <w:rsid w:val="00134A16"/>
    <w:rsid w:val="001359D9"/>
    <w:rsid w:val="001360E3"/>
    <w:rsid w:val="001369F0"/>
    <w:rsid w:val="0013740B"/>
    <w:rsid w:val="0013769E"/>
    <w:rsid w:val="00137854"/>
    <w:rsid w:val="00140315"/>
    <w:rsid w:val="00143395"/>
    <w:rsid w:val="00143D5F"/>
    <w:rsid w:val="001445FD"/>
    <w:rsid w:val="00144615"/>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68"/>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BFE"/>
    <w:rsid w:val="001B3FAD"/>
    <w:rsid w:val="001B426D"/>
    <w:rsid w:val="001B651E"/>
    <w:rsid w:val="001C07F5"/>
    <w:rsid w:val="001C151E"/>
    <w:rsid w:val="001C16A3"/>
    <w:rsid w:val="001C1D6B"/>
    <w:rsid w:val="001C3E69"/>
    <w:rsid w:val="001C5BBE"/>
    <w:rsid w:val="001C5E93"/>
    <w:rsid w:val="001C5EE7"/>
    <w:rsid w:val="001C68EC"/>
    <w:rsid w:val="001C7B03"/>
    <w:rsid w:val="001C7D55"/>
    <w:rsid w:val="001D0487"/>
    <w:rsid w:val="001D2980"/>
    <w:rsid w:val="001D3283"/>
    <w:rsid w:val="001D369C"/>
    <w:rsid w:val="001D3C27"/>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3D72"/>
    <w:rsid w:val="002042B7"/>
    <w:rsid w:val="002048B4"/>
    <w:rsid w:val="00204CA4"/>
    <w:rsid w:val="00204EC3"/>
    <w:rsid w:val="0020580E"/>
    <w:rsid w:val="00206415"/>
    <w:rsid w:val="00206A12"/>
    <w:rsid w:val="002074B7"/>
    <w:rsid w:val="002075FC"/>
    <w:rsid w:val="00207E61"/>
    <w:rsid w:val="0021192B"/>
    <w:rsid w:val="002129D5"/>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79B"/>
    <w:rsid w:val="00224673"/>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67E"/>
    <w:rsid w:val="0025674A"/>
    <w:rsid w:val="00257EEE"/>
    <w:rsid w:val="00262C9E"/>
    <w:rsid w:val="0026479C"/>
    <w:rsid w:val="00264BF3"/>
    <w:rsid w:val="0026533F"/>
    <w:rsid w:val="00265347"/>
    <w:rsid w:val="00265857"/>
    <w:rsid w:val="00265C2C"/>
    <w:rsid w:val="00266169"/>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698"/>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4085"/>
    <w:rsid w:val="002B4B13"/>
    <w:rsid w:val="002B4D98"/>
    <w:rsid w:val="002B5076"/>
    <w:rsid w:val="002B59AB"/>
    <w:rsid w:val="002B720B"/>
    <w:rsid w:val="002C1644"/>
    <w:rsid w:val="002C1ED0"/>
    <w:rsid w:val="002C3290"/>
    <w:rsid w:val="002C344E"/>
    <w:rsid w:val="002C3A5C"/>
    <w:rsid w:val="002C46A0"/>
    <w:rsid w:val="002C4BDD"/>
    <w:rsid w:val="002C5D3A"/>
    <w:rsid w:val="002D097D"/>
    <w:rsid w:val="002D134B"/>
    <w:rsid w:val="002D2D22"/>
    <w:rsid w:val="002D2EEA"/>
    <w:rsid w:val="002D35F5"/>
    <w:rsid w:val="002D498D"/>
    <w:rsid w:val="002D49DC"/>
    <w:rsid w:val="002D4F80"/>
    <w:rsid w:val="002D4FB7"/>
    <w:rsid w:val="002D54E0"/>
    <w:rsid w:val="002D6134"/>
    <w:rsid w:val="002D7401"/>
    <w:rsid w:val="002D7DBC"/>
    <w:rsid w:val="002E0224"/>
    <w:rsid w:val="002E08DD"/>
    <w:rsid w:val="002E149C"/>
    <w:rsid w:val="002E14F1"/>
    <w:rsid w:val="002E255B"/>
    <w:rsid w:val="002E323A"/>
    <w:rsid w:val="002E3512"/>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6A27"/>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6A90"/>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6F30"/>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B2A"/>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2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09A0"/>
    <w:rsid w:val="00451CCD"/>
    <w:rsid w:val="00452A6A"/>
    <w:rsid w:val="00452D76"/>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61EC"/>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5F90"/>
    <w:rsid w:val="00496DC2"/>
    <w:rsid w:val="004972BA"/>
    <w:rsid w:val="00497A22"/>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21FC"/>
    <w:rsid w:val="004E2CB6"/>
    <w:rsid w:val="004E4B66"/>
    <w:rsid w:val="004E5A0F"/>
    <w:rsid w:val="004E5CBF"/>
    <w:rsid w:val="004E65E1"/>
    <w:rsid w:val="004E739B"/>
    <w:rsid w:val="004F009F"/>
    <w:rsid w:val="004F06D4"/>
    <w:rsid w:val="004F09EF"/>
    <w:rsid w:val="004F1A93"/>
    <w:rsid w:val="004F2629"/>
    <w:rsid w:val="004F3760"/>
    <w:rsid w:val="004F46B5"/>
    <w:rsid w:val="004F547F"/>
    <w:rsid w:val="004F5546"/>
    <w:rsid w:val="004F5BED"/>
    <w:rsid w:val="004F5C55"/>
    <w:rsid w:val="004F614E"/>
    <w:rsid w:val="004F61B9"/>
    <w:rsid w:val="005005EF"/>
    <w:rsid w:val="00500872"/>
    <w:rsid w:val="0050142D"/>
    <w:rsid w:val="005021E6"/>
    <w:rsid w:val="00502E97"/>
    <w:rsid w:val="00503FF3"/>
    <w:rsid w:val="00504246"/>
    <w:rsid w:val="00504335"/>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11F"/>
    <w:rsid w:val="0051777E"/>
    <w:rsid w:val="00517C1A"/>
    <w:rsid w:val="00517D99"/>
    <w:rsid w:val="00521F1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9F9"/>
    <w:rsid w:val="00593A0B"/>
    <w:rsid w:val="00593F66"/>
    <w:rsid w:val="00594614"/>
    <w:rsid w:val="00595693"/>
    <w:rsid w:val="00595E81"/>
    <w:rsid w:val="00596DED"/>
    <w:rsid w:val="00597003"/>
    <w:rsid w:val="0059799C"/>
    <w:rsid w:val="005A0A02"/>
    <w:rsid w:val="005A131E"/>
    <w:rsid w:val="005A2F1D"/>
    <w:rsid w:val="005A322A"/>
    <w:rsid w:val="005A3329"/>
    <w:rsid w:val="005A39D0"/>
    <w:rsid w:val="005A4113"/>
    <w:rsid w:val="005A55BD"/>
    <w:rsid w:val="005A55E6"/>
    <w:rsid w:val="005A583C"/>
    <w:rsid w:val="005A61E7"/>
    <w:rsid w:val="005A6D78"/>
    <w:rsid w:val="005A717F"/>
    <w:rsid w:val="005A73E8"/>
    <w:rsid w:val="005B12BF"/>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3CC4"/>
    <w:rsid w:val="00614642"/>
    <w:rsid w:val="00615127"/>
    <w:rsid w:val="00615665"/>
    <w:rsid w:val="00616870"/>
    <w:rsid w:val="00616BF1"/>
    <w:rsid w:val="0061757D"/>
    <w:rsid w:val="00617C11"/>
    <w:rsid w:val="00620A42"/>
    <w:rsid w:val="00621649"/>
    <w:rsid w:val="00622A9F"/>
    <w:rsid w:val="00622AC9"/>
    <w:rsid w:val="00622C55"/>
    <w:rsid w:val="00624194"/>
    <w:rsid w:val="006242EE"/>
    <w:rsid w:val="00624F25"/>
    <w:rsid w:val="0062535A"/>
    <w:rsid w:val="00626BD3"/>
    <w:rsid w:val="00626CA5"/>
    <w:rsid w:val="00626E31"/>
    <w:rsid w:val="00626E52"/>
    <w:rsid w:val="0063002A"/>
    <w:rsid w:val="006300BE"/>
    <w:rsid w:val="00630441"/>
    <w:rsid w:val="006316E5"/>
    <w:rsid w:val="00632465"/>
    <w:rsid w:val="006327BA"/>
    <w:rsid w:val="00633376"/>
    <w:rsid w:val="00633670"/>
    <w:rsid w:val="00633D16"/>
    <w:rsid w:val="00634070"/>
    <w:rsid w:val="00634380"/>
    <w:rsid w:val="00634462"/>
    <w:rsid w:val="0063448E"/>
    <w:rsid w:val="00635E46"/>
    <w:rsid w:val="0063710A"/>
    <w:rsid w:val="00637A4B"/>
    <w:rsid w:val="00640549"/>
    <w:rsid w:val="0064076C"/>
    <w:rsid w:val="006408DE"/>
    <w:rsid w:val="00640C96"/>
    <w:rsid w:val="00641137"/>
    <w:rsid w:val="00641982"/>
    <w:rsid w:val="0064341D"/>
    <w:rsid w:val="0064379E"/>
    <w:rsid w:val="00643A41"/>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1BFA"/>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CF9"/>
    <w:rsid w:val="00693C85"/>
    <w:rsid w:val="00694356"/>
    <w:rsid w:val="006947D5"/>
    <w:rsid w:val="00695258"/>
    <w:rsid w:val="00695337"/>
    <w:rsid w:val="00696709"/>
    <w:rsid w:val="00696CB7"/>
    <w:rsid w:val="006979BA"/>
    <w:rsid w:val="006A14D1"/>
    <w:rsid w:val="006A1B92"/>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1E3"/>
    <w:rsid w:val="006B5510"/>
    <w:rsid w:val="006B659A"/>
    <w:rsid w:val="006B67C2"/>
    <w:rsid w:val="006B6AB9"/>
    <w:rsid w:val="006B6C2C"/>
    <w:rsid w:val="006B723E"/>
    <w:rsid w:val="006C067C"/>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19E"/>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FD5"/>
    <w:rsid w:val="007116D7"/>
    <w:rsid w:val="0071188E"/>
    <w:rsid w:val="00711930"/>
    <w:rsid w:val="007120D7"/>
    <w:rsid w:val="00712B6A"/>
    <w:rsid w:val="007130BC"/>
    <w:rsid w:val="00713BD1"/>
    <w:rsid w:val="00714564"/>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D34"/>
    <w:rsid w:val="00731379"/>
    <w:rsid w:val="00732AA5"/>
    <w:rsid w:val="0073363D"/>
    <w:rsid w:val="007337E3"/>
    <w:rsid w:val="007339F7"/>
    <w:rsid w:val="00734BDD"/>
    <w:rsid w:val="00735B33"/>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0644"/>
    <w:rsid w:val="007611B2"/>
    <w:rsid w:val="00761B06"/>
    <w:rsid w:val="00761B51"/>
    <w:rsid w:val="00764868"/>
    <w:rsid w:val="00764D3A"/>
    <w:rsid w:val="00764EAE"/>
    <w:rsid w:val="00765B0A"/>
    <w:rsid w:val="00765D6C"/>
    <w:rsid w:val="007675B5"/>
    <w:rsid w:val="00770703"/>
    <w:rsid w:val="00771A61"/>
    <w:rsid w:val="00771EDB"/>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185"/>
    <w:rsid w:val="00786DB3"/>
    <w:rsid w:val="007874CE"/>
    <w:rsid w:val="00787E3C"/>
    <w:rsid w:val="00787EA2"/>
    <w:rsid w:val="007900BA"/>
    <w:rsid w:val="00790399"/>
    <w:rsid w:val="007906BC"/>
    <w:rsid w:val="00790F4C"/>
    <w:rsid w:val="007917BB"/>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0D5"/>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576A"/>
    <w:rsid w:val="008267A9"/>
    <w:rsid w:val="00827FDF"/>
    <w:rsid w:val="00830787"/>
    <w:rsid w:val="00830CF0"/>
    <w:rsid w:val="008338F5"/>
    <w:rsid w:val="00834094"/>
    <w:rsid w:val="00834D96"/>
    <w:rsid w:val="00835714"/>
    <w:rsid w:val="00836C80"/>
    <w:rsid w:val="008408FD"/>
    <w:rsid w:val="00840CC6"/>
    <w:rsid w:val="0084229C"/>
    <w:rsid w:val="008428A5"/>
    <w:rsid w:val="008429D3"/>
    <w:rsid w:val="00844995"/>
    <w:rsid w:val="00844F64"/>
    <w:rsid w:val="00846585"/>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139A"/>
    <w:rsid w:val="00861638"/>
    <w:rsid w:val="008631D7"/>
    <w:rsid w:val="00864634"/>
    <w:rsid w:val="00865295"/>
    <w:rsid w:val="008663BB"/>
    <w:rsid w:val="00867049"/>
    <w:rsid w:val="00867DC1"/>
    <w:rsid w:val="008716A8"/>
    <w:rsid w:val="008723FD"/>
    <w:rsid w:val="008741D0"/>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087"/>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04AC"/>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E5727"/>
    <w:rsid w:val="008E7B41"/>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40EA"/>
    <w:rsid w:val="009743AA"/>
    <w:rsid w:val="009757FC"/>
    <w:rsid w:val="00977038"/>
    <w:rsid w:val="00977D79"/>
    <w:rsid w:val="00980258"/>
    <w:rsid w:val="00981F23"/>
    <w:rsid w:val="00984070"/>
    <w:rsid w:val="00984285"/>
    <w:rsid w:val="00985344"/>
    <w:rsid w:val="00986064"/>
    <w:rsid w:val="00986223"/>
    <w:rsid w:val="00987709"/>
    <w:rsid w:val="00987C27"/>
    <w:rsid w:val="009902CC"/>
    <w:rsid w:val="00991464"/>
    <w:rsid w:val="009922EE"/>
    <w:rsid w:val="009927BE"/>
    <w:rsid w:val="00992E7F"/>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BC1"/>
    <w:rsid w:val="009B2D01"/>
    <w:rsid w:val="009B2E2F"/>
    <w:rsid w:val="009B345A"/>
    <w:rsid w:val="009B3E85"/>
    <w:rsid w:val="009B43DC"/>
    <w:rsid w:val="009B4751"/>
    <w:rsid w:val="009B47EC"/>
    <w:rsid w:val="009B500D"/>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62CD"/>
    <w:rsid w:val="009D71AE"/>
    <w:rsid w:val="009D7BCC"/>
    <w:rsid w:val="009E1D9F"/>
    <w:rsid w:val="009E2C1D"/>
    <w:rsid w:val="009E3D44"/>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07DF7"/>
    <w:rsid w:val="00A10179"/>
    <w:rsid w:val="00A11552"/>
    <w:rsid w:val="00A11C65"/>
    <w:rsid w:val="00A12BFE"/>
    <w:rsid w:val="00A13373"/>
    <w:rsid w:val="00A13A18"/>
    <w:rsid w:val="00A147AC"/>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3791"/>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2E5"/>
    <w:rsid w:val="00A818E4"/>
    <w:rsid w:val="00A81CE6"/>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80A"/>
    <w:rsid w:val="00A97D45"/>
    <w:rsid w:val="00AA0C10"/>
    <w:rsid w:val="00AA28BA"/>
    <w:rsid w:val="00AA2AD9"/>
    <w:rsid w:val="00AA2F99"/>
    <w:rsid w:val="00AA4097"/>
    <w:rsid w:val="00AA4D4D"/>
    <w:rsid w:val="00AA4F44"/>
    <w:rsid w:val="00AA5422"/>
    <w:rsid w:val="00AA58B2"/>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41CD"/>
    <w:rsid w:val="00AC6018"/>
    <w:rsid w:val="00AC6757"/>
    <w:rsid w:val="00AC77F9"/>
    <w:rsid w:val="00AC7B3C"/>
    <w:rsid w:val="00AD08FD"/>
    <w:rsid w:val="00AD0A0F"/>
    <w:rsid w:val="00AD123C"/>
    <w:rsid w:val="00AD3263"/>
    <w:rsid w:val="00AD3C42"/>
    <w:rsid w:val="00AD3F6B"/>
    <w:rsid w:val="00AD4F20"/>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47312"/>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826"/>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29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971"/>
    <w:rsid w:val="00BA6A8F"/>
    <w:rsid w:val="00BA7026"/>
    <w:rsid w:val="00BA770B"/>
    <w:rsid w:val="00BA7A80"/>
    <w:rsid w:val="00BB005D"/>
    <w:rsid w:val="00BB089E"/>
    <w:rsid w:val="00BB0906"/>
    <w:rsid w:val="00BB11E5"/>
    <w:rsid w:val="00BB24C3"/>
    <w:rsid w:val="00BB3212"/>
    <w:rsid w:val="00BB3270"/>
    <w:rsid w:val="00BB33F9"/>
    <w:rsid w:val="00BB439E"/>
    <w:rsid w:val="00BB4665"/>
    <w:rsid w:val="00BB4BF0"/>
    <w:rsid w:val="00BB4C88"/>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9AD"/>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369"/>
    <w:rsid w:val="00C04681"/>
    <w:rsid w:val="00C05454"/>
    <w:rsid w:val="00C061E5"/>
    <w:rsid w:val="00C07862"/>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4ADB"/>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44F"/>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684"/>
    <w:rsid w:val="00C95DDE"/>
    <w:rsid w:val="00C96C2C"/>
    <w:rsid w:val="00CA0731"/>
    <w:rsid w:val="00CA116D"/>
    <w:rsid w:val="00CA19D3"/>
    <w:rsid w:val="00CA2BB2"/>
    <w:rsid w:val="00CA32D6"/>
    <w:rsid w:val="00CA434E"/>
    <w:rsid w:val="00CA64D4"/>
    <w:rsid w:val="00CA65D3"/>
    <w:rsid w:val="00CA7153"/>
    <w:rsid w:val="00CA73A3"/>
    <w:rsid w:val="00CA7434"/>
    <w:rsid w:val="00CB0C73"/>
    <w:rsid w:val="00CB0D1E"/>
    <w:rsid w:val="00CB1937"/>
    <w:rsid w:val="00CB2D42"/>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0537"/>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4818"/>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6B"/>
    <w:rsid w:val="00D065F5"/>
    <w:rsid w:val="00D07265"/>
    <w:rsid w:val="00D10EBF"/>
    <w:rsid w:val="00D120F9"/>
    <w:rsid w:val="00D1327E"/>
    <w:rsid w:val="00D13731"/>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167E"/>
    <w:rsid w:val="00D420E9"/>
    <w:rsid w:val="00D435F0"/>
    <w:rsid w:val="00D43AB4"/>
    <w:rsid w:val="00D43B70"/>
    <w:rsid w:val="00D43B8D"/>
    <w:rsid w:val="00D440EC"/>
    <w:rsid w:val="00D449E6"/>
    <w:rsid w:val="00D45067"/>
    <w:rsid w:val="00D451B2"/>
    <w:rsid w:val="00D452C8"/>
    <w:rsid w:val="00D453F5"/>
    <w:rsid w:val="00D45407"/>
    <w:rsid w:val="00D45580"/>
    <w:rsid w:val="00D4570D"/>
    <w:rsid w:val="00D4678E"/>
    <w:rsid w:val="00D4692B"/>
    <w:rsid w:val="00D46C95"/>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D7D11"/>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3E18"/>
    <w:rsid w:val="00DF4DDB"/>
    <w:rsid w:val="00DF62CC"/>
    <w:rsid w:val="00DF671E"/>
    <w:rsid w:val="00DF6BC6"/>
    <w:rsid w:val="00DF6D4F"/>
    <w:rsid w:val="00DF72AF"/>
    <w:rsid w:val="00DF7F9F"/>
    <w:rsid w:val="00E007E8"/>
    <w:rsid w:val="00E02427"/>
    <w:rsid w:val="00E03329"/>
    <w:rsid w:val="00E03718"/>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4D05"/>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DF9"/>
    <w:rsid w:val="00E74819"/>
    <w:rsid w:val="00E74DBD"/>
    <w:rsid w:val="00E74DCF"/>
    <w:rsid w:val="00E74FF5"/>
    <w:rsid w:val="00E75595"/>
    <w:rsid w:val="00E75AC4"/>
    <w:rsid w:val="00E76294"/>
    <w:rsid w:val="00E76CBE"/>
    <w:rsid w:val="00E80A54"/>
    <w:rsid w:val="00E80A5B"/>
    <w:rsid w:val="00E81E74"/>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07A6E"/>
    <w:rsid w:val="00F07B80"/>
    <w:rsid w:val="00F10E77"/>
    <w:rsid w:val="00F14B9F"/>
    <w:rsid w:val="00F1553C"/>
    <w:rsid w:val="00F15EAF"/>
    <w:rsid w:val="00F2220E"/>
    <w:rsid w:val="00F23FFE"/>
    <w:rsid w:val="00F2435E"/>
    <w:rsid w:val="00F2530B"/>
    <w:rsid w:val="00F25359"/>
    <w:rsid w:val="00F262E1"/>
    <w:rsid w:val="00F2657C"/>
    <w:rsid w:val="00F270EB"/>
    <w:rsid w:val="00F278E3"/>
    <w:rsid w:val="00F27AE7"/>
    <w:rsid w:val="00F27CC0"/>
    <w:rsid w:val="00F30226"/>
    <w:rsid w:val="00F30FDE"/>
    <w:rsid w:val="00F3166D"/>
    <w:rsid w:val="00F316C4"/>
    <w:rsid w:val="00F32D05"/>
    <w:rsid w:val="00F345A1"/>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57E"/>
    <w:rsid w:val="00F519E3"/>
    <w:rsid w:val="00F51A06"/>
    <w:rsid w:val="00F52E10"/>
    <w:rsid w:val="00F53020"/>
    <w:rsid w:val="00F53357"/>
    <w:rsid w:val="00F5457C"/>
    <w:rsid w:val="00F545EC"/>
    <w:rsid w:val="00F54F75"/>
    <w:rsid w:val="00F5501B"/>
    <w:rsid w:val="00F554D8"/>
    <w:rsid w:val="00F55A39"/>
    <w:rsid w:val="00F560CE"/>
    <w:rsid w:val="00F565FD"/>
    <w:rsid w:val="00F567EB"/>
    <w:rsid w:val="00F57C77"/>
    <w:rsid w:val="00F60969"/>
    <w:rsid w:val="00F6161D"/>
    <w:rsid w:val="00F6168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F6C"/>
    <w:rsid w:val="00FA5120"/>
    <w:rsid w:val="00FA5A70"/>
    <w:rsid w:val="00FA6BA8"/>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3FD8"/>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96"/>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 w:type="paragraph" w:customStyle="1" w:styleId="Pa10">
    <w:name w:val="Pa10"/>
    <w:basedOn w:val="Default"/>
    <w:next w:val="Default"/>
    <w:uiPriority w:val="99"/>
    <w:rsid w:val="00DF3E18"/>
    <w:pPr>
      <w:spacing w:line="241" w:lineRule="atLeast"/>
    </w:pPr>
    <w:rPr>
      <w:rFonts w:ascii="FS Me" w:hAnsi="FS Me" w:cstheme="minorBidi"/>
      <w:color w:val="auto"/>
    </w:rPr>
  </w:style>
  <w:style w:type="paragraph" w:customStyle="1" w:styleId="Pa18">
    <w:name w:val="Pa18"/>
    <w:basedOn w:val="Default"/>
    <w:next w:val="Default"/>
    <w:uiPriority w:val="99"/>
    <w:rsid w:val="00420B2A"/>
    <w:pPr>
      <w:spacing w:line="241" w:lineRule="atLeast"/>
    </w:pPr>
    <w:rPr>
      <w:rFonts w:ascii="FS Me" w:hAnsi="FS Me"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15204752">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45959183">
      <w:bodyDiv w:val="1"/>
      <w:marLeft w:val="0"/>
      <w:marRight w:val="0"/>
      <w:marTop w:val="0"/>
      <w:marBottom w:val="0"/>
      <w:divBdr>
        <w:top w:val="none" w:sz="0" w:space="0" w:color="auto"/>
        <w:left w:val="none" w:sz="0" w:space="0" w:color="auto"/>
        <w:bottom w:val="none" w:sz="0" w:space="0" w:color="auto"/>
        <w:right w:val="none" w:sz="0" w:space="0" w:color="auto"/>
      </w:divBdr>
      <w:divsChild>
        <w:div w:id="1589074196">
          <w:marLeft w:val="360"/>
          <w:marRight w:val="0"/>
          <w:marTop w:val="0"/>
          <w:marBottom w:val="0"/>
          <w:divBdr>
            <w:top w:val="none" w:sz="0" w:space="0" w:color="auto"/>
            <w:left w:val="none" w:sz="0" w:space="0" w:color="auto"/>
            <w:bottom w:val="none" w:sz="0" w:space="0" w:color="auto"/>
            <w:right w:val="none" w:sz="0" w:space="0" w:color="auto"/>
          </w:divBdr>
        </w:div>
      </w:divsChild>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87510022">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391479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18692914">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4399055">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33301517">
      <w:bodyDiv w:val="1"/>
      <w:marLeft w:val="0"/>
      <w:marRight w:val="0"/>
      <w:marTop w:val="0"/>
      <w:marBottom w:val="0"/>
      <w:divBdr>
        <w:top w:val="none" w:sz="0" w:space="0" w:color="auto"/>
        <w:left w:val="none" w:sz="0" w:space="0" w:color="auto"/>
        <w:bottom w:val="none" w:sz="0" w:space="0" w:color="auto"/>
        <w:right w:val="none" w:sz="0" w:space="0" w:color="auto"/>
      </w:divBdr>
      <w:divsChild>
        <w:div w:id="1026056232">
          <w:marLeft w:val="360"/>
          <w:marRight w:val="0"/>
          <w:marTop w:val="0"/>
          <w:marBottom w:val="0"/>
          <w:divBdr>
            <w:top w:val="none" w:sz="0" w:space="0" w:color="auto"/>
            <w:left w:val="none" w:sz="0" w:space="0" w:color="auto"/>
            <w:bottom w:val="none" w:sz="0" w:space="0" w:color="auto"/>
            <w:right w:val="none" w:sz="0" w:space="0" w:color="auto"/>
          </w:divBdr>
        </w:div>
      </w:divsChild>
    </w:div>
    <w:div w:id="134763367">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38662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7635808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7761438">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0777222">
      <w:bodyDiv w:val="1"/>
      <w:marLeft w:val="0"/>
      <w:marRight w:val="0"/>
      <w:marTop w:val="0"/>
      <w:marBottom w:val="0"/>
      <w:divBdr>
        <w:top w:val="none" w:sz="0" w:space="0" w:color="auto"/>
        <w:left w:val="none" w:sz="0" w:space="0" w:color="auto"/>
        <w:bottom w:val="none" w:sz="0" w:space="0" w:color="auto"/>
        <w:right w:val="none" w:sz="0" w:space="0" w:color="auto"/>
      </w:divBdr>
    </w:div>
    <w:div w:id="212887229">
      <w:bodyDiv w:val="1"/>
      <w:marLeft w:val="0"/>
      <w:marRight w:val="0"/>
      <w:marTop w:val="0"/>
      <w:marBottom w:val="0"/>
      <w:divBdr>
        <w:top w:val="none" w:sz="0" w:space="0" w:color="auto"/>
        <w:left w:val="none" w:sz="0" w:space="0" w:color="auto"/>
        <w:bottom w:val="none" w:sz="0" w:space="0" w:color="auto"/>
        <w:right w:val="none" w:sz="0" w:space="0" w:color="auto"/>
      </w:divBdr>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4848238">
      <w:bodyDiv w:val="1"/>
      <w:marLeft w:val="0"/>
      <w:marRight w:val="0"/>
      <w:marTop w:val="0"/>
      <w:marBottom w:val="0"/>
      <w:divBdr>
        <w:top w:val="none" w:sz="0" w:space="0" w:color="auto"/>
        <w:left w:val="none" w:sz="0" w:space="0" w:color="auto"/>
        <w:bottom w:val="none" w:sz="0" w:space="0" w:color="auto"/>
        <w:right w:val="none" w:sz="0" w:space="0" w:color="auto"/>
      </w:divBdr>
    </w:div>
    <w:div w:id="265429940">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61782965">
      <w:bodyDiv w:val="1"/>
      <w:marLeft w:val="0"/>
      <w:marRight w:val="0"/>
      <w:marTop w:val="0"/>
      <w:marBottom w:val="0"/>
      <w:divBdr>
        <w:top w:val="none" w:sz="0" w:space="0" w:color="auto"/>
        <w:left w:val="none" w:sz="0" w:space="0" w:color="auto"/>
        <w:bottom w:val="none" w:sz="0" w:space="0" w:color="auto"/>
        <w:right w:val="none" w:sz="0" w:space="0" w:color="auto"/>
      </w:divBdr>
    </w:div>
    <w:div w:id="373845230">
      <w:bodyDiv w:val="1"/>
      <w:marLeft w:val="0"/>
      <w:marRight w:val="0"/>
      <w:marTop w:val="0"/>
      <w:marBottom w:val="0"/>
      <w:divBdr>
        <w:top w:val="none" w:sz="0" w:space="0" w:color="auto"/>
        <w:left w:val="none" w:sz="0" w:space="0" w:color="auto"/>
        <w:bottom w:val="none" w:sz="0" w:space="0" w:color="auto"/>
        <w:right w:val="none" w:sz="0" w:space="0" w:color="auto"/>
      </w:divBdr>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03143775">
      <w:bodyDiv w:val="1"/>
      <w:marLeft w:val="0"/>
      <w:marRight w:val="0"/>
      <w:marTop w:val="0"/>
      <w:marBottom w:val="0"/>
      <w:divBdr>
        <w:top w:val="none" w:sz="0" w:space="0" w:color="auto"/>
        <w:left w:val="none" w:sz="0" w:space="0" w:color="auto"/>
        <w:bottom w:val="none" w:sz="0" w:space="0" w:color="auto"/>
        <w:right w:val="none" w:sz="0" w:space="0" w:color="auto"/>
      </w:divBdr>
    </w:div>
    <w:div w:id="413165569">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37214105">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477768625">
      <w:bodyDiv w:val="1"/>
      <w:marLeft w:val="0"/>
      <w:marRight w:val="0"/>
      <w:marTop w:val="0"/>
      <w:marBottom w:val="0"/>
      <w:divBdr>
        <w:top w:val="none" w:sz="0" w:space="0" w:color="auto"/>
        <w:left w:val="none" w:sz="0" w:space="0" w:color="auto"/>
        <w:bottom w:val="none" w:sz="0" w:space="0" w:color="auto"/>
        <w:right w:val="none" w:sz="0" w:space="0" w:color="auto"/>
      </w:divBdr>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37279530">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54975070">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1506271">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594750308">
      <w:bodyDiv w:val="1"/>
      <w:marLeft w:val="0"/>
      <w:marRight w:val="0"/>
      <w:marTop w:val="0"/>
      <w:marBottom w:val="0"/>
      <w:divBdr>
        <w:top w:val="none" w:sz="0" w:space="0" w:color="auto"/>
        <w:left w:val="none" w:sz="0" w:space="0" w:color="auto"/>
        <w:bottom w:val="none" w:sz="0" w:space="0" w:color="auto"/>
        <w:right w:val="none" w:sz="0" w:space="0" w:color="auto"/>
      </w:divBdr>
    </w:div>
    <w:div w:id="621886090">
      <w:bodyDiv w:val="1"/>
      <w:marLeft w:val="0"/>
      <w:marRight w:val="0"/>
      <w:marTop w:val="0"/>
      <w:marBottom w:val="0"/>
      <w:divBdr>
        <w:top w:val="none" w:sz="0" w:space="0" w:color="auto"/>
        <w:left w:val="none" w:sz="0" w:space="0" w:color="auto"/>
        <w:bottom w:val="none" w:sz="0" w:space="0" w:color="auto"/>
        <w:right w:val="none" w:sz="0" w:space="0" w:color="auto"/>
      </w:divBdr>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6811091">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1932306">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12658555">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31779961">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58448594">
      <w:bodyDiv w:val="1"/>
      <w:marLeft w:val="0"/>
      <w:marRight w:val="0"/>
      <w:marTop w:val="0"/>
      <w:marBottom w:val="0"/>
      <w:divBdr>
        <w:top w:val="none" w:sz="0" w:space="0" w:color="auto"/>
        <w:left w:val="none" w:sz="0" w:space="0" w:color="auto"/>
        <w:bottom w:val="none" w:sz="0" w:space="0" w:color="auto"/>
        <w:right w:val="none" w:sz="0" w:space="0" w:color="auto"/>
      </w:divBdr>
      <w:divsChild>
        <w:div w:id="241645279">
          <w:marLeft w:val="446"/>
          <w:marRight w:val="0"/>
          <w:marTop w:val="240"/>
          <w:marBottom w:val="0"/>
          <w:divBdr>
            <w:top w:val="none" w:sz="0" w:space="0" w:color="auto"/>
            <w:left w:val="none" w:sz="0" w:space="0" w:color="auto"/>
            <w:bottom w:val="none" w:sz="0" w:space="0" w:color="auto"/>
            <w:right w:val="none" w:sz="0" w:space="0" w:color="auto"/>
          </w:divBdr>
        </w:div>
      </w:divsChild>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75489757">
      <w:bodyDiv w:val="1"/>
      <w:marLeft w:val="0"/>
      <w:marRight w:val="0"/>
      <w:marTop w:val="0"/>
      <w:marBottom w:val="0"/>
      <w:divBdr>
        <w:top w:val="none" w:sz="0" w:space="0" w:color="auto"/>
        <w:left w:val="none" w:sz="0" w:space="0" w:color="auto"/>
        <w:bottom w:val="none" w:sz="0" w:space="0" w:color="auto"/>
        <w:right w:val="none" w:sz="0" w:space="0" w:color="auto"/>
      </w:divBdr>
    </w:div>
    <w:div w:id="779909888">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7722785">
      <w:bodyDiv w:val="1"/>
      <w:marLeft w:val="0"/>
      <w:marRight w:val="0"/>
      <w:marTop w:val="0"/>
      <w:marBottom w:val="0"/>
      <w:divBdr>
        <w:top w:val="none" w:sz="0" w:space="0" w:color="auto"/>
        <w:left w:val="none" w:sz="0" w:space="0" w:color="auto"/>
        <w:bottom w:val="none" w:sz="0" w:space="0" w:color="auto"/>
        <w:right w:val="none" w:sz="0" w:space="0" w:color="auto"/>
      </w:divBdr>
      <w:divsChild>
        <w:div w:id="1358003663">
          <w:marLeft w:val="547"/>
          <w:marRight w:val="0"/>
          <w:marTop w:val="58"/>
          <w:marBottom w:val="0"/>
          <w:divBdr>
            <w:top w:val="none" w:sz="0" w:space="0" w:color="auto"/>
            <w:left w:val="none" w:sz="0" w:space="0" w:color="auto"/>
            <w:bottom w:val="none" w:sz="0" w:space="0" w:color="auto"/>
            <w:right w:val="none" w:sz="0" w:space="0" w:color="auto"/>
          </w:divBdr>
        </w:div>
        <w:div w:id="2093891091">
          <w:marLeft w:val="547"/>
          <w:marRight w:val="0"/>
          <w:marTop w:val="58"/>
          <w:marBottom w:val="0"/>
          <w:divBdr>
            <w:top w:val="none" w:sz="0" w:space="0" w:color="auto"/>
            <w:left w:val="none" w:sz="0" w:space="0" w:color="auto"/>
            <w:bottom w:val="none" w:sz="0" w:space="0" w:color="auto"/>
            <w:right w:val="none" w:sz="0" w:space="0" w:color="auto"/>
          </w:divBdr>
        </w:div>
        <w:div w:id="797068680">
          <w:marLeft w:val="547"/>
          <w:marRight w:val="0"/>
          <w:marTop w:val="58"/>
          <w:marBottom w:val="0"/>
          <w:divBdr>
            <w:top w:val="none" w:sz="0" w:space="0" w:color="auto"/>
            <w:left w:val="none" w:sz="0" w:space="0" w:color="auto"/>
            <w:bottom w:val="none" w:sz="0" w:space="0" w:color="auto"/>
            <w:right w:val="none" w:sz="0" w:space="0" w:color="auto"/>
          </w:divBdr>
        </w:div>
        <w:div w:id="1595020027">
          <w:marLeft w:val="547"/>
          <w:marRight w:val="0"/>
          <w:marTop w:val="58"/>
          <w:marBottom w:val="0"/>
          <w:divBdr>
            <w:top w:val="none" w:sz="0" w:space="0" w:color="auto"/>
            <w:left w:val="none" w:sz="0" w:space="0" w:color="auto"/>
            <w:bottom w:val="none" w:sz="0" w:space="0" w:color="auto"/>
            <w:right w:val="none" w:sz="0" w:space="0" w:color="auto"/>
          </w:divBdr>
        </w:div>
        <w:div w:id="386415825">
          <w:marLeft w:val="547"/>
          <w:marRight w:val="0"/>
          <w:marTop w:val="58"/>
          <w:marBottom w:val="0"/>
          <w:divBdr>
            <w:top w:val="none" w:sz="0" w:space="0" w:color="auto"/>
            <w:left w:val="none" w:sz="0" w:space="0" w:color="auto"/>
            <w:bottom w:val="none" w:sz="0" w:space="0" w:color="auto"/>
            <w:right w:val="none" w:sz="0" w:space="0" w:color="auto"/>
          </w:divBdr>
        </w:div>
      </w:divsChild>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699703">
      <w:bodyDiv w:val="1"/>
      <w:marLeft w:val="0"/>
      <w:marRight w:val="0"/>
      <w:marTop w:val="0"/>
      <w:marBottom w:val="0"/>
      <w:divBdr>
        <w:top w:val="none" w:sz="0" w:space="0" w:color="auto"/>
        <w:left w:val="none" w:sz="0" w:space="0" w:color="auto"/>
        <w:bottom w:val="none" w:sz="0" w:space="0" w:color="auto"/>
        <w:right w:val="none" w:sz="0" w:space="0" w:color="auto"/>
      </w:divBdr>
      <w:divsChild>
        <w:div w:id="2064717326">
          <w:marLeft w:val="360"/>
          <w:marRight w:val="0"/>
          <w:marTop w:val="0"/>
          <w:marBottom w:val="0"/>
          <w:divBdr>
            <w:top w:val="none" w:sz="0" w:space="0" w:color="auto"/>
            <w:left w:val="none" w:sz="0" w:space="0" w:color="auto"/>
            <w:bottom w:val="none" w:sz="0" w:space="0" w:color="auto"/>
            <w:right w:val="none" w:sz="0" w:space="0" w:color="auto"/>
          </w:divBdr>
        </w:div>
      </w:divsChild>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0966102">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7937077">
      <w:bodyDiv w:val="1"/>
      <w:marLeft w:val="0"/>
      <w:marRight w:val="0"/>
      <w:marTop w:val="0"/>
      <w:marBottom w:val="0"/>
      <w:divBdr>
        <w:top w:val="none" w:sz="0" w:space="0" w:color="auto"/>
        <w:left w:val="none" w:sz="0" w:space="0" w:color="auto"/>
        <w:bottom w:val="none" w:sz="0" w:space="0" w:color="auto"/>
        <w:right w:val="none" w:sz="0" w:space="0" w:color="auto"/>
      </w:divBdr>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00746770">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33514431">
      <w:bodyDiv w:val="1"/>
      <w:marLeft w:val="0"/>
      <w:marRight w:val="0"/>
      <w:marTop w:val="0"/>
      <w:marBottom w:val="0"/>
      <w:divBdr>
        <w:top w:val="none" w:sz="0" w:space="0" w:color="auto"/>
        <w:left w:val="none" w:sz="0" w:space="0" w:color="auto"/>
        <w:bottom w:val="none" w:sz="0" w:space="0" w:color="auto"/>
        <w:right w:val="none" w:sz="0" w:space="0" w:color="auto"/>
      </w:divBdr>
      <w:divsChild>
        <w:div w:id="844592391">
          <w:marLeft w:val="1166"/>
          <w:marRight w:val="0"/>
          <w:marTop w:val="86"/>
          <w:marBottom w:val="0"/>
          <w:divBdr>
            <w:top w:val="none" w:sz="0" w:space="0" w:color="auto"/>
            <w:left w:val="none" w:sz="0" w:space="0" w:color="auto"/>
            <w:bottom w:val="none" w:sz="0" w:space="0" w:color="auto"/>
            <w:right w:val="none" w:sz="0" w:space="0" w:color="auto"/>
          </w:divBdr>
        </w:div>
        <w:div w:id="709190584">
          <w:marLeft w:val="1166"/>
          <w:marRight w:val="0"/>
          <w:marTop w:val="86"/>
          <w:marBottom w:val="0"/>
          <w:divBdr>
            <w:top w:val="none" w:sz="0" w:space="0" w:color="auto"/>
            <w:left w:val="none" w:sz="0" w:space="0" w:color="auto"/>
            <w:bottom w:val="none" w:sz="0" w:space="0" w:color="auto"/>
            <w:right w:val="none" w:sz="0" w:space="0" w:color="auto"/>
          </w:divBdr>
        </w:div>
      </w:divsChild>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45038400">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98118041">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2441717">
      <w:bodyDiv w:val="1"/>
      <w:marLeft w:val="0"/>
      <w:marRight w:val="0"/>
      <w:marTop w:val="0"/>
      <w:marBottom w:val="0"/>
      <w:divBdr>
        <w:top w:val="none" w:sz="0" w:space="0" w:color="auto"/>
        <w:left w:val="none" w:sz="0" w:space="0" w:color="auto"/>
        <w:bottom w:val="none" w:sz="0" w:space="0" w:color="auto"/>
        <w:right w:val="none" w:sz="0" w:space="0" w:color="auto"/>
      </w:divBdr>
      <w:divsChild>
        <w:div w:id="1512453612">
          <w:marLeft w:val="360"/>
          <w:marRight w:val="0"/>
          <w:marTop w:val="0"/>
          <w:marBottom w:val="0"/>
          <w:divBdr>
            <w:top w:val="none" w:sz="0" w:space="0" w:color="auto"/>
            <w:left w:val="none" w:sz="0" w:space="0" w:color="auto"/>
            <w:bottom w:val="none" w:sz="0" w:space="0" w:color="auto"/>
            <w:right w:val="none" w:sz="0" w:space="0" w:color="auto"/>
          </w:divBdr>
        </w:div>
      </w:divsChild>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3698114">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70619371">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94864112">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152022349">
      <w:bodyDiv w:val="1"/>
      <w:marLeft w:val="0"/>
      <w:marRight w:val="0"/>
      <w:marTop w:val="0"/>
      <w:marBottom w:val="0"/>
      <w:divBdr>
        <w:top w:val="none" w:sz="0" w:space="0" w:color="auto"/>
        <w:left w:val="none" w:sz="0" w:space="0" w:color="auto"/>
        <w:bottom w:val="none" w:sz="0" w:space="0" w:color="auto"/>
        <w:right w:val="none" w:sz="0" w:space="0" w:color="auto"/>
      </w:divBdr>
    </w:div>
    <w:div w:id="1180853145">
      <w:bodyDiv w:val="1"/>
      <w:marLeft w:val="0"/>
      <w:marRight w:val="0"/>
      <w:marTop w:val="0"/>
      <w:marBottom w:val="0"/>
      <w:divBdr>
        <w:top w:val="none" w:sz="0" w:space="0" w:color="auto"/>
        <w:left w:val="none" w:sz="0" w:space="0" w:color="auto"/>
        <w:bottom w:val="none" w:sz="0" w:space="0" w:color="auto"/>
        <w:right w:val="none" w:sz="0" w:space="0" w:color="auto"/>
      </w:divBdr>
    </w:div>
    <w:div w:id="1207989432">
      <w:bodyDiv w:val="1"/>
      <w:marLeft w:val="0"/>
      <w:marRight w:val="0"/>
      <w:marTop w:val="0"/>
      <w:marBottom w:val="0"/>
      <w:divBdr>
        <w:top w:val="none" w:sz="0" w:space="0" w:color="auto"/>
        <w:left w:val="none" w:sz="0" w:space="0" w:color="auto"/>
        <w:bottom w:val="none" w:sz="0" w:space="0" w:color="auto"/>
        <w:right w:val="none" w:sz="0" w:space="0" w:color="auto"/>
      </w:divBdr>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17205982">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72084339">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7782684">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06932401">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39229614">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56227136">
      <w:bodyDiv w:val="1"/>
      <w:marLeft w:val="0"/>
      <w:marRight w:val="0"/>
      <w:marTop w:val="0"/>
      <w:marBottom w:val="0"/>
      <w:divBdr>
        <w:top w:val="none" w:sz="0" w:space="0" w:color="auto"/>
        <w:left w:val="none" w:sz="0" w:space="0" w:color="auto"/>
        <w:bottom w:val="none" w:sz="0" w:space="0" w:color="auto"/>
        <w:right w:val="none" w:sz="0" w:space="0" w:color="auto"/>
      </w:divBdr>
    </w:div>
    <w:div w:id="1358697690">
      <w:bodyDiv w:val="1"/>
      <w:marLeft w:val="0"/>
      <w:marRight w:val="0"/>
      <w:marTop w:val="0"/>
      <w:marBottom w:val="0"/>
      <w:divBdr>
        <w:top w:val="none" w:sz="0" w:space="0" w:color="auto"/>
        <w:left w:val="none" w:sz="0" w:space="0" w:color="auto"/>
        <w:bottom w:val="none" w:sz="0" w:space="0" w:color="auto"/>
        <w:right w:val="none" w:sz="0" w:space="0" w:color="auto"/>
      </w:divBdr>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0685896">
      <w:bodyDiv w:val="1"/>
      <w:marLeft w:val="0"/>
      <w:marRight w:val="0"/>
      <w:marTop w:val="0"/>
      <w:marBottom w:val="0"/>
      <w:divBdr>
        <w:top w:val="none" w:sz="0" w:space="0" w:color="auto"/>
        <w:left w:val="none" w:sz="0" w:space="0" w:color="auto"/>
        <w:bottom w:val="none" w:sz="0" w:space="0" w:color="auto"/>
        <w:right w:val="none" w:sz="0" w:space="0" w:color="auto"/>
      </w:divBdr>
    </w:div>
    <w:div w:id="137103313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381325481">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3988542">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34937720">
      <w:bodyDiv w:val="1"/>
      <w:marLeft w:val="0"/>
      <w:marRight w:val="0"/>
      <w:marTop w:val="0"/>
      <w:marBottom w:val="0"/>
      <w:divBdr>
        <w:top w:val="none" w:sz="0" w:space="0" w:color="auto"/>
        <w:left w:val="none" w:sz="0" w:space="0" w:color="auto"/>
        <w:bottom w:val="none" w:sz="0" w:space="0" w:color="auto"/>
        <w:right w:val="none" w:sz="0" w:space="0" w:color="auto"/>
      </w:divBdr>
      <w:divsChild>
        <w:div w:id="2058385534">
          <w:marLeft w:val="360"/>
          <w:marRight w:val="0"/>
          <w:marTop w:val="0"/>
          <w:marBottom w:val="0"/>
          <w:divBdr>
            <w:top w:val="none" w:sz="0" w:space="0" w:color="auto"/>
            <w:left w:val="none" w:sz="0" w:space="0" w:color="auto"/>
            <w:bottom w:val="none" w:sz="0" w:space="0" w:color="auto"/>
            <w:right w:val="none" w:sz="0" w:space="0" w:color="auto"/>
          </w:divBdr>
        </w:div>
        <w:div w:id="421223059">
          <w:marLeft w:val="360"/>
          <w:marRight w:val="0"/>
          <w:marTop w:val="0"/>
          <w:marBottom w:val="0"/>
          <w:divBdr>
            <w:top w:val="none" w:sz="0" w:space="0" w:color="auto"/>
            <w:left w:val="none" w:sz="0" w:space="0" w:color="auto"/>
            <w:bottom w:val="none" w:sz="0" w:space="0" w:color="auto"/>
            <w:right w:val="none" w:sz="0" w:space="0" w:color="auto"/>
          </w:divBdr>
        </w:div>
      </w:divsChild>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67430682">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2113595">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10680856">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2967878">
      <w:bodyDiv w:val="1"/>
      <w:marLeft w:val="0"/>
      <w:marRight w:val="0"/>
      <w:marTop w:val="0"/>
      <w:marBottom w:val="0"/>
      <w:divBdr>
        <w:top w:val="none" w:sz="0" w:space="0" w:color="auto"/>
        <w:left w:val="none" w:sz="0" w:space="0" w:color="auto"/>
        <w:bottom w:val="none" w:sz="0" w:space="0" w:color="auto"/>
        <w:right w:val="none" w:sz="0" w:space="0" w:color="auto"/>
      </w:divBdr>
      <w:divsChild>
        <w:div w:id="1431008435">
          <w:marLeft w:val="547"/>
          <w:marRight w:val="0"/>
          <w:marTop w:val="67"/>
          <w:marBottom w:val="0"/>
          <w:divBdr>
            <w:top w:val="none" w:sz="0" w:space="0" w:color="auto"/>
            <w:left w:val="none" w:sz="0" w:space="0" w:color="auto"/>
            <w:bottom w:val="none" w:sz="0" w:space="0" w:color="auto"/>
            <w:right w:val="none" w:sz="0" w:space="0" w:color="auto"/>
          </w:divBdr>
        </w:div>
        <w:div w:id="1622614684">
          <w:marLeft w:val="547"/>
          <w:marRight w:val="0"/>
          <w:marTop w:val="67"/>
          <w:marBottom w:val="0"/>
          <w:divBdr>
            <w:top w:val="none" w:sz="0" w:space="0" w:color="auto"/>
            <w:left w:val="none" w:sz="0" w:space="0" w:color="auto"/>
            <w:bottom w:val="none" w:sz="0" w:space="0" w:color="auto"/>
            <w:right w:val="none" w:sz="0" w:space="0" w:color="auto"/>
          </w:divBdr>
        </w:div>
        <w:div w:id="1544370953">
          <w:marLeft w:val="547"/>
          <w:marRight w:val="0"/>
          <w:marTop w:val="67"/>
          <w:marBottom w:val="0"/>
          <w:divBdr>
            <w:top w:val="none" w:sz="0" w:space="0" w:color="auto"/>
            <w:left w:val="none" w:sz="0" w:space="0" w:color="auto"/>
            <w:bottom w:val="none" w:sz="0" w:space="0" w:color="auto"/>
            <w:right w:val="none" w:sz="0" w:space="0" w:color="auto"/>
          </w:divBdr>
        </w:div>
      </w:divsChild>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315554">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17841427">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28938809">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78422092">
      <w:bodyDiv w:val="1"/>
      <w:marLeft w:val="0"/>
      <w:marRight w:val="0"/>
      <w:marTop w:val="0"/>
      <w:marBottom w:val="0"/>
      <w:divBdr>
        <w:top w:val="none" w:sz="0" w:space="0" w:color="auto"/>
        <w:left w:val="none" w:sz="0" w:space="0" w:color="auto"/>
        <w:bottom w:val="none" w:sz="0" w:space="0" w:color="auto"/>
        <w:right w:val="none" w:sz="0" w:space="0" w:color="auto"/>
      </w:divBdr>
    </w:div>
    <w:div w:id="1882668123">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48611385">
      <w:bodyDiv w:val="1"/>
      <w:marLeft w:val="0"/>
      <w:marRight w:val="0"/>
      <w:marTop w:val="0"/>
      <w:marBottom w:val="0"/>
      <w:divBdr>
        <w:top w:val="none" w:sz="0" w:space="0" w:color="auto"/>
        <w:left w:val="none" w:sz="0" w:space="0" w:color="auto"/>
        <w:bottom w:val="none" w:sz="0" w:space="0" w:color="auto"/>
        <w:right w:val="none" w:sz="0" w:space="0" w:color="auto"/>
      </w:divBdr>
    </w:div>
    <w:div w:id="1979604625">
      <w:bodyDiv w:val="1"/>
      <w:marLeft w:val="0"/>
      <w:marRight w:val="0"/>
      <w:marTop w:val="0"/>
      <w:marBottom w:val="0"/>
      <w:divBdr>
        <w:top w:val="none" w:sz="0" w:space="0" w:color="auto"/>
        <w:left w:val="none" w:sz="0" w:space="0" w:color="auto"/>
        <w:bottom w:val="none" w:sz="0" w:space="0" w:color="auto"/>
        <w:right w:val="none" w:sz="0" w:space="0" w:color="auto"/>
      </w:divBdr>
      <w:divsChild>
        <w:div w:id="1260673674">
          <w:marLeft w:val="547"/>
          <w:marRight w:val="0"/>
          <w:marTop w:val="58"/>
          <w:marBottom w:val="0"/>
          <w:divBdr>
            <w:top w:val="none" w:sz="0" w:space="0" w:color="auto"/>
            <w:left w:val="none" w:sz="0" w:space="0" w:color="auto"/>
            <w:bottom w:val="none" w:sz="0" w:space="0" w:color="auto"/>
            <w:right w:val="none" w:sz="0" w:space="0" w:color="auto"/>
          </w:divBdr>
        </w:div>
        <w:div w:id="1460538318">
          <w:marLeft w:val="547"/>
          <w:marRight w:val="0"/>
          <w:marTop w:val="58"/>
          <w:marBottom w:val="0"/>
          <w:divBdr>
            <w:top w:val="none" w:sz="0" w:space="0" w:color="auto"/>
            <w:left w:val="none" w:sz="0" w:space="0" w:color="auto"/>
            <w:bottom w:val="none" w:sz="0" w:space="0" w:color="auto"/>
            <w:right w:val="none" w:sz="0" w:space="0" w:color="auto"/>
          </w:divBdr>
        </w:div>
      </w:divsChild>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53963998">
      <w:bodyDiv w:val="1"/>
      <w:marLeft w:val="0"/>
      <w:marRight w:val="0"/>
      <w:marTop w:val="0"/>
      <w:marBottom w:val="0"/>
      <w:divBdr>
        <w:top w:val="none" w:sz="0" w:space="0" w:color="auto"/>
        <w:left w:val="none" w:sz="0" w:space="0" w:color="auto"/>
        <w:bottom w:val="none" w:sz="0" w:space="0" w:color="auto"/>
        <w:right w:val="none" w:sz="0" w:space="0" w:color="auto"/>
      </w:divBdr>
    </w:div>
    <w:div w:id="2069330371">
      <w:bodyDiv w:val="1"/>
      <w:marLeft w:val="0"/>
      <w:marRight w:val="0"/>
      <w:marTop w:val="0"/>
      <w:marBottom w:val="0"/>
      <w:divBdr>
        <w:top w:val="none" w:sz="0" w:space="0" w:color="auto"/>
        <w:left w:val="none" w:sz="0" w:space="0" w:color="auto"/>
        <w:bottom w:val="none" w:sz="0" w:space="0" w:color="auto"/>
        <w:right w:val="none" w:sz="0" w:space="0" w:color="auto"/>
      </w:divBdr>
    </w:div>
    <w:div w:id="2071227429">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020998">
      <w:bodyDiv w:val="1"/>
      <w:marLeft w:val="0"/>
      <w:marRight w:val="0"/>
      <w:marTop w:val="0"/>
      <w:marBottom w:val="0"/>
      <w:divBdr>
        <w:top w:val="none" w:sz="0" w:space="0" w:color="auto"/>
        <w:left w:val="none" w:sz="0" w:space="0" w:color="auto"/>
        <w:bottom w:val="none" w:sz="0" w:space="0" w:color="auto"/>
        <w:right w:val="none" w:sz="0" w:space="0" w:color="auto"/>
      </w:divBdr>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87847038">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087407">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09157962">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 w:id="21248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ndis.gov.au/reports-and-analyses/market-monitor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ndis.gov.au/reports-and-analyses/market-monito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ndis.gov.au/reports-and-analyses/market-monitor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policies/copyrigh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purl.org/dc/terms/"/>
    <ds:schemaRef ds:uri="http://schemas.microsoft.com/sharepoint/v3/fields"/>
    <ds:schemaRef ds:uri="http://schemas.openxmlformats.org/package/2006/metadata/core-properties"/>
    <ds:schemaRef ds:uri="http://purl.org/dc/dcmitype/"/>
    <ds:schemaRef ds:uri="58569e35-c074-42ac-b0e0-5012f8e6d690"/>
    <ds:schemaRef ds:uri="http://schemas.microsoft.com/office/infopath/2007/PartnerControls"/>
    <ds:schemaRef ds:uri="http://schemas.microsoft.com/office/2006/documentManagement/types"/>
    <ds:schemaRef ds:uri="http://purl.org/dc/elements/1.1/"/>
    <ds:schemaRef ds:uri="http://schemas.microsoft.com/office/2006/metadata/properties"/>
    <ds:schemaRef ds:uri="4eda4ad6-7ef7-4305-ba1e-934f809bdd01"/>
    <ds:schemaRef ds:uri="http://www.w3.org/XML/1998/namespace"/>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5928B2E-94FA-4C2C-B368-4A3F3F2F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20</Pages>
  <Words>7695</Words>
  <Characters>43868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Aniban, Arlene</cp:lastModifiedBy>
  <cp:revision>86</cp:revision>
  <cp:lastPrinted>2019-07-17T04:04:00Z</cp:lastPrinted>
  <dcterms:created xsi:type="dcterms:W3CDTF">2020-08-24T23:41:00Z</dcterms:created>
  <dcterms:modified xsi:type="dcterms:W3CDTF">2021-03-29T05:47:00Z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