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7402F9" w14:textId="5D144C05" w:rsidR="00B6363C" w:rsidRDefault="00F277F7" w:rsidP="00D00BF7">
      <w:pPr>
        <w:pStyle w:val="Heading1"/>
        <w:jc w:val="both"/>
        <w:rPr>
          <w:sz w:val="36"/>
        </w:rPr>
      </w:pPr>
      <w:bookmarkStart w:id="0" w:name="_Toc14105805"/>
      <w:bookmarkStart w:id="1" w:name="_Toc17800146"/>
      <w:bookmarkStart w:id="2" w:name="_Toc32397943"/>
      <w:r>
        <w:rPr>
          <w:sz w:val="36"/>
        </w:rPr>
        <w:t>District</w:t>
      </w:r>
      <w:r w:rsidR="00BF0755">
        <w:rPr>
          <w:sz w:val="36"/>
        </w:rPr>
        <w:t xml:space="preserve"> / Support Category Summary</w:t>
      </w:r>
      <w:r w:rsidR="00660C99" w:rsidRPr="003C1EE2">
        <w:rPr>
          <w:sz w:val="36"/>
        </w:rPr>
        <w:t xml:space="preserve"> Dashboard – </w:t>
      </w:r>
      <w:r w:rsidR="00D36C56">
        <w:rPr>
          <w:sz w:val="36"/>
        </w:rPr>
        <w:t>Non-</w:t>
      </w:r>
      <w:r w:rsidR="00530C08">
        <w:rPr>
          <w:sz w:val="36"/>
        </w:rPr>
        <w:t xml:space="preserve">SIL only </w:t>
      </w:r>
      <w:r w:rsidR="00530C08" w:rsidRPr="003C1EE2">
        <w:rPr>
          <w:sz w:val="36"/>
        </w:rPr>
        <w:t xml:space="preserve">– </w:t>
      </w:r>
      <w:r w:rsidR="00660C99" w:rsidRPr="003C1EE2">
        <w:rPr>
          <w:sz w:val="36"/>
        </w:rPr>
        <w:t xml:space="preserve">as at </w:t>
      </w:r>
      <w:r w:rsidR="00DB43E5">
        <w:rPr>
          <w:sz w:val="36"/>
        </w:rPr>
        <w:t>31</w:t>
      </w:r>
      <w:r>
        <w:rPr>
          <w:sz w:val="36"/>
        </w:rPr>
        <w:t xml:space="preserve"> </w:t>
      </w:r>
      <w:r w:rsidR="00DB43E5">
        <w:rPr>
          <w:sz w:val="36"/>
        </w:rPr>
        <w:t>December</w:t>
      </w:r>
      <w:r>
        <w:rPr>
          <w:sz w:val="36"/>
        </w:rPr>
        <w:t xml:space="preserve"> 2020</w:t>
      </w:r>
      <w:bookmarkEnd w:id="0"/>
      <w:bookmarkEnd w:id="1"/>
      <w:r w:rsidR="00660C99" w:rsidRPr="003C1EE2">
        <w:rPr>
          <w:sz w:val="36"/>
        </w:rPr>
        <w:t xml:space="preserve"> (</w:t>
      </w:r>
      <w:r w:rsidR="000301E5">
        <w:rPr>
          <w:sz w:val="36"/>
        </w:rPr>
        <w:t xml:space="preserve">with </w:t>
      </w:r>
      <w:r w:rsidR="00660C99" w:rsidRPr="003C1EE2">
        <w:rPr>
          <w:sz w:val="36"/>
        </w:rPr>
        <w:t xml:space="preserve">exposure period: </w:t>
      </w:r>
      <w:r>
        <w:rPr>
          <w:sz w:val="36"/>
        </w:rPr>
        <w:t xml:space="preserve">1 </w:t>
      </w:r>
      <w:r w:rsidR="00DB43E5">
        <w:rPr>
          <w:sz w:val="36"/>
        </w:rPr>
        <w:t>April 2020</w:t>
      </w:r>
      <w:r w:rsidR="00660C99" w:rsidRPr="003C1EE2">
        <w:rPr>
          <w:sz w:val="36"/>
        </w:rPr>
        <w:t xml:space="preserve"> to </w:t>
      </w:r>
      <w:r w:rsidR="00DB43E5">
        <w:rPr>
          <w:sz w:val="36"/>
        </w:rPr>
        <w:t>30</w:t>
      </w:r>
      <w:r>
        <w:rPr>
          <w:sz w:val="36"/>
        </w:rPr>
        <w:t xml:space="preserve"> </w:t>
      </w:r>
      <w:r w:rsidR="00DB43E5">
        <w:rPr>
          <w:sz w:val="36"/>
        </w:rPr>
        <w:t>September</w:t>
      </w:r>
      <w:r>
        <w:rPr>
          <w:sz w:val="36"/>
        </w:rPr>
        <w:t xml:space="preserve"> 2020</w:t>
      </w:r>
      <w:r w:rsidR="00660C99" w:rsidRPr="003C1EE2">
        <w:rPr>
          <w:sz w:val="36"/>
        </w:rPr>
        <w:t>)</w:t>
      </w:r>
      <w:bookmarkEnd w:id="2"/>
    </w:p>
    <w:p w14:paraId="6DA2DF59" w14:textId="77777777" w:rsidR="00D00BF7" w:rsidRPr="00D00BF7" w:rsidRDefault="00D00BF7" w:rsidP="00D00BF7"/>
    <w:bookmarkStart w:id="3" w:name="_Toc32397944" w:displacedByCustomXml="next"/>
    <w:sdt>
      <w:sdtPr>
        <w:rPr>
          <w:rFonts w:eastAsiaTheme="minorHAnsi" w:cstheme="minorBidi"/>
          <w:b w:val="0"/>
          <w:color w:val="auto"/>
          <w:sz w:val="22"/>
        </w:rPr>
        <w:id w:val="1577167949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1C5F51D2" w14:textId="77777777" w:rsidR="003C1EE2" w:rsidRPr="00B41A44" w:rsidRDefault="003C1EE2" w:rsidP="00D00BF7">
          <w:pPr>
            <w:pStyle w:val="Heading2"/>
            <w:rPr>
              <w:rFonts w:eastAsiaTheme="minorEastAsia"/>
              <w:lang w:eastAsia="en-AU"/>
            </w:rPr>
          </w:pPr>
          <w:r w:rsidRPr="00B41A44">
            <w:rPr>
              <w:rFonts w:eastAsiaTheme="minorEastAsia"/>
              <w:lang w:eastAsia="en-AU"/>
            </w:rPr>
            <w:t>Table of Contents</w:t>
          </w:r>
          <w:bookmarkEnd w:id="3"/>
        </w:p>
        <w:p w14:paraId="0FD29BC4" w14:textId="0FE8299D" w:rsidR="00530C08" w:rsidRDefault="003C1EE2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AU"/>
            </w:rPr>
          </w:pPr>
          <w:r w:rsidRPr="003C1EE2">
            <w:fldChar w:fldCharType="begin"/>
          </w:r>
          <w:r w:rsidRPr="003C1EE2">
            <w:instrText xml:space="preserve"> TOC \o "1-3" \h \z \u </w:instrText>
          </w:r>
          <w:r w:rsidRPr="003C1EE2">
            <w:fldChar w:fldCharType="separate"/>
          </w:r>
          <w:hyperlink w:anchor="_Toc32397943" w:history="1">
            <w:r w:rsidR="00F277F7">
              <w:rPr>
                <w:rStyle w:val="Hyperlink"/>
                <w:noProof/>
              </w:rPr>
              <w:t>District</w:t>
            </w:r>
            <w:r w:rsidR="00530C08" w:rsidRPr="003263B8">
              <w:rPr>
                <w:rStyle w:val="Hyperlink"/>
                <w:noProof/>
              </w:rPr>
              <w:t xml:space="preserve"> / Support Category Summary Dashboard – </w:t>
            </w:r>
            <w:r w:rsidR="00D36C56">
              <w:rPr>
                <w:rStyle w:val="Hyperlink"/>
                <w:noProof/>
              </w:rPr>
              <w:t>Non-</w:t>
            </w:r>
            <w:r w:rsidR="00530C08" w:rsidRPr="003263B8">
              <w:rPr>
                <w:rStyle w:val="Hyperlink"/>
                <w:noProof/>
              </w:rPr>
              <w:t xml:space="preserve">SIL only - as at </w:t>
            </w:r>
            <w:r w:rsidR="00DB43E5">
              <w:rPr>
                <w:rStyle w:val="Hyperlink"/>
                <w:noProof/>
              </w:rPr>
              <w:t>31</w:t>
            </w:r>
            <w:r w:rsidR="00F277F7">
              <w:rPr>
                <w:rStyle w:val="Hyperlink"/>
                <w:noProof/>
              </w:rPr>
              <w:t xml:space="preserve"> </w:t>
            </w:r>
            <w:r w:rsidR="00DB43E5">
              <w:rPr>
                <w:rStyle w:val="Hyperlink"/>
                <w:noProof/>
              </w:rPr>
              <w:t>December</w:t>
            </w:r>
            <w:r w:rsidR="00F277F7">
              <w:rPr>
                <w:rStyle w:val="Hyperlink"/>
                <w:noProof/>
              </w:rPr>
              <w:t xml:space="preserve"> 2020</w:t>
            </w:r>
            <w:r w:rsidR="00530C08" w:rsidRPr="003263B8">
              <w:rPr>
                <w:rStyle w:val="Hyperlink"/>
                <w:noProof/>
              </w:rPr>
              <w:t xml:space="preserve"> (with exposure period: </w:t>
            </w:r>
            <w:r w:rsidR="00F277F7">
              <w:rPr>
                <w:rStyle w:val="Hyperlink"/>
                <w:noProof/>
              </w:rPr>
              <w:t xml:space="preserve">1 </w:t>
            </w:r>
            <w:r w:rsidR="00DB43E5">
              <w:rPr>
                <w:rStyle w:val="Hyperlink"/>
                <w:noProof/>
              </w:rPr>
              <w:t>April 2020</w:t>
            </w:r>
            <w:r w:rsidR="00530C08" w:rsidRPr="003263B8">
              <w:rPr>
                <w:rStyle w:val="Hyperlink"/>
                <w:noProof/>
              </w:rPr>
              <w:t xml:space="preserve"> to </w:t>
            </w:r>
            <w:r w:rsidR="00DB43E5">
              <w:rPr>
                <w:rStyle w:val="Hyperlink"/>
                <w:noProof/>
              </w:rPr>
              <w:t>30</w:t>
            </w:r>
            <w:r w:rsidR="00F277F7">
              <w:rPr>
                <w:rStyle w:val="Hyperlink"/>
                <w:noProof/>
              </w:rPr>
              <w:t xml:space="preserve"> </w:t>
            </w:r>
            <w:r w:rsidR="00DB43E5">
              <w:rPr>
                <w:rStyle w:val="Hyperlink"/>
                <w:noProof/>
              </w:rPr>
              <w:t>September</w:t>
            </w:r>
            <w:r w:rsidR="00F277F7">
              <w:rPr>
                <w:rStyle w:val="Hyperlink"/>
                <w:noProof/>
              </w:rPr>
              <w:t xml:space="preserve"> 2020</w:t>
            </w:r>
            <w:r w:rsidR="00530C08" w:rsidRPr="003263B8">
              <w:rPr>
                <w:rStyle w:val="Hyperlink"/>
                <w:noProof/>
              </w:rPr>
              <w:t>)</w:t>
            </w:r>
            <w:r w:rsidR="00530C08">
              <w:rPr>
                <w:noProof/>
                <w:webHidden/>
              </w:rPr>
              <w:tab/>
            </w:r>
            <w:r w:rsidR="00530C08">
              <w:rPr>
                <w:noProof/>
                <w:webHidden/>
              </w:rPr>
              <w:fldChar w:fldCharType="begin"/>
            </w:r>
            <w:r w:rsidR="00530C08">
              <w:rPr>
                <w:noProof/>
                <w:webHidden/>
              </w:rPr>
              <w:instrText xml:space="preserve"> PAGEREF _Toc32397943 \h </w:instrText>
            </w:r>
            <w:r w:rsidR="00530C08">
              <w:rPr>
                <w:noProof/>
                <w:webHidden/>
              </w:rPr>
            </w:r>
            <w:r w:rsidR="00530C08">
              <w:rPr>
                <w:noProof/>
                <w:webHidden/>
              </w:rPr>
              <w:fldChar w:fldCharType="separate"/>
            </w:r>
            <w:r w:rsidR="00530C08">
              <w:rPr>
                <w:noProof/>
                <w:webHidden/>
              </w:rPr>
              <w:t>1</w:t>
            </w:r>
            <w:r w:rsidR="00530C08">
              <w:rPr>
                <w:noProof/>
                <w:webHidden/>
              </w:rPr>
              <w:fldChar w:fldCharType="end"/>
            </w:r>
          </w:hyperlink>
        </w:p>
        <w:p w14:paraId="1DAE63B4" w14:textId="77777777" w:rsidR="00530C08" w:rsidRDefault="00922DE6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AU"/>
            </w:rPr>
          </w:pPr>
          <w:hyperlink w:anchor="_Toc32397944" w:history="1">
            <w:r w:rsidR="00530C08" w:rsidRPr="003263B8">
              <w:rPr>
                <w:rStyle w:val="Hyperlink"/>
                <w:noProof/>
                <w:lang w:eastAsia="en-AU"/>
              </w:rPr>
              <w:t>Table of Contents</w:t>
            </w:r>
            <w:r w:rsidR="00530C08">
              <w:rPr>
                <w:noProof/>
                <w:webHidden/>
              </w:rPr>
              <w:tab/>
            </w:r>
            <w:r w:rsidR="00530C08">
              <w:rPr>
                <w:noProof/>
                <w:webHidden/>
              </w:rPr>
              <w:fldChar w:fldCharType="begin"/>
            </w:r>
            <w:r w:rsidR="00530C08">
              <w:rPr>
                <w:noProof/>
                <w:webHidden/>
              </w:rPr>
              <w:instrText xml:space="preserve"> PAGEREF _Toc32397944 \h </w:instrText>
            </w:r>
            <w:r w:rsidR="00530C08">
              <w:rPr>
                <w:noProof/>
                <w:webHidden/>
              </w:rPr>
            </w:r>
            <w:r w:rsidR="00530C08">
              <w:rPr>
                <w:noProof/>
                <w:webHidden/>
              </w:rPr>
              <w:fldChar w:fldCharType="separate"/>
            </w:r>
            <w:r w:rsidR="00530C08">
              <w:rPr>
                <w:noProof/>
                <w:webHidden/>
              </w:rPr>
              <w:t>1</w:t>
            </w:r>
            <w:r w:rsidR="00530C08">
              <w:rPr>
                <w:noProof/>
                <w:webHidden/>
              </w:rPr>
              <w:fldChar w:fldCharType="end"/>
            </w:r>
          </w:hyperlink>
        </w:p>
        <w:p w14:paraId="4633BE64" w14:textId="77777777" w:rsidR="00530C08" w:rsidRDefault="00922DE6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AU"/>
            </w:rPr>
          </w:pPr>
          <w:hyperlink w:anchor="_Toc32397945" w:history="1">
            <w:r w:rsidR="00530C08" w:rsidRPr="003263B8">
              <w:rPr>
                <w:rStyle w:val="Hyperlink"/>
                <w:noProof/>
              </w:rPr>
              <w:t xml:space="preserve">Page 1, Table 1: </w:t>
            </w:r>
            <w:r w:rsidR="00F277F7">
              <w:rPr>
                <w:rStyle w:val="Hyperlink"/>
                <w:noProof/>
              </w:rPr>
              <w:t>Service district</w:t>
            </w:r>
            <w:r w:rsidR="00530C08" w:rsidRPr="003263B8">
              <w:rPr>
                <w:rStyle w:val="Hyperlink"/>
                <w:noProof/>
              </w:rPr>
              <w:t xml:space="preserve"> summary</w:t>
            </w:r>
            <w:r w:rsidR="00530C08">
              <w:rPr>
                <w:noProof/>
                <w:webHidden/>
              </w:rPr>
              <w:tab/>
            </w:r>
            <w:r w:rsidR="00530C08">
              <w:rPr>
                <w:noProof/>
                <w:webHidden/>
              </w:rPr>
              <w:fldChar w:fldCharType="begin"/>
            </w:r>
            <w:r w:rsidR="00530C08">
              <w:rPr>
                <w:noProof/>
                <w:webHidden/>
              </w:rPr>
              <w:instrText xml:space="preserve"> PAGEREF _Toc32397945 \h </w:instrText>
            </w:r>
            <w:r w:rsidR="00530C08">
              <w:rPr>
                <w:noProof/>
                <w:webHidden/>
              </w:rPr>
            </w:r>
            <w:r w:rsidR="00530C08">
              <w:rPr>
                <w:noProof/>
                <w:webHidden/>
              </w:rPr>
              <w:fldChar w:fldCharType="separate"/>
            </w:r>
            <w:r w:rsidR="00530C08">
              <w:rPr>
                <w:noProof/>
                <w:webHidden/>
              </w:rPr>
              <w:t>2</w:t>
            </w:r>
            <w:r w:rsidR="00530C08">
              <w:rPr>
                <w:noProof/>
                <w:webHidden/>
              </w:rPr>
              <w:fldChar w:fldCharType="end"/>
            </w:r>
          </w:hyperlink>
        </w:p>
        <w:p w14:paraId="4A1BDF8A" w14:textId="77777777" w:rsidR="00530C08" w:rsidRDefault="00922DE6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AU"/>
            </w:rPr>
          </w:pPr>
          <w:hyperlink w:anchor="_Toc32397946" w:history="1">
            <w:r w:rsidR="00530C08" w:rsidRPr="003263B8">
              <w:rPr>
                <w:rStyle w:val="Hyperlink"/>
                <w:noProof/>
              </w:rPr>
              <w:t xml:space="preserve">Page 2, Table 1: Support category summary, for all </w:t>
            </w:r>
            <w:r w:rsidR="00F277F7">
              <w:rPr>
                <w:rStyle w:val="Hyperlink"/>
                <w:noProof/>
              </w:rPr>
              <w:t>service district</w:t>
            </w:r>
            <w:r w:rsidR="00530C08" w:rsidRPr="003263B8">
              <w:rPr>
                <w:rStyle w:val="Hyperlink"/>
                <w:noProof/>
              </w:rPr>
              <w:t>s</w:t>
            </w:r>
            <w:r w:rsidR="00530C08">
              <w:rPr>
                <w:noProof/>
                <w:webHidden/>
              </w:rPr>
              <w:tab/>
            </w:r>
            <w:r w:rsidR="00530C08">
              <w:rPr>
                <w:noProof/>
                <w:webHidden/>
              </w:rPr>
              <w:fldChar w:fldCharType="begin"/>
            </w:r>
            <w:r w:rsidR="00530C08">
              <w:rPr>
                <w:noProof/>
                <w:webHidden/>
              </w:rPr>
              <w:instrText xml:space="preserve"> PAGEREF _Toc32397946 \h </w:instrText>
            </w:r>
            <w:r w:rsidR="00530C08">
              <w:rPr>
                <w:noProof/>
                <w:webHidden/>
              </w:rPr>
            </w:r>
            <w:r w:rsidR="00530C08">
              <w:rPr>
                <w:noProof/>
                <w:webHidden/>
              </w:rPr>
              <w:fldChar w:fldCharType="separate"/>
            </w:r>
            <w:r w:rsidR="00530C08">
              <w:rPr>
                <w:noProof/>
                <w:webHidden/>
              </w:rPr>
              <w:t>5</w:t>
            </w:r>
            <w:r w:rsidR="00530C08">
              <w:rPr>
                <w:noProof/>
                <w:webHidden/>
              </w:rPr>
              <w:fldChar w:fldCharType="end"/>
            </w:r>
          </w:hyperlink>
        </w:p>
        <w:p w14:paraId="2A5B897A" w14:textId="77777777" w:rsidR="00530C08" w:rsidRDefault="00922DE6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AU"/>
            </w:rPr>
          </w:pPr>
          <w:hyperlink w:anchor="_Toc32397947" w:history="1">
            <w:r w:rsidR="00530C08" w:rsidRPr="003263B8">
              <w:rPr>
                <w:rStyle w:val="Hyperlink"/>
                <w:noProof/>
              </w:rPr>
              <w:t>Page 2, Table 2: Definitions for the indicators</w:t>
            </w:r>
            <w:r w:rsidR="00530C08">
              <w:rPr>
                <w:noProof/>
                <w:webHidden/>
              </w:rPr>
              <w:tab/>
            </w:r>
            <w:r w:rsidR="00530C08">
              <w:rPr>
                <w:noProof/>
                <w:webHidden/>
              </w:rPr>
              <w:fldChar w:fldCharType="begin"/>
            </w:r>
            <w:r w:rsidR="00530C08">
              <w:rPr>
                <w:noProof/>
                <w:webHidden/>
              </w:rPr>
              <w:instrText xml:space="preserve"> PAGEREF _Toc32397947 \h </w:instrText>
            </w:r>
            <w:r w:rsidR="00530C08">
              <w:rPr>
                <w:noProof/>
                <w:webHidden/>
              </w:rPr>
            </w:r>
            <w:r w:rsidR="00530C08">
              <w:rPr>
                <w:noProof/>
                <w:webHidden/>
              </w:rPr>
              <w:fldChar w:fldCharType="separate"/>
            </w:r>
            <w:r w:rsidR="00530C08">
              <w:rPr>
                <w:noProof/>
                <w:webHidden/>
              </w:rPr>
              <w:t>7</w:t>
            </w:r>
            <w:r w:rsidR="00530C08">
              <w:rPr>
                <w:noProof/>
                <w:webHidden/>
              </w:rPr>
              <w:fldChar w:fldCharType="end"/>
            </w:r>
          </w:hyperlink>
        </w:p>
        <w:p w14:paraId="14B5C6B8" w14:textId="77777777" w:rsidR="003C1EE2" w:rsidRDefault="003C1EE2" w:rsidP="00D00BF7">
          <w:pPr>
            <w:jc w:val="both"/>
          </w:pPr>
          <w:r w:rsidRPr="003C1EE2">
            <w:rPr>
              <w:bCs/>
              <w:noProof/>
            </w:rPr>
            <w:fldChar w:fldCharType="end"/>
          </w:r>
        </w:p>
      </w:sdtContent>
    </w:sdt>
    <w:p w14:paraId="56B6900B" w14:textId="34C0D0A9" w:rsidR="00922DE6" w:rsidRPr="00922DE6" w:rsidRDefault="00922DE6" w:rsidP="00922DE6">
      <w:pPr>
        <w:rPr>
          <w:lang w:val="en-US"/>
        </w:rPr>
      </w:pPr>
      <w:bookmarkStart w:id="4" w:name="_GoBack"/>
      <w:bookmarkEnd w:id="4"/>
    </w:p>
    <w:p w14:paraId="23CE3669" w14:textId="77777777" w:rsidR="0013152A" w:rsidRPr="0013152A" w:rsidRDefault="0013152A" w:rsidP="0013152A"/>
    <w:p w14:paraId="390A1F9B" w14:textId="77777777" w:rsidR="003C1EE2" w:rsidRDefault="003C1EE2">
      <w:pPr>
        <w:rPr>
          <w:rFonts w:eastAsiaTheme="majorEastAsia" w:cs="Arial"/>
          <w:b/>
          <w:color w:val="6A2875"/>
        </w:rPr>
      </w:pPr>
      <w:r>
        <w:rPr>
          <w:rFonts w:cs="Arial"/>
          <w:b/>
          <w:color w:val="6A2875"/>
        </w:rPr>
        <w:br w:type="page"/>
      </w:r>
    </w:p>
    <w:p w14:paraId="546B3F65" w14:textId="77777777" w:rsidR="00B6363C" w:rsidRPr="00B45A45" w:rsidRDefault="00BF0755" w:rsidP="00D00BF7">
      <w:pPr>
        <w:pStyle w:val="Heading2"/>
      </w:pPr>
      <w:bookmarkStart w:id="5" w:name="_Toc32397945"/>
      <w:r w:rsidRPr="00B45A45">
        <w:lastRenderedPageBreak/>
        <w:t>Page</w:t>
      </w:r>
      <w:r w:rsidR="0013152A" w:rsidRPr="00B45A45">
        <w:t xml:space="preserve"> 1</w:t>
      </w:r>
      <w:r w:rsidRPr="00B45A45">
        <w:t>, Table 1</w:t>
      </w:r>
      <w:r w:rsidR="0013152A" w:rsidRPr="00B45A45">
        <w:t xml:space="preserve">: </w:t>
      </w:r>
      <w:r w:rsidR="00F277F7">
        <w:t>Service district</w:t>
      </w:r>
      <w:r w:rsidR="0013152A" w:rsidRPr="00B45A45">
        <w:t xml:space="preserve"> summary</w:t>
      </w:r>
      <w:bookmarkEnd w:id="5"/>
    </w:p>
    <w:p w14:paraId="316BE779" w14:textId="77777777" w:rsidR="00B6363C" w:rsidRPr="00B45A45" w:rsidRDefault="00076EDF" w:rsidP="00D00BF7">
      <w:pPr>
        <w:jc w:val="both"/>
        <w:rPr>
          <w:rFonts w:cs="Arial"/>
        </w:rPr>
      </w:pPr>
      <w:r w:rsidRPr="00B45A45">
        <w:rPr>
          <w:rFonts w:cs="Arial"/>
        </w:rPr>
        <w:t>For</w:t>
      </w:r>
      <w:r w:rsidR="00D12F81" w:rsidRPr="00B45A45">
        <w:rPr>
          <w:rFonts w:cs="Arial"/>
        </w:rPr>
        <w:t xml:space="preserve"> </w:t>
      </w:r>
      <w:r w:rsidR="00D12F81" w:rsidRPr="00B45A45">
        <w:rPr>
          <w:rFonts w:cs="Arial"/>
          <w:b/>
        </w:rPr>
        <w:t xml:space="preserve">participants </w:t>
      </w:r>
      <w:r w:rsidR="00D36C56">
        <w:rPr>
          <w:rFonts w:cs="Arial"/>
          <w:b/>
        </w:rPr>
        <w:t xml:space="preserve">not </w:t>
      </w:r>
      <w:r w:rsidR="00D12F81" w:rsidRPr="00B45A45">
        <w:rPr>
          <w:rFonts w:cs="Arial"/>
          <w:b/>
        </w:rPr>
        <w:t>utilising Supported Independent Living (SIL) supports</w:t>
      </w:r>
      <w:r w:rsidR="00D12F81" w:rsidRPr="00B45A45">
        <w:rPr>
          <w:rFonts w:cs="Arial"/>
        </w:rPr>
        <w:t xml:space="preserve"> across</w:t>
      </w:r>
      <w:r w:rsidRPr="00B45A45">
        <w:rPr>
          <w:rFonts w:cs="Arial"/>
        </w:rPr>
        <w:t xml:space="preserve"> each </w:t>
      </w:r>
      <w:r w:rsidR="0013152A" w:rsidRPr="00B45A45">
        <w:rPr>
          <w:rFonts w:cs="Arial"/>
        </w:rPr>
        <w:t xml:space="preserve">of the </w:t>
      </w:r>
      <w:r w:rsidR="00F277F7">
        <w:rPr>
          <w:rFonts w:cs="Arial"/>
        </w:rPr>
        <w:t>80</w:t>
      </w:r>
      <w:r w:rsidR="0013152A" w:rsidRPr="00B45A45">
        <w:rPr>
          <w:rFonts w:cs="Arial"/>
        </w:rPr>
        <w:t xml:space="preserve"> </w:t>
      </w:r>
      <w:r w:rsidR="00F277F7">
        <w:rPr>
          <w:rFonts w:cs="Arial"/>
        </w:rPr>
        <w:t>service district</w:t>
      </w:r>
      <w:r w:rsidR="0013152A" w:rsidRPr="00B45A45">
        <w:rPr>
          <w:rFonts w:cs="Arial"/>
        </w:rPr>
        <w:t>s</w:t>
      </w:r>
      <w:r w:rsidR="00A10ABF" w:rsidRPr="00B45A45">
        <w:rPr>
          <w:rFonts w:cs="Arial"/>
        </w:rPr>
        <w:t xml:space="preserve"> with more than </w:t>
      </w:r>
      <w:r w:rsidR="00F277F7">
        <w:rPr>
          <w:rFonts w:cs="Arial"/>
        </w:rPr>
        <w:t>9</w:t>
      </w:r>
      <w:r w:rsidR="00A10ABF" w:rsidRPr="00B45A45">
        <w:rPr>
          <w:rFonts w:cs="Arial"/>
        </w:rPr>
        <w:t xml:space="preserve"> months experience in Scheme</w:t>
      </w:r>
      <w:r w:rsidRPr="00B45A45">
        <w:rPr>
          <w:rFonts w:cs="Arial"/>
        </w:rPr>
        <w:t>,</w:t>
      </w:r>
      <w:r w:rsidR="00CA1F54" w:rsidRPr="00B45A45">
        <w:rPr>
          <w:rFonts w:cs="Arial"/>
        </w:rPr>
        <w:t xml:space="preserve"> </w:t>
      </w:r>
      <w:r w:rsidR="00B41A44" w:rsidRPr="00B45A45">
        <w:rPr>
          <w:rFonts w:cs="Arial"/>
        </w:rPr>
        <w:t>7</w:t>
      </w:r>
      <w:r w:rsidR="00763823" w:rsidRPr="00B45A45">
        <w:rPr>
          <w:rFonts w:cs="Arial"/>
        </w:rPr>
        <w:t xml:space="preserve"> </w:t>
      </w:r>
      <w:r w:rsidR="00B41A44" w:rsidRPr="00B45A45">
        <w:rPr>
          <w:rFonts w:cs="Arial"/>
        </w:rPr>
        <w:t>indicators</w:t>
      </w:r>
      <w:r w:rsidR="00763823" w:rsidRPr="00B45A45">
        <w:rPr>
          <w:rFonts w:cs="Arial"/>
        </w:rPr>
        <w:t xml:space="preserve"> have been calculated. These are:</w:t>
      </w:r>
    </w:p>
    <w:p w14:paraId="139BE85F" w14:textId="77777777" w:rsidR="00763823" w:rsidRPr="00B45A45" w:rsidRDefault="00763823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B45A45">
        <w:rPr>
          <w:rFonts w:cs="Arial"/>
        </w:rPr>
        <w:t>Participants per provider</w:t>
      </w:r>
      <w:r w:rsidR="00B94DA7" w:rsidRPr="00B45A45">
        <w:rPr>
          <w:rFonts w:cs="Arial"/>
        </w:rPr>
        <w:t>;</w:t>
      </w:r>
    </w:p>
    <w:p w14:paraId="5F2E4F10" w14:textId="77777777" w:rsidR="00763823" w:rsidRPr="00B45A45" w:rsidRDefault="00763823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B45A45">
        <w:rPr>
          <w:rFonts w:cs="Arial"/>
        </w:rPr>
        <w:t>Provider concentration</w:t>
      </w:r>
      <w:r w:rsidR="00B94DA7" w:rsidRPr="00B45A45">
        <w:rPr>
          <w:rFonts w:cs="Arial"/>
        </w:rPr>
        <w:t>;</w:t>
      </w:r>
    </w:p>
    <w:p w14:paraId="0E9C0EC1" w14:textId="77777777" w:rsidR="00763823" w:rsidRPr="00B45A45" w:rsidRDefault="00B94DA7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B45A45">
        <w:rPr>
          <w:rFonts w:cs="Arial"/>
        </w:rPr>
        <w:t>Provider growth;</w:t>
      </w:r>
    </w:p>
    <w:p w14:paraId="13EEB1D8" w14:textId="77777777" w:rsidR="00763823" w:rsidRPr="00B45A45" w:rsidRDefault="00B94DA7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B45A45">
        <w:rPr>
          <w:rFonts w:cs="Arial"/>
        </w:rPr>
        <w:t>Provider shrinkage;</w:t>
      </w:r>
    </w:p>
    <w:p w14:paraId="472979FE" w14:textId="77777777" w:rsidR="00763823" w:rsidRPr="00B45A45" w:rsidRDefault="00B94DA7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B45A45">
        <w:rPr>
          <w:rFonts w:cs="Arial"/>
        </w:rPr>
        <w:t>Utilisation;</w:t>
      </w:r>
    </w:p>
    <w:p w14:paraId="1D39ECE7" w14:textId="77777777" w:rsidR="00763823" w:rsidRPr="00B45A45" w:rsidRDefault="00763823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B45A45">
        <w:rPr>
          <w:rFonts w:cs="Arial"/>
        </w:rPr>
        <w:t>Outcomes indicator on choice and control</w:t>
      </w:r>
      <w:r w:rsidR="00B94DA7" w:rsidRPr="00B45A45">
        <w:rPr>
          <w:rFonts w:cs="Arial"/>
        </w:rPr>
        <w:t>; and</w:t>
      </w:r>
      <w:r w:rsidRPr="00B45A45">
        <w:rPr>
          <w:rFonts w:cs="Arial"/>
        </w:rPr>
        <w:t xml:space="preserve"> </w:t>
      </w:r>
    </w:p>
    <w:p w14:paraId="52421569" w14:textId="77777777" w:rsidR="00763823" w:rsidRPr="00B45A45" w:rsidRDefault="00763823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B45A45">
        <w:rPr>
          <w:rFonts w:cs="Arial"/>
        </w:rPr>
        <w:t>“</w:t>
      </w:r>
      <w:r w:rsidR="00F277F7">
        <w:rPr>
          <w:rFonts w:cs="Arial"/>
        </w:rPr>
        <w:t>Has the NDIS helped with choice and control</w:t>
      </w:r>
      <w:r w:rsidRPr="00B45A45">
        <w:rPr>
          <w:rFonts w:cs="Arial"/>
        </w:rPr>
        <w:t>?” indicator</w:t>
      </w:r>
    </w:p>
    <w:p w14:paraId="4C3C3F86" w14:textId="77777777" w:rsidR="00763823" w:rsidRPr="00B45A45" w:rsidRDefault="00B41A44" w:rsidP="00D00BF7">
      <w:pPr>
        <w:jc w:val="both"/>
        <w:rPr>
          <w:rFonts w:cs="Arial"/>
        </w:rPr>
      </w:pPr>
      <w:r w:rsidRPr="00B45A45">
        <w:rPr>
          <w:rFonts w:cs="Arial"/>
        </w:rPr>
        <w:t xml:space="preserve">The number of active </w:t>
      </w:r>
      <w:r w:rsidR="00476601">
        <w:rPr>
          <w:rFonts w:cs="Arial"/>
        </w:rPr>
        <w:t>(</w:t>
      </w:r>
      <w:r w:rsidR="00D36C56">
        <w:rPr>
          <w:rFonts w:cs="Arial"/>
        </w:rPr>
        <w:t>Non-</w:t>
      </w:r>
      <w:r w:rsidR="00476601">
        <w:rPr>
          <w:rFonts w:cs="Arial"/>
        </w:rPr>
        <w:t xml:space="preserve">SIL) </w:t>
      </w:r>
      <w:r w:rsidRPr="00B45A45">
        <w:rPr>
          <w:rFonts w:cs="Arial"/>
        </w:rPr>
        <w:t>participants with approved plans, the number of registered active providers, total plan budgets and total payments are also shown.</w:t>
      </w:r>
      <w:r w:rsidR="00CA1F54" w:rsidRPr="00B45A45">
        <w:rPr>
          <w:rFonts w:cs="Arial"/>
        </w:rPr>
        <w:t xml:space="preserve"> The 7 indicators</w:t>
      </w:r>
      <w:r w:rsidR="00B94DA7" w:rsidRPr="00B45A45">
        <w:rPr>
          <w:rFonts w:cs="Arial"/>
        </w:rPr>
        <w:t xml:space="preserve"> have a ‘traffic light system’ where the top 10% and bottom 10% </w:t>
      </w:r>
      <w:r w:rsidR="00430D4D" w:rsidRPr="00B45A45">
        <w:rPr>
          <w:rFonts w:cs="Arial"/>
        </w:rPr>
        <w:t xml:space="preserve">of </w:t>
      </w:r>
      <w:r w:rsidR="00F277F7">
        <w:rPr>
          <w:rFonts w:cs="Arial"/>
        </w:rPr>
        <w:t>district</w:t>
      </w:r>
      <w:r w:rsidR="00B94DA7" w:rsidRPr="00B45A45">
        <w:rPr>
          <w:rFonts w:cs="Arial"/>
        </w:rPr>
        <w:t>s</w:t>
      </w:r>
      <w:r w:rsidR="00430D4D" w:rsidRPr="00B45A45">
        <w:rPr>
          <w:rFonts w:cs="Arial"/>
        </w:rPr>
        <w:t xml:space="preserve"> – by gap to benchmark – </w:t>
      </w:r>
      <w:r w:rsidR="00B94DA7" w:rsidRPr="00B45A45">
        <w:rPr>
          <w:rFonts w:cs="Arial"/>
        </w:rPr>
        <w:t>are</w:t>
      </w:r>
      <w:r w:rsidR="00430D4D" w:rsidRPr="00B45A45">
        <w:rPr>
          <w:rFonts w:cs="Arial"/>
        </w:rPr>
        <w:t xml:space="preserve"> </w:t>
      </w:r>
      <w:r w:rsidR="00B94DA7" w:rsidRPr="00B45A45">
        <w:rPr>
          <w:rFonts w:cs="Arial"/>
        </w:rPr>
        <w:t>highlighted.</w:t>
      </w:r>
    </w:p>
    <w:p w14:paraId="3E5DE47A" w14:textId="77777777" w:rsidR="00862FC1" w:rsidRPr="00D12F81" w:rsidRDefault="00862FC1" w:rsidP="00D00BF7">
      <w:pPr>
        <w:jc w:val="both"/>
        <w:rPr>
          <w:rFonts w:cs="Arial"/>
          <w:highlight w:val="yellow"/>
        </w:rPr>
      </w:pPr>
    </w:p>
    <w:p w14:paraId="3312EC45" w14:textId="77777777" w:rsidR="009A78AA" w:rsidRPr="00A31984" w:rsidRDefault="00B94DA7" w:rsidP="00D00BF7">
      <w:pPr>
        <w:jc w:val="both"/>
        <w:rPr>
          <w:rFonts w:cs="Arial"/>
        </w:rPr>
      </w:pPr>
      <w:r w:rsidRPr="00A31984">
        <w:rPr>
          <w:rFonts w:cs="Arial"/>
        </w:rPr>
        <w:t xml:space="preserve">For </w:t>
      </w:r>
      <w:r w:rsidR="002340FA" w:rsidRPr="00A31984">
        <w:rPr>
          <w:rFonts w:cs="Arial"/>
        </w:rPr>
        <w:t>(</w:t>
      </w:r>
      <w:r w:rsidR="00D36C56" w:rsidRPr="00A31984">
        <w:rPr>
          <w:rFonts w:cs="Arial"/>
        </w:rPr>
        <w:t>Non-</w:t>
      </w:r>
      <w:r w:rsidR="002340FA" w:rsidRPr="00A31984">
        <w:rPr>
          <w:rFonts w:cs="Arial"/>
        </w:rPr>
        <w:t xml:space="preserve">SIL) </w:t>
      </w:r>
      <w:r w:rsidRPr="00A31984">
        <w:rPr>
          <w:rFonts w:cs="Arial"/>
          <w:b/>
        </w:rPr>
        <w:t>participants per provider</w:t>
      </w:r>
      <w:r w:rsidRPr="00A31984">
        <w:rPr>
          <w:rFonts w:cs="Arial"/>
        </w:rPr>
        <w:t xml:space="preserve">, </w:t>
      </w:r>
      <w:r w:rsidR="009A78AA" w:rsidRPr="00A31984">
        <w:rPr>
          <w:rFonts w:cs="Arial"/>
        </w:rPr>
        <w:t xml:space="preserve">the top 10% </w:t>
      </w:r>
      <w:r w:rsidR="00F277F7">
        <w:rPr>
          <w:rFonts w:cs="Arial"/>
        </w:rPr>
        <w:t>district</w:t>
      </w:r>
      <w:r w:rsidR="009A78AA" w:rsidRPr="00A31984">
        <w:rPr>
          <w:rFonts w:cs="Arial"/>
        </w:rPr>
        <w:t>s are as follows.</w:t>
      </w:r>
    </w:p>
    <w:p w14:paraId="7100A851" w14:textId="6F281A2C" w:rsidR="000C1641" w:rsidRDefault="000C1641" w:rsidP="000C1641">
      <w:pPr>
        <w:pStyle w:val="ListParagraph"/>
        <w:numPr>
          <w:ilvl w:val="0"/>
          <w:numId w:val="12"/>
        </w:numPr>
        <w:jc w:val="both"/>
        <w:rPr>
          <w:rFonts w:cs="Arial"/>
        </w:rPr>
      </w:pPr>
      <w:bookmarkStart w:id="6" w:name="_Toc32397946"/>
      <w:r w:rsidRPr="000C1641">
        <w:rPr>
          <w:rFonts w:cs="Arial"/>
        </w:rPr>
        <w:t>Far West</w:t>
      </w:r>
      <w:r>
        <w:rPr>
          <w:rFonts w:cs="Arial"/>
        </w:rPr>
        <w:t xml:space="preserve"> (New South Wales) has 5.7 participants per provider.</w:t>
      </w:r>
    </w:p>
    <w:p w14:paraId="7B3EDECD" w14:textId="343A0732" w:rsidR="000C1641" w:rsidRDefault="000C1641" w:rsidP="000C1641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0C1641">
        <w:rPr>
          <w:rFonts w:cs="Arial"/>
        </w:rPr>
        <w:t>Sydney</w:t>
      </w:r>
      <w:r>
        <w:rPr>
          <w:rFonts w:cs="Arial"/>
        </w:rPr>
        <w:t xml:space="preserve"> (New South Wales) has 6.4.</w:t>
      </w:r>
    </w:p>
    <w:p w14:paraId="77FEE5A2" w14:textId="1B70B4C2" w:rsidR="00381417" w:rsidRDefault="00381417" w:rsidP="00A31984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</w:rPr>
        <w:t>Far</w:t>
      </w:r>
      <w:r w:rsidR="000C1641">
        <w:rPr>
          <w:rFonts w:cs="Arial"/>
        </w:rPr>
        <w:t xml:space="preserve"> North (South Australia) has 6.0</w:t>
      </w:r>
      <w:r>
        <w:rPr>
          <w:rFonts w:cs="Arial"/>
        </w:rPr>
        <w:t xml:space="preserve">. </w:t>
      </w:r>
    </w:p>
    <w:p w14:paraId="424DB7B6" w14:textId="20BE91D4" w:rsidR="00381417" w:rsidRDefault="00381417" w:rsidP="00A31984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</w:rPr>
        <w:t>Bar</w:t>
      </w:r>
      <w:r w:rsidR="000C1641">
        <w:rPr>
          <w:rFonts w:cs="Arial"/>
        </w:rPr>
        <w:t>kly (Northern Territory) has 3.6</w:t>
      </w:r>
      <w:r>
        <w:rPr>
          <w:rFonts w:cs="Arial"/>
        </w:rPr>
        <w:t xml:space="preserve">. </w:t>
      </w:r>
    </w:p>
    <w:p w14:paraId="3A8D9856" w14:textId="6C5BC20C" w:rsidR="00381417" w:rsidRDefault="00381417" w:rsidP="00A31984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</w:rPr>
        <w:t>Central Austra</w:t>
      </w:r>
      <w:r w:rsidR="000C1641">
        <w:rPr>
          <w:rFonts w:cs="Arial"/>
        </w:rPr>
        <w:t>lia (Northern Territory) has 4.3</w:t>
      </w:r>
      <w:r>
        <w:rPr>
          <w:rFonts w:cs="Arial"/>
        </w:rPr>
        <w:t xml:space="preserve">. </w:t>
      </w:r>
    </w:p>
    <w:p w14:paraId="2C949E11" w14:textId="59B50038" w:rsidR="00381417" w:rsidRDefault="00381417" w:rsidP="00A31984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</w:rPr>
        <w:t>East Arn</w:t>
      </w:r>
      <w:r w:rsidR="000C1641">
        <w:rPr>
          <w:rFonts w:cs="Arial"/>
        </w:rPr>
        <w:t>hem (Northern Territory) has 4.1</w:t>
      </w:r>
      <w:r>
        <w:rPr>
          <w:rFonts w:cs="Arial"/>
        </w:rPr>
        <w:t xml:space="preserve">. </w:t>
      </w:r>
    </w:p>
    <w:p w14:paraId="5C80B349" w14:textId="3EDFF480" w:rsidR="00381417" w:rsidRDefault="00381417" w:rsidP="00A31984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</w:rPr>
        <w:t>Katherine (Northern Territory) ha</w:t>
      </w:r>
      <w:r w:rsidR="000C1641">
        <w:rPr>
          <w:rFonts w:cs="Arial"/>
        </w:rPr>
        <w:t>s 2.9</w:t>
      </w:r>
      <w:r>
        <w:rPr>
          <w:rFonts w:cs="Arial"/>
        </w:rPr>
        <w:t>.</w:t>
      </w:r>
    </w:p>
    <w:p w14:paraId="506AF1CD" w14:textId="0FA0AE64" w:rsidR="00381417" w:rsidRDefault="00381417" w:rsidP="00A31984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</w:rPr>
        <w:t xml:space="preserve">Wheat </w:t>
      </w:r>
      <w:r w:rsidR="000C1641">
        <w:rPr>
          <w:rFonts w:cs="Arial"/>
        </w:rPr>
        <w:t>Belt (Western Australia) has 5.1</w:t>
      </w:r>
      <w:r>
        <w:rPr>
          <w:rFonts w:cs="Arial"/>
        </w:rPr>
        <w:t xml:space="preserve">. </w:t>
      </w:r>
    </w:p>
    <w:p w14:paraId="31CB3019" w14:textId="77777777" w:rsidR="00A31984" w:rsidRPr="005C3EEC" w:rsidRDefault="00A31984" w:rsidP="00A31984">
      <w:pPr>
        <w:jc w:val="both"/>
        <w:rPr>
          <w:rFonts w:cs="Arial"/>
        </w:rPr>
      </w:pPr>
      <w:r w:rsidRPr="005C3EEC">
        <w:rPr>
          <w:rFonts w:cs="Arial"/>
        </w:rPr>
        <w:t xml:space="preserve">The bottom 10% </w:t>
      </w:r>
      <w:r w:rsidR="00F277F7">
        <w:rPr>
          <w:rFonts w:cs="Arial"/>
        </w:rPr>
        <w:t>district</w:t>
      </w:r>
      <w:r w:rsidRPr="005C3EEC">
        <w:rPr>
          <w:rFonts w:cs="Arial"/>
        </w:rPr>
        <w:t>s are as follows.</w:t>
      </w:r>
    </w:p>
    <w:p w14:paraId="5B00F4C4" w14:textId="15397724" w:rsidR="00A31984" w:rsidRPr="005C3EEC" w:rsidRDefault="00A31984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5C3EEC">
        <w:rPr>
          <w:rFonts w:cs="Arial"/>
        </w:rPr>
        <w:t xml:space="preserve">Hunter New England (New South Wales) has </w:t>
      </w:r>
      <w:r w:rsidR="005143B0">
        <w:rPr>
          <w:rFonts w:cs="Arial"/>
        </w:rPr>
        <w:t>16.7</w:t>
      </w:r>
      <w:r w:rsidRPr="005C3EEC">
        <w:rPr>
          <w:rFonts w:cs="Arial"/>
        </w:rPr>
        <w:t xml:space="preserve"> participants per provider.</w:t>
      </w:r>
    </w:p>
    <w:p w14:paraId="71518594" w14:textId="514F95E3" w:rsidR="006844AC" w:rsidRDefault="006844AC" w:rsidP="006844AC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Mid Nort</w:t>
      </w:r>
      <w:r w:rsidR="005143B0">
        <w:rPr>
          <w:rFonts w:cs="Arial"/>
        </w:rPr>
        <w:t>h Coast (New South Wales) has 16.4</w:t>
      </w:r>
      <w:r>
        <w:rPr>
          <w:rFonts w:cs="Arial"/>
        </w:rPr>
        <w:t>.</w:t>
      </w:r>
    </w:p>
    <w:p w14:paraId="5F7E81AA" w14:textId="0277CCA7" w:rsidR="006844AC" w:rsidRDefault="006844AC" w:rsidP="006844AC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Northern New Sout</w:t>
      </w:r>
      <w:r w:rsidR="005143B0">
        <w:rPr>
          <w:rFonts w:cs="Arial"/>
        </w:rPr>
        <w:t>h Wales (New South Wales) has 17.2</w:t>
      </w:r>
      <w:r>
        <w:rPr>
          <w:rFonts w:cs="Arial"/>
        </w:rPr>
        <w:t xml:space="preserve">. </w:t>
      </w:r>
    </w:p>
    <w:p w14:paraId="13413D30" w14:textId="1058AB3D" w:rsidR="006844AC" w:rsidRDefault="006844AC" w:rsidP="006844AC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Bay</w:t>
      </w:r>
      <w:r w:rsidR="005143B0">
        <w:rPr>
          <w:rFonts w:cs="Arial"/>
        </w:rPr>
        <w:t>side Peninsula (Victoria) has 16.3</w:t>
      </w:r>
      <w:r>
        <w:rPr>
          <w:rFonts w:cs="Arial"/>
        </w:rPr>
        <w:t xml:space="preserve">. </w:t>
      </w:r>
    </w:p>
    <w:p w14:paraId="34ADFD4E" w14:textId="0087790F" w:rsidR="005143B0" w:rsidRDefault="005143B0" w:rsidP="005143B0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5143B0">
        <w:rPr>
          <w:rFonts w:cs="Arial"/>
        </w:rPr>
        <w:t>Western District</w:t>
      </w:r>
      <w:r>
        <w:rPr>
          <w:rFonts w:cs="Arial"/>
        </w:rPr>
        <w:t xml:space="preserve"> (Victoria) has 14.9.</w:t>
      </w:r>
    </w:p>
    <w:p w14:paraId="48D51987" w14:textId="4A5B1B65" w:rsidR="006844AC" w:rsidRDefault="006844AC" w:rsidP="006844AC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Northern A</w:t>
      </w:r>
      <w:r w:rsidR="005143B0">
        <w:rPr>
          <w:rFonts w:cs="Arial"/>
        </w:rPr>
        <w:t>delaide (South Australia) has 19.8</w:t>
      </w:r>
      <w:r>
        <w:rPr>
          <w:rFonts w:cs="Arial"/>
        </w:rPr>
        <w:t xml:space="preserve">. </w:t>
      </w:r>
    </w:p>
    <w:p w14:paraId="324127A3" w14:textId="21232D47" w:rsidR="006844AC" w:rsidRDefault="006844AC" w:rsidP="006844AC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Southern Ade</w:t>
      </w:r>
      <w:r w:rsidR="005143B0">
        <w:rPr>
          <w:rFonts w:cs="Arial"/>
        </w:rPr>
        <w:t>laide (South Australia) has 17.1</w:t>
      </w:r>
      <w:r>
        <w:rPr>
          <w:rFonts w:cs="Arial"/>
        </w:rPr>
        <w:t xml:space="preserve">. </w:t>
      </w:r>
    </w:p>
    <w:p w14:paraId="089A58A8" w14:textId="4E0E0169" w:rsidR="006844AC" w:rsidRPr="006844AC" w:rsidRDefault="006844AC" w:rsidP="006844AC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Aus</w:t>
      </w:r>
      <w:r w:rsidR="005143B0">
        <w:rPr>
          <w:rFonts w:cs="Arial"/>
        </w:rPr>
        <w:t>tralian Capital Territory has 18.8</w:t>
      </w:r>
      <w:r>
        <w:rPr>
          <w:rFonts w:cs="Arial"/>
        </w:rPr>
        <w:t xml:space="preserve">. </w:t>
      </w:r>
    </w:p>
    <w:p w14:paraId="2447E09A" w14:textId="77777777" w:rsidR="00A31984" w:rsidRPr="00BC1232" w:rsidRDefault="00A31984" w:rsidP="00A31984">
      <w:pPr>
        <w:jc w:val="both"/>
        <w:rPr>
          <w:rFonts w:cs="Arial"/>
        </w:rPr>
      </w:pPr>
      <w:r w:rsidRPr="00BC1232">
        <w:rPr>
          <w:rFonts w:cs="Arial"/>
        </w:rPr>
        <w:t xml:space="preserve">For </w:t>
      </w:r>
      <w:r w:rsidRPr="00BC1232">
        <w:rPr>
          <w:rFonts w:cs="Arial"/>
          <w:b/>
        </w:rPr>
        <w:t>provider concentration</w:t>
      </w:r>
      <w:r w:rsidRPr="00BC1232">
        <w:rPr>
          <w:rFonts w:cs="Arial"/>
        </w:rPr>
        <w:t xml:space="preserve">, the top 10% </w:t>
      </w:r>
      <w:r w:rsidR="00F277F7">
        <w:rPr>
          <w:rFonts w:cs="Arial"/>
        </w:rPr>
        <w:t>district</w:t>
      </w:r>
      <w:r w:rsidRPr="00BC1232">
        <w:rPr>
          <w:rFonts w:cs="Arial"/>
        </w:rPr>
        <w:t>s are as follows.</w:t>
      </w:r>
    </w:p>
    <w:p w14:paraId="748036EE" w14:textId="1ABDF247" w:rsidR="00A31984" w:rsidRPr="00BC1232" w:rsidRDefault="00A31984" w:rsidP="00A31984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BC1232">
        <w:rPr>
          <w:rFonts w:cs="Arial"/>
        </w:rPr>
        <w:t>Hunter New England (New South Wales) has provider concentration level of 2</w:t>
      </w:r>
      <w:r w:rsidR="008411F6">
        <w:rPr>
          <w:rFonts w:cs="Arial"/>
        </w:rPr>
        <w:t>6</w:t>
      </w:r>
      <w:r w:rsidRPr="00BC1232">
        <w:rPr>
          <w:rFonts w:cs="Arial"/>
        </w:rPr>
        <w:t>%.</w:t>
      </w:r>
    </w:p>
    <w:p w14:paraId="75C83122" w14:textId="563CCFAC" w:rsidR="00BC1232" w:rsidRPr="00BC1232" w:rsidRDefault="00BC1232" w:rsidP="00BC1232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BC1232">
        <w:rPr>
          <w:rFonts w:cs="Arial"/>
        </w:rPr>
        <w:t>Nepean Blue Mountains (New South Wales) has 3</w:t>
      </w:r>
      <w:r w:rsidR="008411F6">
        <w:rPr>
          <w:rFonts w:cs="Arial"/>
        </w:rPr>
        <w:t>7</w:t>
      </w:r>
      <w:r w:rsidRPr="00BC1232">
        <w:rPr>
          <w:rFonts w:cs="Arial"/>
        </w:rPr>
        <w:t>%.</w:t>
      </w:r>
    </w:p>
    <w:p w14:paraId="1C11DC1E" w14:textId="4D8AC834" w:rsidR="00A31984" w:rsidRPr="00BC1232" w:rsidRDefault="00A31984" w:rsidP="00A31984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BC1232">
        <w:rPr>
          <w:rFonts w:cs="Arial"/>
        </w:rPr>
        <w:t xml:space="preserve">South Western Sydney (New South Wales) </w:t>
      </w:r>
      <w:r w:rsidR="008411F6">
        <w:rPr>
          <w:rFonts w:cs="Arial"/>
        </w:rPr>
        <w:t>has 24</w:t>
      </w:r>
      <w:r w:rsidRPr="00BC1232">
        <w:rPr>
          <w:rFonts w:cs="Arial"/>
        </w:rPr>
        <w:t>%.</w:t>
      </w:r>
    </w:p>
    <w:p w14:paraId="5AA86103" w14:textId="525DCDDF" w:rsidR="00A31984" w:rsidRPr="00BC1232" w:rsidRDefault="00BC1232" w:rsidP="00A31984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BC1232">
        <w:rPr>
          <w:rFonts w:cs="Arial"/>
        </w:rPr>
        <w:t xml:space="preserve">Western </w:t>
      </w:r>
      <w:r w:rsidR="00A31984" w:rsidRPr="00BC1232">
        <w:rPr>
          <w:rFonts w:cs="Arial"/>
        </w:rPr>
        <w:t xml:space="preserve">Sydney (New South Wales) </w:t>
      </w:r>
      <w:r w:rsidR="008411F6">
        <w:rPr>
          <w:rFonts w:cs="Arial"/>
        </w:rPr>
        <w:t>has 27</w:t>
      </w:r>
      <w:r w:rsidRPr="00BC1232">
        <w:rPr>
          <w:rFonts w:cs="Arial"/>
        </w:rPr>
        <w:t>%.</w:t>
      </w:r>
    </w:p>
    <w:p w14:paraId="089E97B8" w14:textId="10382485" w:rsidR="00A31984" w:rsidRPr="00BC1232" w:rsidRDefault="00A31984" w:rsidP="00A31984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BC1232">
        <w:rPr>
          <w:rFonts w:cs="Arial"/>
        </w:rPr>
        <w:t xml:space="preserve">North East Melbourne (Victoria) </w:t>
      </w:r>
      <w:r w:rsidR="008411F6">
        <w:rPr>
          <w:rFonts w:cs="Arial"/>
        </w:rPr>
        <w:t>has 37</w:t>
      </w:r>
      <w:r w:rsidRPr="00BC1232">
        <w:rPr>
          <w:rFonts w:cs="Arial"/>
        </w:rPr>
        <w:t>%.</w:t>
      </w:r>
    </w:p>
    <w:p w14:paraId="472F2956" w14:textId="099F9EFB" w:rsidR="00A31984" w:rsidRPr="00BC1232" w:rsidRDefault="00A31984" w:rsidP="00A31984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BC1232">
        <w:rPr>
          <w:rFonts w:cs="Arial"/>
        </w:rPr>
        <w:t>Brisbane (Queensland) has 3</w:t>
      </w:r>
      <w:r w:rsidR="008411F6">
        <w:rPr>
          <w:rFonts w:cs="Arial"/>
        </w:rPr>
        <w:t>6</w:t>
      </w:r>
      <w:r w:rsidRPr="00BC1232">
        <w:rPr>
          <w:rFonts w:cs="Arial"/>
        </w:rPr>
        <w:t>%.</w:t>
      </w:r>
    </w:p>
    <w:p w14:paraId="7751AA9F" w14:textId="67B98998" w:rsidR="00A31984" w:rsidRDefault="008411F6" w:rsidP="00A31984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</w:rPr>
        <w:t>Ipswich (Queensland) has 35</w:t>
      </w:r>
      <w:r w:rsidR="00BC1232" w:rsidRPr="00BC1232">
        <w:rPr>
          <w:rFonts w:cs="Arial"/>
        </w:rPr>
        <w:t>%</w:t>
      </w:r>
      <w:r w:rsidR="00A31984" w:rsidRPr="00BC1232">
        <w:rPr>
          <w:rFonts w:cs="Arial"/>
        </w:rPr>
        <w:t>.</w:t>
      </w:r>
    </w:p>
    <w:p w14:paraId="53E068E7" w14:textId="3A867D7A" w:rsidR="008411F6" w:rsidRPr="00BC1232" w:rsidRDefault="008411F6" w:rsidP="008411F6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8411F6">
        <w:rPr>
          <w:rFonts w:cs="Arial"/>
        </w:rPr>
        <w:t>South Metro</w:t>
      </w:r>
      <w:r>
        <w:rPr>
          <w:rFonts w:cs="Arial"/>
        </w:rPr>
        <w:t xml:space="preserve"> (Western Australia) has 35%. </w:t>
      </w:r>
    </w:p>
    <w:p w14:paraId="130B8290" w14:textId="77777777" w:rsidR="00A31984" w:rsidRPr="00A31984" w:rsidRDefault="00A31984" w:rsidP="00A31984">
      <w:pPr>
        <w:jc w:val="both"/>
        <w:rPr>
          <w:rFonts w:cs="Arial"/>
          <w:highlight w:val="yellow"/>
        </w:rPr>
      </w:pPr>
    </w:p>
    <w:p w14:paraId="3B9C77E6" w14:textId="77777777" w:rsidR="00A31984" w:rsidRPr="00325B09" w:rsidRDefault="00A31984" w:rsidP="00A31984">
      <w:pPr>
        <w:jc w:val="both"/>
        <w:rPr>
          <w:rFonts w:cs="Arial"/>
        </w:rPr>
      </w:pPr>
      <w:r w:rsidRPr="00325B09">
        <w:rPr>
          <w:rFonts w:cs="Arial"/>
        </w:rPr>
        <w:t xml:space="preserve">The bottom 10% </w:t>
      </w:r>
      <w:r w:rsidR="00F277F7">
        <w:rPr>
          <w:rFonts w:cs="Arial"/>
        </w:rPr>
        <w:t>district</w:t>
      </w:r>
      <w:r w:rsidRPr="00325B09">
        <w:rPr>
          <w:rFonts w:cs="Arial"/>
        </w:rPr>
        <w:t>s are as follows.</w:t>
      </w:r>
    </w:p>
    <w:p w14:paraId="7CB0851F" w14:textId="57D43E28" w:rsidR="00BC1232" w:rsidRDefault="00BC1232" w:rsidP="00BC1232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325B09">
        <w:rPr>
          <w:rFonts w:cs="Arial"/>
        </w:rPr>
        <w:t>Mallee (Victoria) has provider concentration l</w:t>
      </w:r>
      <w:r w:rsidR="00E63A5D">
        <w:rPr>
          <w:rFonts w:cs="Arial"/>
        </w:rPr>
        <w:t>evel of 83</w:t>
      </w:r>
      <w:r w:rsidRPr="00325B09">
        <w:rPr>
          <w:rFonts w:cs="Arial"/>
        </w:rPr>
        <w:t>%.</w:t>
      </w:r>
    </w:p>
    <w:p w14:paraId="04616CC3" w14:textId="608B0A35" w:rsidR="00E63A5D" w:rsidRDefault="00E63A5D" w:rsidP="00E63A5D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E63A5D">
        <w:rPr>
          <w:rFonts w:cs="Arial"/>
        </w:rPr>
        <w:t>Eyre and Western</w:t>
      </w:r>
      <w:r>
        <w:rPr>
          <w:rFonts w:cs="Arial"/>
        </w:rPr>
        <w:t xml:space="preserve"> </w:t>
      </w:r>
      <w:r w:rsidRPr="00325B09">
        <w:rPr>
          <w:rFonts w:cs="Arial"/>
        </w:rPr>
        <w:t>(</w:t>
      </w:r>
      <w:r>
        <w:rPr>
          <w:rFonts w:cs="Arial"/>
        </w:rPr>
        <w:t>South Australia</w:t>
      </w:r>
      <w:r w:rsidRPr="00325B09">
        <w:rPr>
          <w:rFonts w:cs="Arial"/>
        </w:rPr>
        <w:t>) has</w:t>
      </w:r>
      <w:r>
        <w:rPr>
          <w:rFonts w:cs="Arial"/>
        </w:rPr>
        <w:t xml:space="preserve"> 86%.</w:t>
      </w:r>
    </w:p>
    <w:p w14:paraId="29E3E63B" w14:textId="2E975D44" w:rsidR="00E63A5D" w:rsidRDefault="00E63A5D" w:rsidP="00E63A5D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E63A5D">
        <w:rPr>
          <w:rFonts w:cs="Arial"/>
        </w:rPr>
        <w:t>Limestone Coast</w:t>
      </w:r>
      <w:r>
        <w:rPr>
          <w:rFonts w:cs="Arial"/>
        </w:rPr>
        <w:t xml:space="preserve"> </w:t>
      </w:r>
      <w:r w:rsidRPr="00325B09">
        <w:rPr>
          <w:rFonts w:cs="Arial"/>
        </w:rPr>
        <w:t>(</w:t>
      </w:r>
      <w:r>
        <w:rPr>
          <w:rFonts w:cs="Arial"/>
        </w:rPr>
        <w:t>South Australia</w:t>
      </w:r>
      <w:r w:rsidRPr="00325B09">
        <w:rPr>
          <w:rFonts w:cs="Arial"/>
        </w:rPr>
        <w:t>) has</w:t>
      </w:r>
      <w:r>
        <w:rPr>
          <w:rFonts w:cs="Arial"/>
        </w:rPr>
        <w:t xml:space="preserve"> 84%.</w:t>
      </w:r>
    </w:p>
    <w:p w14:paraId="51137CAD" w14:textId="0A232EFC" w:rsidR="00E63A5D" w:rsidRPr="00E63A5D" w:rsidRDefault="00E63A5D" w:rsidP="00E63A5D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E63A5D">
        <w:rPr>
          <w:rFonts w:cs="Arial"/>
        </w:rPr>
        <w:t>Barkly</w:t>
      </w:r>
      <w:r>
        <w:rPr>
          <w:rFonts w:cs="Arial"/>
        </w:rPr>
        <w:t xml:space="preserve"> (Northern Territory) has 87</w:t>
      </w:r>
      <w:r w:rsidRPr="00325B09">
        <w:rPr>
          <w:rFonts w:cs="Arial"/>
        </w:rPr>
        <w:t>%.</w:t>
      </w:r>
    </w:p>
    <w:p w14:paraId="66A65DC6" w14:textId="1963D67C" w:rsidR="00A31984" w:rsidRPr="00325B09" w:rsidRDefault="00A31984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325B09">
        <w:rPr>
          <w:rFonts w:cs="Arial"/>
        </w:rPr>
        <w:t>East Ar</w:t>
      </w:r>
      <w:r w:rsidR="00E63A5D">
        <w:rPr>
          <w:rFonts w:cs="Arial"/>
        </w:rPr>
        <w:t>nhem (Northern Territory) has 84</w:t>
      </w:r>
      <w:r w:rsidRPr="00325B09">
        <w:rPr>
          <w:rFonts w:cs="Arial"/>
        </w:rPr>
        <w:t>%.</w:t>
      </w:r>
    </w:p>
    <w:p w14:paraId="17685F41" w14:textId="087EADC6" w:rsidR="00A31984" w:rsidRDefault="00A31984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325B09">
        <w:rPr>
          <w:rFonts w:cs="Arial"/>
        </w:rPr>
        <w:t>Goldfields – Espe</w:t>
      </w:r>
      <w:r w:rsidR="00E63A5D">
        <w:rPr>
          <w:rFonts w:cs="Arial"/>
        </w:rPr>
        <w:t>rance (Western Australia) has 86</w:t>
      </w:r>
      <w:r w:rsidRPr="00325B09">
        <w:rPr>
          <w:rFonts w:cs="Arial"/>
        </w:rPr>
        <w:t>%.</w:t>
      </w:r>
    </w:p>
    <w:p w14:paraId="1A1B10CA" w14:textId="7CDF8C00" w:rsidR="006844AC" w:rsidRPr="00325B09" w:rsidRDefault="006844AC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Great Sou</w:t>
      </w:r>
      <w:r w:rsidR="00E63A5D">
        <w:rPr>
          <w:rFonts w:cs="Arial"/>
        </w:rPr>
        <w:t>thern (Western Australia) has 91</w:t>
      </w:r>
      <w:r>
        <w:rPr>
          <w:rFonts w:cs="Arial"/>
        </w:rPr>
        <w:t xml:space="preserve">%. </w:t>
      </w:r>
    </w:p>
    <w:p w14:paraId="46B49A0E" w14:textId="0C5BB29C" w:rsidR="00A31984" w:rsidRPr="00325B09" w:rsidRDefault="006844AC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Midwest – Gas</w:t>
      </w:r>
      <w:r w:rsidR="00E63A5D">
        <w:rPr>
          <w:rFonts w:cs="Arial"/>
        </w:rPr>
        <w:t>coyne (Western Australia) has 92</w:t>
      </w:r>
      <w:r>
        <w:rPr>
          <w:rFonts w:cs="Arial"/>
        </w:rPr>
        <w:t xml:space="preserve">%. </w:t>
      </w:r>
    </w:p>
    <w:p w14:paraId="1986F5B6" w14:textId="77777777" w:rsidR="00A31984" w:rsidRPr="00325B09" w:rsidRDefault="00A31984" w:rsidP="00A31984">
      <w:pPr>
        <w:jc w:val="both"/>
        <w:rPr>
          <w:rFonts w:cs="Arial"/>
        </w:rPr>
      </w:pPr>
      <w:r w:rsidRPr="00325B09">
        <w:rPr>
          <w:rFonts w:cs="Arial"/>
        </w:rPr>
        <w:t xml:space="preserve">For </w:t>
      </w:r>
      <w:r w:rsidRPr="00325B09">
        <w:rPr>
          <w:rFonts w:cs="Arial"/>
          <w:b/>
        </w:rPr>
        <w:t>provider growth</w:t>
      </w:r>
      <w:r w:rsidRPr="00325B09">
        <w:rPr>
          <w:rFonts w:cs="Arial"/>
        </w:rPr>
        <w:t xml:space="preserve">, the top 10% </w:t>
      </w:r>
      <w:r w:rsidR="00F277F7">
        <w:rPr>
          <w:rFonts w:cs="Arial"/>
        </w:rPr>
        <w:t>district</w:t>
      </w:r>
      <w:r w:rsidRPr="00325B09">
        <w:rPr>
          <w:rFonts w:cs="Arial"/>
        </w:rPr>
        <w:t>s are as follows.</w:t>
      </w:r>
    </w:p>
    <w:p w14:paraId="66C609A6" w14:textId="232182BD" w:rsidR="006844AC" w:rsidRDefault="00E03083" w:rsidP="00E03083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 w:rsidRPr="00E03083">
        <w:rPr>
          <w:rFonts w:cs="Arial"/>
        </w:rPr>
        <w:t>East Arnhem</w:t>
      </w:r>
      <w:r w:rsidR="006844AC">
        <w:rPr>
          <w:rFonts w:cs="Arial"/>
        </w:rPr>
        <w:t xml:space="preserve"> (Northern Territory) </w:t>
      </w:r>
      <w:r>
        <w:rPr>
          <w:rFonts w:cs="Arial"/>
        </w:rPr>
        <w:t>has provider growth of 27% since the previous exposure period.</w:t>
      </w:r>
    </w:p>
    <w:p w14:paraId="566D01D7" w14:textId="66BA8B80" w:rsidR="006844AC" w:rsidRDefault="006844AC" w:rsidP="00A31984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 xml:space="preserve">Central North </w:t>
      </w:r>
      <w:r w:rsidR="00E03083">
        <w:rPr>
          <w:rFonts w:cs="Arial"/>
        </w:rPr>
        <w:t>Metro (Western Australia) has 61</w:t>
      </w:r>
      <w:r>
        <w:rPr>
          <w:rFonts w:cs="Arial"/>
        </w:rPr>
        <w:t xml:space="preserve">%. </w:t>
      </w:r>
    </w:p>
    <w:p w14:paraId="2EEC7B75" w14:textId="571AB745" w:rsidR="006844AC" w:rsidRDefault="006844AC" w:rsidP="00A31984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>Goldfields – Espe</w:t>
      </w:r>
      <w:r w:rsidR="00E03083">
        <w:rPr>
          <w:rFonts w:cs="Arial"/>
        </w:rPr>
        <w:t>rance (Western Australia) has 30</w:t>
      </w:r>
      <w:r>
        <w:rPr>
          <w:rFonts w:cs="Arial"/>
        </w:rPr>
        <w:t xml:space="preserve">%. </w:t>
      </w:r>
    </w:p>
    <w:p w14:paraId="414915FD" w14:textId="5705B486" w:rsidR="006844AC" w:rsidRDefault="006844AC" w:rsidP="00A31984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>Great Sou</w:t>
      </w:r>
      <w:r w:rsidR="00E03083">
        <w:rPr>
          <w:rFonts w:cs="Arial"/>
        </w:rPr>
        <w:t>thern (Western Australia) has 47</w:t>
      </w:r>
      <w:r>
        <w:rPr>
          <w:rFonts w:cs="Arial"/>
        </w:rPr>
        <w:t xml:space="preserve">%. </w:t>
      </w:r>
    </w:p>
    <w:p w14:paraId="10EB500D" w14:textId="736C2660" w:rsidR="00E03083" w:rsidRPr="00E03083" w:rsidRDefault="00E03083" w:rsidP="00E03083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 w:rsidRPr="00E03083">
        <w:rPr>
          <w:rFonts w:cs="Arial"/>
        </w:rPr>
        <w:t>Kimberley-Pilbara</w:t>
      </w:r>
      <w:r>
        <w:rPr>
          <w:rFonts w:cs="Arial"/>
        </w:rPr>
        <w:t xml:space="preserve"> (Western Australia) has 28%. </w:t>
      </w:r>
    </w:p>
    <w:p w14:paraId="2BDD66A0" w14:textId="7770D7DC" w:rsidR="006844AC" w:rsidRDefault="006844AC" w:rsidP="00A31984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>Midwest – Gascoyne (Western Austra</w:t>
      </w:r>
      <w:r w:rsidR="00E03083">
        <w:rPr>
          <w:rFonts w:cs="Arial"/>
        </w:rPr>
        <w:t>lia) has 36</w:t>
      </w:r>
      <w:r>
        <w:rPr>
          <w:rFonts w:cs="Arial"/>
        </w:rPr>
        <w:t xml:space="preserve">%. </w:t>
      </w:r>
    </w:p>
    <w:p w14:paraId="3F1604AA" w14:textId="50B11263" w:rsidR="00E03083" w:rsidRDefault="00E03083" w:rsidP="00E03083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 w:rsidRPr="00E03083">
        <w:rPr>
          <w:rFonts w:cs="Arial"/>
        </w:rPr>
        <w:t>North Metro</w:t>
      </w:r>
      <w:r>
        <w:rPr>
          <w:rFonts w:cs="Arial"/>
        </w:rPr>
        <w:t xml:space="preserve"> (Western Australia) has 28%.</w:t>
      </w:r>
    </w:p>
    <w:p w14:paraId="67B6C830" w14:textId="69803B53" w:rsidR="006844AC" w:rsidRDefault="006844AC" w:rsidP="00A31984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 xml:space="preserve">South East </w:t>
      </w:r>
      <w:r w:rsidR="00E03083">
        <w:rPr>
          <w:rFonts w:cs="Arial"/>
        </w:rPr>
        <w:t>Metro (Western Australia) has 46</w:t>
      </w:r>
      <w:r>
        <w:rPr>
          <w:rFonts w:cs="Arial"/>
        </w:rPr>
        <w:t xml:space="preserve">%. </w:t>
      </w:r>
    </w:p>
    <w:p w14:paraId="6A2ABEE3" w14:textId="77777777" w:rsidR="00A31984" w:rsidRPr="00325B09" w:rsidRDefault="00A31984" w:rsidP="00A31984">
      <w:pPr>
        <w:jc w:val="both"/>
        <w:rPr>
          <w:rFonts w:cs="Arial"/>
        </w:rPr>
      </w:pPr>
      <w:r w:rsidRPr="00325B09">
        <w:rPr>
          <w:rFonts w:cs="Arial"/>
        </w:rPr>
        <w:t xml:space="preserve">The bottom 10% </w:t>
      </w:r>
      <w:r w:rsidR="00F277F7">
        <w:rPr>
          <w:rFonts w:cs="Arial"/>
        </w:rPr>
        <w:t>district</w:t>
      </w:r>
      <w:r w:rsidRPr="00325B09">
        <w:rPr>
          <w:rFonts w:cs="Arial"/>
        </w:rPr>
        <w:t>s are as follows.</w:t>
      </w:r>
    </w:p>
    <w:p w14:paraId="04EA086C" w14:textId="1F7F5852" w:rsidR="006844AC" w:rsidRDefault="006844AC" w:rsidP="00A31984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 xml:space="preserve">Mid North Coast (New South Wales) has provider growth of 8% since the previous exposure period. </w:t>
      </w:r>
    </w:p>
    <w:p w14:paraId="736BFA35" w14:textId="57D2A66E" w:rsidR="00B059A7" w:rsidRDefault="00B059A7" w:rsidP="00B059A7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 w:rsidRPr="00B059A7">
        <w:rPr>
          <w:rFonts w:cs="Arial"/>
        </w:rPr>
        <w:t xml:space="preserve">Northern </w:t>
      </w:r>
      <w:r>
        <w:rPr>
          <w:rFonts w:cs="Arial"/>
        </w:rPr>
        <w:t>New South Wales (New South Wales) has 8%.</w:t>
      </w:r>
    </w:p>
    <w:p w14:paraId="4747A9CB" w14:textId="3C16EB40" w:rsidR="00B059A7" w:rsidRPr="00B059A7" w:rsidRDefault="00B059A7" w:rsidP="00B059A7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 w:rsidRPr="00B059A7">
        <w:rPr>
          <w:rFonts w:cs="Arial"/>
        </w:rPr>
        <w:t xml:space="preserve">Southern </w:t>
      </w:r>
      <w:r>
        <w:rPr>
          <w:rFonts w:cs="Arial"/>
        </w:rPr>
        <w:t>New South Wales (New South Wales) has 6%.</w:t>
      </w:r>
    </w:p>
    <w:p w14:paraId="2151D7AD" w14:textId="437B4C62" w:rsidR="006844AC" w:rsidRDefault="00B059A7" w:rsidP="00B059A7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 w:rsidRPr="00B059A7">
        <w:rPr>
          <w:rFonts w:cs="Arial"/>
        </w:rPr>
        <w:t xml:space="preserve">Western District </w:t>
      </w:r>
      <w:r>
        <w:rPr>
          <w:rFonts w:cs="Arial"/>
        </w:rPr>
        <w:t>(Victoria) has 8</w:t>
      </w:r>
      <w:r w:rsidR="006844AC">
        <w:rPr>
          <w:rFonts w:cs="Arial"/>
        </w:rPr>
        <w:t xml:space="preserve">%. </w:t>
      </w:r>
    </w:p>
    <w:p w14:paraId="6C2E13AE" w14:textId="16A48B2B" w:rsidR="00B059A7" w:rsidRDefault="00B059A7" w:rsidP="00B059A7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 w:rsidRPr="00B059A7">
        <w:rPr>
          <w:rFonts w:cs="Arial"/>
        </w:rPr>
        <w:t>Adelaide Hills</w:t>
      </w:r>
      <w:r>
        <w:rPr>
          <w:rFonts w:cs="Arial"/>
        </w:rPr>
        <w:t xml:space="preserve"> (South Australia) has 4%.</w:t>
      </w:r>
    </w:p>
    <w:p w14:paraId="791B921E" w14:textId="2085505E" w:rsidR="006844AC" w:rsidRDefault="006844AC" w:rsidP="00A31984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>Eyre and</w:t>
      </w:r>
      <w:r w:rsidR="00B059A7">
        <w:rPr>
          <w:rFonts w:cs="Arial"/>
        </w:rPr>
        <w:t xml:space="preserve"> Western (South Australia) has 7</w:t>
      </w:r>
      <w:r>
        <w:rPr>
          <w:rFonts w:cs="Arial"/>
        </w:rPr>
        <w:t xml:space="preserve">%. </w:t>
      </w:r>
    </w:p>
    <w:p w14:paraId="31C17E50" w14:textId="72BB8C9D" w:rsidR="006844AC" w:rsidRDefault="006844AC" w:rsidP="00A31984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>Limesto</w:t>
      </w:r>
      <w:r w:rsidR="00B059A7">
        <w:rPr>
          <w:rFonts w:cs="Arial"/>
        </w:rPr>
        <w:t>ne Coast (South Australia) has 6</w:t>
      </w:r>
      <w:r>
        <w:rPr>
          <w:rFonts w:cs="Arial"/>
        </w:rPr>
        <w:t xml:space="preserve">%. </w:t>
      </w:r>
    </w:p>
    <w:p w14:paraId="67178ED0" w14:textId="6297CD5B" w:rsidR="006844AC" w:rsidRDefault="00B059A7" w:rsidP="00B059A7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 w:rsidRPr="00B059A7">
        <w:rPr>
          <w:rFonts w:cs="Arial"/>
        </w:rPr>
        <w:t>TAS North</w:t>
      </w:r>
      <w:r>
        <w:rPr>
          <w:rFonts w:cs="Arial"/>
        </w:rPr>
        <w:t xml:space="preserve"> (Tasmania) </w:t>
      </w:r>
      <w:r w:rsidR="006844AC">
        <w:rPr>
          <w:rFonts w:cs="Arial"/>
        </w:rPr>
        <w:t xml:space="preserve">has 8%. </w:t>
      </w:r>
    </w:p>
    <w:p w14:paraId="0DCEB3E8" w14:textId="77777777" w:rsidR="00A31984" w:rsidRPr="00325B09" w:rsidRDefault="00A31984" w:rsidP="00A31984">
      <w:pPr>
        <w:jc w:val="both"/>
        <w:rPr>
          <w:rFonts w:cs="Arial"/>
        </w:rPr>
      </w:pPr>
      <w:r w:rsidRPr="00325B09">
        <w:rPr>
          <w:rFonts w:cs="Arial"/>
        </w:rPr>
        <w:t xml:space="preserve">For </w:t>
      </w:r>
      <w:r w:rsidRPr="00325B09">
        <w:rPr>
          <w:rFonts w:cs="Arial"/>
          <w:b/>
        </w:rPr>
        <w:t>provider shrinkage</w:t>
      </w:r>
      <w:r w:rsidRPr="00325B09">
        <w:rPr>
          <w:rFonts w:cs="Arial"/>
        </w:rPr>
        <w:t xml:space="preserve">, the top 10% </w:t>
      </w:r>
      <w:r w:rsidR="00F277F7">
        <w:rPr>
          <w:rFonts w:cs="Arial"/>
        </w:rPr>
        <w:t>district</w:t>
      </w:r>
      <w:r w:rsidRPr="00325B09">
        <w:rPr>
          <w:rFonts w:cs="Arial"/>
        </w:rPr>
        <w:t>s are as follows.</w:t>
      </w:r>
    </w:p>
    <w:p w14:paraId="102A7985" w14:textId="4C0078A6" w:rsidR="00790C79" w:rsidRPr="00790C79" w:rsidRDefault="00790C79" w:rsidP="00790C79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790C79">
        <w:rPr>
          <w:rFonts w:cs="Arial"/>
        </w:rPr>
        <w:t>Barkly</w:t>
      </w:r>
      <w:r>
        <w:rPr>
          <w:rFonts w:cs="Arial"/>
        </w:rPr>
        <w:t xml:space="preserve"> (Northern Territory) has provider shrinkage of 0</w:t>
      </w:r>
      <w:r w:rsidRPr="00325B09">
        <w:rPr>
          <w:rFonts w:cs="Arial"/>
        </w:rPr>
        <w:t>% since the previous exposure period.</w:t>
      </w:r>
    </w:p>
    <w:p w14:paraId="24FE2EEB" w14:textId="2B204602" w:rsidR="00007BFF" w:rsidRDefault="00007BFF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East Arnhem (Northern Territory) has 7%. </w:t>
      </w:r>
    </w:p>
    <w:p w14:paraId="465AB873" w14:textId="492144E2" w:rsidR="00007BFF" w:rsidRDefault="00007BFF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Central North Metro (Western Australia) has 2%. </w:t>
      </w:r>
    </w:p>
    <w:p w14:paraId="1DEB0A21" w14:textId="401DCD94" w:rsidR="00790C79" w:rsidRDefault="00790C79" w:rsidP="00790C79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790C79">
        <w:rPr>
          <w:rFonts w:cs="Arial"/>
        </w:rPr>
        <w:t>Great Southern</w:t>
      </w:r>
      <w:r>
        <w:rPr>
          <w:rFonts w:cs="Arial"/>
        </w:rPr>
        <w:t xml:space="preserve"> (Western Australia) has 7%. </w:t>
      </w:r>
    </w:p>
    <w:p w14:paraId="515D97B6" w14:textId="7D948A92" w:rsidR="00007BFF" w:rsidRDefault="00007BFF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Midwest – Ga</w:t>
      </w:r>
      <w:r w:rsidR="00790C79">
        <w:rPr>
          <w:rFonts w:cs="Arial"/>
        </w:rPr>
        <w:t>scoyne (Western Australia) has 7</w:t>
      </w:r>
      <w:r>
        <w:rPr>
          <w:rFonts w:cs="Arial"/>
        </w:rPr>
        <w:t xml:space="preserve">%. </w:t>
      </w:r>
    </w:p>
    <w:p w14:paraId="4694FC59" w14:textId="7B43D478" w:rsidR="00790C79" w:rsidRPr="00790C79" w:rsidRDefault="00790C79" w:rsidP="00790C79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790C79">
        <w:rPr>
          <w:rFonts w:cs="Arial"/>
        </w:rPr>
        <w:t>North Metro</w:t>
      </w:r>
      <w:r>
        <w:rPr>
          <w:rFonts w:cs="Arial"/>
        </w:rPr>
        <w:t xml:space="preserve"> (Western Australia) has 10%. </w:t>
      </w:r>
    </w:p>
    <w:p w14:paraId="0E91F02B" w14:textId="743B0BEE" w:rsidR="00007BFF" w:rsidRDefault="00007BFF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South East</w:t>
      </w:r>
      <w:r w:rsidR="00790C79">
        <w:rPr>
          <w:rFonts w:cs="Arial"/>
        </w:rPr>
        <w:t xml:space="preserve"> Metro (Western Australia) has 5</w:t>
      </w:r>
      <w:r>
        <w:rPr>
          <w:rFonts w:cs="Arial"/>
        </w:rPr>
        <w:t xml:space="preserve">%. </w:t>
      </w:r>
    </w:p>
    <w:p w14:paraId="1845B1E8" w14:textId="507A623F" w:rsidR="00790C79" w:rsidRPr="00790C79" w:rsidRDefault="00790C79" w:rsidP="00790C79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790C79">
        <w:rPr>
          <w:rFonts w:cs="Arial"/>
        </w:rPr>
        <w:t>Wheat Belt</w:t>
      </w:r>
      <w:r>
        <w:rPr>
          <w:rFonts w:cs="Arial"/>
        </w:rPr>
        <w:t xml:space="preserve"> (Western Australia) has 7%. </w:t>
      </w:r>
    </w:p>
    <w:p w14:paraId="0FB76D4D" w14:textId="77777777" w:rsidR="00A31984" w:rsidRPr="00325B09" w:rsidRDefault="00A31984" w:rsidP="00A31984">
      <w:pPr>
        <w:jc w:val="both"/>
        <w:rPr>
          <w:rFonts w:cs="Arial"/>
        </w:rPr>
      </w:pPr>
      <w:r w:rsidRPr="00325B09">
        <w:rPr>
          <w:rFonts w:cs="Arial"/>
        </w:rPr>
        <w:t xml:space="preserve">The bottom 10% </w:t>
      </w:r>
      <w:r w:rsidR="00F277F7">
        <w:rPr>
          <w:rFonts w:cs="Arial"/>
        </w:rPr>
        <w:t>district</w:t>
      </w:r>
      <w:r w:rsidRPr="00325B09">
        <w:rPr>
          <w:rFonts w:cs="Arial"/>
        </w:rPr>
        <w:t>s are as follows.</w:t>
      </w:r>
    </w:p>
    <w:p w14:paraId="0AE8E7FC" w14:textId="4F27C5E4" w:rsidR="00A31984" w:rsidRPr="00325B09" w:rsidRDefault="004A24D1" w:rsidP="004A24D1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4A24D1">
        <w:rPr>
          <w:rFonts w:cs="Arial"/>
        </w:rPr>
        <w:t>Barwon</w:t>
      </w:r>
      <w:r w:rsidR="00A31984" w:rsidRPr="00325B09">
        <w:rPr>
          <w:rFonts w:cs="Arial"/>
        </w:rPr>
        <w:t xml:space="preserve"> (</w:t>
      </w:r>
      <w:r>
        <w:rPr>
          <w:rFonts w:cs="Arial"/>
        </w:rPr>
        <w:t>Victoria) has provider shrinkage of 33</w:t>
      </w:r>
      <w:r w:rsidR="00A31984" w:rsidRPr="00325B09">
        <w:rPr>
          <w:rFonts w:cs="Arial"/>
        </w:rPr>
        <w:t>% since the previous exposure period.</w:t>
      </w:r>
    </w:p>
    <w:p w14:paraId="66BB2D66" w14:textId="16095509" w:rsidR="004A24D1" w:rsidRDefault="004A24D1" w:rsidP="004A24D1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4A24D1">
        <w:rPr>
          <w:rFonts w:cs="Arial"/>
        </w:rPr>
        <w:t>Bayside Peninsula</w:t>
      </w:r>
      <w:r>
        <w:rPr>
          <w:rFonts w:cs="Arial"/>
        </w:rPr>
        <w:t xml:space="preserve"> (Victoria) has 31%.</w:t>
      </w:r>
    </w:p>
    <w:p w14:paraId="7F0FFA2E" w14:textId="52F7D3B7" w:rsidR="004A24D1" w:rsidRDefault="004A24D1" w:rsidP="004A24D1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4A24D1">
        <w:rPr>
          <w:rFonts w:cs="Arial"/>
        </w:rPr>
        <w:lastRenderedPageBreak/>
        <w:t>Inner Gippsland</w:t>
      </w:r>
      <w:r>
        <w:rPr>
          <w:rFonts w:cs="Arial"/>
        </w:rPr>
        <w:t xml:space="preserve"> (Victoria) has 33%.</w:t>
      </w:r>
    </w:p>
    <w:p w14:paraId="0881EBF9" w14:textId="15CD6388" w:rsidR="004A24D1" w:rsidRDefault="004A24D1" w:rsidP="004A24D1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4A24D1">
        <w:rPr>
          <w:rFonts w:cs="Arial"/>
        </w:rPr>
        <w:t>Ovens Murray</w:t>
      </w:r>
      <w:r>
        <w:rPr>
          <w:rFonts w:cs="Arial"/>
        </w:rPr>
        <w:t xml:space="preserve"> (Victoria) has 34%.</w:t>
      </w:r>
    </w:p>
    <w:p w14:paraId="58219E95" w14:textId="605393FE" w:rsidR="00007BFF" w:rsidRDefault="00007BFF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We</w:t>
      </w:r>
      <w:r w:rsidR="004A24D1">
        <w:rPr>
          <w:rFonts w:cs="Arial"/>
        </w:rPr>
        <w:t>stern District (Victoria) has 30</w:t>
      </w:r>
      <w:r>
        <w:rPr>
          <w:rFonts w:cs="Arial"/>
        </w:rPr>
        <w:t xml:space="preserve">%. </w:t>
      </w:r>
    </w:p>
    <w:p w14:paraId="170A1994" w14:textId="2FDA6751" w:rsidR="00007BFF" w:rsidRDefault="00007BFF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Limeston</w:t>
      </w:r>
      <w:r w:rsidR="004A24D1">
        <w:rPr>
          <w:rFonts w:cs="Arial"/>
        </w:rPr>
        <w:t>e Coast (South Australia) has 47</w:t>
      </w:r>
      <w:r>
        <w:rPr>
          <w:rFonts w:cs="Arial"/>
        </w:rPr>
        <w:t xml:space="preserve">%. </w:t>
      </w:r>
    </w:p>
    <w:p w14:paraId="68BA657E" w14:textId="07511A22" w:rsidR="004A24D1" w:rsidRDefault="004A24D1" w:rsidP="004A24D1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4A24D1">
        <w:rPr>
          <w:rFonts w:cs="Arial"/>
        </w:rPr>
        <w:t>TAS North</w:t>
      </w:r>
      <w:r>
        <w:rPr>
          <w:rFonts w:cs="Arial"/>
        </w:rPr>
        <w:t xml:space="preserve"> (Tasmania) has 35%.</w:t>
      </w:r>
    </w:p>
    <w:p w14:paraId="5A0B51D8" w14:textId="5BFFF807" w:rsidR="00007BFF" w:rsidRDefault="004A24D1" w:rsidP="004A24D1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4A24D1">
        <w:rPr>
          <w:rFonts w:cs="Arial"/>
        </w:rPr>
        <w:t>Kimberley-Pilbara</w:t>
      </w:r>
      <w:r w:rsidR="00007BFF">
        <w:rPr>
          <w:rFonts w:cs="Arial"/>
        </w:rPr>
        <w:t xml:space="preserve"> (</w:t>
      </w:r>
      <w:r>
        <w:rPr>
          <w:rFonts w:cs="Arial"/>
        </w:rPr>
        <w:t>Western Australia) has 31</w:t>
      </w:r>
      <w:r w:rsidR="00007BFF">
        <w:rPr>
          <w:rFonts w:cs="Arial"/>
        </w:rPr>
        <w:t xml:space="preserve">%. </w:t>
      </w:r>
    </w:p>
    <w:p w14:paraId="7F4FB796" w14:textId="77777777" w:rsidR="00A31984" w:rsidRPr="00325B09" w:rsidRDefault="00A31984" w:rsidP="00A31984">
      <w:pPr>
        <w:jc w:val="both"/>
        <w:rPr>
          <w:rFonts w:cs="Arial"/>
        </w:rPr>
      </w:pPr>
      <w:r w:rsidRPr="00325B09">
        <w:rPr>
          <w:rFonts w:cs="Arial"/>
        </w:rPr>
        <w:t xml:space="preserve">For </w:t>
      </w:r>
      <w:r w:rsidRPr="00325B09">
        <w:rPr>
          <w:rFonts w:cs="Arial"/>
          <w:b/>
        </w:rPr>
        <w:t>utilisation</w:t>
      </w:r>
      <w:r w:rsidRPr="00325B09">
        <w:rPr>
          <w:rFonts w:cs="Arial"/>
        </w:rPr>
        <w:t xml:space="preserve">, the top 10% </w:t>
      </w:r>
      <w:r w:rsidR="00F277F7">
        <w:rPr>
          <w:rFonts w:cs="Arial"/>
        </w:rPr>
        <w:t>district</w:t>
      </w:r>
      <w:r w:rsidRPr="00325B09">
        <w:rPr>
          <w:rFonts w:cs="Arial"/>
        </w:rPr>
        <w:t>s are as follows.</w:t>
      </w:r>
    </w:p>
    <w:p w14:paraId="219B18CE" w14:textId="50FB39C7" w:rsidR="00480B75" w:rsidRPr="00480B75" w:rsidRDefault="00480B75" w:rsidP="00480B75">
      <w:pPr>
        <w:pStyle w:val="ListParagraph"/>
        <w:numPr>
          <w:ilvl w:val="0"/>
          <w:numId w:val="16"/>
        </w:numPr>
        <w:jc w:val="both"/>
        <w:rPr>
          <w:rFonts w:cs="Arial"/>
        </w:rPr>
      </w:pPr>
      <w:r>
        <w:rPr>
          <w:rFonts w:cs="Arial"/>
        </w:rPr>
        <w:t xml:space="preserve">South Eastern Sydney (New South Wales) has utilisation of 67%. </w:t>
      </w:r>
    </w:p>
    <w:p w14:paraId="1A96A525" w14:textId="50E4609B" w:rsidR="00263733" w:rsidRDefault="00263733" w:rsidP="00A31984">
      <w:pPr>
        <w:pStyle w:val="ListParagraph"/>
        <w:numPr>
          <w:ilvl w:val="0"/>
          <w:numId w:val="16"/>
        </w:numPr>
        <w:jc w:val="both"/>
        <w:rPr>
          <w:rFonts w:cs="Arial"/>
        </w:rPr>
      </w:pPr>
      <w:r>
        <w:rPr>
          <w:rFonts w:cs="Arial"/>
        </w:rPr>
        <w:t xml:space="preserve">South Western Sydney (New South Wales) has 71%. </w:t>
      </w:r>
    </w:p>
    <w:p w14:paraId="2C6DD13F" w14:textId="246F0523" w:rsidR="00263733" w:rsidRDefault="00263733" w:rsidP="00A31984">
      <w:pPr>
        <w:pStyle w:val="ListParagraph"/>
        <w:numPr>
          <w:ilvl w:val="0"/>
          <w:numId w:val="16"/>
        </w:numPr>
        <w:jc w:val="both"/>
        <w:rPr>
          <w:rFonts w:cs="Arial"/>
        </w:rPr>
      </w:pPr>
      <w:r>
        <w:rPr>
          <w:rFonts w:cs="Arial"/>
        </w:rPr>
        <w:t>Western</w:t>
      </w:r>
      <w:r w:rsidR="00480B75">
        <w:rPr>
          <w:rFonts w:cs="Arial"/>
        </w:rPr>
        <w:t xml:space="preserve"> Sydney (New South Wales) has 69</w:t>
      </w:r>
      <w:r>
        <w:rPr>
          <w:rFonts w:cs="Arial"/>
        </w:rPr>
        <w:t xml:space="preserve">%. </w:t>
      </w:r>
    </w:p>
    <w:p w14:paraId="6C37E8BB" w14:textId="748B9052" w:rsidR="00480B75" w:rsidRDefault="00480B75" w:rsidP="00480B75">
      <w:pPr>
        <w:pStyle w:val="ListParagraph"/>
        <w:numPr>
          <w:ilvl w:val="0"/>
          <w:numId w:val="16"/>
        </w:numPr>
        <w:jc w:val="both"/>
        <w:rPr>
          <w:rFonts w:cs="Arial"/>
        </w:rPr>
      </w:pPr>
      <w:r w:rsidRPr="00480B75">
        <w:rPr>
          <w:rFonts w:cs="Arial"/>
        </w:rPr>
        <w:t>Beenleigh</w:t>
      </w:r>
      <w:r>
        <w:rPr>
          <w:rFonts w:cs="Arial"/>
        </w:rPr>
        <w:t xml:space="preserve"> (Queensland) has 64%.</w:t>
      </w:r>
    </w:p>
    <w:p w14:paraId="292C968C" w14:textId="6F6DBE65" w:rsidR="00480B75" w:rsidRPr="00480B75" w:rsidRDefault="00480B75" w:rsidP="00480B75">
      <w:pPr>
        <w:pStyle w:val="ListParagraph"/>
        <w:numPr>
          <w:ilvl w:val="0"/>
          <w:numId w:val="16"/>
        </w:numPr>
        <w:jc w:val="both"/>
        <w:rPr>
          <w:rFonts w:cs="Arial"/>
        </w:rPr>
      </w:pPr>
      <w:r w:rsidRPr="00480B75">
        <w:rPr>
          <w:rFonts w:cs="Arial"/>
        </w:rPr>
        <w:t>Brisbane</w:t>
      </w:r>
      <w:r>
        <w:rPr>
          <w:rFonts w:cs="Arial"/>
        </w:rPr>
        <w:t xml:space="preserve"> (Queensland) has 63%.</w:t>
      </w:r>
    </w:p>
    <w:p w14:paraId="735C3571" w14:textId="365E6E79" w:rsidR="00263733" w:rsidRDefault="00263733" w:rsidP="00A31984">
      <w:pPr>
        <w:pStyle w:val="ListParagraph"/>
        <w:numPr>
          <w:ilvl w:val="0"/>
          <w:numId w:val="16"/>
        </w:numPr>
        <w:jc w:val="both"/>
        <w:rPr>
          <w:rFonts w:cs="Arial"/>
        </w:rPr>
      </w:pPr>
      <w:r>
        <w:rPr>
          <w:rFonts w:cs="Arial"/>
        </w:rPr>
        <w:t>M</w:t>
      </w:r>
      <w:r w:rsidR="00480B75">
        <w:rPr>
          <w:rFonts w:cs="Arial"/>
        </w:rPr>
        <w:t>aroochydore (Queensland) has 63</w:t>
      </w:r>
      <w:r>
        <w:rPr>
          <w:rFonts w:cs="Arial"/>
        </w:rPr>
        <w:t xml:space="preserve">%. </w:t>
      </w:r>
    </w:p>
    <w:p w14:paraId="326BD0C2" w14:textId="3E70A04C" w:rsidR="00263733" w:rsidRDefault="00480B75" w:rsidP="00A31984">
      <w:pPr>
        <w:pStyle w:val="ListParagraph"/>
        <w:numPr>
          <w:ilvl w:val="0"/>
          <w:numId w:val="16"/>
        </w:numPr>
        <w:jc w:val="both"/>
        <w:rPr>
          <w:rFonts w:cs="Arial"/>
        </w:rPr>
      </w:pPr>
      <w:r>
        <w:rPr>
          <w:rFonts w:cs="Arial"/>
        </w:rPr>
        <w:t>Robina (Queensland) has 66</w:t>
      </w:r>
      <w:r w:rsidR="00263733">
        <w:rPr>
          <w:rFonts w:cs="Arial"/>
        </w:rPr>
        <w:t xml:space="preserve">%. </w:t>
      </w:r>
    </w:p>
    <w:p w14:paraId="2EB8FAAD" w14:textId="7B6C264C" w:rsidR="00263733" w:rsidRDefault="00480B75" w:rsidP="00480B75">
      <w:pPr>
        <w:pStyle w:val="ListParagraph"/>
        <w:numPr>
          <w:ilvl w:val="0"/>
          <w:numId w:val="16"/>
        </w:numPr>
        <w:jc w:val="both"/>
        <w:rPr>
          <w:rFonts w:cs="Arial"/>
        </w:rPr>
      </w:pPr>
      <w:r w:rsidRPr="00480B75">
        <w:rPr>
          <w:rFonts w:cs="Arial"/>
        </w:rPr>
        <w:t xml:space="preserve">Great Southern </w:t>
      </w:r>
      <w:r>
        <w:rPr>
          <w:rFonts w:cs="Arial"/>
        </w:rPr>
        <w:t>(Western Australia) has 56</w:t>
      </w:r>
      <w:r w:rsidR="00263733">
        <w:rPr>
          <w:rFonts w:cs="Arial"/>
        </w:rPr>
        <w:t xml:space="preserve">%. </w:t>
      </w:r>
    </w:p>
    <w:p w14:paraId="50DD2E87" w14:textId="77777777" w:rsidR="00A31984" w:rsidRPr="00984998" w:rsidRDefault="00A31984" w:rsidP="00A31984">
      <w:pPr>
        <w:jc w:val="both"/>
        <w:rPr>
          <w:rFonts w:cs="Arial"/>
        </w:rPr>
      </w:pPr>
      <w:r w:rsidRPr="00984998">
        <w:rPr>
          <w:rFonts w:cs="Arial"/>
        </w:rPr>
        <w:t xml:space="preserve">The bottom 10% </w:t>
      </w:r>
      <w:r w:rsidR="00F277F7" w:rsidRPr="00984998">
        <w:rPr>
          <w:rFonts w:cs="Arial"/>
        </w:rPr>
        <w:t>district</w:t>
      </w:r>
      <w:r w:rsidRPr="00984998">
        <w:rPr>
          <w:rFonts w:cs="Arial"/>
        </w:rPr>
        <w:t>s are as follows.</w:t>
      </w:r>
    </w:p>
    <w:p w14:paraId="5CF17336" w14:textId="551F5F40" w:rsidR="00263733" w:rsidRDefault="00263733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Eyre and Western (South </w:t>
      </w:r>
      <w:r w:rsidR="00984998">
        <w:rPr>
          <w:rFonts w:cs="Arial"/>
        </w:rPr>
        <w:t>Australia) has utilisation of 46</w:t>
      </w:r>
      <w:r>
        <w:rPr>
          <w:rFonts w:cs="Arial"/>
        </w:rPr>
        <w:t xml:space="preserve">%. </w:t>
      </w:r>
    </w:p>
    <w:p w14:paraId="03DF6BC3" w14:textId="77D010D3" w:rsidR="00263733" w:rsidRDefault="00263733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Fa</w:t>
      </w:r>
      <w:r w:rsidR="00984998">
        <w:rPr>
          <w:rFonts w:cs="Arial"/>
        </w:rPr>
        <w:t>r North (South Australia) has 34</w:t>
      </w:r>
      <w:r>
        <w:rPr>
          <w:rFonts w:cs="Arial"/>
        </w:rPr>
        <w:t xml:space="preserve">%. </w:t>
      </w:r>
    </w:p>
    <w:p w14:paraId="1A3F489E" w14:textId="2204C958" w:rsidR="00263733" w:rsidRDefault="00984998" w:rsidP="00984998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984998">
        <w:rPr>
          <w:rFonts w:cs="Arial"/>
        </w:rPr>
        <w:t xml:space="preserve">Murray and Mallee </w:t>
      </w:r>
      <w:r>
        <w:rPr>
          <w:rFonts w:cs="Arial"/>
        </w:rPr>
        <w:t>(South Australia) has 47</w:t>
      </w:r>
      <w:r w:rsidR="00263733">
        <w:rPr>
          <w:rFonts w:cs="Arial"/>
        </w:rPr>
        <w:t xml:space="preserve">%. </w:t>
      </w:r>
    </w:p>
    <w:p w14:paraId="7BE467B8" w14:textId="648C66F5" w:rsidR="00263733" w:rsidRDefault="00263733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Ba</w:t>
      </w:r>
      <w:r w:rsidR="00984998">
        <w:rPr>
          <w:rFonts w:cs="Arial"/>
        </w:rPr>
        <w:t>rkly (Northern Territory) has 37</w:t>
      </w:r>
      <w:r>
        <w:rPr>
          <w:rFonts w:cs="Arial"/>
        </w:rPr>
        <w:t xml:space="preserve">%. </w:t>
      </w:r>
    </w:p>
    <w:p w14:paraId="7108446A" w14:textId="1E7374CF" w:rsidR="00263733" w:rsidRDefault="00263733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Darwin Re</w:t>
      </w:r>
      <w:r w:rsidR="00984998">
        <w:rPr>
          <w:rFonts w:cs="Arial"/>
        </w:rPr>
        <w:t>mote (Northern Territory) has 38</w:t>
      </w:r>
      <w:r>
        <w:rPr>
          <w:rFonts w:cs="Arial"/>
        </w:rPr>
        <w:t xml:space="preserve">%. </w:t>
      </w:r>
    </w:p>
    <w:p w14:paraId="4E0051C5" w14:textId="608E9519" w:rsidR="00263733" w:rsidRDefault="00263733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East Ar</w:t>
      </w:r>
      <w:r w:rsidR="00984998">
        <w:rPr>
          <w:rFonts w:cs="Arial"/>
        </w:rPr>
        <w:t>nhem (Northern Territory) has 38</w:t>
      </w:r>
      <w:r>
        <w:rPr>
          <w:rFonts w:cs="Arial"/>
        </w:rPr>
        <w:t xml:space="preserve">%. </w:t>
      </w:r>
    </w:p>
    <w:p w14:paraId="58FACB74" w14:textId="194CE6A0" w:rsidR="00984998" w:rsidRDefault="00984998" w:rsidP="00984998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984998">
        <w:rPr>
          <w:rFonts w:cs="Arial"/>
        </w:rPr>
        <w:t>Katherine</w:t>
      </w:r>
      <w:r>
        <w:rPr>
          <w:rFonts w:cs="Arial"/>
        </w:rPr>
        <w:t xml:space="preserve"> (Northern Territory) has 47%.</w:t>
      </w:r>
    </w:p>
    <w:p w14:paraId="12CC80F5" w14:textId="54521519" w:rsidR="00263733" w:rsidRDefault="00984998" w:rsidP="00984998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984998">
        <w:rPr>
          <w:rFonts w:cs="Arial"/>
        </w:rPr>
        <w:t xml:space="preserve">Kimberley-Pilbara </w:t>
      </w:r>
      <w:r w:rsidR="00263733">
        <w:rPr>
          <w:rFonts w:cs="Arial"/>
        </w:rPr>
        <w:t xml:space="preserve">(Western Australia) has 43%. </w:t>
      </w:r>
    </w:p>
    <w:p w14:paraId="569419FE" w14:textId="77777777" w:rsidR="00A31984" w:rsidRPr="00C6228A" w:rsidRDefault="00A31984" w:rsidP="00A31984">
      <w:pPr>
        <w:jc w:val="both"/>
        <w:rPr>
          <w:rFonts w:cs="Arial"/>
        </w:rPr>
      </w:pPr>
      <w:r w:rsidRPr="00C6228A">
        <w:rPr>
          <w:rFonts w:cs="Arial"/>
        </w:rPr>
        <w:t xml:space="preserve">For </w:t>
      </w:r>
      <w:r w:rsidRPr="00C6228A">
        <w:rPr>
          <w:rFonts w:cs="Arial"/>
          <w:b/>
        </w:rPr>
        <w:t>outcomes indicator on choice and control</w:t>
      </w:r>
      <w:r w:rsidRPr="00C6228A">
        <w:rPr>
          <w:rFonts w:cs="Arial"/>
        </w:rPr>
        <w:t xml:space="preserve">, the top 10% </w:t>
      </w:r>
      <w:r w:rsidR="00F277F7">
        <w:rPr>
          <w:rFonts w:cs="Arial"/>
        </w:rPr>
        <w:t>district</w:t>
      </w:r>
      <w:r w:rsidRPr="00C6228A">
        <w:rPr>
          <w:rFonts w:cs="Arial"/>
        </w:rPr>
        <w:t>s are as follows.</w:t>
      </w:r>
    </w:p>
    <w:p w14:paraId="0C3B25CD" w14:textId="4EB709FA" w:rsidR="00263733" w:rsidRDefault="00263733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Barwon (Victoria) has an outcomes indicator on choice and control of 67%. </w:t>
      </w:r>
    </w:p>
    <w:p w14:paraId="5F068FBD" w14:textId="60FE235D" w:rsidR="00263733" w:rsidRDefault="00263733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I</w:t>
      </w:r>
      <w:r w:rsidR="0040188E">
        <w:rPr>
          <w:rFonts w:cs="Arial"/>
        </w:rPr>
        <w:t>nner Gippsland (Victoria) has 65</w:t>
      </w:r>
      <w:r>
        <w:rPr>
          <w:rFonts w:cs="Arial"/>
        </w:rPr>
        <w:t xml:space="preserve">%. </w:t>
      </w:r>
    </w:p>
    <w:p w14:paraId="14922839" w14:textId="71DBB910" w:rsidR="00263733" w:rsidRDefault="00263733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Eyre and </w:t>
      </w:r>
      <w:r w:rsidR="0040188E">
        <w:rPr>
          <w:rFonts w:cs="Arial"/>
        </w:rPr>
        <w:t>Western (South Australia) has 66</w:t>
      </w:r>
      <w:r>
        <w:rPr>
          <w:rFonts w:cs="Arial"/>
        </w:rPr>
        <w:t xml:space="preserve">%. </w:t>
      </w:r>
    </w:p>
    <w:p w14:paraId="15579925" w14:textId="179A9E15" w:rsidR="0040188E" w:rsidRDefault="0040188E" w:rsidP="0040188E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40188E">
        <w:rPr>
          <w:rFonts w:cs="Arial"/>
        </w:rPr>
        <w:t>Fleurieu and Kangaroo Island</w:t>
      </w:r>
      <w:r>
        <w:rPr>
          <w:rFonts w:cs="Arial"/>
        </w:rPr>
        <w:t xml:space="preserve"> (South Australia) has 66%.</w:t>
      </w:r>
    </w:p>
    <w:p w14:paraId="3A686082" w14:textId="26BF162A" w:rsidR="00263733" w:rsidRDefault="00263733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Limeston</w:t>
      </w:r>
      <w:r w:rsidR="0040188E">
        <w:rPr>
          <w:rFonts w:cs="Arial"/>
        </w:rPr>
        <w:t>e Coast (South Australia) has 66</w:t>
      </w:r>
      <w:r>
        <w:rPr>
          <w:rFonts w:cs="Arial"/>
        </w:rPr>
        <w:t xml:space="preserve">%. </w:t>
      </w:r>
    </w:p>
    <w:p w14:paraId="0BC200A2" w14:textId="23DF00F7" w:rsidR="0040188E" w:rsidRPr="0040188E" w:rsidRDefault="0040188E" w:rsidP="0040188E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40188E">
        <w:rPr>
          <w:rFonts w:cs="Arial"/>
        </w:rPr>
        <w:t>Murray and Mallee</w:t>
      </w:r>
      <w:r>
        <w:rPr>
          <w:rFonts w:cs="Arial"/>
        </w:rPr>
        <w:t xml:space="preserve"> (South Australia) has 65%. </w:t>
      </w:r>
    </w:p>
    <w:p w14:paraId="7E1A9F5D" w14:textId="398AB4F1" w:rsidR="00263733" w:rsidRDefault="00263733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Aus</w:t>
      </w:r>
      <w:r w:rsidR="0040188E">
        <w:rPr>
          <w:rFonts w:cs="Arial"/>
        </w:rPr>
        <w:t>tralian Capital Territory has 68</w:t>
      </w:r>
      <w:r>
        <w:rPr>
          <w:rFonts w:cs="Arial"/>
        </w:rPr>
        <w:t xml:space="preserve">%. </w:t>
      </w:r>
    </w:p>
    <w:p w14:paraId="49C59D07" w14:textId="3E9D79F3" w:rsidR="00263733" w:rsidRDefault="00263733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Barkly (Northern Territory) has 71%. </w:t>
      </w:r>
    </w:p>
    <w:p w14:paraId="4A879AD5" w14:textId="77777777" w:rsidR="00A31984" w:rsidRPr="00C6228A" w:rsidRDefault="00A31984" w:rsidP="00A31984">
      <w:pPr>
        <w:jc w:val="both"/>
        <w:rPr>
          <w:rFonts w:cs="Arial"/>
        </w:rPr>
      </w:pPr>
      <w:r w:rsidRPr="00C6228A">
        <w:rPr>
          <w:rFonts w:cs="Arial"/>
        </w:rPr>
        <w:t xml:space="preserve">The bottom 10% </w:t>
      </w:r>
      <w:r w:rsidR="00F277F7">
        <w:rPr>
          <w:rFonts w:cs="Arial"/>
        </w:rPr>
        <w:t>district</w:t>
      </w:r>
      <w:r w:rsidRPr="00C6228A">
        <w:rPr>
          <w:rFonts w:cs="Arial"/>
        </w:rPr>
        <w:t>s are as follows.</w:t>
      </w:r>
    </w:p>
    <w:p w14:paraId="004065AC" w14:textId="2BEDC636" w:rsidR="00263733" w:rsidRDefault="00263733" w:rsidP="00263733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South Eastern Sydney (New South Wales) has an outcomes indic</w:t>
      </w:r>
      <w:r w:rsidR="0085182A">
        <w:rPr>
          <w:rFonts w:cs="Arial"/>
        </w:rPr>
        <w:t>ator on choice and control of 48</w:t>
      </w:r>
      <w:r>
        <w:rPr>
          <w:rFonts w:cs="Arial"/>
        </w:rPr>
        <w:t xml:space="preserve">%. </w:t>
      </w:r>
    </w:p>
    <w:p w14:paraId="41892471" w14:textId="14D88731" w:rsidR="00263733" w:rsidRDefault="00263733" w:rsidP="00263733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South Western Sydney (New South Wales) has 46%. </w:t>
      </w:r>
    </w:p>
    <w:p w14:paraId="378DDA85" w14:textId="29CF5075" w:rsidR="00263733" w:rsidRDefault="00263733" w:rsidP="00263733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Central Austr</w:t>
      </w:r>
      <w:r w:rsidR="0085182A">
        <w:rPr>
          <w:rFonts w:cs="Arial"/>
        </w:rPr>
        <w:t>alia (Northern Territory) has 47</w:t>
      </w:r>
      <w:r>
        <w:rPr>
          <w:rFonts w:cs="Arial"/>
        </w:rPr>
        <w:t xml:space="preserve">%. </w:t>
      </w:r>
    </w:p>
    <w:p w14:paraId="5E69499A" w14:textId="1E2FA59F" w:rsidR="00263733" w:rsidRDefault="00263733" w:rsidP="00263733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Darwin Re</w:t>
      </w:r>
      <w:r w:rsidR="0085182A">
        <w:rPr>
          <w:rFonts w:cs="Arial"/>
        </w:rPr>
        <w:t>mote (Northern Territory) has 36</w:t>
      </w:r>
      <w:r>
        <w:rPr>
          <w:rFonts w:cs="Arial"/>
        </w:rPr>
        <w:t xml:space="preserve">%. </w:t>
      </w:r>
    </w:p>
    <w:p w14:paraId="7CC7EBFC" w14:textId="73C22E9D" w:rsidR="00263733" w:rsidRDefault="00263733" w:rsidP="00263733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East Ar</w:t>
      </w:r>
      <w:r w:rsidR="0085182A">
        <w:rPr>
          <w:rFonts w:cs="Arial"/>
        </w:rPr>
        <w:t>nhem (Northern Territory) has 45</w:t>
      </w:r>
      <w:r>
        <w:rPr>
          <w:rFonts w:cs="Arial"/>
        </w:rPr>
        <w:t xml:space="preserve">%. </w:t>
      </w:r>
    </w:p>
    <w:p w14:paraId="0D1EF830" w14:textId="4B6AB2F1" w:rsidR="00263733" w:rsidRDefault="00263733" w:rsidP="00263733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Kathe</w:t>
      </w:r>
      <w:r w:rsidR="0085182A">
        <w:rPr>
          <w:rFonts w:cs="Arial"/>
        </w:rPr>
        <w:t>rine (Northern Territory) has 35</w:t>
      </w:r>
      <w:r>
        <w:rPr>
          <w:rFonts w:cs="Arial"/>
        </w:rPr>
        <w:t xml:space="preserve">%. </w:t>
      </w:r>
    </w:p>
    <w:p w14:paraId="575FB219" w14:textId="7CE8F23F" w:rsidR="0085182A" w:rsidRPr="0085182A" w:rsidRDefault="0085182A" w:rsidP="0085182A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85182A">
        <w:rPr>
          <w:rFonts w:cs="Arial"/>
        </w:rPr>
        <w:t>Central North Metro</w:t>
      </w:r>
      <w:r>
        <w:rPr>
          <w:rFonts w:cs="Arial"/>
        </w:rPr>
        <w:t xml:space="preserve"> (Western Australia) has 48%.</w:t>
      </w:r>
    </w:p>
    <w:p w14:paraId="56438BE1" w14:textId="60C20A40" w:rsidR="00263733" w:rsidRDefault="00263733" w:rsidP="00263733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Goldfields – Espe</w:t>
      </w:r>
      <w:r w:rsidR="0085182A">
        <w:rPr>
          <w:rFonts w:cs="Arial"/>
        </w:rPr>
        <w:t>rance (Western Australia) has 46</w:t>
      </w:r>
      <w:r>
        <w:rPr>
          <w:rFonts w:cs="Arial"/>
        </w:rPr>
        <w:t xml:space="preserve">%. </w:t>
      </w:r>
    </w:p>
    <w:p w14:paraId="648A392C" w14:textId="77777777" w:rsidR="00A31984" w:rsidRPr="00A31984" w:rsidRDefault="00A31984" w:rsidP="00A31984">
      <w:pPr>
        <w:jc w:val="both"/>
        <w:rPr>
          <w:rFonts w:cs="Arial"/>
          <w:highlight w:val="yellow"/>
        </w:rPr>
      </w:pPr>
    </w:p>
    <w:p w14:paraId="25C0324A" w14:textId="77777777" w:rsidR="00A31984" w:rsidRPr="0059208F" w:rsidRDefault="00A31984" w:rsidP="00A31984">
      <w:pPr>
        <w:jc w:val="both"/>
        <w:rPr>
          <w:rFonts w:cs="Arial"/>
        </w:rPr>
      </w:pPr>
      <w:r w:rsidRPr="0059208F">
        <w:rPr>
          <w:rFonts w:cs="Arial"/>
        </w:rPr>
        <w:lastRenderedPageBreak/>
        <w:t xml:space="preserve">For </w:t>
      </w:r>
      <w:r w:rsidRPr="0059208F">
        <w:rPr>
          <w:rFonts w:cs="Arial"/>
          <w:b/>
        </w:rPr>
        <w:t>“</w:t>
      </w:r>
      <w:r w:rsidR="00F277F7">
        <w:rPr>
          <w:rFonts w:cs="Arial"/>
          <w:b/>
        </w:rPr>
        <w:t>Has the NDIS helped with choice and control</w:t>
      </w:r>
      <w:r w:rsidRPr="0059208F">
        <w:rPr>
          <w:rFonts w:cs="Arial"/>
          <w:b/>
        </w:rPr>
        <w:t>?” indicator</w:t>
      </w:r>
      <w:r w:rsidRPr="0059208F">
        <w:rPr>
          <w:rFonts w:cs="Arial"/>
        </w:rPr>
        <w:t xml:space="preserve">, the top 10% </w:t>
      </w:r>
      <w:r w:rsidR="00F277F7">
        <w:rPr>
          <w:rFonts w:cs="Arial"/>
        </w:rPr>
        <w:t>district</w:t>
      </w:r>
      <w:r w:rsidRPr="0059208F">
        <w:rPr>
          <w:rFonts w:cs="Arial"/>
        </w:rPr>
        <w:t>s are as follows.</w:t>
      </w:r>
    </w:p>
    <w:p w14:paraId="59560A89" w14:textId="61AC7988" w:rsidR="00A31984" w:rsidRPr="0059208F" w:rsidRDefault="001A390D" w:rsidP="001A390D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1A390D">
        <w:rPr>
          <w:rFonts w:cs="Arial"/>
        </w:rPr>
        <w:t>Far West</w:t>
      </w:r>
      <w:r w:rsidR="00A31984" w:rsidRPr="0059208F">
        <w:rPr>
          <w:rFonts w:cs="Arial"/>
        </w:rPr>
        <w:t xml:space="preserve"> (New Sou</w:t>
      </w:r>
      <w:r>
        <w:rPr>
          <w:rFonts w:cs="Arial"/>
        </w:rPr>
        <w:t>th Wales) has an indicator of 82</w:t>
      </w:r>
      <w:r w:rsidR="00A31984" w:rsidRPr="0059208F">
        <w:rPr>
          <w:rFonts w:cs="Arial"/>
        </w:rPr>
        <w:t>%.</w:t>
      </w:r>
    </w:p>
    <w:p w14:paraId="54DF18D0" w14:textId="6119343E" w:rsidR="00A31984" w:rsidRDefault="001A390D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Beenleigh (Queensland) has 80</w:t>
      </w:r>
      <w:r w:rsidR="00A31984" w:rsidRPr="0059208F">
        <w:rPr>
          <w:rFonts w:cs="Arial"/>
        </w:rPr>
        <w:t>%.</w:t>
      </w:r>
    </w:p>
    <w:p w14:paraId="1EF61C4C" w14:textId="3C64051F" w:rsidR="001A390D" w:rsidRPr="001A390D" w:rsidRDefault="001A390D" w:rsidP="001A390D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1A390D">
        <w:rPr>
          <w:rFonts w:cs="Arial"/>
        </w:rPr>
        <w:t>Brisbane</w:t>
      </w:r>
      <w:r>
        <w:rPr>
          <w:rFonts w:cs="Arial"/>
        </w:rPr>
        <w:t xml:space="preserve"> (Queensland) has 79</w:t>
      </w:r>
      <w:r w:rsidRPr="0059208F">
        <w:rPr>
          <w:rFonts w:cs="Arial"/>
        </w:rPr>
        <w:t>%.</w:t>
      </w:r>
    </w:p>
    <w:p w14:paraId="0DC7C4BF" w14:textId="75FC9B25" w:rsidR="00A31984" w:rsidRPr="0059208F" w:rsidRDefault="00A31984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59208F">
        <w:rPr>
          <w:rFonts w:cs="Arial"/>
        </w:rPr>
        <w:t>Bundaberg (Queensland) has 7</w:t>
      </w:r>
      <w:r w:rsidR="001A390D">
        <w:rPr>
          <w:rFonts w:cs="Arial"/>
        </w:rPr>
        <w:t>9</w:t>
      </w:r>
      <w:r w:rsidRPr="0059208F">
        <w:rPr>
          <w:rFonts w:cs="Arial"/>
        </w:rPr>
        <w:t>%.</w:t>
      </w:r>
    </w:p>
    <w:p w14:paraId="03F9C456" w14:textId="1232CC2D" w:rsidR="00A14589" w:rsidRDefault="00A14589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Maroochydore (Queensland) has 82%. </w:t>
      </w:r>
    </w:p>
    <w:p w14:paraId="43D39D6A" w14:textId="379EA39D" w:rsidR="00A31984" w:rsidRPr="0059208F" w:rsidRDefault="001A390D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Maryborough (Queensland) has 79</w:t>
      </w:r>
      <w:r w:rsidR="00A31984" w:rsidRPr="0059208F">
        <w:rPr>
          <w:rFonts w:cs="Arial"/>
        </w:rPr>
        <w:t>%.</w:t>
      </w:r>
    </w:p>
    <w:p w14:paraId="284AD708" w14:textId="6D82EF1F" w:rsidR="00A31984" w:rsidRDefault="001A390D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Toowoomba (Queensland) has 80</w:t>
      </w:r>
      <w:r w:rsidR="00A31984" w:rsidRPr="0059208F">
        <w:rPr>
          <w:rFonts w:cs="Arial"/>
        </w:rPr>
        <w:t>%.</w:t>
      </w:r>
    </w:p>
    <w:p w14:paraId="77BF8A2E" w14:textId="792EF2D2" w:rsidR="00A14589" w:rsidRDefault="00A14589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Kathe</w:t>
      </w:r>
      <w:r w:rsidR="001A390D">
        <w:rPr>
          <w:rFonts w:cs="Arial"/>
        </w:rPr>
        <w:t>rine (Northern Territory) has 83</w:t>
      </w:r>
      <w:r>
        <w:rPr>
          <w:rFonts w:cs="Arial"/>
        </w:rPr>
        <w:t xml:space="preserve">%. </w:t>
      </w:r>
    </w:p>
    <w:p w14:paraId="3ADDBAF7" w14:textId="1752A1D5" w:rsidR="00A14589" w:rsidRPr="001A390D" w:rsidRDefault="00A31984" w:rsidP="001A390D">
      <w:pPr>
        <w:jc w:val="both"/>
        <w:rPr>
          <w:rFonts w:cs="Arial"/>
        </w:rPr>
      </w:pPr>
      <w:r w:rsidRPr="0059208F">
        <w:rPr>
          <w:rFonts w:cs="Arial"/>
        </w:rPr>
        <w:t xml:space="preserve">The bottom 10% </w:t>
      </w:r>
      <w:r w:rsidR="00F277F7">
        <w:rPr>
          <w:rFonts w:cs="Arial"/>
        </w:rPr>
        <w:t>district</w:t>
      </w:r>
      <w:r w:rsidRPr="0059208F">
        <w:rPr>
          <w:rFonts w:cs="Arial"/>
        </w:rPr>
        <w:t>s are as follows.</w:t>
      </w:r>
    </w:p>
    <w:p w14:paraId="11F2DD17" w14:textId="698F535A" w:rsidR="00A14589" w:rsidRDefault="00A14589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Adelaide Hills (South Australia) has </w:t>
      </w:r>
      <w:r w:rsidR="001A390D">
        <w:rPr>
          <w:rFonts w:cs="Arial"/>
        </w:rPr>
        <w:t>an indicator of 60</w:t>
      </w:r>
      <w:r>
        <w:rPr>
          <w:rFonts w:cs="Arial"/>
        </w:rPr>
        <w:t xml:space="preserve">%. </w:t>
      </w:r>
    </w:p>
    <w:p w14:paraId="4E499F44" w14:textId="4728253A" w:rsidR="00A14589" w:rsidRDefault="00A14589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Far North (South Australia) </w:t>
      </w:r>
      <w:r w:rsidR="001A390D">
        <w:rPr>
          <w:rFonts w:cs="Arial"/>
        </w:rPr>
        <w:t>has 47</w:t>
      </w:r>
      <w:r>
        <w:rPr>
          <w:rFonts w:cs="Arial"/>
        </w:rPr>
        <w:t xml:space="preserve">%. </w:t>
      </w:r>
    </w:p>
    <w:p w14:paraId="55B5C7BE" w14:textId="1B4990CE" w:rsidR="00A14589" w:rsidRDefault="00A14589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Limeston</w:t>
      </w:r>
      <w:r w:rsidR="001A390D">
        <w:rPr>
          <w:rFonts w:cs="Arial"/>
        </w:rPr>
        <w:t>e Coast (South Australia) has 57</w:t>
      </w:r>
      <w:r>
        <w:rPr>
          <w:rFonts w:cs="Arial"/>
        </w:rPr>
        <w:t xml:space="preserve">%. </w:t>
      </w:r>
    </w:p>
    <w:p w14:paraId="6A3E879F" w14:textId="2B375DA0" w:rsidR="00A14589" w:rsidRDefault="00A14589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Darwin Remote (Northern Territory) has 34%. </w:t>
      </w:r>
    </w:p>
    <w:p w14:paraId="060F9F37" w14:textId="0C16ACFE" w:rsidR="00A14589" w:rsidRDefault="00A14589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East Arnhem (Northern Territory) has 34%. </w:t>
      </w:r>
    </w:p>
    <w:p w14:paraId="5CF755B4" w14:textId="30DB128B" w:rsidR="00A14589" w:rsidRDefault="00A14589" w:rsidP="00A3198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Goldfields – Espe</w:t>
      </w:r>
      <w:r w:rsidR="001A390D">
        <w:rPr>
          <w:rFonts w:cs="Arial"/>
        </w:rPr>
        <w:t>rance (Western Australia) has 49</w:t>
      </w:r>
      <w:r>
        <w:rPr>
          <w:rFonts w:cs="Arial"/>
        </w:rPr>
        <w:t xml:space="preserve">%. </w:t>
      </w:r>
    </w:p>
    <w:p w14:paraId="56F673C9" w14:textId="374F69E5" w:rsidR="001A390D" w:rsidRDefault="001A390D" w:rsidP="001A390D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1A390D">
        <w:rPr>
          <w:rFonts w:cs="Arial"/>
        </w:rPr>
        <w:t>Kimberley-Pilbara</w:t>
      </w:r>
      <w:r>
        <w:rPr>
          <w:rFonts w:cs="Arial"/>
        </w:rPr>
        <w:t xml:space="preserve"> (Western Australia) has 60%. </w:t>
      </w:r>
    </w:p>
    <w:p w14:paraId="5F633603" w14:textId="5E54ACE4" w:rsidR="001A390D" w:rsidRDefault="001A390D" w:rsidP="001A390D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1A390D">
        <w:rPr>
          <w:rFonts w:cs="Arial"/>
        </w:rPr>
        <w:t>Midwest-Gascoyne</w:t>
      </w:r>
      <w:r>
        <w:rPr>
          <w:rFonts w:cs="Arial"/>
        </w:rPr>
        <w:t xml:space="preserve"> (Western Australia) has 58%.</w:t>
      </w:r>
    </w:p>
    <w:p w14:paraId="7C546838" w14:textId="77777777" w:rsidR="0013152A" w:rsidRPr="0059208F" w:rsidRDefault="00BF0755" w:rsidP="00D00BF7">
      <w:pPr>
        <w:pStyle w:val="Heading2"/>
      </w:pPr>
      <w:r w:rsidRPr="0059208F">
        <w:t>Page</w:t>
      </w:r>
      <w:r w:rsidR="0013152A" w:rsidRPr="0059208F">
        <w:t xml:space="preserve"> 2</w:t>
      </w:r>
      <w:r w:rsidRPr="0059208F">
        <w:t>, Table 1</w:t>
      </w:r>
      <w:r w:rsidR="0013152A" w:rsidRPr="0059208F">
        <w:t xml:space="preserve">: </w:t>
      </w:r>
      <w:r w:rsidRPr="0059208F">
        <w:t xml:space="preserve">Support category summary, for all </w:t>
      </w:r>
      <w:r w:rsidR="00F277F7">
        <w:t>service district</w:t>
      </w:r>
      <w:r w:rsidRPr="0059208F">
        <w:t>s</w:t>
      </w:r>
      <w:bookmarkEnd w:id="6"/>
    </w:p>
    <w:p w14:paraId="4D2F28E0" w14:textId="77777777" w:rsidR="00B94DA7" w:rsidRPr="0059208F" w:rsidRDefault="00763823" w:rsidP="00D00BF7">
      <w:pPr>
        <w:jc w:val="both"/>
        <w:rPr>
          <w:rFonts w:cs="Arial"/>
        </w:rPr>
      </w:pPr>
      <w:r w:rsidRPr="0059208F">
        <w:rPr>
          <w:rFonts w:cs="Arial"/>
        </w:rPr>
        <w:t xml:space="preserve">For each of the 15 support categories, the same </w:t>
      </w:r>
      <w:r w:rsidR="00504A6B" w:rsidRPr="0059208F">
        <w:rPr>
          <w:rFonts w:cs="Arial"/>
        </w:rPr>
        <w:t>7</w:t>
      </w:r>
      <w:r w:rsidRPr="0059208F">
        <w:rPr>
          <w:rFonts w:cs="Arial"/>
        </w:rPr>
        <w:t xml:space="preserve"> indicators have been calculated.</w:t>
      </w:r>
      <w:r w:rsidR="00B94DA7" w:rsidRPr="0059208F">
        <w:rPr>
          <w:rFonts w:cs="Arial"/>
        </w:rPr>
        <w:t xml:space="preserve"> </w:t>
      </w:r>
      <w:r w:rsidR="00504A6B" w:rsidRPr="0059208F">
        <w:rPr>
          <w:rFonts w:cs="Arial"/>
        </w:rPr>
        <w:t>The number of active</w:t>
      </w:r>
      <w:r w:rsidR="00D12F81" w:rsidRPr="0059208F">
        <w:rPr>
          <w:rFonts w:cs="Arial"/>
        </w:rPr>
        <w:t xml:space="preserve"> (</w:t>
      </w:r>
      <w:r w:rsidR="00D36C56" w:rsidRPr="0059208F">
        <w:rPr>
          <w:rFonts w:cs="Arial"/>
        </w:rPr>
        <w:t>Non-SIL</w:t>
      </w:r>
      <w:r w:rsidR="00D12F81" w:rsidRPr="0059208F">
        <w:rPr>
          <w:rFonts w:cs="Arial"/>
        </w:rPr>
        <w:t>)</w:t>
      </w:r>
      <w:r w:rsidR="00504A6B" w:rsidRPr="0059208F">
        <w:rPr>
          <w:rFonts w:cs="Arial"/>
        </w:rPr>
        <w:t xml:space="preserve"> participants with approved plans, the number of registered active providers, total plan budgets and total payments are also shown. The 7 indicators</w:t>
      </w:r>
      <w:r w:rsidR="00B94DA7" w:rsidRPr="0059208F">
        <w:rPr>
          <w:rFonts w:cs="Arial"/>
        </w:rPr>
        <w:t xml:space="preserve"> have a ‘traffic light system’ where the top 10% and bottom 10% </w:t>
      </w:r>
      <w:r w:rsidR="00430D4D" w:rsidRPr="0059208F">
        <w:rPr>
          <w:rFonts w:cs="Arial"/>
        </w:rPr>
        <w:t xml:space="preserve">of </w:t>
      </w:r>
      <w:r w:rsidR="00B94DA7" w:rsidRPr="0059208F">
        <w:rPr>
          <w:rFonts w:cs="Arial"/>
        </w:rPr>
        <w:t xml:space="preserve">support categories </w:t>
      </w:r>
      <w:r w:rsidR="00430D4D" w:rsidRPr="0059208F">
        <w:rPr>
          <w:rFonts w:cs="Arial"/>
        </w:rPr>
        <w:t xml:space="preserve">– by gap to benchmark – are </w:t>
      </w:r>
      <w:r w:rsidR="00B94DA7" w:rsidRPr="0059208F">
        <w:rPr>
          <w:rFonts w:cs="Arial"/>
        </w:rPr>
        <w:t>highlighted.</w:t>
      </w:r>
    </w:p>
    <w:p w14:paraId="253FEF05" w14:textId="77777777" w:rsidR="00B94DA7" w:rsidRPr="0059208F" w:rsidRDefault="00B94DA7" w:rsidP="00D00BF7">
      <w:pPr>
        <w:jc w:val="both"/>
        <w:rPr>
          <w:rFonts w:cs="Arial"/>
        </w:rPr>
      </w:pPr>
      <w:r w:rsidRPr="0059208F">
        <w:rPr>
          <w:rFonts w:cs="Arial"/>
        </w:rPr>
        <w:t xml:space="preserve">For </w:t>
      </w:r>
      <w:r w:rsidRPr="0059208F">
        <w:rPr>
          <w:rFonts w:cs="Arial"/>
          <w:b/>
        </w:rPr>
        <w:t>participants per provider</w:t>
      </w:r>
      <w:r w:rsidRPr="0059208F">
        <w:rPr>
          <w:rFonts w:cs="Arial"/>
        </w:rPr>
        <w:t xml:space="preserve">, </w:t>
      </w:r>
      <w:r w:rsidR="009A78AA" w:rsidRPr="0059208F">
        <w:rPr>
          <w:rFonts w:cs="Arial"/>
        </w:rPr>
        <w:t xml:space="preserve">the top 10% </w:t>
      </w:r>
      <w:r w:rsidR="00D10A47" w:rsidRPr="0059208F">
        <w:rPr>
          <w:rFonts w:cs="Arial"/>
        </w:rPr>
        <w:t>support categories</w:t>
      </w:r>
      <w:r w:rsidR="009A78AA" w:rsidRPr="0059208F">
        <w:rPr>
          <w:rFonts w:cs="Arial"/>
        </w:rPr>
        <w:t xml:space="preserve"> are as follows.</w:t>
      </w:r>
    </w:p>
    <w:p w14:paraId="20C15DE6" w14:textId="5DFCB7A8" w:rsidR="00504A6B" w:rsidRPr="0059208F" w:rsidRDefault="00504A6B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59208F">
        <w:rPr>
          <w:rFonts w:cs="Arial"/>
        </w:rPr>
        <w:t>Capacit</w:t>
      </w:r>
      <w:r w:rsidR="003447A6">
        <w:rPr>
          <w:rFonts w:cs="Arial"/>
        </w:rPr>
        <w:t>y Building – Home Living has 18</w:t>
      </w:r>
      <w:r w:rsidR="001F7986" w:rsidRPr="0059208F">
        <w:rPr>
          <w:rFonts w:cs="Arial"/>
        </w:rPr>
        <w:t>.</w:t>
      </w:r>
      <w:r w:rsidR="003447A6">
        <w:rPr>
          <w:rFonts w:cs="Arial"/>
        </w:rPr>
        <w:t>5</w:t>
      </w:r>
      <w:r w:rsidRPr="0059208F">
        <w:rPr>
          <w:rFonts w:cs="Arial"/>
        </w:rPr>
        <w:t xml:space="preserve"> participants per provider.</w:t>
      </w:r>
    </w:p>
    <w:p w14:paraId="353BF42E" w14:textId="2E0ED11D" w:rsidR="0059208F" w:rsidRPr="0059208F" w:rsidRDefault="0059208F" w:rsidP="0059208F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59208F">
        <w:rPr>
          <w:rFonts w:cs="Arial"/>
        </w:rPr>
        <w:t>Capacity Buil</w:t>
      </w:r>
      <w:r w:rsidR="003447A6">
        <w:rPr>
          <w:rFonts w:cs="Arial"/>
        </w:rPr>
        <w:t>ding – Lifelong Learning has 7.2</w:t>
      </w:r>
      <w:r w:rsidRPr="0059208F">
        <w:rPr>
          <w:rFonts w:cs="Arial"/>
        </w:rPr>
        <w:t>.</w:t>
      </w:r>
    </w:p>
    <w:p w14:paraId="58136851" w14:textId="77777777" w:rsidR="00BF032E" w:rsidRPr="0059208F" w:rsidRDefault="00BF032E" w:rsidP="00D00BF7">
      <w:pPr>
        <w:jc w:val="both"/>
        <w:rPr>
          <w:rFonts w:cs="Arial"/>
        </w:rPr>
      </w:pPr>
      <w:r w:rsidRPr="0059208F">
        <w:rPr>
          <w:rFonts w:cs="Arial"/>
        </w:rPr>
        <w:t xml:space="preserve">The bottom 10% </w:t>
      </w:r>
      <w:r w:rsidR="00D10A47" w:rsidRPr="0059208F">
        <w:rPr>
          <w:rFonts w:cs="Arial"/>
        </w:rPr>
        <w:t xml:space="preserve">support categories </w:t>
      </w:r>
      <w:r w:rsidRPr="0059208F">
        <w:rPr>
          <w:rFonts w:cs="Arial"/>
        </w:rPr>
        <w:t>are as follows.</w:t>
      </w:r>
    </w:p>
    <w:p w14:paraId="7B95E2EF" w14:textId="527D9D37" w:rsidR="00D10A47" w:rsidRPr="0059208F" w:rsidRDefault="003447A6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59208F">
        <w:rPr>
          <w:rFonts w:cs="Arial"/>
        </w:rPr>
        <w:t>Core – Transport</w:t>
      </w:r>
      <w:r w:rsidR="001F7986" w:rsidRPr="0059208F">
        <w:rPr>
          <w:rFonts w:cs="Arial"/>
        </w:rPr>
        <w:t xml:space="preserve"> </w:t>
      </w:r>
      <w:r w:rsidR="00504A6B" w:rsidRPr="0059208F">
        <w:rPr>
          <w:rFonts w:cs="Arial"/>
        </w:rPr>
        <w:t xml:space="preserve">has </w:t>
      </w:r>
      <w:r>
        <w:rPr>
          <w:rFonts w:cs="Arial"/>
        </w:rPr>
        <w:t>376.8</w:t>
      </w:r>
      <w:r w:rsidR="00504A6B" w:rsidRPr="0059208F">
        <w:rPr>
          <w:rFonts w:cs="Arial"/>
        </w:rPr>
        <w:t xml:space="preserve"> </w:t>
      </w:r>
      <w:r w:rsidR="00D10A47" w:rsidRPr="0059208F">
        <w:rPr>
          <w:rFonts w:cs="Arial"/>
        </w:rPr>
        <w:t>participants per provider.</w:t>
      </w:r>
    </w:p>
    <w:p w14:paraId="402FE02A" w14:textId="3210064A" w:rsidR="00A31EE8" w:rsidRPr="0059208F" w:rsidRDefault="003447A6" w:rsidP="003447A6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59208F">
        <w:rPr>
          <w:rFonts w:cs="Arial"/>
        </w:rPr>
        <w:t>Capacity Buil</w:t>
      </w:r>
      <w:r>
        <w:rPr>
          <w:rFonts w:cs="Arial"/>
        </w:rPr>
        <w:t>ding</w:t>
      </w:r>
      <w:r w:rsidR="0059208F" w:rsidRPr="0059208F">
        <w:rPr>
          <w:rFonts w:cs="Arial"/>
        </w:rPr>
        <w:t xml:space="preserve"> – </w:t>
      </w:r>
      <w:r w:rsidRPr="003447A6">
        <w:rPr>
          <w:rFonts w:cs="Arial"/>
        </w:rPr>
        <w:t>Choice and Control</w:t>
      </w:r>
      <w:r w:rsidR="0059208F" w:rsidRPr="0059208F">
        <w:rPr>
          <w:rFonts w:cs="Arial"/>
        </w:rPr>
        <w:t xml:space="preserve"> has </w:t>
      </w:r>
      <w:r>
        <w:rPr>
          <w:rFonts w:cs="Arial"/>
        </w:rPr>
        <w:t>177.8</w:t>
      </w:r>
      <w:r w:rsidR="00D10A47" w:rsidRPr="0059208F">
        <w:rPr>
          <w:rFonts w:cs="Arial"/>
        </w:rPr>
        <w:t>.</w:t>
      </w:r>
    </w:p>
    <w:p w14:paraId="07B7701F" w14:textId="77777777" w:rsidR="00BF032E" w:rsidRPr="00D36C56" w:rsidRDefault="00BF032E" w:rsidP="00D00BF7">
      <w:pPr>
        <w:jc w:val="both"/>
        <w:rPr>
          <w:rFonts w:cs="Arial"/>
          <w:highlight w:val="yellow"/>
        </w:rPr>
      </w:pPr>
    </w:p>
    <w:p w14:paraId="235505F8" w14:textId="77777777" w:rsidR="00B94DA7" w:rsidRPr="0059208F" w:rsidRDefault="00B94DA7" w:rsidP="00D00BF7">
      <w:pPr>
        <w:jc w:val="both"/>
        <w:rPr>
          <w:rFonts w:cs="Arial"/>
        </w:rPr>
      </w:pPr>
      <w:r w:rsidRPr="0059208F">
        <w:rPr>
          <w:rFonts w:cs="Arial"/>
        </w:rPr>
        <w:t xml:space="preserve">For </w:t>
      </w:r>
      <w:r w:rsidRPr="0059208F">
        <w:rPr>
          <w:rFonts w:cs="Arial"/>
          <w:b/>
        </w:rPr>
        <w:t>provider concentration</w:t>
      </w:r>
      <w:r w:rsidRPr="0059208F">
        <w:rPr>
          <w:rFonts w:cs="Arial"/>
        </w:rPr>
        <w:t xml:space="preserve">, </w:t>
      </w:r>
      <w:r w:rsidR="009A78AA" w:rsidRPr="0059208F">
        <w:rPr>
          <w:rFonts w:cs="Arial"/>
        </w:rPr>
        <w:t xml:space="preserve">the top 10% </w:t>
      </w:r>
      <w:r w:rsidR="00D10A47" w:rsidRPr="0059208F">
        <w:rPr>
          <w:rFonts w:cs="Arial"/>
        </w:rPr>
        <w:t xml:space="preserve">support categories </w:t>
      </w:r>
      <w:r w:rsidR="009A78AA" w:rsidRPr="0059208F">
        <w:rPr>
          <w:rFonts w:cs="Arial"/>
        </w:rPr>
        <w:t>are as follows.</w:t>
      </w:r>
    </w:p>
    <w:p w14:paraId="0FD2B11F" w14:textId="6DA72764" w:rsidR="00B94DA7" w:rsidRPr="0059208F" w:rsidRDefault="005C38F1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59208F">
        <w:rPr>
          <w:rFonts w:cs="Arial"/>
        </w:rPr>
        <w:t>Core - Community</w:t>
      </w:r>
      <w:r w:rsidR="00D10A47" w:rsidRPr="0059208F">
        <w:rPr>
          <w:rFonts w:cs="Arial"/>
        </w:rPr>
        <w:t xml:space="preserve"> has a pr</w:t>
      </w:r>
      <w:r w:rsidR="003447A6">
        <w:rPr>
          <w:rFonts w:cs="Arial"/>
        </w:rPr>
        <w:t>ovider concentration level of 20</w:t>
      </w:r>
      <w:r w:rsidR="00D10A47" w:rsidRPr="0059208F">
        <w:rPr>
          <w:rFonts w:cs="Arial"/>
        </w:rPr>
        <w:t>%.</w:t>
      </w:r>
    </w:p>
    <w:p w14:paraId="20E1A451" w14:textId="0205E84F" w:rsidR="00D10A47" w:rsidRPr="0059208F" w:rsidRDefault="00D10A47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59208F">
        <w:rPr>
          <w:rFonts w:cs="Arial"/>
        </w:rPr>
        <w:t>Capacity Buildi</w:t>
      </w:r>
      <w:r w:rsidR="003447A6">
        <w:rPr>
          <w:rFonts w:cs="Arial"/>
        </w:rPr>
        <w:t>ng – Support Coordination has 12</w:t>
      </w:r>
      <w:r w:rsidRPr="0059208F">
        <w:rPr>
          <w:rFonts w:cs="Arial"/>
        </w:rPr>
        <w:t>%.</w:t>
      </w:r>
    </w:p>
    <w:p w14:paraId="0B6977CB" w14:textId="77777777" w:rsidR="00BF032E" w:rsidRPr="0059208F" w:rsidRDefault="00BF032E" w:rsidP="00D00BF7">
      <w:pPr>
        <w:jc w:val="both"/>
        <w:rPr>
          <w:rFonts w:cs="Arial"/>
        </w:rPr>
      </w:pPr>
      <w:r w:rsidRPr="0059208F">
        <w:rPr>
          <w:rFonts w:cs="Arial"/>
        </w:rPr>
        <w:t xml:space="preserve">The bottom 10% </w:t>
      </w:r>
      <w:r w:rsidR="00D10A47" w:rsidRPr="0059208F">
        <w:rPr>
          <w:rFonts w:cs="Arial"/>
        </w:rPr>
        <w:t xml:space="preserve">support categories </w:t>
      </w:r>
      <w:r w:rsidRPr="0059208F">
        <w:rPr>
          <w:rFonts w:cs="Arial"/>
        </w:rPr>
        <w:t>are as follows.</w:t>
      </w:r>
    </w:p>
    <w:p w14:paraId="68255B58" w14:textId="3FBD3163" w:rsidR="00504A6B" w:rsidRPr="0059208F" w:rsidRDefault="00504A6B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59208F">
        <w:rPr>
          <w:rFonts w:cs="Arial"/>
        </w:rPr>
        <w:t>Capacity Building – Home Living has a pr</w:t>
      </w:r>
      <w:r w:rsidR="003447A6">
        <w:rPr>
          <w:rFonts w:cs="Arial"/>
        </w:rPr>
        <w:t>ovider concentration level of 47</w:t>
      </w:r>
      <w:r w:rsidRPr="0059208F">
        <w:rPr>
          <w:rFonts w:cs="Arial"/>
        </w:rPr>
        <w:t>%.</w:t>
      </w:r>
    </w:p>
    <w:p w14:paraId="7C2E2C70" w14:textId="043556AE" w:rsidR="0059208F" w:rsidRPr="0059208F" w:rsidRDefault="0059208F" w:rsidP="0059208F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59208F">
        <w:rPr>
          <w:rFonts w:cs="Arial"/>
        </w:rPr>
        <w:t>Capacity Bui</w:t>
      </w:r>
      <w:r w:rsidR="003447A6">
        <w:rPr>
          <w:rFonts w:cs="Arial"/>
        </w:rPr>
        <w:t>lding – Lifelong Learning has 95</w:t>
      </w:r>
      <w:r w:rsidRPr="0059208F">
        <w:rPr>
          <w:rFonts w:cs="Arial"/>
        </w:rPr>
        <w:t>%.</w:t>
      </w:r>
    </w:p>
    <w:p w14:paraId="126BACFE" w14:textId="77777777" w:rsidR="00BF032E" w:rsidRPr="00D36C56" w:rsidRDefault="00BF032E" w:rsidP="00D00BF7">
      <w:pPr>
        <w:jc w:val="both"/>
        <w:rPr>
          <w:rFonts w:cs="Arial"/>
          <w:highlight w:val="yellow"/>
        </w:rPr>
      </w:pPr>
    </w:p>
    <w:p w14:paraId="47D839C1" w14:textId="77777777" w:rsidR="00B94DA7" w:rsidRPr="0059208F" w:rsidRDefault="00B94DA7" w:rsidP="00D00BF7">
      <w:pPr>
        <w:jc w:val="both"/>
        <w:rPr>
          <w:rFonts w:cs="Arial"/>
        </w:rPr>
      </w:pPr>
      <w:r w:rsidRPr="0059208F">
        <w:rPr>
          <w:rFonts w:cs="Arial"/>
        </w:rPr>
        <w:t xml:space="preserve">For </w:t>
      </w:r>
      <w:r w:rsidRPr="0059208F">
        <w:rPr>
          <w:rFonts w:cs="Arial"/>
          <w:b/>
        </w:rPr>
        <w:t>provider growth</w:t>
      </w:r>
      <w:r w:rsidRPr="0059208F">
        <w:rPr>
          <w:rFonts w:cs="Arial"/>
        </w:rPr>
        <w:t xml:space="preserve">, </w:t>
      </w:r>
      <w:r w:rsidR="009A78AA" w:rsidRPr="0059208F">
        <w:rPr>
          <w:rFonts w:cs="Arial"/>
        </w:rPr>
        <w:t xml:space="preserve">the top 10% </w:t>
      </w:r>
      <w:r w:rsidR="00D10A47" w:rsidRPr="0059208F">
        <w:rPr>
          <w:rFonts w:cs="Arial"/>
        </w:rPr>
        <w:t xml:space="preserve">support categories </w:t>
      </w:r>
      <w:r w:rsidR="009A78AA" w:rsidRPr="0059208F">
        <w:rPr>
          <w:rFonts w:cs="Arial"/>
        </w:rPr>
        <w:t>are as follows.</w:t>
      </w:r>
    </w:p>
    <w:p w14:paraId="4D2C84C4" w14:textId="680914EC" w:rsidR="006704D5" w:rsidRPr="0059208F" w:rsidRDefault="0059208F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59208F">
        <w:rPr>
          <w:rFonts w:cs="Arial"/>
        </w:rPr>
        <w:lastRenderedPageBreak/>
        <w:t>Capital</w:t>
      </w:r>
      <w:r w:rsidR="005C38F1" w:rsidRPr="0059208F">
        <w:rPr>
          <w:rFonts w:cs="Arial"/>
        </w:rPr>
        <w:t xml:space="preserve"> </w:t>
      </w:r>
      <w:r w:rsidRPr="0059208F">
        <w:rPr>
          <w:rFonts w:cs="Arial"/>
        </w:rPr>
        <w:t xml:space="preserve">– Assistive Technology </w:t>
      </w:r>
      <w:r w:rsidR="00D10A47" w:rsidRPr="0059208F">
        <w:rPr>
          <w:rFonts w:cs="Arial"/>
        </w:rPr>
        <w:t xml:space="preserve">has </w:t>
      </w:r>
      <w:r w:rsidR="006704D5" w:rsidRPr="0059208F">
        <w:rPr>
          <w:rFonts w:cs="Arial"/>
        </w:rPr>
        <w:t xml:space="preserve">provider growth of </w:t>
      </w:r>
      <w:r w:rsidR="003447A6">
        <w:rPr>
          <w:rFonts w:cs="Arial"/>
        </w:rPr>
        <w:t>24</w:t>
      </w:r>
      <w:r w:rsidR="00D10A47" w:rsidRPr="0059208F">
        <w:rPr>
          <w:rFonts w:cs="Arial"/>
        </w:rPr>
        <w:t>%</w:t>
      </w:r>
      <w:r w:rsidR="006704D5" w:rsidRPr="0059208F">
        <w:rPr>
          <w:rFonts w:cs="Arial"/>
        </w:rPr>
        <w:t xml:space="preserve"> since the previous exposure period.</w:t>
      </w:r>
    </w:p>
    <w:p w14:paraId="3FEE435F" w14:textId="07378E90" w:rsidR="00D10A47" w:rsidRPr="0059208F" w:rsidRDefault="005C38F1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59208F">
        <w:rPr>
          <w:rFonts w:cs="Arial"/>
        </w:rPr>
        <w:t xml:space="preserve">Capital – </w:t>
      </w:r>
      <w:r w:rsidR="0059208F" w:rsidRPr="0059208F">
        <w:rPr>
          <w:rFonts w:cs="Arial"/>
        </w:rPr>
        <w:t xml:space="preserve">Home Modifications </w:t>
      </w:r>
      <w:r w:rsidRPr="0059208F">
        <w:rPr>
          <w:rFonts w:cs="Arial"/>
        </w:rPr>
        <w:t>has 3</w:t>
      </w:r>
      <w:r w:rsidR="003447A6">
        <w:rPr>
          <w:rFonts w:cs="Arial"/>
        </w:rPr>
        <w:t>2</w:t>
      </w:r>
      <w:r w:rsidR="006704D5" w:rsidRPr="0059208F">
        <w:rPr>
          <w:rFonts w:cs="Arial"/>
        </w:rPr>
        <w:t>%</w:t>
      </w:r>
      <w:r w:rsidR="00D10A47" w:rsidRPr="0059208F">
        <w:rPr>
          <w:rFonts w:cs="Arial"/>
        </w:rPr>
        <w:t>.</w:t>
      </w:r>
    </w:p>
    <w:p w14:paraId="329B6A21" w14:textId="77777777" w:rsidR="00BF032E" w:rsidRPr="0059208F" w:rsidRDefault="00BF032E" w:rsidP="00D00BF7">
      <w:pPr>
        <w:jc w:val="both"/>
        <w:rPr>
          <w:rFonts w:cs="Arial"/>
        </w:rPr>
      </w:pPr>
      <w:r w:rsidRPr="0059208F">
        <w:rPr>
          <w:rFonts w:cs="Arial"/>
        </w:rPr>
        <w:t xml:space="preserve">The bottom 10% </w:t>
      </w:r>
      <w:r w:rsidR="00D10A47" w:rsidRPr="0059208F">
        <w:rPr>
          <w:rFonts w:cs="Arial"/>
        </w:rPr>
        <w:t xml:space="preserve">support categories </w:t>
      </w:r>
      <w:r w:rsidRPr="0059208F">
        <w:rPr>
          <w:rFonts w:cs="Arial"/>
        </w:rPr>
        <w:t>are as follows.</w:t>
      </w:r>
    </w:p>
    <w:p w14:paraId="0F434CEE" w14:textId="77777777" w:rsidR="0059208F" w:rsidRPr="0059208F" w:rsidRDefault="0059208F" w:rsidP="0059208F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59208F">
        <w:rPr>
          <w:rFonts w:cs="Arial"/>
        </w:rPr>
        <w:t xml:space="preserve">Capacity Building – Home Living has a provider growth </w:t>
      </w:r>
      <w:r>
        <w:rPr>
          <w:rFonts w:cs="Arial"/>
        </w:rPr>
        <w:t>of 0</w:t>
      </w:r>
      <w:r w:rsidRPr="0059208F">
        <w:rPr>
          <w:rFonts w:cs="Arial"/>
        </w:rPr>
        <w:t>% since the previous exposure period.</w:t>
      </w:r>
    </w:p>
    <w:p w14:paraId="23EB113E" w14:textId="77777777" w:rsidR="0059208F" w:rsidRPr="0059208F" w:rsidRDefault="0059208F" w:rsidP="0059208F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59208F">
        <w:rPr>
          <w:rFonts w:cs="Arial"/>
        </w:rPr>
        <w:t xml:space="preserve">Capacity Building – Lifelong Learning has </w:t>
      </w:r>
      <w:r>
        <w:rPr>
          <w:rFonts w:cs="Arial"/>
        </w:rPr>
        <w:t>0</w:t>
      </w:r>
      <w:r w:rsidRPr="0059208F">
        <w:rPr>
          <w:rFonts w:cs="Arial"/>
        </w:rPr>
        <w:t>%.</w:t>
      </w:r>
    </w:p>
    <w:p w14:paraId="0C0135A4" w14:textId="77777777" w:rsidR="00BF032E" w:rsidRPr="00D36C56" w:rsidRDefault="00BF032E" w:rsidP="00D00BF7">
      <w:pPr>
        <w:jc w:val="both"/>
        <w:rPr>
          <w:rFonts w:cs="Arial"/>
          <w:highlight w:val="yellow"/>
        </w:rPr>
      </w:pPr>
    </w:p>
    <w:p w14:paraId="25739E4F" w14:textId="77777777" w:rsidR="00B94DA7" w:rsidRPr="0059208F" w:rsidRDefault="00B94DA7" w:rsidP="00D00BF7">
      <w:pPr>
        <w:jc w:val="both"/>
        <w:rPr>
          <w:rFonts w:cs="Arial"/>
        </w:rPr>
      </w:pPr>
      <w:r w:rsidRPr="0059208F">
        <w:rPr>
          <w:rFonts w:cs="Arial"/>
        </w:rPr>
        <w:t xml:space="preserve">For </w:t>
      </w:r>
      <w:r w:rsidRPr="0059208F">
        <w:rPr>
          <w:rFonts w:cs="Arial"/>
          <w:b/>
        </w:rPr>
        <w:t>provider shrinkage</w:t>
      </w:r>
      <w:r w:rsidRPr="0059208F">
        <w:rPr>
          <w:rFonts w:cs="Arial"/>
        </w:rPr>
        <w:t xml:space="preserve">, </w:t>
      </w:r>
      <w:r w:rsidR="009A78AA" w:rsidRPr="0059208F">
        <w:rPr>
          <w:rFonts w:cs="Arial"/>
        </w:rPr>
        <w:t xml:space="preserve">the top 10% </w:t>
      </w:r>
      <w:r w:rsidR="00D10A47" w:rsidRPr="0059208F">
        <w:rPr>
          <w:rFonts w:cs="Arial"/>
        </w:rPr>
        <w:t xml:space="preserve">support categories </w:t>
      </w:r>
      <w:r w:rsidR="009A78AA" w:rsidRPr="0059208F">
        <w:rPr>
          <w:rFonts w:cs="Arial"/>
        </w:rPr>
        <w:t>are as follows.</w:t>
      </w:r>
    </w:p>
    <w:p w14:paraId="5F8D0C59" w14:textId="03922847" w:rsidR="00BF032E" w:rsidRPr="0059208F" w:rsidRDefault="00D10A47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59208F">
        <w:rPr>
          <w:rFonts w:cs="Arial"/>
        </w:rPr>
        <w:t xml:space="preserve">Capacity Building – </w:t>
      </w:r>
      <w:r w:rsidR="003447A6">
        <w:rPr>
          <w:rFonts w:cs="Arial"/>
        </w:rPr>
        <w:t>Home Living has provider shrinkage of 0</w:t>
      </w:r>
      <w:r w:rsidRPr="0059208F">
        <w:rPr>
          <w:rFonts w:cs="Arial"/>
        </w:rPr>
        <w:t>% since the previous exposure period.</w:t>
      </w:r>
    </w:p>
    <w:p w14:paraId="411F8F65" w14:textId="640710A0" w:rsidR="0059208F" w:rsidRPr="0059208F" w:rsidRDefault="0059208F" w:rsidP="0059208F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59208F">
        <w:rPr>
          <w:rFonts w:cs="Arial"/>
        </w:rPr>
        <w:t xml:space="preserve">Capacity Building – </w:t>
      </w:r>
      <w:r w:rsidR="003447A6" w:rsidRPr="0059208F">
        <w:rPr>
          <w:rFonts w:cs="Arial"/>
        </w:rPr>
        <w:t>Lifelong Learning</w:t>
      </w:r>
      <w:r w:rsidRPr="0059208F">
        <w:rPr>
          <w:rFonts w:cs="Arial"/>
        </w:rPr>
        <w:t xml:space="preserve"> has 0%.</w:t>
      </w:r>
    </w:p>
    <w:p w14:paraId="72CCE018" w14:textId="77777777" w:rsidR="00BF032E" w:rsidRPr="0059208F" w:rsidRDefault="00BF032E" w:rsidP="00D00BF7">
      <w:pPr>
        <w:jc w:val="both"/>
        <w:rPr>
          <w:rFonts w:cs="Arial"/>
        </w:rPr>
      </w:pPr>
      <w:r w:rsidRPr="0059208F">
        <w:rPr>
          <w:rFonts w:cs="Arial"/>
        </w:rPr>
        <w:t xml:space="preserve">The bottom 10% </w:t>
      </w:r>
      <w:r w:rsidR="00D10A47" w:rsidRPr="0059208F">
        <w:rPr>
          <w:rFonts w:cs="Arial"/>
        </w:rPr>
        <w:t xml:space="preserve">support categories </w:t>
      </w:r>
      <w:r w:rsidRPr="0059208F">
        <w:rPr>
          <w:rFonts w:cs="Arial"/>
        </w:rPr>
        <w:t>are as follows.</w:t>
      </w:r>
    </w:p>
    <w:p w14:paraId="12041407" w14:textId="7CA813A2" w:rsidR="00A14589" w:rsidRPr="0059208F" w:rsidRDefault="003447A6" w:rsidP="003447A6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0D04DC">
        <w:rPr>
          <w:rFonts w:cs="Arial"/>
        </w:rPr>
        <w:t xml:space="preserve">Core – </w:t>
      </w:r>
      <w:r w:rsidRPr="003447A6">
        <w:rPr>
          <w:rFonts w:cs="Arial"/>
        </w:rPr>
        <w:t>Community</w:t>
      </w:r>
      <w:r>
        <w:rPr>
          <w:rFonts w:cs="Arial"/>
        </w:rPr>
        <w:t xml:space="preserve"> has provider shrinkage of 29</w:t>
      </w:r>
      <w:r w:rsidR="00A14589" w:rsidRPr="0059208F">
        <w:rPr>
          <w:rFonts w:cs="Arial"/>
        </w:rPr>
        <w:t>% since the previous exposure period.</w:t>
      </w:r>
    </w:p>
    <w:p w14:paraId="54FF9F7C" w14:textId="6108915D" w:rsidR="00B94DA7" w:rsidRDefault="003447A6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0D04DC">
        <w:rPr>
          <w:rFonts w:cs="Arial"/>
        </w:rPr>
        <w:t>Core – Transpo</w:t>
      </w:r>
      <w:r>
        <w:rPr>
          <w:rFonts w:cs="Arial"/>
        </w:rPr>
        <w:t>rt has 39</w:t>
      </w:r>
      <w:r w:rsidR="00A14589">
        <w:rPr>
          <w:rFonts w:cs="Arial"/>
        </w:rPr>
        <w:t xml:space="preserve">%. </w:t>
      </w:r>
    </w:p>
    <w:p w14:paraId="3D751C02" w14:textId="77777777" w:rsidR="00A14589" w:rsidRPr="00A14589" w:rsidRDefault="00A14589" w:rsidP="00A14589">
      <w:pPr>
        <w:jc w:val="both"/>
        <w:rPr>
          <w:rFonts w:cs="Arial"/>
        </w:rPr>
      </w:pPr>
    </w:p>
    <w:p w14:paraId="6D9646B7" w14:textId="77777777" w:rsidR="00282FD8" w:rsidRPr="000D04DC" w:rsidRDefault="00282FD8" w:rsidP="00D00BF7">
      <w:pPr>
        <w:jc w:val="both"/>
        <w:rPr>
          <w:rFonts w:cs="Arial"/>
        </w:rPr>
      </w:pPr>
      <w:r w:rsidRPr="000D04DC">
        <w:rPr>
          <w:rFonts w:cs="Arial"/>
        </w:rPr>
        <w:t xml:space="preserve">For </w:t>
      </w:r>
      <w:r w:rsidRPr="000D04DC">
        <w:rPr>
          <w:rFonts w:cs="Arial"/>
          <w:b/>
        </w:rPr>
        <w:t>utilisation</w:t>
      </w:r>
      <w:r w:rsidRPr="000D04DC">
        <w:rPr>
          <w:rFonts w:cs="Arial"/>
        </w:rPr>
        <w:t>, the top 10% support categories are as follows.</w:t>
      </w:r>
    </w:p>
    <w:p w14:paraId="3923BF2F" w14:textId="1BC1F103" w:rsidR="00282FD8" w:rsidRPr="000D04DC" w:rsidRDefault="00282FD8" w:rsidP="00D00BF7">
      <w:pPr>
        <w:pStyle w:val="ListParagraph"/>
        <w:numPr>
          <w:ilvl w:val="0"/>
          <w:numId w:val="14"/>
        </w:numPr>
        <w:jc w:val="both"/>
        <w:rPr>
          <w:rFonts w:cs="Arial"/>
        </w:rPr>
      </w:pPr>
      <w:r w:rsidRPr="000D04DC">
        <w:rPr>
          <w:rFonts w:cs="Arial"/>
        </w:rPr>
        <w:t xml:space="preserve">Core – </w:t>
      </w:r>
      <w:r w:rsidR="000D04DC" w:rsidRPr="000D04DC">
        <w:rPr>
          <w:rFonts w:cs="Arial"/>
        </w:rPr>
        <w:t>Transpo</w:t>
      </w:r>
      <w:r w:rsidR="00DF6113">
        <w:rPr>
          <w:rFonts w:cs="Arial"/>
        </w:rPr>
        <w:t>rt has a</w:t>
      </w:r>
      <w:r w:rsidR="003447A6">
        <w:rPr>
          <w:rFonts w:cs="Arial"/>
        </w:rPr>
        <w:t xml:space="preserve"> utilisation rate of 100</w:t>
      </w:r>
      <w:r w:rsidRPr="000D04DC">
        <w:rPr>
          <w:rFonts w:cs="Arial"/>
        </w:rPr>
        <w:t>%.</w:t>
      </w:r>
    </w:p>
    <w:p w14:paraId="2B6A4CB6" w14:textId="03AB8C43" w:rsidR="00282FD8" w:rsidRPr="000D04DC" w:rsidRDefault="00282FD8" w:rsidP="00D00BF7">
      <w:pPr>
        <w:pStyle w:val="ListParagraph"/>
        <w:numPr>
          <w:ilvl w:val="0"/>
          <w:numId w:val="14"/>
        </w:numPr>
        <w:jc w:val="both"/>
        <w:rPr>
          <w:rFonts w:cs="Arial"/>
        </w:rPr>
      </w:pPr>
      <w:r w:rsidRPr="000D04DC">
        <w:rPr>
          <w:rFonts w:cs="Arial"/>
        </w:rPr>
        <w:t>Capacity Building – Choice and Control has 9</w:t>
      </w:r>
      <w:r w:rsidR="003447A6">
        <w:rPr>
          <w:rFonts w:cs="Arial"/>
        </w:rPr>
        <w:t>5</w:t>
      </w:r>
      <w:r w:rsidRPr="000D04DC">
        <w:rPr>
          <w:rFonts w:cs="Arial"/>
        </w:rPr>
        <w:t>%.</w:t>
      </w:r>
    </w:p>
    <w:p w14:paraId="280DA568" w14:textId="77777777" w:rsidR="00282FD8" w:rsidRPr="000D04DC" w:rsidRDefault="00282FD8" w:rsidP="00D00BF7">
      <w:pPr>
        <w:jc w:val="both"/>
        <w:rPr>
          <w:rFonts w:cs="Arial"/>
        </w:rPr>
      </w:pPr>
      <w:r w:rsidRPr="000D04DC">
        <w:rPr>
          <w:rFonts w:cs="Arial"/>
        </w:rPr>
        <w:t>The bottom 10% support categories are as follows.</w:t>
      </w:r>
    </w:p>
    <w:p w14:paraId="2E8F3E9B" w14:textId="34FD3959" w:rsidR="006C279D" w:rsidRPr="000D04DC" w:rsidRDefault="000D04DC" w:rsidP="006C279D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0D04DC">
        <w:rPr>
          <w:rFonts w:cs="Arial"/>
        </w:rPr>
        <w:t>Capacity Building – Home Liv</w:t>
      </w:r>
      <w:r w:rsidR="00DF6113">
        <w:rPr>
          <w:rFonts w:cs="Arial"/>
        </w:rPr>
        <w:t>ing has a utilisation rate of 16</w:t>
      </w:r>
      <w:r w:rsidR="006C279D" w:rsidRPr="000D04DC">
        <w:rPr>
          <w:rFonts w:cs="Arial"/>
        </w:rPr>
        <w:t>%.</w:t>
      </w:r>
    </w:p>
    <w:p w14:paraId="48618026" w14:textId="531D3723" w:rsidR="00282FD8" w:rsidRPr="000D04DC" w:rsidRDefault="00282FD8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0D04DC">
        <w:rPr>
          <w:rFonts w:cs="Arial"/>
        </w:rPr>
        <w:t xml:space="preserve">Capacity Building – </w:t>
      </w:r>
      <w:r w:rsidR="000D04DC" w:rsidRPr="000D04DC">
        <w:rPr>
          <w:rFonts w:cs="Arial"/>
        </w:rPr>
        <w:t>Lifelong Learning</w:t>
      </w:r>
      <w:r w:rsidRPr="000D04DC">
        <w:rPr>
          <w:rFonts w:cs="Arial"/>
        </w:rPr>
        <w:t xml:space="preserve"> has </w:t>
      </w:r>
      <w:r w:rsidR="003447A6">
        <w:rPr>
          <w:rFonts w:cs="Arial"/>
        </w:rPr>
        <w:t>26</w:t>
      </w:r>
      <w:r w:rsidRPr="000D04DC">
        <w:rPr>
          <w:rFonts w:cs="Arial"/>
        </w:rPr>
        <w:t>%.</w:t>
      </w:r>
    </w:p>
    <w:p w14:paraId="5F7E025A" w14:textId="77777777" w:rsidR="00282FD8" w:rsidRPr="00D36C56" w:rsidRDefault="00282FD8" w:rsidP="00D00BF7">
      <w:pPr>
        <w:jc w:val="both"/>
        <w:rPr>
          <w:rFonts w:cs="Arial"/>
          <w:highlight w:val="yellow"/>
        </w:rPr>
      </w:pPr>
    </w:p>
    <w:p w14:paraId="002D1AA7" w14:textId="77777777" w:rsidR="00B94DA7" w:rsidRPr="000D04DC" w:rsidRDefault="00B94DA7" w:rsidP="00D00BF7">
      <w:pPr>
        <w:jc w:val="both"/>
        <w:rPr>
          <w:rFonts w:cs="Arial"/>
        </w:rPr>
      </w:pPr>
      <w:r w:rsidRPr="000D04DC">
        <w:rPr>
          <w:rFonts w:cs="Arial"/>
        </w:rPr>
        <w:t xml:space="preserve">For </w:t>
      </w:r>
      <w:r w:rsidRPr="000D04DC">
        <w:rPr>
          <w:rFonts w:cs="Arial"/>
          <w:b/>
        </w:rPr>
        <w:t>outcomes indicator on choice and control</w:t>
      </w:r>
      <w:r w:rsidRPr="000D04DC">
        <w:rPr>
          <w:rFonts w:cs="Arial"/>
        </w:rPr>
        <w:t xml:space="preserve">, </w:t>
      </w:r>
      <w:r w:rsidR="009A78AA" w:rsidRPr="000D04DC">
        <w:rPr>
          <w:rFonts w:cs="Arial"/>
        </w:rPr>
        <w:t xml:space="preserve">the top 10% </w:t>
      </w:r>
      <w:r w:rsidR="00D10A47" w:rsidRPr="000D04DC">
        <w:rPr>
          <w:rFonts w:cs="Arial"/>
        </w:rPr>
        <w:t xml:space="preserve">support categories </w:t>
      </w:r>
      <w:r w:rsidR="009A78AA" w:rsidRPr="000D04DC">
        <w:rPr>
          <w:rFonts w:cs="Arial"/>
        </w:rPr>
        <w:t>are as follows.</w:t>
      </w:r>
    </w:p>
    <w:p w14:paraId="5D6437FB" w14:textId="684D38B5" w:rsidR="00381EE6" w:rsidRPr="000D04DC" w:rsidRDefault="000D04DC" w:rsidP="00381EE6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0D04DC">
        <w:rPr>
          <w:rFonts w:cs="Arial"/>
        </w:rPr>
        <w:t>Capital – Assistive Technology</w:t>
      </w:r>
      <w:r w:rsidR="003447A6">
        <w:rPr>
          <w:rFonts w:cs="Arial"/>
        </w:rPr>
        <w:t xml:space="preserve"> has an outcomes indicator of 68</w:t>
      </w:r>
      <w:r w:rsidR="00381EE6" w:rsidRPr="000D04DC">
        <w:rPr>
          <w:rFonts w:cs="Arial"/>
        </w:rPr>
        <w:t>%.</w:t>
      </w:r>
    </w:p>
    <w:p w14:paraId="68C484AE" w14:textId="5D5352BE" w:rsidR="00B94DA7" w:rsidRPr="000D04DC" w:rsidRDefault="00282FD8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0D04DC">
        <w:rPr>
          <w:rFonts w:cs="Arial"/>
        </w:rPr>
        <w:t xml:space="preserve">Capital – </w:t>
      </w:r>
      <w:r w:rsidR="003447A6">
        <w:rPr>
          <w:rFonts w:cs="Arial"/>
        </w:rPr>
        <w:t>Home Modifications has 70</w:t>
      </w:r>
      <w:r w:rsidRPr="000D04DC">
        <w:rPr>
          <w:rFonts w:cs="Arial"/>
        </w:rPr>
        <w:t>%.</w:t>
      </w:r>
    </w:p>
    <w:p w14:paraId="5622F009" w14:textId="77777777" w:rsidR="00BF032E" w:rsidRPr="000D04DC" w:rsidRDefault="00BF032E" w:rsidP="00D00BF7">
      <w:pPr>
        <w:jc w:val="both"/>
        <w:rPr>
          <w:rFonts w:cs="Arial"/>
        </w:rPr>
      </w:pPr>
      <w:r w:rsidRPr="000D04DC">
        <w:rPr>
          <w:rFonts w:cs="Arial"/>
        </w:rPr>
        <w:t xml:space="preserve">The bottom 10% </w:t>
      </w:r>
      <w:r w:rsidR="00D10A47" w:rsidRPr="000D04DC">
        <w:rPr>
          <w:rFonts w:cs="Arial"/>
        </w:rPr>
        <w:t xml:space="preserve">support categories </w:t>
      </w:r>
      <w:r w:rsidRPr="000D04DC">
        <w:rPr>
          <w:rFonts w:cs="Arial"/>
        </w:rPr>
        <w:t>are as follows.</w:t>
      </w:r>
    </w:p>
    <w:p w14:paraId="155F6788" w14:textId="3372AE33" w:rsidR="00282FD8" w:rsidRPr="000D04DC" w:rsidRDefault="00282FD8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0D04DC">
        <w:rPr>
          <w:rFonts w:cs="Arial"/>
        </w:rPr>
        <w:t xml:space="preserve">Capacity </w:t>
      </w:r>
      <w:r w:rsidR="00343E75" w:rsidRPr="000D04DC">
        <w:rPr>
          <w:rFonts w:cs="Arial"/>
        </w:rPr>
        <w:t xml:space="preserve">Building – </w:t>
      </w:r>
      <w:r w:rsidR="000D04DC" w:rsidRPr="000D04DC">
        <w:rPr>
          <w:rFonts w:cs="Arial"/>
        </w:rPr>
        <w:t xml:space="preserve">Lifelong Learning </w:t>
      </w:r>
      <w:r w:rsidR="00343E75" w:rsidRPr="000D04DC">
        <w:rPr>
          <w:rFonts w:cs="Arial"/>
        </w:rPr>
        <w:t>has</w:t>
      </w:r>
      <w:r w:rsidR="003447A6">
        <w:rPr>
          <w:rFonts w:cs="Arial"/>
        </w:rPr>
        <w:t xml:space="preserve"> an outcomes indicator 32</w:t>
      </w:r>
      <w:r w:rsidRPr="000D04DC">
        <w:rPr>
          <w:rFonts w:cs="Arial"/>
        </w:rPr>
        <w:t>%.</w:t>
      </w:r>
    </w:p>
    <w:p w14:paraId="08139338" w14:textId="4D70BC22" w:rsidR="0059208F" w:rsidRPr="000D04DC" w:rsidRDefault="000D04DC" w:rsidP="0059208F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0D04DC">
        <w:rPr>
          <w:rFonts w:cs="Arial"/>
        </w:rPr>
        <w:t>Capacity Building – Relationships has 2</w:t>
      </w:r>
      <w:r w:rsidR="00DF6113">
        <w:rPr>
          <w:rFonts w:cs="Arial"/>
        </w:rPr>
        <w:t>3</w:t>
      </w:r>
      <w:r w:rsidR="0059208F" w:rsidRPr="000D04DC">
        <w:rPr>
          <w:rFonts w:cs="Arial"/>
        </w:rPr>
        <w:t>%.</w:t>
      </w:r>
    </w:p>
    <w:p w14:paraId="72037168" w14:textId="77777777" w:rsidR="00BF032E" w:rsidRPr="00D36C56" w:rsidRDefault="00BF032E" w:rsidP="00D00BF7">
      <w:pPr>
        <w:jc w:val="both"/>
        <w:rPr>
          <w:rFonts w:cs="Arial"/>
          <w:highlight w:val="yellow"/>
        </w:rPr>
      </w:pPr>
    </w:p>
    <w:p w14:paraId="0922871D" w14:textId="77777777" w:rsidR="00B94DA7" w:rsidRPr="000D04DC" w:rsidRDefault="00B94DA7" w:rsidP="00D00BF7">
      <w:pPr>
        <w:jc w:val="both"/>
        <w:rPr>
          <w:rFonts w:cs="Arial"/>
        </w:rPr>
      </w:pPr>
      <w:r w:rsidRPr="000D04DC">
        <w:rPr>
          <w:rFonts w:cs="Arial"/>
        </w:rPr>
        <w:t xml:space="preserve">For </w:t>
      </w:r>
      <w:r w:rsidRPr="000D04DC">
        <w:rPr>
          <w:rFonts w:cs="Arial"/>
          <w:b/>
        </w:rPr>
        <w:t>“</w:t>
      </w:r>
      <w:r w:rsidR="00F277F7">
        <w:rPr>
          <w:rFonts w:cs="Arial"/>
          <w:b/>
        </w:rPr>
        <w:t>Has the NDIS helped with choice and control</w:t>
      </w:r>
      <w:r w:rsidRPr="000D04DC">
        <w:rPr>
          <w:rFonts w:cs="Arial"/>
          <w:b/>
        </w:rPr>
        <w:t>?” indicator</w:t>
      </w:r>
      <w:r w:rsidRPr="000D04DC">
        <w:rPr>
          <w:rFonts w:cs="Arial"/>
        </w:rPr>
        <w:t xml:space="preserve">, </w:t>
      </w:r>
      <w:r w:rsidR="009A78AA" w:rsidRPr="000D04DC">
        <w:rPr>
          <w:rFonts w:cs="Arial"/>
        </w:rPr>
        <w:t xml:space="preserve">the top 10% </w:t>
      </w:r>
      <w:r w:rsidR="00D10A47" w:rsidRPr="000D04DC">
        <w:rPr>
          <w:rFonts w:cs="Arial"/>
        </w:rPr>
        <w:t xml:space="preserve">support categories </w:t>
      </w:r>
      <w:r w:rsidR="009A78AA" w:rsidRPr="000D04DC">
        <w:rPr>
          <w:rFonts w:cs="Arial"/>
        </w:rPr>
        <w:t>are as follows.</w:t>
      </w:r>
    </w:p>
    <w:p w14:paraId="0CA61F68" w14:textId="5647A807" w:rsidR="006704D5" w:rsidRPr="000D04DC" w:rsidRDefault="006704D5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0D04DC">
        <w:rPr>
          <w:rFonts w:cs="Arial"/>
        </w:rPr>
        <w:t xml:space="preserve">Capacity Building – </w:t>
      </w:r>
      <w:r w:rsidR="000D04DC" w:rsidRPr="000D04DC">
        <w:rPr>
          <w:rFonts w:cs="Arial"/>
        </w:rPr>
        <w:t>Health and Wellbeing</w:t>
      </w:r>
      <w:r w:rsidR="00055BDA" w:rsidRPr="000D04DC">
        <w:rPr>
          <w:rFonts w:cs="Arial"/>
        </w:rPr>
        <w:t xml:space="preserve"> </w:t>
      </w:r>
      <w:r w:rsidR="00DF6113">
        <w:rPr>
          <w:rFonts w:cs="Arial"/>
        </w:rPr>
        <w:t>has an indicator</w:t>
      </w:r>
      <w:r w:rsidR="00DD3CEA">
        <w:rPr>
          <w:rFonts w:cs="Arial"/>
        </w:rPr>
        <w:t xml:space="preserve"> of 78</w:t>
      </w:r>
      <w:r w:rsidRPr="000D04DC">
        <w:rPr>
          <w:rFonts w:cs="Arial"/>
        </w:rPr>
        <w:t>%.</w:t>
      </w:r>
    </w:p>
    <w:p w14:paraId="5C0F9147" w14:textId="2A641E89" w:rsidR="00B94DA7" w:rsidRPr="000D04DC" w:rsidRDefault="000D04DC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0D04DC">
        <w:rPr>
          <w:rFonts w:cs="Arial"/>
        </w:rPr>
        <w:t xml:space="preserve">Capital – Home Modifications </w:t>
      </w:r>
      <w:r w:rsidR="00282FD8" w:rsidRPr="000D04DC">
        <w:rPr>
          <w:rFonts w:cs="Arial"/>
        </w:rPr>
        <w:t>has</w:t>
      </w:r>
      <w:r w:rsidR="006704D5" w:rsidRPr="000D04DC">
        <w:rPr>
          <w:rFonts w:cs="Arial"/>
        </w:rPr>
        <w:t xml:space="preserve"> </w:t>
      </w:r>
      <w:r w:rsidRPr="000D04DC">
        <w:rPr>
          <w:rFonts w:cs="Arial"/>
        </w:rPr>
        <w:t>7</w:t>
      </w:r>
      <w:r w:rsidR="00DD3CEA">
        <w:rPr>
          <w:rFonts w:cs="Arial"/>
        </w:rPr>
        <w:t>8</w:t>
      </w:r>
      <w:r w:rsidR="00282FD8" w:rsidRPr="000D04DC">
        <w:rPr>
          <w:rFonts w:cs="Arial"/>
        </w:rPr>
        <w:t>%.</w:t>
      </w:r>
    </w:p>
    <w:p w14:paraId="5C4528FB" w14:textId="77777777" w:rsidR="00BF032E" w:rsidRPr="000D04DC" w:rsidRDefault="00BF032E" w:rsidP="00D00BF7">
      <w:pPr>
        <w:jc w:val="both"/>
        <w:rPr>
          <w:rFonts w:cs="Arial"/>
        </w:rPr>
      </w:pPr>
      <w:r w:rsidRPr="000D04DC">
        <w:rPr>
          <w:rFonts w:cs="Arial"/>
        </w:rPr>
        <w:t xml:space="preserve">The bottom 10% </w:t>
      </w:r>
      <w:r w:rsidR="00D10A47" w:rsidRPr="000D04DC">
        <w:rPr>
          <w:rFonts w:cs="Arial"/>
        </w:rPr>
        <w:t xml:space="preserve">support categories </w:t>
      </w:r>
      <w:r w:rsidRPr="000D04DC">
        <w:rPr>
          <w:rFonts w:cs="Arial"/>
        </w:rPr>
        <w:t>are as follows.</w:t>
      </w:r>
    </w:p>
    <w:p w14:paraId="64421D5E" w14:textId="7675F8EF" w:rsidR="00763823" w:rsidRPr="000D04DC" w:rsidRDefault="00282FD8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0D04DC">
        <w:rPr>
          <w:rFonts w:cs="Arial"/>
        </w:rPr>
        <w:t xml:space="preserve">Capacity Building – </w:t>
      </w:r>
      <w:r w:rsidR="000D04DC" w:rsidRPr="000D04DC">
        <w:rPr>
          <w:rFonts w:cs="Arial"/>
        </w:rPr>
        <w:t>Home Living</w:t>
      </w:r>
      <w:r w:rsidRPr="000D04DC">
        <w:rPr>
          <w:rFonts w:cs="Arial"/>
        </w:rPr>
        <w:t xml:space="preserve"> has </w:t>
      </w:r>
      <w:r w:rsidR="006704D5" w:rsidRPr="000D04DC">
        <w:rPr>
          <w:rFonts w:cs="Arial"/>
        </w:rPr>
        <w:t xml:space="preserve">an indicator of </w:t>
      </w:r>
      <w:r w:rsidR="00DD3CEA">
        <w:rPr>
          <w:rFonts w:cs="Arial"/>
        </w:rPr>
        <w:t>64</w:t>
      </w:r>
      <w:r w:rsidRPr="000D04DC">
        <w:rPr>
          <w:rFonts w:cs="Arial"/>
        </w:rPr>
        <w:t>%.</w:t>
      </w:r>
    </w:p>
    <w:p w14:paraId="576D8679" w14:textId="0F1327D0" w:rsidR="0059208F" w:rsidRPr="000D04DC" w:rsidRDefault="000D04DC" w:rsidP="0059208F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0D04DC">
        <w:rPr>
          <w:rFonts w:cs="Arial"/>
        </w:rPr>
        <w:lastRenderedPageBreak/>
        <w:t xml:space="preserve">Capacity Building – </w:t>
      </w:r>
      <w:r w:rsidR="00DD3CEA">
        <w:rPr>
          <w:rFonts w:cs="Arial"/>
        </w:rPr>
        <w:t>Relationships has 65</w:t>
      </w:r>
      <w:r w:rsidR="0059208F" w:rsidRPr="000D04DC">
        <w:rPr>
          <w:rFonts w:cs="Arial"/>
        </w:rPr>
        <w:t>%.</w:t>
      </w:r>
    </w:p>
    <w:p w14:paraId="1FCCBC4E" w14:textId="77777777" w:rsidR="00BF0755" w:rsidRPr="00D12F81" w:rsidRDefault="00BF0755" w:rsidP="00D00BF7">
      <w:pPr>
        <w:jc w:val="both"/>
        <w:rPr>
          <w:rFonts w:cs="Arial"/>
          <w:highlight w:val="yellow"/>
        </w:rPr>
      </w:pPr>
    </w:p>
    <w:p w14:paraId="0C60C8D7" w14:textId="77777777" w:rsidR="00BF0755" w:rsidRPr="00B23DB3" w:rsidRDefault="00BF0755" w:rsidP="00D00BF7">
      <w:pPr>
        <w:pStyle w:val="Heading2"/>
      </w:pPr>
      <w:bookmarkStart w:id="7" w:name="_Toc32397947"/>
      <w:r w:rsidRPr="00B23DB3">
        <w:t>Page 2, Table 2: Definitions for the indicators</w:t>
      </w:r>
      <w:bookmarkEnd w:id="7"/>
    </w:p>
    <w:p w14:paraId="7805A509" w14:textId="77777777" w:rsidR="00BF0755" w:rsidRPr="00B23DB3" w:rsidRDefault="00BF0755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B23DB3">
        <w:rPr>
          <w:rFonts w:cs="Arial"/>
          <w:b/>
        </w:rPr>
        <w:t>Active participants with approved plans</w:t>
      </w:r>
      <w:r w:rsidRPr="00B23DB3">
        <w:rPr>
          <w:rFonts w:cs="Arial"/>
        </w:rPr>
        <w:t xml:space="preserve"> is defined as the number of</w:t>
      </w:r>
      <w:r w:rsidR="00763823" w:rsidRPr="00B23DB3">
        <w:rPr>
          <w:rFonts w:cs="Arial"/>
        </w:rPr>
        <w:t xml:space="preserve"> active participants who have an approved plan and reside in the </w:t>
      </w:r>
      <w:r w:rsidR="00F277F7">
        <w:rPr>
          <w:rFonts w:cs="Arial"/>
        </w:rPr>
        <w:t>district</w:t>
      </w:r>
      <w:r w:rsidR="00763823" w:rsidRPr="00B23DB3">
        <w:rPr>
          <w:rFonts w:cs="Arial"/>
        </w:rPr>
        <w:t xml:space="preserve"> / have supports relating to the support category in their plan.</w:t>
      </w:r>
    </w:p>
    <w:p w14:paraId="0B994EAC" w14:textId="77777777" w:rsidR="00763823" w:rsidRPr="00B23DB3" w:rsidRDefault="00763823" w:rsidP="00D00BF7">
      <w:pPr>
        <w:pStyle w:val="ListParagraph"/>
        <w:jc w:val="both"/>
        <w:rPr>
          <w:rFonts w:cs="Arial"/>
        </w:rPr>
      </w:pPr>
    </w:p>
    <w:p w14:paraId="136BCE77" w14:textId="77777777" w:rsidR="00763823" w:rsidRPr="00B23DB3" w:rsidRDefault="00763823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B23DB3">
        <w:rPr>
          <w:rFonts w:cs="Arial"/>
          <w:b/>
        </w:rPr>
        <w:t>Registered active providers</w:t>
      </w:r>
      <w:r w:rsidRPr="00B23DB3">
        <w:rPr>
          <w:rFonts w:cs="Arial"/>
        </w:rPr>
        <w:t xml:space="preserve"> is defined as the number of registered service providers that have provided a support to a participant within the </w:t>
      </w:r>
      <w:r w:rsidR="00F277F7">
        <w:rPr>
          <w:rFonts w:cs="Arial"/>
        </w:rPr>
        <w:t>district</w:t>
      </w:r>
      <w:r w:rsidRPr="00B23DB3">
        <w:rPr>
          <w:rFonts w:cs="Arial"/>
        </w:rPr>
        <w:t xml:space="preserve"> / support category, over the exposure period.</w:t>
      </w:r>
    </w:p>
    <w:p w14:paraId="29DC64A1" w14:textId="77777777" w:rsidR="00763823" w:rsidRPr="00B23DB3" w:rsidRDefault="00763823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B23DB3">
        <w:rPr>
          <w:rFonts w:cs="Arial"/>
          <w:b/>
        </w:rPr>
        <w:t>Participants per provider</w:t>
      </w:r>
      <w:r w:rsidRPr="00B23DB3">
        <w:rPr>
          <w:rFonts w:cs="Arial"/>
        </w:rPr>
        <w:t xml:space="preserve"> is defined as the</w:t>
      </w:r>
      <w:r w:rsidRPr="00B23DB3">
        <w:t xml:space="preserve"> r</w:t>
      </w:r>
      <w:r w:rsidRPr="00B23DB3">
        <w:rPr>
          <w:rFonts w:cs="Arial"/>
        </w:rPr>
        <w:t>atio between the number of active participants and the number of registered service providers.</w:t>
      </w:r>
    </w:p>
    <w:p w14:paraId="070D2D36" w14:textId="77777777" w:rsidR="00763823" w:rsidRPr="00B23DB3" w:rsidRDefault="00763823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B23DB3">
        <w:rPr>
          <w:rFonts w:cs="Arial"/>
          <w:b/>
        </w:rPr>
        <w:t>Provider concentration</w:t>
      </w:r>
      <w:r w:rsidRPr="00B23DB3">
        <w:rPr>
          <w:rFonts w:cs="Arial"/>
        </w:rPr>
        <w:t xml:space="preserve"> is defined as the</w:t>
      </w:r>
      <w:r w:rsidRPr="00B23DB3">
        <w:t xml:space="preserve"> p</w:t>
      </w:r>
      <w:r w:rsidRPr="00B23DB3">
        <w:rPr>
          <w:rFonts w:cs="Arial"/>
        </w:rPr>
        <w:t>roportion of provider payments over the exposure period that were paid to the top 10 providers.</w:t>
      </w:r>
    </w:p>
    <w:p w14:paraId="1F8C375A" w14:textId="77777777" w:rsidR="00763823" w:rsidRPr="00B23DB3" w:rsidRDefault="00763823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B23DB3">
        <w:rPr>
          <w:rFonts w:cs="Arial"/>
          <w:b/>
        </w:rPr>
        <w:t xml:space="preserve">Provider growth </w:t>
      </w:r>
      <w:r w:rsidRPr="00B23DB3">
        <w:rPr>
          <w:rFonts w:cs="Arial"/>
        </w:rPr>
        <w:t>is defined as the proportion of providers for which payments have grown by more than 100% compared to the previous exposure period. Only providers that received more than $10,000 in payments in both exposure periods have been considered.</w:t>
      </w:r>
    </w:p>
    <w:p w14:paraId="61343D27" w14:textId="77777777" w:rsidR="00763823" w:rsidRPr="00B23DB3" w:rsidRDefault="00763823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B23DB3">
        <w:rPr>
          <w:rFonts w:cs="Arial"/>
          <w:b/>
        </w:rPr>
        <w:t xml:space="preserve">Provider shrinkage </w:t>
      </w:r>
      <w:r w:rsidRPr="00B23DB3">
        <w:rPr>
          <w:rFonts w:cs="Arial"/>
        </w:rPr>
        <w:t>is defined as the proportion of providers for which payments have shrunk by more than 25% compared to the previous exposure period. Only providers that received more than $10,000 in payments in both exposure periods have been considered.</w:t>
      </w:r>
    </w:p>
    <w:p w14:paraId="2C1AE99F" w14:textId="77777777" w:rsidR="00763823" w:rsidRPr="00B23DB3" w:rsidRDefault="00763823" w:rsidP="00D00BF7">
      <w:pPr>
        <w:pStyle w:val="ListParagraph"/>
        <w:jc w:val="both"/>
        <w:rPr>
          <w:rFonts w:cs="Arial"/>
        </w:rPr>
      </w:pPr>
    </w:p>
    <w:p w14:paraId="1F81342F" w14:textId="77777777" w:rsidR="00763823" w:rsidRPr="00B23DB3" w:rsidRDefault="00763823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B23DB3">
        <w:rPr>
          <w:rFonts w:cs="Arial"/>
          <w:b/>
        </w:rPr>
        <w:t>Total plan budget</w:t>
      </w:r>
      <w:r w:rsidR="00584CDB" w:rsidRPr="00B23DB3">
        <w:rPr>
          <w:rFonts w:cs="Arial"/>
          <w:b/>
        </w:rPr>
        <w:t>s</w:t>
      </w:r>
      <w:r w:rsidRPr="00B23DB3">
        <w:rPr>
          <w:rFonts w:cs="Arial"/>
          <w:b/>
        </w:rPr>
        <w:t xml:space="preserve"> </w:t>
      </w:r>
      <w:r w:rsidRPr="00B23DB3">
        <w:rPr>
          <w:rFonts w:cs="Arial"/>
        </w:rPr>
        <w:t>is defined as the value of supports committed in participant plans for the exposure period.</w:t>
      </w:r>
    </w:p>
    <w:p w14:paraId="3ABBA420" w14:textId="77777777" w:rsidR="00763823" w:rsidRPr="00B23DB3" w:rsidRDefault="00763823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B23DB3">
        <w:rPr>
          <w:rFonts w:cs="Arial"/>
          <w:b/>
        </w:rPr>
        <w:t>Payments</w:t>
      </w:r>
      <w:r w:rsidRPr="00B23DB3">
        <w:rPr>
          <w:rFonts w:cs="Arial"/>
        </w:rPr>
        <w:t xml:space="preserve"> is defined as the value of all payments over the exposure period, including payments to providers, payments to participants, and off-system payments (in-kind and Younger People In Residential Aged Care).</w:t>
      </w:r>
    </w:p>
    <w:p w14:paraId="4B942A2E" w14:textId="77777777" w:rsidR="00763823" w:rsidRPr="00B23DB3" w:rsidRDefault="00763823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B23DB3">
        <w:rPr>
          <w:rFonts w:cs="Arial"/>
          <w:b/>
        </w:rPr>
        <w:t>Utilisation</w:t>
      </w:r>
      <w:r w:rsidRPr="00B23DB3">
        <w:rPr>
          <w:rFonts w:cs="Arial"/>
        </w:rPr>
        <w:t xml:space="preserve"> is defined as the ratio between payments and total plan budgets.</w:t>
      </w:r>
    </w:p>
    <w:p w14:paraId="0E22F64A" w14:textId="77777777" w:rsidR="00763823" w:rsidRPr="00B23DB3" w:rsidRDefault="00763823" w:rsidP="00D00BF7">
      <w:pPr>
        <w:pStyle w:val="ListParagraph"/>
        <w:jc w:val="both"/>
        <w:rPr>
          <w:rFonts w:cs="Arial"/>
        </w:rPr>
      </w:pPr>
    </w:p>
    <w:p w14:paraId="6E4F249C" w14:textId="77777777" w:rsidR="00763823" w:rsidRPr="00B23DB3" w:rsidRDefault="00763823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B23DB3">
        <w:rPr>
          <w:rFonts w:cs="Arial"/>
          <w:b/>
        </w:rPr>
        <w:t>Outcomes indicator on choice and control</w:t>
      </w:r>
      <w:r w:rsidRPr="00B23DB3">
        <w:rPr>
          <w:rFonts w:cs="Arial"/>
        </w:rPr>
        <w:t xml:space="preserve"> is defined as the</w:t>
      </w:r>
      <w:r w:rsidRPr="00B23DB3">
        <w:t xml:space="preserve"> p</w:t>
      </w:r>
      <w:r w:rsidRPr="00B23DB3">
        <w:rPr>
          <w:rFonts w:cs="Arial"/>
        </w:rPr>
        <w:t>roportion of participants who reported in their most recent outcomes survey that they choose who supports them.</w:t>
      </w:r>
    </w:p>
    <w:p w14:paraId="6D3C698F" w14:textId="77777777" w:rsidR="00763823" w:rsidRPr="00B23DB3" w:rsidRDefault="00763823" w:rsidP="00D00BF7">
      <w:pPr>
        <w:pStyle w:val="ListParagraph"/>
        <w:jc w:val="both"/>
        <w:rPr>
          <w:rFonts w:cs="Arial"/>
        </w:rPr>
      </w:pPr>
    </w:p>
    <w:p w14:paraId="41AA7A93" w14:textId="77777777" w:rsidR="00763823" w:rsidRPr="00B23DB3" w:rsidRDefault="00763823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B23DB3">
        <w:rPr>
          <w:rFonts w:cs="Arial"/>
          <w:b/>
        </w:rPr>
        <w:t>“</w:t>
      </w:r>
      <w:r w:rsidR="00F277F7">
        <w:rPr>
          <w:rFonts w:cs="Arial"/>
          <w:b/>
        </w:rPr>
        <w:t>Has the NDIS helped with choice and control</w:t>
      </w:r>
      <w:r w:rsidRPr="00B23DB3">
        <w:rPr>
          <w:rFonts w:cs="Arial"/>
          <w:b/>
        </w:rPr>
        <w:t>?”</w:t>
      </w:r>
      <w:r w:rsidRPr="00B23DB3">
        <w:rPr>
          <w:rFonts w:cs="Arial"/>
        </w:rPr>
        <w:t xml:space="preserve"> indicator is defined as the proportion of participants who reported in their most recent outcomes survey that the NDIS has helped with choice and control.</w:t>
      </w:r>
    </w:p>
    <w:p w14:paraId="442D3B55" w14:textId="77777777" w:rsidR="00070B03" w:rsidRPr="00B23DB3" w:rsidRDefault="00070B03" w:rsidP="00070B03">
      <w:pPr>
        <w:pStyle w:val="ListParagraph"/>
        <w:rPr>
          <w:rFonts w:cs="Arial"/>
        </w:rPr>
      </w:pPr>
    </w:p>
    <w:p w14:paraId="164A153B" w14:textId="77777777" w:rsidR="00070B03" w:rsidRPr="00B23DB3" w:rsidRDefault="00070B03" w:rsidP="00070B03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B23DB3">
        <w:rPr>
          <w:rFonts w:cs="Arial"/>
        </w:rPr>
        <w:t>Note: For some metrics – ‘good’ performance is considered a higher score under the metric. For example, high utilisation rates are considered a sign of a functioning market where participants have access to the supports they need. For other metrics, a ‘good’ performance is considered a lower score under the metric. For example, a low provider concentration is considered a sign of a competitive market.</w:t>
      </w:r>
    </w:p>
    <w:sectPr w:rsidR="00070B03" w:rsidRPr="00B23D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14C2B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B286C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C1342"/>
    <w:multiLevelType w:val="hybridMultilevel"/>
    <w:tmpl w:val="0E5091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C2E30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F620D"/>
    <w:multiLevelType w:val="hybridMultilevel"/>
    <w:tmpl w:val="B13031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317FC5"/>
    <w:multiLevelType w:val="hybridMultilevel"/>
    <w:tmpl w:val="DBD637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9E56C3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46BD1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12DF5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6C2DBC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662FD2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EB7625"/>
    <w:multiLevelType w:val="hybridMultilevel"/>
    <w:tmpl w:val="95B6CD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F56C35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3A0602"/>
    <w:multiLevelType w:val="hybridMultilevel"/>
    <w:tmpl w:val="FC5AD6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532205"/>
    <w:multiLevelType w:val="hybridMultilevel"/>
    <w:tmpl w:val="82AA59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4C790C"/>
    <w:multiLevelType w:val="hybridMultilevel"/>
    <w:tmpl w:val="345068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8"/>
  </w:num>
  <w:num w:numId="6">
    <w:abstractNumId w:val="9"/>
  </w:num>
  <w:num w:numId="7">
    <w:abstractNumId w:val="10"/>
  </w:num>
  <w:num w:numId="8">
    <w:abstractNumId w:val="12"/>
  </w:num>
  <w:num w:numId="9">
    <w:abstractNumId w:val="1"/>
  </w:num>
  <w:num w:numId="10">
    <w:abstractNumId w:val="0"/>
  </w:num>
  <w:num w:numId="11">
    <w:abstractNumId w:val="7"/>
  </w:num>
  <w:num w:numId="12">
    <w:abstractNumId w:val="14"/>
  </w:num>
  <w:num w:numId="13">
    <w:abstractNumId w:val="13"/>
  </w:num>
  <w:num w:numId="14">
    <w:abstractNumId w:val="11"/>
  </w:num>
  <w:num w:numId="15">
    <w:abstractNumId w:val="1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C99"/>
    <w:rsid w:val="00007BFF"/>
    <w:rsid w:val="000301E5"/>
    <w:rsid w:val="00055BDA"/>
    <w:rsid w:val="0006186D"/>
    <w:rsid w:val="00070B03"/>
    <w:rsid w:val="00076EDF"/>
    <w:rsid w:val="000C1641"/>
    <w:rsid w:val="000D04DC"/>
    <w:rsid w:val="0013152A"/>
    <w:rsid w:val="0015533B"/>
    <w:rsid w:val="00160B17"/>
    <w:rsid w:val="0017743D"/>
    <w:rsid w:val="001A390D"/>
    <w:rsid w:val="001D20D4"/>
    <w:rsid w:val="001D682B"/>
    <w:rsid w:val="001F7986"/>
    <w:rsid w:val="00205322"/>
    <w:rsid w:val="00205B30"/>
    <w:rsid w:val="002340FA"/>
    <w:rsid w:val="00263733"/>
    <w:rsid w:val="00281F13"/>
    <w:rsid w:val="00282FD8"/>
    <w:rsid w:val="002B2E86"/>
    <w:rsid w:val="00325B09"/>
    <w:rsid w:val="00330CEF"/>
    <w:rsid w:val="00343E75"/>
    <w:rsid w:val="003447A6"/>
    <w:rsid w:val="00350787"/>
    <w:rsid w:val="00360C1E"/>
    <w:rsid w:val="00376465"/>
    <w:rsid w:val="00381417"/>
    <w:rsid w:val="00381EE6"/>
    <w:rsid w:val="003853B1"/>
    <w:rsid w:val="003871BD"/>
    <w:rsid w:val="003B406C"/>
    <w:rsid w:val="003C1EE2"/>
    <w:rsid w:val="003C6D8E"/>
    <w:rsid w:val="003D7B16"/>
    <w:rsid w:val="003E090C"/>
    <w:rsid w:val="003F2BAC"/>
    <w:rsid w:val="0040188E"/>
    <w:rsid w:val="00430D4D"/>
    <w:rsid w:val="004367CF"/>
    <w:rsid w:val="00451FF6"/>
    <w:rsid w:val="00475003"/>
    <w:rsid w:val="00476601"/>
    <w:rsid w:val="00480B75"/>
    <w:rsid w:val="004827EA"/>
    <w:rsid w:val="00491C44"/>
    <w:rsid w:val="004A24D1"/>
    <w:rsid w:val="00504A6B"/>
    <w:rsid w:val="005143B0"/>
    <w:rsid w:val="00530C08"/>
    <w:rsid w:val="00560B99"/>
    <w:rsid w:val="00584CDB"/>
    <w:rsid w:val="0059208F"/>
    <w:rsid w:val="005A0F26"/>
    <w:rsid w:val="005C01C1"/>
    <w:rsid w:val="005C38F1"/>
    <w:rsid w:val="005C3EEC"/>
    <w:rsid w:val="006371B6"/>
    <w:rsid w:val="00637F72"/>
    <w:rsid w:val="00660C99"/>
    <w:rsid w:val="006704D5"/>
    <w:rsid w:val="00674AA7"/>
    <w:rsid w:val="006844AC"/>
    <w:rsid w:val="006A7787"/>
    <w:rsid w:val="006C279D"/>
    <w:rsid w:val="00716B7A"/>
    <w:rsid w:val="00721ED1"/>
    <w:rsid w:val="007242A6"/>
    <w:rsid w:val="00760053"/>
    <w:rsid w:val="00763823"/>
    <w:rsid w:val="00790C79"/>
    <w:rsid w:val="0079420A"/>
    <w:rsid w:val="007F052D"/>
    <w:rsid w:val="00832799"/>
    <w:rsid w:val="008411F6"/>
    <w:rsid w:val="0085182A"/>
    <w:rsid w:val="00862FC1"/>
    <w:rsid w:val="00865BC7"/>
    <w:rsid w:val="00892194"/>
    <w:rsid w:val="008B6BEB"/>
    <w:rsid w:val="008D1A47"/>
    <w:rsid w:val="008D1DBD"/>
    <w:rsid w:val="008D4CA8"/>
    <w:rsid w:val="00922DE6"/>
    <w:rsid w:val="00927D99"/>
    <w:rsid w:val="009300E8"/>
    <w:rsid w:val="00937A74"/>
    <w:rsid w:val="00946467"/>
    <w:rsid w:val="00984998"/>
    <w:rsid w:val="00995758"/>
    <w:rsid w:val="009A78AA"/>
    <w:rsid w:val="009A7CA8"/>
    <w:rsid w:val="009B45AC"/>
    <w:rsid w:val="00A10ABF"/>
    <w:rsid w:val="00A14589"/>
    <w:rsid w:val="00A31984"/>
    <w:rsid w:val="00A31EE8"/>
    <w:rsid w:val="00A640AE"/>
    <w:rsid w:val="00A65372"/>
    <w:rsid w:val="00A739C7"/>
    <w:rsid w:val="00AA09C4"/>
    <w:rsid w:val="00AA3B71"/>
    <w:rsid w:val="00AA5E86"/>
    <w:rsid w:val="00AF6078"/>
    <w:rsid w:val="00B059A7"/>
    <w:rsid w:val="00B23D81"/>
    <w:rsid w:val="00B23DB3"/>
    <w:rsid w:val="00B41A44"/>
    <w:rsid w:val="00B45A45"/>
    <w:rsid w:val="00B51D40"/>
    <w:rsid w:val="00B5645C"/>
    <w:rsid w:val="00B6363C"/>
    <w:rsid w:val="00B74B2A"/>
    <w:rsid w:val="00B94DA7"/>
    <w:rsid w:val="00BC1232"/>
    <w:rsid w:val="00BF032E"/>
    <w:rsid w:val="00BF0755"/>
    <w:rsid w:val="00BF3B0A"/>
    <w:rsid w:val="00C17FD9"/>
    <w:rsid w:val="00C375F7"/>
    <w:rsid w:val="00C6228A"/>
    <w:rsid w:val="00C74709"/>
    <w:rsid w:val="00CA1F54"/>
    <w:rsid w:val="00CA58B8"/>
    <w:rsid w:val="00CC53C4"/>
    <w:rsid w:val="00CC5DA6"/>
    <w:rsid w:val="00CD47E6"/>
    <w:rsid w:val="00D00BF7"/>
    <w:rsid w:val="00D06537"/>
    <w:rsid w:val="00D10A47"/>
    <w:rsid w:val="00D12F81"/>
    <w:rsid w:val="00D36C56"/>
    <w:rsid w:val="00D374C4"/>
    <w:rsid w:val="00D554F3"/>
    <w:rsid w:val="00DB43E5"/>
    <w:rsid w:val="00DD3CEA"/>
    <w:rsid w:val="00DF6113"/>
    <w:rsid w:val="00E03083"/>
    <w:rsid w:val="00E63A5D"/>
    <w:rsid w:val="00E936F8"/>
    <w:rsid w:val="00EC78B5"/>
    <w:rsid w:val="00EE28E1"/>
    <w:rsid w:val="00F1296A"/>
    <w:rsid w:val="00F277F7"/>
    <w:rsid w:val="00F8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1F6FD"/>
  <w15:chartTrackingRefBased/>
  <w15:docId w15:val="{5823A7DE-9F26-4A6B-B2FE-EC885B0F4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0C99"/>
    <w:pPr>
      <w:spacing w:before="240" w:line="257" w:lineRule="auto"/>
      <w:outlineLvl w:val="0"/>
    </w:pPr>
    <w:rPr>
      <w:rFonts w:cs="Arial"/>
      <w:b/>
      <w:color w:val="6A2875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1A44"/>
    <w:pPr>
      <w:keepNext/>
      <w:keepLines/>
      <w:spacing w:before="40" w:after="0"/>
      <w:jc w:val="both"/>
      <w:outlineLvl w:val="1"/>
    </w:pPr>
    <w:rPr>
      <w:rFonts w:eastAsiaTheme="majorEastAsia" w:cs="Arial"/>
      <w:b/>
      <w:color w:val="6A2875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0C99"/>
    <w:rPr>
      <w:rFonts w:ascii="Arial" w:hAnsi="Arial" w:cs="Arial"/>
      <w:b/>
      <w:color w:val="6A287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41A44"/>
    <w:rPr>
      <w:rFonts w:eastAsiaTheme="majorEastAsia" w:cs="Arial"/>
      <w:b/>
      <w:color w:val="6A2875"/>
      <w:sz w:val="28"/>
    </w:rPr>
  </w:style>
  <w:style w:type="paragraph" w:styleId="ListParagraph">
    <w:name w:val="List Paragraph"/>
    <w:basedOn w:val="Normal"/>
    <w:uiPriority w:val="34"/>
    <w:qFormat/>
    <w:rsid w:val="00B6363C"/>
    <w:pPr>
      <w:spacing w:line="256" w:lineRule="auto"/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3C1EE2"/>
    <w:pPr>
      <w:keepNext/>
      <w:keepLines/>
      <w:spacing w:after="0" w:line="259" w:lineRule="auto"/>
      <w:outlineLvl w:val="9"/>
    </w:pPr>
    <w:rPr>
      <w:rFonts w:eastAsiaTheme="majorEastAsia" w:cstheme="majorBidi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C1EE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C1EE2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3C1EE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07B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7B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7B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7B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7BF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7B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B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1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5D02A-D610-4F3D-8F24-2F1CBABA8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948</TotalTime>
  <Pages>7</Pages>
  <Words>1936</Words>
  <Characters>11038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12949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Sandercock, Benjamin</dc:creator>
  <cp:keywords/>
  <dc:description/>
  <cp:lastModifiedBy>Zhao, Ming</cp:lastModifiedBy>
  <cp:revision>69</cp:revision>
  <dcterms:created xsi:type="dcterms:W3CDTF">2019-09-16T02:25:00Z</dcterms:created>
  <dcterms:modified xsi:type="dcterms:W3CDTF">2021-03-04T22:07:00Z</dcterms:modified>
</cp:coreProperties>
</file>