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FA221" w14:textId="23B1CB0A" w:rsidR="00FA6BAB" w:rsidRPr="00E04B3B" w:rsidRDefault="008D6FB5" w:rsidP="00E36EDB">
      <w:pPr>
        <w:pStyle w:val="Heading1"/>
      </w:pPr>
      <w:bookmarkStart w:id="0" w:name="_Toc20305787"/>
      <w:bookmarkStart w:id="1" w:name="_Toc142226924"/>
      <w:r>
        <w:t>Market c</w:t>
      </w:r>
      <w:r w:rsidR="00966BD6">
        <w:t>oncentration</w:t>
      </w:r>
      <w:r w:rsidR="00225266">
        <w:t xml:space="preserve"> - data </w:t>
      </w:r>
      <w:r w:rsidR="00612183">
        <w:t>rules</w:t>
      </w:r>
      <w:bookmarkEnd w:id="0"/>
      <w:bookmarkEnd w:id="1"/>
    </w:p>
    <w:sdt>
      <w:sdtPr>
        <w:rPr>
          <w:b/>
          <w:bCs/>
          <w:sz w:val="22"/>
        </w:rPr>
        <w:id w:val="-715669303"/>
        <w:docPartObj>
          <w:docPartGallery w:val="Table of Contents"/>
          <w:docPartUnique/>
        </w:docPartObj>
      </w:sdtPr>
      <w:sdtEndPr>
        <w:rPr>
          <w:b w:val="0"/>
          <w:bCs w:val="0"/>
          <w:noProof/>
        </w:rPr>
      </w:sdtEndPr>
      <w:sdtContent>
        <w:p w14:paraId="66904999" w14:textId="77777777" w:rsidR="004B10E9" w:rsidRDefault="00FA6BAB">
          <w:pPr>
            <w:pStyle w:val="TOC1"/>
            <w:tabs>
              <w:tab w:val="right" w:leader="dot" w:pos="10456"/>
            </w:tabs>
            <w:rPr>
              <w:rStyle w:val="Heading2Char"/>
            </w:rPr>
          </w:pPr>
          <w:r w:rsidRPr="00E819CD">
            <w:rPr>
              <w:rStyle w:val="Heading2Char"/>
            </w:rPr>
            <w:t>Contents</w:t>
          </w:r>
        </w:p>
        <w:p w14:paraId="7289722F" w14:textId="53B9750C" w:rsidR="002F1FEC" w:rsidRDefault="00CA1943">
          <w:pPr>
            <w:pStyle w:val="TOC1"/>
            <w:tabs>
              <w:tab w:val="right" w:leader="dot" w:pos="10456"/>
            </w:tabs>
            <w:rPr>
              <w:rFonts w:asciiTheme="minorHAnsi" w:eastAsiaTheme="minorEastAsia" w:hAnsiTheme="minorHAnsi"/>
              <w:noProof/>
              <w:kern w:val="2"/>
              <w:sz w:val="22"/>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142226924" w:history="1">
            <w:r w:rsidR="002F1FEC" w:rsidRPr="001E00A5">
              <w:rPr>
                <w:rStyle w:val="Hyperlink"/>
                <w:noProof/>
              </w:rPr>
              <w:t>Market concentration - data rules</w:t>
            </w:r>
            <w:r w:rsidR="002F1FEC">
              <w:rPr>
                <w:noProof/>
                <w:webHidden/>
              </w:rPr>
              <w:tab/>
            </w:r>
            <w:r w:rsidR="002F1FEC">
              <w:rPr>
                <w:noProof/>
                <w:webHidden/>
              </w:rPr>
              <w:fldChar w:fldCharType="begin"/>
            </w:r>
            <w:r w:rsidR="002F1FEC">
              <w:rPr>
                <w:noProof/>
                <w:webHidden/>
              </w:rPr>
              <w:instrText xml:space="preserve"> PAGEREF _Toc142226924 \h </w:instrText>
            </w:r>
            <w:r w:rsidR="002F1FEC">
              <w:rPr>
                <w:noProof/>
                <w:webHidden/>
              </w:rPr>
            </w:r>
            <w:r w:rsidR="002F1FEC">
              <w:rPr>
                <w:noProof/>
                <w:webHidden/>
              </w:rPr>
              <w:fldChar w:fldCharType="separate"/>
            </w:r>
            <w:r w:rsidR="002F1FEC">
              <w:rPr>
                <w:noProof/>
                <w:webHidden/>
              </w:rPr>
              <w:t>1</w:t>
            </w:r>
            <w:r w:rsidR="002F1FEC">
              <w:rPr>
                <w:noProof/>
                <w:webHidden/>
              </w:rPr>
              <w:fldChar w:fldCharType="end"/>
            </w:r>
          </w:hyperlink>
        </w:p>
        <w:p w14:paraId="1DEE5DE7" w14:textId="40D4ECDE" w:rsidR="002F1FEC" w:rsidRDefault="00000000">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925" w:history="1">
            <w:r w:rsidR="002F1FEC" w:rsidRPr="001E00A5">
              <w:rPr>
                <w:rStyle w:val="Hyperlink"/>
                <w:noProof/>
              </w:rPr>
              <w:t>Market concentration possible values and rules</w:t>
            </w:r>
            <w:r w:rsidR="002F1FEC">
              <w:rPr>
                <w:noProof/>
                <w:webHidden/>
              </w:rPr>
              <w:tab/>
            </w:r>
            <w:r w:rsidR="002F1FEC">
              <w:rPr>
                <w:noProof/>
                <w:webHidden/>
              </w:rPr>
              <w:fldChar w:fldCharType="begin"/>
            </w:r>
            <w:r w:rsidR="002F1FEC">
              <w:rPr>
                <w:noProof/>
                <w:webHidden/>
              </w:rPr>
              <w:instrText xml:space="preserve"> PAGEREF _Toc142226925 \h </w:instrText>
            </w:r>
            <w:r w:rsidR="002F1FEC">
              <w:rPr>
                <w:noProof/>
                <w:webHidden/>
              </w:rPr>
            </w:r>
            <w:r w:rsidR="002F1FEC">
              <w:rPr>
                <w:noProof/>
                <w:webHidden/>
              </w:rPr>
              <w:fldChar w:fldCharType="separate"/>
            </w:r>
            <w:r w:rsidR="002F1FEC">
              <w:rPr>
                <w:noProof/>
                <w:webHidden/>
              </w:rPr>
              <w:t>1</w:t>
            </w:r>
            <w:r w:rsidR="002F1FEC">
              <w:rPr>
                <w:noProof/>
                <w:webHidden/>
              </w:rPr>
              <w:fldChar w:fldCharType="end"/>
            </w:r>
          </w:hyperlink>
        </w:p>
        <w:p w14:paraId="5C951EE3" w14:textId="25D2A6AA" w:rsidR="002F1FEC" w:rsidRDefault="00000000">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926" w:history="1">
            <w:r w:rsidR="002F1FEC" w:rsidRPr="001E00A5">
              <w:rPr>
                <w:rStyle w:val="Hyperlink"/>
                <w:noProof/>
              </w:rPr>
              <w:t>How to use the data</w:t>
            </w:r>
            <w:r w:rsidR="002F1FEC">
              <w:rPr>
                <w:noProof/>
                <w:webHidden/>
              </w:rPr>
              <w:tab/>
            </w:r>
            <w:r w:rsidR="002F1FEC">
              <w:rPr>
                <w:noProof/>
                <w:webHidden/>
              </w:rPr>
              <w:fldChar w:fldCharType="begin"/>
            </w:r>
            <w:r w:rsidR="002F1FEC">
              <w:rPr>
                <w:noProof/>
                <w:webHidden/>
              </w:rPr>
              <w:instrText xml:space="preserve"> PAGEREF _Toc142226926 \h </w:instrText>
            </w:r>
            <w:r w:rsidR="002F1FEC">
              <w:rPr>
                <w:noProof/>
                <w:webHidden/>
              </w:rPr>
            </w:r>
            <w:r w:rsidR="002F1FEC">
              <w:rPr>
                <w:noProof/>
                <w:webHidden/>
              </w:rPr>
              <w:fldChar w:fldCharType="separate"/>
            </w:r>
            <w:r w:rsidR="002F1FEC">
              <w:rPr>
                <w:noProof/>
                <w:webHidden/>
              </w:rPr>
              <w:t>3</w:t>
            </w:r>
            <w:r w:rsidR="002F1FEC">
              <w:rPr>
                <w:noProof/>
                <w:webHidden/>
              </w:rPr>
              <w:fldChar w:fldCharType="end"/>
            </w:r>
          </w:hyperlink>
        </w:p>
        <w:p w14:paraId="5FCEDE9A" w14:textId="293F114B" w:rsidR="002F1FEC" w:rsidRDefault="00000000">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26927" w:history="1">
            <w:r w:rsidR="002F1FEC" w:rsidRPr="001E00A5">
              <w:rPr>
                <w:rStyle w:val="Hyperlink"/>
                <w:noProof/>
              </w:rPr>
              <w:t>Example 1: How does market concentration vary across NT for different support categories?</w:t>
            </w:r>
            <w:r w:rsidR="002F1FEC">
              <w:rPr>
                <w:noProof/>
                <w:webHidden/>
              </w:rPr>
              <w:tab/>
            </w:r>
            <w:r w:rsidR="002F1FEC">
              <w:rPr>
                <w:noProof/>
                <w:webHidden/>
              </w:rPr>
              <w:fldChar w:fldCharType="begin"/>
            </w:r>
            <w:r w:rsidR="002F1FEC">
              <w:rPr>
                <w:noProof/>
                <w:webHidden/>
              </w:rPr>
              <w:instrText xml:space="preserve"> PAGEREF _Toc142226927 \h </w:instrText>
            </w:r>
            <w:r w:rsidR="002F1FEC">
              <w:rPr>
                <w:noProof/>
                <w:webHidden/>
              </w:rPr>
            </w:r>
            <w:r w:rsidR="002F1FEC">
              <w:rPr>
                <w:noProof/>
                <w:webHidden/>
              </w:rPr>
              <w:fldChar w:fldCharType="separate"/>
            </w:r>
            <w:r w:rsidR="002F1FEC">
              <w:rPr>
                <w:noProof/>
                <w:webHidden/>
              </w:rPr>
              <w:t>3</w:t>
            </w:r>
            <w:r w:rsidR="002F1FEC">
              <w:rPr>
                <w:noProof/>
                <w:webHidden/>
              </w:rPr>
              <w:fldChar w:fldCharType="end"/>
            </w:r>
          </w:hyperlink>
        </w:p>
        <w:p w14:paraId="1E3EA89E" w14:textId="078AC463" w:rsidR="002F1FEC" w:rsidRDefault="00000000">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26928" w:history="1">
            <w:r w:rsidR="002F1FEC" w:rsidRPr="001E00A5">
              <w:rPr>
                <w:rStyle w:val="Hyperlink"/>
                <w:noProof/>
              </w:rPr>
              <w:t>Example 2: How does market concentration vary across service districts in QLD for capacity building supports?</w:t>
            </w:r>
            <w:r w:rsidR="002F1FEC">
              <w:rPr>
                <w:noProof/>
                <w:webHidden/>
              </w:rPr>
              <w:tab/>
            </w:r>
            <w:r w:rsidR="002F1FEC">
              <w:rPr>
                <w:noProof/>
                <w:webHidden/>
              </w:rPr>
              <w:fldChar w:fldCharType="begin"/>
            </w:r>
            <w:r w:rsidR="002F1FEC">
              <w:rPr>
                <w:noProof/>
                <w:webHidden/>
              </w:rPr>
              <w:instrText xml:space="preserve"> PAGEREF _Toc142226928 \h </w:instrText>
            </w:r>
            <w:r w:rsidR="002F1FEC">
              <w:rPr>
                <w:noProof/>
                <w:webHidden/>
              </w:rPr>
            </w:r>
            <w:r w:rsidR="002F1FEC">
              <w:rPr>
                <w:noProof/>
                <w:webHidden/>
              </w:rPr>
              <w:fldChar w:fldCharType="separate"/>
            </w:r>
            <w:r w:rsidR="002F1FEC">
              <w:rPr>
                <w:noProof/>
                <w:webHidden/>
              </w:rPr>
              <w:t>4</w:t>
            </w:r>
            <w:r w:rsidR="002F1FEC">
              <w:rPr>
                <w:noProof/>
                <w:webHidden/>
              </w:rPr>
              <w:fldChar w:fldCharType="end"/>
            </w:r>
          </w:hyperlink>
        </w:p>
        <w:p w14:paraId="64D773BD" w14:textId="79005709" w:rsidR="002F1FEC" w:rsidRDefault="00000000">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929" w:history="1">
            <w:r w:rsidR="002F1FEC" w:rsidRPr="001E00A5">
              <w:rPr>
                <w:rStyle w:val="Hyperlink"/>
                <w:noProof/>
              </w:rPr>
              <w:t>About this document</w:t>
            </w:r>
            <w:r w:rsidR="002F1FEC">
              <w:rPr>
                <w:noProof/>
                <w:webHidden/>
              </w:rPr>
              <w:tab/>
            </w:r>
            <w:r w:rsidR="002F1FEC">
              <w:rPr>
                <w:noProof/>
                <w:webHidden/>
              </w:rPr>
              <w:fldChar w:fldCharType="begin"/>
            </w:r>
            <w:r w:rsidR="002F1FEC">
              <w:rPr>
                <w:noProof/>
                <w:webHidden/>
              </w:rPr>
              <w:instrText xml:space="preserve"> PAGEREF _Toc142226929 \h </w:instrText>
            </w:r>
            <w:r w:rsidR="002F1FEC">
              <w:rPr>
                <w:noProof/>
                <w:webHidden/>
              </w:rPr>
            </w:r>
            <w:r w:rsidR="002F1FEC">
              <w:rPr>
                <w:noProof/>
                <w:webHidden/>
              </w:rPr>
              <w:fldChar w:fldCharType="separate"/>
            </w:r>
            <w:r w:rsidR="002F1FEC">
              <w:rPr>
                <w:noProof/>
                <w:webHidden/>
              </w:rPr>
              <w:t>4</w:t>
            </w:r>
            <w:r w:rsidR="002F1FEC">
              <w:rPr>
                <w:noProof/>
                <w:webHidden/>
              </w:rPr>
              <w:fldChar w:fldCharType="end"/>
            </w:r>
          </w:hyperlink>
        </w:p>
        <w:p w14:paraId="0D64CE9E" w14:textId="387FF84C" w:rsidR="007B0265" w:rsidRDefault="00CA1943"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2" w:name="_Toc13752342" w:displacedByCustomXml="prev"/>
    <w:bookmarkStart w:id="3" w:name="_Toc13748872" w:displacedByCustomXml="prev"/>
    <w:p w14:paraId="6F572D22" w14:textId="77777777" w:rsidR="00FA6BAB" w:rsidRDefault="008055DA" w:rsidP="007B0265">
      <w:pPr>
        <w:pStyle w:val="Heading2"/>
      </w:pPr>
      <w:bookmarkStart w:id="4" w:name="_Toc13754191"/>
      <w:bookmarkStart w:id="5" w:name="_Toc142226925"/>
      <w:r>
        <w:t>Market concentration</w:t>
      </w:r>
      <w:r w:rsidR="00615253">
        <w:t xml:space="preserve"> p</w:t>
      </w:r>
      <w:r w:rsidR="0012309C">
        <w:t>ossible v</w:t>
      </w:r>
      <w:r w:rsidR="00FA6BAB">
        <w:t>alues and rules</w:t>
      </w:r>
      <w:bookmarkEnd w:id="2"/>
      <w:bookmarkEnd w:id="4"/>
      <w:bookmarkEnd w:id="5"/>
    </w:p>
    <w:p w14:paraId="5CC9A4D1" w14:textId="437878CE" w:rsidR="003144F5" w:rsidRPr="003144F5" w:rsidRDefault="003144F5" w:rsidP="003144F5">
      <w:pPr>
        <w:rPr>
          <w:rFonts w:cs="Arial"/>
        </w:rPr>
      </w:pPr>
      <w:r w:rsidRPr="003144F5">
        <w:rPr>
          <w:rFonts w:cs="Arial"/>
        </w:rPr>
        <w:t xml:space="preserve">This table contains </w:t>
      </w:r>
      <w:r w:rsidR="00CA1943">
        <w:rPr>
          <w:rFonts w:cs="Arial"/>
        </w:rPr>
        <w:t xml:space="preserve">data on </w:t>
      </w:r>
      <w:r w:rsidR="00966BD6">
        <w:rPr>
          <w:rFonts w:cs="Arial"/>
        </w:rPr>
        <w:t>market concentration</w:t>
      </w:r>
      <w:r w:rsidR="00966BD6" w:rsidRPr="003144F5">
        <w:rPr>
          <w:rFonts w:cs="Arial"/>
        </w:rPr>
        <w:t xml:space="preserve"> </w:t>
      </w:r>
      <w:r w:rsidR="00CA1943">
        <w:rPr>
          <w:rFonts w:cs="Arial"/>
        </w:rPr>
        <w:t>by S</w:t>
      </w:r>
      <w:r w:rsidRPr="003144F5">
        <w:rPr>
          <w:rFonts w:cs="Arial"/>
        </w:rPr>
        <w:t>tate</w:t>
      </w:r>
      <w:r w:rsidR="00CA1943">
        <w:rPr>
          <w:rFonts w:cs="Arial"/>
        </w:rPr>
        <w:t>/Territory</w:t>
      </w:r>
      <w:r w:rsidRPr="003144F5">
        <w:rPr>
          <w:rFonts w:cs="Arial"/>
        </w:rPr>
        <w:t>, service district</w:t>
      </w:r>
      <w:r w:rsidR="00F0374E">
        <w:rPr>
          <w:rFonts w:cs="Arial"/>
        </w:rPr>
        <w:t xml:space="preserve"> </w:t>
      </w:r>
      <w:r w:rsidRPr="003144F5">
        <w:rPr>
          <w:rFonts w:cs="Arial"/>
        </w:rPr>
        <w:t xml:space="preserve">and support </w:t>
      </w:r>
      <w:r w:rsidR="005F6526">
        <w:rPr>
          <w:rFonts w:cs="Arial"/>
        </w:rPr>
        <w:t>class</w:t>
      </w:r>
      <w:r w:rsidRPr="003144F5">
        <w:rPr>
          <w:rFonts w:cs="Arial"/>
        </w:rPr>
        <w:t>.</w:t>
      </w:r>
      <w:r w:rsidR="00966BD6">
        <w:rPr>
          <w:rFonts w:cs="Arial"/>
        </w:rPr>
        <w:t xml:space="preserve"> Market concentration is derived as </w:t>
      </w:r>
      <w:r w:rsidR="001C3DDD">
        <w:rPr>
          <w:rFonts w:cs="Arial"/>
        </w:rPr>
        <w:t xml:space="preserve">a </w:t>
      </w:r>
      <w:r w:rsidR="00966BD6" w:rsidRPr="00966BD6">
        <w:rPr>
          <w:rFonts w:cs="Arial"/>
        </w:rPr>
        <w:t xml:space="preserve">percentage of payments to </w:t>
      </w:r>
      <w:r w:rsidR="00B8499F">
        <w:rPr>
          <w:rFonts w:cs="Arial"/>
        </w:rPr>
        <w:t xml:space="preserve">the </w:t>
      </w:r>
      <w:r w:rsidR="00850B9E">
        <w:rPr>
          <w:rFonts w:cs="Arial"/>
        </w:rPr>
        <w:t xml:space="preserve">top </w:t>
      </w:r>
      <w:r w:rsidR="00966BD6" w:rsidRPr="0098201F">
        <w:rPr>
          <w:rFonts w:cs="Arial"/>
        </w:rPr>
        <w:t xml:space="preserve">10 </w:t>
      </w:r>
      <w:r w:rsidR="00850B9E" w:rsidRPr="0098201F">
        <w:rPr>
          <w:rFonts w:cs="Arial"/>
        </w:rPr>
        <w:t xml:space="preserve">largest </w:t>
      </w:r>
      <w:r w:rsidR="003A72AC" w:rsidRPr="0098201F">
        <w:rPr>
          <w:rFonts w:cs="Arial"/>
        </w:rPr>
        <w:t>providers</w:t>
      </w:r>
      <w:r w:rsidR="00850B9E">
        <w:rPr>
          <w:rFonts w:cs="Arial"/>
        </w:rPr>
        <w:t xml:space="preserve"> </w:t>
      </w:r>
      <w:r w:rsidR="005F6526" w:rsidRPr="005F6526">
        <w:rPr>
          <w:rFonts w:cs="Arial"/>
        </w:rPr>
        <w:t>in terms of payments made by the NDIS for the supports received</w:t>
      </w:r>
      <w:r w:rsidR="003A72AC">
        <w:rPr>
          <w:rFonts w:cs="Arial"/>
        </w:rPr>
        <w:t>. The</w:t>
      </w:r>
      <w:r w:rsidR="001C3DDD">
        <w:rPr>
          <w:rFonts w:cs="Arial"/>
        </w:rPr>
        <w:t xml:space="preserve"> payments in market share </w:t>
      </w:r>
      <w:r w:rsidR="00175AD0" w:rsidRPr="00175AD0">
        <w:rPr>
          <w:rFonts w:cs="Arial"/>
        </w:rPr>
        <w:t>only includes payments made directly to providers on behalf of participants as part of a participant’s plan</w:t>
      </w:r>
      <w:r w:rsidR="001C3DDD">
        <w:rPr>
          <w:rFonts w:cs="Arial"/>
        </w:rPr>
        <w:t>.</w:t>
      </w:r>
    </w:p>
    <w:p w14:paraId="702C2490" w14:textId="1A145166" w:rsidR="003B70A2" w:rsidRPr="003B70A2" w:rsidRDefault="003B70A2" w:rsidP="003B70A2">
      <w:pPr>
        <w:rPr>
          <w:rFonts w:cs="Arial"/>
        </w:rPr>
      </w:pPr>
      <w:r w:rsidRPr="003B70A2">
        <w:rPr>
          <w:rFonts w:cs="Arial"/>
        </w:rPr>
        <w:t xml:space="preserve">This data considers a 6-month period with a 3 month lag to allow for payments for supports which have occurred in that time to be included. For example, the data marked as </w:t>
      </w:r>
      <w:r w:rsidR="004342E3">
        <w:rPr>
          <w:rFonts w:cs="Arial"/>
        </w:rPr>
        <w:t>31 December</w:t>
      </w:r>
      <w:r w:rsidRPr="003B70A2">
        <w:rPr>
          <w:rFonts w:cs="Arial"/>
        </w:rPr>
        <w:t xml:space="preserve"> 2019 is built on support provided during </w:t>
      </w:r>
      <w:r w:rsidR="004342E3">
        <w:rPr>
          <w:rFonts w:cs="Arial"/>
        </w:rPr>
        <w:t>1 April 2019</w:t>
      </w:r>
      <w:r w:rsidRPr="003B70A2">
        <w:rPr>
          <w:rFonts w:cs="Arial"/>
        </w:rPr>
        <w:t xml:space="preserve"> to </w:t>
      </w:r>
      <w:r w:rsidR="004342E3">
        <w:rPr>
          <w:rFonts w:cs="Arial"/>
        </w:rPr>
        <w:t>30 September</w:t>
      </w:r>
      <w:r w:rsidRPr="003B70A2">
        <w:rPr>
          <w:rFonts w:cs="Arial"/>
        </w:rPr>
        <w:t xml:space="preserve"> 2019. Payments for supports will be allocated to the time that the support was provided, not the time that the payment was made.</w:t>
      </w:r>
    </w:p>
    <w:p w14:paraId="04C17D82" w14:textId="5595EEB1" w:rsidR="00AD49A1" w:rsidRDefault="00037BC1" w:rsidP="00092863">
      <w:pPr>
        <w:rPr>
          <w:rFonts w:cs="Arial"/>
        </w:rPr>
      </w:pPr>
      <w:r w:rsidRPr="714AC372">
        <w:rPr>
          <w:rFonts w:cs="Arial"/>
        </w:rPr>
        <w:t>The NDIS has been available in different service districts for varying amounts of time, and hence the data should be treated with caution.</w:t>
      </w:r>
    </w:p>
    <w:p w14:paraId="0CE05102" w14:textId="77777777" w:rsidR="004F380D" w:rsidRPr="008D6FB5" w:rsidRDefault="004F380D" w:rsidP="00092863">
      <w:pPr>
        <w:rPr>
          <w:rFonts w:cs="Arial"/>
        </w:rPr>
      </w:pPr>
    </w:p>
    <w:tbl>
      <w:tblPr>
        <w:tblStyle w:val="TableGrid"/>
        <w:tblW w:w="0" w:type="auto"/>
        <w:tblLook w:val="04A0" w:firstRow="1" w:lastRow="0" w:firstColumn="1" w:lastColumn="0" w:noHBand="0" w:noVBand="1"/>
        <w:tblCaption w:val="Market Concentration Possible Values and Rules"/>
        <w:tblDescription w:val="Thsi table contains utiliisaton of funds by state, service district, disability, age and support type."/>
      </w:tblPr>
      <w:tblGrid>
        <w:gridCol w:w="2283"/>
        <w:gridCol w:w="1823"/>
        <w:gridCol w:w="3402"/>
        <w:gridCol w:w="2552"/>
      </w:tblGrid>
      <w:tr w:rsidR="00FA7DE7" w:rsidRPr="009465EB" w14:paraId="2DEBAFDC" w14:textId="77777777" w:rsidTr="714AC372">
        <w:trPr>
          <w:tblHeader/>
        </w:trPr>
        <w:tc>
          <w:tcPr>
            <w:tcW w:w="2283" w:type="dxa"/>
          </w:tcPr>
          <w:p w14:paraId="0BF1BD8D" w14:textId="68D1A83C" w:rsidR="00FA7DE7" w:rsidRPr="009465EB" w:rsidRDefault="00D305AA" w:rsidP="00CE72DA">
            <w:pPr>
              <w:rPr>
                <w:b/>
              </w:rPr>
            </w:pPr>
            <w:r>
              <w:rPr>
                <w:b/>
              </w:rPr>
              <w:t>Variable</w:t>
            </w:r>
          </w:p>
        </w:tc>
        <w:tc>
          <w:tcPr>
            <w:tcW w:w="1823" w:type="dxa"/>
          </w:tcPr>
          <w:p w14:paraId="5401924E" w14:textId="77777777" w:rsidR="00FA7DE7" w:rsidRPr="009465EB" w:rsidRDefault="00FA7DE7" w:rsidP="00CE72DA">
            <w:pPr>
              <w:rPr>
                <w:b/>
              </w:rPr>
            </w:pPr>
            <w:r w:rsidRPr="009465EB">
              <w:rPr>
                <w:b/>
              </w:rPr>
              <w:t>Description</w:t>
            </w:r>
          </w:p>
        </w:tc>
        <w:tc>
          <w:tcPr>
            <w:tcW w:w="3402" w:type="dxa"/>
          </w:tcPr>
          <w:p w14:paraId="5B568A22" w14:textId="77777777" w:rsidR="00FA7DE7" w:rsidRPr="009465EB" w:rsidRDefault="00FA7DE7" w:rsidP="00CE72DA">
            <w:pPr>
              <w:rPr>
                <w:b/>
              </w:rPr>
            </w:pPr>
            <w:r w:rsidRPr="009465EB">
              <w:rPr>
                <w:b/>
              </w:rPr>
              <w:t>Rules</w:t>
            </w:r>
          </w:p>
        </w:tc>
        <w:tc>
          <w:tcPr>
            <w:tcW w:w="2552" w:type="dxa"/>
          </w:tcPr>
          <w:p w14:paraId="21FE255A" w14:textId="317AF218" w:rsidR="00FA7DE7" w:rsidRPr="009465EB" w:rsidRDefault="00246DBA" w:rsidP="00CE72DA">
            <w:pPr>
              <w:rPr>
                <w:b/>
              </w:rPr>
            </w:pPr>
            <w:r>
              <w:rPr>
                <w:b/>
              </w:rPr>
              <w:t xml:space="preserve">Sample </w:t>
            </w:r>
            <w:r w:rsidR="00FA7DE7" w:rsidRPr="009465EB">
              <w:rPr>
                <w:b/>
              </w:rPr>
              <w:t>Possible Values</w:t>
            </w:r>
          </w:p>
        </w:tc>
      </w:tr>
      <w:tr w:rsidR="00FA7DE7" w:rsidRPr="00EE4219" w14:paraId="22A43179" w14:textId="77777777" w:rsidTr="714AC372">
        <w:tc>
          <w:tcPr>
            <w:tcW w:w="2283" w:type="dxa"/>
          </w:tcPr>
          <w:p w14:paraId="45C64D4F" w14:textId="77777777" w:rsidR="00FA7DE7" w:rsidRDefault="00FA7DE7" w:rsidP="00CE72DA">
            <w:r>
              <w:t>RprtDate</w:t>
            </w:r>
          </w:p>
        </w:tc>
        <w:tc>
          <w:tcPr>
            <w:tcW w:w="1823" w:type="dxa"/>
          </w:tcPr>
          <w:p w14:paraId="6390A6FD" w14:textId="77777777" w:rsidR="00FA7DE7" w:rsidRDefault="00FA7DE7" w:rsidP="00CE72DA">
            <w:r>
              <w:t>Reporting date</w:t>
            </w:r>
          </w:p>
        </w:tc>
        <w:tc>
          <w:tcPr>
            <w:tcW w:w="3402" w:type="dxa"/>
          </w:tcPr>
          <w:p w14:paraId="3F632934" w14:textId="77777777" w:rsidR="00FA7DE7" w:rsidRDefault="00FA7DE7" w:rsidP="00FA7DE7">
            <w:pPr>
              <w:pStyle w:val="ListParagraph"/>
              <w:numPr>
                <w:ilvl w:val="0"/>
                <w:numId w:val="14"/>
              </w:numPr>
              <w:spacing w:after="0"/>
              <w:ind w:left="258" w:hanging="258"/>
            </w:pPr>
            <w:r>
              <w:t>The dates will align with quarter end dates</w:t>
            </w:r>
          </w:p>
          <w:p w14:paraId="110FB468" w14:textId="2356E220" w:rsidR="00FA7DE7" w:rsidRDefault="00FA7DE7" w:rsidP="0049131C">
            <w:pPr>
              <w:pStyle w:val="ListParagraph"/>
              <w:numPr>
                <w:ilvl w:val="0"/>
                <w:numId w:val="14"/>
              </w:numPr>
              <w:ind w:left="255" w:hanging="255"/>
              <w:contextualSpacing w:val="0"/>
            </w:pPr>
            <w:r w:rsidRPr="00CF7A74">
              <w:t>The data set</w:t>
            </w:r>
            <w:r w:rsidR="00516CF0" w:rsidRPr="00037BC1">
              <w:t xml:space="preserve"> </w:t>
            </w:r>
            <w:r w:rsidR="00516CF0">
              <w:t>contains</w:t>
            </w:r>
            <w:r w:rsidRPr="00516CF0">
              <w:t xml:space="preserve"> multiple dates</w:t>
            </w:r>
          </w:p>
        </w:tc>
        <w:tc>
          <w:tcPr>
            <w:tcW w:w="2552" w:type="dxa"/>
          </w:tcPr>
          <w:p w14:paraId="6605B75A" w14:textId="6735EBA8" w:rsidR="00275C80" w:rsidRPr="00E72D38" w:rsidRDefault="00275C80" w:rsidP="00275C80">
            <w:pPr>
              <w:numPr>
                <w:ilvl w:val="0"/>
                <w:numId w:val="15"/>
              </w:numPr>
              <w:spacing w:after="0"/>
              <w:textAlignment w:val="center"/>
              <w:rPr>
                <w:rFonts w:eastAsia="Times New Roman" w:cs="Arial"/>
                <w:lang w:eastAsia="en-AU"/>
              </w:rPr>
            </w:pPr>
            <w:r w:rsidRPr="00E72D38">
              <w:rPr>
                <w:rFonts w:eastAsia="Times New Roman" w:cs="Arial"/>
                <w:lang w:eastAsia="en-AU"/>
              </w:rPr>
              <w:t>3</w:t>
            </w:r>
            <w:r>
              <w:rPr>
                <w:rFonts w:eastAsia="Times New Roman" w:cs="Arial"/>
                <w:lang w:eastAsia="en-AU"/>
              </w:rPr>
              <w:t>0</w:t>
            </w:r>
            <w:r>
              <w:rPr>
                <w:rFonts w:eastAsia="Times New Roman" w:cs="Arial"/>
                <w:lang w:eastAsia="en-AU"/>
              </w:rPr>
              <w:t>Sep</w:t>
            </w:r>
            <w:r w:rsidRPr="00E72D38">
              <w:rPr>
                <w:rFonts w:eastAsia="Times New Roman" w:cs="Arial"/>
                <w:lang w:eastAsia="en-AU"/>
              </w:rPr>
              <w:t>202</w:t>
            </w:r>
            <w:r>
              <w:rPr>
                <w:rFonts w:eastAsia="Times New Roman" w:cs="Arial"/>
                <w:lang w:eastAsia="en-AU"/>
              </w:rPr>
              <w:t>4</w:t>
            </w:r>
          </w:p>
          <w:p w14:paraId="751393D4" w14:textId="41B2E2F2" w:rsidR="00170591" w:rsidRPr="00E72D38" w:rsidRDefault="00170591" w:rsidP="00170591">
            <w:pPr>
              <w:numPr>
                <w:ilvl w:val="0"/>
                <w:numId w:val="15"/>
              </w:numPr>
              <w:spacing w:after="0"/>
              <w:textAlignment w:val="center"/>
              <w:rPr>
                <w:rFonts w:eastAsia="Times New Roman" w:cs="Arial"/>
                <w:lang w:eastAsia="en-AU"/>
              </w:rPr>
            </w:pPr>
            <w:r w:rsidRPr="00E72D38">
              <w:rPr>
                <w:rFonts w:eastAsia="Times New Roman" w:cs="Arial"/>
                <w:lang w:eastAsia="en-AU"/>
              </w:rPr>
              <w:t>3</w:t>
            </w:r>
            <w:r>
              <w:rPr>
                <w:rFonts w:eastAsia="Times New Roman" w:cs="Arial"/>
                <w:lang w:eastAsia="en-AU"/>
              </w:rPr>
              <w:t>0Jun</w:t>
            </w:r>
            <w:r w:rsidRPr="00E72D38">
              <w:rPr>
                <w:rFonts w:eastAsia="Times New Roman" w:cs="Arial"/>
                <w:lang w:eastAsia="en-AU"/>
              </w:rPr>
              <w:t>202</w:t>
            </w:r>
            <w:r>
              <w:rPr>
                <w:rFonts w:eastAsia="Times New Roman" w:cs="Arial"/>
                <w:lang w:eastAsia="en-AU"/>
              </w:rPr>
              <w:t>4</w:t>
            </w:r>
          </w:p>
          <w:p w14:paraId="0E52233F" w14:textId="3E280A0C" w:rsidR="00A53646" w:rsidRPr="00E72D38" w:rsidRDefault="00A53646" w:rsidP="00A53646">
            <w:pPr>
              <w:numPr>
                <w:ilvl w:val="0"/>
                <w:numId w:val="15"/>
              </w:numPr>
              <w:spacing w:after="0"/>
              <w:textAlignment w:val="center"/>
              <w:rPr>
                <w:rFonts w:eastAsia="Times New Roman" w:cs="Arial"/>
                <w:lang w:eastAsia="en-AU"/>
              </w:rPr>
            </w:pPr>
            <w:r w:rsidRPr="00E72D38">
              <w:rPr>
                <w:rFonts w:eastAsia="Times New Roman" w:cs="Arial"/>
                <w:lang w:eastAsia="en-AU"/>
              </w:rPr>
              <w:t>31Mar202</w:t>
            </w:r>
            <w:r>
              <w:rPr>
                <w:rFonts w:eastAsia="Times New Roman" w:cs="Arial"/>
                <w:lang w:eastAsia="en-AU"/>
              </w:rPr>
              <w:t>4</w:t>
            </w:r>
          </w:p>
          <w:p w14:paraId="25829413" w14:textId="468814C7" w:rsidR="005D7C75" w:rsidRDefault="005D7C75" w:rsidP="007630C4">
            <w:pPr>
              <w:numPr>
                <w:ilvl w:val="0"/>
                <w:numId w:val="15"/>
              </w:numPr>
              <w:spacing w:after="0"/>
              <w:textAlignment w:val="center"/>
              <w:rPr>
                <w:rFonts w:eastAsia="Times New Roman" w:cs="Arial"/>
                <w:lang w:eastAsia="en-AU"/>
              </w:rPr>
            </w:pPr>
            <w:r>
              <w:rPr>
                <w:rFonts w:eastAsia="Times New Roman" w:cs="Arial"/>
                <w:lang w:eastAsia="en-AU"/>
              </w:rPr>
              <w:t>3</w:t>
            </w:r>
            <w:r w:rsidR="002B620A">
              <w:rPr>
                <w:rFonts w:eastAsia="Times New Roman" w:cs="Arial"/>
                <w:lang w:eastAsia="en-AU"/>
              </w:rPr>
              <w:t>1Dec</w:t>
            </w:r>
            <w:r>
              <w:rPr>
                <w:rFonts w:eastAsia="Times New Roman" w:cs="Arial"/>
                <w:lang w:eastAsia="en-AU"/>
              </w:rPr>
              <w:t>2023</w:t>
            </w:r>
          </w:p>
          <w:p w14:paraId="28034CB1" w14:textId="3FD90E80" w:rsidR="002B620A" w:rsidRPr="002B620A" w:rsidRDefault="002B620A" w:rsidP="002B620A">
            <w:pPr>
              <w:numPr>
                <w:ilvl w:val="0"/>
                <w:numId w:val="15"/>
              </w:numPr>
              <w:spacing w:after="0"/>
              <w:textAlignment w:val="center"/>
              <w:rPr>
                <w:rFonts w:eastAsia="Times New Roman" w:cs="Arial"/>
                <w:lang w:eastAsia="en-AU"/>
              </w:rPr>
            </w:pPr>
            <w:r>
              <w:rPr>
                <w:rFonts w:eastAsia="Times New Roman" w:cs="Arial"/>
                <w:lang w:eastAsia="en-AU"/>
              </w:rPr>
              <w:t>30Sep2023</w:t>
            </w:r>
          </w:p>
          <w:p w14:paraId="77808A74" w14:textId="5B3F468E" w:rsidR="002F1FEC" w:rsidRDefault="002F1FEC" w:rsidP="007630C4">
            <w:pPr>
              <w:numPr>
                <w:ilvl w:val="0"/>
                <w:numId w:val="15"/>
              </w:numPr>
              <w:spacing w:after="0"/>
              <w:textAlignment w:val="center"/>
              <w:rPr>
                <w:rFonts w:eastAsia="Times New Roman" w:cs="Arial"/>
                <w:lang w:eastAsia="en-AU"/>
              </w:rPr>
            </w:pPr>
            <w:r>
              <w:rPr>
                <w:rFonts w:eastAsia="Times New Roman" w:cs="Arial"/>
                <w:lang w:eastAsia="en-AU"/>
              </w:rPr>
              <w:t>30JUN2023</w:t>
            </w:r>
          </w:p>
          <w:p w14:paraId="7F983D25" w14:textId="7EC8C6D3" w:rsidR="007630C4" w:rsidRPr="00E72D38" w:rsidRDefault="007630C4" w:rsidP="007630C4">
            <w:pPr>
              <w:numPr>
                <w:ilvl w:val="0"/>
                <w:numId w:val="15"/>
              </w:numPr>
              <w:spacing w:after="0"/>
              <w:textAlignment w:val="center"/>
              <w:rPr>
                <w:rFonts w:eastAsia="Times New Roman" w:cs="Arial"/>
                <w:lang w:eastAsia="en-AU"/>
              </w:rPr>
            </w:pPr>
            <w:r w:rsidRPr="00E72D38">
              <w:rPr>
                <w:rFonts w:eastAsia="Times New Roman" w:cs="Arial"/>
                <w:lang w:eastAsia="en-AU"/>
              </w:rPr>
              <w:t>31Mar202</w:t>
            </w:r>
            <w:r>
              <w:rPr>
                <w:rFonts w:eastAsia="Times New Roman" w:cs="Arial"/>
                <w:lang w:eastAsia="en-AU"/>
              </w:rPr>
              <w:t>3</w:t>
            </w:r>
          </w:p>
          <w:p w14:paraId="7F1A6568" w14:textId="57FDE486" w:rsidR="007630C4" w:rsidRDefault="007630C4" w:rsidP="007630C4">
            <w:pPr>
              <w:numPr>
                <w:ilvl w:val="0"/>
                <w:numId w:val="15"/>
              </w:numPr>
              <w:spacing w:after="0"/>
              <w:textAlignment w:val="center"/>
              <w:rPr>
                <w:rFonts w:eastAsia="Times New Roman" w:cs="Arial"/>
                <w:lang w:eastAsia="en-AU"/>
              </w:rPr>
            </w:pPr>
            <w:r>
              <w:rPr>
                <w:rFonts w:eastAsia="Times New Roman" w:cs="Arial"/>
                <w:lang w:eastAsia="en-AU"/>
              </w:rPr>
              <w:t>31Dec2022</w:t>
            </w:r>
          </w:p>
          <w:p w14:paraId="32B1444A" w14:textId="7308651B" w:rsidR="007630C4" w:rsidRDefault="007630C4" w:rsidP="007630C4">
            <w:pPr>
              <w:numPr>
                <w:ilvl w:val="0"/>
                <w:numId w:val="15"/>
              </w:numPr>
              <w:spacing w:after="0"/>
              <w:textAlignment w:val="center"/>
              <w:rPr>
                <w:rFonts w:eastAsia="Times New Roman" w:cs="Arial"/>
                <w:lang w:eastAsia="en-AU"/>
              </w:rPr>
            </w:pPr>
            <w:r w:rsidRPr="00E72D38">
              <w:rPr>
                <w:rFonts w:eastAsia="Times New Roman" w:cs="Arial"/>
                <w:lang w:eastAsia="en-AU"/>
              </w:rPr>
              <w:t>30Sep202</w:t>
            </w:r>
            <w:r>
              <w:rPr>
                <w:rFonts w:eastAsia="Times New Roman" w:cs="Arial"/>
                <w:lang w:eastAsia="en-AU"/>
              </w:rPr>
              <w:t>2</w:t>
            </w:r>
          </w:p>
          <w:p w14:paraId="559587F3" w14:textId="5336F433" w:rsidR="007630C4" w:rsidRPr="00E72D38" w:rsidRDefault="007630C4" w:rsidP="007630C4">
            <w:pPr>
              <w:numPr>
                <w:ilvl w:val="0"/>
                <w:numId w:val="15"/>
              </w:numPr>
              <w:spacing w:after="0"/>
              <w:textAlignment w:val="center"/>
              <w:rPr>
                <w:rFonts w:eastAsia="Times New Roman" w:cs="Arial"/>
                <w:lang w:eastAsia="en-AU"/>
              </w:rPr>
            </w:pPr>
            <w:r w:rsidRPr="00E72D38">
              <w:rPr>
                <w:rFonts w:eastAsia="Times New Roman" w:cs="Arial"/>
                <w:lang w:eastAsia="en-AU"/>
              </w:rPr>
              <w:t>30Jun202</w:t>
            </w:r>
            <w:r>
              <w:rPr>
                <w:rFonts w:eastAsia="Times New Roman" w:cs="Arial"/>
                <w:lang w:eastAsia="en-AU"/>
              </w:rPr>
              <w:t>2</w:t>
            </w:r>
          </w:p>
          <w:p w14:paraId="648D508A" w14:textId="68CCAD59" w:rsidR="007630C4" w:rsidRPr="00E72D38" w:rsidRDefault="007630C4" w:rsidP="007630C4">
            <w:pPr>
              <w:numPr>
                <w:ilvl w:val="0"/>
                <w:numId w:val="15"/>
              </w:numPr>
              <w:spacing w:after="0"/>
              <w:textAlignment w:val="center"/>
              <w:rPr>
                <w:rFonts w:eastAsia="Times New Roman" w:cs="Arial"/>
                <w:lang w:eastAsia="en-AU"/>
              </w:rPr>
            </w:pPr>
            <w:r w:rsidRPr="00E72D38">
              <w:rPr>
                <w:rFonts w:eastAsia="Times New Roman" w:cs="Arial"/>
                <w:lang w:eastAsia="en-AU"/>
              </w:rPr>
              <w:t>31Mar202</w:t>
            </w:r>
            <w:r>
              <w:rPr>
                <w:rFonts w:eastAsia="Times New Roman" w:cs="Arial"/>
                <w:lang w:eastAsia="en-AU"/>
              </w:rPr>
              <w:t>2</w:t>
            </w:r>
          </w:p>
          <w:p w14:paraId="693ED292" w14:textId="5E4B4CD4" w:rsidR="00CB208A" w:rsidRDefault="00CB208A" w:rsidP="00E72D38">
            <w:pPr>
              <w:numPr>
                <w:ilvl w:val="0"/>
                <w:numId w:val="15"/>
              </w:numPr>
              <w:spacing w:after="0"/>
              <w:textAlignment w:val="center"/>
              <w:rPr>
                <w:rFonts w:eastAsia="Times New Roman" w:cs="Arial"/>
                <w:lang w:eastAsia="en-AU"/>
              </w:rPr>
            </w:pPr>
            <w:r>
              <w:rPr>
                <w:rFonts w:eastAsia="Times New Roman" w:cs="Arial"/>
                <w:lang w:eastAsia="en-AU"/>
              </w:rPr>
              <w:lastRenderedPageBreak/>
              <w:t>31Dec2021</w:t>
            </w:r>
          </w:p>
          <w:p w14:paraId="23053C1B" w14:textId="286FEF5F" w:rsidR="00881B41" w:rsidRDefault="00881B41" w:rsidP="00E72D38">
            <w:pPr>
              <w:numPr>
                <w:ilvl w:val="0"/>
                <w:numId w:val="15"/>
              </w:numPr>
              <w:spacing w:after="0"/>
              <w:textAlignment w:val="center"/>
              <w:rPr>
                <w:rFonts w:eastAsia="Times New Roman" w:cs="Arial"/>
                <w:lang w:eastAsia="en-AU"/>
              </w:rPr>
            </w:pPr>
            <w:r w:rsidRPr="00E72D38">
              <w:rPr>
                <w:rFonts w:eastAsia="Times New Roman" w:cs="Arial"/>
                <w:lang w:eastAsia="en-AU"/>
              </w:rPr>
              <w:t>30Sep2021</w:t>
            </w:r>
          </w:p>
          <w:p w14:paraId="1D4912D7" w14:textId="7498BFDB"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30Jun2021</w:t>
            </w:r>
          </w:p>
          <w:p w14:paraId="17648B2A" w14:textId="77777777"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31Mar2021</w:t>
            </w:r>
          </w:p>
          <w:p w14:paraId="073B818F" w14:textId="77777777"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31Dec2020</w:t>
            </w:r>
          </w:p>
          <w:p w14:paraId="10E60060" w14:textId="77777777"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30Sep2020</w:t>
            </w:r>
          </w:p>
          <w:p w14:paraId="62A929E8" w14:textId="77777777"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30Jun2020</w:t>
            </w:r>
          </w:p>
          <w:p w14:paraId="0EB98A9E" w14:textId="77777777"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31Mar2020</w:t>
            </w:r>
          </w:p>
          <w:p w14:paraId="7F0780FF" w14:textId="77777777"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31Dec2019</w:t>
            </w:r>
          </w:p>
          <w:p w14:paraId="5DECC047" w14:textId="77777777"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30Sep2019</w:t>
            </w:r>
          </w:p>
          <w:p w14:paraId="6F015EF1" w14:textId="0719927C" w:rsidR="00E904E5" w:rsidRPr="00881B41" w:rsidRDefault="00E72D38" w:rsidP="00881B41">
            <w:pPr>
              <w:numPr>
                <w:ilvl w:val="0"/>
                <w:numId w:val="15"/>
              </w:numPr>
              <w:spacing w:after="0"/>
              <w:textAlignment w:val="center"/>
              <w:rPr>
                <w:rFonts w:eastAsia="Times New Roman" w:cs="Arial"/>
                <w:lang w:eastAsia="en-AU"/>
              </w:rPr>
            </w:pPr>
            <w:r w:rsidRPr="00E72D38">
              <w:rPr>
                <w:rFonts w:eastAsia="Times New Roman" w:cs="Arial"/>
                <w:lang w:eastAsia="en-AU"/>
              </w:rPr>
              <w:t>30Jun2019</w:t>
            </w:r>
          </w:p>
        </w:tc>
      </w:tr>
      <w:tr w:rsidR="00FA7DE7" w14:paraId="66C2845A" w14:textId="77777777" w:rsidTr="714AC372">
        <w:tc>
          <w:tcPr>
            <w:tcW w:w="2283" w:type="dxa"/>
          </w:tcPr>
          <w:p w14:paraId="100AB46B" w14:textId="77777777" w:rsidR="00FA7DE7" w:rsidRDefault="00FA7DE7" w:rsidP="00CE72DA">
            <w:r>
              <w:lastRenderedPageBreak/>
              <w:t>StateCd</w:t>
            </w:r>
          </w:p>
        </w:tc>
        <w:tc>
          <w:tcPr>
            <w:tcW w:w="1823" w:type="dxa"/>
          </w:tcPr>
          <w:p w14:paraId="05B82EF6" w14:textId="611351DC" w:rsidR="00FA7DE7" w:rsidRDefault="00EC579F" w:rsidP="00CE72DA">
            <w:r>
              <w:t>State/Territory where the participant resides</w:t>
            </w:r>
          </w:p>
        </w:tc>
        <w:tc>
          <w:tcPr>
            <w:tcW w:w="3402" w:type="dxa"/>
          </w:tcPr>
          <w:p w14:paraId="21C5F2E2" w14:textId="382E6043" w:rsidR="000A5CCE" w:rsidRDefault="000A5CCE" w:rsidP="00FA7DE7">
            <w:pPr>
              <w:pStyle w:val="ListParagraph"/>
              <w:numPr>
                <w:ilvl w:val="0"/>
                <w:numId w:val="14"/>
              </w:numPr>
              <w:spacing w:after="0"/>
              <w:ind w:left="258" w:hanging="258"/>
            </w:pPr>
            <w:r>
              <w:t>This is the State/Territory of residence for the participant receiving service</w:t>
            </w:r>
          </w:p>
          <w:p w14:paraId="05EE4ECA" w14:textId="7BB4467E" w:rsidR="00FA7DE7" w:rsidRDefault="00FA7DE7" w:rsidP="00FA7DE7">
            <w:pPr>
              <w:pStyle w:val="ListParagraph"/>
              <w:numPr>
                <w:ilvl w:val="0"/>
                <w:numId w:val="14"/>
              </w:numPr>
              <w:spacing w:after="0"/>
              <w:ind w:left="258" w:hanging="258"/>
            </w:pPr>
            <w:r>
              <w:t xml:space="preserve">All </w:t>
            </w:r>
            <w:r w:rsidR="00850B9E">
              <w:t>S</w:t>
            </w:r>
            <w:r>
              <w:t>tates/</w:t>
            </w:r>
            <w:r w:rsidR="00850B9E">
              <w:t>T</w:t>
            </w:r>
            <w:r>
              <w:t>erritories may not have all the support</w:t>
            </w:r>
            <w:r w:rsidR="00F64332">
              <w:t xml:space="preserve"> class</w:t>
            </w:r>
            <w:r w:rsidR="00877292">
              <w:t>es</w:t>
            </w:r>
          </w:p>
          <w:p w14:paraId="2251506F" w14:textId="1DD79105" w:rsidR="00FA7DE7" w:rsidRDefault="00FA7DE7" w:rsidP="001152A0">
            <w:pPr>
              <w:pStyle w:val="ListParagraph"/>
              <w:numPr>
                <w:ilvl w:val="0"/>
                <w:numId w:val="14"/>
              </w:numPr>
              <w:ind w:left="255" w:hanging="255"/>
              <w:contextualSpacing w:val="0"/>
            </w:pPr>
            <w:r>
              <w:t xml:space="preserve">“ALL” denotes all the </w:t>
            </w:r>
            <w:r w:rsidR="00850B9E">
              <w:t>S</w:t>
            </w:r>
            <w:r>
              <w:t>tates/</w:t>
            </w:r>
            <w:r w:rsidR="00850B9E">
              <w:t>T</w:t>
            </w:r>
            <w:r>
              <w:t xml:space="preserve">erritories </w:t>
            </w:r>
            <w:r w:rsidR="00874FC0">
              <w:t>where the NDIA operates</w:t>
            </w:r>
          </w:p>
        </w:tc>
        <w:tc>
          <w:tcPr>
            <w:tcW w:w="2552" w:type="dxa"/>
          </w:tcPr>
          <w:p w14:paraId="36A27279" w14:textId="77777777" w:rsidR="008B5C1D" w:rsidRDefault="008B5C1D" w:rsidP="008B5C1D">
            <w:pPr>
              <w:pStyle w:val="ListParagraph"/>
              <w:numPr>
                <w:ilvl w:val="0"/>
                <w:numId w:val="25"/>
              </w:numPr>
            </w:pPr>
            <w:r>
              <w:t>ACT</w:t>
            </w:r>
          </w:p>
          <w:p w14:paraId="110E5936" w14:textId="77777777" w:rsidR="008B5C1D" w:rsidRDefault="008B5C1D" w:rsidP="008B5C1D">
            <w:pPr>
              <w:pStyle w:val="ListParagraph"/>
              <w:numPr>
                <w:ilvl w:val="0"/>
                <w:numId w:val="25"/>
              </w:numPr>
            </w:pPr>
            <w:r>
              <w:t>ALL</w:t>
            </w:r>
          </w:p>
          <w:p w14:paraId="6E812A81" w14:textId="77777777" w:rsidR="008B5C1D" w:rsidRDefault="008B5C1D" w:rsidP="008B5C1D">
            <w:pPr>
              <w:pStyle w:val="ListParagraph"/>
              <w:numPr>
                <w:ilvl w:val="0"/>
                <w:numId w:val="25"/>
              </w:numPr>
            </w:pPr>
            <w:r>
              <w:t>MIS</w:t>
            </w:r>
          </w:p>
          <w:p w14:paraId="6C489869" w14:textId="77777777" w:rsidR="008B5C1D" w:rsidRDefault="008B5C1D" w:rsidP="008B5C1D">
            <w:pPr>
              <w:pStyle w:val="ListParagraph"/>
              <w:numPr>
                <w:ilvl w:val="0"/>
                <w:numId w:val="25"/>
              </w:numPr>
            </w:pPr>
            <w:r>
              <w:t>Missing</w:t>
            </w:r>
          </w:p>
          <w:p w14:paraId="380BF698" w14:textId="77777777" w:rsidR="008B5C1D" w:rsidRDefault="008B5C1D" w:rsidP="008B5C1D">
            <w:pPr>
              <w:pStyle w:val="ListParagraph"/>
              <w:numPr>
                <w:ilvl w:val="0"/>
                <w:numId w:val="25"/>
              </w:numPr>
            </w:pPr>
            <w:r>
              <w:t>NSW</w:t>
            </w:r>
          </w:p>
          <w:p w14:paraId="3E000833" w14:textId="77777777" w:rsidR="008B5C1D" w:rsidRDefault="008B5C1D" w:rsidP="008B5C1D">
            <w:pPr>
              <w:pStyle w:val="ListParagraph"/>
              <w:numPr>
                <w:ilvl w:val="0"/>
                <w:numId w:val="25"/>
              </w:numPr>
            </w:pPr>
            <w:r>
              <w:t>NT</w:t>
            </w:r>
          </w:p>
          <w:p w14:paraId="22476458" w14:textId="77777777" w:rsidR="008B5C1D" w:rsidRDefault="008B5C1D" w:rsidP="008B5C1D">
            <w:pPr>
              <w:pStyle w:val="ListParagraph"/>
              <w:numPr>
                <w:ilvl w:val="0"/>
                <w:numId w:val="25"/>
              </w:numPr>
            </w:pPr>
            <w:r>
              <w:t>QLD</w:t>
            </w:r>
          </w:p>
          <w:p w14:paraId="27E15950" w14:textId="77777777" w:rsidR="008B5C1D" w:rsidRDefault="008B5C1D" w:rsidP="008B5C1D">
            <w:pPr>
              <w:pStyle w:val="ListParagraph"/>
              <w:numPr>
                <w:ilvl w:val="0"/>
                <w:numId w:val="25"/>
              </w:numPr>
            </w:pPr>
            <w:r>
              <w:t>SA</w:t>
            </w:r>
          </w:p>
          <w:p w14:paraId="0B2C27A2" w14:textId="77777777" w:rsidR="008B5C1D" w:rsidRDefault="008B5C1D" w:rsidP="008B5C1D">
            <w:pPr>
              <w:pStyle w:val="ListParagraph"/>
              <w:numPr>
                <w:ilvl w:val="0"/>
                <w:numId w:val="25"/>
              </w:numPr>
            </w:pPr>
            <w:r>
              <w:t>TAS</w:t>
            </w:r>
          </w:p>
          <w:p w14:paraId="37F935F6" w14:textId="77777777" w:rsidR="008B5C1D" w:rsidRDefault="008B5C1D" w:rsidP="008B5C1D">
            <w:pPr>
              <w:pStyle w:val="ListParagraph"/>
              <w:numPr>
                <w:ilvl w:val="0"/>
                <w:numId w:val="25"/>
              </w:numPr>
            </w:pPr>
            <w:r>
              <w:t>VIC</w:t>
            </w:r>
          </w:p>
          <w:p w14:paraId="74867EFC" w14:textId="6E97FC79" w:rsidR="00FA7DE7" w:rsidRDefault="008B5C1D" w:rsidP="008B5C1D">
            <w:pPr>
              <w:pStyle w:val="ListParagraph"/>
              <w:numPr>
                <w:ilvl w:val="0"/>
                <w:numId w:val="25"/>
              </w:numPr>
            </w:pPr>
            <w:r>
              <w:t>WA</w:t>
            </w:r>
          </w:p>
        </w:tc>
      </w:tr>
      <w:tr w:rsidR="00FA7DE7" w14:paraId="54A4F715" w14:textId="77777777" w:rsidTr="714AC372">
        <w:tc>
          <w:tcPr>
            <w:tcW w:w="2283" w:type="dxa"/>
            <w:hideMark/>
          </w:tcPr>
          <w:p w14:paraId="4F5C65CF" w14:textId="77777777" w:rsidR="00FA7DE7" w:rsidRDefault="00FA7DE7" w:rsidP="00CE72DA">
            <w:r>
              <w:t>SrvcDstrctNm</w:t>
            </w:r>
          </w:p>
        </w:tc>
        <w:tc>
          <w:tcPr>
            <w:tcW w:w="1823" w:type="dxa"/>
            <w:hideMark/>
          </w:tcPr>
          <w:p w14:paraId="26BA8C5E" w14:textId="3290AAFE" w:rsidR="00FA7DE7" w:rsidRDefault="00FA7DE7" w:rsidP="00CE72DA">
            <w:r>
              <w:t>Service district</w:t>
            </w:r>
            <w:r w:rsidR="00EC579F">
              <w:t xml:space="preserve"> where the participant resides</w:t>
            </w:r>
          </w:p>
        </w:tc>
        <w:tc>
          <w:tcPr>
            <w:tcW w:w="3402" w:type="dxa"/>
            <w:hideMark/>
          </w:tcPr>
          <w:p w14:paraId="0CF3E3C3" w14:textId="7EF0CA59" w:rsidR="000A5CCE" w:rsidRDefault="000A5CCE" w:rsidP="00FA7DE7">
            <w:pPr>
              <w:pStyle w:val="ListParagraph"/>
              <w:numPr>
                <w:ilvl w:val="0"/>
                <w:numId w:val="3"/>
              </w:numPr>
              <w:spacing w:after="0"/>
            </w:pPr>
            <w:r>
              <w:t>This is the service district of residence for the participant receiving service</w:t>
            </w:r>
          </w:p>
          <w:p w14:paraId="5DA7C7A4" w14:textId="1AB0D54E" w:rsidR="00FA7DE7" w:rsidRDefault="00FA7DE7" w:rsidP="00FA7DE7">
            <w:pPr>
              <w:pStyle w:val="ListParagraph"/>
              <w:numPr>
                <w:ilvl w:val="0"/>
                <w:numId w:val="3"/>
              </w:numPr>
              <w:spacing w:after="0"/>
            </w:pPr>
            <w:r>
              <w:t xml:space="preserve">Each </w:t>
            </w:r>
            <w:r w:rsidR="00850B9E">
              <w:t>S</w:t>
            </w:r>
            <w:r>
              <w:t>tate/</w:t>
            </w:r>
            <w:r w:rsidR="00850B9E">
              <w:t>T</w:t>
            </w:r>
            <w:r>
              <w:t xml:space="preserve">erritory is divided into service districts in which </w:t>
            </w:r>
            <w:r w:rsidR="00B8499F">
              <w:t xml:space="preserve">the </w:t>
            </w:r>
            <w:r>
              <w:t>NDIA operates</w:t>
            </w:r>
          </w:p>
          <w:p w14:paraId="342982C1" w14:textId="77777777" w:rsidR="00FA7DE7" w:rsidRDefault="00FA7DE7" w:rsidP="001152A0">
            <w:pPr>
              <w:pStyle w:val="ListParagraph"/>
              <w:numPr>
                <w:ilvl w:val="0"/>
                <w:numId w:val="3"/>
              </w:numPr>
              <w:ind w:left="357" w:hanging="357"/>
              <w:contextualSpacing w:val="0"/>
            </w:pPr>
            <w:r>
              <w:t>“ALL” denotes all the service districts</w:t>
            </w:r>
          </w:p>
          <w:p w14:paraId="08A2C216" w14:textId="2EA09424" w:rsidR="00252873" w:rsidRDefault="004115EA" w:rsidP="004115EA">
            <w:pPr>
              <w:pStyle w:val="ListParagraph"/>
              <w:numPr>
                <w:ilvl w:val="0"/>
                <w:numId w:val="3"/>
              </w:numPr>
              <w:spacing w:after="0"/>
            </w:pPr>
            <w:r w:rsidRPr="005D12C0">
              <w:t>Service districts are only shown separately in the results if the NDIS commenced in their area at least 12 months before the reporting date. Otherwise the data for the service district is only included in the aggregate result for the State/Territory in which they are situated. For example; Western Melbourne started phasing into the Scheme on 01-Oct-2018. Therefore, it will not appear separately in the 30-Jun-2019 results, but will contribute to the result for VIC/ALL. However, it will appear separately in the data cube for 30-Sep-2019 report.</w:t>
            </w:r>
          </w:p>
        </w:tc>
        <w:tc>
          <w:tcPr>
            <w:tcW w:w="2552" w:type="dxa"/>
            <w:hideMark/>
          </w:tcPr>
          <w:p w14:paraId="000EB3C9" w14:textId="77777777" w:rsidR="00FA7DE7" w:rsidRDefault="00FA7DE7" w:rsidP="00FA7DE7">
            <w:pPr>
              <w:pStyle w:val="ListParagraph"/>
              <w:numPr>
                <w:ilvl w:val="0"/>
                <w:numId w:val="13"/>
              </w:numPr>
              <w:spacing w:after="0"/>
              <w:jc w:val="both"/>
            </w:pPr>
            <w:r>
              <w:t>TAS North</w:t>
            </w:r>
          </w:p>
          <w:p w14:paraId="4F13D7D9" w14:textId="77777777" w:rsidR="00FA7DE7" w:rsidRDefault="00FA7DE7" w:rsidP="00FA7DE7">
            <w:pPr>
              <w:pStyle w:val="ListParagraph"/>
              <w:numPr>
                <w:ilvl w:val="0"/>
                <w:numId w:val="13"/>
              </w:numPr>
              <w:spacing w:after="0"/>
            </w:pPr>
            <w:r>
              <w:t>TAS North West</w:t>
            </w:r>
          </w:p>
          <w:p w14:paraId="474C71A8" w14:textId="77777777" w:rsidR="00FA7DE7" w:rsidRDefault="00FA7DE7" w:rsidP="00FA7DE7">
            <w:pPr>
              <w:pStyle w:val="ListParagraph"/>
              <w:numPr>
                <w:ilvl w:val="0"/>
                <w:numId w:val="13"/>
              </w:numPr>
              <w:spacing w:after="0"/>
            </w:pPr>
            <w:r>
              <w:t>TAS South East</w:t>
            </w:r>
          </w:p>
          <w:p w14:paraId="5AB108A1" w14:textId="77777777" w:rsidR="00FA7DE7" w:rsidRDefault="00FA7DE7" w:rsidP="00FA7DE7">
            <w:pPr>
              <w:pStyle w:val="ListParagraph"/>
              <w:numPr>
                <w:ilvl w:val="0"/>
                <w:numId w:val="13"/>
              </w:numPr>
              <w:spacing w:after="0"/>
            </w:pPr>
            <w:r>
              <w:t>TAS South West</w:t>
            </w:r>
          </w:p>
        </w:tc>
      </w:tr>
      <w:tr w:rsidR="00FA7DE7" w14:paraId="006CA141" w14:textId="77777777" w:rsidTr="714AC372">
        <w:tc>
          <w:tcPr>
            <w:tcW w:w="2283" w:type="dxa"/>
            <w:hideMark/>
          </w:tcPr>
          <w:p w14:paraId="57A7BE5D" w14:textId="27658DAA" w:rsidR="00FA7DE7" w:rsidRDefault="00BD3C04" w:rsidP="00BD3C04">
            <w:r>
              <w:t>SuppClass</w:t>
            </w:r>
          </w:p>
        </w:tc>
        <w:tc>
          <w:tcPr>
            <w:tcW w:w="1823" w:type="dxa"/>
            <w:hideMark/>
          </w:tcPr>
          <w:p w14:paraId="593ED88A" w14:textId="7DF86E79" w:rsidR="00FA7DE7" w:rsidRDefault="00FA7DE7" w:rsidP="00BD3C04">
            <w:r>
              <w:t xml:space="preserve">Support </w:t>
            </w:r>
            <w:r w:rsidR="00BD3C04">
              <w:t>class</w:t>
            </w:r>
          </w:p>
        </w:tc>
        <w:tc>
          <w:tcPr>
            <w:tcW w:w="3402" w:type="dxa"/>
            <w:hideMark/>
          </w:tcPr>
          <w:p w14:paraId="5B060F68" w14:textId="3B4C4A8B" w:rsidR="00FA7DE7" w:rsidRDefault="00FA7DE7" w:rsidP="00FA7DE7">
            <w:pPr>
              <w:pStyle w:val="ListParagraph"/>
              <w:numPr>
                <w:ilvl w:val="0"/>
                <w:numId w:val="3"/>
              </w:numPr>
              <w:spacing w:after="0"/>
            </w:pPr>
            <w:r>
              <w:t xml:space="preserve">NDIS plans have support </w:t>
            </w:r>
            <w:r w:rsidR="00BD3C04">
              <w:t xml:space="preserve">classes </w:t>
            </w:r>
            <w:r>
              <w:t xml:space="preserve">under which a participant receives </w:t>
            </w:r>
            <w:r>
              <w:lastRenderedPageBreak/>
              <w:t>necessary and reasonable funding</w:t>
            </w:r>
          </w:p>
          <w:p w14:paraId="78D481CC" w14:textId="450F315F" w:rsidR="00613F5D" w:rsidRDefault="00613F5D" w:rsidP="00FA7DE7">
            <w:pPr>
              <w:pStyle w:val="ListParagraph"/>
              <w:numPr>
                <w:ilvl w:val="0"/>
                <w:numId w:val="3"/>
              </w:numPr>
              <w:spacing w:after="0"/>
            </w:pPr>
            <w:r>
              <w:t>The value here denotes the support class under which the payment was made to the provider</w:t>
            </w:r>
          </w:p>
          <w:p w14:paraId="1289EA7E" w14:textId="38A4A998" w:rsidR="00694BF9" w:rsidRDefault="00FA7DE7" w:rsidP="00252873">
            <w:pPr>
              <w:pStyle w:val="ListParagraph"/>
              <w:numPr>
                <w:ilvl w:val="0"/>
                <w:numId w:val="3"/>
              </w:numPr>
              <w:spacing w:after="0"/>
              <w:ind w:left="357" w:hanging="357"/>
              <w:contextualSpacing w:val="0"/>
            </w:pPr>
            <w:r>
              <w:t>“ALL” denotes all the support categories</w:t>
            </w:r>
          </w:p>
        </w:tc>
        <w:tc>
          <w:tcPr>
            <w:tcW w:w="2552" w:type="dxa"/>
            <w:hideMark/>
          </w:tcPr>
          <w:p w14:paraId="1483E9BC" w14:textId="118E1CA9" w:rsidR="00FA7DE7" w:rsidRDefault="005F6526" w:rsidP="00FA7DE7">
            <w:pPr>
              <w:pStyle w:val="ListParagraph"/>
              <w:numPr>
                <w:ilvl w:val="0"/>
                <w:numId w:val="3"/>
              </w:numPr>
              <w:spacing w:after="0"/>
            </w:pPr>
            <w:r>
              <w:lastRenderedPageBreak/>
              <w:t>ALL</w:t>
            </w:r>
          </w:p>
          <w:p w14:paraId="70875C0A" w14:textId="77777777" w:rsidR="005F6526" w:rsidRDefault="005F6526" w:rsidP="00FA7DE7">
            <w:pPr>
              <w:pStyle w:val="ListParagraph"/>
              <w:numPr>
                <w:ilvl w:val="0"/>
                <w:numId w:val="3"/>
              </w:numPr>
              <w:spacing w:after="0"/>
            </w:pPr>
            <w:r>
              <w:t>Capacity Building</w:t>
            </w:r>
          </w:p>
          <w:p w14:paraId="7A5C5ED3" w14:textId="77777777" w:rsidR="005F6526" w:rsidRDefault="005F6526" w:rsidP="00FA7DE7">
            <w:pPr>
              <w:pStyle w:val="ListParagraph"/>
              <w:numPr>
                <w:ilvl w:val="0"/>
                <w:numId w:val="3"/>
              </w:numPr>
              <w:spacing w:after="0"/>
            </w:pPr>
            <w:r>
              <w:t>Capital</w:t>
            </w:r>
          </w:p>
          <w:p w14:paraId="0344C600" w14:textId="77350D44" w:rsidR="007630C4" w:rsidRDefault="005F6526" w:rsidP="00FA7DE7">
            <w:pPr>
              <w:pStyle w:val="ListParagraph"/>
              <w:numPr>
                <w:ilvl w:val="0"/>
                <w:numId w:val="3"/>
              </w:numPr>
              <w:spacing w:after="0"/>
            </w:pPr>
            <w:r>
              <w:lastRenderedPageBreak/>
              <w:t>Core</w:t>
            </w:r>
          </w:p>
        </w:tc>
      </w:tr>
      <w:tr w:rsidR="00FA7DE7" w14:paraId="36CEBDFF" w14:textId="77777777" w:rsidTr="714AC372">
        <w:tc>
          <w:tcPr>
            <w:tcW w:w="2283" w:type="dxa"/>
          </w:tcPr>
          <w:p w14:paraId="6272F761" w14:textId="77777777" w:rsidR="00FA7DE7" w:rsidRDefault="00FA7DE7" w:rsidP="00CE72DA">
            <w:r>
              <w:t>PymntShareOfTop10</w:t>
            </w:r>
          </w:p>
        </w:tc>
        <w:tc>
          <w:tcPr>
            <w:tcW w:w="1823" w:type="dxa"/>
          </w:tcPr>
          <w:p w14:paraId="6F8940FC" w14:textId="3B8282CC" w:rsidR="00FA7DE7" w:rsidRDefault="00FA7DE7" w:rsidP="00CE72DA">
            <w:r>
              <w:t xml:space="preserve">Percentage of total payment to </w:t>
            </w:r>
            <w:r w:rsidR="00850B9E">
              <w:t>top</w:t>
            </w:r>
            <w:r w:rsidR="0049131C">
              <w:t xml:space="preserve"> </w:t>
            </w:r>
            <w:r>
              <w:t xml:space="preserve">10 </w:t>
            </w:r>
            <w:r w:rsidR="00850B9E">
              <w:t xml:space="preserve">largest </w:t>
            </w:r>
            <w:r>
              <w:t>providers</w:t>
            </w:r>
            <w:r w:rsidR="00850B9E">
              <w:t xml:space="preserve"> in terms of </w:t>
            </w:r>
            <w:r w:rsidR="00E93455" w:rsidRPr="005F6526">
              <w:rPr>
                <w:rFonts w:cs="Arial"/>
              </w:rPr>
              <w:t>payments made by the NDIS for the supports received</w:t>
            </w:r>
          </w:p>
        </w:tc>
        <w:tc>
          <w:tcPr>
            <w:tcW w:w="3402" w:type="dxa"/>
          </w:tcPr>
          <w:p w14:paraId="68EF4491" w14:textId="18A018C5" w:rsidR="0027554F" w:rsidRDefault="0027554F" w:rsidP="00FA7DE7">
            <w:pPr>
              <w:pStyle w:val="ListParagraph"/>
              <w:numPr>
                <w:ilvl w:val="0"/>
                <w:numId w:val="3"/>
              </w:numPr>
              <w:spacing w:after="0"/>
            </w:pPr>
            <w:r>
              <w:t xml:space="preserve">To calculate the percentage of the total payment to the top 10 </w:t>
            </w:r>
            <w:r w:rsidR="00850B9E">
              <w:t xml:space="preserve">largest </w:t>
            </w:r>
            <w:r>
              <w:t>providers</w:t>
            </w:r>
            <w:r w:rsidR="00850B9E">
              <w:t xml:space="preserve"> in terms of </w:t>
            </w:r>
            <w:r w:rsidR="00E93455" w:rsidRPr="714AC372">
              <w:rPr>
                <w:rFonts w:cs="Arial"/>
              </w:rPr>
              <w:t>payments made by the NDIS for the supports received</w:t>
            </w:r>
            <w:r>
              <w:t xml:space="preserve">, the following steps were taken: </w:t>
            </w:r>
          </w:p>
          <w:p w14:paraId="7F8F0133" w14:textId="4BCEE004" w:rsidR="00FA7DE7" w:rsidRDefault="0027554F" w:rsidP="0027554F">
            <w:pPr>
              <w:pStyle w:val="ListParagraph"/>
              <w:numPr>
                <w:ilvl w:val="0"/>
                <w:numId w:val="18"/>
              </w:numPr>
              <w:spacing w:after="0"/>
            </w:pPr>
            <w:r>
              <w:t>The</w:t>
            </w:r>
            <w:r w:rsidR="00FA7DE7">
              <w:t xml:space="preserve"> top 10 </w:t>
            </w:r>
            <w:r w:rsidR="0035129E">
              <w:t xml:space="preserve">largest </w:t>
            </w:r>
            <w:r w:rsidR="00FA7DE7">
              <w:t xml:space="preserve">providers </w:t>
            </w:r>
            <w:r>
              <w:t xml:space="preserve">were identified </w:t>
            </w:r>
            <w:r w:rsidR="00FA7DE7">
              <w:t xml:space="preserve">by </w:t>
            </w:r>
            <w:r>
              <w:t>dollar amou</w:t>
            </w:r>
            <w:r w:rsidR="008D6FB5">
              <w:t>nt of payments received</w:t>
            </w:r>
          </w:p>
          <w:p w14:paraId="2C2DF2E5" w14:textId="04572C33" w:rsidR="00FA7DE7" w:rsidRDefault="007B69F7" w:rsidP="0027554F">
            <w:pPr>
              <w:pStyle w:val="ListParagraph"/>
              <w:numPr>
                <w:ilvl w:val="0"/>
                <w:numId w:val="18"/>
              </w:numPr>
              <w:spacing w:after="0"/>
            </w:pPr>
            <w:r>
              <w:t>T</w:t>
            </w:r>
            <w:r w:rsidR="0027554F">
              <w:t>he</w:t>
            </w:r>
            <w:r w:rsidR="00FA7DE7">
              <w:t xml:space="preserve"> percentage of </w:t>
            </w:r>
            <w:r>
              <w:t xml:space="preserve">the </w:t>
            </w:r>
            <w:r w:rsidR="00FA7DE7">
              <w:t xml:space="preserve">payments </w:t>
            </w:r>
            <w:r>
              <w:t xml:space="preserve">made </w:t>
            </w:r>
            <w:r w:rsidR="0027554F">
              <w:t xml:space="preserve">to the top </w:t>
            </w:r>
            <w:r w:rsidR="00FA7DE7">
              <w:t xml:space="preserve">10 </w:t>
            </w:r>
            <w:r w:rsidR="0035129E">
              <w:t xml:space="preserve">largest </w:t>
            </w:r>
            <w:r w:rsidR="00FA7DE7">
              <w:t>providers</w:t>
            </w:r>
            <w:r>
              <w:t xml:space="preserve"> was calculated</w:t>
            </w:r>
          </w:p>
          <w:p w14:paraId="79CC0E49" w14:textId="1C638C68" w:rsidR="00FA7DE7" w:rsidRDefault="00FA7DE7" w:rsidP="001152A0">
            <w:pPr>
              <w:pStyle w:val="ListParagraph"/>
              <w:numPr>
                <w:ilvl w:val="0"/>
                <w:numId w:val="18"/>
              </w:numPr>
              <w:ind w:left="714" w:hanging="357"/>
              <w:contextualSpacing w:val="0"/>
            </w:pPr>
            <w:r>
              <w:t xml:space="preserve">If there are less than 10 providers then </w:t>
            </w:r>
            <w:r w:rsidR="007B69F7">
              <w:t xml:space="preserve">those are considered the  </w:t>
            </w:r>
            <w:r w:rsidR="00F7714C">
              <w:t xml:space="preserve">largest </w:t>
            </w:r>
            <w:r w:rsidR="007B69F7">
              <w:t>providers</w:t>
            </w:r>
          </w:p>
        </w:tc>
        <w:tc>
          <w:tcPr>
            <w:tcW w:w="2552" w:type="dxa"/>
          </w:tcPr>
          <w:p w14:paraId="244CF138" w14:textId="77777777" w:rsidR="00FA7DE7" w:rsidRDefault="00FA7DE7" w:rsidP="007B69F7">
            <w:pPr>
              <w:pStyle w:val="ListParagraph"/>
              <w:numPr>
                <w:ilvl w:val="0"/>
                <w:numId w:val="21"/>
              </w:numPr>
              <w:spacing w:after="0"/>
            </w:pPr>
            <w:r>
              <w:t>Positive percentage values</w:t>
            </w:r>
          </w:p>
        </w:tc>
      </w:tr>
      <w:tr w:rsidR="00FA7DE7" w14:paraId="518E29E7" w14:textId="77777777" w:rsidTr="714AC372">
        <w:tc>
          <w:tcPr>
            <w:tcW w:w="2283" w:type="dxa"/>
          </w:tcPr>
          <w:p w14:paraId="7041F4A6" w14:textId="77777777" w:rsidR="00FA7DE7" w:rsidRDefault="00FA7DE7" w:rsidP="00CE72DA">
            <w:r>
              <w:t>PymntBnd</w:t>
            </w:r>
          </w:p>
        </w:tc>
        <w:tc>
          <w:tcPr>
            <w:tcW w:w="1823" w:type="dxa"/>
          </w:tcPr>
          <w:p w14:paraId="2D5376CC" w14:textId="77777777" w:rsidR="00FA7DE7" w:rsidRDefault="00FA7DE7" w:rsidP="00CE72DA">
            <w:r>
              <w:t>Payment Band</w:t>
            </w:r>
          </w:p>
        </w:tc>
        <w:tc>
          <w:tcPr>
            <w:tcW w:w="3402" w:type="dxa"/>
          </w:tcPr>
          <w:p w14:paraId="76013890" w14:textId="4177F615" w:rsidR="00590B1D" w:rsidRDefault="00175AD0" w:rsidP="00590B1D">
            <w:pPr>
              <w:pStyle w:val="ListParagraph"/>
              <w:numPr>
                <w:ilvl w:val="0"/>
                <w:numId w:val="3"/>
              </w:numPr>
              <w:spacing w:after="0"/>
            </w:pPr>
            <w:r>
              <w:t>This only includes payments made directly to providers on behalf of participants as part of a participant’s plan</w:t>
            </w:r>
          </w:p>
        </w:tc>
        <w:tc>
          <w:tcPr>
            <w:tcW w:w="2552" w:type="dxa"/>
          </w:tcPr>
          <w:p w14:paraId="27E3DEF4" w14:textId="77777777" w:rsidR="00FA7DE7" w:rsidRDefault="00FA7DE7" w:rsidP="007B69F7">
            <w:pPr>
              <w:pStyle w:val="ListParagraph"/>
              <w:numPr>
                <w:ilvl w:val="0"/>
                <w:numId w:val="23"/>
              </w:numPr>
              <w:spacing w:after="0"/>
            </w:pPr>
            <w:r>
              <w:t>$1m - $5m</w:t>
            </w:r>
          </w:p>
          <w:p w14:paraId="6BED0D2E" w14:textId="77777777" w:rsidR="00FA7DE7" w:rsidRDefault="00FA7DE7" w:rsidP="007B69F7">
            <w:pPr>
              <w:pStyle w:val="ListParagraph"/>
              <w:numPr>
                <w:ilvl w:val="0"/>
                <w:numId w:val="23"/>
              </w:numPr>
              <w:spacing w:after="0"/>
            </w:pPr>
            <w:r>
              <w:t>$5m - $10m</w:t>
            </w:r>
          </w:p>
          <w:p w14:paraId="001F960D" w14:textId="77777777" w:rsidR="00FA7DE7" w:rsidRDefault="00FA7DE7" w:rsidP="007B69F7">
            <w:pPr>
              <w:pStyle w:val="ListParagraph"/>
              <w:numPr>
                <w:ilvl w:val="0"/>
                <w:numId w:val="23"/>
              </w:numPr>
              <w:spacing w:after="0"/>
            </w:pPr>
            <w:r>
              <w:t>$10m - $20m</w:t>
            </w:r>
          </w:p>
          <w:p w14:paraId="56CC1968" w14:textId="77777777" w:rsidR="00FA7DE7" w:rsidRDefault="00FA7DE7" w:rsidP="007B69F7">
            <w:pPr>
              <w:pStyle w:val="ListParagraph"/>
              <w:numPr>
                <w:ilvl w:val="0"/>
                <w:numId w:val="23"/>
              </w:numPr>
              <w:spacing w:after="0"/>
            </w:pPr>
            <w:r>
              <w:t>$20m - $30m</w:t>
            </w:r>
          </w:p>
          <w:p w14:paraId="6EF79CD2" w14:textId="77777777" w:rsidR="00FA7DE7" w:rsidRDefault="00FA7DE7" w:rsidP="007B69F7">
            <w:pPr>
              <w:pStyle w:val="ListParagraph"/>
              <w:numPr>
                <w:ilvl w:val="0"/>
                <w:numId w:val="23"/>
              </w:numPr>
              <w:spacing w:after="0"/>
            </w:pPr>
            <w:r>
              <w:t>$30m - $40m</w:t>
            </w:r>
          </w:p>
          <w:p w14:paraId="2C481E0D" w14:textId="77777777" w:rsidR="00FA7DE7" w:rsidRDefault="00FA7DE7" w:rsidP="007B69F7">
            <w:pPr>
              <w:pStyle w:val="ListParagraph"/>
              <w:numPr>
                <w:ilvl w:val="0"/>
                <w:numId w:val="23"/>
              </w:numPr>
              <w:spacing w:after="0"/>
            </w:pPr>
            <w:r>
              <w:t>$40m - $50m</w:t>
            </w:r>
          </w:p>
          <w:p w14:paraId="65B592A4" w14:textId="77777777" w:rsidR="00FA7DE7" w:rsidRDefault="00FA7DE7" w:rsidP="007B69F7">
            <w:pPr>
              <w:pStyle w:val="ListParagraph"/>
              <w:numPr>
                <w:ilvl w:val="0"/>
                <w:numId w:val="23"/>
              </w:numPr>
              <w:spacing w:after="0"/>
            </w:pPr>
            <w:r>
              <w:t>$50m - $100m</w:t>
            </w:r>
          </w:p>
          <w:p w14:paraId="01C78715" w14:textId="77777777" w:rsidR="00FA7DE7" w:rsidRDefault="00FA7DE7" w:rsidP="007B69F7">
            <w:pPr>
              <w:pStyle w:val="ListParagraph"/>
              <w:numPr>
                <w:ilvl w:val="0"/>
                <w:numId w:val="23"/>
              </w:numPr>
              <w:spacing w:after="0"/>
            </w:pPr>
            <w:r>
              <w:t>$100m - $200m</w:t>
            </w:r>
          </w:p>
          <w:p w14:paraId="5E95DA83" w14:textId="77777777" w:rsidR="00FA7DE7" w:rsidRDefault="00FA7DE7" w:rsidP="007B69F7">
            <w:pPr>
              <w:pStyle w:val="ListParagraph"/>
              <w:numPr>
                <w:ilvl w:val="0"/>
                <w:numId w:val="23"/>
              </w:numPr>
              <w:spacing w:after="0"/>
            </w:pPr>
            <w:r>
              <w:t>$200m - $300m</w:t>
            </w:r>
          </w:p>
          <w:p w14:paraId="35ECC20A" w14:textId="77777777" w:rsidR="00FA7DE7" w:rsidRDefault="00FA7DE7" w:rsidP="007B69F7">
            <w:pPr>
              <w:pStyle w:val="ListParagraph"/>
              <w:numPr>
                <w:ilvl w:val="0"/>
                <w:numId w:val="23"/>
              </w:numPr>
              <w:spacing w:after="0"/>
            </w:pPr>
            <w:r>
              <w:t>$300m - $500m</w:t>
            </w:r>
          </w:p>
          <w:p w14:paraId="56DCBA12" w14:textId="77777777" w:rsidR="00FA7DE7" w:rsidRDefault="00FA7DE7" w:rsidP="007B69F7">
            <w:pPr>
              <w:pStyle w:val="ListParagraph"/>
              <w:numPr>
                <w:ilvl w:val="0"/>
                <w:numId w:val="23"/>
              </w:numPr>
              <w:spacing w:after="0"/>
            </w:pPr>
            <w:r>
              <w:t>$500m - $700m</w:t>
            </w:r>
          </w:p>
          <w:p w14:paraId="6CDB2678" w14:textId="77777777" w:rsidR="00FA7DE7" w:rsidRDefault="00FA7DE7" w:rsidP="007B69F7">
            <w:pPr>
              <w:pStyle w:val="ListParagraph"/>
              <w:numPr>
                <w:ilvl w:val="0"/>
                <w:numId w:val="23"/>
              </w:numPr>
              <w:spacing w:after="0"/>
            </w:pPr>
            <w:r>
              <w:t>$700m - $1b</w:t>
            </w:r>
          </w:p>
          <w:p w14:paraId="2E5FB2F2" w14:textId="77777777" w:rsidR="00FA7DE7" w:rsidRDefault="00FA7DE7" w:rsidP="007B69F7">
            <w:pPr>
              <w:pStyle w:val="ListParagraph"/>
              <w:numPr>
                <w:ilvl w:val="0"/>
                <w:numId w:val="23"/>
              </w:numPr>
              <w:spacing w:after="0"/>
            </w:pPr>
            <w:r>
              <w:t>$1b - $1.5b</w:t>
            </w:r>
          </w:p>
          <w:p w14:paraId="2860B061" w14:textId="77777777" w:rsidR="00FA7DE7" w:rsidRDefault="00FA7DE7" w:rsidP="007B69F7">
            <w:pPr>
              <w:pStyle w:val="ListParagraph"/>
              <w:numPr>
                <w:ilvl w:val="0"/>
                <w:numId w:val="23"/>
              </w:numPr>
              <w:spacing w:after="0"/>
            </w:pPr>
            <w:r>
              <w:t>$1.5b - $2b</w:t>
            </w:r>
          </w:p>
          <w:p w14:paraId="205B3123" w14:textId="77777777" w:rsidR="00FA7DE7" w:rsidRDefault="00FA7DE7" w:rsidP="007B69F7">
            <w:pPr>
              <w:pStyle w:val="ListParagraph"/>
              <w:numPr>
                <w:ilvl w:val="0"/>
                <w:numId w:val="23"/>
              </w:numPr>
              <w:spacing w:after="0"/>
            </w:pPr>
            <w:r>
              <w:t>$2b - $2.5b</w:t>
            </w:r>
          </w:p>
          <w:p w14:paraId="6578D285" w14:textId="77777777" w:rsidR="00FA7DE7" w:rsidRDefault="00FA7DE7" w:rsidP="007B69F7">
            <w:pPr>
              <w:pStyle w:val="ListParagraph"/>
              <w:numPr>
                <w:ilvl w:val="0"/>
                <w:numId w:val="23"/>
              </w:numPr>
              <w:spacing w:after="0"/>
            </w:pPr>
            <w:r>
              <w:t>$2.5b - $3b</w:t>
            </w:r>
          </w:p>
          <w:p w14:paraId="67312B1B" w14:textId="77777777" w:rsidR="00FA7DE7" w:rsidRDefault="00FA7DE7" w:rsidP="007B69F7">
            <w:pPr>
              <w:pStyle w:val="ListParagraph"/>
              <w:numPr>
                <w:ilvl w:val="0"/>
                <w:numId w:val="23"/>
              </w:numPr>
              <w:spacing w:after="0"/>
            </w:pPr>
            <w:r>
              <w:t>$3b - $3.5b</w:t>
            </w:r>
          </w:p>
          <w:p w14:paraId="644F8F23" w14:textId="77777777" w:rsidR="00FA7DE7" w:rsidRDefault="00FA7DE7" w:rsidP="007B69F7">
            <w:pPr>
              <w:pStyle w:val="ListParagraph"/>
              <w:numPr>
                <w:ilvl w:val="0"/>
                <w:numId w:val="23"/>
              </w:numPr>
              <w:spacing w:after="0"/>
            </w:pPr>
            <w:r>
              <w:t>$3.5b - $4b</w:t>
            </w:r>
          </w:p>
          <w:p w14:paraId="5B3313DF" w14:textId="77777777" w:rsidR="00FA7DE7" w:rsidRDefault="00FA7DE7" w:rsidP="001152A0">
            <w:pPr>
              <w:pStyle w:val="ListParagraph"/>
              <w:numPr>
                <w:ilvl w:val="0"/>
                <w:numId w:val="23"/>
              </w:numPr>
              <w:ind w:left="357" w:hanging="357"/>
              <w:contextualSpacing w:val="0"/>
            </w:pPr>
            <w:r>
              <w:t>$4b - $4.5b</w:t>
            </w:r>
          </w:p>
        </w:tc>
      </w:tr>
    </w:tbl>
    <w:p w14:paraId="1B542BE2" w14:textId="312AF633" w:rsidR="00612183" w:rsidRDefault="00612183" w:rsidP="00246DBA"/>
    <w:p w14:paraId="07244197" w14:textId="77777777" w:rsidR="000B7A2E" w:rsidRDefault="000B7A2E" w:rsidP="00D0019B">
      <w:pPr>
        <w:pStyle w:val="Heading2"/>
      </w:pPr>
      <w:bookmarkStart w:id="6" w:name="_Toc13752023"/>
      <w:bookmarkStart w:id="7" w:name="_Toc142226926"/>
      <w:r>
        <w:t>How to use the data</w:t>
      </w:r>
      <w:bookmarkEnd w:id="3"/>
      <w:bookmarkEnd w:id="6"/>
      <w:bookmarkEnd w:id="7"/>
    </w:p>
    <w:p w14:paraId="7AB9417B" w14:textId="77777777" w:rsidR="00B23D07" w:rsidRDefault="00B23D07" w:rsidP="00B23D07">
      <w:r>
        <w:t>Below are two examples of how to use the data.</w:t>
      </w:r>
    </w:p>
    <w:p w14:paraId="093848D3" w14:textId="77777777" w:rsidR="00170591" w:rsidRPr="00170591" w:rsidRDefault="00170591" w:rsidP="00170591">
      <w:pPr>
        <w:ind w:firstLine="720"/>
      </w:pPr>
    </w:p>
    <w:p w14:paraId="13F7DA43" w14:textId="77777777" w:rsidR="00FA6BAB" w:rsidRDefault="00FA6BAB" w:rsidP="00D0019B">
      <w:pPr>
        <w:pStyle w:val="Heading3"/>
      </w:pPr>
      <w:bookmarkStart w:id="8" w:name="_Toc19268204"/>
      <w:bookmarkStart w:id="9" w:name="_Toc25578649"/>
      <w:bookmarkStart w:id="10" w:name="_Toc25914523"/>
      <w:bookmarkStart w:id="11" w:name="_Toc142226927"/>
      <w:r>
        <w:lastRenderedPageBreak/>
        <w:t xml:space="preserve">Example 1: </w:t>
      </w:r>
      <w:bookmarkEnd w:id="8"/>
      <w:r w:rsidR="00FA7DE7" w:rsidRPr="00FA7DE7">
        <w:t>How does market concentration vary across NT for different support categories?</w:t>
      </w:r>
      <w:bookmarkEnd w:id="9"/>
      <w:bookmarkEnd w:id="10"/>
      <w:bookmarkEnd w:id="11"/>
    </w:p>
    <w:p w14:paraId="267CEC85" w14:textId="5A812372" w:rsidR="006F12F2" w:rsidRPr="001303C9" w:rsidRDefault="006F12F2" w:rsidP="006F12F2">
      <w:r>
        <w:t>To get the answer, apply the following filter</w:t>
      </w:r>
      <w:r w:rsidR="00B8499F">
        <w:t>s to the data:</w:t>
      </w:r>
    </w:p>
    <w:p w14:paraId="218A7C4A" w14:textId="3A273231" w:rsidR="006F12F2" w:rsidRDefault="006F12F2" w:rsidP="006F12F2">
      <w:r>
        <w:t>RprtDt=”</w:t>
      </w:r>
      <w:r w:rsidR="002F1FEC">
        <w:t>30JUN2023</w:t>
      </w:r>
      <w:r>
        <w:t>”, StateCd=”NT”, SrvcDstrctNm=”ALL”</w:t>
      </w:r>
    </w:p>
    <w:p w14:paraId="58CEF1C8" w14:textId="77777777" w:rsidR="009522E1" w:rsidRDefault="009522E1" w:rsidP="00FA6BAB"/>
    <w:p w14:paraId="161E69C3" w14:textId="77777777" w:rsidR="00FA6BAB" w:rsidRDefault="00FA6BAB" w:rsidP="00D0019B">
      <w:pPr>
        <w:pStyle w:val="Heading3"/>
      </w:pPr>
      <w:bookmarkStart w:id="12" w:name="_Toc19268205"/>
      <w:bookmarkStart w:id="13" w:name="_Toc25578650"/>
      <w:bookmarkStart w:id="14" w:name="_Toc25914524"/>
      <w:bookmarkStart w:id="15" w:name="_Toc142226928"/>
      <w:r>
        <w:t xml:space="preserve">Example 2: </w:t>
      </w:r>
      <w:bookmarkEnd w:id="12"/>
      <w:r w:rsidR="006F12F2" w:rsidRPr="006F12F2">
        <w:t>How does market concentration vary across service districts in QLD for capacity building supports?</w:t>
      </w:r>
      <w:bookmarkEnd w:id="13"/>
      <w:bookmarkEnd w:id="14"/>
      <w:bookmarkEnd w:id="15"/>
    </w:p>
    <w:p w14:paraId="27CC2B18" w14:textId="650DA981" w:rsidR="006F12F2" w:rsidRPr="001303C9" w:rsidRDefault="006F12F2" w:rsidP="006F12F2">
      <w:r>
        <w:t>To get the answer, apply the following filter</w:t>
      </w:r>
      <w:r w:rsidR="00B8499F">
        <w:t>s to the data:</w:t>
      </w:r>
    </w:p>
    <w:p w14:paraId="5E9DF59C" w14:textId="051027CE" w:rsidR="006F12F2" w:rsidRDefault="006F12F2" w:rsidP="006F12F2">
      <w:r>
        <w:t>RprtDt=”</w:t>
      </w:r>
      <w:r w:rsidR="002F1FEC">
        <w:t>30JUN2023</w:t>
      </w:r>
      <w:r>
        <w:t>”, StateCd=”QLD”, SrvcDstrctNm</w:t>
      </w:r>
      <w:r>
        <w:rPr>
          <w:rFonts w:cstheme="minorHAnsi"/>
        </w:rPr>
        <w:t>≠</w:t>
      </w:r>
      <w:r>
        <w:t xml:space="preserve">”ALL” (unselect), </w:t>
      </w:r>
      <w:r w:rsidR="00F7714C">
        <w:t>Supp</w:t>
      </w:r>
      <w:r w:rsidR="00BD3C04">
        <w:t>Class</w:t>
      </w:r>
      <w:r>
        <w:t>=“</w:t>
      </w:r>
      <w:r w:rsidRPr="00BA6844">
        <w:t>Capacity Building</w:t>
      </w:r>
      <w:r>
        <w:t>”</w:t>
      </w:r>
    </w:p>
    <w:p w14:paraId="6CE43CDB" w14:textId="19A107E3" w:rsidR="00E904E5" w:rsidRDefault="00E904E5" w:rsidP="00615253"/>
    <w:p w14:paraId="51B83E25" w14:textId="77777777" w:rsidR="00615253" w:rsidRPr="00E904E5" w:rsidRDefault="00615253" w:rsidP="00E904E5"/>
    <w:p w14:paraId="0AFF9FF0" w14:textId="77777777" w:rsidR="000B7A2E" w:rsidRDefault="000B7A2E" w:rsidP="00570D8A">
      <w:pPr>
        <w:pStyle w:val="Heading2"/>
      </w:pPr>
      <w:bookmarkStart w:id="16" w:name="_Toc13748873"/>
      <w:bookmarkStart w:id="17" w:name="_Toc13752024"/>
      <w:bookmarkStart w:id="18" w:name="_Toc142226929"/>
      <w:r>
        <w:t>About this document</w:t>
      </w:r>
      <w:bookmarkEnd w:id="16"/>
      <w:bookmarkEnd w:id="17"/>
      <w:bookmarkEnd w:id="18"/>
    </w:p>
    <w:p w14:paraId="0BA76FC4" w14:textId="1FCD2BEB" w:rsidR="000B7A2E" w:rsidRPr="00877292" w:rsidRDefault="000B7A2E" w:rsidP="00170591">
      <w:pPr>
        <w:spacing w:before="120"/>
        <w:jc w:val="both"/>
      </w:pPr>
      <w:r w:rsidRPr="70D15048">
        <w:rPr>
          <w:b/>
          <w:bCs/>
        </w:rPr>
        <w:t>Approved:</w:t>
      </w:r>
      <w:r>
        <w:t xml:space="preserve"> </w:t>
      </w:r>
      <w:r w:rsidR="00275C80">
        <w:t>September</w:t>
      </w:r>
      <w:r w:rsidR="005D7C75">
        <w:t xml:space="preserve"> </w:t>
      </w:r>
      <w:r w:rsidR="00877292">
        <w:t>20</w:t>
      </w:r>
      <w:r w:rsidR="00E904E5">
        <w:t>2</w:t>
      </w:r>
      <w:r w:rsidR="00A53646">
        <w:t>4</w:t>
      </w:r>
    </w:p>
    <w:p w14:paraId="317760CF" w14:textId="77777777" w:rsidR="007B0265" w:rsidRDefault="000B7A2E" w:rsidP="007B0265">
      <w:pPr>
        <w:rPr>
          <w:b/>
        </w:rPr>
      </w:pPr>
      <w:r w:rsidRPr="00F4697D">
        <w:rPr>
          <w:b/>
        </w:rPr>
        <w:t>Contact:</w:t>
      </w:r>
      <w:r>
        <w:rPr>
          <w:b/>
        </w:rPr>
        <w:t xml:space="preserve"> </w:t>
      </w:r>
      <w:hyperlink r:id="rId11" w:history="1">
        <w:r w:rsidR="003E336A" w:rsidRPr="00125EF2">
          <w:rPr>
            <w:rStyle w:val="Hyperlink"/>
          </w:rPr>
          <w:t>scheme.actuary@ndis.gov.au</w:t>
        </w:r>
      </w:hyperlink>
    </w:p>
    <w:p w14:paraId="4083330B" w14:textId="77777777" w:rsidR="005D7C75" w:rsidRPr="005D7C75" w:rsidRDefault="005D7C75" w:rsidP="005D7C75"/>
    <w:p w14:paraId="23E454B9" w14:textId="77777777" w:rsidR="005D7C75" w:rsidRPr="005D7C75" w:rsidRDefault="005D7C75" w:rsidP="005D7C75"/>
    <w:p w14:paraId="66F7066C" w14:textId="77777777" w:rsidR="005D7C75" w:rsidRPr="005D7C75" w:rsidRDefault="005D7C75" w:rsidP="005D7C75"/>
    <w:p w14:paraId="795017A9" w14:textId="77777777" w:rsidR="005D7C75" w:rsidRPr="005D7C75" w:rsidRDefault="005D7C75" w:rsidP="005D7C75"/>
    <w:p w14:paraId="31675EF4" w14:textId="77777777" w:rsidR="005D7C75" w:rsidRPr="005D7C75" w:rsidRDefault="005D7C75" w:rsidP="005D7C75"/>
    <w:p w14:paraId="0E9FAD62" w14:textId="77777777" w:rsidR="005D7C75" w:rsidRPr="005D7C75" w:rsidRDefault="005D7C75" w:rsidP="005D7C75"/>
    <w:p w14:paraId="78C65AAA" w14:textId="77777777" w:rsidR="005D7C75" w:rsidRPr="005D7C75" w:rsidRDefault="005D7C75" w:rsidP="005D7C75"/>
    <w:p w14:paraId="15900DE0" w14:textId="77777777" w:rsidR="005D7C75" w:rsidRPr="005D7C75" w:rsidRDefault="005D7C75" w:rsidP="005D7C75"/>
    <w:p w14:paraId="57A43961" w14:textId="77777777" w:rsidR="005D7C75" w:rsidRPr="005D7C75" w:rsidRDefault="005D7C75" w:rsidP="005D7C75"/>
    <w:p w14:paraId="19EE469D" w14:textId="77777777" w:rsidR="005D7C75" w:rsidRPr="005D7C75" w:rsidRDefault="005D7C75" w:rsidP="005D7C75"/>
    <w:p w14:paraId="57F8F7A4" w14:textId="77777777" w:rsidR="005D7C75" w:rsidRPr="005D7C75" w:rsidRDefault="005D7C75" w:rsidP="005D7C75"/>
    <w:p w14:paraId="2F9BA3D6" w14:textId="77777777" w:rsidR="005D7C75" w:rsidRPr="005D7C75" w:rsidRDefault="005D7C75" w:rsidP="005D7C75"/>
    <w:p w14:paraId="0B3C7BAA" w14:textId="77777777" w:rsidR="005D7C75" w:rsidRPr="005D7C75" w:rsidRDefault="005D7C75" w:rsidP="005D7C75"/>
    <w:p w14:paraId="64186280" w14:textId="77777777" w:rsidR="005D7C75" w:rsidRPr="005D7C75" w:rsidRDefault="005D7C75" w:rsidP="005D7C75"/>
    <w:p w14:paraId="6CDD4034" w14:textId="77777777" w:rsidR="005D7C75" w:rsidRPr="005D7C75" w:rsidRDefault="005D7C75" w:rsidP="005D7C75"/>
    <w:p w14:paraId="18C5F455" w14:textId="77777777" w:rsidR="005D7C75" w:rsidRPr="005D7C75" w:rsidRDefault="005D7C75" w:rsidP="005D7C75"/>
    <w:p w14:paraId="5FA82BCC" w14:textId="77777777" w:rsidR="005D7C75" w:rsidRPr="005D7C75" w:rsidRDefault="005D7C75" w:rsidP="005D7C75"/>
    <w:p w14:paraId="4511CD65" w14:textId="77777777" w:rsidR="005D7C75" w:rsidRPr="005D7C75" w:rsidRDefault="005D7C75" w:rsidP="005D7C75"/>
    <w:p w14:paraId="6F65644C" w14:textId="77777777" w:rsidR="005D7C75" w:rsidRPr="005D7C75" w:rsidRDefault="005D7C75" w:rsidP="005D7C75"/>
    <w:p w14:paraId="7E7D0011" w14:textId="77777777" w:rsidR="005D7C75" w:rsidRDefault="005D7C75" w:rsidP="005D7C75">
      <w:pPr>
        <w:rPr>
          <w:b/>
        </w:rPr>
      </w:pPr>
    </w:p>
    <w:p w14:paraId="5577F089" w14:textId="77777777" w:rsidR="005D7C75" w:rsidRPr="005D7C75" w:rsidRDefault="005D7C75" w:rsidP="005D7C75"/>
    <w:sectPr w:rsidR="005D7C75" w:rsidRPr="005D7C75" w:rsidSect="00F05E7C">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EA423" w14:textId="77777777" w:rsidR="00711312" w:rsidRDefault="00711312" w:rsidP="002679FC">
      <w:r>
        <w:separator/>
      </w:r>
    </w:p>
  </w:endnote>
  <w:endnote w:type="continuationSeparator" w:id="0">
    <w:p w14:paraId="51CD5F67" w14:textId="77777777" w:rsidR="00711312" w:rsidRDefault="00711312"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86F7" w14:textId="1E3805CE" w:rsidR="003C3D27" w:rsidRPr="002679FC" w:rsidRDefault="00275C80" w:rsidP="00D0019B">
    <w:pPr>
      <w:pStyle w:val="Footer"/>
      <w:tabs>
        <w:tab w:val="clear" w:pos="4513"/>
        <w:tab w:val="clear" w:pos="9026"/>
        <w:tab w:val="right" w:pos="10065"/>
      </w:tabs>
      <w:rPr>
        <w:noProof/>
        <w:color w:val="652F76"/>
      </w:rPr>
    </w:pPr>
    <w:r>
      <w:t>September</w:t>
    </w:r>
    <w:r w:rsidR="005D7C75">
      <w:t xml:space="preserve"> </w:t>
    </w:r>
    <w:r w:rsidR="00F440DE">
      <w:rPr>
        <w:rFonts w:cs="Arial"/>
      </w:rPr>
      <w:t>20</w:t>
    </w:r>
    <w:r w:rsidR="00E904E5">
      <w:rPr>
        <w:rFonts w:cs="Arial"/>
      </w:rPr>
      <w:t>2</w:t>
    </w:r>
    <w:r w:rsidR="00A53646">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CB208A">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0223" w14:textId="1CAA7504"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F972A02" wp14:editId="7533649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CB208A">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2FC39" w14:textId="77777777" w:rsidR="00711312" w:rsidRDefault="00711312" w:rsidP="002679FC">
      <w:r>
        <w:separator/>
      </w:r>
    </w:p>
  </w:footnote>
  <w:footnote w:type="continuationSeparator" w:id="0">
    <w:p w14:paraId="6B99DB60" w14:textId="77777777" w:rsidR="00711312" w:rsidRDefault="00711312"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7F8DC"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09C72" w14:textId="77777777" w:rsidR="004D5F80" w:rsidRPr="00F4697D" w:rsidRDefault="0006477E" w:rsidP="00AD241C">
    <w:pPr>
      <w:spacing w:before="120"/>
      <w:jc w:val="right"/>
      <w:rPr>
        <w:b/>
      </w:rPr>
    </w:pPr>
    <w:r>
      <w:rPr>
        <w:noProof/>
        <w:lang w:eastAsia="en-AU"/>
      </w:rPr>
      <w:drawing>
        <wp:inline distT="0" distB="0" distL="0" distR="0" wp14:anchorId="10F5FA2F" wp14:editId="478B8C6E">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203E97A9" w14:textId="77777777" w:rsidR="004D5F80" w:rsidRPr="00F4697D" w:rsidRDefault="004D5F80" w:rsidP="004D5F80">
    <w:pPr>
      <w:rPr>
        <w:b/>
      </w:rPr>
    </w:pPr>
  </w:p>
  <w:p w14:paraId="1C4CE47F"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5187C"/>
    <w:multiLevelType w:val="hybridMultilevel"/>
    <w:tmpl w:val="E502329A"/>
    <w:lvl w:ilvl="0" w:tplc="7AA8FCAC">
      <w:start w:val="18"/>
      <w:numFmt w:val="bullet"/>
      <w:lvlText w:val="-"/>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335F6"/>
    <w:multiLevelType w:val="hybridMultilevel"/>
    <w:tmpl w:val="BC9653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370BCC"/>
    <w:multiLevelType w:val="multilevel"/>
    <w:tmpl w:val="A270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19397B"/>
    <w:multiLevelType w:val="hybridMultilevel"/>
    <w:tmpl w:val="5406C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1F084C"/>
    <w:multiLevelType w:val="hybridMultilevel"/>
    <w:tmpl w:val="1A9AF6A6"/>
    <w:lvl w:ilvl="0" w:tplc="7AA8FCAC">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4"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AB341AF"/>
    <w:multiLevelType w:val="hybridMultilevel"/>
    <w:tmpl w:val="1BF85D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1E3A57"/>
    <w:multiLevelType w:val="hybridMultilevel"/>
    <w:tmpl w:val="D5DAC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305000"/>
    <w:multiLevelType w:val="hybridMultilevel"/>
    <w:tmpl w:val="CA84B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957A93"/>
    <w:multiLevelType w:val="hybridMultilevel"/>
    <w:tmpl w:val="407422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38354077">
    <w:abstractNumId w:val="10"/>
  </w:num>
  <w:num w:numId="2" w16cid:durableId="1060440962">
    <w:abstractNumId w:val="7"/>
  </w:num>
  <w:num w:numId="3" w16cid:durableId="962343361">
    <w:abstractNumId w:val="9"/>
  </w:num>
  <w:num w:numId="4" w16cid:durableId="1102915855">
    <w:abstractNumId w:val="13"/>
  </w:num>
  <w:num w:numId="5" w16cid:durableId="1237088217">
    <w:abstractNumId w:val="14"/>
  </w:num>
  <w:num w:numId="6" w16cid:durableId="503517659">
    <w:abstractNumId w:val="22"/>
  </w:num>
  <w:num w:numId="7" w16cid:durableId="1758595842">
    <w:abstractNumId w:val="20"/>
  </w:num>
  <w:num w:numId="8" w16cid:durableId="788747269">
    <w:abstractNumId w:val="8"/>
  </w:num>
  <w:num w:numId="9" w16cid:durableId="292685782">
    <w:abstractNumId w:val="15"/>
  </w:num>
  <w:num w:numId="10" w16cid:durableId="465246521">
    <w:abstractNumId w:val="19"/>
  </w:num>
  <w:num w:numId="11" w16cid:durableId="831137473">
    <w:abstractNumId w:val="17"/>
  </w:num>
  <w:num w:numId="12" w16cid:durableId="383988962">
    <w:abstractNumId w:val="18"/>
  </w:num>
  <w:num w:numId="13" w16cid:durableId="1230077171">
    <w:abstractNumId w:val="3"/>
  </w:num>
  <w:num w:numId="14" w16cid:durableId="512451572">
    <w:abstractNumId w:val="5"/>
  </w:num>
  <w:num w:numId="15" w16cid:durableId="572667986">
    <w:abstractNumId w:val="4"/>
  </w:num>
  <w:num w:numId="16" w16cid:durableId="1993095237">
    <w:abstractNumId w:val="0"/>
  </w:num>
  <w:num w:numId="17" w16cid:durableId="1961380639">
    <w:abstractNumId w:val="12"/>
  </w:num>
  <w:num w:numId="18" w16cid:durableId="1038974857">
    <w:abstractNumId w:val="11"/>
  </w:num>
  <w:num w:numId="19" w16cid:durableId="586310458">
    <w:abstractNumId w:val="1"/>
  </w:num>
  <w:num w:numId="20" w16cid:durableId="668214063">
    <w:abstractNumId w:val="2"/>
  </w:num>
  <w:num w:numId="21" w16cid:durableId="571434234">
    <w:abstractNumId w:val="21"/>
  </w:num>
  <w:num w:numId="22" w16cid:durableId="1043287770">
    <w:abstractNumId w:val="24"/>
  </w:num>
  <w:num w:numId="23" w16cid:durableId="177620532">
    <w:abstractNumId w:val="16"/>
  </w:num>
  <w:num w:numId="24" w16cid:durableId="383456642">
    <w:abstractNumId w:val="6"/>
  </w:num>
  <w:num w:numId="25" w16cid:durableId="1697383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7BC1"/>
    <w:rsid w:val="0006477E"/>
    <w:rsid w:val="00087088"/>
    <w:rsid w:val="00092863"/>
    <w:rsid w:val="000A19FD"/>
    <w:rsid w:val="000A5CCE"/>
    <w:rsid w:val="000B4E58"/>
    <w:rsid w:val="000B7A2E"/>
    <w:rsid w:val="000D33F2"/>
    <w:rsid w:val="000D630E"/>
    <w:rsid w:val="000E2E4D"/>
    <w:rsid w:val="000F6C69"/>
    <w:rsid w:val="001152A0"/>
    <w:rsid w:val="0012309C"/>
    <w:rsid w:val="00170591"/>
    <w:rsid w:val="00175AD0"/>
    <w:rsid w:val="001B0932"/>
    <w:rsid w:val="001B3FCE"/>
    <w:rsid w:val="001C0527"/>
    <w:rsid w:val="001C3DDD"/>
    <w:rsid w:val="001C5440"/>
    <w:rsid w:val="001E5D6A"/>
    <w:rsid w:val="001E630D"/>
    <w:rsid w:val="00225266"/>
    <w:rsid w:val="00246DBA"/>
    <w:rsid w:val="00252873"/>
    <w:rsid w:val="002679FC"/>
    <w:rsid w:val="0027554F"/>
    <w:rsid w:val="00275C80"/>
    <w:rsid w:val="002B620A"/>
    <w:rsid w:val="002C2931"/>
    <w:rsid w:val="002F1FEC"/>
    <w:rsid w:val="003144F5"/>
    <w:rsid w:val="00350464"/>
    <w:rsid w:val="0035129E"/>
    <w:rsid w:val="0035638C"/>
    <w:rsid w:val="00357D1A"/>
    <w:rsid w:val="00370DBC"/>
    <w:rsid w:val="003A72AC"/>
    <w:rsid w:val="003B2BB8"/>
    <w:rsid w:val="003B70A2"/>
    <w:rsid w:val="003C2543"/>
    <w:rsid w:val="003C3D27"/>
    <w:rsid w:val="003D34FF"/>
    <w:rsid w:val="003E11D5"/>
    <w:rsid w:val="003E336A"/>
    <w:rsid w:val="004115EA"/>
    <w:rsid w:val="00421B46"/>
    <w:rsid w:val="004342E3"/>
    <w:rsid w:val="00453E69"/>
    <w:rsid w:val="00487A4B"/>
    <w:rsid w:val="0049131C"/>
    <w:rsid w:val="004924C6"/>
    <w:rsid w:val="004B10E9"/>
    <w:rsid w:val="004B54CA"/>
    <w:rsid w:val="004D5F80"/>
    <w:rsid w:val="004E5CBF"/>
    <w:rsid w:val="004F380D"/>
    <w:rsid w:val="00516CF0"/>
    <w:rsid w:val="005638D6"/>
    <w:rsid w:val="00570D8A"/>
    <w:rsid w:val="00590B1D"/>
    <w:rsid w:val="0059472F"/>
    <w:rsid w:val="005B2B6C"/>
    <w:rsid w:val="005C3AA9"/>
    <w:rsid w:val="005D12C0"/>
    <w:rsid w:val="005D7C75"/>
    <w:rsid w:val="005E669D"/>
    <w:rsid w:val="005F6526"/>
    <w:rsid w:val="00612183"/>
    <w:rsid w:val="00613F5D"/>
    <w:rsid w:val="00615253"/>
    <w:rsid w:val="006546AD"/>
    <w:rsid w:val="00667792"/>
    <w:rsid w:val="00694BF9"/>
    <w:rsid w:val="006A4CE7"/>
    <w:rsid w:val="006B6BA5"/>
    <w:rsid w:val="006C0807"/>
    <w:rsid w:val="006D0066"/>
    <w:rsid w:val="006F12F2"/>
    <w:rsid w:val="00711312"/>
    <w:rsid w:val="00715D3F"/>
    <w:rsid w:val="00732875"/>
    <w:rsid w:val="007353E4"/>
    <w:rsid w:val="0075741F"/>
    <w:rsid w:val="007630C4"/>
    <w:rsid w:val="00765B4E"/>
    <w:rsid w:val="00785261"/>
    <w:rsid w:val="007B0256"/>
    <w:rsid w:val="007B0265"/>
    <w:rsid w:val="007B238D"/>
    <w:rsid w:val="007B69F7"/>
    <w:rsid w:val="00804131"/>
    <w:rsid w:val="008055DA"/>
    <w:rsid w:val="008070D3"/>
    <w:rsid w:val="008112D0"/>
    <w:rsid w:val="00814D76"/>
    <w:rsid w:val="008344C6"/>
    <w:rsid w:val="008416D2"/>
    <w:rsid w:val="00843B54"/>
    <w:rsid w:val="00850B9E"/>
    <w:rsid w:val="00860924"/>
    <w:rsid w:val="00874FC0"/>
    <w:rsid w:val="00877292"/>
    <w:rsid w:val="00881B41"/>
    <w:rsid w:val="0089311B"/>
    <w:rsid w:val="008A61A1"/>
    <w:rsid w:val="008B3E61"/>
    <w:rsid w:val="008B5C1D"/>
    <w:rsid w:val="008D6FB5"/>
    <w:rsid w:val="009225F0"/>
    <w:rsid w:val="00937682"/>
    <w:rsid w:val="009522E1"/>
    <w:rsid w:val="00966BD6"/>
    <w:rsid w:val="0098201F"/>
    <w:rsid w:val="00992A19"/>
    <w:rsid w:val="009A41BC"/>
    <w:rsid w:val="009E160D"/>
    <w:rsid w:val="00A075CF"/>
    <w:rsid w:val="00A31CCC"/>
    <w:rsid w:val="00A53646"/>
    <w:rsid w:val="00A87366"/>
    <w:rsid w:val="00AD241C"/>
    <w:rsid w:val="00AD49A1"/>
    <w:rsid w:val="00AE2B41"/>
    <w:rsid w:val="00AE79F3"/>
    <w:rsid w:val="00B0410D"/>
    <w:rsid w:val="00B145A5"/>
    <w:rsid w:val="00B23D07"/>
    <w:rsid w:val="00B24033"/>
    <w:rsid w:val="00B73D68"/>
    <w:rsid w:val="00B82EB3"/>
    <w:rsid w:val="00B8499F"/>
    <w:rsid w:val="00B917F1"/>
    <w:rsid w:val="00BA2DB9"/>
    <w:rsid w:val="00BA37FA"/>
    <w:rsid w:val="00BB43D1"/>
    <w:rsid w:val="00BD3C04"/>
    <w:rsid w:val="00BE7148"/>
    <w:rsid w:val="00BF4F5C"/>
    <w:rsid w:val="00C27E81"/>
    <w:rsid w:val="00C332BC"/>
    <w:rsid w:val="00C34B01"/>
    <w:rsid w:val="00CA1943"/>
    <w:rsid w:val="00CB208A"/>
    <w:rsid w:val="00CF7A74"/>
    <w:rsid w:val="00D0019B"/>
    <w:rsid w:val="00D27707"/>
    <w:rsid w:val="00D305AA"/>
    <w:rsid w:val="00D47619"/>
    <w:rsid w:val="00D76F17"/>
    <w:rsid w:val="00DE214C"/>
    <w:rsid w:val="00DE7B78"/>
    <w:rsid w:val="00DF19EB"/>
    <w:rsid w:val="00E34909"/>
    <w:rsid w:val="00E36EDB"/>
    <w:rsid w:val="00E72D38"/>
    <w:rsid w:val="00E819CD"/>
    <w:rsid w:val="00E904E5"/>
    <w:rsid w:val="00E93455"/>
    <w:rsid w:val="00EC579F"/>
    <w:rsid w:val="00EE3AEC"/>
    <w:rsid w:val="00F0374E"/>
    <w:rsid w:val="00F05E7C"/>
    <w:rsid w:val="00F440DE"/>
    <w:rsid w:val="00F4697D"/>
    <w:rsid w:val="00F64332"/>
    <w:rsid w:val="00F75E82"/>
    <w:rsid w:val="00F7714C"/>
    <w:rsid w:val="00FA6BAB"/>
    <w:rsid w:val="00FA7DE7"/>
    <w:rsid w:val="00FB2242"/>
    <w:rsid w:val="00FB3389"/>
    <w:rsid w:val="00FF4AE8"/>
    <w:rsid w:val="202A0616"/>
    <w:rsid w:val="70D15048"/>
    <w:rsid w:val="714AC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8D768"/>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A1943"/>
    <w:pPr>
      <w:spacing w:after="100" w:line="259" w:lineRule="auto"/>
    </w:pPr>
    <w:rPr>
      <w:sz w:val="20"/>
    </w:rPr>
  </w:style>
  <w:style w:type="paragraph" w:styleId="TOC2">
    <w:name w:val="toc 2"/>
    <w:basedOn w:val="Normal"/>
    <w:next w:val="Normal"/>
    <w:autoRedefine/>
    <w:uiPriority w:val="39"/>
    <w:unhideWhenUsed/>
    <w:rsid w:val="00CA1943"/>
    <w:pPr>
      <w:spacing w:after="100" w:line="259" w:lineRule="auto"/>
      <w:ind w:left="220"/>
    </w:pPr>
    <w:rPr>
      <w:sz w:val="20"/>
    </w:rPr>
  </w:style>
  <w:style w:type="paragraph" w:styleId="TOC3">
    <w:name w:val="toc 3"/>
    <w:basedOn w:val="Normal"/>
    <w:next w:val="Normal"/>
    <w:autoRedefine/>
    <w:uiPriority w:val="39"/>
    <w:unhideWhenUsed/>
    <w:rsid w:val="00CA1943"/>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F19EB"/>
    <w:rPr>
      <w:sz w:val="16"/>
      <w:szCs w:val="16"/>
    </w:rPr>
  </w:style>
  <w:style w:type="paragraph" w:styleId="CommentText">
    <w:name w:val="annotation text"/>
    <w:basedOn w:val="Normal"/>
    <w:link w:val="CommentTextChar"/>
    <w:uiPriority w:val="99"/>
    <w:semiHidden/>
    <w:unhideWhenUsed/>
    <w:rsid w:val="00DF19EB"/>
    <w:pPr>
      <w:spacing w:line="240" w:lineRule="auto"/>
    </w:pPr>
    <w:rPr>
      <w:sz w:val="20"/>
      <w:szCs w:val="20"/>
    </w:rPr>
  </w:style>
  <w:style w:type="character" w:customStyle="1" w:styleId="CommentTextChar">
    <w:name w:val="Comment Text Char"/>
    <w:basedOn w:val="DefaultParagraphFont"/>
    <w:link w:val="CommentText"/>
    <w:uiPriority w:val="99"/>
    <w:semiHidden/>
    <w:rsid w:val="00DF19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19EB"/>
    <w:rPr>
      <w:b/>
      <w:bCs/>
    </w:rPr>
  </w:style>
  <w:style w:type="character" w:customStyle="1" w:styleId="CommentSubjectChar">
    <w:name w:val="Comment Subject Char"/>
    <w:basedOn w:val="CommentTextChar"/>
    <w:link w:val="CommentSubject"/>
    <w:uiPriority w:val="99"/>
    <w:semiHidden/>
    <w:rsid w:val="00DF19E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546467">
      <w:bodyDiv w:val="1"/>
      <w:marLeft w:val="0"/>
      <w:marRight w:val="0"/>
      <w:marTop w:val="0"/>
      <w:marBottom w:val="0"/>
      <w:divBdr>
        <w:top w:val="none" w:sz="0" w:space="0" w:color="auto"/>
        <w:left w:val="none" w:sz="0" w:space="0" w:color="auto"/>
        <w:bottom w:val="none" w:sz="0" w:space="0" w:color="auto"/>
        <w:right w:val="none" w:sz="0" w:space="0" w:color="auto"/>
      </w:divBdr>
    </w:div>
    <w:div w:id="918297180">
      <w:bodyDiv w:val="1"/>
      <w:marLeft w:val="0"/>
      <w:marRight w:val="0"/>
      <w:marTop w:val="0"/>
      <w:marBottom w:val="0"/>
      <w:divBdr>
        <w:top w:val="none" w:sz="0" w:space="0" w:color="auto"/>
        <w:left w:val="none" w:sz="0" w:space="0" w:color="auto"/>
        <w:bottom w:val="none" w:sz="0" w:space="0" w:color="auto"/>
        <w:right w:val="none" w:sz="0" w:space="0" w:color="auto"/>
      </w:divBdr>
    </w:div>
    <w:div w:id="1004741456">
      <w:bodyDiv w:val="1"/>
      <w:marLeft w:val="0"/>
      <w:marRight w:val="0"/>
      <w:marTop w:val="0"/>
      <w:marBottom w:val="0"/>
      <w:divBdr>
        <w:top w:val="none" w:sz="0" w:space="0" w:color="auto"/>
        <w:left w:val="none" w:sz="0" w:space="0" w:color="auto"/>
        <w:bottom w:val="none" w:sz="0" w:space="0" w:color="auto"/>
        <w:right w:val="none" w:sz="0" w:space="0" w:color="auto"/>
      </w:divBdr>
    </w:div>
    <w:div w:id="1013722709">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272276150">
      <w:bodyDiv w:val="1"/>
      <w:marLeft w:val="0"/>
      <w:marRight w:val="0"/>
      <w:marTop w:val="0"/>
      <w:marBottom w:val="0"/>
      <w:divBdr>
        <w:top w:val="none" w:sz="0" w:space="0" w:color="auto"/>
        <w:left w:val="none" w:sz="0" w:space="0" w:color="auto"/>
        <w:bottom w:val="none" w:sz="0" w:space="0" w:color="auto"/>
        <w:right w:val="none" w:sz="0" w:space="0" w:color="auto"/>
      </w:divBdr>
    </w:div>
    <w:div w:id="15287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63F05-A7F4-4606-9C00-F5C714923E93}">
  <ds:schemaRefs>
    <ds:schemaRef ds:uri="http://schemas.openxmlformats.org/officeDocument/2006/bibliography"/>
  </ds:schemaRefs>
</ds:datastoreItem>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7959D0D5-DB89-4F21-8A4C-313CFFA3F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4462</Characters>
  <Application>Microsoft Office Word</Application>
  <DocSecurity>0</DocSecurity>
  <Lines>37</Lines>
  <Paragraphs>10</Paragraphs>
  <ScaleCrop>false</ScaleCrop>
  <Company>FaHCSIA</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62</cp:revision>
  <cp:lastPrinted>2020-03-06T05:39:00Z</cp:lastPrinted>
  <dcterms:created xsi:type="dcterms:W3CDTF">2019-09-19T06:07:00Z</dcterms:created>
  <dcterms:modified xsi:type="dcterms:W3CDTF">2024-11-05T06:14:00Z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2023-05-26T02:11:03Z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891ba27f-eec5-4d25-9d07-38c613fbf6a6</vt:lpwstr>
  </property>
  <property fmtid="{D5CDD505-2E9C-101B-9397-08002B2CF9AE}" pid="14" name="MSIP_Label_2b83f8d7-e91f-4eee-a336-52a8061c0503_ContentBits">
    <vt:lpwstr>0</vt:lpwstr>
  </property>
  <property fmtid="{D5CDD505-2E9C-101B-9397-08002B2CF9AE}" pid="15" name="MediaServiceImageTags">
    <vt:lpwstr/>
  </property>
</Properties>
</file>