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Default="00BF0755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32397943"/>
      <w:r>
        <w:rPr>
          <w:sz w:val="36"/>
        </w:rPr>
        <w:t>Region / Support Category Summary</w:t>
      </w:r>
      <w:r w:rsidR="00660C99" w:rsidRPr="003C1EE2">
        <w:rPr>
          <w:sz w:val="36"/>
        </w:rPr>
        <w:t xml:space="preserve"> Dashboard – </w:t>
      </w:r>
      <w:r w:rsidR="00D36C56">
        <w:rPr>
          <w:sz w:val="36"/>
        </w:rPr>
        <w:t>Non-</w:t>
      </w:r>
      <w:r w:rsidR="00530C08">
        <w:rPr>
          <w:sz w:val="36"/>
        </w:rPr>
        <w:t xml:space="preserve">SIL only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>as at 3</w:t>
      </w:r>
      <w:r w:rsidR="00D00BF7">
        <w:rPr>
          <w:sz w:val="36"/>
        </w:rPr>
        <w:t>1</w:t>
      </w:r>
      <w:r w:rsidR="00660C99" w:rsidRPr="003C1EE2">
        <w:rPr>
          <w:sz w:val="36"/>
        </w:rPr>
        <w:t xml:space="preserve"> </w:t>
      </w:r>
      <w:r w:rsidR="00D00BF7">
        <w:rPr>
          <w:sz w:val="36"/>
        </w:rPr>
        <w:t>December</w:t>
      </w:r>
      <w:r w:rsidR="00660C99" w:rsidRPr="003C1EE2">
        <w:rPr>
          <w:sz w:val="36"/>
        </w:rPr>
        <w:t xml:space="preserve"> 2019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1 </w:t>
      </w:r>
      <w:r w:rsidR="00D00BF7">
        <w:rPr>
          <w:sz w:val="36"/>
        </w:rPr>
        <w:t>April</w:t>
      </w:r>
      <w:r w:rsidR="00660C99" w:rsidRPr="003C1EE2">
        <w:rPr>
          <w:sz w:val="36"/>
        </w:rPr>
        <w:t xml:space="preserve"> 201</w:t>
      </w:r>
      <w:r w:rsidR="00716B7A">
        <w:rPr>
          <w:sz w:val="36"/>
        </w:rPr>
        <w:t>9</w:t>
      </w:r>
      <w:r w:rsidR="00660C99" w:rsidRPr="003C1EE2">
        <w:rPr>
          <w:sz w:val="36"/>
        </w:rPr>
        <w:t xml:space="preserve"> to 3</w:t>
      </w:r>
      <w:r w:rsidR="00D00BF7">
        <w:rPr>
          <w:sz w:val="36"/>
        </w:rPr>
        <w:t>0</w:t>
      </w:r>
      <w:r w:rsidR="00660C99" w:rsidRPr="003C1EE2">
        <w:rPr>
          <w:sz w:val="36"/>
        </w:rPr>
        <w:t xml:space="preserve"> </w:t>
      </w:r>
      <w:r w:rsidR="00D00BF7">
        <w:rPr>
          <w:sz w:val="36"/>
        </w:rPr>
        <w:t>September</w:t>
      </w:r>
      <w:r w:rsidR="00660C99" w:rsidRPr="003C1EE2">
        <w:rPr>
          <w:sz w:val="36"/>
        </w:rPr>
        <w:t xml:space="preserve"> 2019)</w:t>
      </w:r>
      <w:bookmarkEnd w:id="2"/>
    </w:p>
    <w:p w:rsidR="00D00BF7" w:rsidRPr="00D00BF7" w:rsidRDefault="00D00BF7" w:rsidP="00D00BF7"/>
    <w:bookmarkStart w:id="3" w:name="_Toc32397944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B41A44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:rsidR="00530C08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97943" w:history="1">
            <w:r w:rsidR="00530C08" w:rsidRPr="003263B8">
              <w:rPr>
                <w:rStyle w:val="Hyperlink"/>
                <w:noProof/>
              </w:rPr>
              <w:t xml:space="preserve">Region / Support Category Summary Dashboard – </w:t>
            </w:r>
            <w:r w:rsidR="00D36C56">
              <w:rPr>
                <w:rStyle w:val="Hyperlink"/>
                <w:noProof/>
              </w:rPr>
              <w:t>Non-</w:t>
            </w:r>
            <w:r w:rsidR="00530C08" w:rsidRPr="003263B8">
              <w:rPr>
                <w:rStyle w:val="Hyperlink"/>
                <w:noProof/>
              </w:rPr>
              <w:t>SIL only - as at 31 December 2019 (with exposure period: 1 April 2019 to 30 September 2019)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_Toc32397943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0D04D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4" w:history="1">
            <w:r w:rsidR="00530C08" w:rsidRPr="003263B8">
              <w:rPr>
                <w:rStyle w:val="Hyperlink"/>
                <w:noProof/>
                <w:lang w:eastAsia="en-AU"/>
              </w:rPr>
              <w:t>Table of Contents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_Toc32397944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0D04D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5" w:history="1">
            <w:r w:rsidR="00530C08" w:rsidRPr="003263B8">
              <w:rPr>
                <w:rStyle w:val="Hyperlink"/>
                <w:noProof/>
              </w:rPr>
              <w:t>Page 1, Table 1: Bilateral region summary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_Toc32397945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2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0D04D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6" w:history="1">
            <w:r w:rsidR="00530C08" w:rsidRPr="003263B8">
              <w:rPr>
                <w:rStyle w:val="Hyperlink"/>
                <w:noProof/>
              </w:rPr>
              <w:t>Page 2, Table 1: Support category summary, for all bilateral regions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_Toc32397946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5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0D04D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7" w:history="1">
            <w:r w:rsidR="00530C08" w:rsidRPr="003263B8">
              <w:rPr>
                <w:rStyle w:val="Hyperlink"/>
                <w:noProof/>
              </w:rPr>
              <w:t>Page 2, Table 2: Definitions for the indicators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_Toc32397947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7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B45A45" w:rsidRDefault="00BF0755" w:rsidP="00D00BF7">
      <w:pPr>
        <w:pStyle w:val="Heading2"/>
      </w:pPr>
      <w:bookmarkStart w:id="4" w:name="_Toc32397945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7242A6" w:rsidRPr="00B45A45">
        <w:t>Bilateral</w:t>
      </w:r>
      <w:r w:rsidRPr="00B45A45">
        <w:t xml:space="preserve"> region</w:t>
      </w:r>
      <w:r w:rsidR="0013152A" w:rsidRPr="00B45A45">
        <w:t xml:space="preserve"> summary</w:t>
      </w:r>
      <w:bookmarkEnd w:id="4"/>
    </w:p>
    <w:p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D12F81" w:rsidRPr="00B45A45">
        <w:rPr>
          <w:rFonts w:cs="Arial"/>
          <w:b/>
        </w:rPr>
        <w:t xml:space="preserve">participants </w:t>
      </w:r>
      <w:r w:rsidR="00D36C56">
        <w:rPr>
          <w:rFonts w:cs="Arial"/>
          <w:b/>
        </w:rPr>
        <w:t xml:space="preserve">not </w:t>
      </w:r>
      <w:r w:rsidR="00D12F81" w:rsidRPr="00B45A45">
        <w:rPr>
          <w:rFonts w:cs="Arial"/>
          <w:b/>
        </w:rPr>
        <w:t>utilising Supported Independent Living (SIL) supports</w:t>
      </w:r>
      <w:r w:rsidR="00D12F81" w:rsidRPr="00B45A45">
        <w:rPr>
          <w:rFonts w:cs="Arial"/>
        </w:rPr>
        <w:t xml:space="preserve"> 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D00BF7" w:rsidRPr="00B45A45">
        <w:rPr>
          <w:rFonts w:cs="Arial"/>
        </w:rPr>
        <w:t>76</w:t>
      </w:r>
      <w:r w:rsidR="0013152A" w:rsidRPr="00B45A45">
        <w:rPr>
          <w:rFonts w:cs="Arial"/>
        </w:rPr>
        <w:t xml:space="preserve"> bilateral regions</w:t>
      </w:r>
      <w:r w:rsidR="00A10ABF" w:rsidRPr="00B45A45">
        <w:rPr>
          <w:rFonts w:cs="Arial"/>
        </w:rPr>
        <w:t xml:space="preserve"> with more than </w:t>
      </w:r>
      <w:r w:rsidR="00716B7A" w:rsidRPr="00B45A45">
        <w:rPr>
          <w:rFonts w:cs="Arial"/>
        </w:rPr>
        <w:t>12</w:t>
      </w:r>
      <w:r w:rsidR="00A10ABF" w:rsidRPr="00B45A45">
        <w:rPr>
          <w:rFonts w:cs="Arial"/>
        </w:rPr>
        <w:t xml:space="preserve"> months experience in Scheme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“Has NDIS helped with choice and control?” indicator</w:t>
      </w:r>
    </w:p>
    <w:p w:rsidR="00763823" w:rsidRPr="00B45A45" w:rsidRDefault="00B41A44" w:rsidP="00D00BF7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476601">
        <w:rPr>
          <w:rFonts w:cs="Arial"/>
        </w:rPr>
        <w:t>(</w:t>
      </w:r>
      <w:r w:rsidR="00D36C56">
        <w:rPr>
          <w:rFonts w:cs="Arial"/>
        </w:rPr>
        <w:t>Non-</w:t>
      </w:r>
      <w:r w:rsidR="00476601">
        <w:rPr>
          <w:rFonts w:cs="Arial"/>
        </w:rPr>
        <w:t xml:space="preserve">SIL) </w:t>
      </w:r>
      <w:r w:rsidRPr="00B45A45">
        <w:rPr>
          <w:rFonts w:cs="Arial"/>
        </w:rPr>
        <w:t>participants with approved plans, the number of registered active providers, total plan budgets and total payments are also shown.</w:t>
      </w:r>
      <w:r w:rsidR="00CA1F54" w:rsidRPr="00B45A45">
        <w:rPr>
          <w:rFonts w:cs="Arial"/>
        </w:rPr>
        <w:t xml:space="preserve"> The 7 indicators</w:t>
      </w:r>
      <w:r w:rsidR="00B94DA7" w:rsidRPr="00B45A45">
        <w:rPr>
          <w:rFonts w:cs="Arial"/>
        </w:rPr>
        <w:t xml:space="preserve"> have a ‘traffic light system’ where the top 10% and bottom 10% </w:t>
      </w:r>
      <w:r w:rsidR="00430D4D" w:rsidRPr="00B45A45">
        <w:rPr>
          <w:rFonts w:cs="Arial"/>
        </w:rPr>
        <w:t xml:space="preserve">of </w:t>
      </w:r>
      <w:r w:rsidR="00B94DA7" w:rsidRPr="00B45A45">
        <w:rPr>
          <w:rFonts w:cs="Arial"/>
        </w:rPr>
        <w:t>regions</w:t>
      </w:r>
      <w:r w:rsidR="00430D4D" w:rsidRPr="00B45A45">
        <w:rPr>
          <w:rFonts w:cs="Arial"/>
        </w:rPr>
        <w:t xml:space="preserve"> – by gap to benchmark – </w:t>
      </w:r>
      <w:r w:rsidR="00B94DA7" w:rsidRPr="00B45A45">
        <w:rPr>
          <w:rFonts w:cs="Arial"/>
        </w:rPr>
        <w:t>are</w:t>
      </w:r>
      <w:r w:rsidR="00430D4D" w:rsidRPr="00B45A45">
        <w:rPr>
          <w:rFonts w:cs="Arial"/>
        </w:rPr>
        <w:t xml:space="preserve"> </w:t>
      </w:r>
      <w:r w:rsidR="00B94DA7" w:rsidRPr="00B45A45">
        <w:rPr>
          <w:rFonts w:cs="Arial"/>
        </w:rPr>
        <w:t>highlighted.</w:t>
      </w:r>
    </w:p>
    <w:p w:rsidR="00862FC1" w:rsidRPr="00D12F81" w:rsidRDefault="00862FC1" w:rsidP="00D00BF7">
      <w:pPr>
        <w:jc w:val="both"/>
        <w:rPr>
          <w:rFonts w:cs="Arial"/>
          <w:highlight w:val="yellow"/>
        </w:rPr>
      </w:pPr>
    </w:p>
    <w:p w:rsidR="009A78AA" w:rsidRPr="00A31984" w:rsidRDefault="00B94DA7" w:rsidP="00D00BF7">
      <w:pPr>
        <w:jc w:val="both"/>
        <w:rPr>
          <w:rFonts w:cs="Arial"/>
        </w:rPr>
      </w:pPr>
      <w:r w:rsidRPr="00A31984">
        <w:rPr>
          <w:rFonts w:cs="Arial"/>
        </w:rPr>
        <w:t xml:space="preserve">For </w:t>
      </w:r>
      <w:r w:rsidR="002340FA" w:rsidRPr="00A31984">
        <w:rPr>
          <w:rFonts w:cs="Arial"/>
        </w:rPr>
        <w:t>(</w:t>
      </w:r>
      <w:r w:rsidR="00D36C56" w:rsidRPr="00A31984">
        <w:rPr>
          <w:rFonts w:cs="Arial"/>
        </w:rPr>
        <w:t>Non-</w:t>
      </w:r>
      <w:r w:rsidR="002340FA" w:rsidRPr="00A31984">
        <w:rPr>
          <w:rFonts w:cs="Arial"/>
        </w:rPr>
        <w:t xml:space="preserve">SIL) </w:t>
      </w:r>
      <w:r w:rsidRPr="00A31984">
        <w:rPr>
          <w:rFonts w:cs="Arial"/>
          <w:b/>
        </w:rPr>
        <w:t>participants per provider</w:t>
      </w:r>
      <w:r w:rsidRPr="00A31984">
        <w:rPr>
          <w:rFonts w:cs="Arial"/>
        </w:rPr>
        <w:t xml:space="preserve">, </w:t>
      </w:r>
      <w:r w:rsidR="009A78AA" w:rsidRPr="00A31984">
        <w:rPr>
          <w:rFonts w:cs="Arial"/>
        </w:rPr>
        <w:t>the top 10% regions are as follows.</w:t>
      </w:r>
    </w:p>
    <w:p w:rsidR="00A31984" w:rsidRPr="00A31984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bookmarkStart w:id="5" w:name="_Toc32397946"/>
      <w:r w:rsidRPr="00A31984">
        <w:rPr>
          <w:rFonts w:cs="Arial"/>
        </w:rPr>
        <w:t>Far West (New South Wales) has 4.5 participants per provider.</w:t>
      </w:r>
    </w:p>
    <w:p w:rsidR="00A31984" w:rsidRPr="00A31984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31984">
        <w:rPr>
          <w:rFonts w:cs="Arial"/>
        </w:rPr>
        <w:t>Far North (South Australia) has 4.1.</w:t>
      </w:r>
    </w:p>
    <w:p w:rsidR="00A31984" w:rsidRPr="00A31984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proofErr w:type="spellStart"/>
      <w:r w:rsidRPr="00A31984">
        <w:rPr>
          <w:rFonts w:cs="Arial"/>
        </w:rPr>
        <w:t>Fleurieu</w:t>
      </w:r>
      <w:proofErr w:type="spellEnd"/>
      <w:r w:rsidRPr="00A31984">
        <w:rPr>
          <w:rFonts w:cs="Arial"/>
        </w:rPr>
        <w:t xml:space="preserve"> and Kangaroo Island (South Australia) has 5.3.</w:t>
      </w:r>
    </w:p>
    <w:p w:rsidR="00A31984" w:rsidRPr="00A31984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31984">
        <w:rPr>
          <w:rFonts w:cs="Arial"/>
        </w:rPr>
        <w:t>Barkly (Northern Territory) has 3.9.</w:t>
      </w:r>
    </w:p>
    <w:p w:rsidR="00A31984" w:rsidRPr="00A31984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31984">
        <w:rPr>
          <w:rFonts w:cs="Arial"/>
        </w:rPr>
        <w:t>Central Australia (Northern Territory) has 3.6.</w:t>
      </w:r>
    </w:p>
    <w:p w:rsidR="00A31984" w:rsidRPr="00A31984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31984">
        <w:rPr>
          <w:rFonts w:cs="Arial"/>
        </w:rPr>
        <w:t>Darwin Remote (Northern Territory) has 4.9.</w:t>
      </w:r>
    </w:p>
    <w:p w:rsidR="00A31984" w:rsidRPr="00A31984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31984">
        <w:rPr>
          <w:rFonts w:cs="Arial"/>
        </w:rPr>
        <w:t>Katherine (Northern Territory) has 2.6.</w:t>
      </w:r>
    </w:p>
    <w:p w:rsidR="00A31984" w:rsidRPr="00A31984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31984">
        <w:rPr>
          <w:rFonts w:cs="Arial"/>
        </w:rPr>
        <w:t>Wheat Belt (Western Australia) has 4.4.</w:t>
      </w:r>
    </w:p>
    <w:p w:rsidR="00A31984" w:rsidRPr="005C3EEC" w:rsidRDefault="00A31984" w:rsidP="00A31984">
      <w:pPr>
        <w:jc w:val="both"/>
        <w:rPr>
          <w:rFonts w:cs="Arial"/>
        </w:rPr>
      </w:pPr>
      <w:r w:rsidRPr="005C3EEC">
        <w:rPr>
          <w:rFonts w:cs="Arial"/>
        </w:rPr>
        <w:t>The bottom 10% regions are as follows.</w:t>
      </w:r>
    </w:p>
    <w:p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 xml:space="preserve">Hunter New England (New South Wales) has </w:t>
      </w:r>
      <w:r w:rsidR="005C3EEC" w:rsidRPr="005C3EEC">
        <w:rPr>
          <w:rFonts w:cs="Arial"/>
        </w:rPr>
        <w:t>13.4</w:t>
      </w:r>
      <w:r w:rsidRPr="005C3EEC">
        <w:rPr>
          <w:rFonts w:cs="Arial"/>
        </w:rPr>
        <w:t xml:space="preserve"> participants per provider.</w:t>
      </w:r>
    </w:p>
    <w:p w:rsidR="005C3EEC" w:rsidRPr="005C3EEC" w:rsidRDefault="005C3EEC" w:rsidP="005C3EE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>Northern NSW (New South Wales) has 11.4.</w:t>
      </w:r>
    </w:p>
    <w:p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>Bayside Peninsula (Victoria) has 11.6.</w:t>
      </w:r>
    </w:p>
    <w:p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>Northern Ade</w:t>
      </w:r>
      <w:r w:rsidR="005C3EEC" w:rsidRPr="005C3EEC">
        <w:rPr>
          <w:rFonts w:cs="Arial"/>
        </w:rPr>
        <w:t>laide (South Australia) has 15.8</w:t>
      </w:r>
      <w:r w:rsidRPr="005C3EEC">
        <w:rPr>
          <w:rFonts w:cs="Arial"/>
        </w:rPr>
        <w:t>.</w:t>
      </w:r>
    </w:p>
    <w:p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>Southern Ade</w:t>
      </w:r>
      <w:r w:rsidR="005C3EEC" w:rsidRPr="005C3EEC">
        <w:rPr>
          <w:rFonts w:cs="Arial"/>
        </w:rPr>
        <w:t>laide (South Australia) has 12.3</w:t>
      </w:r>
      <w:r w:rsidRPr="005C3EEC">
        <w:rPr>
          <w:rFonts w:cs="Arial"/>
        </w:rPr>
        <w:t>.</w:t>
      </w:r>
    </w:p>
    <w:p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>Australian Capital Territory has 14.9.</w:t>
      </w:r>
    </w:p>
    <w:p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>South Me</w:t>
      </w:r>
      <w:r w:rsidR="005C3EEC" w:rsidRPr="005C3EEC">
        <w:rPr>
          <w:rFonts w:cs="Arial"/>
        </w:rPr>
        <w:t>tro (Western Australia) has 11.8</w:t>
      </w:r>
      <w:r w:rsidRPr="005C3EEC">
        <w:rPr>
          <w:rFonts w:cs="Arial"/>
        </w:rPr>
        <w:t>.</w:t>
      </w:r>
    </w:p>
    <w:p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>South W</w:t>
      </w:r>
      <w:r w:rsidR="005C3EEC" w:rsidRPr="005C3EEC">
        <w:rPr>
          <w:rFonts w:cs="Arial"/>
        </w:rPr>
        <w:t>est (Western Australia) has 15.3</w:t>
      </w:r>
      <w:r w:rsidRPr="005C3EEC">
        <w:rPr>
          <w:rFonts w:cs="Arial"/>
        </w:rPr>
        <w:t>.</w:t>
      </w:r>
    </w:p>
    <w:p w:rsidR="00A31984" w:rsidRPr="00BC1232" w:rsidRDefault="00A31984" w:rsidP="00A31984">
      <w:pPr>
        <w:jc w:val="both"/>
        <w:rPr>
          <w:rFonts w:cs="Arial"/>
        </w:rPr>
      </w:pPr>
      <w:r w:rsidRPr="00BC1232">
        <w:rPr>
          <w:rFonts w:cs="Arial"/>
        </w:rPr>
        <w:t xml:space="preserve">For </w:t>
      </w:r>
      <w:r w:rsidRPr="00BC1232">
        <w:rPr>
          <w:rFonts w:cs="Arial"/>
          <w:b/>
        </w:rPr>
        <w:t>provider concentration</w:t>
      </w:r>
      <w:r w:rsidRPr="00BC1232">
        <w:rPr>
          <w:rFonts w:cs="Arial"/>
        </w:rPr>
        <w:t>, the top 10% regions are as follows.</w:t>
      </w:r>
    </w:p>
    <w:p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Hunter New England (New South Wales) has provider concentration level of 2</w:t>
      </w:r>
      <w:r w:rsidR="00BC1232" w:rsidRPr="00BC1232">
        <w:rPr>
          <w:rFonts w:cs="Arial"/>
        </w:rPr>
        <w:t>3</w:t>
      </w:r>
      <w:r w:rsidRPr="00BC1232">
        <w:rPr>
          <w:rFonts w:cs="Arial"/>
        </w:rPr>
        <w:t>%.</w:t>
      </w:r>
    </w:p>
    <w:p w:rsidR="00BC1232" w:rsidRPr="00BC1232" w:rsidRDefault="00BC1232" w:rsidP="00BC123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Nepean Blue Mountains (New South Wales) has 31%.</w:t>
      </w:r>
    </w:p>
    <w:p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South Western Sydney (New South Wales) </w:t>
      </w:r>
      <w:r w:rsidR="00BC1232" w:rsidRPr="00BC1232">
        <w:rPr>
          <w:rFonts w:cs="Arial"/>
        </w:rPr>
        <w:t>has 27</w:t>
      </w:r>
      <w:r w:rsidRPr="00BC1232">
        <w:rPr>
          <w:rFonts w:cs="Arial"/>
        </w:rPr>
        <w:t>%.</w:t>
      </w:r>
    </w:p>
    <w:p w:rsidR="00A31984" w:rsidRPr="00BC1232" w:rsidRDefault="00BC1232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Western </w:t>
      </w:r>
      <w:r w:rsidR="00A31984" w:rsidRPr="00BC1232">
        <w:rPr>
          <w:rFonts w:cs="Arial"/>
        </w:rPr>
        <w:t xml:space="preserve">Sydney (New South Wales) </w:t>
      </w:r>
      <w:r w:rsidRPr="00BC1232">
        <w:rPr>
          <w:rFonts w:cs="Arial"/>
        </w:rPr>
        <w:t>has 27%.</w:t>
      </w:r>
    </w:p>
    <w:p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Hume Moreland (Victoria) has 34%.</w:t>
      </w:r>
    </w:p>
    <w:p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North East Melbourne (Victoria) </w:t>
      </w:r>
      <w:r w:rsidR="00BC1232" w:rsidRPr="00BC1232">
        <w:rPr>
          <w:rFonts w:cs="Arial"/>
        </w:rPr>
        <w:t>has 32</w:t>
      </w:r>
      <w:r w:rsidRPr="00BC1232">
        <w:rPr>
          <w:rFonts w:cs="Arial"/>
        </w:rPr>
        <w:t>%.</w:t>
      </w:r>
    </w:p>
    <w:p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Brisbane (Queensland) has 3</w:t>
      </w:r>
      <w:r w:rsidR="00BC1232" w:rsidRPr="00BC1232">
        <w:rPr>
          <w:rFonts w:cs="Arial"/>
        </w:rPr>
        <w:t>2</w:t>
      </w:r>
      <w:r w:rsidRPr="00BC1232">
        <w:rPr>
          <w:rFonts w:cs="Arial"/>
        </w:rPr>
        <w:t>%.</w:t>
      </w:r>
    </w:p>
    <w:p w:rsidR="00A31984" w:rsidRPr="00BC1232" w:rsidRDefault="00BC1232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Ipswich (Queensland) has 33%</w:t>
      </w:r>
      <w:r w:rsidR="00A31984" w:rsidRPr="00BC1232">
        <w:rPr>
          <w:rFonts w:cs="Arial"/>
        </w:rPr>
        <w:t>.</w:t>
      </w:r>
    </w:p>
    <w:p w:rsidR="00A31984" w:rsidRPr="00A31984" w:rsidRDefault="00A31984" w:rsidP="00A31984">
      <w:pPr>
        <w:jc w:val="both"/>
        <w:rPr>
          <w:rFonts w:cs="Arial"/>
          <w:highlight w:val="yellow"/>
        </w:rPr>
      </w:pPr>
    </w:p>
    <w:p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>The bottom 10% regions are as follows.</w:t>
      </w:r>
    </w:p>
    <w:p w:rsidR="00BC1232" w:rsidRPr="00325B09" w:rsidRDefault="00BC1232" w:rsidP="00BC123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Mallee (Victoria) has provider concentration level of 78%.</w:t>
      </w:r>
    </w:p>
    <w:p w:rsidR="00325B09" w:rsidRPr="00325B09" w:rsidRDefault="00325B09" w:rsidP="00325B0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325B09">
        <w:rPr>
          <w:rFonts w:cs="Arial"/>
        </w:rPr>
        <w:t>Fleurieu</w:t>
      </w:r>
      <w:proofErr w:type="spellEnd"/>
      <w:r w:rsidRPr="00325B09">
        <w:rPr>
          <w:rFonts w:cs="Arial"/>
        </w:rPr>
        <w:t xml:space="preserve"> and Kangaroo</w:t>
      </w:r>
      <w:r w:rsidRPr="00325B09">
        <w:rPr>
          <w:rFonts w:cs="Arial"/>
        </w:rPr>
        <w:t xml:space="preserve"> Island (South Australia) has 79%</w:t>
      </w:r>
      <w:r w:rsidRPr="00325B09">
        <w:rPr>
          <w:rFonts w:cs="Arial"/>
        </w:rPr>
        <w:t>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Barkly (Northern Territory) has 9</w:t>
      </w:r>
      <w:r w:rsidR="00325B09" w:rsidRPr="00325B09">
        <w:rPr>
          <w:rFonts w:cs="Arial"/>
        </w:rPr>
        <w:t>0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East Arnhem (Northern Territory) has 91%.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Kathe</w:t>
      </w:r>
      <w:r w:rsidR="00325B09" w:rsidRPr="00325B09">
        <w:rPr>
          <w:rFonts w:cs="Arial"/>
        </w:rPr>
        <w:t>rine (Northern Territory) has 84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Goldfields – Espe</w:t>
      </w:r>
      <w:r w:rsidR="00325B09" w:rsidRPr="00325B09">
        <w:rPr>
          <w:rFonts w:cs="Arial"/>
        </w:rPr>
        <w:t>rance (Western Australia) has 94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Kimberley – Pi</w:t>
      </w:r>
      <w:r w:rsidR="00325B09" w:rsidRPr="00325B09">
        <w:rPr>
          <w:rFonts w:cs="Arial"/>
        </w:rPr>
        <w:t>lbara (Western Australia) has 91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South West (Western Australia) has 8</w:t>
      </w:r>
      <w:r w:rsidR="00325B09" w:rsidRPr="00325B09">
        <w:rPr>
          <w:rFonts w:cs="Arial"/>
        </w:rPr>
        <w:t>1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growth</w:t>
      </w:r>
      <w:r w:rsidRPr="00325B09">
        <w:rPr>
          <w:rFonts w:cs="Arial"/>
        </w:rPr>
        <w:t>, the top 10% regions are as follows.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Mallee (Victoria) has provider growth of 8</w:t>
      </w:r>
      <w:r w:rsidR="00325B09" w:rsidRPr="00325B09">
        <w:rPr>
          <w:rFonts w:cs="Arial"/>
        </w:rPr>
        <w:t>3</w:t>
      </w:r>
      <w:r w:rsidRPr="00325B09">
        <w:rPr>
          <w:rFonts w:cs="Arial"/>
        </w:rPr>
        <w:t>% since the previous exposure period.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Caboolture / Strathpine (Queensland) has 9</w:t>
      </w:r>
      <w:r w:rsidR="00325B09" w:rsidRPr="00325B09">
        <w:rPr>
          <w:rFonts w:cs="Arial"/>
        </w:rPr>
        <w:t>5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Maroochydore (Queensland) has 83%.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 xml:space="preserve">Central South </w:t>
      </w:r>
      <w:r w:rsidR="00325B09" w:rsidRPr="00325B09">
        <w:rPr>
          <w:rFonts w:cs="Arial"/>
        </w:rPr>
        <w:t>Metro (Western Australia) has 79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 xml:space="preserve">Goldfields – Esperance (Western Australia) has </w:t>
      </w:r>
      <w:r w:rsidR="00325B09" w:rsidRPr="00325B09">
        <w:rPr>
          <w:rFonts w:cs="Arial"/>
        </w:rPr>
        <w:t>80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Kimberley – Pi</w:t>
      </w:r>
      <w:r w:rsidR="00325B09" w:rsidRPr="00325B09">
        <w:rPr>
          <w:rFonts w:cs="Arial"/>
        </w:rPr>
        <w:t>lbara (Western Australia) has 86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 xml:space="preserve">North </w:t>
      </w:r>
      <w:r w:rsidR="00325B09" w:rsidRPr="00325B09">
        <w:rPr>
          <w:rFonts w:cs="Arial"/>
        </w:rPr>
        <w:t>Metro (Western Australia) has 85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South</w:t>
      </w:r>
      <w:r w:rsidR="00325B09" w:rsidRPr="00325B09">
        <w:rPr>
          <w:rFonts w:cs="Arial"/>
        </w:rPr>
        <w:t xml:space="preserve"> West (Western Australia) has 91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>The bottom 10% regions are as follows.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Southern NSW (New South Wales) has provider growth of 5% since the previous exposure period.</w:t>
      </w:r>
    </w:p>
    <w:p w:rsidR="00A31984" w:rsidRPr="00325B09" w:rsidRDefault="00325B09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Barwon (Victoria) has 7</w:t>
      </w:r>
      <w:r w:rsidR="00A31984"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 xml:space="preserve">Ovens Murray (Victoria) has </w:t>
      </w:r>
      <w:r w:rsidR="00325B09" w:rsidRPr="00325B09">
        <w:rPr>
          <w:rFonts w:cs="Arial"/>
        </w:rPr>
        <w:t>10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W</w:t>
      </w:r>
      <w:r w:rsidR="00325B09" w:rsidRPr="00325B09">
        <w:rPr>
          <w:rFonts w:cs="Arial"/>
        </w:rPr>
        <w:t>estern District (Victoria) has 6</w:t>
      </w:r>
      <w:r w:rsidRPr="00325B09">
        <w:rPr>
          <w:rFonts w:cs="Arial"/>
        </w:rPr>
        <w:t>%.</w:t>
      </w:r>
    </w:p>
    <w:p w:rsidR="00A31984" w:rsidRPr="00325B09" w:rsidRDefault="00325B09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Bundaberg (Queensland) has 8</w:t>
      </w:r>
      <w:r w:rsidR="00A31984" w:rsidRPr="00325B09">
        <w:rPr>
          <w:rFonts w:cs="Arial"/>
        </w:rPr>
        <w:t>%.</w:t>
      </w:r>
    </w:p>
    <w:p w:rsidR="00325B09" w:rsidRPr="00325B09" w:rsidRDefault="00325B09" w:rsidP="00325B09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Mackay (Queensland) has 10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 xml:space="preserve">Australian Capital Territory has </w:t>
      </w:r>
      <w:r w:rsidR="00325B09" w:rsidRPr="00325B09">
        <w:rPr>
          <w:rFonts w:cs="Arial"/>
        </w:rPr>
        <w:t>9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East Arnhem (Northern Territory) has 8%.</w:t>
      </w:r>
    </w:p>
    <w:p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shrinkage</w:t>
      </w:r>
      <w:r w:rsidRPr="00325B09">
        <w:rPr>
          <w:rFonts w:cs="Arial"/>
        </w:rPr>
        <w:t>, the top 10% regions are as follows.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Mallee (Victoria) has provider shrinkage of 0% since the previous exposure period.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Caboolture / Strathpine (Queensland) has 1%.</w:t>
      </w:r>
    </w:p>
    <w:p w:rsidR="00325B09" w:rsidRPr="00325B09" w:rsidRDefault="00325B0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TAS North West (Tasmania) has 2%.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Central South Metro (Western Australia) has 1%.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Goldfields – Esperance (Western Australia) has 0%.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Kimberley – Pilbara (Western Australia) has 0%.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North Metro (Western Australia) has 2%.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South West (Western Australia) has 0%.</w:t>
      </w:r>
    </w:p>
    <w:p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>The bottom 10% regions are as follows.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Mid North Coast (New South Wales) has provider shrinkage of 2</w:t>
      </w:r>
      <w:r w:rsidR="00325B09" w:rsidRPr="00325B09">
        <w:rPr>
          <w:rFonts w:cs="Arial"/>
        </w:rPr>
        <w:t>3</w:t>
      </w:r>
      <w:r w:rsidRPr="00325B09">
        <w:rPr>
          <w:rFonts w:cs="Arial"/>
        </w:rPr>
        <w:t>% since the previous exposure period.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Northern NSW (New South Wales) has 32%.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Southern NSW (New South Wales) has 23%.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lastRenderedPageBreak/>
        <w:t>Ovens Murray (Victoria) has 2</w:t>
      </w:r>
      <w:r w:rsidR="00325B09" w:rsidRPr="00325B09">
        <w:rPr>
          <w:rFonts w:cs="Arial"/>
        </w:rPr>
        <w:t>5</w:t>
      </w:r>
      <w:r w:rsidRPr="00325B09">
        <w:rPr>
          <w:rFonts w:cs="Arial"/>
        </w:rPr>
        <w:t>%.</w:t>
      </w:r>
    </w:p>
    <w:p w:rsidR="00325B09" w:rsidRPr="00325B09" w:rsidRDefault="00325B0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Far North (South Australia) has 25%.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Barkly (Northern Territory) has 3</w:t>
      </w:r>
      <w:r w:rsidR="00325B09" w:rsidRPr="00325B09">
        <w:rPr>
          <w:rFonts w:cs="Arial"/>
        </w:rPr>
        <w:t>8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Darwin Remote (Northern Territory) has 24%.</w:t>
      </w:r>
    </w:p>
    <w:p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East Arnhem (Northern Territory) has 31%.</w:t>
      </w:r>
    </w:p>
    <w:p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utilisation</w:t>
      </w:r>
      <w:r w:rsidRPr="00325B09">
        <w:rPr>
          <w:rFonts w:cs="Arial"/>
        </w:rPr>
        <w:t>, the top 10% regions are as follows.</w:t>
      </w:r>
    </w:p>
    <w:p w:rsidR="00A31984" w:rsidRPr="00325B09" w:rsidRDefault="00A31984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325B09">
        <w:rPr>
          <w:rFonts w:cs="Arial"/>
        </w:rPr>
        <w:t xml:space="preserve">South Eastern Sydney (New South Wales) has utilisation of </w:t>
      </w:r>
      <w:r w:rsidR="00325B09" w:rsidRPr="00325B09">
        <w:rPr>
          <w:rFonts w:cs="Arial"/>
        </w:rPr>
        <w:t>68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325B09">
        <w:rPr>
          <w:rFonts w:cs="Arial"/>
        </w:rPr>
        <w:t>South Western</w:t>
      </w:r>
      <w:r w:rsidR="00325B09" w:rsidRPr="00325B09">
        <w:rPr>
          <w:rFonts w:cs="Arial"/>
        </w:rPr>
        <w:t xml:space="preserve"> Sydney (New South Wales) has 72</w:t>
      </w:r>
      <w:r w:rsidRPr="00325B09">
        <w:rPr>
          <w:rFonts w:cs="Arial"/>
        </w:rPr>
        <w:t>%</w:t>
      </w:r>
    </w:p>
    <w:p w:rsidR="00A31984" w:rsidRPr="00325B09" w:rsidRDefault="00325B09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325B09">
        <w:rPr>
          <w:rFonts w:cs="Arial"/>
        </w:rPr>
        <w:t>Hume Moreland (Victoria) has 63%</w:t>
      </w:r>
      <w:r w:rsidR="00A31984" w:rsidRPr="00325B09">
        <w:rPr>
          <w:rFonts w:cs="Arial"/>
        </w:rPr>
        <w:t>.</w:t>
      </w:r>
    </w:p>
    <w:p w:rsidR="00A31984" w:rsidRPr="00325B09" w:rsidRDefault="00325B09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325B09">
        <w:rPr>
          <w:rFonts w:cs="Arial"/>
        </w:rPr>
        <w:t>Robina (Queensland) has 62</w:t>
      </w:r>
      <w:r w:rsidR="00A31984"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325B09">
        <w:rPr>
          <w:rFonts w:cs="Arial"/>
        </w:rPr>
        <w:t>Central South Metro (Western Australia) has 6</w:t>
      </w:r>
      <w:r w:rsidR="00325B09" w:rsidRPr="00325B09">
        <w:rPr>
          <w:rFonts w:cs="Arial"/>
        </w:rPr>
        <w:t>1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325B09">
        <w:rPr>
          <w:rFonts w:cs="Arial"/>
        </w:rPr>
        <w:t>North Metro (Western Australia) has 6</w:t>
      </w:r>
      <w:r w:rsidR="00325B09" w:rsidRPr="00325B09">
        <w:rPr>
          <w:rFonts w:cs="Arial"/>
        </w:rPr>
        <w:t>0</w:t>
      </w:r>
      <w:r w:rsidRPr="00325B09">
        <w:rPr>
          <w:rFonts w:cs="Arial"/>
        </w:rPr>
        <w:t>%</w:t>
      </w:r>
    </w:p>
    <w:p w:rsidR="00A31984" w:rsidRPr="00325B09" w:rsidRDefault="00A31984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325B09">
        <w:rPr>
          <w:rFonts w:cs="Arial"/>
        </w:rPr>
        <w:t xml:space="preserve">South </w:t>
      </w:r>
      <w:r w:rsidR="00325B09" w:rsidRPr="00325B09">
        <w:rPr>
          <w:rFonts w:cs="Arial"/>
        </w:rPr>
        <w:t>Metro (Western Australia) has 63</w:t>
      </w:r>
      <w:r w:rsidRPr="00325B09">
        <w:rPr>
          <w:rFonts w:cs="Arial"/>
        </w:rPr>
        <w:t>%.</w:t>
      </w:r>
    </w:p>
    <w:p w:rsidR="00A31984" w:rsidRPr="00325B09" w:rsidRDefault="00A31984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325B09">
        <w:rPr>
          <w:rFonts w:cs="Arial"/>
        </w:rPr>
        <w:t>South</w:t>
      </w:r>
      <w:r w:rsidR="00325B09" w:rsidRPr="00325B09">
        <w:rPr>
          <w:rFonts w:cs="Arial"/>
        </w:rPr>
        <w:t xml:space="preserve"> West (Western Australia) has 61</w:t>
      </w:r>
      <w:r w:rsidRPr="00325B09">
        <w:rPr>
          <w:rFonts w:cs="Arial"/>
        </w:rPr>
        <w:t>%.</w:t>
      </w:r>
    </w:p>
    <w:p w:rsidR="00A31984" w:rsidRPr="003871BD" w:rsidRDefault="00A31984" w:rsidP="00A31984">
      <w:pPr>
        <w:jc w:val="both"/>
        <w:rPr>
          <w:rFonts w:cs="Arial"/>
        </w:rPr>
      </w:pPr>
      <w:r w:rsidRPr="003871BD">
        <w:rPr>
          <w:rFonts w:cs="Arial"/>
        </w:rPr>
        <w:t>The bottom 10% regions are as follows.</w:t>
      </w:r>
    </w:p>
    <w:p w:rsidR="00A31984" w:rsidRPr="003871BD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871BD">
        <w:rPr>
          <w:rFonts w:cs="Arial"/>
        </w:rPr>
        <w:t xml:space="preserve">Outer Gippsland (Victoria) has utilisation of </w:t>
      </w:r>
      <w:r w:rsidR="003871BD" w:rsidRPr="003871BD">
        <w:rPr>
          <w:rFonts w:cs="Arial"/>
        </w:rPr>
        <w:t>39</w:t>
      </w:r>
      <w:r w:rsidRPr="003871BD">
        <w:rPr>
          <w:rFonts w:cs="Arial"/>
        </w:rPr>
        <w:t>%.</w:t>
      </w:r>
    </w:p>
    <w:p w:rsidR="00A31984" w:rsidRPr="003871BD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871BD">
        <w:rPr>
          <w:rFonts w:cs="Arial"/>
        </w:rPr>
        <w:t>Fa</w:t>
      </w:r>
      <w:r w:rsidR="003871BD" w:rsidRPr="003871BD">
        <w:rPr>
          <w:rFonts w:cs="Arial"/>
        </w:rPr>
        <w:t>r North (South Australia) has 31</w:t>
      </w:r>
      <w:r w:rsidRPr="003871BD">
        <w:rPr>
          <w:rFonts w:cs="Arial"/>
        </w:rPr>
        <w:t>%.</w:t>
      </w:r>
    </w:p>
    <w:p w:rsidR="00A31984" w:rsidRPr="003871BD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871BD">
        <w:rPr>
          <w:rFonts w:cs="Arial"/>
        </w:rPr>
        <w:t>Ba</w:t>
      </w:r>
      <w:r w:rsidR="003871BD" w:rsidRPr="003871BD">
        <w:rPr>
          <w:rFonts w:cs="Arial"/>
        </w:rPr>
        <w:t>rkly (Northern Territory) has 26</w:t>
      </w:r>
      <w:r w:rsidRPr="003871BD">
        <w:rPr>
          <w:rFonts w:cs="Arial"/>
        </w:rPr>
        <w:t>%.</w:t>
      </w:r>
    </w:p>
    <w:p w:rsidR="00A31984" w:rsidRPr="003871BD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871BD">
        <w:rPr>
          <w:rFonts w:cs="Arial"/>
        </w:rPr>
        <w:t>Darwin Remote (Northern Territory) has 34%.</w:t>
      </w:r>
    </w:p>
    <w:p w:rsidR="00A31984" w:rsidRPr="003871BD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871BD">
        <w:rPr>
          <w:rFonts w:cs="Arial"/>
        </w:rPr>
        <w:t>East Arnhem (Northern Territory) has 27%.</w:t>
      </w:r>
    </w:p>
    <w:p w:rsidR="003871BD" w:rsidRPr="003871BD" w:rsidRDefault="003871BD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871BD">
        <w:rPr>
          <w:rFonts w:cs="Arial"/>
        </w:rPr>
        <w:t>Katherine (Northern Territory) has 46%</w:t>
      </w:r>
    </w:p>
    <w:p w:rsidR="00A31984" w:rsidRPr="003871BD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871BD">
        <w:rPr>
          <w:rFonts w:cs="Arial"/>
        </w:rPr>
        <w:t xml:space="preserve">Goldfields – Esperance (Western Australia) has </w:t>
      </w:r>
      <w:r w:rsidR="003871BD" w:rsidRPr="003871BD">
        <w:rPr>
          <w:rFonts w:cs="Arial"/>
        </w:rPr>
        <w:t>38</w:t>
      </w:r>
      <w:r w:rsidRPr="003871BD">
        <w:rPr>
          <w:rFonts w:cs="Arial"/>
        </w:rPr>
        <w:t>%.</w:t>
      </w:r>
    </w:p>
    <w:p w:rsidR="00A31984" w:rsidRPr="003871BD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871BD">
        <w:rPr>
          <w:rFonts w:cs="Arial"/>
        </w:rPr>
        <w:t>Kimberley – Pi</w:t>
      </w:r>
      <w:r w:rsidR="003871BD" w:rsidRPr="003871BD">
        <w:rPr>
          <w:rFonts w:cs="Arial"/>
        </w:rPr>
        <w:t>lbara (Western Australia) has 38</w:t>
      </w:r>
      <w:r w:rsidRPr="003871BD">
        <w:rPr>
          <w:rFonts w:cs="Arial"/>
        </w:rPr>
        <w:t>%.</w:t>
      </w:r>
    </w:p>
    <w:p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 xml:space="preserve">For </w:t>
      </w:r>
      <w:r w:rsidRPr="00C6228A">
        <w:rPr>
          <w:rFonts w:cs="Arial"/>
          <w:b/>
        </w:rPr>
        <w:t>outcomes indicator on choice and control</w:t>
      </w:r>
      <w:r w:rsidRPr="00C6228A">
        <w:rPr>
          <w:rFonts w:cs="Arial"/>
        </w:rPr>
        <w:t>, the top 10% regions are as follows.</w:t>
      </w:r>
    </w:p>
    <w:p w:rsidR="00A31984" w:rsidRPr="00C6228A" w:rsidRDefault="00C6228A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Eastern Adelaide</w:t>
      </w:r>
      <w:r w:rsidRPr="00C6228A">
        <w:rPr>
          <w:rFonts w:cs="Arial"/>
        </w:rPr>
        <w:t xml:space="preserve"> (South Australia) </w:t>
      </w:r>
      <w:r w:rsidR="00A31984" w:rsidRPr="00C6228A">
        <w:rPr>
          <w:rFonts w:cs="Arial"/>
        </w:rPr>
        <w:t>has an outcomes indic</w:t>
      </w:r>
      <w:r w:rsidRPr="00C6228A">
        <w:rPr>
          <w:rFonts w:cs="Arial"/>
        </w:rPr>
        <w:t>ator on choice and control of 64</w:t>
      </w:r>
      <w:r w:rsidR="00A31984" w:rsidRPr="00C6228A">
        <w:rPr>
          <w:rFonts w:cs="Arial"/>
        </w:rPr>
        <w:t>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Eyre and Western (South Australia) ha</w:t>
      </w:r>
      <w:r w:rsidR="00C6228A" w:rsidRPr="00C6228A">
        <w:rPr>
          <w:rFonts w:cs="Arial"/>
        </w:rPr>
        <w:t>s 64</w:t>
      </w:r>
      <w:r w:rsidRPr="00C6228A">
        <w:rPr>
          <w:rFonts w:cs="Arial"/>
        </w:rPr>
        <w:t>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Limesto</w:t>
      </w:r>
      <w:r w:rsidR="00C6228A" w:rsidRPr="00C6228A">
        <w:rPr>
          <w:rFonts w:cs="Arial"/>
        </w:rPr>
        <w:t>ne Coast (South Australia) has 64</w:t>
      </w:r>
      <w:r w:rsidRPr="00C6228A">
        <w:rPr>
          <w:rFonts w:cs="Arial"/>
        </w:rPr>
        <w:t>%.</w:t>
      </w:r>
    </w:p>
    <w:p w:rsidR="00A31984" w:rsidRPr="00C6228A" w:rsidRDefault="00C6228A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TAS South West (Tasmania) has 65</w:t>
      </w:r>
      <w:r w:rsidR="00A31984" w:rsidRPr="00C6228A">
        <w:rPr>
          <w:rFonts w:cs="Arial"/>
        </w:rPr>
        <w:t>%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Australian Capital Territory has 6</w:t>
      </w:r>
      <w:r w:rsidR="00C6228A" w:rsidRPr="00C6228A">
        <w:rPr>
          <w:rFonts w:cs="Arial"/>
        </w:rPr>
        <w:t>7</w:t>
      </w:r>
      <w:r w:rsidRPr="00C6228A">
        <w:rPr>
          <w:rFonts w:cs="Arial"/>
        </w:rPr>
        <w:t>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B</w:t>
      </w:r>
      <w:r w:rsidR="00C6228A" w:rsidRPr="00C6228A">
        <w:rPr>
          <w:rFonts w:cs="Arial"/>
        </w:rPr>
        <w:t>arkly (Northern Territory) has 7</w:t>
      </w:r>
      <w:r w:rsidRPr="00C6228A">
        <w:rPr>
          <w:rFonts w:cs="Arial"/>
        </w:rPr>
        <w:t>5%.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 xml:space="preserve">South </w:t>
      </w:r>
      <w:r w:rsidR="00C6228A" w:rsidRPr="00C6228A">
        <w:rPr>
          <w:rFonts w:cs="Arial"/>
        </w:rPr>
        <w:t>Metro (Western Australia) has 64</w:t>
      </w:r>
      <w:r w:rsidRPr="00C6228A">
        <w:rPr>
          <w:rFonts w:cs="Arial"/>
        </w:rPr>
        <w:t>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South</w:t>
      </w:r>
      <w:r w:rsidR="00C6228A" w:rsidRPr="00C6228A">
        <w:rPr>
          <w:rFonts w:cs="Arial"/>
        </w:rPr>
        <w:t xml:space="preserve"> West (Western Australia) has 66</w:t>
      </w:r>
      <w:r w:rsidRPr="00C6228A">
        <w:rPr>
          <w:rFonts w:cs="Arial"/>
        </w:rPr>
        <w:t>%.</w:t>
      </w:r>
    </w:p>
    <w:p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>The bottom 10% regions are as follows.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South Eastern Sydney (New South Wales) has an outcomes indicator of 4</w:t>
      </w:r>
      <w:r w:rsidR="00C6228A" w:rsidRPr="00C6228A">
        <w:rPr>
          <w:rFonts w:cs="Arial"/>
        </w:rPr>
        <w:t>6</w:t>
      </w:r>
      <w:r w:rsidRPr="00C6228A">
        <w:rPr>
          <w:rFonts w:cs="Arial"/>
        </w:rPr>
        <w:t>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South Western Sydney (New South Wales) has 4</w:t>
      </w:r>
      <w:r w:rsidR="00C6228A" w:rsidRPr="00C6228A">
        <w:rPr>
          <w:rFonts w:cs="Arial"/>
        </w:rPr>
        <w:t>4</w:t>
      </w:r>
      <w:r w:rsidRPr="00C6228A">
        <w:rPr>
          <w:rFonts w:cs="Arial"/>
        </w:rPr>
        <w:t>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Sydney (New South Wales) has 4</w:t>
      </w:r>
      <w:r w:rsidR="00C6228A" w:rsidRPr="00C6228A">
        <w:rPr>
          <w:rFonts w:cs="Arial"/>
        </w:rPr>
        <w:t>5</w:t>
      </w:r>
      <w:r w:rsidRPr="00C6228A">
        <w:rPr>
          <w:rFonts w:cs="Arial"/>
        </w:rPr>
        <w:t>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T</w:t>
      </w:r>
      <w:r w:rsidR="00C6228A" w:rsidRPr="00C6228A">
        <w:rPr>
          <w:rFonts w:cs="Arial"/>
        </w:rPr>
        <w:t>AS South East (Tasmania) has 47</w:t>
      </w:r>
      <w:r w:rsidRPr="00C6228A">
        <w:rPr>
          <w:rFonts w:cs="Arial"/>
        </w:rPr>
        <w:t>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Central Australia (Northern Territory) has</w:t>
      </w:r>
      <w:r w:rsidR="00C6228A" w:rsidRPr="00C6228A">
        <w:rPr>
          <w:rFonts w:cs="Arial"/>
        </w:rPr>
        <w:t xml:space="preserve"> 44</w:t>
      </w:r>
      <w:r w:rsidRPr="00C6228A">
        <w:rPr>
          <w:rFonts w:cs="Arial"/>
        </w:rPr>
        <w:t>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Darwin Remote (Northern Territory) has 45%.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East Arnhem (Northern Territory) has 42%.</w:t>
      </w:r>
    </w:p>
    <w:p w:rsidR="00A31984" w:rsidRPr="00C6228A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6228A">
        <w:rPr>
          <w:rFonts w:cs="Arial"/>
        </w:rPr>
        <w:t>Katherin</w:t>
      </w:r>
      <w:r w:rsidR="00C6228A" w:rsidRPr="00C6228A">
        <w:rPr>
          <w:rFonts w:cs="Arial"/>
        </w:rPr>
        <w:t>e in (Northern Territory) has 33</w:t>
      </w:r>
      <w:r w:rsidRPr="00C6228A">
        <w:rPr>
          <w:rFonts w:cs="Arial"/>
        </w:rPr>
        <w:t>%.</w:t>
      </w:r>
    </w:p>
    <w:p w:rsidR="00A31984" w:rsidRPr="00A31984" w:rsidRDefault="00A31984" w:rsidP="00A31984">
      <w:pPr>
        <w:jc w:val="both"/>
        <w:rPr>
          <w:rFonts w:cs="Arial"/>
          <w:highlight w:val="yellow"/>
        </w:rPr>
      </w:pPr>
    </w:p>
    <w:p w:rsidR="00A31984" w:rsidRPr="0059208F" w:rsidRDefault="00A31984" w:rsidP="00A31984">
      <w:pPr>
        <w:jc w:val="both"/>
        <w:rPr>
          <w:rFonts w:cs="Arial"/>
        </w:rPr>
      </w:pPr>
      <w:r w:rsidRPr="0059208F">
        <w:rPr>
          <w:rFonts w:cs="Arial"/>
        </w:rPr>
        <w:lastRenderedPageBreak/>
        <w:t xml:space="preserve">For </w:t>
      </w:r>
      <w:r w:rsidRPr="0059208F">
        <w:rPr>
          <w:rFonts w:cs="Arial"/>
          <w:b/>
        </w:rPr>
        <w:t>“Has NDIS helped with choice and control?” indicator</w:t>
      </w:r>
      <w:r w:rsidRPr="0059208F">
        <w:rPr>
          <w:rFonts w:cs="Arial"/>
        </w:rPr>
        <w:t>, the top 10% regions are as follows.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Southern </w:t>
      </w:r>
      <w:r w:rsidR="00C6228A" w:rsidRPr="0059208F">
        <w:rPr>
          <w:rFonts w:cs="Arial"/>
        </w:rPr>
        <w:t>NSW</w:t>
      </w:r>
      <w:r w:rsidRPr="0059208F">
        <w:rPr>
          <w:rFonts w:cs="Arial"/>
        </w:rPr>
        <w:t xml:space="preserve"> (New South Wales) has an indicator of 77%.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Beenleigh (Queensland) has 79%.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Bundaberg (Queensland) has 7</w:t>
      </w:r>
      <w:r w:rsidR="0059208F" w:rsidRPr="0059208F">
        <w:rPr>
          <w:rFonts w:cs="Arial"/>
        </w:rPr>
        <w:t>6</w:t>
      </w:r>
      <w:r w:rsidRPr="0059208F">
        <w:rPr>
          <w:rFonts w:cs="Arial"/>
        </w:rPr>
        <w:t>%.</w:t>
      </w:r>
    </w:p>
    <w:p w:rsidR="00A31984" w:rsidRPr="0059208F" w:rsidRDefault="0059208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Maryborough (Queensland) has 82</w:t>
      </w:r>
      <w:r w:rsidR="00A31984" w:rsidRPr="0059208F">
        <w:rPr>
          <w:rFonts w:cs="Arial"/>
        </w:rPr>
        <w:t>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Toowoomba (Queensland) has 7</w:t>
      </w:r>
      <w:r w:rsidR="0059208F" w:rsidRPr="0059208F">
        <w:rPr>
          <w:rFonts w:cs="Arial"/>
        </w:rPr>
        <w:t>6</w:t>
      </w:r>
      <w:r w:rsidRPr="0059208F">
        <w:rPr>
          <w:rFonts w:cs="Arial"/>
        </w:rPr>
        <w:t>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59208F">
        <w:rPr>
          <w:rFonts w:cs="Arial"/>
        </w:rPr>
        <w:t>Fleurieu</w:t>
      </w:r>
      <w:proofErr w:type="spellEnd"/>
      <w:r w:rsidRPr="0059208F">
        <w:rPr>
          <w:rFonts w:cs="Arial"/>
        </w:rPr>
        <w:t xml:space="preserve"> and Kangaroo Island (South Australia) has 76%.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Central South Metro (Western Australia) has 8</w:t>
      </w:r>
      <w:r w:rsidR="0059208F" w:rsidRPr="0059208F">
        <w:rPr>
          <w:rFonts w:cs="Arial"/>
        </w:rPr>
        <w:t>0</w:t>
      </w:r>
      <w:r w:rsidRPr="0059208F">
        <w:rPr>
          <w:rFonts w:cs="Arial"/>
        </w:rPr>
        <w:t>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South Metro (Western Australia) has 80%.</w:t>
      </w:r>
    </w:p>
    <w:p w:rsidR="00A31984" w:rsidRPr="0059208F" w:rsidRDefault="00A31984" w:rsidP="00A31984">
      <w:pPr>
        <w:jc w:val="both"/>
        <w:rPr>
          <w:rFonts w:cs="Arial"/>
        </w:rPr>
      </w:pPr>
      <w:r w:rsidRPr="0059208F">
        <w:rPr>
          <w:rFonts w:cs="Arial"/>
        </w:rPr>
        <w:t>The bottom 10% regions are as follows.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Goulburn (Victoria) has 5</w:t>
      </w:r>
      <w:r w:rsidR="0059208F" w:rsidRPr="0059208F">
        <w:rPr>
          <w:rFonts w:cs="Arial"/>
        </w:rPr>
        <w:t>0</w:t>
      </w:r>
      <w:r w:rsidRPr="0059208F">
        <w:rPr>
          <w:rFonts w:cs="Arial"/>
        </w:rPr>
        <w:t>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Mallee (Victoria) has 4</w:t>
      </w:r>
      <w:r w:rsidR="0059208F" w:rsidRPr="0059208F">
        <w:rPr>
          <w:rFonts w:cs="Arial"/>
        </w:rPr>
        <w:t>4</w:t>
      </w:r>
      <w:r w:rsidRPr="0059208F">
        <w:rPr>
          <w:rFonts w:cs="Arial"/>
        </w:rPr>
        <w:t>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O</w:t>
      </w:r>
      <w:r w:rsidR="0059208F" w:rsidRPr="0059208F">
        <w:rPr>
          <w:rFonts w:cs="Arial"/>
        </w:rPr>
        <w:t>uter Gippsland (Victoria) has 53</w:t>
      </w:r>
      <w:r w:rsidRPr="0059208F">
        <w:rPr>
          <w:rFonts w:cs="Arial"/>
        </w:rPr>
        <w:t>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Far North (South Australia) has 4</w:t>
      </w:r>
      <w:r w:rsidR="0059208F" w:rsidRPr="0059208F">
        <w:rPr>
          <w:rFonts w:cs="Arial"/>
        </w:rPr>
        <w:t>7</w:t>
      </w:r>
      <w:r w:rsidRPr="0059208F">
        <w:rPr>
          <w:rFonts w:cs="Arial"/>
        </w:rPr>
        <w:t>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Limestone Coast (South </w:t>
      </w:r>
      <w:r w:rsidR="0059208F" w:rsidRPr="0059208F">
        <w:rPr>
          <w:rFonts w:cs="Arial"/>
        </w:rPr>
        <w:t>Australia) has 50</w:t>
      </w:r>
      <w:r w:rsidRPr="0059208F">
        <w:rPr>
          <w:rFonts w:cs="Arial"/>
        </w:rPr>
        <w:t>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Darwin Remote (Northern Territory) has 27%.</w:t>
      </w:r>
    </w:p>
    <w:p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East Arnhem (Northern Territory) has 28%.</w:t>
      </w:r>
    </w:p>
    <w:p w:rsidR="00B23D81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Goldfields-Esperance has 2</w:t>
      </w:r>
      <w:r w:rsidR="0059208F" w:rsidRPr="0059208F">
        <w:rPr>
          <w:rFonts w:cs="Arial"/>
        </w:rPr>
        <w:t>2</w:t>
      </w:r>
      <w:r w:rsidRPr="0059208F">
        <w:rPr>
          <w:rFonts w:cs="Arial"/>
        </w:rPr>
        <w:t>%.</w:t>
      </w:r>
    </w:p>
    <w:p w:rsidR="0013152A" w:rsidRPr="0059208F" w:rsidRDefault="00BF0755" w:rsidP="00D00BF7">
      <w:pPr>
        <w:pStyle w:val="Heading2"/>
      </w:pPr>
      <w:r w:rsidRPr="0059208F">
        <w:t>Page</w:t>
      </w:r>
      <w:r w:rsidR="0013152A" w:rsidRPr="0059208F">
        <w:t xml:space="preserve"> 2</w:t>
      </w:r>
      <w:r w:rsidRPr="0059208F">
        <w:t>, Table 1</w:t>
      </w:r>
      <w:r w:rsidR="0013152A" w:rsidRPr="0059208F">
        <w:t xml:space="preserve">: </w:t>
      </w:r>
      <w:r w:rsidRPr="0059208F">
        <w:t>Support category summary, for all bilateral regions</w:t>
      </w:r>
      <w:bookmarkEnd w:id="5"/>
    </w:p>
    <w:p w:rsidR="00B94DA7" w:rsidRPr="0059208F" w:rsidRDefault="00763823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each of the 15 support categories, the same </w:t>
      </w:r>
      <w:r w:rsidR="00504A6B" w:rsidRPr="0059208F">
        <w:rPr>
          <w:rFonts w:cs="Arial"/>
        </w:rPr>
        <w:t>7</w:t>
      </w:r>
      <w:r w:rsidRPr="0059208F">
        <w:rPr>
          <w:rFonts w:cs="Arial"/>
        </w:rPr>
        <w:t xml:space="preserve"> indicators have been calculated.</w:t>
      </w:r>
      <w:r w:rsidR="00B94DA7" w:rsidRPr="0059208F">
        <w:rPr>
          <w:rFonts w:cs="Arial"/>
        </w:rPr>
        <w:t xml:space="preserve"> </w:t>
      </w:r>
      <w:r w:rsidR="00504A6B" w:rsidRPr="0059208F">
        <w:rPr>
          <w:rFonts w:cs="Arial"/>
        </w:rPr>
        <w:t>The number of active</w:t>
      </w:r>
      <w:r w:rsidR="00D12F81" w:rsidRPr="0059208F">
        <w:rPr>
          <w:rFonts w:cs="Arial"/>
        </w:rPr>
        <w:t xml:space="preserve"> (</w:t>
      </w:r>
      <w:r w:rsidR="00D36C56" w:rsidRPr="0059208F">
        <w:rPr>
          <w:rFonts w:cs="Arial"/>
        </w:rPr>
        <w:t>Non-SIL</w:t>
      </w:r>
      <w:r w:rsidR="00D12F81" w:rsidRPr="0059208F">
        <w:rPr>
          <w:rFonts w:cs="Arial"/>
        </w:rPr>
        <w:t>)</w:t>
      </w:r>
      <w:r w:rsidR="00504A6B" w:rsidRPr="0059208F">
        <w:rPr>
          <w:rFonts w:cs="Arial"/>
        </w:rPr>
        <w:t xml:space="preserve"> participants with approved plans, the number of registered active providers, total plan budgets and total payments are also shown. The 7 indicators</w:t>
      </w:r>
      <w:r w:rsidR="00B94DA7" w:rsidRPr="0059208F">
        <w:rPr>
          <w:rFonts w:cs="Arial"/>
        </w:rPr>
        <w:t xml:space="preserve"> have a ‘traffic light system’ where the top 10% and bottom 10% </w:t>
      </w:r>
      <w:r w:rsidR="00430D4D" w:rsidRPr="0059208F">
        <w:rPr>
          <w:rFonts w:cs="Arial"/>
        </w:rPr>
        <w:t xml:space="preserve">of </w:t>
      </w:r>
      <w:r w:rsidR="00B94DA7" w:rsidRPr="0059208F">
        <w:rPr>
          <w:rFonts w:cs="Arial"/>
        </w:rPr>
        <w:t xml:space="preserve">support categories </w:t>
      </w:r>
      <w:r w:rsidR="00430D4D" w:rsidRPr="0059208F">
        <w:rPr>
          <w:rFonts w:cs="Arial"/>
        </w:rPr>
        <w:t xml:space="preserve">– by gap to benchmark – are </w:t>
      </w:r>
      <w:r w:rsidR="00B94DA7" w:rsidRPr="0059208F">
        <w:rPr>
          <w:rFonts w:cs="Arial"/>
        </w:rPr>
        <w:t>highlighted.</w:t>
      </w:r>
    </w:p>
    <w:p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participants per provider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>support categories</w:t>
      </w:r>
      <w:r w:rsidR="009A78AA" w:rsidRPr="0059208F">
        <w:rPr>
          <w:rFonts w:cs="Arial"/>
        </w:rPr>
        <w:t xml:space="preserve"> are as follows.</w:t>
      </w:r>
    </w:p>
    <w:p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</w:t>
      </w:r>
      <w:r w:rsidR="0059208F" w:rsidRPr="0059208F">
        <w:rPr>
          <w:rFonts w:cs="Arial"/>
        </w:rPr>
        <w:t>y Building – Home Living has 13</w:t>
      </w:r>
      <w:r w:rsidR="001F7986" w:rsidRPr="0059208F">
        <w:rPr>
          <w:rFonts w:cs="Arial"/>
        </w:rPr>
        <w:t>.</w:t>
      </w:r>
      <w:r w:rsidR="0059208F" w:rsidRPr="0059208F">
        <w:rPr>
          <w:rFonts w:cs="Arial"/>
        </w:rPr>
        <w:t>0</w:t>
      </w:r>
      <w:r w:rsidRPr="0059208F">
        <w:rPr>
          <w:rFonts w:cs="Arial"/>
        </w:rPr>
        <w:t xml:space="preserve"> participants per provider.</w:t>
      </w:r>
    </w:p>
    <w:p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</w:t>
      </w:r>
      <w:r w:rsidRPr="0059208F">
        <w:rPr>
          <w:rFonts w:cs="Arial"/>
        </w:rPr>
        <w:t xml:space="preserve">– </w:t>
      </w:r>
      <w:r w:rsidRPr="0059208F">
        <w:rPr>
          <w:rFonts w:cs="Arial"/>
        </w:rPr>
        <w:t xml:space="preserve">Lifelong Learning </w:t>
      </w:r>
      <w:r w:rsidRPr="0059208F">
        <w:rPr>
          <w:rFonts w:cs="Arial"/>
        </w:rPr>
        <w:t xml:space="preserve">has </w:t>
      </w:r>
      <w:r w:rsidRPr="0059208F">
        <w:rPr>
          <w:rFonts w:cs="Arial"/>
        </w:rPr>
        <w:t>7</w:t>
      </w:r>
      <w:r w:rsidRPr="0059208F">
        <w:rPr>
          <w:rFonts w:cs="Arial"/>
        </w:rPr>
        <w:t>.</w:t>
      </w:r>
      <w:r w:rsidRPr="0059208F">
        <w:rPr>
          <w:rFonts w:cs="Arial"/>
        </w:rPr>
        <w:t>3.</w:t>
      </w:r>
    </w:p>
    <w:p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:rsidR="00D10A47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Core – </w:t>
      </w:r>
      <w:r w:rsidR="0059208F" w:rsidRPr="0059208F">
        <w:rPr>
          <w:rFonts w:cs="Arial"/>
        </w:rPr>
        <w:t>Consumables</w:t>
      </w:r>
      <w:r w:rsidR="001F7986" w:rsidRPr="0059208F">
        <w:rPr>
          <w:rFonts w:cs="Arial"/>
        </w:rPr>
        <w:t xml:space="preserve"> </w:t>
      </w:r>
      <w:r w:rsidRPr="0059208F">
        <w:rPr>
          <w:rFonts w:cs="Arial"/>
        </w:rPr>
        <w:t xml:space="preserve">has </w:t>
      </w:r>
      <w:r w:rsidR="0059208F" w:rsidRPr="0059208F">
        <w:rPr>
          <w:rFonts w:cs="Arial"/>
        </w:rPr>
        <w:t>126.7</w:t>
      </w:r>
      <w:r w:rsidRPr="0059208F">
        <w:rPr>
          <w:rFonts w:cs="Arial"/>
        </w:rPr>
        <w:t xml:space="preserve"> </w:t>
      </w:r>
      <w:r w:rsidR="00D10A47" w:rsidRPr="0059208F">
        <w:rPr>
          <w:rFonts w:cs="Arial"/>
        </w:rPr>
        <w:t>participants per provider.</w:t>
      </w:r>
    </w:p>
    <w:p w:rsidR="00A31EE8" w:rsidRPr="0059208F" w:rsidRDefault="0059208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Core – Transport </w:t>
      </w:r>
      <w:r w:rsidRPr="0059208F">
        <w:rPr>
          <w:rFonts w:cs="Arial"/>
        </w:rPr>
        <w:t>has 152.9</w:t>
      </w:r>
      <w:r w:rsidR="00D10A47" w:rsidRPr="0059208F">
        <w:rPr>
          <w:rFonts w:cs="Arial"/>
        </w:rPr>
        <w:t>.</w:t>
      </w:r>
    </w:p>
    <w:p w:rsidR="00BF032E" w:rsidRPr="00D36C56" w:rsidRDefault="00BF032E" w:rsidP="00D00BF7">
      <w:pPr>
        <w:jc w:val="both"/>
        <w:rPr>
          <w:rFonts w:cs="Arial"/>
          <w:highlight w:val="yellow"/>
        </w:rPr>
      </w:pPr>
    </w:p>
    <w:p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concentration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:rsidR="00B94DA7" w:rsidRPr="0059208F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Core - Community</w:t>
      </w:r>
      <w:r w:rsidR="00D10A47" w:rsidRPr="0059208F">
        <w:rPr>
          <w:rFonts w:cs="Arial"/>
        </w:rPr>
        <w:t xml:space="preserve"> has a pr</w:t>
      </w:r>
      <w:r w:rsidR="0059208F" w:rsidRPr="0059208F">
        <w:rPr>
          <w:rFonts w:cs="Arial"/>
        </w:rPr>
        <w:t>ovider concentration level of 16</w:t>
      </w:r>
      <w:r w:rsidR="00D10A47" w:rsidRPr="0059208F">
        <w:rPr>
          <w:rFonts w:cs="Arial"/>
        </w:rPr>
        <w:t>%.</w:t>
      </w:r>
    </w:p>
    <w:p w:rsidR="00D10A47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</w:t>
      </w:r>
      <w:r w:rsidR="0059208F" w:rsidRPr="0059208F">
        <w:rPr>
          <w:rFonts w:cs="Arial"/>
        </w:rPr>
        <w:t>ng – Support Coordination has 13</w:t>
      </w:r>
      <w:r w:rsidRPr="0059208F">
        <w:rPr>
          <w:rFonts w:cs="Arial"/>
        </w:rPr>
        <w:t>%.</w:t>
      </w:r>
    </w:p>
    <w:p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Building – Home Living has a pr</w:t>
      </w:r>
      <w:r w:rsidR="0059208F" w:rsidRPr="0059208F">
        <w:rPr>
          <w:rFonts w:cs="Arial"/>
        </w:rPr>
        <w:t>ovider concentration level of 46</w:t>
      </w:r>
      <w:r w:rsidRPr="0059208F">
        <w:rPr>
          <w:rFonts w:cs="Arial"/>
        </w:rPr>
        <w:t>%.</w:t>
      </w:r>
    </w:p>
    <w:p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Lifelong Learning has </w:t>
      </w:r>
      <w:r w:rsidRPr="0059208F">
        <w:rPr>
          <w:rFonts w:cs="Arial"/>
        </w:rPr>
        <w:t>87</w:t>
      </w:r>
      <w:r w:rsidRPr="0059208F">
        <w:rPr>
          <w:rFonts w:cs="Arial"/>
        </w:rPr>
        <w:t>%.</w:t>
      </w:r>
    </w:p>
    <w:p w:rsidR="00BF032E" w:rsidRPr="00D36C56" w:rsidRDefault="00BF032E" w:rsidP="00D00BF7">
      <w:pPr>
        <w:jc w:val="both"/>
        <w:rPr>
          <w:rFonts w:cs="Arial"/>
          <w:highlight w:val="yellow"/>
        </w:rPr>
      </w:pPr>
    </w:p>
    <w:p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growth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:rsidR="006704D5" w:rsidRPr="0059208F" w:rsidRDefault="0059208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lastRenderedPageBreak/>
        <w:t>Capital</w:t>
      </w:r>
      <w:r w:rsidR="005C38F1" w:rsidRPr="0059208F">
        <w:rPr>
          <w:rFonts w:cs="Arial"/>
        </w:rPr>
        <w:t xml:space="preserve"> </w:t>
      </w:r>
      <w:r w:rsidRPr="0059208F">
        <w:rPr>
          <w:rFonts w:cs="Arial"/>
        </w:rPr>
        <w:t>– Assistive Technology</w:t>
      </w:r>
      <w:r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has </w:t>
      </w:r>
      <w:r w:rsidR="006704D5" w:rsidRPr="0059208F">
        <w:rPr>
          <w:rFonts w:cs="Arial"/>
        </w:rPr>
        <w:t xml:space="preserve">provider growth of </w:t>
      </w:r>
      <w:r w:rsidRPr="0059208F">
        <w:rPr>
          <w:rFonts w:cs="Arial"/>
        </w:rPr>
        <w:t>37</w:t>
      </w:r>
      <w:r w:rsidR="00D10A47" w:rsidRPr="0059208F">
        <w:rPr>
          <w:rFonts w:cs="Arial"/>
        </w:rPr>
        <w:t>%</w:t>
      </w:r>
      <w:r w:rsidR="006704D5" w:rsidRPr="0059208F">
        <w:rPr>
          <w:rFonts w:cs="Arial"/>
        </w:rPr>
        <w:t xml:space="preserve"> since the previous exposure period.</w:t>
      </w:r>
    </w:p>
    <w:p w:rsidR="00D10A47" w:rsidRPr="0059208F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Capital – </w:t>
      </w:r>
      <w:r w:rsidR="0059208F" w:rsidRPr="0059208F">
        <w:rPr>
          <w:rFonts w:cs="Arial"/>
        </w:rPr>
        <w:t xml:space="preserve">Home Modifications </w:t>
      </w:r>
      <w:r w:rsidRPr="0059208F">
        <w:rPr>
          <w:rFonts w:cs="Arial"/>
        </w:rPr>
        <w:t>has 3</w:t>
      </w:r>
      <w:r w:rsidR="0059208F" w:rsidRPr="0059208F">
        <w:rPr>
          <w:rFonts w:cs="Arial"/>
        </w:rPr>
        <w:t>0</w:t>
      </w:r>
      <w:r w:rsidR="006704D5" w:rsidRPr="0059208F">
        <w:rPr>
          <w:rFonts w:cs="Arial"/>
        </w:rPr>
        <w:t>%</w:t>
      </w:r>
      <w:r w:rsidR="00D10A47" w:rsidRPr="0059208F">
        <w:rPr>
          <w:rFonts w:cs="Arial"/>
        </w:rPr>
        <w:t>.</w:t>
      </w:r>
    </w:p>
    <w:p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Home Living has a provider growth </w:t>
      </w:r>
      <w:r>
        <w:rPr>
          <w:rFonts w:cs="Arial"/>
        </w:rPr>
        <w:t>of 0</w:t>
      </w:r>
      <w:r w:rsidRPr="0059208F">
        <w:rPr>
          <w:rFonts w:cs="Arial"/>
        </w:rPr>
        <w:t>%</w:t>
      </w:r>
      <w:r w:rsidRPr="0059208F">
        <w:rPr>
          <w:rFonts w:cs="Arial"/>
        </w:rPr>
        <w:t xml:space="preserve"> </w:t>
      </w:r>
      <w:r w:rsidRPr="0059208F">
        <w:rPr>
          <w:rFonts w:cs="Arial"/>
        </w:rPr>
        <w:t>since the previous exposure period.</w:t>
      </w:r>
    </w:p>
    <w:p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Lifelong Learning has </w:t>
      </w:r>
      <w:r>
        <w:rPr>
          <w:rFonts w:cs="Arial"/>
        </w:rPr>
        <w:t>0</w:t>
      </w:r>
      <w:r w:rsidRPr="0059208F">
        <w:rPr>
          <w:rFonts w:cs="Arial"/>
        </w:rPr>
        <w:t>%.</w:t>
      </w:r>
    </w:p>
    <w:p w:rsidR="00BF032E" w:rsidRPr="00D36C56" w:rsidRDefault="00BF032E" w:rsidP="00D00BF7">
      <w:pPr>
        <w:jc w:val="both"/>
        <w:rPr>
          <w:rFonts w:cs="Arial"/>
          <w:highlight w:val="yellow"/>
        </w:rPr>
      </w:pPr>
    </w:p>
    <w:p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shrinkage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:rsidR="00BF032E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Building – Home Living has provider shrinkage of 0% since the previous exposure period.</w:t>
      </w:r>
    </w:p>
    <w:p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Lifelong Learning </w:t>
      </w:r>
      <w:r w:rsidRPr="0059208F">
        <w:rPr>
          <w:rFonts w:cs="Arial"/>
        </w:rPr>
        <w:t>has 0</w:t>
      </w:r>
      <w:r w:rsidRPr="0059208F">
        <w:rPr>
          <w:rFonts w:cs="Arial"/>
        </w:rPr>
        <w:t>%.</w:t>
      </w:r>
    </w:p>
    <w:p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:rsidR="00282FD8" w:rsidRPr="0059208F" w:rsidRDefault="0059208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Core – Daily Activities</w:t>
      </w:r>
      <w:r w:rsidR="00D10A47" w:rsidRPr="0059208F">
        <w:rPr>
          <w:rFonts w:cs="Arial"/>
        </w:rPr>
        <w:t xml:space="preserve"> has</w:t>
      </w:r>
      <w:r w:rsidRPr="0059208F">
        <w:rPr>
          <w:rFonts w:cs="Arial"/>
        </w:rPr>
        <w:t xml:space="preserve"> provider shrinkage of 14</w:t>
      </w:r>
      <w:r w:rsidR="00282FD8" w:rsidRPr="0059208F">
        <w:rPr>
          <w:rFonts w:cs="Arial"/>
        </w:rPr>
        <w:t>% since the previous exposure period.</w:t>
      </w:r>
    </w:p>
    <w:p w:rsidR="00BF032E" w:rsidRPr="0059208F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Capital – Home Modifications has 2</w:t>
      </w:r>
      <w:r w:rsidR="0059208F" w:rsidRPr="0059208F">
        <w:rPr>
          <w:rFonts w:cs="Arial"/>
        </w:rPr>
        <w:t>4</w:t>
      </w:r>
      <w:r w:rsidRPr="0059208F">
        <w:rPr>
          <w:rFonts w:cs="Arial"/>
        </w:rPr>
        <w:t>%.</w:t>
      </w:r>
    </w:p>
    <w:p w:rsidR="00B94DA7" w:rsidRPr="000D04DC" w:rsidRDefault="00B94DA7" w:rsidP="00D00BF7">
      <w:pPr>
        <w:jc w:val="both"/>
        <w:rPr>
          <w:rFonts w:cs="Arial"/>
        </w:rPr>
      </w:pPr>
    </w:p>
    <w:p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utilisation</w:t>
      </w:r>
      <w:r w:rsidRPr="000D04DC">
        <w:rPr>
          <w:rFonts w:cs="Arial"/>
        </w:rPr>
        <w:t>, the top 10% support categories are as follows.</w:t>
      </w:r>
    </w:p>
    <w:p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 xml:space="preserve">Core – </w:t>
      </w:r>
      <w:r w:rsidR="000D04DC" w:rsidRPr="000D04DC">
        <w:rPr>
          <w:rFonts w:cs="Arial"/>
        </w:rPr>
        <w:t>Transport has a utilisation rate of 102</w:t>
      </w:r>
      <w:r w:rsidRPr="000D04DC">
        <w:rPr>
          <w:rFonts w:cs="Arial"/>
        </w:rPr>
        <w:t>%.</w:t>
      </w:r>
    </w:p>
    <w:p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>Capacity Building – Choice and Control has 9</w:t>
      </w:r>
      <w:r w:rsidR="00055BDA" w:rsidRPr="000D04DC">
        <w:rPr>
          <w:rFonts w:cs="Arial"/>
        </w:rPr>
        <w:t>1</w:t>
      </w:r>
      <w:r w:rsidRPr="000D04DC">
        <w:rPr>
          <w:rFonts w:cs="Arial"/>
        </w:rPr>
        <w:t>%.</w:t>
      </w:r>
    </w:p>
    <w:p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>The bottom 10% support categories are as follows.</w:t>
      </w:r>
    </w:p>
    <w:p w:rsidR="006C279D" w:rsidRPr="000D04DC" w:rsidRDefault="000D04DC" w:rsidP="006C279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Home Living </w:t>
      </w:r>
      <w:r w:rsidRPr="000D04DC">
        <w:rPr>
          <w:rFonts w:cs="Arial"/>
        </w:rPr>
        <w:t>has a utilisation rate of 19</w:t>
      </w:r>
      <w:r w:rsidR="006C279D" w:rsidRPr="000D04DC">
        <w:rPr>
          <w:rFonts w:cs="Arial"/>
        </w:rPr>
        <w:t>%.</w:t>
      </w:r>
    </w:p>
    <w:p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Lifelong Learning</w:t>
      </w:r>
      <w:r w:rsidRPr="000D04DC">
        <w:rPr>
          <w:rFonts w:cs="Arial"/>
        </w:rPr>
        <w:t xml:space="preserve"> has </w:t>
      </w:r>
      <w:r w:rsidR="000D04DC" w:rsidRPr="000D04DC">
        <w:rPr>
          <w:rFonts w:cs="Arial"/>
        </w:rPr>
        <w:t>24</w:t>
      </w:r>
      <w:r w:rsidRPr="000D04DC">
        <w:rPr>
          <w:rFonts w:cs="Arial"/>
        </w:rPr>
        <w:t>%.</w:t>
      </w:r>
    </w:p>
    <w:p w:rsidR="00282FD8" w:rsidRPr="00D36C56" w:rsidRDefault="00282FD8" w:rsidP="00D00BF7">
      <w:pPr>
        <w:jc w:val="both"/>
        <w:rPr>
          <w:rFonts w:cs="Arial"/>
          <w:highlight w:val="yellow"/>
        </w:rPr>
      </w:pPr>
    </w:p>
    <w:p w:rsidR="00B94DA7" w:rsidRPr="000D04DC" w:rsidRDefault="00B94DA7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outcomes indicator on choice and control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 xml:space="preserve">the top 10%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:rsidR="00381EE6" w:rsidRPr="000D04DC" w:rsidRDefault="000D04DC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Assistive Technology </w:t>
      </w:r>
      <w:r w:rsidRPr="000D04DC">
        <w:rPr>
          <w:rFonts w:cs="Arial"/>
        </w:rPr>
        <w:t>has an outcomes indicator of 66</w:t>
      </w:r>
      <w:r w:rsidR="00381EE6" w:rsidRPr="000D04DC">
        <w:rPr>
          <w:rFonts w:cs="Arial"/>
        </w:rPr>
        <w:t>%.</w:t>
      </w:r>
    </w:p>
    <w:p w:rsidR="00B94DA7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</w:t>
      </w:r>
      <w:r w:rsidR="002B2E86" w:rsidRPr="000D04DC">
        <w:rPr>
          <w:rFonts w:cs="Arial"/>
        </w:rPr>
        <w:t>Social and Civic</w:t>
      </w:r>
      <w:r w:rsidR="000D04DC" w:rsidRPr="000D04DC">
        <w:rPr>
          <w:rFonts w:cs="Arial"/>
        </w:rPr>
        <w:t xml:space="preserve"> has 67</w:t>
      </w:r>
      <w:r w:rsidRPr="000D04DC">
        <w:rPr>
          <w:rFonts w:cs="Arial"/>
        </w:rPr>
        <w:t>%.</w:t>
      </w:r>
    </w:p>
    <w:p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The bottom 10%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</w:t>
      </w:r>
      <w:r w:rsidR="00343E75" w:rsidRPr="000D04DC">
        <w:rPr>
          <w:rFonts w:cs="Arial"/>
        </w:rPr>
        <w:t xml:space="preserve">Building – </w:t>
      </w:r>
      <w:r w:rsidR="000D04DC" w:rsidRPr="000D04DC">
        <w:rPr>
          <w:rFonts w:cs="Arial"/>
        </w:rPr>
        <w:t xml:space="preserve">Lifelong Learning </w:t>
      </w:r>
      <w:r w:rsidR="00343E75" w:rsidRPr="000D04DC">
        <w:rPr>
          <w:rFonts w:cs="Arial"/>
        </w:rPr>
        <w:t>has</w:t>
      </w:r>
      <w:r w:rsidR="000D04DC" w:rsidRPr="000D04DC">
        <w:rPr>
          <w:rFonts w:cs="Arial"/>
        </w:rPr>
        <w:t xml:space="preserve"> </w:t>
      </w:r>
      <w:r w:rsidR="000D04DC" w:rsidRPr="000D04DC">
        <w:rPr>
          <w:rFonts w:cs="Arial"/>
        </w:rPr>
        <w:t>an outcomes indicator</w:t>
      </w:r>
      <w:r w:rsidR="000D04DC" w:rsidRPr="000D04DC">
        <w:rPr>
          <w:rFonts w:cs="Arial"/>
        </w:rPr>
        <w:t xml:space="preserve"> 37</w:t>
      </w:r>
      <w:r w:rsidRPr="000D04DC">
        <w:rPr>
          <w:rFonts w:cs="Arial"/>
        </w:rPr>
        <w:t>%.</w:t>
      </w:r>
    </w:p>
    <w:p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Relationships </w:t>
      </w:r>
      <w:r w:rsidRPr="000D04DC">
        <w:rPr>
          <w:rFonts w:cs="Arial"/>
        </w:rPr>
        <w:t>has 25</w:t>
      </w:r>
      <w:r w:rsidR="0059208F" w:rsidRPr="000D04DC">
        <w:rPr>
          <w:rFonts w:cs="Arial"/>
        </w:rPr>
        <w:t>%.</w:t>
      </w:r>
    </w:p>
    <w:p w:rsidR="00BF032E" w:rsidRPr="00D36C56" w:rsidRDefault="00BF032E" w:rsidP="00D00BF7">
      <w:pPr>
        <w:jc w:val="both"/>
        <w:rPr>
          <w:rFonts w:cs="Arial"/>
          <w:highlight w:val="yellow"/>
        </w:rPr>
      </w:pPr>
    </w:p>
    <w:p w:rsidR="00B94DA7" w:rsidRPr="000D04DC" w:rsidRDefault="00B94DA7" w:rsidP="00D00BF7">
      <w:pPr>
        <w:jc w:val="both"/>
        <w:rPr>
          <w:rFonts w:cs="Arial"/>
        </w:rPr>
      </w:pPr>
      <w:bookmarkStart w:id="6" w:name="_GoBack"/>
      <w:bookmarkEnd w:id="6"/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“Has NDIS helped with choice and control?” indicator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 xml:space="preserve">the top 10%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:rsidR="006704D5" w:rsidRPr="000D04DC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Health and Wellbeing</w:t>
      </w:r>
      <w:r w:rsidR="00055BDA" w:rsidRPr="000D04DC">
        <w:rPr>
          <w:rFonts w:cs="Arial"/>
        </w:rPr>
        <w:t xml:space="preserve"> </w:t>
      </w:r>
      <w:r w:rsidR="000D04DC" w:rsidRPr="000D04DC">
        <w:rPr>
          <w:rFonts w:cs="Arial"/>
        </w:rPr>
        <w:t>has an indicator of 75</w:t>
      </w:r>
      <w:r w:rsidRPr="000D04DC">
        <w:rPr>
          <w:rFonts w:cs="Arial"/>
        </w:rPr>
        <w:t>%.</w:t>
      </w:r>
    </w:p>
    <w:p w:rsidR="00B94DA7" w:rsidRPr="000D04DC" w:rsidRDefault="000D04DC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Home Modifications </w:t>
      </w:r>
      <w:r w:rsidR="00282FD8" w:rsidRPr="000D04DC">
        <w:rPr>
          <w:rFonts w:cs="Arial"/>
        </w:rPr>
        <w:t>has</w:t>
      </w:r>
      <w:r w:rsidR="006704D5" w:rsidRPr="000D04DC">
        <w:rPr>
          <w:rFonts w:cs="Arial"/>
        </w:rPr>
        <w:t xml:space="preserve"> </w:t>
      </w:r>
      <w:r w:rsidRPr="000D04DC">
        <w:rPr>
          <w:rFonts w:cs="Arial"/>
        </w:rPr>
        <w:t>73</w:t>
      </w:r>
      <w:r w:rsidR="00282FD8" w:rsidRPr="000D04DC">
        <w:rPr>
          <w:rFonts w:cs="Arial"/>
        </w:rPr>
        <w:t>%.</w:t>
      </w:r>
    </w:p>
    <w:p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The bottom 10%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:rsidR="00763823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lastRenderedPageBreak/>
        <w:t xml:space="preserve">Capacity Building – </w:t>
      </w:r>
      <w:r w:rsidR="000D04DC" w:rsidRPr="000D04DC">
        <w:rPr>
          <w:rFonts w:cs="Arial"/>
        </w:rPr>
        <w:t>Home Living</w:t>
      </w:r>
      <w:r w:rsidRPr="000D04DC">
        <w:rPr>
          <w:rFonts w:cs="Arial"/>
        </w:rPr>
        <w:t xml:space="preserve"> has </w:t>
      </w:r>
      <w:r w:rsidR="006704D5" w:rsidRPr="000D04DC">
        <w:rPr>
          <w:rFonts w:cs="Arial"/>
        </w:rPr>
        <w:t xml:space="preserve">an indicator of </w:t>
      </w:r>
      <w:r w:rsidR="000D04DC" w:rsidRPr="000D04DC">
        <w:rPr>
          <w:rFonts w:cs="Arial"/>
        </w:rPr>
        <w:t>61</w:t>
      </w:r>
      <w:r w:rsidRPr="000D04DC">
        <w:rPr>
          <w:rFonts w:cs="Arial"/>
        </w:rPr>
        <w:t>%.</w:t>
      </w:r>
    </w:p>
    <w:p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Lifelong Learning </w:t>
      </w:r>
      <w:r w:rsidRPr="000D04DC">
        <w:rPr>
          <w:rFonts w:cs="Arial"/>
        </w:rPr>
        <w:t>has 61</w:t>
      </w:r>
      <w:r w:rsidR="0059208F" w:rsidRPr="000D04DC">
        <w:rPr>
          <w:rFonts w:cs="Arial"/>
        </w:rPr>
        <w:t>%.</w:t>
      </w:r>
    </w:p>
    <w:p w:rsidR="00BF0755" w:rsidRPr="00D12F81" w:rsidRDefault="00BF0755" w:rsidP="00D00BF7">
      <w:pPr>
        <w:jc w:val="both"/>
        <w:rPr>
          <w:rFonts w:cs="Arial"/>
          <w:highlight w:val="yellow"/>
        </w:rPr>
      </w:pPr>
    </w:p>
    <w:p w:rsidR="00BF0755" w:rsidRPr="00B23DB3" w:rsidRDefault="00BF0755" w:rsidP="00D00BF7">
      <w:pPr>
        <w:pStyle w:val="Heading2"/>
      </w:pPr>
      <w:bookmarkStart w:id="7" w:name="_Toc32397947"/>
      <w:r w:rsidRPr="00B23DB3">
        <w:t>Page 2, Table 2: Definitions for the indicators</w:t>
      </w:r>
      <w:bookmarkEnd w:id="7"/>
    </w:p>
    <w:p w:rsidR="00BF0755" w:rsidRPr="00B23DB3" w:rsidRDefault="00BF0755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Active participants with approved plans</w:t>
      </w:r>
      <w:r w:rsidRPr="00B23DB3">
        <w:rPr>
          <w:rFonts w:cs="Arial"/>
        </w:rPr>
        <w:t xml:space="preserve"> is defined as the number of</w:t>
      </w:r>
      <w:r w:rsidR="00763823" w:rsidRPr="00B23DB3">
        <w:rPr>
          <w:rFonts w:cs="Arial"/>
        </w:rPr>
        <w:t xml:space="preserve"> active participants who have an approved plan and reside in the region / have supports relating to the support category in their plan.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Registered active providers</w:t>
      </w:r>
      <w:r w:rsidRPr="00B23DB3">
        <w:rPr>
          <w:rFonts w:cs="Arial"/>
        </w:rPr>
        <w:t xml:space="preserve"> is defined as the number of registered service providers that have provided a support to a participant within the region / support category, over the exposure period.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Participants per provider</w:t>
      </w:r>
      <w:r w:rsidRPr="00B23DB3">
        <w:rPr>
          <w:rFonts w:cs="Arial"/>
        </w:rPr>
        <w:t xml:space="preserve"> is defined as the</w:t>
      </w:r>
      <w:r w:rsidRPr="00B23DB3">
        <w:t xml:space="preserve"> r</w:t>
      </w:r>
      <w:r w:rsidRPr="00B23DB3">
        <w:rPr>
          <w:rFonts w:cs="Arial"/>
        </w:rPr>
        <w:t>atio between the number of active participants and the number of registered service providers.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Provider concentration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provider payments over the exposure period that were paid to the top 10 providers.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growth </w:t>
      </w:r>
      <w:r w:rsidRPr="00B23DB3"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shrinkage </w:t>
      </w:r>
      <w:r w:rsidRPr="00B23DB3"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Total plan budget</w:t>
      </w:r>
      <w:r w:rsidR="00584CDB" w:rsidRPr="00B23DB3">
        <w:rPr>
          <w:rFonts w:cs="Arial"/>
          <w:b/>
        </w:rPr>
        <w:t>s</w:t>
      </w:r>
      <w:r w:rsidRPr="00B23DB3">
        <w:rPr>
          <w:rFonts w:cs="Arial"/>
          <w:b/>
        </w:rPr>
        <w:t xml:space="preserve"> </w:t>
      </w:r>
      <w:r w:rsidRPr="00B23DB3">
        <w:rPr>
          <w:rFonts w:cs="Arial"/>
        </w:rPr>
        <w:t>is defined as the value of supports committed in participant plans for the exposure period.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Payments</w:t>
      </w:r>
      <w:r w:rsidRPr="00B23DB3"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In Residential Aged Care).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Utilisation</w:t>
      </w:r>
      <w:r w:rsidRPr="00B23DB3">
        <w:rPr>
          <w:rFonts w:cs="Arial"/>
        </w:rPr>
        <w:t xml:space="preserve"> is defined as the ratio between payments and total plan budgets.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Outcomes indicator on choice and control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participants who reported in their most recent outcomes survey that they choose who supports them.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“Has NDIS helped with choice and control?”</w:t>
      </w:r>
      <w:r w:rsidRPr="00B23DB3"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:rsidR="00070B03" w:rsidRPr="00B23DB3" w:rsidRDefault="00070B03" w:rsidP="00070B03">
      <w:pPr>
        <w:pStyle w:val="ListParagraph"/>
        <w:rPr>
          <w:rFonts w:cs="Arial"/>
        </w:rPr>
      </w:pPr>
    </w:p>
    <w:p w:rsidR="00070B03" w:rsidRPr="00B23DB3" w:rsidRDefault="00070B03" w:rsidP="00070B0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B2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301E5"/>
    <w:rsid w:val="00055BDA"/>
    <w:rsid w:val="0006186D"/>
    <w:rsid w:val="00070B03"/>
    <w:rsid w:val="00076EDF"/>
    <w:rsid w:val="000D04DC"/>
    <w:rsid w:val="0013152A"/>
    <w:rsid w:val="0015533B"/>
    <w:rsid w:val="00160B17"/>
    <w:rsid w:val="0017743D"/>
    <w:rsid w:val="001D20D4"/>
    <w:rsid w:val="001D682B"/>
    <w:rsid w:val="001F7986"/>
    <w:rsid w:val="00205322"/>
    <w:rsid w:val="00205B30"/>
    <w:rsid w:val="002340FA"/>
    <w:rsid w:val="00281F13"/>
    <w:rsid w:val="00282FD8"/>
    <w:rsid w:val="002B2E86"/>
    <w:rsid w:val="00325B09"/>
    <w:rsid w:val="00330CEF"/>
    <w:rsid w:val="00343E75"/>
    <w:rsid w:val="00350787"/>
    <w:rsid w:val="00360C1E"/>
    <w:rsid w:val="00376465"/>
    <w:rsid w:val="00381EE6"/>
    <w:rsid w:val="003853B1"/>
    <w:rsid w:val="003871BD"/>
    <w:rsid w:val="003B406C"/>
    <w:rsid w:val="003C1EE2"/>
    <w:rsid w:val="003C6D8E"/>
    <w:rsid w:val="003D7B16"/>
    <w:rsid w:val="003E090C"/>
    <w:rsid w:val="003F2BAC"/>
    <w:rsid w:val="00430D4D"/>
    <w:rsid w:val="004367CF"/>
    <w:rsid w:val="00451FF6"/>
    <w:rsid w:val="00475003"/>
    <w:rsid w:val="00476601"/>
    <w:rsid w:val="004827EA"/>
    <w:rsid w:val="00491C44"/>
    <w:rsid w:val="00504A6B"/>
    <w:rsid w:val="00530C08"/>
    <w:rsid w:val="00560B99"/>
    <w:rsid w:val="00584CDB"/>
    <w:rsid w:val="0059208F"/>
    <w:rsid w:val="005A0F26"/>
    <w:rsid w:val="005C01C1"/>
    <w:rsid w:val="005C38F1"/>
    <w:rsid w:val="005C3EEC"/>
    <w:rsid w:val="006371B6"/>
    <w:rsid w:val="00637F72"/>
    <w:rsid w:val="00660C99"/>
    <w:rsid w:val="006704D5"/>
    <w:rsid w:val="00674AA7"/>
    <w:rsid w:val="006A7787"/>
    <w:rsid w:val="006C279D"/>
    <w:rsid w:val="00716B7A"/>
    <w:rsid w:val="00721ED1"/>
    <w:rsid w:val="007242A6"/>
    <w:rsid w:val="00760053"/>
    <w:rsid w:val="00763823"/>
    <w:rsid w:val="0079420A"/>
    <w:rsid w:val="007F052D"/>
    <w:rsid w:val="00832799"/>
    <w:rsid w:val="00862FC1"/>
    <w:rsid w:val="00865BC7"/>
    <w:rsid w:val="00892194"/>
    <w:rsid w:val="008B6BEB"/>
    <w:rsid w:val="008D1A47"/>
    <w:rsid w:val="008D1DBD"/>
    <w:rsid w:val="008D4CA8"/>
    <w:rsid w:val="00927D99"/>
    <w:rsid w:val="009300E8"/>
    <w:rsid w:val="00937A74"/>
    <w:rsid w:val="00946467"/>
    <w:rsid w:val="00995758"/>
    <w:rsid w:val="009A78AA"/>
    <w:rsid w:val="009B45AC"/>
    <w:rsid w:val="00A10ABF"/>
    <w:rsid w:val="00A31984"/>
    <w:rsid w:val="00A31EE8"/>
    <w:rsid w:val="00A640AE"/>
    <w:rsid w:val="00A65372"/>
    <w:rsid w:val="00A739C7"/>
    <w:rsid w:val="00AA09C4"/>
    <w:rsid w:val="00AA3B71"/>
    <w:rsid w:val="00AA5E86"/>
    <w:rsid w:val="00AF6078"/>
    <w:rsid w:val="00B23D81"/>
    <w:rsid w:val="00B23DB3"/>
    <w:rsid w:val="00B41A44"/>
    <w:rsid w:val="00B45A45"/>
    <w:rsid w:val="00B51D40"/>
    <w:rsid w:val="00B5645C"/>
    <w:rsid w:val="00B6363C"/>
    <w:rsid w:val="00B94DA7"/>
    <w:rsid w:val="00BC1232"/>
    <w:rsid w:val="00BF032E"/>
    <w:rsid w:val="00BF0755"/>
    <w:rsid w:val="00BF3B0A"/>
    <w:rsid w:val="00C17FD9"/>
    <w:rsid w:val="00C375F7"/>
    <w:rsid w:val="00C6228A"/>
    <w:rsid w:val="00C74709"/>
    <w:rsid w:val="00CA1F54"/>
    <w:rsid w:val="00CA58B8"/>
    <w:rsid w:val="00CC53C4"/>
    <w:rsid w:val="00CC5DA6"/>
    <w:rsid w:val="00CD47E6"/>
    <w:rsid w:val="00D00BF7"/>
    <w:rsid w:val="00D06537"/>
    <w:rsid w:val="00D10A47"/>
    <w:rsid w:val="00D12F81"/>
    <w:rsid w:val="00D36C56"/>
    <w:rsid w:val="00D374C4"/>
    <w:rsid w:val="00D554F3"/>
    <w:rsid w:val="00EC78B5"/>
    <w:rsid w:val="00EE28E1"/>
    <w:rsid w:val="00F1296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CD31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3DB5-7284-47F8-BC94-2350F532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Sandercock, Benjamin</cp:lastModifiedBy>
  <cp:revision>47</cp:revision>
  <dcterms:created xsi:type="dcterms:W3CDTF">2019-09-16T02:25:00Z</dcterms:created>
  <dcterms:modified xsi:type="dcterms:W3CDTF">2020-02-20T22:38:00Z</dcterms:modified>
</cp:coreProperties>
</file>