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E2A8A" w14:textId="70A8FF1D" w:rsidR="00FF429B" w:rsidRPr="004A01CD" w:rsidRDefault="00861638" w:rsidP="007C2499">
      <w:pPr>
        <w:pStyle w:val="Heading1"/>
      </w:pPr>
      <w:bookmarkStart w:id="0" w:name="_Toc14105805"/>
      <w:bookmarkStart w:id="1" w:name="_Toc34146554"/>
      <w:bookmarkStart w:id="2" w:name="_Toc529955892"/>
      <w:bookmarkStart w:id="3" w:name="_Toc9427979"/>
      <w:r w:rsidRPr="004A01CD">
        <w:t>The NDIS Market</w:t>
      </w:r>
      <w:r w:rsidR="00FF429B" w:rsidRPr="004A01CD">
        <w:t xml:space="preserve"> </w:t>
      </w:r>
      <w:r w:rsidR="003A7B01" w:rsidRPr="004A01CD">
        <w:t>–</w:t>
      </w:r>
      <w:r w:rsidRPr="004A01CD">
        <w:t xml:space="preserve"> </w:t>
      </w:r>
      <w:r w:rsidR="00961F86" w:rsidRPr="004A01CD">
        <w:t xml:space="preserve">31 December </w:t>
      </w:r>
      <w:r w:rsidR="00FF429B" w:rsidRPr="004A01CD">
        <w:t>201</w:t>
      </w:r>
      <w:r w:rsidRPr="004A01CD">
        <w:t>9</w:t>
      </w:r>
      <w:bookmarkEnd w:id="0"/>
      <w:bookmarkEnd w:id="1"/>
    </w:p>
    <w:p w14:paraId="518D4D32" w14:textId="77777777" w:rsidR="000D5292" w:rsidRPr="004A01CD" w:rsidRDefault="000B1117" w:rsidP="007C2499">
      <w:pPr>
        <w:pStyle w:val="Heading2"/>
        <w:rPr>
          <w:noProof/>
        </w:rPr>
      </w:pPr>
      <w:bookmarkStart w:id="4" w:name="_Toc14105806"/>
      <w:bookmarkStart w:id="5" w:name="_Toc34146555"/>
      <w:r w:rsidRPr="004A01CD">
        <w:t xml:space="preserve">Table of </w:t>
      </w:r>
      <w:r w:rsidR="00FF429B" w:rsidRPr="004A01CD">
        <w:t>Contents</w:t>
      </w:r>
      <w:bookmarkEnd w:id="4"/>
      <w:bookmarkEnd w:id="5"/>
      <w:r w:rsidR="00410810" w:rsidRPr="004A01CD">
        <w:fldChar w:fldCharType="begin"/>
      </w:r>
      <w:r w:rsidR="00410810" w:rsidRPr="004A01CD">
        <w:instrText xml:space="preserve"> TOC \o "1-2" \h \z \u </w:instrText>
      </w:r>
      <w:r w:rsidR="00410810" w:rsidRPr="004A01CD">
        <w:fldChar w:fldCharType="separate"/>
      </w:r>
    </w:p>
    <w:p w14:paraId="34D768D5" w14:textId="7D3F76A2" w:rsidR="000D5292" w:rsidRPr="004A01CD" w:rsidRDefault="004A01CD">
      <w:pPr>
        <w:pStyle w:val="TOC1"/>
        <w:tabs>
          <w:tab w:val="right" w:leader="dot" w:pos="9016"/>
        </w:tabs>
        <w:rPr>
          <w:rFonts w:asciiTheme="minorHAnsi" w:eastAsiaTheme="minorEastAsia" w:hAnsiTheme="minorHAnsi"/>
          <w:noProof/>
          <w:lang w:eastAsia="en-AU"/>
        </w:rPr>
      </w:pPr>
      <w:hyperlink w:anchor="_Toc34146554" w:history="1">
        <w:r w:rsidR="000D5292" w:rsidRPr="004A01CD">
          <w:rPr>
            <w:rStyle w:val="Hyperlink"/>
            <w:noProof/>
          </w:rPr>
          <w:t>The NDIS Market – 31 December 2019</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_Toc34146554 \h </w:instrText>
        </w:r>
        <w:r w:rsidR="000D5292" w:rsidRPr="004A01CD">
          <w:rPr>
            <w:noProof/>
            <w:webHidden/>
          </w:rPr>
        </w:r>
        <w:r w:rsidR="000D5292" w:rsidRPr="004A01CD">
          <w:rPr>
            <w:noProof/>
            <w:webHidden/>
          </w:rPr>
          <w:fldChar w:fldCharType="separate"/>
        </w:r>
        <w:r w:rsidR="000D5292" w:rsidRPr="004A01CD">
          <w:rPr>
            <w:noProof/>
            <w:webHidden/>
          </w:rPr>
          <w:t>1</w:t>
        </w:r>
        <w:r w:rsidR="000D5292" w:rsidRPr="004A01CD">
          <w:rPr>
            <w:noProof/>
            <w:webHidden/>
          </w:rPr>
          <w:fldChar w:fldCharType="end"/>
        </w:r>
      </w:hyperlink>
    </w:p>
    <w:p w14:paraId="46DD7BE9" w14:textId="6DE675ED" w:rsidR="000D5292" w:rsidRPr="004A01CD" w:rsidRDefault="004A01CD">
      <w:pPr>
        <w:pStyle w:val="TOC2"/>
        <w:tabs>
          <w:tab w:val="right" w:leader="dot" w:pos="9016"/>
        </w:tabs>
        <w:rPr>
          <w:rFonts w:asciiTheme="minorHAnsi" w:eastAsiaTheme="minorEastAsia" w:hAnsiTheme="minorHAnsi"/>
          <w:noProof/>
          <w:lang w:eastAsia="en-AU"/>
        </w:rPr>
      </w:pPr>
      <w:hyperlink w:anchor="_Toc34146555" w:history="1">
        <w:r w:rsidR="000D5292" w:rsidRPr="004A01CD">
          <w:rPr>
            <w:rStyle w:val="Hyperlink"/>
            <w:noProof/>
          </w:rPr>
          <w:t>Table of Contents</w:t>
        </w:r>
        <w:bookmarkStart w:id="6" w:name="_GoBack"/>
        <w:bookmarkEnd w:id="6"/>
        <w:r w:rsidR="000D5292" w:rsidRPr="004A01CD">
          <w:rPr>
            <w:noProof/>
            <w:webHidden/>
          </w:rPr>
          <w:tab/>
        </w:r>
        <w:r w:rsidR="000D5292" w:rsidRPr="004A01CD">
          <w:rPr>
            <w:noProof/>
            <w:webHidden/>
          </w:rPr>
          <w:fldChar w:fldCharType="begin"/>
        </w:r>
        <w:r w:rsidR="000D5292" w:rsidRPr="004A01CD">
          <w:rPr>
            <w:noProof/>
            <w:webHidden/>
          </w:rPr>
          <w:instrText xml:space="preserve"> PAGEREF _Toc34146555 \h </w:instrText>
        </w:r>
        <w:r w:rsidR="000D5292" w:rsidRPr="004A01CD">
          <w:rPr>
            <w:noProof/>
            <w:webHidden/>
          </w:rPr>
        </w:r>
        <w:r w:rsidR="000D5292" w:rsidRPr="004A01CD">
          <w:rPr>
            <w:noProof/>
            <w:webHidden/>
          </w:rPr>
          <w:fldChar w:fldCharType="separate"/>
        </w:r>
        <w:r w:rsidR="000D5292" w:rsidRPr="004A01CD">
          <w:rPr>
            <w:noProof/>
            <w:webHidden/>
          </w:rPr>
          <w:t>1</w:t>
        </w:r>
        <w:r w:rsidR="000D5292" w:rsidRPr="004A01CD">
          <w:rPr>
            <w:noProof/>
            <w:webHidden/>
          </w:rPr>
          <w:fldChar w:fldCharType="end"/>
        </w:r>
      </w:hyperlink>
    </w:p>
    <w:p w14:paraId="39E76CE4" w14:textId="44FC56F6" w:rsidR="000D5292" w:rsidRPr="004A01CD" w:rsidRDefault="004A01CD">
      <w:pPr>
        <w:pStyle w:val="TOC2"/>
        <w:tabs>
          <w:tab w:val="right" w:leader="dot" w:pos="9016"/>
        </w:tabs>
        <w:rPr>
          <w:rFonts w:asciiTheme="minorHAnsi" w:eastAsiaTheme="minorEastAsia" w:hAnsiTheme="minorHAnsi"/>
          <w:noProof/>
          <w:lang w:eastAsia="en-AU"/>
        </w:rPr>
      </w:pPr>
      <w:hyperlink w:anchor="_Toc34146556" w:history="1">
        <w:r w:rsidR="000D5292" w:rsidRPr="004A01CD">
          <w:rPr>
            <w:rStyle w:val="Hyperlink"/>
            <w:noProof/>
          </w:rPr>
          <w:t>Slide 1: The NDIS Market – 31 December 2019</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_Toc34146556 \h </w:instrText>
        </w:r>
        <w:r w:rsidR="000D5292" w:rsidRPr="004A01CD">
          <w:rPr>
            <w:noProof/>
            <w:webHidden/>
          </w:rPr>
        </w:r>
        <w:r w:rsidR="000D5292" w:rsidRPr="004A01CD">
          <w:rPr>
            <w:noProof/>
            <w:webHidden/>
          </w:rPr>
          <w:fldChar w:fldCharType="separate"/>
        </w:r>
        <w:r w:rsidR="000D5292" w:rsidRPr="004A01CD">
          <w:rPr>
            <w:noProof/>
            <w:webHidden/>
          </w:rPr>
          <w:t>5</w:t>
        </w:r>
        <w:r w:rsidR="000D5292" w:rsidRPr="004A01CD">
          <w:rPr>
            <w:noProof/>
            <w:webHidden/>
          </w:rPr>
          <w:fldChar w:fldCharType="end"/>
        </w:r>
      </w:hyperlink>
    </w:p>
    <w:p w14:paraId="7E493919" w14:textId="76C7C1CB" w:rsidR="000D5292" w:rsidRPr="004A01CD" w:rsidRDefault="004A01CD">
      <w:pPr>
        <w:pStyle w:val="TOC2"/>
        <w:tabs>
          <w:tab w:val="right" w:leader="dot" w:pos="9016"/>
        </w:tabs>
        <w:rPr>
          <w:rFonts w:asciiTheme="minorHAnsi" w:eastAsiaTheme="minorEastAsia" w:hAnsiTheme="minorHAnsi"/>
          <w:noProof/>
          <w:lang w:eastAsia="en-AU"/>
        </w:rPr>
      </w:pPr>
      <w:hyperlink w:anchor="_Toc34146557" w:history="1">
        <w:r w:rsidR="000D5292" w:rsidRPr="004A01CD">
          <w:rPr>
            <w:rStyle w:val="Hyperlink"/>
            <w:noProof/>
          </w:rPr>
          <w:t>Slide 2: Outline</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_Toc34146557 \h </w:instrText>
        </w:r>
        <w:r w:rsidR="000D5292" w:rsidRPr="004A01CD">
          <w:rPr>
            <w:noProof/>
            <w:webHidden/>
          </w:rPr>
        </w:r>
        <w:r w:rsidR="000D5292" w:rsidRPr="004A01CD">
          <w:rPr>
            <w:noProof/>
            <w:webHidden/>
          </w:rPr>
          <w:fldChar w:fldCharType="separate"/>
        </w:r>
        <w:r w:rsidR="000D5292" w:rsidRPr="004A01CD">
          <w:rPr>
            <w:noProof/>
            <w:webHidden/>
          </w:rPr>
          <w:t>5</w:t>
        </w:r>
        <w:r w:rsidR="000D5292" w:rsidRPr="004A01CD">
          <w:rPr>
            <w:noProof/>
            <w:webHidden/>
          </w:rPr>
          <w:fldChar w:fldCharType="end"/>
        </w:r>
      </w:hyperlink>
    </w:p>
    <w:p w14:paraId="5A205EDB" w14:textId="4874E3DB" w:rsidR="000D5292" w:rsidRPr="004A01CD" w:rsidRDefault="004A01CD">
      <w:pPr>
        <w:pStyle w:val="TOC2"/>
        <w:tabs>
          <w:tab w:val="right" w:leader="dot" w:pos="9016"/>
        </w:tabs>
        <w:rPr>
          <w:rFonts w:asciiTheme="minorHAnsi" w:eastAsiaTheme="minorEastAsia" w:hAnsiTheme="minorHAnsi"/>
          <w:noProof/>
          <w:lang w:eastAsia="en-AU"/>
        </w:rPr>
      </w:pPr>
      <w:hyperlink w:anchor="_Toc34146558" w:history="1">
        <w:r w:rsidR="000D5292" w:rsidRPr="004A01CD">
          <w:rPr>
            <w:rStyle w:val="Hyperlink"/>
            <w:noProof/>
          </w:rPr>
          <w:t>Slide 3: 01 Introduction</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_Toc34146558 \h </w:instrText>
        </w:r>
        <w:r w:rsidR="000D5292" w:rsidRPr="004A01CD">
          <w:rPr>
            <w:noProof/>
            <w:webHidden/>
          </w:rPr>
        </w:r>
        <w:r w:rsidR="000D5292" w:rsidRPr="004A01CD">
          <w:rPr>
            <w:noProof/>
            <w:webHidden/>
          </w:rPr>
          <w:fldChar w:fldCharType="separate"/>
        </w:r>
        <w:r w:rsidR="000D5292" w:rsidRPr="004A01CD">
          <w:rPr>
            <w:noProof/>
            <w:webHidden/>
          </w:rPr>
          <w:t>5</w:t>
        </w:r>
        <w:r w:rsidR="000D5292" w:rsidRPr="004A01CD">
          <w:rPr>
            <w:noProof/>
            <w:webHidden/>
          </w:rPr>
          <w:fldChar w:fldCharType="end"/>
        </w:r>
      </w:hyperlink>
    </w:p>
    <w:p w14:paraId="26E3CB41" w14:textId="3AF27632" w:rsidR="000D5292" w:rsidRPr="004A01CD" w:rsidRDefault="004A01CD">
      <w:pPr>
        <w:pStyle w:val="TOC2"/>
        <w:tabs>
          <w:tab w:val="right" w:leader="dot" w:pos="9016"/>
        </w:tabs>
        <w:rPr>
          <w:rFonts w:asciiTheme="minorHAnsi" w:eastAsiaTheme="minorEastAsia" w:hAnsiTheme="minorHAnsi"/>
          <w:noProof/>
          <w:lang w:eastAsia="en-AU"/>
        </w:rPr>
      </w:pPr>
      <w:hyperlink w:anchor="_Toc34146559" w:history="1">
        <w:r w:rsidR="000D5292" w:rsidRPr="004A01CD">
          <w:rPr>
            <w:rStyle w:val="Hyperlink"/>
            <w:noProof/>
          </w:rPr>
          <w:t>Slide 4: Background</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_Toc34146559 \h </w:instrText>
        </w:r>
        <w:r w:rsidR="000D5292" w:rsidRPr="004A01CD">
          <w:rPr>
            <w:noProof/>
            <w:webHidden/>
          </w:rPr>
        </w:r>
        <w:r w:rsidR="000D5292" w:rsidRPr="004A01CD">
          <w:rPr>
            <w:noProof/>
            <w:webHidden/>
          </w:rPr>
          <w:fldChar w:fldCharType="separate"/>
        </w:r>
        <w:r w:rsidR="000D5292" w:rsidRPr="004A01CD">
          <w:rPr>
            <w:noProof/>
            <w:webHidden/>
          </w:rPr>
          <w:t>5</w:t>
        </w:r>
        <w:r w:rsidR="000D5292" w:rsidRPr="004A01CD">
          <w:rPr>
            <w:noProof/>
            <w:webHidden/>
          </w:rPr>
          <w:fldChar w:fldCharType="end"/>
        </w:r>
      </w:hyperlink>
    </w:p>
    <w:p w14:paraId="0BF95256" w14:textId="286520AA" w:rsidR="000D5292" w:rsidRPr="004A01CD" w:rsidRDefault="004A01CD">
      <w:pPr>
        <w:pStyle w:val="TOC2"/>
        <w:tabs>
          <w:tab w:val="right" w:leader="dot" w:pos="9016"/>
        </w:tabs>
        <w:rPr>
          <w:rFonts w:asciiTheme="minorHAnsi" w:eastAsiaTheme="minorEastAsia" w:hAnsiTheme="minorHAnsi"/>
          <w:noProof/>
          <w:lang w:eastAsia="en-AU"/>
        </w:rPr>
      </w:pPr>
      <w:hyperlink w:anchor="_Toc34146560" w:history="1">
        <w:r w:rsidR="000D5292" w:rsidRPr="004A01CD">
          <w:rPr>
            <w:rStyle w:val="Hyperlink"/>
            <w:noProof/>
          </w:rPr>
          <w:t>Slide 5: Active participants, plan budgets and payments over time</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_Toc34146560 \h </w:instrText>
        </w:r>
        <w:r w:rsidR="000D5292" w:rsidRPr="004A01CD">
          <w:rPr>
            <w:noProof/>
            <w:webHidden/>
          </w:rPr>
        </w:r>
        <w:r w:rsidR="000D5292" w:rsidRPr="004A01CD">
          <w:rPr>
            <w:noProof/>
            <w:webHidden/>
          </w:rPr>
          <w:fldChar w:fldCharType="separate"/>
        </w:r>
        <w:r w:rsidR="000D5292" w:rsidRPr="004A01CD">
          <w:rPr>
            <w:noProof/>
            <w:webHidden/>
          </w:rPr>
          <w:t>6</w:t>
        </w:r>
        <w:r w:rsidR="000D5292" w:rsidRPr="004A01CD">
          <w:rPr>
            <w:noProof/>
            <w:webHidden/>
          </w:rPr>
          <w:fldChar w:fldCharType="end"/>
        </w:r>
      </w:hyperlink>
    </w:p>
    <w:p w14:paraId="76D858EC" w14:textId="1B29FDEE" w:rsidR="000D5292" w:rsidRPr="004A01CD" w:rsidRDefault="004A01CD">
      <w:pPr>
        <w:pStyle w:val="TOC2"/>
        <w:tabs>
          <w:tab w:val="right" w:leader="dot" w:pos="9016"/>
        </w:tabs>
        <w:rPr>
          <w:rFonts w:asciiTheme="minorHAnsi" w:eastAsiaTheme="minorEastAsia" w:hAnsiTheme="minorHAnsi"/>
          <w:noProof/>
          <w:lang w:eastAsia="en-AU"/>
        </w:rPr>
      </w:pPr>
      <w:hyperlink w:anchor="_Toc34146561" w:history="1">
        <w:r w:rsidR="000D5292" w:rsidRPr="004A01CD">
          <w:rPr>
            <w:rStyle w:val="Hyperlink"/>
            <w:noProof/>
          </w:rPr>
          <w:t>Slide 6:  Payments by support category</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_Toc34146561 \h </w:instrText>
        </w:r>
        <w:r w:rsidR="000D5292" w:rsidRPr="004A01CD">
          <w:rPr>
            <w:noProof/>
            <w:webHidden/>
          </w:rPr>
        </w:r>
        <w:r w:rsidR="000D5292" w:rsidRPr="004A01CD">
          <w:rPr>
            <w:noProof/>
            <w:webHidden/>
          </w:rPr>
          <w:fldChar w:fldCharType="separate"/>
        </w:r>
        <w:r w:rsidR="000D5292" w:rsidRPr="004A01CD">
          <w:rPr>
            <w:noProof/>
            <w:webHidden/>
          </w:rPr>
          <w:t>6</w:t>
        </w:r>
        <w:r w:rsidR="000D5292" w:rsidRPr="004A01CD">
          <w:rPr>
            <w:noProof/>
            <w:webHidden/>
          </w:rPr>
          <w:fldChar w:fldCharType="end"/>
        </w:r>
      </w:hyperlink>
    </w:p>
    <w:p w14:paraId="64D851F7" w14:textId="2CD0F1C3" w:rsidR="000D5292" w:rsidRPr="004A01CD" w:rsidRDefault="004A01CD">
      <w:pPr>
        <w:pStyle w:val="TOC2"/>
        <w:tabs>
          <w:tab w:val="right" w:leader="dot" w:pos="9016"/>
        </w:tabs>
        <w:rPr>
          <w:rFonts w:asciiTheme="minorHAnsi" w:eastAsiaTheme="minorEastAsia" w:hAnsiTheme="minorHAnsi"/>
          <w:noProof/>
          <w:lang w:eastAsia="en-AU"/>
        </w:rPr>
      </w:pPr>
      <w:hyperlink w:anchor="_Toc34146562" w:history="1">
        <w:r w:rsidR="000D5292" w:rsidRPr="004A01CD">
          <w:rPr>
            <w:rStyle w:val="Hyperlink"/>
            <w:noProof/>
          </w:rPr>
          <w:t>Slide 7: Key indicators for monitoring the NDIS market</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_Toc34146562 \h </w:instrText>
        </w:r>
        <w:r w:rsidR="000D5292" w:rsidRPr="004A01CD">
          <w:rPr>
            <w:noProof/>
            <w:webHidden/>
          </w:rPr>
        </w:r>
        <w:r w:rsidR="000D5292" w:rsidRPr="004A01CD">
          <w:rPr>
            <w:noProof/>
            <w:webHidden/>
          </w:rPr>
          <w:fldChar w:fldCharType="separate"/>
        </w:r>
        <w:r w:rsidR="000D5292" w:rsidRPr="004A01CD">
          <w:rPr>
            <w:noProof/>
            <w:webHidden/>
          </w:rPr>
          <w:t>6</w:t>
        </w:r>
        <w:r w:rsidR="000D5292" w:rsidRPr="004A01CD">
          <w:rPr>
            <w:noProof/>
            <w:webHidden/>
          </w:rPr>
          <w:fldChar w:fldCharType="end"/>
        </w:r>
      </w:hyperlink>
    </w:p>
    <w:p w14:paraId="59CD50DD" w14:textId="53882F29" w:rsidR="000D5292" w:rsidRPr="004A01CD" w:rsidRDefault="004A01CD">
      <w:pPr>
        <w:pStyle w:val="TOC2"/>
        <w:tabs>
          <w:tab w:val="right" w:leader="dot" w:pos="9016"/>
        </w:tabs>
        <w:rPr>
          <w:rFonts w:asciiTheme="minorHAnsi" w:eastAsiaTheme="minorEastAsia" w:hAnsiTheme="minorHAnsi"/>
          <w:noProof/>
          <w:lang w:eastAsia="en-AU"/>
        </w:rPr>
      </w:pPr>
      <w:hyperlink w:anchor="_Toc34146563" w:history="1">
        <w:r w:rsidR="000D5292" w:rsidRPr="004A01CD">
          <w:rPr>
            <w:rStyle w:val="Hyperlink"/>
            <w:noProof/>
          </w:rPr>
          <w:t>Slide 8: Key indicators for monitoring the NDIS market – plan utilisation</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_Toc34146563 \h </w:instrText>
        </w:r>
        <w:r w:rsidR="000D5292" w:rsidRPr="004A01CD">
          <w:rPr>
            <w:noProof/>
            <w:webHidden/>
          </w:rPr>
        </w:r>
        <w:r w:rsidR="000D5292" w:rsidRPr="004A01CD">
          <w:rPr>
            <w:noProof/>
            <w:webHidden/>
          </w:rPr>
          <w:fldChar w:fldCharType="separate"/>
        </w:r>
        <w:r w:rsidR="000D5292" w:rsidRPr="004A01CD">
          <w:rPr>
            <w:noProof/>
            <w:webHidden/>
          </w:rPr>
          <w:t>7</w:t>
        </w:r>
        <w:r w:rsidR="000D5292" w:rsidRPr="004A01CD">
          <w:rPr>
            <w:noProof/>
            <w:webHidden/>
          </w:rPr>
          <w:fldChar w:fldCharType="end"/>
        </w:r>
      </w:hyperlink>
    </w:p>
    <w:p w14:paraId="34A409D9" w14:textId="687BC308" w:rsidR="000D5292" w:rsidRPr="004A01CD" w:rsidRDefault="004A01CD">
      <w:pPr>
        <w:pStyle w:val="TOC2"/>
        <w:tabs>
          <w:tab w:val="right" w:leader="dot" w:pos="9016"/>
        </w:tabs>
        <w:rPr>
          <w:rFonts w:asciiTheme="minorHAnsi" w:eastAsiaTheme="minorEastAsia" w:hAnsiTheme="minorHAnsi"/>
          <w:noProof/>
          <w:lang w:eastAsia="en-AU"/>
        </w:rPr>
      </w:pPr>
      <w:hyperlink w:anchor="_Toc34146564" w:history="1">
        <w:r w:rsidR="000D5292" w:rsidRPr="004A01CD">
          <w:rPr>
            <w:rStyle w:val="Hyperlink"/>
            <w:noProof/>
          </w:rPr>
          <w:t>Slide 9: Key indicators for monitoring the NDIS market – market concentration</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_Toc34146564 \h </w:instrText>
        </w:r>
        <w:r w:rsidR="000D5292" w:rsidRPr="004A01CD">
          <w:rPr>
            <w:noProof/>
            <w:webHidden/>
          </w:rPr>
        </w:r>
        <w:r w:rsidR="000D5292" w:rsidRPr="004A01CD">
          <w:rPr>
            <w:noProof/>
            <w:webHidden/>
          </w:rPr>
          <w:fldChar w:fldCharType="separate"/>
        </w:r>
        <w:r w:rsidR="000D5292" w:rsidRPr="004A01CD">
          <w:rPr>
            <w:noProof/>
            <w:webHidden/>
          </w:rPr>
          <w:t>7</w:t>
        </w:r>
        <w:r w:rsidR="000D5292" w:rsidRPr="004A01CD">
          <w:rPr>
            <w:noProof/>
            <w:webHidden/>
          </w:rPr>
          <w:fldChar w:fldCharType="end"/>
        </w:r>
      </w:hyperlink>
    </w:p>
    <w:p w14:paraId="141AA253" w14:textId="67B1B1F9" w:rsidR="000D5292" w:rsidRPr="004A01CD" w:rsidRDefault="004A01CD">
      <w:pPr>
        <w:pStyle w:val="TOC2"/>
        <w:tabs>
          <w:tab w:val="right" w:leader="dot" w:pos="9016"/>
        </w:tabs>
        <w:rPr>
          <w:rFonts w:asciiTheme="minorHAnsi" w:eastAsiaTheme="minorEastAsia" w:hAnsiTheme="minorHAnsi"/>
          <w:noProof/>
          <w:lang w:eastAsia="en-AU"/>
        </w:rPr>
      </w:pPr>
      <w:hyperlink w:anchor="_Toc34146565" w:history="1">
        <w:r w:rsidR="000D5292" w:rsidRPr="004A01CD">
          <w:rPr>
            <w:rStyle w:val="Hyperlink"/>
            <w:noProof/>
          </w:rPr>
          <w:t>Slide 10: Key indicators for monitoring the NDIS market – choice and control</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_Toc34146565 \h </w:instrText>
        </w:r>
        <w:r w:rsidR="000D5292" w:rsidRPr="004A01CD">
          <w:rPr>
            <w:noProof/>
            <w:webHidden/>
          </w:rPr>
        </w:r>
        <w:r w:rsidR="000D5292" w:rsidRPr="004A01CD">
          <w:rPr>
            <w:noProof/>
            <w:webHidden/>
          </w:rPr>
          <w:fldChar w:fldCharType="separate"/>
        </w:r>
        <w:r w:rsidR="000D5292" w:rsidRPr="004A01CD">
          <w:rPr>
            <w:noProof/>
            <w:webHidden/>
          </w:rPr>
          <w:t>8</w:t>
        </w:r>
        <w:r w:rsidR="000D5292" w:rsidRPr="004A01CD">
          <w:rPr>
            <w:noProof/>
            <w:webHidden/>
          </w:rPr>
          <w:fldChar w:fldCharType="end"/>
        </w:r>
      </w:hyperlink>
    </w:p>
    <w:p w14:paraId="5CD2117C" w14:textId="14C759ED" w:rsidR="000D5292" w:rsidRPr="004A01CD" w:rsidRDefault="004A01CD">
      <w:pPr>
        <w:pStyle w:val="TOC2"/>
        <w:tabs>
          <w:tab w:val="right" w:leader="dot" w:pos="9016"/>
        </w:tabs>
        <w:rPr>
          <w:rFonts w:asciiTheme="minorHAnsi" w:eastAsiaTheme="minorEastAsia" w:hAnsiTheme="minorHAnsi"/>
          <w:noProof/>
          <w:lang w:eastAsia="en-AU"/>
        </w:rPr>
      </w:pPr>
      <w:hyperlink w:anchor="_Toc34146566" w:history="1">
        <w:r w:rsidR="000D5292" w:rsidRPr="004A01CD">
          <w:rPr>
            <w:rStyle w:val="Hyperlink"/>
            <w:noProof/>
          </w:rPr>
          <w:t>Slide 11: Summary of indicators across market segments</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_Toc34146566 \h </w:instrText>
        </w:r>
        <w:r w:rsidR="000D5292" w:rsidRPr="004A01CD">
          <w:rPr>
            <w:noProof/>
            <w:webHidden/>
          </w:rPr>
        </w:r>
        <w:r w:rsidR="000D5292" w:rsidRPr="004A01CD">
          <w:rPr>
            <w:noProof/>
            <w:webHidden/>
          </w:rPr>
          <w:fldChar w:fldCharType="separate"/>
        </w:r>
        <w:r w:rsidR="000D5292" w:rsidRPr="004A01CD">
          <w:rPr>
            <w:noProof/>
            <w:webHidden/>
          </w:rPr>
          <w:t>8</w:t>
        </w:r>
        <w:r w:rsidR="000D5292" w:rsidRPr="004A01CD">
          <w:rPr>
            <w:noProof/>
            <w:webHidden/>
          </w:rPr>
          <w:fldChar w:fldCharType="end"/>
        </w:r>
      </w:hyperlink>
    </w:p>
    <w:p w14:paraId="01F598E5" w14:textId="08C1D069" w:rsidR="000D5292" w:rsidRPr="004A01CD" w:rsidRDefault="004A01CD">
      <w:pPr>
        <w:pStyle w:val="TOC2"/>
        <w:tabs>
          <w:tab w:val="right" w:leader="dot" w:pos="9016"/>
        </w:tabs>
        <w:rPr>
          <w:rFonts w:asciiTheme="minorHAnsi" w:eastAsiaTheme="minorEastAsia" w:hAnsiTheme="minorHAnsi"/>
          <w:noProof/>
          <w:lang w:eastAsia="en-AU"/>
        </w:rPr>
      </w:pPr>
      <w:hyperlink w:anchor="_Toc34146567" w:history="1">
        <w:r w:rsidR="000D5292" w:rsidRPr="004A01CD">
          <w:rPr>
            <w:rStyle w:val="Hyperlink"/>
            <w:noProof/>
          </w:rPr>
          <w:t>Slide 12: Each of the bilateral regions has been allocated into one of three categories (based on size of total plan budgets) to allow for a fairer comparison of the indicators across regions</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_Toc34146567 \h </w:instrText>
        </w:r>
        <w:r w:rsidR="000D5292" w:rsidRPr="004A01CD">
          <w:rPr>
            <w:noProof/>
            <w:webHidden/>
          </w:rPr>
        </w:r>
        <w:r w:rsidR="000D5292" w:rsidRPr="004A01CD">
          <w:rPr>
            <w:noProof/>
            <w:webHidden/>
          </w:rPr>
          <w:fldChar w:fldCharType="separate"/>
        </w:r>
        <w:r w:rsidR="000D5292" w:rsidRPr="004A01CD">
          <w:rPr>
            <w:noProof/>
            <w:webHidden/>
          </w:rPr>
          <w:t>9</w:t>
        </w:r>
        <w:r w:rsidR="000D5292" w:rsidRPr="004A01CD">
          <w:rPr>
            <w:noProof/>
            <w:webHidden/>
          </w:rPr>
          <w:fldChar w:fldCharType="end"/>
        </w:r>
      </w:hyperlink>
    </w:p>
    <w:p w14:paraId="45F72A4F" w14:textId="722BF8FF" w:rsidR="000D5292" w:rsidRPr="004A01CD" w:rsidRDefault="004A01CD">
      <w:pPr>
        <w:pStyle w:val="TOC2"/>
        <w:tabs>
          <w:tab w:val="right" w:leader="dot" w:pos="9016"/>
        </w:tabs>
        <w:rPr>
          <w:rFonts w:asciiTheme="minorHAnsi" w:eastAsiaTheme="minorEastAsia" w:hAnsiTheme="minorHAnsi"/>
          <w:noProof/>
          <w:lang w:eastAsia="en-AU"/>
        </w:rPr>
      </w:pPr>
      <w:hyperlink w:anchor="_Toc34146568" w:history="1">
        <w:r w:rsidR="000D5292" w:rsidRPr="004A01CD">
          <w:rPr>
            <w:rStyle w:val="Hyperlink"/>
            <w:noProof/>
          </w:rPr>
          <w:t>Slide 13: 02 Key Insights covering the period from April 2019 to September 2019</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_Toc34146568 \h </w:instrText>
        </w:r>
        <w:r w:rsidR="000D5292" w:rsidRPr="004A01CD">
          <w:rPr>
            <w:noProof/>
            <w:webHidden/>
          </w:rPr>
        </w:r>
        <w:r w:rsidR="000D5292" w:rsidRPr="004A01CD">
          <w:rPr>
            <w:noProof/>
            <w:webHidden/>
          </w:rPr>
          <w:fldChar w:fldCharType="separate"/>
        </w:r>
        <w:r w:rsidR="000D5292" w:rsidRPr="004A01CD">
          <w:rPr>
            <w:noProof/>
            <w:webHidden/>
          </w:rPr>
          <w:t>9</w:t>
        </w:r>
        <w:r w:rsidR="000D5292" w:rsidRPr="004A01CD">
          <w:rPr>
            <w:noProof/>
            <w:webHidden/>
          </w:rPr>
          <w:fldChar w:fldCharType="end"/>
        </w:r>
      </w:hyperlink>
    </w:p>
    <w:p w14:paraId="361EFD7B" w14:textId="6D793149" w:rsidR="000D5292" w:rsidRPr="004A01CD" w:rsidRDefault="004A01CD">
      <w:pPr>
        <w:pStyle w:val="TOC2"/>
        <w:tabs>
          <w:tab w:val="right" w:leader="dot" w:pos="9016"/>
        </w:tabs>
        <w:rPr>
          <w:rFonts w:asciiTheme="minorHAnsi" w:eastAsiaTheme="minorEastAsia" w:hAnsiTheme="minorHAnsi"/>
          <w:noProof/>
          <w:lang w:eastAsia="en-AU"/>
        </w:rPr>
      </w:pPr>
      <w:hyperlink w:anchor="_Toc34146569" w:history="1">
        <w:r w:rsidR="000D5292" w:rsidRPr="004A01CD">
          <w:rPr>
            <w:rStyle w:val="Hyperlink"/>
            <w:noProof/>
          </w:rPr>
          <w:t>Slide 14: Analysis of utilisation against the regions ordered by budget size indicates some positive correlation</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_Toc34146569 \h </w:instrText>
        </w:r>
        <w:r w:rsidR="000D5292" w:rsidRPr="004A01CD">
          <w:rPr>
            <w:noProof/>
            <w:webHidden/>
          </w:rPr>
        </w:r>
        <w:r w:rsidR="000D5292" w:rsidRPr="004A01CD">
          <w:rPr>
            <w:noProof/>
            <w:webHidden/>
          </w:rPr>
          <w:fldChar w:fldCharType="separate"/>
        </w:r>
        <w:r w:rsidR="000D5292" w:rsidRPr="004A01CD">
          <w:rPr>
            <w:noProof/>
            <w:webHidden/>
          </w:rPr>
          <w:t>9</w:t>
        </w:r>
        <w:r w:rsidR="000D5292" w:rsidRPr="004A01CD">
          <w:rPr>
            <w:noProof/>
            <w:webHidden/>
          </w:rPr>
          <w:fldChar w:fldCharType="end"/>
        </w:r>
      </w:hyperlink>
    </w:p>
    <w:p w14:paraId="5DEF2DED" w14:textId="29B95146" w:rsidR="000D5292" w:rsidRPr="004A01CD" w:rsidRDefault="004A01CD">
      <w:pPr>
        <w:pStyle w:val="TOC2"/>
        <w:tabs>
          <w:tab w:val="right" w:leader="dot" w:pos="9016"/>
        </w:tabs>
        <w:rPr>
          <w:rFonts w:asciiTheme="minorHAnsi" w:eastAsiaTheme="minorEastAsia" w:hAnsiTheme="minorHAnsi"/>
          <w:noProof/>
          <w:lang w:eastAsia="en-AU"/>
        </w:rPr>
      </w:pPr>
      <w:hyperlink w:anchor="_Toc34146570" w:history="1">
        <w:r w:rsidR="000D5292" w:rsidRPr="004A01CD">
          <w:rPr>
            <w:rStyle w:val="Hyperlink"/>
            <w:noProof/>
          </w:rPr>
          <w:t>Slide 15: Plan utilisation was more than 10% below the benchmark for eight bilateral regions</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_Toc34146570 \h </w:instrText>
        </w:r>
        <w:r w:rsidR="000D5292" w:rsidRPr="004A01CD">
          <w:rPr>
            <w:noProof/>
            <w:webHidden/>
          </w:rPr>
        </w:r>
        <w:r w:rsidR="000D5292" w:rsidRPr="004A01CD">
          <w:rPr>
            <w:noProof/>
            <w:webHidden/>
          </w:rPr>
          <w:fldChar w:fldCharType="separate"/>
        </w:r>
        <w:r w:rsidR="000D5292" w:rsidRPr="004A01CD">
          <w:rPr>
            <w:noProof/>
            <w:webHidden/>
          </w:rPr>
          <w:t>10</w:t>
        </w:r>
        <w:r w:rsidR="000D5292" w:rsidRPr="004A01CD">
          <w:rPr>
            <w:noProof/>
            <w:webHidden/>
          </w:rPr>
          <w:fldChar w:fldCharType="end"/>
        </w:r>
      </w:hyperlink>
    </w:p>
    <w:p w14:paraId="3BC1B98F" w14:textId="03FAB2A7" w:rsidR="000D5292" w:rsidRPr="004A01CD" w:rsidRDefault="004A01CD">
      <w:pPr>
        <w:pStyle w:val="TOC2"/>
        <w:tabs>
          <w:tab w:val="right" w:leader="dot" w:pos="9016"/>
        </w:tabs>
        <w:rPr>
          <w:rFonts w:asciiTheme="minorHAnsi" w:eastAsiaTheme="minorEastAsia" w:hAnsiTheme="minorHAnsi"/>
          <w:noProof/>
          <w:lang w:eastAsia="en-AU"/>
        </w:rPr>
      </w:pPr>
      <w:hyperlink w:anchor="_Toc34146571" w:history="1">
        <w:r w:rsidR="000D5292" w:rsidRPr="004A01CD">
          <w:rPr>
            <w:rStyle w:val="Hyperlink"/>
            <w:noProof/>
          </w:rPr>
          <w:t>Slide 16: Of regions more than 5% below the national average benchmark, the majority were in NT and SA (1)</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_Toc34146571 \h </w:instrText>
        </w:r>
        <w:r w:rsidR="000D5292" w:rsidRPr="004A01CD">
          <w:rPr>
            <w:noProof/>
            <w:webHidden/>
          </w:rPr>
        </w:r>
        <w:r w:rsidR="000D5292" w:rsidRPr="004A01CD">
          <w:rPr>
            <w:noProof/>
            <w:webHidden/>
          </w:rPr>
          <w:fldChar w:fldCharType="separate"/>
        </w:r>
        <w:r w:rsidR="000D5292" w:rsidRPr="004A01CD">
          <w:rPr>
            <w:noProof/>
            <w:webHidden/>
          </w:rPr>
          <w:t>10</w:t>
        </w:r>
        <w:r w:rsidR="000D5292" w:rsidRPr="004A01CD">
          <w:rPr>
            <w:noProof/>
            <w:webHidden/>
          </w:rPr>
          <w:fldChar w:fldCharType="end"/>
        </w:r>
      </w:hyperlink>
    </w:p>
    <w:p w14:paraId="11F88256" w14:textId="732F3836" w:rsidR="000D5292" w:rsidRPr="004A01CD" w:rsidRDefault="004A01CD">
      <w:pPr>
        <w:pStyle w:val="TOC2"/>
        <w:tabs>
          <w:tab w:val="right" w:leader="dot" w:pos="9016"/>
        </w:tabs>
        <w:rPr>
          <w:rFonts w:asciiTheme="minorHAnsi" w:eastAsiaTheme="minorEastAsia" w:hAnsiTheme="minorHAnsi"/>
          <w:noProof/>
          <w:lang w:eastAsia="en-AU"/>
        </w:rPr>
      </w:pPr>
      <w:hyperlink w:anchor="_Toc34146572" w:history="1">
        <w:r w:rsidR="000D5292" w:rsidRPr="004A01CD">
          <w:rPr>
            <w:rStyle w:val="Hyperlink"/>
            <w:noProof/>
          </w:rPr>
          <w:t>Slide 17: Of regions more than 5% below the national average benchmark, the majority were in NT and SA (2)</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_Toc34146572 \h </w:instrText>
        </w:r>
        <w:r w:rsidR="000D5292" w:rsidRPr="004A01CD">
          <w:rPr>
            <w:noProof/>
            <w:webHidden/>
          </w:rPr>
        </w:r>
        <w:r w:rsidR="000D5292" w:rsidRPr="004A01CD">
          <w:rPr>
            <w:noProof/>
            <w:webHidden/>
          </w:rPr>
          <w:fldChar w:fldCharType="separate"/>
        </w:r>
        <w:r w:rsidR="000D5292" w:rsidRPr="004A01CD">
          <w:rPr>
            <w:noProof/>
            <w:webHidden/>
          </w:rPr>
          <w:t>11</w:t>
        </w:r>
        <w:r w:rsidR="000D5292" w:rsidRPr="004A01CD">
          <w:rPr>
            <w:noProof/>
            <w:webHidden/>
          </w:rPr>
          <w:fldChar w:fldCharType="end"/>
        </w:r>
      </w:hyperlink>
    </w:p>
    <w:p w14:paraId="05ACD97D" w14:textId="509E932E" w:rsidR="000D5292" w:rsidRPr="004A01CD" w:rsidRDefault="004A01CD">
      <w:pPr>
        <w:pStyle w:val="TOC2"/>
        <w:tabs>
          <w:tab w:val="right" w:leader="dot" w:pos="9016"/>
        </w:tabs>
        <w:rPr>
          <w:rFonts w:asciiTheme="minorHAnsi" w:eastAsiaTheme="minorEastAsia" w:hAnsiTheme="minorHAnsi"/>
          <w:noProof/>
          <w:lang w:eastAsia="en-AU"/>
        </w:rPr>
      </w:pPr>
      <w:hyperlink w:anchor="_Toc34146573" w:history="1">
        <w:r w:rsidR="000D5292" w:rsidRPr="004A01CD">
          <w:rPr>
            <w:rStyle w:val="Hyperlink"/>
            <w:noProof/>
          </w:rPr>
          <w:t>Slide 18: The number of regions with an overall utilisation rate more than 10% below national average has increased between June 2019 and December 2019 (from five to eight)</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_Toc34146573 \h </w:instrText>
        </w:r>
        <w:r w:rsidR="000D5292" w:rsidRPr="004A01CD">
          <w:rPr>
            <w:noProof/>
            <w:webHidden/>
          </w:rPr>
        </w:r>
        <w:r w:rsidR="000D5292" w:rsidRPr="004A01CD">
          <w:rPr>
            <w:noProof/>
            <w:webHidden/>
          </w:rPr>
          <w:fldChar w:fldCharType="separate"/>
        </w:r>
        <w:r w:rsidR="000D5292" w:rsidRPr="004A01CD">
          <w:rPr>
            <w:noProof/>
            <w:webHidden/>
          </w:rPr>
          <w:t>11</w:t>
        </w:r>
        <w:r w:rsidR="000D5292" w:rsidRPr="004A01CD">
          <w:rPr>
            <w:noProof/>
            <w:webHidden/>
          </w:rPr>
          <w:fldChar w:fldCharType="end"/>
        </w:r>
      </w:hyperlink>
    </w:p>
    <w:p w14:paraId="53204562" w14:textId="35323CB5" w:rsidR="000D5292" w:rsidRPr="004A01CD" w:rsidRDefault="004A01CD">
      <w:pPr>
        <w:pStyle w:val="TOC2"/>
        <w:tabs>
          <w:tab w:val="right" w:leader="dot" w:pos="9016"/>
        </w:tabs>
        <w:rPr>
          <w:rFonts w:asciiTheme="minorHAnsi" w:eastAsiaTheme="minorEastAsia" w:hAnsiTheme="minorHAnsi"/>
          <w:noProof/>
          <w:lang w:eastAsia="en-AU"/>
        </w:rPr>
      </w:pPr>
      <w:hyperlink w:anchor="_Toc34146574" w:history="1">
        <w:r w:rsidR="000D5292" w:rsidRPr="004A01CD">
          <w:rPr>
            <w:rStyle w:val="Hyperlink"/>
            <w:noProof/>
          </w:rPr>
          <w:t>Slide 19: Overall utilisation rates have risen across Australia</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_Toc34146574 \h </w:instrText>
        </w:r>
        <w:r w:rsidR="000D5292" w:rsidRPr="004A01CD">
          <w:rPr>
            <w:noProof/>
            <w:webHidden/>
          </w:rPr>
        </w:r>
        <w:r w:rsidR="000D5292" w:rsidRPr="004A01CD">
          <w:rPr>
            <w:noProof/>
            <w:webHidden/>
          </w:rPr>
          <w:fldChar w:fldCharType="separate"/>
        </w:r>
        <w:r w:rsidR="000D5292" w:rsidRPr="004A01CD">
          <w:rPr>
            <w:noProof/>
            <w:webHidden/>
          </w:rPr>
          <w:t>11</w:t>
        </w:r>
        <w:r w:rsidR="000D5292" w:rsidRPr="004A01CD">
          <w:rPr>
            <w:noProof/>
            <w:webHidden/>
          </w:rPr>
          <w:fldChar w:fldCharType="end"/>
        </w:r>
      </w:hyperlink>
    </w:p>
    <w:p w14:paraId="1812AA8E" w14:textId="1644DBBD" w:rsidR="000D5292" w:rsidRPr="004A01CD" w:rsidRDefault="004A01CD">
      <w:pPr>
        <w:pStyle w:val="TOC2"/>
        <w:tabs>
          <w:tab w:val="right" w:leader="dot" w:pos="9016"/>
        </w:tabs>
        <w:rPr>
          <w:rFonts w:asciiTheme="minorHAnsi" w:eastAsiaTheme="minorEastAsia" w:hAnsiTheme="minorHAnsi"/>
          <w:noProof/>
          <w:lang w:eastAsia="en-AU"/>
        </w:rPr>
      </w:pPr>
      <w:hyperlink w:anchor="_Toc34146575" w:history="1">
        <w:r w:rsidR="000D5292" w:rsidRPr="004A01CD">
          <w:rPr>
            <w:rStyle w:val="Hyperlink"/>
            <w:noProof/>
          </w:rPr>
          <w:t>Slide 20: 19 of 23 small regions were below the utilisation benchmark, the majority of which are in NT and SA</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_Toc34146575 \h </w:instrText>
        </w:r>
        <w:r w:rsidR="000D5292" w:rsidRPr="004A01CD">
          <w:rPr>
            <w:noProof/>
            <w:webHidden/>
          </w:rPr>
        </w:r>
        <w:r w:rsidR="000D5292" w:rsidRPr="004A01CD">
          <w:rPr>
            <w:noProof/>
            <w:webHidden/>
          </w:rPr>
          <w:fldChar w:fldCharType="separate"/>
        </w:r>
        <w:r w:rsidR="000D5292" w:rsidRPr="004A01CD">
          <w:rPr>
            <w:noProof/>
            <w:webHidden/>
          </w:rPr>
          <w:t>12</w:t>
        </w:r>
        <w:r w:rsidR="000D5292" w:rsidRPr="004A01CD">
          <w:rPr>
            <w:noProof/>
            <w:webHidden/>
          </w:rPr>
          <w:fldChar w:fldCharType="end"/>
        </w:r>
      </w:hyperlink>
    </w:p>
    <w:p w14:paraId="1F25B6EB" w14:textId="425B2EBB" w:rsidR="000D5292" w:rsidRPr="004A01CD" w:rsidRDefault="004A01CD">
      <w:pPr>
        <w:pStyle w:val="TOC2"/>
        <w:tabs>
          <w:tab w:val="right" w:leader="dot" w:pos="9016"/>
        </w:tabs>
        <w:rPr>
          <w:rFonts w:asciiTheme="minorHAnsi" w:eastAsiaTheme="minorEastAsia" w:hAnsiTheme="minorHAnsi"/>
          <w:noProof/>
          <w:lang w:eastAsia="en-AU"/>
        </w:rPr>
      </w:pPr>
      <w:hyperlink w:anchor="_Toc34146576" w:history="1">
        <w:r w:rsidR="000D5292" w:rsidRPr="004A01CD">
          <w:rPr>
            <w:rStyle w:val="Hyperlink"/>
            <w:noProof/>
          </w:rPr>
          <w:t>Slide 21: Plan utilisation for all regions with total plan budgets greater than $50m were within ten percentage points of the benchmark</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_Toc34146576 \h </w:instrText>
        </w:r>
        <w:r w:rsidR="000D5292" w:rsidRPr="004A01CD">
          <w:rPr>
            <w:noProof/>
            <w:webHidden/>
          </w:rPr>
        </w:r>
        <w:r w:rsidR="000D5292" w:rsidRPr="004A01CD">
          <w:rPr>
            <w:noProof/>
            <w:webHidden/>
          </w:rPr>
          <w:fldChar w:fldCharType="separate"/>
        </w:r>
        <w:r w:rsidR="000D5292" w:rsidRPr="004A01CD">
          <w:rPr>
            <w:noProof/>
            <w:webHidden/>
          </w:rPr>
          <w:t>12</w:t>
        </w:r>
        <w:r w:rsidR="000D5292" w:rsidRPr="004A01CD">
          <w:rPr>
            <w:noProof/>
            <w:webHidden/>
          </w:rPr>
          <w:fldChar w:fldCharType="end"/>
        </w:r>
      </w:hyperlink>
    </w:p>
    <w:p w14:paraId="04E72B18" w14:textId="1B968068" w:rsidR="000D5292" w:rsidRPr="004A01CD" w:rsidRDefault="004A01CD">
      <w:pPr>
        <w:pStyle w:val="TOC2"/>
        <w:tabs>
          <w:tab w:val="right" w:leader="dot" w:pos="9016"/>
        </w:tabs>
        <w:rPr>
          <w:rFonts w:asciiTheme="minorHAnsi" w:eastAsiaTheme="minorEastAsia" w:hAnsiTheme="minorHAnsi"/>
          <w:noProof/>
          <w:lang w:eastAsia="en-AU"/>
        </w:rPr>
      </w:pPr>
      <w:hyperlink w:anchor="_Toc34146577" w:history="1">
        <w:r w:rsidR="000D5292" w:rsidRPr="004A01CD">
          <w:rPr>
            <w:rStyle w:val="Hyperlink"/>
            <w:noProof/>
          </w:rPr>
          <w:t>Slide 22: Provider concentration tends to fall as total budget increases</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_Toc34146577 \h </w:instrText>
        </w:r>
        <w:r w:rsidR="000D5292" w:rsidRPr="004A01CD">
          <w:rPr>
            <w:noProof/>
            <w:webHidden/>
          </w:rPr>
        </w:r>
        <w:r w:rsidR="000D5292" w:rsidRPr="004A01CD">
          <w:rPr>
            <w:noProof/>
            <w:webHidden/>
          </w:rPr>
          <w:fldChar w:fldCharType="separate"/>
        </w:r>
        <w:r w:rsidR="000D5292" w:rsidRPr="004A01CD">
          <w:rPr>
            <w:noProof/>
            <w:webHidden/>
          </w:rPr>
          <w:t>12</w:t>
        </w:r>
        <w:r w:rsidR="000D5292" w:rsidRPr="004A01CD">
          <w:rPr>
            <w:noProof/>
            <w:webHidden/>
          </w:rPr>
          <w:fldChar w:fldCharType="end"/>
        </w:r>
      </w:hyperlink>
    </w:p>
    <w:p w14:paraId="336CE367" w14:textId="5C77AF74" w:rsidR="000D5292" w:rsidRPr="004A01CD" w:rsidRDefault="004A01CD">
      <w:pPr>
        <w:pStyle w:val="TOC2"/>
        <w:tabs>
          <w:tab w:val="right" w:leader="dot" w:pos="9016"/>
        </w:tabs>
        <w:rPr>
          <w:rFonts w:asciiTheme="minorHAnsi" w:eastAsiaTheme="minorEastAsia" w:hAnsiTheme="minorHAnsi"/>
          <w:noProof/>
          <w:lang w:eastAsia="en-AU"/>
        </w:rPr>
      </w:pPr>
      <w:hyperlink w:anchor="_Toc34146578" w:history="1">
        <w:r w:rsidR="000D5292" w:rsidRPr="004A01CD">
          <w:rPr>
            <w:rStyle w:val="Hyperlink"/>
            <w:noProof/>
          </w:rPr>
          <w:t>Slide 23: Provider concentration was above the benchmark of 85% for nine bilateral regions, all with total plan budgets below $50m</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_Toc34146578 \h </w:instrText>
        </w:r>
        <w:r w:rsidR="000D5292" w:rsidRPr="004A01CD">
          <w:rPr>
            <w:noProof/>
            <w:webHidden/>
          </w:rPr>
        </w:r>
        <w:r w:rsidR="000D5292" w:rsidRPr="004A01CD">
          <w:rPr>
            <w:noProof/>
            <w:webHidden/>
          </w:rPr>
          <w:fldChar w:fldCharType="separate"/>
        </w:r>
        <w:r w:rsidR="000D5292" w:rsidRPr="004A01CD">
          <w:rPr>
            <w:noProof/>
            <w:webHidden/>
          </w:rPr>
          <w:t>13</w:t>
        </w:r>
        <w:r w:rsidR="000D5292" w:rsidRPr="004A01CD">
          <w:rPr>
            <w:noProof/>
            <w:webHidden/>
          </w:rPr>
          <w:fldChar w:fldCharType="end"/>
        </w:r>
      </w:hyperlink>
    </w:p>
    <w:p w14:paraId="735CBC48" w14:textId="0A3223BC" w:rsidR="000D5292" w:rsidRPr="004A01CD" w:rsidRDefault="004A01CD">
      <w:pPr>
        <w:pStyle w:val="TOC2"/>
        <w:tabs>
          <w:tab w:val="right" w:leader="dot" w:pos="9016"/>
        </w:tabs>
        <w:rPr>
          <w:rFonts w:asciiTheme="minorHAnsi" w:eastAsiaTheme="minorEastAsia" w:hAnsiTheme="minorHAnsi"/>
          <w:noProof/>
          <w:lang w:eastAsia="en-AU"/>
        </w:rPr>
      </w:pPr>
      <w:hyperlink w:anchor="_Toc34146579" w:history="1">
        <w:r w:rsidR="000D5292" w:rsidRPr="004A01CD">
          <w:rPr>
            <w:rStyle w:val="Hyperlink"/>
            <w:noProof/>
          </w:rPr>
          <w:t>Slide 24: The majority of regions above the provider concentration benchmark were in NT and WA.</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_Toc34146579 \h </w:instrText>
        </w:r>
        <w:r w:rsidR="000D5292" w:rsidRPr="004A01CD">
          <w:rPr>
            <w:noProof/>
            <w:webHidden/>
          </w:rPr>
        </w:r>
        <w:r w:rsidR="000D5292" w:rsidRPr="004A01CD">
          <w:rPr>
            <w:noProof/>
            <w:webHidden/>
          </w:rPr>
          <w:fldChar w:fldCharType="separate"/>
        </w:r>
        <w:r w:rsidR="000D5292" w:rsidRPr="004A01CD">
          <w:rPr>
            <w:noProof/>
            <w:webHidden/>
          </w:rPr>
          <w:t>13</w:t>
        </w:r>
        <w:r w:rsidR="000D5292" w:rsidRPr="004A01CD">
          <w:rPr>
            <w:noProof/>
            <w:webHidden/>
          </w:rPr>
          <w:fldChar w:fldCharType="end"/>
        </w:r>
      </w:hyperlink>
    </w:p>
    <w:p w14:paraId="47B01C81" w14:textId="015530B2" w:rsidR="000D5292" w:rsidRPr="004A01CD" w:rsidRDefault="004A01CD">
      <w:pPr>
        <w:pStyle w:val="TOC2"/>
        <w:tabs>
          <w:tab w:val="right" w:leader="dot" w:pos="9016"/>
        </w:tabs>
        <w:rPr>
          <w:rFonts w:asciiTheme="minorHAnsi" w:eastAsiaTheme="minorEastAsia" w:hAnsiTheme="minorHAnsi"/>
          <w:noProof/>
          <w:lang w:eastAsia="en-AU"/>
        </w:rPr>
      </w:pPr>
      <w:hyperlink w:anchor="_Toc34146580" w:history="1">
        <w:r w:rsidR="000D5292" w:rsidRPr="004A01CD">
          <w:rPr>
            <w:rStyle w:val="Hyperlink"/>
            <w:noProof/>
          </w:rPr>
          <w:t>Slide 25: The number of regions that are 5% to 10% higher than the benchmark has risen from one to six between the end of June 2019 and the end of December 2019</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_Toc34146580 \h </w:instrText>
        </w:r>
        <w:r w:rsidR="000D5292" w:rsidRPr="004A01CD">
          <w:rPr>
            <w:noProof/>
            <w:webHidden/>
          </w:rPr>
        </w:r>
        <w:r w:rsidR="000D5292" w:rsidRPr="004A01CD">
          <w:rPr>
            <w:noProof/>
            <w:webHidden/>
          </w:rPr>
          <w:fldChar w:fldCharType="separate"/>
        </w:r>
        <w:r w:rsidR="000D5292" w:rsidRPr="004A01CD">
          <w:rPr>
            <w:noProof/>
            <w:webHidden/>
          </w:rPr>
          <w:t>14</w:t>
        </w:r>
        <w:r w:rsidR="000D5292" w:rsidRPr="004A01CD">
          <w:rPr>
            <w:noProof/>
            <w:webHidden/>
          </w:rPr>
          <w:fldChar w:fldCharType="end"/>
        </w:r>
      </w:hyperlink>
    </w:p>
    <w:p w14:paraId="4A424E90" w14:textId="2A21CC46" w:rsidR="000D5292" w:rsidRPr="004A01CD" w:rsidRDefault="004A01CD">
      <w:pPr>
        <w:pStyle w:val="TOC2"/>
        <w:tabs>
          <w:tab w:val="right" w:leader="dot" w:pos="9016"/>
        </w:tabs>
        <w:rPr>
          <w:rFonts w:asciiTheme="minorHAnsi" w:eastAsiaTheme="minorEastAsia" w:hAnsiTheme="minorHAnsi"/>
          <w:noProof/>
          <w:lang w:eastAsia="en-AU"/>
        </w:rPr>
      </w:pPr>
      <w:hyperlink w:anchor="_Toc34146581" w:history="1">
        <w:r w:rsidR="000D5292" w:rsidRPr="004A01CD">
          <w:rPr>
            <w:rStyle w:val="Hyperlink"/>
            <w:noProof/>
          </w:rPr>
          <w:t>Slide 26: Provider concentration has moved little since June 2019</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_Toc34146581 \h </w:instrText>
        </w:r>
        <w:r w:rsidR="000D5292" w:rsidRPr="004A01CD">
          <w:rPr>
            <w:noProof/>
            <w:webHidden/>
          </w:rPr>
        </w:r>
        <w:r w:rsidR="000D5292" w:rsidRPr="004A01CD">
          <w:rPr>
            <w:noProof/>
            <w:webHidden/>
          </w:rPr>
          <w:fldChar w:fldCharType="separate"/>
        </w:r>
        <w:r w:rsidR="000D5292" w:rsidRPr="004A01CD">
          <w:rPr>
            <w:noProof/>
            <w:webHidden/>
          </w:rPr>
          <w:t>14</w:t>
        </w:r>
        <w:r w:rsidR="000D5292" w:rsidRPr="004A01CD">
          <w:rPr>
            <w:noProof/>
            <w:webHidden/>
          </w:rPr>
          <w:fldChar w:fldCharType="end"/>
        </w:r>
      </w:hyperlink>
    </w:p>
    <w:p w14:paraId="6CCCD203" w14:textId="6A1149A4" w:rsidR="000D5292" w:rsidRPr="004A01CD" w:rsidRDefault="004A01CD">
      <w:pPr>
        <w:pStyle w:val="TOC2"/>
        <w:tabs>
          <w:tab w:val="right" w:leader="dot" w:pos="9016"/>
        </w:tabs>
        <w:rPr>
          <w:rFonts w:asciiTheme="minorHAnsi" w:eastAsiaTheme="minorEastAsia" w:hAnsiTheme="minorHAnsi"/>
          <w:noProof/>
          <w:lang w:eastAsia="en-AU"/>
        </w:rPr>
      </w:pPr>
      <w:hyperlink w:anchor="_Toc34146582" w:history="1">
        <w:r w:rsidR="000D5292" w:rsidRPr="004A01CD">
          <w:rPr>
            <w:rStyle w:val="Hyperlink"/>
            <w:noProof/>
          </w:rPr>
          <w:t>Slide 27: All the regions above the provider concentration benchmark had less than $50m in total plan budgets</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_Toc34146582 \h </w:instrText>
        </w:r>
        <w:r w:rsidR="000D5292" w:rsidRPr="004A01CD">
          <w:rPr>
            <w:noProof/>
            <w:webHidden/>
          </w:rPr>
        </w:r>
        <w:r w:rsidR="000D5292" w:rsidRPr="004A01CD">
          <w:rPr>
            <w:noProof/>
            <w:webHidden/>
          </w:rPr>
          <w:fldChar w:fldCharType="separate"/>
        </w:r>
        <w:r w:rsidR="000D5292" w:rsidRPr="004A01CD">
          <w:rPr>
            <w:noProof/>
            <w:webHidden/>
          </w:rPr>
          <w:t>14</w:t>
        </w:r>
        <w:r w:rsidR="000D5292" w:rsidRPr="004A01CD">
          <w:rPr>
            <w:noProof/>
            <w:webHidden/>
          </w:rPr>
          <w:fldChar w:fldCharType="end"/>
        </w:r>
      </w:hyperlink>
    </w:p>
    <w:p w14:paraId="08A1A5EB" w14:textId="1851C3AE" w:rsidR="000D5292" w:rsidRPr="004A01CD" w:rsidRDefault="004A01CD">
      <w:pPr>
        <w:pStyle w:val="TOC2"/>
        <w:tabs>
          <w:tab w:val="right" w:leader="dot" w:pos="9016"/>
        </w:tabs>
        <w:rPr>
          <w:rFonts w:asciiTheme="minorHAnsi" w:eastAsiaTheme="minorEastAsia" w:hAnsiTheme="minorHAnsi"/>
          <w:noProof/>
          <w:lang w:eastAsia="en-AU"/>
        </w:rPr>
      </w:pPr>
      <w:hyperlink w:anchor="_Toc34146583" w:history="1">
        <w:r w:rsidR="000D5292" w:rsidRPr="004A01CD">
          <w:rPr>
            <w:rStyle w:val="Hyperlink"/>
            <w:noProof/>
          </w:rPr>
          <w:t>Slide 28: All regions with more than $50m in total plan budgets had provider concentration below the benchmark</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_Toc34146583 \h </w:instrText>
        </w:r>
        <w:r w:rsidR="000D5292" w:rsidRPr="004A01CD">
          <w:rPr>
            <w:noProof/>
            <w:webHidden/>
          </w:rPr>
        </w:r>
        <w:r w:rsidR="000D5292" w:rsidRPr="004A01CD">
          <w:rPr>
            <w:noProof/>
            <w:webHidden/>
          </w:rPr>
          <w:fldChar w:fldCharType="separate"/>
        </w:r>
        <w:r w:rsidR="000D5292" w:rsidRPr="004A01CD">
          <w:rPr>
            <w:noProof/>
            <w:webHidden/>
          </w:rPr>
          <w:t>15</w:t>
        </w:r>
        <w:r w:rsidR="000D5292" w:rsidRPr="004A01CD">
          <w:rPr>
            <w:noProof/>
            <w:webHidden/>
          </w:rPr>
          <w:fldChar w:fldCharType="end"/>
        </w:r>
      </w:hyperlink>
    </w:p>
    <w:p w14:paraId="3C66E058" w14:textId="64F99E50" w:rsidR="000D5292" w:rsidRPr="004A01CD" w:rsidRDefault="004A01CD">
      <w:pPr>
        <w:pStyle w:val="TOC2"/>
        <w:tabs>
          <w:tab w:val="right" w:leader="dot" w:pos="9016"/>
        </w:tabs>
        <w:rPr>
          <w:rFonts w:asciiTheme="minorHAnsi" w:eastAsiaTheme="minorEastAsia" w:hAnsiTheme="minorHAnsi"/>
          <w:noProof/>
          <w:lang w:eastAsia="en-AU"/>
        </w:rPr>
      </w:pPr>
      <w:hyperlink w:anchor="_Toc34146584" w:history="1">
        <w:r w:rsidR="000D5292" w:rsidRPr="004A01CD">
          <w:rPr>
            <w:rStyle w:val="Hyperlink"/>
            <w:noProof/>
          </w:rPr>
          <w:t>Slide 29: The outcomes indicator on choice and control for two regions was more than 10% below the benchmark</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_Toc34146584 \h </w:instrText>
        </w:r>
        <w:r w:rsidR="000D5292" w:rsidRPr="004A01CD">
          <w:rPr>
            <w:noProof/>
            <w:webHidden/>
          </w:rPr>
        </w:r>
        <w:r w:rsidR="000D5292" w:rsidRPr="004A01CD">
          <w:rPr>
            <w:noProof/>
            <w:webHidden/>
          </w:rPr>
          <w:fldChar w:fldCharType="separate"/>
        </w:r>
        <w:r w:rsidR="000D5292" w:rsidRPr="004A01CD">
          <w:rPr>
            <w:noProof/>
            <w:webHidden/>
          </w:rPr>
          <w:t>15</w:t>
        </w:r>
        <w:r w:rsidR="000D5292" w:rsidRPr="004A01CD">
          <w:rPr>
            <w:noProof/>
            <w:webHidden/>
          </w:rPr>
          <w:fldChar w:fldCharType="end"/>
        </w:r>
      </w:hyperlink>
    </w:p>
    <w:p w14:paraId="51B95DBE" w14:textId="5D75DD59" w:rsidR="000D5292" w:rsidRPr="004A01CD" w:rsidRDefault="004A01CD">
      <w:pPr>
        <w:pStyle w:val="TOC2"/>
        <w:tabs>
          <w:tab w:val="right" w:leader="dot" w:pos="9016"/>
        </w:tabs>
        <w:rPr>
          <w:rFonts w:asciiTheme="minorHAnsi" w:eastAsiaTheme="minorEastAsia" w:hAnsiTheme="minorHAnsi"/>
          <w:noProof/>
          <w:lang w:eastAsia="en-AU"/>
        </w:rPr>
      </w:pPr>
      <w:hyperlink w:anchor="_Toc34146585" w:history="1">
        <w:r w:rsidR="000D5292" w:rsidRPr="004A01CD">
          <w:rPr>
            <w:rStyle w:val="Hyperlink"/>
            <w:noProof/>
          </w:rPr>
          <w:t>Slide 30: The majority of regions above the outcomes indicator benchmark were in NT and Sydney</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_Toc34146585 \h </w:instrText>
        </w:r>
        <w:r w:rsidR="000D5292" w:rsidRPr="004A01CD">
          <w:rPr>
            <w:noProof/>
            <w:webHidden/>
          </w:rPr>
        </w:r>
        <w:r w:rsidR="000D5292" w:rsidRPr="004A01CD">
          <w:rPr>
            <w:noProof/>
            <w:webHidden/>
          </w:rPr>
          <w:fldChar w:fldCharType="separate"/>
        </w:r>
        <w:r w:rsidR="000D5292" w:rsidRPr="004A01CD">
          <w:rPr>
            <w:noProof/>
            <w:webHidden/>
          </w:rPr>
          <w:t>15</w:t>
        </w:r>
        <w:r w:rsidR="000D5292" w:rsidRPr="004A01CD">
          <w:rPr>
            <w:noProof/>
            <w:webHidden/>
          </w:rPr>
          <w:fldChar w:fldCharType="end"/>
        </w:r>
      </w:hyperlink>
    </w:p>
    <w:p w14:paraId="4F4E30B1" w14:textId="19EFBC81" w:rsidR="000D5292" w:rsidRPr="004A01CD" w:rsidRDefault="004A01CD">
      <w:pPr>
        <w:pStyle w:val="TOC2"/>
        <w:tabs>
          <w:tab w:val="right" w:leader="dot" w:pos="9016"/>
        </w:tabs>
        <w:rPr>
          <w:rFonts w:asciiTheme="minorHAnsi" w:eastAsiaTheme="minorEastAsia" w:hAnsiTheme="minorHAnsi"/>
          <w:noProof/>
          <w:lang w:eastAsia="en-AU"/>
        </w:rPr>
      </w:pPr>
      <w:hyperlink w:anchor="_Toc34146586" w:history="1">
        <w:r w:rsidR="000D5292" w:rsidRPr="004A01CD">
          <w:rPr>
            <w:rStyle w:val="Hyperlink"/>
            <w:noProof/>
          </w:rPr>
          <w:t>Slide 31: The number of regions that are below the benchmark has risen from 26 to 33 between June 2019 and December 2019</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_Toc34146586 \h </w:instrText>
        </w:r>
        <w:r w:rsidR="000D5292" w:rsidRPr="004A01CD">
          <w:rPr>
            <w:noProof/>
            <w:webHidden/>
          </w:rPr>
        </w:r>
        <w:r w:rsidR="000D5292" w:rsidRPr="004A01CD">
          <w:rPr>
            <w:noProof/>
            <w:webHidden/>
          </w:rPr>
          <w:fldChar w:fldCharType="separate"/>
        </w:r>
        <w:r w:rsidR="000D5292" w:rsidRPr="004A01CD">
          <w:rPr>
            <w:noProof/>
            <w:webHidden/>
          </w:rPr>
          <w:t>16</w:t>
        </w:r>
        <w:r w:rsidR="000D5292" w:rsidRPr="004A01CD">
          <w:rPr>
            <w:noProof/>
            <w:webHidden/>
          </w:rPr>
          <w:fldChar w:fldCharType="end"/>
        </w:r>
      </w:hyperlink>
    </w:p>
    <w:p w14:paraId="05AEDB02" w14:textId="75DCDE70" w:rsidR="000D5292" w:rsidRPr="004A01CD" w:rsidRDefault="004A01CD">
      <w:pPr>
        <w:pStyle w:val="TOC2"/>
        <w:tabs>
          <w:tab w:val="right" w:leader="dot" w:pos="9016"/>
        </w:tabs>
        <w:rPr>
          <w:rFonts w:asciiTheme="minorHAnsi" w:eastAsiaTheme="minorEastAsia" w:hAnsiTheme="minorHAnsi"/>
          <w:noProof/>
          <w:lang w:eastAsia="en-AU"/>
        </w:rPr>
      </w:pPr>
      <w:hyperlink w:anchor="_Toc34146587" w:history="1">
        <w:r w:rsidR="000D5292" w:rsidRPr="004A01CD">
          <w:rPr>
            <w:rStyle w:val="Hyperlink"/>
            <w:noProof/>
          </w:rPr>
          <w:t>Slide 32: The outcomes indicator on choice and control has increased slightly since June 2019</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_Toc34146587 \h </w:instrText>
        </w:r>
        <w:r w:rsidR="000D5292" w:rsidRPr="004A01CD">
          <w:rPr>
            <w:noProof/>
            <w:webHidden/>
          </w:rPr>
        </w:r>
        <w:r w:rsidR="000D5292" w:rsidRPr="004A01CD">
          <w:rPr>
            <w:noProof/>
            <w:webHidden/>
          </w:rPr>
          <w:fldChar w:fldCharType="separate"/>
        </w:r>
        <w:r w:rsidR="000D5292" w:rsidRPr="004A01CD">
          <w:rPr>
            <w:noProof/>
            <w:webHidden/>
          </w:rPr>
          <w:t>17</w:t>
        </w:r>
        <w:r w:rsidR="000D5292" w:rsidRPr="004A01CD">
          <w:rPr>
            <w:noProof/>
            <w:webHidden/>
          </w:rPr>
          <w:fldChar w:fldCharType="end"/>
        </w:r>
      </w:hyperlink>
    </w:p>
    <w:p w14:paraId="20149400" w14:textId="2A746E62" w:rsidR="000D5292" w:rsidRPr="004A01CD" w:rsidRDefault="004A01CD">
      <w:pPr>
        <w:pStyle w:val="TOC2"/>
        <w:tabs>
          <w:tab w:val="right" w:leader="dot" w:pos="9016"/>
        </w:tabs>
        <w:rPr>
          <w:rFonts w:asciiTheme="minorHAnsi" w:eastAsiaTheme="minorEastAsia" w:hAnsiTheme="minorHAnsi"/>
          <w:noProof/>
          <w:lang w:eastAsia="en-AU"/>
        </w:rPr>
      </w:pPr>
      <w:hyperlink w:anchor="_Toc34146588" w:history="1">
        <w:r w:rsidR="000D5292" w:rsidRPr="004A01CD">
          <w:rPr>
            <w:rStyle w:val="Hyperlink"/>
            <w:noProof/>
          </w:rPr>
          <w:t>Slide 33: The regions more than 10% below the benchmark had less than $50 in total plan budgets</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_Toc34146588 \h </w:instrText>
        </w:r>
        <w:r w:rsidR="000D5292" w:rsidRPr="004A01CD">
          <w:rPr>
            <w:noProof/>
            <w:webHidden/>
          </w:rPr>
        </w:r>
        <w:r w:rsidR="000D5292" w:rsidRPr="004A01CD">
          <w:rPr>
            <w:noProof/>
            <w:webHidden/>
          </w:rPr>
          <w:fldChar w:fldCharType="separate"/>
        </w:r>
        <w:r w:rsidR="000D5292" w:rsidRPr="004A01CD">
          <w:rPr>
            <w:noProof/>
            <w:webHidden/>
          </w:rPr>
          <w:t>17</w:t>
        </w:r>
        <w:r w:rsidR="000D5292" w:rsidRPr="004A01CD">
          <w:rPr>
            <w:noProof/>
            <w:webHidden/>
          </w:rPr>
          <w:fldChar w:fldCharType="end"/>
        </w:r>
      </w:hyperlink>
    </w:p>
    <w:p w14:paraId="507E8749" w14:textId="44D739E7" w:rsidR="000D5292" w:rsidRPr="004A01CD" w:rsidRDefault="004A01CD">
      <w:pPr>
        <w:pStyle w:val="TOC2"/>
        <w:tabs>
          <w:tab w:val="right" w:leader="dot" w:pos="9016"/>
        </w:tabs>
        <w:rPr>
          <w:rFonts w:asciiTheme="minorHAnsi" w:eastAsiaTheme="minorEastAsia" w:hAnsiTheme="minorHAnsi"/>
          <w:noProof/>
          <w:lang w:eastAsia="en-AU"/>
        </w:rPr>
      </w:pPr>
      <w:hyperlink w:anchor="_Toc34146589" w:history="1">
        <w:r w:rsidR="000D5292" w:rsidRPr="004A01CD">
          <w:rPr>
            <w:rStyle w:val="Hyperlink"/>
            <w:noProof/>
          </w:rPr>
          <w:t>Slide 34: The outcomes indicator on choice and control was more than 10% above the benchmark for the TAS South West (TAS) and ACT (ACT) regions</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_Toc34146589 \h </w:instrText>
        </w:r>
        <w:r w:rsidR="000D5292" w:rsidRPr="004A01CD">
          <w:rPr>
            <w:noProof/>
            <w:webHidden/>
          </w:rPr>
        </w:r>
        <w:r w:rsidR="000D5292" w:rsidRPr="004A01CD">
          <w:rPr>
            <w:noProof/>
            <w:webHidden/>
          </w:rPr>
          <w:fldChar w:fldCharType="separate"/>
        </w:r>
        <w:r w:rsidR="000D5292" w:rsidRPr="004A01CD">
          <w:rPr>
            <w:noProof/>
            <w:webHidden/>
          </w:rPr>
          <w:t>18</w:t>
        </w:r>
        <w:r w:rsidR="000D5292" w:rsidRPr="004A01CD">
          <w:rPr>
            <w:noProof/>
            <w:webHidden/>
          </w:rPr>
          <w:fldChar w:fldCharType="end"/>
        </w:r>
      </w:hyperlink>
    </w:p>
    <w:p w14:paraId="2118D9B5" w14:textId="15448DA0" w:rsidR="000D5292" w:rsidRPr="004A01CD" w:rsidRDefault="004A01CD">
      <w:pPr>
        <w:pStyle w:val="TOC2"/>
        <w:tabs>
          <w:tab w:val="right" w:leader="dot" w:pos="9016"/>
        </w:tabs>
        <w:rPr>
          <w:rFonts w:asciiTheme="minorHAnsi" w:eastAsiaTheme="minorEastAsia" w:hAnsiTheme="minorHAnsi"/>
          <w:noProof/>
          <w:lang w:eastAsia="en-AU"/>
        </w:rPr>
      </w:pPr>
      <w:hyperlink w:anchor="_Toc34146590" w:history="1">
        <w:r w:rsidR="000D5292" w:rsidRPr="004A01CD">
          <w:rPr>
            <w:rStyle w:val="Hyperlink"/>
            <w:noProof/>
          </w:rPr>
          <w:t>Slide 35: 03 Regional hotspots</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_Toc34146590 \h </w:instrText>
        </w:r>
        <w:r w:rsidR="000D5292" w:rsidRPr="004A01CD">
          <w:rPr>
            <w:noProof/>
            <w:webHidden/>
          </w:rPr>
        </w:r>
        <w:r w:rsidR="000D5292" w:rsidRPr="004A01CD">
          <w:rPr>
            <w:noProof/>
            <w:webHidden/>
          </w:rPr>
          <w:fldChar w:fldCharType="separate"/>
        </w:r>
        <w:r w:rsidR="000D5292" w:rsidRPr="004A01CD">
          <w:rPr>
            <w:noProof/>
            <w:webHidden/>
          </w:rPr>
          <w:t>18</w:t>
        </w:r>
        <w:r w:rsidR="000D5292" w:rsidRPr="004A01CD">
          <w:rPr>
            <w:noProof/>
            <w:webHidden/>
          </w:rPr>
          <w:fldChar w:fldCharType="end"/>
        </w:r>
      </w:hyperlink>
    </w:p>
    <w:p w14:paraId="5164B498" w14:textId="79FC229B" w:rsidR="000D5292" w:rsidRPr="004A01CD" w:rsidRDefault="004A01CD">
      <w:pPr>
        <w:pStyle w:val="TOC2"/>
        <w:tabs>
          <w:tab w:val="right" w:leader="dot" w:pos="9016"/>
        </w:tabs>
        <w:rPr>
          <w:rFonts w:asciiTheme="minorHAnsi" w:eastAsiaTheme="minorEastAsia" w:hAnsiTheme="minorHAnsi"/>
          <w:noProof/>
          <w:lang w:eastAsia="en-AU"/>
        </w:rPr>
      </w:pPr>
      <w:hyperlink w:anchor="_Toc34146591" w:history="1">
        <w:r w:rsidR="000D5292" w:rsidRPr="004A01CD">
          <w:rPr>
            <w:rStyle w:val="Hyperlink"/>
            <w:noProof/>
          </w:rPr>
          <w:t>Slide 36: Hotspots are regions that score relatively worse against one or many corporate target metric benchmarks compared with other regions</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_Toc34146591 \h </w:instrText>
        </w:r>
        <w:r w:rsidR="000D5292" w:rsidRPr="004A01CD">
          <w:rPr>
            <w:noProof/>
            <w:webHidden/>
          </w:rPr>
        </w:r>
        <w:r w:rsidR="000D5292" w:rsidRPr="004A01CD">
          <w:rPr>
            <w:noProof/>
            <w:webHidden/>
          </w:rPr>
          <w:fldChar w:fldCharType="separate"/>
        </w:r>
        <w:r w:rsidR="000D5292" w:rsidRPr="004A01CD">
          <w:rPr>
            <w:noProof/>
            <w:webHidden/>
          </w:rPr>
          <w:t>18</w:t>
        </w:r>
        <w:r w:rsidR="000D5292" w:rsidRPr="004A01CD">
          <w:rPr>
            <w:noProof/>
            <w:webHidden/>
          </w:rPr>
          <w:fldChar w:fldCharType="end"/>
        </w:r>
      </w:hyperlink>
    </w:p>
    <w:p w14:paraId="1F70FBC5" w14:textId="24D6F394" w:rsidR="000D5292" w:rsidRPr="004A01CD" w:rsidRDefault="004A01CD">
      <w:pPr>
        <w:pStyle w:val="TOC2"/>
        <w:tabs>
          <w:tab w:val="right" w:leader="dot" w:pos="9016"/>
        </w:tabs>
        <w:rPr>
          <w:rFonts w:asciiTheme="minorHAnsi" w:eastAsiaTheme="minorEastAsia" w:hAnsiTheme="minorHAnsi"/>
          <w:noProof/>
          <w:lang w:eastAsia="en-AU"/>
        </w:rPr>
      </w:pPr>
      <w:hyperlink w:anchor="_Toc34146592" w:history="1">
        <w:r w:rsidR="000D5292" w:rsidRPr="004A01CD">
          <w:rPr>
            <w:rStyle w:val="Hyperlink"/>
            <w:noProof/>
          </w:rPr>
          <w:t>Slide 37: Hotspots identified in the June 2019 NDIS Market report have changed</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_Toc34146592 \h </w:instrText>
        </w:r>
        <w:r w:rsidR="000D5292" w:rsidRPr="004A01CD">
          <w:rPr>
            <w:noProof/>
            <w:webHidden/>
          </w:rPr>
        </w:r>
        <w:r w:rsidR="000D5292" w:rsidRPr="004A01CD">
          <w:rPr>
            <w:noProof/>
            <w:webHidden/>
          </w:rPr>
          <w:fldChar w:fldCharType="separate"/>
        </w:r>
        <w:r w:rsidR="000D5292" w:rsidRPr="004A01CD">
          <w:rPr>
            <w:noProof/>
            <w:webHidden/>
          </w:rPr>
          <w:t>18</w:t>
        </w:r>
        <w:r w:rsidR="000D5292" w:rsidRPr="004A01CD">
          <w:rPr>
            <w:noProof/>
            <w:webHidden/>
          </w:rPr>
          <w:fldChar w:fldCharType="end"/>
        </w:r>
      </w:hyperlink>
    </w:p>
    <w:p w14:paraId="4C777228" w14:textId="14539575" w:rsidR="000D5292" w:rsidRPr="004A01CD" w:rsidRDefault="004A01CD">
      <w:pPr>
        <w:pStyle w:val="TOC2"/>
        <w:tabs>
          <w:tab w:val="right" w:leader="dot" w:pos="9016"/>
        </w:tabs>
        <w:rPr>
          <w:rFonts w:asciiTheme="minorHAnsi" w:eastAsiaTheme="minorEastAsia" w:hAnsiTheme="minorHAnsi"/>
          <w:noProof/>
          <w:lang w:eastAsia="en-AU"/>
        </w:rPr>
      </w:pPr>
      <w:hyperlink w:anchor="_Toc34146593" w:history="1">
        <w:r w:rsidR="000D5292" w:rsidRPr="004A01CD">
          <w:rPr>
            <w:rStyle w:val="Hyperlink"/>
            <w:noProof/>
          </w:rPr>
          <w:t>Slide 38: Outer Gippsland (VIC)</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_Toc34146593 \h </w:instrText>
        </w:r>
        <w:r w:rsidR="000D5292" w:rsidRPr="004A01CD">
          <w:rPr>
            <w:noProof/>
            <w:webHidden/>
          </w:rPr>
        </w:r>
        <w:r w:rsidR="000D5292" w:rsidRPr="004A01CD">
          <w:rPr>
            <w:noProof/>
            <w:webHidden/>
          </w:rPr>
          <w:fldChar w:fldCharType="separate"/>
        </w:r>
        <w:r w:rsidR="000D5292" w:rsidRPr="004A01CD">
          <w:rPr>
            <w:noProof/>
            <w:webHidden/>
          </w:rPr>
          <w:t>19</w:t>
        </w:r>
        <w:r w:rsidR="000D5292" w:rsidRPr="004A01CD">
          <w:rPr>
            <w:noProof/>
            <w:webHidden/>
          </w:rPr>
          <w:fldChar w:fldCharType="end"/>
        </w:r>
      </w:hyperlink>
    </w:p>
    <w:p w14:paraId="1D634E36" w14:textId="6263B78C" w:rsidR="000D5292" w:rsidRPr="004A01CD" w:rsidRDefault="004A01CD">
      <w:pPr>
        <w:pStyle w:val="TOC2"/>
        <w:tabs>
          <w:tab w:val="right" w:leader="dot" w:pos="9016"/>
        </w:tabs>
        <w:rPr>
          <w:rFonts w:asciiTheme="minorHAnsi" w:eastAsiaTheme="minorEastAsia" w:hAnsiTheme="minorHAnsi"/>
          <w:noProof/>
          <w:lang w:eastAsia="en-AU"/>
        </w:rPr>
      </w:pPr>
      <w:hyperlink w:anchor="_Toc34146594" w:history="1">
        <w:r w:rsidR="000D5292" w:rsidRPr="004A01CD">
          <w:rPr>
            <w:rStyle w:val="Hyperlink"/>
            <w:noProof/>
          </w:rPr>
          <w:t>Slide 39: Lower utilisation for Outer Gippsland (VIC) region was driven by the Core – Community, Capacity Building – Daily Activities and  Capacity Building – Support Coordination support categories</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_Toc34146594 \h </w:instrText>
        </w:r>
        <w:r w:rsidR="000D5292" w:rsidRPr="004A01CD">
          <w:rPr>
            <w:noProof/>
            <w:webHidden/>
          </w:rPr>
        </w:r>
        <w:r w:rsidR="000D5292" w:rsidRPr="004A01CD">
          <w:rPr>
            <w:noProof/>
            <w:webHidden/>
          </w:rPr>
          <w:fldChar w:fldCharType="separate"/>
        </w:r>
        <w:r w:rsidR="000D5292" w:rsidRPr="004A01CD">
          <w:rPr>
            <w:noProof/>
            <w:webHidden/>
          </w:rPr>
          <w:t>19</w:t>
        </w:r>
        <w:r w:rsidR="000D5292" w:rsidRPr="004A01CD">
          <w:rPr>
            <w:noProof/>
            <w:webHidden/>
          </w:rPr>
          <w:fldChar w:fldCharType="end"/>
        </w:r>
      </w:hyperlink>
    </w:p>
    <w:p w14:paraId="05BC33C1" w14:textId="4DCE8E74" w:rsidR="000D5292" w:rsidRPr="004A01CD" w:rsidRDefault="004A01CD">
      <w:pPr>
        <w:pStyle w:val="TOC2"/>
        <w:tabs>
          <w:tab w:val="right" w:leader="dot" w:pos="9016"/>
        </w:tabs>
        <w:rPr>
          <w:rFonts w:asciiTheme="minorHAnsi" w:eastAsiaTheme="minorEastAsia" w:hAnsiTheme="minorHAnsi"/>
          <w:noProof/>
          <w:lang w:eastAsia="en-AU"/>
        </w:rPr>
      </w:pPr>
      <w:hyperlink w:anchor="_Toc34146595" w:history="1">
        <w:r w:rsidR="000D5292" w:rsidRPr="004A01CD">
          <w:rPr>
            <w:rStyle w:val="Hyperlink"/>
            <w:noProof/>
          </w:rPr>
          <w:t>Slide 40: Utilisation for participants in the Outer Gippsland (VIC) region was particularly low for older participants aged 45+</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_Toc34146595 \h </w:instrText>
        </w:r>
        <w:r w:rsidR="000D5292" w:rsidRPr="004A01CD">
          <w:rPr>
            <w:noProof/>
            <w:webHidden/>
          </w:rPr>
        </w:r>
        <w:r w:rsidR="000D5292" w:rsidRPr="004A01CD">
          <w:rPr>
            <w:noProof/>
            <w:webHidden/>
          </w:rPr>
          <w:fldChar w:fldCharType="separate"/>
        </w:r>
        <w:r w:rsidR="000D5292" w:rsidRPr="004A01CD">
          <w:rPr>
            <w:noProof/>
            <w:webHidden/>
          </w:rPr>
          <w:t>19</w:t>
        </w:r>
        <w:r w:rsidR="000D5292" w:rsidRPr="004A01CD">
          <w:rPr>
            <w:noProof/>
            <w:webHidden/>
          </w:rPr>
          <w:fldChar w:fldCharType="end"/>
        </w:r>
      </w:hyperlink>
    </w:p>
    <w:p w14:paraId="201A2731" w14:textId="5AFDE247" w:rsidR="000D5292" w:rsidRPr="004A01CD" w:rsidRDefault="004A01CD">
      <w:pPr>
        <w:pStyle w:val="TOC2"/>
        <w:tabs>
          <w:tab w:val="right" w:leader="dot" w:pos="9016"/>
        </w:tabs>
        <w:rPr>
          <w:rFonts w:asciiTheme="minorHAnsi" w:eastAsiaTheme="minorEastAsia" w:hAnsiTheme="minorHAnsi"/>
          <w:noProof/>
          <w:lang w:eastAsia="en-AU"/>
        </w:rPr>
      </w:pPr>
      <w:hyperlink w:anchor="_Toc34146596" w:history="1">
        <w:r w:rsidR="000D5292" w:rsidRPr="004A01CD">
          <w:rPr>
            <w:rStyle w:val="Hyperlink"/>
            <w:noProof/>
          </w:rPr>
          <w:t>Slide 41: Participants with psychosocial disability or other neurological were key contributors to lower utilisation for the Outer Gippsland (VIC) region</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_Toc34146596 \h </w:instrText>
        </w:r>
        <w:r w:rsidR="000D5292" w:rsidRPr="004A01CD">
          <w:rPr>
            <w:noProof/>
            <w:webHidden/>
          </w:rPr>
        </w:r>
        <w:r w:rsidR="000D5292" w:rsidRPr="004A01CD">
          <w:rPr>
            <w:noProof/>
            <w:webHidden/>
          </w:rPr>
          <w:fldChar w:fldCharType="separate"/>
        </w:r>
        <w:r w:rsidR="000D5292" w:rsidRPr="004A01CD">
          <w:rPr>
            <w:noProof/>
            <w:webHidden/>
          </w:rPr>
          <w:t>20</w:t>
        </w:r>
        <w:r w:rsidR="000D5292" w:rsidRPr="004A01CD">
          <w:rPr>
            <w:noProof/>
            <w:webHidden/>
          </w:rPr>
          <w:fldChar w:fldCharType="end"/>
        </w:r>
      </w:hyperlink>
    </w:p>
    <w:p w14:paraId="265E3F7F" w14:textId="7CDBA178" w:rsidR="000D5292" w:rsidRPr="004A01CD" w:rsidRDefault="004A01CD">
      <w:pPr>
        <w:pStyle w:val="TOC2"/>
        <w:tabs>
          <w:tab w:val="right" w:leader="dot" w:pos="9016"/>
        </w:tabs>
        <w:rPr>
          <w:rFonts w:asciiTheme="minorHAnsi" w:eastAsiaTheme="minorEastAsia" w:hAnsiTheme="minorHAnsi"/>
          <w:noProof/>
          <w:lang w:eastAsia="en-AU"/>
        </w:rPr>
      </w:pPr>
      <w:hyperlink w:anchor="_Toc34146597" w:history="1">
        <w:r w:rsidR="000D5292" w:rsidRPr="004A01CD">
          <w:rPr>
            <w:rStyle w:val="Hyperlink"/>
            <w:noProof/>
          </w:rPr>
          <w:t>Slide 42: Eyre and Western (SA)</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_Toc34146597 \h </w:instrText>
        </w:r>
        <w:r w:rsidR="000D5292" w:rsidRPr="004A01CD">
          <w:rPr>
            <w:noProof/>
            <w:webHidden/>
          </w:rPr>
        </w:r>
        <w:r w:rsidR="000D5292" w:rsidRPr="004A01CD">
          <w:rPr>
            <w:noProof/>
            <w:webHidden/>
          </w:rPr>
          <w:fldChar w:fldCharType="separate"/>
        </w:r>
        <w:r w:rsidR="000D5292" w:rsidRPr="004A01CD">
          <w:rPr>
            <w:noProof/>
            <w:webHidden/>
          </w:rPr>
          <w:t>20</w:t>
        </w:r>
        <w:r w:rsidR="000D5292" w:rsidRPr="004A01CD">
          <w:rPr>
            <w:noProof/>
            <w:webHidden/>
          </w:rPr>
          <w:fldChar w:fldCharType="end"/>
        </w:r>
      </w:hyperlink>
    </w:p>
    <w:p w14:paraId="08B6A390" w14:textId="4C02E7C2" w:rsidR="000D5292" w:rsidRPr="004A01CD" w:rsidRDefault="004A01CD">
      <w:pPr>
        <w:pStyle w:val="TOC2"/>
        <w:tabs>
          <w:tab w:val="right" w:leader="dot" w:pos="9016"/>
        </w:tabs>
        <w:rPr>
          <w:rFonts w:asciiTheme="minorHAnsi" w:eastAsiaTheme="minorEastAsia" w:hAnsiTheme="minorHAnsi"/>
          <w:noProof/>
          <w:lang w:eastAsia="en-AU"/>
        </w:rPr>
      </w:pPr>
      <w:hyperlink w:anchor="_Toc34146598" w:history="1">
        <w:r w:rsidR="000D5292" w:rsidRPr="004A01CD">
          <w:rPr>
            <w:rStyle w:val="Hyperlink"/>
            <w:noProof/>
          </w:rPr>
          <w:t>Slide 43: Compared to the benchmark, lower utilisation in Eyre and Western (SA) was driven by Core – Daily Activities and Capacity Building – Daily Activities</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_Toc34146598 \h </w:instrText>
        </w:r>
        <w:r w:rsidR="000D5292" w:rsidRPr="004A01CD">
          <w:rPr>
            <w:noProof/>
            <w:webHidden/>
          </w:rPr>
        </w:r>
        <w:r w:rsidR="000D5292" w:rsidRPr="004A01CD">
          <w:rPr>
            <w:noProof/>
            <w:webHidden/>
          </w:rPr>
          <w:fldChar w:fldCharType="separate"/>
        </w:r>
        <w:r w:rsidR="000D5292" w:rsidRPr="004A01CD">
          <w:rPr>
            <w:noProof/>
            <w:webHidden/>
          </w:rPr>
          <w:t>20</w:t>
        </w:r>
        <w:r w:rsidR="000D5292" w:rsidRPr="004A01CD">
          <w:rPr>
            <w:noProof/>
            <w:webHidden/>
          </w:rPr>
          <w:fldChar w:fldCharType="end"/>
        </w:r>
      </w:hyperlink>
    </w:p>
    <w:p w14:paraId="61AD762B" w14:textId="62335954" w:rsidR="000D5292" w:rsidRPr="004A01CD" w:rsidRDefault="004A01CD">
      <w:pPr>
        <w:pStyle w:val="TOC2"/>
        <w:tabs>
          <w:tab w:val="right" w:leader="dot" w:pos="9016"/>
        </w:tabs>
        <w:rPr>
          <w:rFonts w:asciiTheme="minorHAnsi" w:eastAsiaTheme="minorEastAsia" w:hAnsiTheme="minorHAnsi"/>
          <w:noProof/>
          <w:lang w:eastAsia="en-AU"/>
        </w:rPr>
      </w:pPr>
      <w:hyperlink w:anchor="_Toc34146599" w:history="1">
        <w:r w:rsidR="000D5292" w:rsidRPr="004A01CD">
          <w:rPr>
            <w:rStyle w:val="Hyperlink"/>
            <w:noProof/>
          </w:rPr>
          <w:t>Slide 44: Participants aged seven to 18 and 65+ had lower utilisation in Eyre and Western (SA) compared to other aged groups</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_Toc34146599 \h </w:instrText>
        </w:r>
        <w:r w:rsidR="000D5292" w:rsidRPr="004A01CD">
          <w:rPr>
            <w:noProof/>
            <w:webHidden/>
          </w:rPr>
        </w:r>
        <w:r w:rsidR="000D5292" w:rsidRPr="004A01CD">
          <w:rPr>
            <w:noProof/>
            <w:webHidden/>
          </w:rPr>
          <w:fldChar w:fldCharType="separate"/>
        </w:r>
        <w:r w:rsidR="000D5292" w:rsidRPr="004A01CD">
          <w:rPr>
            <w:noProof/>
            <w:webHidden/>
          </w:rPr>
          <w:t>20</w:t>
        </w:r>
        <w:r w:rsidR="000D5292" w:rsidRPr="004A01CD">
          <w:rPr>
            <w:noProof/>
            <w:webHidden/>
          </w:rPr>
          <w:fldChar w:fldCharType="end"/>
        </w:r>
      </w:hyperlink>
    </w:p>
    <w:p w14:paraId="569B4BED" w14:textId="77880342" w:rsidR="000D5292" w:rsidRPr="004A01CD" w:rsidRDefault="004A01CD">
      <w:pPr>
        <w:pStyle w:val="TOC2"/>
        <w:tabs>
          <w:tab w:val="right" w:leader="dot" w:pos="9016"/>
        </w:tabs>
        <w:rPr>
          <w:rFonts w:asciiTheme="minorHAnsi" w:eastAsiaTheme="minorEastAsia" w:hAnsiTheme="minorHAnsi"/>
          <w:noProof/>
          <w:lang w:eastAsia="en-AU"/>
        </w:rPr>
      </w:pPr>
      <w:hyperlink w:anchor="_Toc34146600" w:history="1">
        <w:r w:rsidR="000D5292" w:rsidRPr="004A01CD">
          <w:rPr>
            <w:rStyle w:val="Hyperlink"/>
            <w:noProof/>
          </w:rPr>
          <w:t>Slide 45: Participants with intellectual disability had low utilisation rates (compared to benchmark) for the Eyre and Western (SA) region</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_Toc34146600 \h </w:instrText>
        </w:r>
        <w:r w:rsidR="000D5292" w:rsidRPr="004A01CD">
          <w:rPr>
            <w:noProof/>
            <w:webHidden/>
          </w:rPr>
        </w:r>
        <w:r w:rsidR="000D5292" w:rsidRPr="004A01CD">
          <w:rPr>
            <w:noProof/>
            <w:webHidden/>
          </w:rPr>
          <w:fldChar w:fldCharType="separate"/>
        </w:r>
        <w:r w:rsidR="000D5292" w:rsidRPr="004A01CD">
          <w:rPr>
            <w:noProof/>
            <w:webHidden/>
          </w:rPr>
          <w:t>20</w:t>
        </w:r>
        <w:r w:rsidR="000D5292" w:rsidRPr="004A01CD">
          <w:rPr>
            <w:noProof/>
            <w:webHidden/>
          </w:rPr>
          <w:fldChar w:fldCharType="end"/>
        </w:r>
      </w:hyperlink>
    </w:p>
    <w:p w14:paraId="1EBCAA0D" w14:textId="64F7B654" w:rsidR="000D5292" w:rsidRPr="004A01CD" w:rsidRDefault="004A01CD">
      <w:pPr>
        <w:pStyle w:val="TOC2"/>
        <w:tabs>
          <w:tab w:val="right" w:leader="dot" w:pos="9016"/>
        </w:tabs>
        <w:rPr>
          <w:rFonts w:asciiTheme="minorHAnsi" w:eastAsiaTheme="minorEastAsia" w:hAnsiTheme="minorHAnsi"/>
          <w:noProof/>
          <w:lang w:eastAsia="en-AU"/>
        </w:rPr>
      </w:pPr>
      <w:hyperlink w:anchor="_Toc34146601" w:history="1">
        <w:r w:rsidR="000D5292" w:rsidRPr="004A01CD">
          <w:rPr>
            <w:rStyle w:val="Hyperlink"/>
            <w:noProof/>
          </w:rPr>
          <w:t>Slide 46: Darwin Remote (NT)</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_Toc34146601 \h </w:instrText>
        </w:r>
        <w:r w:rsidR="000D5292" w:rsidRPr="004A01CD">
          <w:rPr>
            <w:noProof/>
            <w:webHidden/>
          </w:rPr>
        </w:r>
        <w:r w:rsidR="000D5292" w:rsidRPr="004A01CD">
          <w:rPr>
            <w:noProof/>
            <w:webHidden/>
          </w:rPr>
          <w:fldChar w:fldCharType="separate"/>
        </w:r>
        <w:r w:rsidR="000D5292" w:rsidRPr="004A01CD">
          <w:rPr>
            <w:noProof/>
            <w:webHidden/>
          </w:rPr>
          <w:t>21</w:t>
        </w:r>
        <w:r w:rsidR="000D5292" w:rsidRPr="004A01CD">
          <w:rPr>
            <w:noProof/>
            <w:webHidden/>
          </w:rPr>
          <w:fldChar w:fldCharType="end"/>
        </w:r>
      </w:hyperlink>
    </w:p>
    <w:p w14:paraId="46D47E3A" w14:textId="7C5EFB9A" w:rsidR="000D5292" w:rsidRPr="004A01CD" w:rsidRDefault="004A01CD">
      <w:pPr>
        <w:pStyle w:val="TOC2"/>
        <w:tabs>
          <w:tab w:val="right" w:leader="dot" w:pos="9016"/>
        </w:tabs>
        <w:rPr>
          <w:rFonts w:asciiTheme="minorHAnsi" w:eastAsiaTheme="minorEastAsia" w:hAnsiTheme="minorHAnsi"/>
          <w:noProof/>
          <w:lang w:eastAsia="en-AU"/>
        </w:rPr>
      </w:pPr>
      <w:hyperlink w:anchor="_Toc34146602" w:history="1">
        <w:r w:rsidR="000D5292" w:rsidRPr="004A01CD">
          <w:rPr>
            <w:rStyle w:val="Hyperlink"/>
            <w:noProof/>
          </w:rPr>
          <w:t>Slide 47: The gap between utilisation and benchmark for the Darwin Remote (NT) region was driven by the Core – Community and Capacity Building – Daily Activity support categories</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_Toc34146602 \h </w:instrText>
        </w:r>
        <w:r w:rsidR="000D5292" w:rsidRPr="004A01CD">
          <w:rPr>
            <w:noProof/>
            <w:webHidden/>
          </w:rPr>
        </w:r>
        <w:r w:rsidR="000D5292" w:rsidRPr="004A01CD">
          <w:rPr>
            <w:noProof/>
            <w:webHidden/>
          </w:rPr>
          <w:fldChar w:fldCharType="separate"/>
        </w:r>
        <w:r w:rsidR="000D5292" w:rsidRPr="004A01CD">
          <w:rPr>
            <w:noProof/>
            <w:webHidden/>
          </w:rPr>
          <w:t>21</w:t>
        </w:r>
        <w:r w:rsidR="000D5292" w:rsidRPr="004A01CD">
          <w:rPr>
            <w:noProof/>
            <w:webHidden/>
          </w:rPr>
          <w:fldChar w:fldCharType="end"/>
        </w:r>
      </w:hyperlink>
    </w:p>
    <w:p w14:paraId="60FB582D" w14:textId="78509DF0" w:rsidR="000D5292" w:rsidRPr="004A01CD" w:rsidRDefault="004A01CD">
      <w:pPr>
        <w:pStyle w:val="TOC2"/>
        <w:tabs>
          <w:tab w:val="right" w:leader="dot" w:pos="9016"/>
        </w:tabs>
        <w:rPr>
          <w:rFonts w:asciiTheme="minorHAnsi" w:eastAsiaTheme="minorEastAsia" w:hAnsiTheme="minorHAnsi"/>
          <w:noProof/>
          <w:lang w:eastAsia="en-AU"/>
        </w:rPr>
      </w:pPr>
      <w:hyperlink w:anchor="_Toc34146603" w:history="1">
        <w:r w:rsidR="000D5292" w:rsidRPr="004A01CD">
          <w:rPr>
            <w:rStyle w:val="Hyperlink"/>
            <w:noProof/>
          </w:rPr>
          <w:t>Slide 48: Utilisation for participants in the Darwin Remote (NT) region was below benchmark across all age bands</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_Toc34146603 \h </w:instrText>
        </w:r>
        <w:r w:rsidR="000D5292" w:rsidRPr="004A01CD">
          <w:rPr>
            <w:noProof/>
            <w:webHidden/>
          </w:rPr>
        </w:r>
        <w:r w:rsidR="000D5292" w:rsidRPr="004A01CD">
          <w:rPr>
            <w:noProof/>
            <w:webHidden/>
          </w:rPr>
          <w:fldChar w:fldCharType="separate"/>
        </w:r>
        <w:r w:rsidR="000D5292" w:rsidRPr="004A01CD">
          <w:rPr>
            <w:noProof/>
            <w:webHidden/>
          </w:rPr>
          <w:t>21</w:t>
        </w:r>
        <w:r w:rsidR="000D5292" w:rsidRPr="004A01CD">
          <w:rPr>
            <w:noProof/>
            <w:webHidden/>
          </w:rPr>
          <w:fldChar w:fldCharType="end"/>
        </w:r>
      </w:hyperlink>
    </w:p>
    <w:p w14:paraId="25729FC6" w14:textId="1AF99E36" w:rsidR="000D5292" w:rsidRPr="004A01CD" w:rsidRDefault="004A01CD">
      <w:pPr>
        <w:pStyle w:val="TOC2"/>
        <w:tabs>
          <w:tab w:val="right" w:leader="dot" w:pos="9016"/>
        </w:tabs>
        <w:rPr>
          <w:rFonts w:asciiTheme="minorHAnsi" w:eastAsiaTheme="minorEastAsia" w:hAnsiTheme="minorHAnsi"/>
          <w:noProof/>
          <w:lang w:eastAsia="en-AU"/>
        </w:rPr>
      </w:pPr>
      <w:hyperlink w:anchor="_Toc34146604" w:history="1">
        <w:r w:rsidR="000D5292" w:rsidRPr="004A01CD">
          <w:rPr>
            <w:rStyle w:val="Hyperlink"/>
            <w:noProof/>
          </w:rPr>
          <w:t>Slide 49: Utilisation for participants with developmental delay or intellectual disability were key contributors to the utilisation result for the Darwin Remote (NT) region</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_Toc34146604 \h </w:instrText>
        </w:r>
        <w:r w:rsidR="000D5292" w:rsidRPr="004A01CD">
          <w:rPr>
            <w:noProof/>
            <w:webHidden/>
          </w:rPr>
        </w:r>
        <w:r w:rsidR="000D5292" w:rsidRPr="004A01CD">
          <w:rPr>
            <w:noProof/>
            <w:webHidden/>
          </w:rPr>
          <w:fldChar w:fldCharType="separate"/>
        </w:r>
        <w:r w:rsidR="000D5292" w:rsidRPr="004A01CD">
          <w:rPr>
            <w:noProof/>
            <w:webHidden/>
          </w:rPr>
          <w:t>21</w:t>
        </w:r>
        <w:r w:rsidR="000D5292" w:rsidRPr="004A01CD">
          <w:rPr>
            <w:noProof/>
            <w:webHidden/>
          </w:rPr>
          <w:fldChar w:fldCharType="end"/>
        </w:r>
      </w:hyperlink>
    </w:p>
    <w:p w14:paraId="39683836" w14:textId="172D41ED" w:rsidR="000D5292" w:rsidRPr="004A01CD" w:rsidRDefault="004A01CD">
      <w:pPr>
        <w:pStyle w:val="TOC2"/>
        <w:tabs>
          <w:tab w:val="right" w:leader="dot" w:pos="9016"/>
        </w:tabs>
        <w:rPr>
          <w:rFonts w:asciiTheme="minorHAnsi" w:eastAsiaTheme="minorEastAsia" w:hAnsiTheme="minorHAnsi"/>
          <w:noProof/>
          <w:lang w:eastAsia="en-AU"/>
        </w:rPr>
      </w:pPr>
      <w:hyperlink w:anchor="_Toc34146605" w:history="1">
        <w:r w:rsidR="000D5292" w:rsidRPr="004A01CD">
          <w:rPr>
            <w:rStyle w:val="Hyperlink"/>
            <w:noProof/>
          </w:rPr>
          <w:t>Slide 50: Goldfields-Esperance (WA)</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_Toc34146605 \h </w:instrText>
        </w:r>
        <w:r w:rsidR="000D5292" w:rsidRPr="004A01CD">
          <w:rPr>
            <w:noProof/>
            <w:webHidden/>
          </w:rPr>
        </w:r>
        <w:r w:rsidR="000D5292" w:rsidRPr="004A01CD">
          <w:rPr>
            <w:noProof/>
            <w:webHidden/>
          </w:rPr>
          <w:fldChar w:fldCharType="separate"/>
        </w:r>
        <w:r w:rsidR="000D5292" w:rsidRPr="004A01CD">
          <w:rPr>
            <w:noProof/>
            <w:webHidden/>
          </w:rPr>
          <w:t>21</w:t>
        </w:r>
        <w:r w:rsidR="000D5292" w:rsidRPr="004A01CD">
          <w:rPr>
            <w:noProof/>
            <w:webHidden/>
          </w:rPr>
          <w:fldChar w:fldCharType="end"/>
        </w:r>
      </w:hyperlink>
    </w:p>
    <w:p w14:paraId="6E413BD1" w14:textId="21BF0BC1" w:rsidR="000D5292" w:rsidRPr="004A01CD" w:rsidRDefault="004A01CD">
      <w:pPr>
        <w:pStyle w:val="TOC2"/>
        <w:tabs>
          <w:tab w:val="right" w:leader="dot" w:pos="9016"/>
        </w:tabs>
        <w:rPr>
          <w:rFonts w:asciiTheme="minorHAnsi" w:eastAsiaTheme="minorEastAsia" w:hAnsiTheme="minorHAnsi"/>
          <w:noProof/>
          <w:lang w:eastAsia="en-AU"/>
        </w:rPr>
      </w:pPr>
      <w:hyperlink w:anchor="_Toc34146606" w:history="1">
        <w:r w:rsidR="000D5292" w:rsidRPr="004A01CD">
          <w:rPr>
            <w:rStyle w:val="Hyperlink"/>
            <w:noProof/>
          </w:rPr>
          <w:t>Slide 51: Provider concentration in Goldfields-Esperance (WA) is higher than benchmark across all support categories</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_Toc34146606 \h </w:instrText>
        </w:r>
        <w:r w:rsidR="000D5292" w:rsidRPr="004A01CD">
          <w:rPr>
            <w:noProof/>
            <w:webHidden/>
          </w:rPr>
        </w:r>
        <w:r w:rsidR="000D5292" w:rsidRPr="004A01CD">
          <w:rPr>
            <w:noProof/>
            <w:webHidden/>
          </w:rPr>
          <w:fldChar w:fldCharType="separate"/>
        </w:r>
        <w:r w:rsidR="000D5292" w:rsidRPr="004A01CD">
          <w:rPr>
            <w:noProof/>
            <w:webHidden/>
          </w:rPr>
          <w:t>21</w:t>
        </w:r>
        <w:r w:rsidR="000D5292" w:rsidRPr="004A01CD">
          <w:rPr>
            <w:noProof/>
            <w:webHidden/>
          </w:rPr>
          <w:fldChar w:fldCharType="end"/>
        </w:r>
      </w:hyperlink>
    </w:p>
    <w:p w14:paraId="57A0B6B6" w14:textId="3CF22456" w:rsidR="000D5292" w:rsidRPr="004A01CD" w:rsidRDefault="004A01CD">
      <w:pPr>
        <w:pStyle w:val="TOC2"/>
        <w:tabs>
          <w:tab w:val="right" w:leader="dot" w:pos="9016"/>
        </w:tabs>
        <w:rPr>
          <w:rFonts w:asciiTheme="minorHAnsi" w:eastAsiaTheme="minorEastAsia" w:hAnsiTheme="minorHAnsi"/>
          <w:noProof/>
          <w:lang w:eastAsia="en-AU"/>
        </w:rPr>
      </w:pPr>
      <w:hyperlink w:anchor="_Toc34146607" w:history="1">
        <w:r w:rsidR="000D5292" w:rsidRPr="004A01CD">
          <w:rPr>
            <w:rStyle w:val="Hyperlink"/>
            <w:noProof/>
          </w:rPr>
          <w:t>Slide 52:</w:t>
        </w:r>
        <w:r w:rsidR="000D5292" w:rsidRPr="004A01CD">
          <w:rPr>
            <w:rStyle w:val="Hyperlink"/>
            <w:rFonts w:cs="Arial"/>
            <w:noProof/>
            <w:kern w:val="24"/>
          </w:rPr>
          <w:t xml:space="preserve"> </w:t>
        </w:r>
        <w:r w:rsidR="000D5292" w:rsidRPr="004A01CD">
          <w:rPr>
            <w:rStyle w:val="Hyperlink"/>
            <w:noProof/>
          </w:rPr>
          <w:t>Provider concentration for participants in the Goldfields-Esperance (WA) region was greater than benchmark across all age bands</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_Toc34146607 \h </w:instrText>
        </w:r>
        <w:r w:rsidR="000D5292" w:rsidRPr="004A01CD">
          <w:rPr>
            <w:noProof/>
            <w:webHidden/>
          </w:rPr>
        </w:r>
        <w:r w:rsidR="000D5292" w:rsidRPr="004A01CD">
          <w:rPr>
            <w:noProof/>
            <w:webHidden/>
          </w:rPr>
          <w:fldChar w:fldCharType="separate"/>
        </w:r>
        <w:r w:rsidR="000D5292" w:rsidRPr="004A01CD">
          <w:rPr>
            <w:noProof/>
            <w:webHidden/>
          </w:rPr>
          <w:t>22</w:t>
        </w:r>
        <w:r w:rsidR="000D5292" w:rsidRPr="004A01CD">
          <w:rPr>
            <w:noProof/>
            <w:webHidden/>
          </w:rPr>
          <w:fldChar w:fldCharType="end"/>
        </w:r>
      </w:hyperlink>
    </w:p>
    <w:p w14:paraId="4B8E52A3" w14:textId="0F99CD55" w:rsidR="000D5292" w:rsidRPr="004A01CD" w:rsidRDefault="004A01CD">
      <w:pPr>
        <w:pStyle w:val="TOC2"/>
        <w:tabs>
          <w:tab w:val="right" w:leader="dot" w:pos="9016"/>
        </w:tabs>
        <w:rPr>
          <w:rFonts w:asciiTheme="minorHAnsi" w:eastAsiaTheme="minorEastAsia" w:hAnsiTheme="minorHAnsi"/>
          <w:noProof/>
          <w:lang w:eastAsia="en-AU"/>
        </w:rPr>
      </w:pPr>
      <w:hyperlink w:anchor="_Toc34146608" w:history="1">
        <w:r w:rsidR="000D5292" w:rsidRPr="004A01CD">
          <w:rPr>
            <w:rStyle w:val="Hyperlink"/>
            <w:noProof/>
          </w:rPr>
          <w:t>Slide 53: Provider concentration for participants in the Goldfields-Esperance (WA) region was greater than benchmark across all disability types</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_Toc34146608 \h </w:instrText>
        </w:r>
        <w:r w:rsidR="000D5292" w:rsidRPr="004A01CD">
          <w:rPr>
            <w:noProof/>
            <w:webHidden/>
          </w:rPr>
        </w:r>
        <w:r w:rsidR="000D5292" w:rsidRPr="004A01CD">
          <w:rPr>
            <w:noProof/>
            <w:webHidden/>
          </w:rPr>
          <w:fldChar w:fldCharType="separate"/>
        </w:r>
        <w:r w:rsidR="000D5292" w:rsidRPr="004A01CD">
          <w:rPr>
            <w:noProof/>
            <w:webHidden/>
          </w:rPr>
          <w:t>22</w:t>
        </w:r>
        <w:r w:rsidR="000D5292" w:rsidRPr="004A01CD">
          <w:rPr>
            <w:noProof/>
            <w:webHidden/>
          </w:rPr>
          <w:fldChar w:fldCharType="end"/>
        </w:r>
      </w:hyperlink>
    </w:p>
    <w:p w14:paraId="2E050DFC" w14:textId="3EDA22BC" w:rsidR="000D5292" w:rsidRPr="004A01CD" w:rsidRDefault="004A01CD">
      <w:pPr>
        <w:pStyle w:val="TOC2"/>
        <w:tabs>
          <w:tab w:val="right" w:leader="dot" w:pos="9016"/>
        </w:tabs>
        <w:rPr>
          <w:rFonts w:asciiTheme="minorHAnsi" w:eastAsiaTheme="minorEastAsia" w:hAnsiTheme="minorHAnsi"/>
          <w:noProof/>
          <w:lang w:eastAsia="en-AU"/>
        </w:rPr>
      </w:pPr>
      <w:hyperlink w:anchor="_Toc34146609" w:history="1">
        <w:r w:rsidR="000D5292" w:rsidRPr="004A01CD">
          <w:rPr>
            <w:rStyle w:val="Hyperlink"/>
            <w:noProof/>
          </w:rPr>
          <w:t>Slide 54: The gap between utilisation and benchmark for the Goldfields-Esperance (WA) region was driven by the Capacity Building – Daily Activity support category</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_Toc34146609 \h </w:instrText>
        </w:r>
        <w:r w:rsidR="000D5292" w:rsidRPr="004A01CD">
          <w:rPr>
            <w:noProof/>
            <w:webHidden/>
          </w:rPr>
        </w:r>
        <w:r w:rsidR="000D5292" w:rsidRPr="004A01CD">
          <w:rPr>
            <w:noProof/>
            <w:webHidden/>
          </w:rPr>
          <w:fldChar w:fldCharType="separate"/>
        </w:r>
        <w:r w:rsidR="000D5292" w:rsidRPr="004A01CD">
          <w:rPr>
            <w:noProof/>
            <w:webHidden/>
          </w:rPr>
          <w:t>22</w:t>
        </w:r>
        <w:r w:rsidR="000D5292" w:rsidRPr="004A01CD">
          <w:rPr>
            <w:noProof/>
            <w:webHidden/>
          </w:rPr>
          <w:fldChar w:fldCharType="end"/>
        </w:r>
      </w:hyperlink>
    </w:p>
    <w:p w14:paraId="12F63D10" w14:textId="6984ABAC" w:rsidR="000D5292" w:rsidRPr="004A01CD" w:rsidRDefault="004A01CD">
      <w:pPr>
        <w:pStyle w:val="TOC2"/>
        <w:tabs>
          <w:tab w:val="right" w:leader="dot" w:pos="9016"/>
        </w:tabs>
        <w:rPr>
          <w:rFonts w:asciiTheme="minorHAnsi" w:eastAsiaTheme="minorEastAsia" w:hAnsiTheme="minorHAnsi"/>
          <w:noProof/>
          <w:lang w:eastAsia="en-AU"/>
        </w:rPr>
      </w:pPr>
      <w:hyperlink w:anchor="_Toc34146610" w:history="1">
        <w:r w:rsidR="000D5292" w:rsidRPr="004A01CD">
          <w:rPr>
            <w:rStyle w:val="Hyperlink"/>
            <w:noProof/>
          </w:rPr>
          <w:t>Slide 55: Utilisation for participants in the Goldfields-Esperance (WA) region was below benchmark across all age bands</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_Toc34146610 \h </w:instrText>
        </w:r>
        <w:r w:rsidR="000D5292" w:rsidRPr="004A01CD">
          <w:rPr>
            <w:noProof/>
            <w:webHidden/>
          </w:rPr>
        </w:r>
        <w:r w:rsidR="000D5292" w:rsidRPr="004A01CD">
          <w:rPr>
            <w:noProof/>
            <w:webHidden/>
          </w:rPr>
          <w:fldChar w:fldCharType="separate"/>
        </w:r>
        <w:r w:rsidR="000D5292" w:rsidRPr="004A01CD">
          <w:rPr>
            <w:noProof/>
            <w:webHidden/>
          </w:rPr>
          <w:t>23</w:t>
        </w:r>
        <w:r w:rsidR="000D5292" w:rsidRPr="004A01CD">
          <w:rPr>
            <w:noProof/>
            <w:webHidden/>
          </w:rPr>
          <w:fldChar w:fldCharType="end"/>
        </w:r>
      </w:hyperlink>
    </w:p>
    <w:p w14:paraId="0B91515A" w14:textId="1B166158" w:rsidR="000D5292" w:rsidRPr="004A01CD" w:rsidRDefault="004A01CD">
      <w:pPr>
        <w:pStyle w:val="TOC2"/>
        <w:tabs>
          <w:tab w:val="right" w:leader="dot" w:pos="9016"/>
        </w:tabs>
        <w:rPr>
          <w:rFonts w:asciiTheme="minorHAnsi" w:eastAsiaTheme="minorEastAsia" w:hAnsiTheme="minorHAnsi"/>
          <w:noProof/>
          <w:lang w:eastAsia="en-AU"/>
        </w:rPr>
      </w:pPr>
      <w:hyperlink w:anchor="_Toc34146611" w:history="1">
        <w:r w:rsidR="000D5292" w:rsidRPr="004A01CD">
          <w:rPr>
            <w:rStyle w:val="Hyperlink"/>
            <w:noProof/>
          </w:rPr>
          <w:t>Slide 56: Utilisation for participants with intellectual disability was the key contributor to the utilisation result for the Goldfields-Esperance (WA) region</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_Toc34146611 \h </w:instrText>
        </w:r>
        <w:r w:rsidR="000D5292" w:rsidRPr="004A01CD">
          <w:rPr>
            <w:noProof/>
            <w:webHidden/>
          </w:rPr>
        </w:r>
        <w:r w:rsidR="000D5292" w:rsidRPr="004A01CD">
          <w:rPr>
            <w:noProof/>
            <w:webHidden/>
          </w:rPr>
          <w:fldChar w:fldCharType="separate"/>
        </w:r>
        <w:r w:rsidR="000D5292" w:rsidRPr="004A01CD">
          <w:rPr>
            <w:noProof/>
            <w:webHidden/>
          </w:rPr>
          <w:t>23</w:t>
        </w:r>
        <w:r w:rsidR="000D5292" w:rsidRPr="004A01CD">
          <w:rPr>
            <w:noProof/>
            <w:webHidden/>
          </w:rPr>
          <w:fldChar w:fldCharType="end"/>
        </w:r>
      </w:hyperlink>
    </w:p>
    <w:p w14:paraId="60EAA88F" w14:textId="1A84CA74" w:rsidR="000D5292" w:rsidRPr="004A01CD" w:rsidRDefault="004A01CD">
      <w:pPr>
        <w:pStyle w:val="TOC2"/>
        <w:tabs>
          <w:tab w:val="right" w:leader="dot" w:pos="9016"/>
        </w:tabs>
        <w:rPr>
          <w:rFonts w:asciiTheme="minorHAnsi" w:eastAsiaTheme="minorEastAsia" w:hAnsiTheme="minorHAnsi"/>
          <w:noProof/>
          <w:lang w:eastAsia="en-AU"/>
        </w:rPr>
      </w:pPr>
      <w:hyperlink w:anchor="_Toc34146612" w:history="1">
        <w:r w:rsidR="000D5292" w:rsidRPr="004A01CD">
          <w:rPr>
            <w:rStyle w:val="Hyperlink"/>
            <w:noProof/>
          </w:rPr>
          <w:t>Slide 57: Kimberley-Pilbara (WA)</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_Toc34146612 \h </w:instrText>
        </w:r>
        <w:r w:rsidR="000D5292" w:rsidRPr="004A01CD">
          <w:rPr>
            <w:noProof/>
            <w:webHidden/>
          </w:rPr>
        </w:r>
        <w:r w:rsidR="000D5292" w:rsidRPr="004A01CD">
          <w:rPr>
            <w:noProof/>
            <w:webHidden/>
          </w:rPr>
          <w:fldChar w:fldCharType="separate"/>
        </w:r>
        <w:r w:rsidR="000D5292" w:rsidRPr="004A01CD">
          <w:rPr>
            <w:noProof/>
            <w:webHidden/>
          </w:rPr>
          <w:t>23</w:t>
        </w:r>
        <w:r w:rsidR="000D5292" w:rsidRPr="004A01CD">
          <w:rPr>
            <w:noProof/>
            <w:webHidden/>
          </w:rPr>
          <w:fldChar w:fldCharType="end"/>
        </w:r>
      </w:hyperlink>
    </w:p>
    <w:p w14:paraId="25515F00" w14:textId="0770F5F2" w:rsidR="000D5292" w:rsidRPr="004A01CD" w:rsidRDefault="004A01CD">
      <w:pPr>
        <w:pStyle w:val="TOC2"/>
        <w:tabs>
          <w:tab w:val="right" w:leader="dot" w:pos="9016"/>
        </w:tabs>
        <w:rPr>
          <w:rFonts w:asciiTheme="minorHAnsi" w:eastAsiaTheme="minorEastAsia" w:hAnsiTheme="minorHAnsi"/>
          <w:noProof/>
          <w:lang w:eastAsia="en-AU"/>
        </w:rPr>
      </w:pPr>
      <w:hyperlink w:anchor="_Toc34146613" w:history="1">
        <w:r w:rsidR="000D5292" w:rsidRPr="004A01CD">
          <w:rPr>
            <w:rStyle w:val="Hyperlink"/>
            <w:noProof/>
          </w:rPr>
          <w:t>Slide 58: Provider concentration in Kimberley-Pilbara (WA) is higher then benchmark across all support categories</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_Toc34146613 \h </w:instrText>
        </w:r>
        <w:r w:rsidR="000D5292" w:rsidRPr="004A01CD">
          <w:rPr>
            <w:noProof/>
            <w:webHidden/>
          </w:rPr>
        </w:r>
        <w:r w:rsidR="000D5292" w:rsidRPr="004A01CD">
          <w:rPr>
            <w:noProof/>
            <w:webHidden/>
          </w:rPr>
          <w:fldChar w:fldCharType="separate"/>
        </w:r>
        <w:r w:rsidR="000D5292" w:rsidRPr="004A01CD">
          <w:rPr>
            <w:noProof/>
            <w:webHidden/>
          </w:rPr>
          <w:t>23</w:t>
        </w:r>
        <w:r w:rsidR="000D5292" w:rsidRPr="004A01CD">
          <w:rPr>
            <w:noProof/>
            <w:webHidden/>
          </w:rPr>
          <w:fldChar w:fldCharType="end"/>
        </w:r>
      </w:hyperlink>
    </w:p>
    <w:p w14:paraId="3DB64FCD" w14:textId="6F366C45" w:rsidR="000D5292" w:rsidRPr="004A01CD" w:rsidRDefault="004A01CD">
      <w:pPr>
        <w:pStyle w:val="TOC2"/>
        <w:tabs>
          <w:tab w:val="right" w:leader="dot" w:pos="9016"/>
        </w:tabs>
        <w:rPr>
          <w:rFonts w:asciiTheme="minorHAnsi" w:eastAsiaTheme="minorEastAsia" w:hAnsiTheme="minorHAnsi"/>
          <w:noProof/>
          <w:lang w:eastAsia="en-AU"/>
        </w:rPr>
      </w:pPr>
      <w:hyperlink w:anchor="_Toc34146614" w:history="1">
        <w:r w:rsidR="000D5292" w:rsidRPr="004A01CD">
          <w:rPr>
            <w:rStyle w:val="Hyperlink"/>
            <w:noProof/>
          </w:rPr>
          <w:t>Slide 59: Provider concentration for participants in the Kimberley-Pilbara (WA) region was greater than benchmark across all age bands</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_Toc34146614 \h </w:instrText>
        </w:r>
        <w:r w:rsidR="000D5292" w:rsidRPr="004A01CD">
          <w:rPr>
            <w:noProof/>
            <w:webHidden/>
          </w:rPr>
        </w:r>
        <w:r w:rsidR="000D5292" w:rsidRPr="004A01CD">
          <w:rPr>
            <w:noProof/>
            <w:webHidden/>
          </w:rPr>
          <w:fldChar w:fldCharType="separate"/>
        </w:r>
        <w:r w:rsidR="000D5292" w:rsidRPr="004A01CD">
          <w:rPr>
            <w:noProof/>
            <w:webHidden/>
          </w:rPr>
          <w:t>23</w:t>
        </w:r>
        <w:r w:rsidR="000D5292" w:rsidRPr="004A01CD">
          <w:rPr>
            <w:noProof/>
            <w:webHidden/>
          </w:rPr>
          <w:fldChar w:fldCharType="end"/>
        </w:r>
      </w:hyperlink>
    </w:p>
    <w:p w14:paraId="16204C48" w14:textId="3E3EAF0D" w:rsidR="000D5292" w:rsidRPr="004A01CD" w:rsidRDefault="004A01CD">
      <w:pPr>
        <w:pStyle w:val="TOC2"/>
        <w:tabs>
          <w:tab w:val="right" w:leader="dot" w:pos="9016"/>
        </w:tabs>
        <w:rPr>
          <w:rFonts w:asciiTheme="minorHAnsi" w:eastAsiaTheme="minorEastAsia" w:hAnsiTheme="minorHAnsi"/>
          <w:noProof/>
          <w:lang w:eastAsia="en-AU"/>
        </w:rPr>
      </w:pPr>
      <w:hyperlink w:anchor="_Toc34146615" w:history="1">
        <w:r w:rsidR="000D5292" w:rsidRPr="004A01CD">
          <w:rPr>
            <w:rStyle w:val="Hyperlink"/>
            <w:noProof/>
          </w:rPr>
          <w:t>Slide 60: Above benchmark provider concentration benchmark is driven by participants with psychosocial disability and intellectual disability</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_Toc34146615 \h </w:instrText>
        </w:r>
        <w:r w:rsidR="000D5292" w:rsidRPr="004A01CD">
          <w:rPr>
            <w:noProof/>
            <w:webHidden/>
          </w:rPr>
        </w:r>
        <w:r w:rsidR="000D5292" w:rsidRPr="004A01CD">
          <w:rPr>
            <w:noProof/>
            <w:webHidden/>
          </w:rPr>
          <w:fldChar w:fldCharType="separate"/>
        </w:r>
        <w:r w:rsidR="000D5292" w:rsidRPr="004A01CD">
          <w:rPr>
            <w:noProof/>
            <w:webHidden/>
          </w:rPr>
          <w:t>24</w:t>
        </w:r>
        <w:r w:rsidR="000D5292" w:rsidRPr="004A01CD">
          <w:rPr>
            <w:noProof/>
            <w:webHidden/>
          </w:rPr>
          <w:fldChar w:fldCharType="end"/>
        </w:r>
      </w:hyperlink>
    </w:p>
    <w:p w14:paraId="701B33B4" w14:textId="4E8531D3" w:rsidR="000D5292" w:rsidRPr="004A01CD" w:rsidRDefault="004A01CD">
      <w:pPr>
        <w:pStyle w:val="TOC2"/>
        <w:tabs>
          <w:tab w:val="right" w:leader="dot" w:pos="9016"/>
        </w:tabs>
        <w:rPr>
          <w:rFonts w:asciiTheme="minorHAnsi" w:eastAsiaTheme="minorEastAsia" w:hAnsiTheme="minorHAnsi"/>
          <w:noProof/>
          <w:lang w:eastAsia="en-AU"/>
        </w:rPr>
      </w:pPr>
      <w:hyperlink w:anchor="_Toc34146616" w:history="1">
        <w:r w:rsidR="000D5292" w:rsidRPr="004A01CD">
          <w:rPr>
            <w:rStyle w:val="Hyperlink"/>
            <w:noProof/>
          </w:rPr>
          <w:t>Slide 61: The gap between utilisation and benchmark for the Kimberley-Pilbara (WA) region was driven by the Core – Community and Capacity Building – Daily Activity support categories</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_Toc34146616 \h </w:instrText>
        </w:r>
        <w:r w:rsidR="000D5292" w:rsidRPr="004A01CD">
          <w:rPr>
            <w:noProof/>
            <w:webHidden/>
          </w:rPr>
        </w:r>
        <w:r w:rsidR="000D5292" w:rsidRPr="004A01CD">
          <w:rPr>
            <w:noProof/>
            <w:webHidden/>
          </w:rPr>
          <w:fldChar w:fldCharType="separate"/>
        </w:r>
        <w:r w:rsidR="000D5292" w:rsidRPr="004A01CD">
          <w:rPr>
            <w:noProof/>
            <w:webHidden/>
          </w:rPr>
          <w:t>24</w:t>
        </w:r>
        <w:r w:rsidR="000D5292" w:rsidRPr="004A01CD">
          <w:rPr>
            <w:noProof/>
            <w:webHidden/>
          </w:rPr>
          <w:fldChar w:fldCharType="end"/>
        </w:r>
      </w:hyperlink>
    </w:p>
    <w:p w14:paraId="5E9B8084" w14:textId="1685466B" w:rsidR="000D5292" w:rsidRPr="004A01CD" w:rsidRDefault="004A01CD">
      <w:pPr>
        <w:pStyle w:val="TOC2"/>
        <w:tabs>
          <w:tab w:val="right" w:leader="dot" w:pos="9016"/>
        </w:tabs>
        <w:rPr>
          <w:rFonts w:asciiTheme="minorHAnsi" w:eastAsiaTheme="minorEastAsia" w:hAnsiTheme="minorHAnsi"/>
          <w:noProof/>
          <w:lang w:eastAsia="en-AU"/>
        </w:rPr>
      </w:pPr>
      <w:hyperlink w:anchor="_Toc34146617" w:history="1">
        <w:r w:rsidR="000D5292" w:rsidRPr="004A01CD">
          <w:rPr>
            <w:rStyle w:val="Hyperlink"/>
            <w:noProof/>
          </w:rPr>
          <w:t>Slide 62:</w:t>
        </w:r>
        <w:r w:rsidR="000D5292" w:rsidRPr="004A01CD">
          <w:rPr>
            <w:rStyle w:val="Hyperlink"/>
            <w:rFonts w:cs="Arial"/>
            <w:noProof/>
            <w:kern w:val="24"/>
          </w:rPr>
          <w:t xml:space="preserve"> </w:t>
        </w:r>
        <w:r w:rsidR="000D5292" w:rsidRPr="004A01CD">
          <w:rPr>
            <w:rStyle w:val="Hyperlink"/>
            <w:noProof/>
          </w:rPr>
          <w:t>Utilisation for participants in the Kimberley-Pilbara (WA) region was below benchmark across all age bands</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_Toc34146617 \h </w:instrText>
        </w:r>
        <w:r w:rsidR="000D5292" w:rsidRPr="004A01CD">
          <w:rPr>
            <w:noProof/>
            <w:webHidden/>
          </w:rPr>
        </w:r>
        <w:r w:rsidR="000D5292" w:rsidRPr="004A01CD">
          <w:rPr>
            <w:noProof/>
            <w:webHidden/>
          </w:rPr>
          <w:fldChar w:fldCharType="separate"/>
        </w:r>
        <w:r w:rsidR="000D5292" w:rsidRPr="004A01CD">
          <w:rPr>
            <w:noProof/>
            <w:webHidden/>
          </w:rPr>
          <w:t>24</w:t>
        </w:r>
        <w:r w:rsidR="000D5292" w:rsidRPr="004A01CD">
          <w:rPr>
            <w:noProof/>
            <w:webHidden/>
          </w:rPr>
          <w:fldChar w:fldCharType="end"/>
        </w:r>
      </w:hyperlink>
    </w:p>
    <w:p w14:paraId="0E9E392C" w14:textId="1D99F9A5" w:rsidR="000D5292" w:rsidRPr="004A01CD" w:rsidRDefault="004A01CD">
      <w:pPr>
        <w:pStyle w:val="TOC2"/>
        <w:tabs>
          <w:tab w:val="right" w:leader="dot" w:pos="9016"/>
        </w:tabs>
        <w:rPr>
          <w:rFonts w:asciiTheme="minorHAnsi" w:eastAsiaTheme="minorEastAsia" w:hAnsiTheme="minorHAnsi"/>
          <w:noProof/>
          <w:lang w:eastAsia="en-AU"/>
        </w:rPr>
      </w:pPr>
      <w:hyperlink w:anchor="_Toc34146618" w:history="1">
        <w:r w:rsidR="000D5292" w:rsidRPr="004A01CD">
          <w:rPr>
            <w:rStyle w:val="Hyperlink"/>
            <w:noProof/>
          </w:rPr>
          <w:t>Slide 63: Utilisation for participants with autism or intellectual disability was the key contributor to the utilisation result for the Kimberley-Pilbara (WA) region</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_Toc34146618 \h </w:instrText>
        </w:r>
        <w:r w:rsidR="000D5292" w:rsidRPr="004A01CD">
          <w:rPr>
            <w:noProof/>
            <w:webHidden/>
          </w:rPr>
        </w:r>
        <w:r w:rsidR="000D5292" w:rsidRPr="004A01CD">
          <w:rPr>
            <w:noProof/>
            <w:webHidden/>
          </w:rPr>
          <w:fldChar w:fldCharType="separate"/>
        </w:r>
        <w:r w:rsidR="000D5292" w:rsidRPr="004A01CD">
          <w:rPr>
            <w:noProof/>
            <w:webHidden/>
          </w:rPr>
          <w:t>24</w:t>
        </w:r>
        <w:r w:rsidR="000D5292" w:rsidRPr="004A01CD">
          <w:rPr>
            <w:noProof/>
            <w:webHidden/>
          </w:rPr>
          <w:fldChar w:fldCharType="end"/>
        </w:r>
      </w:hyperlink>
    </w:p>
    <w:p w14:paraId="67041211" w14:textId="0633729F" w:rsidR="000D5292" w:rsidRPr="004A01CD" w:rsidRDefault="004A01CD">
      <w:pPr>
        <w:pStyle w:val="TOC2"/>
        <w:tabs>
          <w:tab w:val="right" w:leader="dot" w:pos="9016"/>
        </w:tabs>
        <w:rPr>
          <w:rFonts w:asciiTheme="minorHAnsi" w:eastAsiaTheme="minorEastAsia" w:hAnsiTheme="minorHAnsi"/>
          <w:noProof/>
          <w:lang w:eastAsia="en-AU"/>
        </w:rPr>
      </w:pPr>
      <w:hyperlink w:anchor="_Toc34146619" w:history="1">
        <w:r w:rsidR="000D5292" w:rsidRPr="004A01CD">
          <w:rPr>
            <w:rStyle w:val="Hyperlink"/>
            <w:noProof/>
          </w:rPr>
          <w:t>Slide 64: Central Australia (NT)</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_Toc34146619 \h </w:instrText>
        </w:r>
        <w:r w:rsidR="000D5292" w:rsidRPr="004A01CD">
          <w:rPr>
            <w:noProof/>
            <w:webHidden/>
          </w:rPr>
        </w:r>
        <w:r w:rsidR="000D5292" w:rsidRPr="004A01CD">
          <w:rPr>
            <w:noProof/>
            <w:webHidden/>
          </w:rPr>
          <w:fldChar w:fldCharType="separate"/>
        </w:r>
        <w:r w:rsidR="000D5292" w:rsidRPr="004A01CD">
          <w:rPr>
            <w:noProof/>
            <w:webHidden/>
          </w:rPr>
          <w:t>25</w:t>
        </w:r>
        <w:r w:rsidR="000D5292" w:rsidRPr="004A01CD">
          <w:rPr>
            <w:noProof/>
            <w:webHidden/>
          </w:rPr>
          <w:fldChar w:fldCharType="end"/>
        </w:r>
      </w:hyperlink>
    </w:p>
    <w:p w14:paraId="22360226" w14:textId="2AEE6EFA" w:rsidR="000D5292" w:rsidRPr="004A01CD" w:rsidRDefault="004A01CD">
      <w:pPr>
        <w:pStyle w:val="TOC2"/>
        <w:tabs>
          <w:tab w:val="right" w:leader="dot" w:pos="9016"/>
        </w:tabs>
        <w:rPr>
          <w:rFonts w:asciiTheme="minorHAnsi" w:eastAsiaTheme="minorEastAsia" w:hAnsiTheme="minorHAnsi"/>
          <w:noProof/>
          <w:lang w:eastAsia="en-AU"/>
        </w:rPr>
      </w:pPr>
      <w:hyperlink w:anchor="_Toc34146620" w:history="1">
        <w:r w:rsidR="000D5292" w:rsidRPr="004A01CD">
          <w:rPr>
            <w:rStyle w:val="Hyperlink"/>
            <w:noProof/>
          </w:rPr>
          <w:t>Slide 65: The outcomes indicator on choice and control was below benchmark for Central Australia (NT) for most support categories</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_Toc34146620 \h </w:instrText>
        </w:r>
        <w:r w:rsidR="000D5292" w:rsidRPr="004A01CD">
          <w:rPr>
            <w:noProof/>
            <w:webHidden/>
          </w:rPr>
        </w:r>
        <w:r w:rsidR="000D5292" w:rsidRPr="004A01CD">
          <w:rPr>
            <w:noProof/>
            <w:webHidden/>
          </w:rPr>
          <w:fldChar w:fldCharType="separate"/>
        </w:r>
        <w:r w:rsidR="000D5292" w:rsidRPr="004A01CD">
          <w:rPr>
            <w:noProof/>
            <w:webHidden/>
          </w:rPr>
          <w:t>25</w:t>
        </w:r>
        <w:r w:rsidR="000D5292" w:rsidRPr="004A01CD">
          <w:rPr>
            <w:noProof/>
            <w:webHidden/>
          </w:rPr>
          <w:fldChar w:fldCharType="end"/>
        </w:r>
      </w:hyperlink>
    </w:p>
    <w:p w14:paraId="0CFD3BD5" w14:textId="03E283C8" w:rsidR="000D5292" w:rsidRPr="004A01CD" w:rsidRDefault="004A01CD">
      <w:pPr>
        <w:pStyle w:val="TOC2"/>
        <w:tabs>
          <w:tab w:val="right" w:leader="dot" w:pos="9016"/>
        </w:tabs>
        <w:rPr>
          <w:rFonts w:asciiTheme="minorHAnsi" w:eastAsiaTheme="minorEastAsia" w:hAnsiTheme="minorHAnsi"/>
          <w:noProof/>
          <w:lang w:eastAsia="en-AU"/>
        </w:rPr>
      </w:pPr>
      <w:hyperlink w:anchor="_Toc34146621" w:history="1">
        <w:r w:rsidR="000D5292" w:rsidRPr="004A01CD">
          <w:rPr>
            <w:rStyle w:val="Hyperlink"/>
            <w:noProof/>
          </w:rPr>
          <w:t>Slide 66: The outcomes indicator on choice and control being below benchmark is driven by participants with psychosocial disability and intellectual disability.</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_Toc34146621 \h </w:instrText>
        </w:r>
        <w:r w:rsidR="000D5292" w:rsidRPr="004A01CD">
          <w:rPr>
            <w:noProof/>
            <w:webHidden/>
          </w:rPr>
        </w:r>
        <w:r w:rsidR="000D5292" w:rsidRPr="004A01CD">
          <w:rPr>
            <w:noProof/>
            <w:webHidden/>
          </w:rPr>
          <w:fldChar w:fldCharType="separate"/>
        </w:r>
        <w:r w:rsidR="000D5292" w:rsidRPr="004A01CD">
          <w:rPr>
            <w:noProof/>
            <w:webHidden/>
          </w:rPr>
          <w:t>25</w:t>
        </w:r>
        <w:r w:rsidR="000D5292" w:rsidRPr="004A01CD">
          <w:rPr>
            <w:noProof/>
            <w:webHidden/>
          </w:rPr>
          <w:fldChar w:fldCharType="end"/>
        </w:r>
      </w:hyperlink>
    </w:p>
    <w:p w14:paraId="69ED0D8D" w14:textId="165F92A0" w:rsidR="000D5292" w:rsidRPr="004A01CD" w:rsidRDefault="004A01CD">
      <w:pPr>
        <w:pStyle w:val="TOC2"/>
        <w:tabs>
          <w:tab w:val="right" w:leader="dot" w:pos="9016"/>
        </w:tabs>
        <w:rPr>
          <w:rFonts w:asciiTheme="minorHAnsi" w:eastAsiaTheme="minorEastAsia" w:hAnsiTheme="minorHAnsi"/>
          <w:noProof/>
          <w:lang w:eastAsia="en-AU"/>
        </w:rPr>
      </w:pPr>
      <w:hyperlink w:anchor="_Toc34146622" w:history="1">
        <w:r w:rsidR="000D5292" w:rsidRPr="004A01CD">
          <w:rPr>
            <w:rStyle w:val="Hyperlink"/>
            <w:noProof/>
          </w:rPr>
          <w:t>Slide 67: The outcomes indicator on choice and control being above benchmark is driven by participants between 19 and 44 years of age</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_Toc34146622 \h </w:instrText>
        </w:r>
        <w:r w:rsidR="000D5292" w:rsidRPr="004A01CD">
          <w:rPr>
            <w:noProof/>
            <w:webHidden/>
          </w:rPr>
        </w:r>
        <w:r w:rsidR="000D5292" w:rsidRPr="004A01CD">
          <w:rPr>
            <w:noProof/>
            <w:webHidden/>
          </w:rPr>
          <w:fldChar w:fldCharType="separate"/>
        </w:r>
        <w:r w:rsidR="000D5292" w:rsidRPr="004A01CD">
          <w:rPr>
            <w:noProof/>
            <w:webHidden/>
          </w:rPr>
          <w:t>25</w:t>
        </w:r>
        <w:r w:rsidR="000D5292" w:rsidRPr="004A01CD">
          <w:rPr>
            <w:noProof/>
            <w:webHidden/>
          </w:rPr>
          <w:fldChar w:fldCharType="end"/>
        </w:r>
      </w:hyperlink>
    </w:p>
    <w:p w14:paraId="462DDCBF" w14:textId="1FADC4C6" w:rsidR="000D5292" w:rsidRPr="004A01CD" w:rsidRDefault="004A01CD">
      <w:pPr>
        <w:pStyle w:val="TOC2"/>
        <w:tabs>
          <w:tab w:val="right" w:leader="dot" w:pos="9016"/>
        </w:tabs>
        <w:rPr>
          <w:rFonts w:asciiTheme="minorHAnsi" w:eastAsiaTheme="minorEastAsia" w:hAnsiTheme="minorHAnsi"/>
          <w:noProof/>
          <w:lang w:eastAsia="en-AU"/>
        </w:rPr>
      </w:pPr>
      <w:hyperlink w:anchor="_Toc34146623" w:history="1">
        <w:r w:rsidR="000D5292" w:rsidRPr="004A01CD">
          <w:rPr>
            <w:rStyle w:val="Hyperlink"/>
            <w:noProof/>
          </w:rPr>
          <w:t>Slide 68: Limestone Coast (SA)</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_Toc34146623 \h </w:instrText>
        </w:r>
        <w:r w:rsidR="000D5292" w:rsidRPr="004A01CD">
          <w:rPr>
            <w:noProof/>
            <w:webHidden/>
          </w:rPr>
        </w:r>
        <w:r w:rsidR="000D5292" w:rsidRPr="004A01CD">
          <w:rPr>
            <w:noProof/>
            <w:webHidden/>
          </w:rPr>
          <w:fldChar w:fldCharType="separate"/>
        </w:r>
        <w:r w:rsidR="000D5292" w:rsidRPr="004A01CD">
          <w:rPr>
            <w:noProof/>
            <w:webHidden/>
          </w:rPr>
          <w:t>26</w:t>
        </w:r>
        <w:r w:rsidR="000D5292" w:rsidRPr="004A01CD">
          <w:rPr>
            <w:noProof/>
            <w:webHidden/>
          </w:rPr>
          <w:fldChar w:fldCharType="end"/>
        </w:r>
      </w:hyperlink>
    </w:p>
    <w:p w14:paraId="687A7542" w14:textId="57EBD3DB" w:rsidR="000D5292" w:rsidRPr="004A01CD" w:rsidRDefault="004A01CD">
      <w:pPr>
        <w:pStyle w:val="TOC2"/>
        <w:tabs>
          <w:tab w:val="right" w:leader="dot" w:pos="9016"/>
        </w:tabs>
        <w:rPr>
          <w:rFonts w:asciiTheme="minorHAnsi" w:eastAsiaTheme="minorEastAsia" w:hAnsiTheme="minorHAnsi"/>
          <w:noProof/>
          <w:lang w:eastAsia="en-AU"/>
        </w:rPr>
      </w:pPr>
      <w:hyperlink w:anchor="_Toc34146624" w:history="1">
        <w:r w:rsidR="000D5292" w:rsidRPr="004A01CD">
          <w:rPr>
            <w:rStyle w:val="Hyperlink"/>
            <w:noProof/>
          </w:rPr>
          <w:t>Slide 69: The outcomes indicator on choice and control was above benchmark for Limestone Coast (SA) for all support categories</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_Toc34146624 \h </w:instrText>
        </w:r>
        <w:r w:rsidR="000D5292" w:rsidRPr="004A01CD">
          <w:rPr>
            <w:noProof/>
            <w:webHidden/>
          </w:rPr>
        </w:r>
        <w:r w:rsidR="000D5292" w:rsidRPr="004A01CD">
          <w:rPr>
            <w:noProof/>
            <w:webHidden/>
          </w:rPr>
          <w:fldChar w:fldCharType="separate"/>
        </w:r>
        <w:r w:rsidR="000D5292" w:rsidRPr="004A01CD">
          <w:rPr>
            <w:noProof/>
            <w:webHidden/>
          </w:rPr>
          <w:t>26</w:t>
        </w:r>
        <w:r w:rsidR="000D5292" w:rsidRPr="004A01CD">
          <w:rPr>
            <w:noProof/>
            <w:webHidden/>
          </w:rPr>
          <w:fldChar w:fldCharType="end"/>
        </w:r>
      </w:hyperlink>
    </w:p>
    <w:p w14:paraId="3CF15811" w14:textId="5577F736" w:rsidR="000D5292" w:rsidRPr="004A01CD" w:rsidRDefault="004A01CD">
      <w:pPr>
        <w:pStyle w:val="TOC2"/>
        <w:tabs>
          <w:tab w:val="right" w:leader="dot" w:pos="9016"/>
        </w:tabs>
        <w:rPr>
          <w:rFonts w:asciiTheme="minorHAnsi" w:eastAsiaTheme="minorEastAsia" w:hAnsiTheme="minorHAnsi"/>
          <w:noProof/>
          <w:lang w:eastAsia="en-AU"/>
        </w:rPr>
      </w:pPr>
      <w:hyperlink w:anchor="_Toc34146625" w:history="1">
        <w:r w:rsidR="000D5292" w:rsidRPr="004A01CD">
          <w:rPr>
            <w:rStyle w:val="Hyperlink"/>
            <w:noProof/>
          </w:rPr>
          <w:t>Slide 70: The outcomes indicator on choice and control is above benchmark driven by participants between 19 and 64 years of age</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_Toc34146625 \h </w:instrText>
        </w:r>
        <w:r w:rsidR="000D5292" w:rsidRPr="004A01CD">
          <w:rPr>
            <w:noProof/>
            <w:webHidden/>
          </w:rPr>
        </w:r>
        <w:r w:rsidR="000D5292" w:rsidRPr="004A01CD">
          <w:rPr>
            <w:noProof/>
            <w:webHidden/>
          </w:rPr>
          <w:fldChar w:fldCharType="separate"/>
        </w:r>
        <w:r w:rsidR="000D5292" w:rsidRPr="004A01CD">
          <w:rPr>
            <w:noProof/>
            <w:webHidden/>
          </w:rPr>
          <w:t>26</w:t>
        </w:r>
        <w:r w:rsidR="000D5292" w:rsidRPr="004A01CD">
          <w:rPr>
            <w:noProof/>
            <w:webHidden/>
          </w:rPr>
          <w:fldChar w:fldCharType="end"/>
        </w:r>
      </w:hyperlink>
    </w:p>
    <w:p w14:paraId="11CC5E05" w14:textId="3602975B" w:rsidR="000D5292" w:rsidRPr="004A01CD" w:rsidRDefault="004A01CD">
      <w:pPr>
        <w:pStyle w:val="TOC2"/>
        <w:tabs>
          <w:tab w:val="right" w:leader="dot" w:pos="9016"/>
        </w:tabs>
        <w:rPr>
          <w:rFonts w:asciiTheme="minorHAnsi" w:eastAsiaTheme="minorEastAsia" w:hAnsiTheme="minorHAnsi"/>
          <w:noProof/>
          <w:lang w:eastAsia="en-AU"/>
        </w:rPr>
      </w:pPr>
      <w:hyperlink w:anchor="_Toc34146626" w:history="1">
        <w:r w:rsidR="000D5292" w:rsidRPr="004A01CD">
          <w:rPr>
            <w:rStyle w:val="Hyperlink"/>
            <w:noProof/>
          </w:rPr>
          <w:t>Slide 71: The outcomes indicator on choice and control being above benchmark is driven by participants with psychosocial disability and intellectual disability</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_Toc34146626 \h </w:instrText>
        </w:r>
        <w:r w:rsidR="000D5292" w:rsidRPr="004A01CD">
          <w:rPr>
            <w:noProof/>
            <w:webHidden/>
          </w:rPr>
        </w:r>
        <w:r w:rsidR="000D5292" w:rsidRPr="004A01CD">
          <w:rPr>
            <w:noProof/>
            <w:webHidden/>
          </w:rPr>
          <w:fldChar w:fldCharType="separate"/>
        </w:r>
        <w:r w:rsidR="000D5292" w:rsidRPr="004A01CD">
          <w:rPr>
            <w:noProof/>
            <w:webHidden/>
          </w:rPr>
          <w:t>26</w:t>
        </w:r>
        <w:r w:rsidR="000D5292" w:rsidRPr="004A01CD">
          <w:rPr>
            <w:noProof/>
            <w:webHidden/>
          </w:rPr>
          <w:fldChar w:fldCharType="end"/>
        </w:r>
      </w:hyperlink>
    </w:p>
    <w:p w14:paraId="683F911F" w14:textId="15EDD80D" w:rsidR="000D5292" w:rsidRPr="004A01CD" w:rsidRDefault="004A01CD">
      <w:pPr>
        <w:pStyle w:val="TOC2"/>
        <w:tabs>
          <w:tab w:val="right" w:leader="dot" w:pos="9016"/>
        </w:tabs>
        <w:rPr>
          <w:rFonts w:asciiTheme="minorHAnsi" w:eastAsiaTheme="minorEastAsia" w:hAnsiTheme="minorHAnsi"/>
          <w:noProof/>
          <w:lang w:eastAsia="en-AU"/>
        </w:rPr>
      </w:pPr>
      <w:hyperlink w:anchor="_Toc34146627" w:history="1">
        <w:r w:rsidR="000D5292" w:rsidRPr="004A01CD">
          <w:rPr>
            <w:rStyle w:val="Hyperlink"/>
            <w:noProof/>
          </w:rPr>
          <w:t>Slide 72: Copyright Notice</w:t>
        </w:r>
        <w:r w:rsidR="000D5292" w:rsidRPr="004A01CD">
          <w:rPr>
            <w:noProof/>
            <w:webHidden/>
          </w:rPr>
          <w:tab/>
        </w:r>
        <w:r w:rsidR="000D5292" w:rsidRPr="004A01CD">
          <w:rPr>
            <w:noProof/>
            <w:webHidden/>
          </w:rPr>
          <w:fldChar w:fldCharType="begin"/>
        </w:r>
        <w:r w:rsidR="000D5292" w:rsidRPr="004A01CD">
          <w:rPr>
            <w:noProof/>
            <w:webHidden/>
          </w:rPr>
          <w:instrText xml:space="preserve"> PAGEREF _Toc34146627 \h </w:instrText>
        </w:r>
        <w:r w:rsidR="000D5292" w:rsidRPr="004A01CD">
          <w:rPr>
            <w:noProof/>
            <w:webHidden/>
          </w:rPr>
        </w:r>
        <w:r w:rsidR="000D5292" w:rsidRPr="004A01CD">
          <w:rPr>
            <w:noProof/>
            <w:webHidden/>
          </w:rPr>
          <w:fldChar w:fldCharType="separate"/>
        </w:r>
        <w:r w:rsidR="000D5292" w:rsidRPr="004A01CD">
          <w:rPr>
            <w:noProof/>
            <w:webHidden/>
          </w:rPr>
          <w:t>27</w:t>
        </w:r>
        <w:r w:rsidR="000D5292" w:rsidRPr="004A01CD">
          <w:rPr>
            <w:noProof/>
            <w:webHidden/>
          </w:rPr>
          <w:fldChar w:fldCharType="end"/>
        </w:r>
      </w:hyperlink>
    </w:p>
    <w:p w14:paraId="2D1C9FB4" w14:textId="4A881D1C" w:rsidR="00410810" w:rsidRPr="004A01CD" w:rsidRDefault="00410810" w:rsidP="00C834BA">
      <w:pPr>
        <w:jc w:val="both"/>
        <w:rPr>
          <w:rFonts w:cs="Arial"/>
        </w:rPr>
      </w:pPr>
      <w:r w:rsidRPr="004A01CD">
        <w:rPr>
          <w:rFonts w:cs="Arial"/>
        </w:rPr>
        <w:fldChar w:fldCharType="end"/>
      </w:r>
    </w:p>
    <w:p w14:paraId="00327C33" w14:textId="77777777" w:rsidR="000B1117" w:rsidRPr="004A01CD" w:rsidRDefault="000B1117" w:rsidP="00C834BA">
      <w:pPr>
        <w:spacing w:after="200" w:line="276" w:lineRule="auto"/>
        <w:jc w:val="both"/>
        <w:rPr>
          <w:rFonts w:eastAsiaTheme="majorEastAsia" w:cs="Arial"/>
          <w:b/>
          <w:bCs/>
          <w:color w:val="6A2875"/>
        </w:rPr>
      </w:pPr>
      <w:r w:rsidRPr="004A01CD">
        <w:rPr>
          <w:rFonts w:cs="Arial"/>
        </w:rPr>
        <w:br w:type="page"/>
      </w:r>
    </w:p>
    <w:p w14:paraId="0D56AD39" w14:textId="0EECD8CE" w:rsidR="00FF429B" w:rsidRPr="004A01CD" w:rsidRDefault="00FF429B" w:rsidP="003A7B01">
      <w:pPr>
        <w:pStyle w:val="Heading2"/>
      </w:pPr>
      <w:bookmarkStart w:id="7" w:name="_Toc34146556"/>
      <w:r w:rsidRPr="004A01CD">
        <w:lastRenderedPageBreak/>
        <w:t xml:space="preserve">Slide 1: </w:t>
      </w:r>
      <w:r w:rsidR="00861638" w:rsidRPr="004A01CD">
        <w:t>The NDIS Market – 3</w:t>
      </w:r>
      <w:r w:rsidR="00981F23" w:rsidRPr="004A01CD">
        <w:t>1</w:t>
      </w:r>
      <w:r w:rsidR="00861638" w:rsidRPr="004A01CD">
        <w:t xml:space="preserve"> </w:t>
      </w:r>
      <w:r w:rsidR="00981F23" w:rsidRPr="004A01CD">
        <w:t xml:space="preserve">December </w:t>
      </w:r>
      <w:r w:rsidR="00861638" w:rsidRPr="004A01CD">
        <w:t>2019</w:t>
      </w:r>
      <w:bookmarkEnd w:id="7"/>
    </w:p>
    <w:p w14:paraId="5D937BEC" w14:textId="3CAF4308" w:rsidR="0021480A" w:rsidRPr="004A01CD" w:rsidRDefault="0021480A" w:rsidP="003A7B01">
      <w:pPr>
        <w:pStyle w:val="Heading2"/>
      </w:pPr>
      <w:bookmarkStart w:id="8" w:name="_Toc34146557"/>
      <w:r w:rsidRPr="004A01CD">
        <w:t xml:space="preserve">Slide 2: </w:t>
      </w:r>
      <w:r w:rsidR="00861638" w:rsidRPr="004A01CD">
        <w:t>Outline</w:t>
      </w:r>
      <w:bookmarkEnd w:id="8"/>
    </w:p>
    <w:p w14:paraId="74527DD2" w14:textId="76DE0D15" w:rsidR="0021480A" w:rsidRPr="004A01CD" w:rsidRDefault="0021480A" w:rsidP="00C834BA">
      <w:pPr>
        <w:jc w:val="both"/>
        <w:rPr>
          <w:rFonts w:cs="Arial"/>
        </w:rPr>
      </w:pPr>
      <w:r w:rsidRPr="004A01CD">
        <w:rPr>
          <w:rFonts w:cs="Arial"/>
        </w:rPr>
        <w:t>The presentation will discuss the following topics:</w:t>
      </w:r>
    </w:p>
    <w:p w14:paraId="5927E294" w14:textId="64F68728" w:rsidR="00861638" w:rsidRPr="004A01CD" w:rsidRDefault="00861638" w:rsidP="00C834BA">
      <w:pPr>
        <w:jc w:val="both"/>
        <w:rPr>
          <w:rFonts w:cs="Arial"/>
        </w:rPr>
      </w:pPr>
      <w:r w:rsidRPr="004A01CD">
        <w:rPr>
          <w:rFonts w:cs="Arial"/>
        </w:rPr>
        <w:t>Introduction</w:t>
      </w:r>
    </w:p>
    <w:p w14:paraId="6A2C20DA" w14:textId="43B7264C" w:rsidR="00861638" w:rsidRPr="004A01CD" w:rsidRDefault="00861638" w:rsidP="00C834BA">
      <w:pPr>
        <w:jc w:val="both"/>
        <w:rPr>
          <w:rFonts w:cs="Arial"/>
        </w:rPr>
      </w:pPr>
      <w:r w:rsidRPr="004A01CD">
        <w:rPr>
          <w:rFonts w:cs="Arial"/>
        </w:rPr>
        <w:t>Key insights</w:t>
      </w:r>
    </w:p>
    <w:p w14:paraId="39F54A46" w14:textId="77777777" w:rsidR="00861638" w:rsidRPr="004A01CD" w:rsidRDefault="00861638" w:rsidP="00C834BA">
      <w:pPr>
        <w:jc w:val="both"/>
        <w:rPr>
          <w:rFonts w:cs="Arial"/>
        </w:rPr>
      </w:pPr>
      <w:r w:rsidRPr="004A01CD">
        <w:rPr>
          <w:rFonts w:cs="Arial"/>
        </w:rPr>
        <w:t>– Plan utilisation</w:t>
      </w:r>
    </w:p>
    <w:p w14:paraId="122F3BAB" w14:textId="77777777" w:rsidR="00861638" w:rsidRPr="004A01CD" w:rsidRDefault="00861638" w:rsidP="00C834BA">
      <w:pPr>
        <w:jc w:val="both"/>
        <w:rPr>
          <w:rFonts w:cs="Arial"/>
        </w:rPr>
      </w:pPr>
      <w:r w:rsidRPr="004A01CD">
        <w:rPr>
          <w:rFonts w:cs="Arial"/>
        </w:rPr>
        <w:t>– Provider concentration</w:t>
      </w:r>
    </w:p>
    <w:p w14:paraId="3910D99A" w14:textId="77777777" w:rsidR="00861638" w:rsidRPr="004A01CD" w:rsidRDefault="00861638" w:rsidP="00C834BA">
      <w:pPr>
        <w:jc w:val="both"/>
        <w:rPr>
          <w:rFonts w:cs="Arial"/>
        </w:rPr>
      </w:pPr>
      <w:r w:rsidRPr="004A01CD">
        <w:rPr>
          <w:rFonts w:cs="Arial"/>
        </w:rPr>
        <w:t>– Outcomes indicator on choice and control</w:t>
      </w:r>
    </w:p>
    <w:p w14:paraId="1027BED7" w14:textId="54CEB0A9" w:rsidR="00861638" w:rsidRPr="004A01CD" w:rsidRDefault="003C323A" w:rsidP="00C834BA">
      <w:pPr>
        <w:jc w:val="both"/>
        <w:rPr>
          <w:rFonts w:cs="Arial"/>
        </w:rPr>
      </w:pPr>
      <w:r w:rsidRPr="004A01CD">
        <w:rPr>
          <w:rFonts w:cs="Arial"/>
        </w:rPr>
        <w:t>Regional hotspots</w:t>
      </w:r>
    </w:p>
    <w:p w14:paraId="4F4E39AF" w14:textId="77777777" w:rsidR="003C323A" w:rsidRPr="004A01CD" w:rsidRDefault="003C323A" w:rsidP="003C323A">
      <w:pPr>
        <w:numPr>
          <w:ilvl w:val="0"/>
          <w:numId w:val="21"/>
        </w:numPr>
        <w:jc w:val="both"/>
        <w:rPr>
          <w:rFonts w:cs="Arial"/>
        </w:rPr>
      </w:pPr>
      <w:r w:rsidRPr="004A01CD">
        <w:rPr>
          <w:rFonts w:cs="Arial"/>
        </w:rPr>
        <w:t xml:space="preserve">Outer Gippsland (VIC) </w:t>
      </w:r>
    </w:p>
    <w:p w14:paraId="0707CE30" w14:textId="77777777" w:rsidR="003C323A" w:rsidRPr="004A01CD" w:rsidRDefault="003C323A" w:rsidP="003C323A">
      <w:pPr>
        <w:numPr>
          <w:ilvl w:val="0"/>
          <w:numId w:val="21"/>
        </w:numPr>
        <w:jc w:val="both"/>
        <w:rPr>
          <w:rFonts w:cs="Arial"/>
        </w:rPr>
      </w:pPr>
      <w:r w:rsidRPr="004A01CD">
        <w:rPr>
          <w:rFonts w:cs="Arial"/>
        </w:rPr>
        <w:t>Eyre and Western (SA)</w:t>
      </w:r>
    </w:p>
    <w:p w14:paraId="517DB239" w14:textId="77777777" w:rsidR="003C323A" w:rsidRPr="004A01CD" w:rsidRDefault="003C323A" w:rsidP="003C323A">
      <w:pPr>
        <w:numPr>
          <w:ilvl w:val="0"/>
          <w:numId w:val="21"/>
        </w:numPr>
        <w:jc w:val="both"/>
        <w:rPr>
          <w:rFonts w:cs="Arial"/>
        </w:rPr>
      </w:pPr>
      <w:r w:rsidRPr="004A01CD">
        <w:rPr>
          <w:rFonts w:cs="Arial"/>
        </w:rPr>
        <w:t>Darwin Remote (NT)</w:t>
      </w:r>
    </w:p>
    <w:p w14:paraId="5E2B03AE" w14:textId="77777777" w:rsidR="003C323A" w:rsidRPr="004A01CD" w:rsidRDefault="003C323A" w:rsidP="003C323A">
      <w:pPr>
        <w:numPr>
          <w:ilvl w:val="0"/>
          <w:numId w:val="21"/>
        </w:numPr>
        <w:jc w:val="both"/>
        <w:rPr>
          <w:rFonts w:cs="Arial"/>
        </w:rPr>
      </w:pPr>
      <w:r w:rsidRPr="004A01CD">
        <w:rPr>
          <w:rFonts w:cs="Arial"/>
        </w:rPr>
        <w:t>Kimberley-Pilbara (WA)</w:t>
      </w:r>
    </w:p>
    <w:p w14:paraId="33391549" w14:textId="77777777" w:rsidR="003C323A" w:rsidRPr="004A01CD" w:rsidRDefault="003C323A" w:rsidP="003C323A">
      <w:pPr>
        <w:numPr>
          <w:ilvl w:val="0"/>
          <w:numId w:val="21"/>
        </w:numPr>
        <w:jc w:val="both"/>
        <w:rPr>
          <w:rFonts w:cs="Arial"/>
        </w:rPr>
      </w:pPr>
      <w:r w:rsidRPr="004A01CD">
        <w:rPr>
          <w:rFonts w:cs="Arial"/>
        </w:rPr>
        <w:t>Goldfields-Esperance (WA)</w:t>
      </w:r>
    </w:p>
    <w:p w14:paraId="2FF25AA7" w14:textId="77777777" w:rsidR="003C323A" w:rsidRPr="004A01CD" w:rsidRDefault="003C323A" w:rsidP="003C323A">
      <w:pPr>
        <w:numPr>
          <w:ilvl w:val="0"/>
          <w:numId w:val="21"/>
        </w:numPr>
        <w:jc w:val="both"/>
        <w:rPr>
          <w:rFonts w:cs="Arial"/>
        </w:rPr>
      </w:pPr>
      <w:r w:rsidRPr="004A01CD">
        <w:rPr>
          <w:rFonts w:cs="Arial"/>
        </w:rPr>
        <w:t>Central Australia (NT)</w:t>
      </w:r>
    </w:p>
    <w:p w14:paraId="7F8C76EE" w14:textId="77777777" w:rsidR="003C323A" w:rsidRPr="004A01CD" w:rsidRDefault="003C323A" w:rsidP="003C323A">
      <w:pPr>
        <w:numPr>
          <w:ilvl w:val="0"/>
          <w:numId w:val="21"/>
        </w:numPr>
        <w:jc w:val="both"/>
        <w:rPr>
          <w:rFonts w:cs="Arial"/>
        </w:rPr>
      </w:pPr>
      <w:r w:rsidRPr="004A01CD">
        <w:rPr>
          <w:rFonts w:cs="Arial"/>
        </w:rPr>
        <w:t>Limestone Coast (SA)</w:t>
      </w:r>
    </w:p>
    <w:p w14:paraId="6C8E60C7" w14:textId="77777777" w:rsidR="004A01CD" w:rsidRPr="004A01CD" w:rsidRDefault="004A01CD" w:rsidP="003A7B01">
      <w:pPr>
        <w:pStyle w:val="Heading2"/>
      </w:pPr>
      <w:bookmarkStart w:id="9" w:name="_Toc34146558"/>
    </w:p>
    <w:p w14:paraId="5E1A5924" w14:textId="4D5FBACE" w:rsidR="0021480A" w:rsidRPr="004A01CD" w:rsidRDefault="00E57243" w:rsidP="003A7B01">
      <w:pPr>
        <w:pStyle w:val="Heading2"/>
      </w:pPr>
      <w:r w:rsidRPr="004A01CD">
        <w:t>Slide 3:</w:t>
      </w:r>
      <w:r w:rsidR="003237EE" w:rsidRPr="004A01CD">
        <w:t xml:space="preserve"> 01</w:t>
      </w:r>
      <w:r w:rsidRPr="004A01CD">
        <w:t xml:space="preserve"> </w:t>
      </w:r>
      <w:r w:rsidR="00861638" w:rsidRPr="004A01CD">
        <w:t>Introduction</w:t>
      </w:r>
      <w:bookmarkEnd w:id="9"/>
    </w:p>
    <w:p w14:paraId="16F41E53" w14:textId="34AD35FB" w:rsidR="006015EC" w:rsidRPr="004A01CD" w:rsidRDefault="006015EC" w:rsidP="00C834BA">
      <w:pPr>
        <w:jc w:val="both"/>
        <w:rPr>
          <w:rFonts w:cs="Arial"/>
        </w:rPr>
      </w:pPr>
      <w:r w:rsidRPr="004A01CD">
        <w:rPr>
          <w:rFonts w:cs="Arial"/>
        </w:rPr>
        <w:t xml:space="preserve">Slides 4 to </w:t>
      </w:r>
      <w:r w:rsidR="003C323A" w:rsidRPr="004A01CD">
        <w:rPr>
          <w:rFonts w:cs="Arial"/>
        </w:rPr>
        <w:t>12</w:t>
      </w:r>
      <w:r w:rsidRPr="004A01CD">
        <w:rPr>
          <w:rFonts w:cs="Arial"/>
        </w:rPr>
        <w:t xml:space="preserve"> serve as an introduction to the analysis</w:t>
      </w:r>
    </w:p>
    <w:p w14:paraId="03D739EE" w14:textId="724E35D1" w:rsidR="00861638" w:rsidRPr="004A01CD" w:rsidRDefault="00861638" w:rsidP="003A7B01">
      <w:pPr>
        <w:pStyle w:val="Heading2"/>
      </w:pPr>
      <w:bookmarkStart w:id="10" w:name="_Toc34146559"/>
      <w:r w:rsidRPr="004A01CD">
        <w:t>Slide 4: Background</w:t>
      </w:r>
      <w:bookmarkEnd w:id="10"/>
    </w:p>
    <w:p w14:paraId="16CB35EB" w14:textId="5644B998" w:rsidR="003C323A" w:rsidRPr="004A01CD" w:rsidRDefault="003C323A" w:rsidP="003C323A">
      <w:pPr>
        <w:rPr>
          <w:rFonts w:cs="Arial"/>
        </w:rPr>
      </w:pPr>
      <w:r w:rsidRPr="004A01CD">
        <w:rPr>
          <w:rFonts w:cs="Arial"/>
          <w:lang w:val="en-US"/>
        </w:rPr>
        <w:t>The purpose of the National Disability Insurance Scheme (NDIS) is to provide reasonable and necessary funding to people with a permanent and significant disability so that they may access the supports and services they need to achieve their goals. Participants receive individual budgets from which they choose the providers to support them.</w:t>
      </w:r>
    </w:p>
    <w:p w14:paraId="0CE03D9C" w14:textId="77777777" w:rsidR="003C323A" w:rsidRPr="004A01CD" w:rsidRDefault="003C323A" w:rsidP="003C323A">
      <w:pPr>
        <w:jc w:val="both"/>
        <w:rPr>
          <w:rFonts w:cs="Arial"/>
        </w:rPr>
      </w:pPr>
      <w:r w:rsidRPr="004A01CD">
        <w:rPr>
          <w:rFonts w:cs="Arial"/>
          <w:lang w:val="en-US"/>
        </w:rPr>
        <w:t>On 30 September 2019, the NDIA released a report on the NDIS market (using 30 June 2019 data – “the June report”).  The aim of this report was to support the purpose of the NDIS by comparing a number of market indicators across geographical regions and participant characteristics to identify “hot spots” where support provision is comparatively lower or higher than the rest of the NDIS market. This report provides an update to this previous report using data at 31 December 2019.</w:t>
      </w:r>
    </w:p>
    <w:p w14:paraId="51ACE0D8" w14:textId="2D06B28E" w:rsidR="003C323A" w:rsidRPr="004A01CD" w:rsidRDefault="003C323A" w:rsidP="003C323A">
      <w:pPr>
        <w:jc w:val="both"/>
        <w:rPr>
          <w:rFonts w:cs="Arial"/>
        </w:rPr>
      </w:pPr>
      <w:r w:rsidRPr="004A01CD">
        <w:rPr>
          <w:rFonts w:cs="Arial"/>
          <w:lang w:val="en-US"/>
        </w:rPr>
        <w:t>As at 31 December 2019, the Scheme had just under 340,000 active participants with approved plans, residing across eighty bilateral regions. Note: Bilateral agreements were signed between the Commonwealth government and the States and Territories; these agreements detailed the Scheme phase-in dates of the 80 regions, which are based on combinations of Local Government Areas (LGAs).</w:t>
      </w:r>
    </w:p>
    <w:p w14:paraId="11A836DB" w14:textId="134DDC3C" w:rsidR="003C323A" w:rsidRPr="004A01CD" w:rsidRDefault="003C323A" w:rsidP="003C323A">
      <w:pPr>
        <w:jc w:val="both"/>
        <w:rPr>
          <w:rFonts w:cs="Arial"/>
          <w:lang w:val="en-US"/>
        </w:rPr>
      </w:pPr>
      <w:r w:rsidRPr="004A01CD">
        <w:rPr>
          <w:rFonts w:cs="Arial"/>
          <w:lang w:val="en-US"/>
        </w:rPr>
        <w:lastRenderedPageBreak/>
        <w:t>This report provides detailed information on 76 of these regions as NDIS service delivery commenced in these areas on or before 1</w:t>
      </w:r>
      <w:r w:rsidRPr="004A01CD">
        <w:rPr>
          <w:rFonts w:cs="Arial"/>
          <w:vertAlign w:val="superscript"/>
          <w:lang w:val="en-US"/>
        </w:rPr>
        <w:t>st</w:t>
      </w:r>
      <w:r w:rsidRPr="004A01CD">
        <w:rPr>
          <w:rFonts w:cs="Arial"/>
          <w:lang w:val="en-US"/>
        </w:rPr>
        <w:t xml:space="preserve"> January 2019. This compares with the June report where 64 regions were included in the analysis (as only 64 regions as the NDIS had only been operating for at least a year at 30 June 2019).</w:t>
      </w:r>
    </w:p>
    <w:p w14:paraId="2F9F9891" w14:textId="110B1EC4" w:rsidR="00861638" w:rsidRPr="004A01CD" w:rsidRDefault="00861638" w:rsidP="006A1DD9">
      <w:pPr>
        <w:pStyle w:val="Heading2"/>
      </w:pPr>
      <w:bookmarkStart w:id="11" w:name="_Toc34146560"/>
      <w:r w:rsidRPr="004A01CD">
        <w:t xml:space="preserve">Slide 5: </w:t>
      </w:r>
      <w:r w:rsidR="003C323A" w:rsidRPr="004A01CD">
        <w:t>Active participants, plan budgets and payments over time</w:t>
      </w:r>
      <w:bookmarkEnd w:id="11"/>
    </w:p>
    <w:p w14:paraId="01E4C4C5" w14:textId="39EC64DF" w:rsidR="003C323A" w:rsidRPr="004A01CD" w:rsidRDefault="003C323A" w:rsidP="003C323A">
      <w:pPr>
        <w:jc w:val="both"/>
        <w:rPr>
          <w:rFonts w:cs="Arial"/>
        </w:rPr>
      </w:pPr>
      <w:r w:rsidRPr="004A01CD">
        <w:rPr>
          <w:rFonts w:cs="Arial"/>
        </w:rPr>
        <w:t xml:space="preserve">The number of participants, plan budgets and payments has grown rapidly since scheme inception. This growth is expected to continue until the scheme reaches maturity, supporting an estimated 500,000 Australians in three to four years time. </w:t>
      </w:r>
    </w:p>
    <w:p w14:paraId="18E1029D" w14:textId="6D9FBC16" w:rsidR="003B090F" w:rsidRPr="004A01CD" w:rsidRDefault="002F6D71" w:rsidP="003C323A">
      <w:pPr>
        <w:jc w:val="both"/>
        <w:rPr>
          <w:rFonts w:cs="Arial"/>
        </w:rPr>
      </w:pPr>
      <w:r w:rsidRPr="004A01CD">
        <w:rPr>
          <w:rFonts w:cs="Arial"/>
        </w:rPr>
        <w:t>A table shows the number of active participants, total committed supports, total payments and utilisation by financial year.</w:t>
      </w:r>
    </w:p>
    <w:p w14:paraId="23FF7B59" w14:textId="7FCA36E1" w:rsidR="002F6D71" w:rsidRPr="004A01CD" w:rsidRDefault="002F6D71" w:rsidP="003C323A">
      <w:pPr>
        <w:jc w:val="both"/>
        <w:rPr>
          <w:rFonts w:cs="Arial"/>
        </w:rPr>
      </w:pPr>
      <w:r w:rsidRPr="004A01CD">
        <w:rPr>
          <w:rFonts w:cs="Arial"/>
        </w:rPr>
        <w:t>For ‘trial years’, there were 29,719 active participants, $1,569 million total committed supports, $1,161 million total payments and utilisation was 74%.</w:t>
      </w:r>
    </w:p>
    <w:p w14:paraId="6D5E5A8F" w14:textId="09221994" w:rsidR="002F6D71" w:rsidRPr="004A01CD" w:rsidRDefault="002F6D71" w:rsidP="003C323A">
      <w:pPr>
        <w:jc w:val="both"/>
        <w:rPr>
          <w:rFonts w:cs="Arial"/>
        </w:rPr>
      </w:pPr>
      <w:r w:rsidRPr="004A01CD">
        <w:rPr>
          <w:rFonts w:cs="Arial"/>
        </w:rPr>
        <w:t>For 2016-17, there were 89,610 active participants, $3,235 million total committed supports, $2,183 million total payments and utilisation was 67%.</w:t>
      </w:r>
    </w:p>
    <w:p w14:paraId="699B7919" w14:textId="370C7E87" w:rsidR="002F6D71" w:rsidRPr="004A01CD" w:rsidRDefault="002F6D71" w:rsidP="002F6D71">
      <w:pPr>
        <w:jc w:val="both"/>
        <w:rPr>
          <w:rFonts w:cs="Arial"/>
        </w:rPr>
      </w:pPr>
      <w:r w:rsidRPr="004A01CD">
        <w:rPr>
          <w:rFonts w:cs="Arial"/>
        </w:rPr>
        <w:t>For 2017-18, there were 172,333 active participants, $7,740 million total committed supports, $5,420 million total payments and utilisation was 70%.</w:t>
      </w:r>
    </w:p>
    <w:p w14:paraId="37E95D04" w14:textId="60D26191" w:rsidR="002F6D71" w:rsidRPr="004A01CD" w:rsidRDefault="002F6D71" w:rsidP="002F6D71">
      <w:pPr>
        <w:jc w:val="both"/>
        <w:rPr>
          <w:rFonts w:cs="Arial"/>
        </w:rPr>
      </w:pPr>
      <w:r w:rsidRPr="004A01CD">
        <w:rPr>
          <w:rFonts w:cs="Arial"/>
        </w:rPr>
        <w:t>For 2018-19, there were 286,015 active participants, $14,456 million total committed supports, $10,205 million total payments and utilisation was 70%.</w:t>
      </w:r>
    </w:p>
    <w:p w14:paraId="507BCF37" w14:textId="2437EE9B" w:rsidR="002F6D71" w:rsidRPr="004A01CD" w:rsidRDefault="002F6D71" w:rsidP="002F6D71">
      <w:pPr>
        <w:jc w:val="both"/>
        <w:rPr>
          <w:rFonts w:cs="Arial"/>
        </w:rPr>
      </w:pPr>
      <w:r w:rsidRPr="004A01CD">
        <w:rPr>
          <w:rFonts w:cs="Arial"/>
        </w:rPr>
        <w:t>For 2019-20 year to date</w:t>
      </w:r>
      <w:r w:rsidR="00327A47" w:rsidRPr="004A01CD">
        <w:rPr>
          <w:rFonts w:cs="Arial"/>
        </w:rPr>
        <w:t xml:space="preserve"> (YTD)</w:t>
      </w:r>
      <w:r w:rsidRPr="004A01CD">
        <w:rPr>
          <w:rFonts w:cs="Arial"/>
        </w:rPr>
        <w:t>, there were 338,982 active participants, $11,091 million total committed supports and $6,944 million total payments. Note: There is a lag between when support is provided and when it is paid – hence, payments will increase.</w:t>
      </w:r>
    </w:p>
    <w:p w14:paraId="7FD01751" w14:textId="789CC59E" w:rsidR="003B090F" w:rsidRPr="004A01CD" w:rsidRDefault="003B090F" w:rsidP="003A7B01">
      <w:pPr>
        <w:pStyle w:val="Heading2"/>
      </w:pPr>
      <w:bookmarkStart w:id="12" w:name="_Toc34146561"/>
      <w:r w:rsidRPr="004A01CD">
        <w:t xml:space="preserve">Slide 6:  </w:t>
      </w:r>
      <w:r w:rsidR="00AF228B" w:rsidRPr="004A01CD">
        <w:t>P</w:t>
      </w:r>
      <w:r w:rsidR="00AC6018" w:rsidRPr="004A01CD">
        <w:t>ayments by support category</w:t>
      </w:r>
      <w:bookmarkEnd w:id="12"/>
    </w:p>
    <w:p w14:paraId="53E411CF" w14:textId="77777777" w:rsidR="00AF228B" w:rsidRPr="004A01CD" w:rsidRDefault="00AF228B" w:rsidP="00AF228B">
      <w:pPr>
        <w:jc w:val="both"/>
        <w:rPr>
          <w:rFonts w:cs="Arial"/>
        </w:rPr>
      </w:pPr>
      <w:r w:rsidRPr="004A01CD">
        <w:rPr>
          <w:rFonts w:cs="Arial"/>
        </w:rPr>
        <w:t xml:space="preserve">The level of payments vary between support categories, with the largest three being Core – Daily Activities, Core – Community and Capacity Building – Daily Activities </w:t>
      </w:r>
    </w:p>
    <w:p w14:paraId="5F1F6BF1" w14:textId="2FA095AE" w:rsidR="003B090F" w:rsidRPr="004A01CD" w:rsidRDefault="00327A47" w:rsidP="00327A47">
      <w:pPr>
        <w:jc w:val="both"/>
        <w:rPr>
          <w:rFonts w:cs="Arial"/>
        </w:rPr>
      </w:pPr>
      <w:r w:rsidRPr="004A01CD">
        <w:rPr>
          <w:rFonts w:cs="Arial"/>
        </w:rPr>
        <w:t>A table shows total payments split by support category and financial year. For 2019-20 YTD, it also shows payments for each support category as a percentage of total supports.</w:t>
      </w:r>
    </w:p>
    <w:p w14:paraId="3E9AF613" w14:textId="154225A1" w:rsidR="00327A47" w:rsidRPr="004A01CD" w:rsidRDefault="00BB5B1A" w:rsidP="00327A47">
      <w:pPr>
        <w:jc w:val="both"/>
        <w:rPr>
          <w:rFonts w:cs="Arial"/>
        </w:rPr>
      </w:pPr>
      <w:r w:rsidRPr="004A01CD">
        <w:rPr>
          <w:rFonts w:cs="Arial"/>
        </w:rPr>
        <w:t xml:space="preserve">The largest support categories by payments made are: Core – Daily Activities, making up 55% of payments, Core-Community with 18%, Capacity Building - Daily Activities with 11%, Core – Transport with 4% and Capital – Assistive Technology with 3%. All other support categories are less than 2% of total payments. </w:t>
      </w:r>
    </w:p>
    <w:p w14:paraId="56A4CC3B" w14:textId="41F7DBC1" w:rsidR="00327A47" w:rsidRPr="004A01CD" w:rsidRDefault="003D303B" w:rsidP="00327A47">
      <w:pPr>
        <w:jc w:val="both"/>
        <w:rPr>
          <w:rFonts w:cs="Arial"/>
        </w:rPr>
      </w:pPr>
      <w:r w:rsidRPr="004A01CD">
        <w:rPr>
          <w:rFonts w:cs="Arial"/>
        </w:rPr>
        <w:t>The percentage of total payments consisting of Core – Daily Activities has declined steadily since 2016-17 (61% of payments</w:t>
      </w:r>
      <w:r w:rsidR="00606B47" w:rsidRPr="004A01CD">
        <w:rPr>
          <w:rFonts w:cs="Arial"/>
        </w:rPr>
        <w:t xml:space="preserve">), </w:t>
      </w:r>
      <w:r w:rsidRPr="004A01CD">
        <w:rPr>
          <w:rFonts w:cs="Arial"/>
        </w:rPr>
        <w:t xml:space="preserve">while Core – Community has increased steadily from 14% in 2016-17. </w:t>
      </w:r>
      <w:r w:rsidR="00606B47" w:rsidRPr="004A01CD">
        <w:rPr>
          <w:rFonts w:cs="Arial"/>
        </w:rPr>
        <w:t xml:space="preserve">The percentage of total payments consisting of Capacity Building – Daily Activities has been increasing since 2017-18 (8% of payments). </w:t>
      </w:r>
    </w:p>
    <w:p w14:paraId="1C2B9DB0" w14:textId="5969784D" w:rsidR="002841FE" w:rsidRPr="004A01CD" w:rsidRDefault="002841FE" w:rsidP="003A7B01">
      <w:pPr>
        <w:pStyle w:val="Heading2"/>
      </w:pPr>
      <w:bookmarkStart w:id="13" w:name="_Toc34146562"/>
      <w:r w:rsidRPr="004A01CD">
        <w:t xml:space="preserve">Slide </w:t>
      </w:r>
      <w:r w:rsidR="00746B56" w:rsidRPr="004A01CD">
        <w:t>7</w:t>
      </w:r>
      <w:r w:rsidRPr="004A01CD">
        <w:t xml:space="preserve">: </w:t>
      </w:r>
      <w:r w:rsidR="009D4433" w:rsidRPr="004A01CD">
        <w:t>Key indicators for monitoring the NDIS market</w:t>
      </w:r>
      <w:bookmarkEnd w:id="13"/>
    </w:p>
    <w:p w14:paraId="59D14A2D" w14:textId="5A9F0E59" w:rsidR="009D4433" w:rsidRPr="004A01CD" w:rsidRDefault="009D4433" w:rsidP="009D4433">
      <w:pPr>
        <w:rPr>
          <w:rFonts w:cs="Arial"/>
        </w:rPr>
      </w:pPr>
      <w:r w:rsidRPr="004A01CD">
        <w:rPr>
          <w:rFonts w:cs="Arial"/>
        </w:rPr>
        <w:t xml:space="preserve">The NDIA corporate plan 2019-2023 lists four performance indicators for Aspiration Two – </w:t>
      </w:r>
      <w:r w:rsidRPr="004A01CD">
        <w:rPr>
          <w:rFonts w:cs="Arial"/>
          <w:i/>
          <w:iCs/>
        </w:rPr>
        <w:t>a competitive market with innovative supports</w:t>
      </w:r>
      <w:r w:rsidRPr="004A01CD">
        <w:rPr>
          <w:rFonts w:cs="Arial"/>
        </w:rPr>
        <w:t>. Specifically the indicators are on:</w:t>
      </w:r>
    </w:p>
    <w:p w14:paraId="4D17959C" w14:textId="5B75B2D8" w:rsidR="009D4433" w:rsidRPr="004A01CD" w:rsidRDefault="009D4433" w:rsidP="009D4433">
      <w:pPr>
        <w:pStyle w:val="ListParagraph"/>
        <w:numPr>
          <w:ilvl w:val="0"/>
          <w:numId w:val="22"/>
        </w:numPr>
        <w:jc w:val="both"/>
        <w:rPr>
          <w:rFonts w:cs="Arial"/>
        </w:rPr>
      </w:pPr>
      <w:r w:rsidRPr="004A01CD">
        <w:rPr>
          <w:rFonts w:cs="Arial"/>
        </w:rPr>
        <w:t>Choice and control</w:t>
      </w:r>
    </w:p>
    <w:p w14:paraId="1CD365C7" w14:textId="7ABB49FA" w:rsidR="009D4433" w:rsidRPr="004A01CD" w:rsidRDefault="009D4433" w:rsidP="009D4433">
      <w:pPr>
        <w:pStyle w:val="ListParagraph"/>
        <w:numPr>
          <w:ilvl w:val="0"/>
          <w:numId w:val="22"/>
        </w:numPr>
        <w:jc w:val="both"/>
        <w:rPr>
          <w:rFonts w:cs="Arial"/>
        </w:rPr>
      </w:pPr>
      <w:r w:rsidRPr="004A01CD">
        <w:rPr>
          <w:rFonts w:cs="Arial"/>
        </w:rPr>
        <w:t>Provider sentiment and confidence</w:t>
      </w:r>
    </w:p>
    <w:p w14:paraId="74F4508B" w14:textId="612940EB" w:rsidR="009D4433" w:rsidRPr="004A01CD" w:rsidRDefault="009D4433" w:rsidP="009D4433">
      <w:pPr>
        <w:pStyle w:val="ListParagraph"/>
        <w:numPr>
          <w:ilvl w:val="0"/>
          <w:numId w:val="22"/>
        </w:numPr>
        <w:jc w:val="both"/>
        <w:rPr>
          <w:rFonts w:cs="Arial"/>
        </w:rPr>
      </w:pPr>
      <w:r w:rsidRPr="004A01CD">
        <w:rPr>
          <w:rFonts w:cs="Arial"/>
        </w:rPr>
        <w:t xml:space="preserve">Plan utilisation </w:t>
      </w:r>
    </w:p>
    <w:p w14:paraId="5BC2C8C0" w14:textId="7D521365" w:rsidR="009D4433" w:rsidRPr="004A01CD" w:rsidRDefault="009D4433" w:rsidP="009D4433">
      <w:pPr>
        <w:pStyle w:val="ListParagraph"/>
        <w:numPr>
          <w:ilvl w:val="0"/>
          <w:numId w:val="22"/>
        </w:numPr>
        <w:jc w:val="both"/>
        <w:rPr>
          <w:rFonts w:cs="Arial"/>
        </w:rPr>
      </w:pPr>
      <w:r w:rsidRPr="004A01CD">
        <w:rPr>
          <w:rFonts w:cs="Arial"/>
        </w:rPr>
        <w:lastRenderedPageBreak/>
        <w:t xml:space="preserve">Market concentration </w:t>
      </w:r>
    </w:p>
    <w:p w14:paraId="5A9C4916" w14:textId="77777777" w:rsidR="009D4433" w:rsidRPr="004A01CD" w:rsidRDefault="009D4433" w:rsidP="009D4433">
      <w:pPr>
        <w:jc w:val="both"/>
        <w:rPr>
          <w:rFonts w:cs="Arial"/>
        </w:rPr>
      </w:pPr>
      <w:r w:rsidRPr="004A01CD">
        <w:rPr>
          <w:rFonts w:cs="Arial"/>
        </w:rPr>
        <w:t xml:space="preserve">This document includes a deep dive into three of these metrics (choice and control, plan utilisation, and market concentration). </w:t>
      </w:r>
    </w:p>
    <w:p w14:paraId="38ACBAF1" w14:textId="77777777" w:rsidR="009D4433" w:rsidRPr="004A01CD" w:rsidRDefault="009D4433" w:rsidP="009D4433">
      <w:pPr>
        <w:jc w:val="both"/>
        <w:rPr>
          <w:rFonts w:cs="Arial"/>
        </w:rPr>
      </w:pPr>
      <w:r w:rsidRPr="004A01CD">
        <w:rPr>
          <w:rFonts w:cs="Arial"/>
        </w:rPr>
        <w:t>Note that details on the benchmarks for each indicator are set out in Appendix B of the Market Report Appendices (which can be downloaded as a separate presentation on the NDIS website).</w:t>
      </w:r>
    </w:p>
    <w:p w14:paraId="12DD2294" w14:textId="27AE2A78" w:rsidR="00746B56" w:rsidRPr="004A01CD" w:rsidRDefault="00746B56" w:rsidP="00746B56">
      <w:pPr>
        <w:pStyle w:val="Heading2"/>
      </w:pPr>
      <w:bookmarkStart w:id="14" w:name="_Toc34146563"/>
      <w:r w:rsidRPr="004A01CD">
        <w:t xml:space="preserve">Slide 8: </w:t>
      </w:r>
      <w:r w:rsidR="009D4433" w:rsidRPr="004A01CD">
        <w:t xml:space="preserve">Key indicators for monitoring the NDIS market </w:t>
      </w:r>
      <w:r w:rsidR="007C74D1" w:rsidRPr="004A01CD">
        <w:t xml:space="preserve">– </w:t>
      </w:r>
      <w:r w:rsidR="009D4433" w:rsidRPr="004A01CD">
        <w:t>plan utilisation</w:t>
      </w:r>
      <w:bookmarkEnd w:id="14"/>
    </w:p>
    <w:p w14:paraId="3B41BC35" w14:textId="2D0017AF" w:rsidR="00DF671E" w:rsidRPr="004A01CD" w:rsidRDefault="009D4433" w:rsidP="00DF671E">
      <w:pPr>
        <w:jc w:val="both"/>
        <w:rPr>
          <w:rFonts w:cs="Arial"/>
        </w:rPr>
      </w:pPr>
      <w:r w:rsidRPr="004A01CD">
        <w:rPr>
          <w:rFonts w:cs="Arial"/>
        </w:rPr>
        <w:t>For support provided between 1 April 2019 and 30 September 2019, 69% had been utilised nationally, based on data at 31 December 2019.</w:t>
      </w:r>
      <w:r w:rsidR="00DF671E" w:rsidRPr="004A01CD">
        <w:rPr>
          <w:rFonts w:cs="Arial"/>
        </w:rPr>
        <w:t xml:space="preserve"> Note: This allows for a three month lag between when support was provided and when it had been paid. Utilisation will increase as more payments for this support period are made.</w:t>
      </w:r>
    </w:p>
    <w:p w14:paraId="7AEDD2F1" w14:textId="3A17B9DA" w:rsidR="009D4433" w:rsidRPr="004A01CD" w:rsidRDefault="009D4433" w:rsidP="009D4433">
      <w:pPr>
        <w:jc w:val="both"/>
        <w:rPr>
          <w:rFonts w:cs="Arial"/>
        </w:rPr>
      </w:pPr>
      <w:r w:rsidRPr="004A01CD">
        <w:rPr>
          <w:rFonts w:cs="Arial"/>
        </w:rPr>
        <w:t xml:space="preserve"> Experience in other Schemes with individual budgets (internationally and in Australia) indicates that plan utilisation is unlikely to be 100% - however, it should be higher than current levels. Some of the reasons for plans being under-utilised include:</w:t>
      </w:r>
    </w:p>
    <w:p w14:paraId="10C25BD8" w14:textId="77777777" w:rsidR="003237EE" w:rsidRPr="004A01CD" w:rsidRDefault="003237EE" w:rsidP="009D4433">
      <w:pPr>
        <w:pStyle w:val="ListParagraph"/>
        <w:numPr>
          <w:ilvl w:val="0"/>
          <w:numId w:val="25"/>
        </w:numPr>
        <w:jc w:val="both"/>
        <w:rPr>
          <w:rFonts w:cs="Arial"/>
        </w:rPr>
      </w:pPr>
      <w:r w:rsidRPr="004A01CD">
        <w:rPr>
          <w:rFonts w:cs="Arial"/>
        </w:rPr>
        <w:t>More support was provided informally through family, friends and community</w:t>
      </w:r>
    </w:p>
    <w:p w14:paraId="0B4A1D5A" w14:textId="77777777" w:rsidR="003237EE" w:rsidRPr="004A01CD" w:rsidRDefault="003237EE" w:rsidP="009D4433">
      <w:pPr>
        <w:pStyle w:val="ListParagraph"/>
        <w:numPr>
          <w:ilvl w:val="0"/>
          <w:numId w:val="25"/>
        </w:numPr>
        <w:jc w:val="both"/>
        <w:rPr>
          <w:rFonts w:cs="Arial"/>
        </w:rPr>
      </w:pPr>
      <w:r w:rsidRPr="004A01CD">
        <w:rPr>
          <w:rFonts w:cs="Arial"/>
        </w:rPr>
        <w:t>Supports being put in plans “just in case” they are required</w:t>
      </w:r>
    </w:p>
    <w:p w14:paraId="3554BBCB" w14:textId="77777777" w:rsidR="003237EE" w:rsidRPr="004A01CD" w:rsidRDefault="003237EE" w:rsidP="009D4433">
      <w:pPr>
        <w:pStyle w:val="ListParagraph"/>
        <w:numPr>
          <w:ilvl w:val="0"/>
          <w:numId w:val="25"/>
        </w:numPr>
        <w:jc w:val="both"/>
        <w:rPr>
          <w:rFonts w:cs="Arial"/>
        </w:rPr>
      </w:pPr>
      <w:r w:rsidRPr="004A01CD">
        <w:rPr>
          <w:rFonts w:cs="Arial"/>
        </w:rPr>
        <w:t>Participants needing more support to implement their plans</w:t>
      </w:r>
    </w:p>
    <w:p w14:paraId="0EB53A22" w14:textId="77777777" w:rsidR="003237EE" w:rsidRPr="004A01CD" w:rsidRDefault="003237EE" w:rsidP="009D4433">
      <w:pPr>
        <w:pStyle w:val="ListParagraph"/>
        <w:numPr>
          <w:ilvl w:val="0"/>
          <w:numId w:val="25"/>
        </w:numPr>
        <w:jc w:val="both"/>
        <w:rPr>
          <w:rFonts w:cs="Arial"/>
        </w:rPr>
      </w:pPr>
      <w:r w:rsidRPr="004A01CD">
        <w:rPr>
          <w:rFonts w:cs="Arial"/>
        </w:rPr>
        <w:t>Providers needing more support to claim for supports provided</w:t>
      </w:r>
    </w:p>
    <w:p w14:paraId="5983E698" w14:textId="77777777" w:rsidR="003237EE" w:rsidRPr="004A01CD" w:rsidRDefault="003237EE" w:rsidP="009D4433">
      <w:pPr>
        <w:pStyle w:val="ListParagraph"/>
        <w:numPr>
          <w:ilvl w:val="0"/>
          <w:numId w:val="25"/>
        </w:numPr>
        <w:jc w:val="both"/>
        <w:rPr>
          <w:rFonts w:cs="Arial"/>
        </w:rPr>
      </w:pPr>
      <w:r w:rsidRPr="004A01CD">
        <w:rPr>
          <w:rFonts w:cs="Arial"/>
        </w:rPr>
        <w:t>Supports being unavailable in the market.</w:t>
      </w:r>
    </w:p>
    <w:p w14:paraId="3432308F" w14:textId="77777777" w:rsidR="009D4433" w:rsidRPr="004A01CD" w:rsidRDefault="009D4433" w:rsidP="009D4433">
      <w:pPr>
        <w:jc w:val="both"/>
        <w:rPr>
          <w:rFonts w:cs="Arial"/>
        </w:rPr>
      </w:pPr>
      <w:r w:rsidRPr="004A01CD">
        <w:rPr>
          <w:rFonts w:cs="Arial"/>
        </w:rPr>
        <w:t>Combinations of the above factors are likely to be driving the lower than expected utilisation. Recognising that utilisation is lower than expected, significant insights can still be drawn by understanding how utilisation differs from this national average (“the benchmark”) across bilateral regions, participant cohorts, and support categories. In order to compare regions, the two biggest drivers of utilisation are accounted for in the national benchmark to allow like-for-like comparisons – these are:</w:t>
      </w:r>
    </w:p>
    <w:p w14:paraId="047DA18A" w14:textId="77777777" w:rsidR="003237EE" w:rsidRPr="004A01CD" w:rsidRDefault="003237EE" w:rsidP="009D4433">
      <w:pPr>
        <w:pStyle w:val="ListParagraph"/>
        <w:numPr>
          <w:ilvl w:val="0"/>
          <w:numId w:val="26"/>
        </w:numPr>
        <w:jc w:val="both"/>
        <w:rPr>
          <w:rFonts w:cs="Arial"/>
        </w:rPr>
      </w:pPr>
      <w:r w:rsidRPr="004A01CD">
        <w:rPr>
          <w:rFonts w:cs="Arial"/>
        </w:rPr>
        <w:t>Whether or not a participant is in supported independent living (SIL) – with participants in SIL utilising more of their plan compared with those not in SIL (85% compared with 61%)</w:t>
      </w:r>
    </w:p>
    <w:p w14:paraId="62AAD876" w14:textId="77777777" w:rsidR="003237EE" w:rsidRPr="004A01CD" w:rsidRDefault="003237EE" w:rsidP="009D4433">
      <w:pPr>
        <w:pStyle w:val="ListParagraph"/>
        <w:numPr>
          <w:ilvl w:val="0"/>
          <w:numId w:val="26"/>
        </w:numPr>
        <w:jc w:val="both"/>
        <w:rPr>
          <w:rFonts w:cs="Arial"/>
        </w:rPr>
      </w:pPr>
      <w:r w:rsidRPr="004A01CD">
        <w:rPr>
          <w:rFonts w:cs="Arial"/>
        </w:rPr>
        <w:t>The amount of time the participant has been in the Scheme – the longer the participant is in the Scheme the more they utilise their plan (53% for participants on their first plans compared with 78% for participants on their fifth plan).</w:t>
      </w:r>
    </w:p>
    <w:p w14:paraId="4F3F22F3" w14:textId="77777777" w:rsidR="009D4433" w:rsidRPr="004A01CD" w:rsidRDefault="009D4433" w:rsidP="009D4433">
      <w:pPr>
        <w:jc w:val="both"/>
        <w:rPr>
          <w:rFonts w:cs="Arial"/>
        </w:rPr>
      </w:pPr>
      <w:r w:rsidRPr="004A01CD">
        <w:rPr>
          <w:rFonts w:cs="Arial"/>
        </w:rPr>
        <w:t>Regions more than ten percentage points below or above the national benchmark indicate possible thin markets and markets that are doing relatively better than other regions. Some regions that differ substantially from the benchmark are analysed in more detail in this document, including looking at participant characteristics and support categories within the region.</w:t>
      </w:r>
    </w:p>
    <w:p w14:paraId="7298A296" w14:textId="099FA317" w:rsidR="001C1D6B" w:rsidRPr="004A01CD" w:rsidRDefault="001C1D6B" w:rsidP="001C1D6B">
      <w:pPr>
        <w:pStyle w:val="Heading2"/>
      </w:pPr>
      <w:bookmarkStart w:id="15" w:name="_Toc34146564"/>
      <w:r w:rsidRPr="004A01CD">
        <w:t xml:space="preserve">Slide </w:t>
      </w:r>
      <w:r w:rsidR="00B52AE5" w:rsidRPr="004A01CD">
        <w:t>9</w:t>
      </w:r>
      <w:r w:rsidRPr="004A01CD">
        <w:t xml:space="preserve">: </w:t>
      </w:r>
      <w:r w:rsidR="007C74D1" w:rsidRPr="004A01CD">
        <w:t>Key indicators for monitoring the NDIS market – market concentration</w:t>
      </w:r>
      <w:bookmarkEnd w:id="15"/>
    </w:p>
    <w:p w14:paraId="631A52E8" w14:textId="77777777" w:rsidR="007C74D1" w:rsidRPr="004A01CD" w:rsidRDefault="007C74D1" w:rsidP="007C74D1">
      <w:pPr>
        <w:jc w:val="both"/>
        <w:rPr>
          <w:rFonts w:cs="Arial"/>
        </w:rPr>
      </w:pPr>
      <w:r w:rsidRPr="004A01CD">
        <w:rPr>
          <w:rFonts w:cs="Arial"/>
        </w:rPr>
        <w:t xml:space="preserve">Understanding the distribution of payments to service providers in a region can indicate whether a small number of providers receive most of the payments from the NDIA, or whether a large number of providers are receiving the payments. The provider concentration metric is defined as </w:t>
      </w:r>
      <w:r w:rsidRPr="004A01CD">
        <w:rPr>
          <w:rFonts w:cs="Arial"/>
          <w:lang w:val="en-US"/>
        </w:rPr>
        <w:t>t</w:t>
      </w:r>
      <w:r w:rsidRPr="004A01CD">
        <w:rPr>
          <w:rFonts w:cs="Arial"/>
        </w:rPr>
        <w:t>he proportion of total provider payments made to the top ten providers that received the most payments in the exposure period.</w:t>
      </w:r>
    </w:p>
    <w:p w14:paraId="03EB84E6" w14:textId="77777777" w:rsidR="007C74D1" w:rsidRPr="004A01CD" w:rsidRDefault="007C74D1" w:rsidP="007C74D1">
      <w:pPr>
        <w:jc w:val="both"/>
        <w:rPr>
          <w:rFonts w:cs="Arial"/>
        </w:rPr>
      </w:pPr>
      <w:r w:rsidRPr="004A01CD">
        <w:rPr>
          <w:rFonts w:cs="Arial"/>
        </w:rPr>
        <w:lastRenderedPageBreak/>
        <w:t>A low provider concentration means that there is less risk in terms of the importance of a particular provider or group of providers to a region and a high provider concentration might suggest that there is insufficient competition in a region, and that further investment could be of benefit. Regions that have recently phased into the Scheme tend to have high concentration levels as providers are likely to still be entering the market.</w:t>
      </w:r>
    </w:p>
    <w:p w14:paraId="64A248EE" w14:textId="36B1317F" w:rsidR="001C1D6B" w:rsidRPr="004A01CD" w:rsidRDefault="007C74D1" w:rsidP="007C74D1">
      <w:pPr>
        <w:jc w:val="both"/>
        <w:rPr>
          <w:rFonts w:cs="Arial"/>
        </w:rPr>
      </w:pPr>
      <w:r w:rsidRPr="004A01CD">
        <w:rPr>
          <w:rFonts w:cs="Arial"/>
        </w:rPr>
        <w:t>Where only a small number of providers are receiving a large amount of the payments, the market is considered to be more concentrated and could mean that there is less competition in the region. On average across regions, 61% of payments go to the largest ten providers. In this analysis, some regions where more than 85% of payments are going to the ten largest providers are considered in detail, including by looking at participant characteristics and service categories.</w:t>
      </w:r>
    </w:p>
    <w:p w14:paraId="170117ED" w14:textId="6EFF609C" w:rsidR="001C1D6B" w:rsidRPr="004A01CD" w:rsidRDefault="001C1D6B" w:rsidP="001C1D6B">
      <w:pPr>
        <w:pStyle w:val="Heading2"/>
      </w:pPr>
      <w:bookmarkStart w:id="16" w:name="_Toc34146565"/>
      <w:r w:rsidRPr="004A01CD">
        <w:t>Slide 1</w:t>
      </w:r>
      <w:r w:rsidR="00D8006B" w:rsidRPr="004A01CD">
        <w:t>0</w:t>
      </w:r>
      <w:r w:rsidRPr="004A01CD">
        <w:t xml:space="preserve">: Key indicators for monitoring the NDIS market – </w:t>
      </w:r>
      <w:r w:rsidR="007C74D1" w:rsidRPr="004A01CD">
        <w:t>c</w:t>
      </w:r>
      <w:r w:rsidRPr="004A01CD">
        <w:t>hoice and control</w:t>
      </w:r>
      <w:bookmarkEnd w:id="16"/>
    </w:p>
    <w:p w14:paraId="02792F62" w14:textId="77777777" w:rsidR="007C74D1" w:rsidRPr="004A01CD" w:rsidRDefault="007C74D1" w:rsidP="007C74D1">
      <w:pPr>
        <w:jc w:val="both"/>
        <w:rPr>
          <w:rFonts w:cs="Arial"/>
        </w:rPr>
      </w:pPr>
      <w:r w:rsidRPr="004A01CD">
        <w:rPr>
          <w:rFonts w:cs="Arial"/>
        </w:rPr>
        <w:t>The NDIS outcomes framework survey includes two indicators on choice and control which are analysed in depth in this document – capturing the following:</w:t>
      </w:r>
    </w:p>
    <w:p w14:paraId="7E1B7EEA" w14:textId="77777777" w:rsidR="003237EE" w:rsidRPr="004A01CD" w:rsidRDefault="003237EE" w:rsidP="007C74D1">
      <w:pPr>
        <w:numPr>
          <w:ilvl w:val="0"/>
          <w:numId w:val="27"/>
        </w:numPr>
        <w:jc w:val="both"/>
        <w:rPr>
          <w:rFonts w:cs="Arial"/>
        </w:rPr>
      </w:pPr>
      <w:r w:rsidRPr="004A01CD">
        <w:rPr>
          <w:rFonts w:cs="Arial"/>
        </w:rPr>
        <w:t>% of participants who choose who supports them; and</w:t>
      </w:r>
    </w:p>
    <w:p w14:paraId="7FE0DFAD" w14:textId="77777777" w:rsidR="003237EE" w:rsidRPr="004A01CD" w:rsidRDefault="003237EE" w:rsidP="007C74D1">
      <w:pPr>
        <w:numPr>
          <w:ilvl w:val="0"/>
          <w:numId w:val="27"/>
        </w:numPr>
        <w:jc w:val="both"/>
        <w:rPr>
          <w:rFonts w:cs="Arial"/>
        </w:rPr>
      </w:pPr>
      <w:r w:rsidRPr="004A01CD">
        <w:rPr>
          <w:rFonts w:cs="Arial"/>
        </w:rPr>
        <w:t>% of participants who say the NDIS has helped with choice and control.</w:t>
      </w:r>
    </w:p>
    <w:p w14:paraId="70F1ECC0" w14:textId="6D8F57EA" w:rsidR="007C74D1" w:rsidRPr="004A01CD" w:rsidRDefault="007C74D1" w:rsidP="007C74D1">
      <w:pPr>
        <w:jc w:val="both"/>
        <w:rPr>
          <w:rFonts w:cs="Arial"/>
        </w:rPr>
      </w:pPr>
      <w:r w:rsidRPr="004A01CD">
        <w:rPr>
          <w:rFonts w:cs="Arial"/>
          <w:b/>
          <w:bCs/>
        </w:rPr>
        <w:t xml:space="preserve">The outcomes indicator on choice and </w:t>
      </w:r>
      <w:r w:rsidR="009A33D9" w:rsidRPr="004A01CD">
        <w:rPr>
          <w:rFonts w:cs="Arial"/>
          <w:b/>
          <w:bCs/>
        </w:rPr>
        <w:t>control has</w:t>
      </w:r>
      <w:r w:rsidRPr="004A01CD">
        <w:rPr>
          <w:rFonts w:cs="Arial"/>
          <w:b/>
          <w:bCs/>
        </w:rPr>
        <w:t xml:space="preserve"> been calculated as the proportion of participants that reported that they choose who supports them. </w:t>
      </w:r>
      <w:r w:rsidRPr="004A01CD">
        <w:rPr>
          <w:rFonts w:cs="Arial"/>
        </w:rPr>
        <w:t>The indicator has been determined for each region and measured against a national benchmark that takes account of differences in the response rate arising from whether a participant receives SIL supports.</w:t>
      </w:r>
    </w:p>
    <w:p w14:paraId="0C147A2A" w14:textId="77777777" w:rsidR="003237EE" w:rsidRPr="004A01CD" w:rsidRDefault="003237EE" w:rsidP="007C74D1">
      <w:pPr>
        <w:numPr>
          <w:ilvl w:val="0"/>
          <w:numId w:val="28"/>
        </w:numPr>
        <w:jc w:val="both"/>
        <w:rPr>
          <w:rFonts w:cs="Arial"/>
        </w:rPr>
      </w:pPr>
      <w:r w:rsidRPr="004A01CD">
        <w:rPr>
          <w:rFonts w:cs="Arial"/>
        </w:rPr>
        <w:t xml:space="preserve">Nationally, 50% of participants aged 15 years and over indicated that they choose who supports them, and 68% indicated that the NDIS has helped with choice and control. </w:t>
      </w:r>
    </w:p>
    <w:p w14:paraId="089F4CD7" w14:textId="77777777" w:rsidR="003237EE" w:rsidRPr="004A01CD" w:rsidRDefault="003237EE" w:rsidP="007C74D1">
      <w:pPr>
        <w:numPr>
          <w:ilvl w:val="0"/>
          <w:numId w:val="28"/>
        </w:numPr>
        <w:jc w:val="both"/>
        <w:rPr>
          <w:rFonts w:cs="Arial"/>
        </w:rPr>
      </w:pPr>
      <w:r w:rsidRPr="004A01CD">
        <w:rPr>
          <w:rFonts w:cs="Arial"/>
        </w:rPr>
        <w:t xml:space="preserve">Over time, it is expected that these percentages will increase – however, understanding how different regions, participant cohorts, and support categories differ from this national average (“the benchmark”) provides insight into potential hot spots where investment might be required to better support participants. </w:t>
      </w:r>
    </w:p>
    <w:p w14:paraId="24D68DCA" w14:textId="4A1329E8" w:rsidR="00C85B2C" w:rsidRPr="004A01CD" w:rsidRDefault="003237EE" w:rsidP="007C74D1">
      <w:pPr>
        <w:numPr>
          <w:ilvl w:val="0"/>
          <w:numId w:val="28"/>
        </w:numPr>
        <w:jc w:val="both"/>
        <w:rPr>
          <w:rFonts w:cs="Arial"/>
        </w:rPr>
      </w:pPr>
      <w:r w:rsidRPr="004A01CD">
        <w:rPr>
          <w:rFonts w:cs="Arial"/>
        </w:rPr>
        <w:t>In particular, where regions are more than ten percentage points below or above this benchmark indicates possible thin markets and markets that are doing relatively better than other regions. Some regions that differ substantially from the benchmark are analysed in more detail in this document, including looking at participant characteristics and support categories within the region.</w:t>
      </w:r>
    </w:p>
    <w:p w14:paraId="4FBC62E8" w14:textId="15EC82EB" w:rsidR="001C1D6B" w:rsidRPr="004A01CD" w:rsidRDefault="001C1D6B" w:rsidP="001C1D6B">
      <w:pPr>
        <w:pStyle w:val="Heading2"/>
      </w:pPr>
      <w:bookmarkStart w:id="17" w:name="_Toc34146566"/>
      <w:r w:rsidRPr="004A01CD">
        <w:t>Slide 1</w:t>
      </w:r>
      <w:r w:rsidR="00D8006B" w:rsidRPr="004A01CD">
        <w:t>1</w:t>
      </w:r>
      <w:r w:rsidRPr="004A01CD">
        <w:t xml:space="preserve">: </w:t>
      </w:r>
      <w:r w:rsidR="007C74D1" w:rsidRPr="004A01CD">
        <w:t>Summary of indicators across market segments</w:t>
      </w:r>
      <w:bookmarkEnd w:id="17"/>
    </w:p>
    <w:p w14:paraId="7378E002" w14:textId="77777777" w:rsidR="00BF752C" w:rsidRPr="004A01CD" w:rsidRDefault="00BF752C" w:rsidP="00BF752C">
      <w:pPr>
        <w:jc w:val="both"/>
      </w:pPr>
      <w:r w:rsidRPr="004A01CD">
        <w:t>The key indicators have been calculated over the period from 1 April 2019 to 30 September 2019, using data available as at 31 December 2019, and are presented by:</w:t>
      </w:r>
    </w:p>
    <w:p w14:paraId="7F36AA3A" w14:textId="77777777" w:rsidR="003237EE" w:rsidRPr="004A01CD" w:rsidRDefault="003237EE" w:rsidP="00BF752C">
      <w:pPr>
        <w:numPr>
          <w:ilvl w:val="0"/>
          <w:numId w:val="29"/>
        </w:numPr>
        <w:jc w:val="both"/>
      </w:pPr>
      <w:r w:rsidRPr="004A01CD">
        <w:t>Geographical region</w:t>
      </w:r>
    </w:p>
    <w:p w14:paraId="6F2D7CDC" w14:textId="77777777" w:rsidR="003237EE" w:rsidRPr="004A01CD" w:rsidRDefault="003237EE" w:rsidP="00BF752C">
      <w:pPr>
        <w:numPr>
          <w:ilvl w:val="0"/>
          <w:numId w:val="29"/>
        </w:numPr>
        <w:jc w:val="both"/>
      </w:pPr>
      <w:r w:rsidRPr="004A01CD">
        <w:t>Support category</w:t>
      </w:r>
    </w:p>
    <w:p w14:paraId="3F1C05A0" w14:textId="77777777" w:rsidR="003237EE" w:rsidRPr="004A01CD" w:rsidRDefault="003237EE" w:rsidP="00BF752C">
      <w:pPr>
        <w:numPr>
          <w:ilvl w:val="0"/>
          <w:numId w:val="29"/>
        </w:numPr>
        <w:jc w:val="both"/>
      </w:pPr>
      <w:r w:rsidRPr="004A01CD">
        <w:t xml:space="preserve">Participant characteristics, including age, primary disability type, level of function, remoteness, Indigenous status and culturally and linguistically diverse (CALD) status </w:t>
      </w:r>
    </w:p>
    <w:p w14:paraId="31108EC9" w14:textId="48B50B63" w:rsidR="00BF752C" w:rsidRPr="004A01CD" w:rsidRDefault="00BF752C" w:rsidP="00BF752C">
      <w:pPr>
        <w:jc w:val="both"/>
      </w:pPr>
      <w:r w:rsidRPr="004A01CD">
        <w:lastRenderedPageBreak/>
        <w:t xml:space="preserve">On the dashboards (which can be downloaded from the NDIA Market report website), the indicators are presented both including and excluding participants in supported independent living (SIL). </w:t>
      </w:r>
    </w:p>
    <w:p w14:paraId="6482BCF7" w14:textId="70B70A0C" w:rsidR="00BF752C" w:rsidRPr="004A01CD" w:rsidRDefault="00BF752C" w:rsidP="00BF752C">
      <w:pPr>
        <w:jc w:val="both"/>
      </w:pPr>
      <w:r w:rsidRPr="004A01CD">
        <w:t>Definitions of the key indicators are as follows:</w:t>
      </w:r>
    </w:p>
    <w:p w14:paraId="7A727B09" w14:textId="21E82117" w:rsidR="00BF752C" w:rsidRPr="004A01CD" w:rsidRDefault="00BF752C" w:rsidP="00BF752C">
      <w:pPr>
        <w:jc w:val="both"/>
      </w:pPr>
      <w:r w:rsidRPr="004A01CD">
        <w:t>Plan utilisation: Payments as a proportion of total plan budgets (or supports committed) for the period</w:t>
      </w:r>
    </w:p>
    <w:p w14:paraId="614A39E8" w14:textId="0D65AA29" w:rsidR="00BF752C" w:rsidRPr="004A01CD" w:rsidRDefault="00BF752C" w:rsidP="00BF752C">
      <w:pPr>
        <w:jc w:val="both"/>
      </w:pPr>
      <w:r w:rsidRPr="004A01CD">
        <w:t xml:space="preserve">Provider concentration: Proportion of </w:t>
      </w:r>
      <w:r w:rsidR="005F7C16" w:rsidRPr="004A01CD">
        <w:t>total</w:t>
      </w:r>
      <w:r w:rsidRPr="004A01CD">
        <w:t xml:space="preserve"> provider payments that were paid to the ten providers that received the most payments</w:t>
      </w:r>
    </w:p>
    <w:p w14:paraId="6A0D571F" w14:textId="43BA9A9B" w:rsidR="00BF752C" w:rsidRPr="004A01CD" w:rsidRDefault="00BF752C" w:rsidP="00BF752C">
      <w:pPr>
        <w:jc w:val="both"/>
      </w:pPr>
      <w:r w:rsidRPr="004A01CD">
        <w:t xml:space="preserve">Choice and control: Proportion of </w:t>
      </w:r>
      <w:r w:rsidR="005F7C16" w:rsidRPr="004A01CD">
        <w:t>participants</w:t>
      </w:r>
      <w:r w:rsidRPr="004A01CD">
        <w:t xml:space="preserve"> who report that they choose who supports them and that the NDIA helps with choice and control</w:t>
      </w:r>
    </w:p>
    <w:p w14:paraId="7F3130A2" w14:textId="0249EF93" w:rsidR="00BF752C" w:rsidRPr="004A01CD" w:rsidRDefault="00BF752C" w:rsidP="00BF752C">
      <w:pPr>
        <w:jc w:val="both"/>
      </w:pPr>
      <w:r w:rsidRPr="004A01CD">
        <w:t xml:space="preserve">An appropriate benchmark is also presented for each indicator and market segments. Note: the benchmark represents the </w:t>
      </w:r>
      <w:r w:rsidR="001B05D2" w:rsidRPr="004A01CD">
        <w:t>national</w:t>
      </w:r>
      <w:r w:rsidRPr="004A01CD">
        <w:t xml:space="preserve"> average, and for some indicators, is adjusted for the mix of participants within the market being analysed. </w:t>
      </w:r>
    </w:p>
    <w:p w14:paraId="41E56654" w14:textId="69284472" w:rsidR="00B65202" w:rsidRPr="004A01CD" w:rsidRDefault="00B65202" w:rsidP="00B65202">
      <w:pPr>
        <w:pStyle w:val="Heading2"/>
      </w:pPr>
      <w:bookmarkStart w:id="18" w:name="_Toc34146567"/>
      <w:r w:rsidRPr="004A01CD">
        <w:t>Slide 1</w:t>
      </w:r>
      <w:r w:rsidR="00D8006B" w:rsidRPr="004A01CD">
        <w:t>2</w:t>
      </w:r>
      <w:r w:rsidRPr="004A01CD">
        <w:t xml:space="preserve">: </w:t>
      </w:r>
      <w:r w:rsidR="00461D91" w:rsidRPr="004A01CD">
        <w:t>Each of the bilateral regions has been allocated into one of three categories (based on size of total plan budgets) to allow for a fairer comparison of the indicators across regions</w:t>
      </w:r>
      <w:bookmarkEnd w:id="18"/>
      <w:r w:rsidR="00461D91" w:rsidRPr="004A01CD">
        <w:t xml:space="preserve"> </w:t>
      </w:r>
    </w:p>
    <w:p w14:paraId="481F24D7" w14:textId="77777777" w:rsidR="00461D91" w:rsidRPr="004A01CD" w:rsidRDefault="00461D91" w:rsidP="00461D91">
      <w:r w:rsidRPr="004A01CD">
        <w:t xml:space="preserve">Prior analysis indicates that key indicators at the bilateral region level may be correlated to the size of the particular bilateral region (for example, provider concentration was generally higher for smaller regions). </w:t>
      </w:r>
    </w:p>
    <w:p w14:paraId="6DD519CE" w14:textId="0EBDAF31" w:rsidR="00461D91" w:rsidRPr="004A01CD" w:rsidRDefault="00461D91" w:rsidP="00461D91">
      <w:r w:rsidRPr="004A01CD">
        <w:t>To mitigate this effect, each bilateral region has been allocated into one of three categories for comparison against other regions of similar size. The categories have been defined by the value of total plan budgets over the period from 1 April 2019 to 30 September 2019. The three categories are:</w:t>
      </w:r>
    </w:p>
    <w:p w14:paraId="234BDB8A" w14:textId="77777777" w:rsidR="00461D91" w:rsidRPr="004A01CD" w:rsidRDefault="00461D91" w:rsidP="00461D91">
      <w:pPr>
        <w:pStyle w:val="ListParagraph"/>
        <w:numPr>
          <w:ilvl w:val="0"/>
          <w:numId w:val="30"/>
        </w:numPr>
      </w:pPr>
      <w:r w:rsidRPr="004A01CD">
        <w:t>Less than $50m in total plan budgets</w:t>
      </w:r>
    </w:p>
    <w:p w14:paraId="3031FF98" w14:textId="77777777" w:rsidR="00461D91" w:rsidRPr="004A01CD" w:rsidRDefault="00461D91" w:rsidP="00461D91">
      <w:pPr>
        <w:pStyle w:val="ListParagraph"/>
        <w:numPr>
          <w:ilvl w:val="0"/>
          <w:numId w:val="30"/>
        </w:numPr>
      </w:pPr>
      <w:r w:rsidRPr="004A01CD">
        <w:t>$50m to $150m in total plan budgets</w:t>
      </w:r>
    </w:p>
    <w:p w14:paraId="0927487B" w14:textId="77777777" w:rsidR="00461D91" w:rsidRPr="004A01CD" w:rsidRDefault="00461D91" w:rsidP="00461D91">
      <w:pPr>
        <w:pStyle w:val="ListParagraph"/>
        <w:numPr>
          <w:ilvl w:val="0"/>
          <w:numId w:val="30"/>
        </w:numPr>
      </w:pPr>
      <w:r w:rsidRPr="004A01CD">
        <w:t>Greater than $150m in total plan budgets</w:t>
      </w:r>
    </w:p>
    <w:p w14:paraId="2D5BFA4C" w14:textId="42F223EC" w:rsidR="00461D91" w:rsidRPr="004A01CD" w:rsidRDefault="00461D91" w:rsidP="00461D91">
      <w:r w:rsidRPr="004A01CD">
        <w:t>A chart shows the number and proportion of bilateral regions that have been allocated to each category. 23 (30%) bilateral regions have less than $50 million in total plan budgets, 25 (33%) have between $50 million and $150 million, and 28 (37%) have more than $150 million.</w:t>
      </w:r>
    </w:p>
    <w:p w14:paraId="3321FB5D" w14:textId="0651E4A8" w:rsidR="00461D91" w:rsidRPr="004A01CD" w:rsidRDefault="00461D91" w:rsidP="00461D91">
      <w:r w:rsidRPr="004A01CD">
        <w:t>Note that in the June 2019 report, the category thresholds were $25m and $100m. Over time regions grow as more participants enter the Scheme, so necessitating a periodic redefinition of the total plan budget categories.</w:t>
      </w:r>
    </w:p>
    <w:p w14:paraId="3859EB15" w14:textId="1C93A985" w:rsidR="00B65202" w:rsidRPr="004A01CD" w:rsidRDefault="00B65202" w:rsidP="00B65202">
      <w:pPr>
        <w:pStyle w:val="Heading2"/>
      </w:pPr>
      <w:bookmarkStart w:id="19" w:name="_Toc34146568"/>
      <w:r w:rsidRPr="004A01CD">
        <w:t>Slide 1</w:t>
      </w:r>
      <w:r w:rsidR="00D8006B" w:rsidRPr="004A01CD">
        <w:t>3</w:t>
      </w:r>
      <w:r w:rsidRPr="004A01CD">
        <w:t>:</w:t>
      </w:r>
      <w:r w:rsidR="003237EE" w:rsidRPr="004A01CD">
        <w:t xml:space="preserve"> 02 Key Insights covering the period from April 2019 to September 2019</w:t>
      </w:r>
      <w:bookmarkEnd w:id="19"/>
    </w:p>
    <w:p w14:paraId="5335F8A9" w14:textId="6E0ECF94" w:rsidR="00C85B2C" w:rsidRPr="004A01CD" w:rsidRDefault="003237EE" w:rsidP="003237EE">
      <w:pPr>
        <w:jc w:val="both"/>
        <w:rPr>
          <w:rFonts w:cs="Arial"/>
        </w:rPr>
      </w:pPr>
      <w:r w:rsidRPr="004A01CD">
        <w:rPr>
          <w:rFonts w:cs="Arial"/>
        </w:rPr>
        <w:t>Slides 14 to 3</w:t>
      </w:r>
      <w:r w:rsidR="00AC3101" w:rsidRPr="004A01CD">
        <w:rPr>
          <w:rFonts w:cs="Arial"/>
        </w:rPr>
        <w:t>4</w:t>
      </w:r>
      <w:r w:rsidRPr="004A01CD">
        <w:rPr>
          <w:rFonts w:cs="Arial"/>
        </w:rPr>
        <w:t xml:space="preserve"> present key insights covering the period from April 2019 to September 2019</w:t>
      </w:r>
    </w:p>
    <w:p w14:paraId="46DC0EC9" w14:textId="0E4C48A7" w:rsidR="00D8006B" w:rsidRPr="004A01CD" w:rsidRDefault="00D8006B" w:rsidP="00D8006B">
      <w:pPr>
        <w:pStyle w:val="Heading2"/>
      </w:pPr>
      <w:bookmarkStart w:id="20" w:name="_Toc34146569"/>
      <w:r w:rsidRPr="004A01CD">
        <w:t xml:space="preserve">Slide 14: </w:t>
      </w:r>
      <w:r w:rsidR="003237EE" w:rsidRPr="004A01CD">
        <w:t>Analysis of utilisation against the regions ordered by budget size indicates some positive correlation</w:t>
      </w:r>
      <w:bookmarkEnd w:id="20"/>
    </w:p>
    <w:p w14:paraId="67CAAF01" w14:textId="2F5F07F4" w:rsidR="00C53F79" w:rsidRPr="004A01CD" w:rsidRDefault="00C53F79" w:rsidP="00C53F79">
      <w:pPr>
        <w:jc w:val="both"/>
        <w:rPr>
          <w:rFonts w:cs="Arial"/>
          <w:b/>
          <w:bCs/>
        </w:rPr>
      </w:pPr>
      <w:r w:rsidRPr="004A01CD">
        <w:rPr>
          <w:rFonts w:cs="Arial"/>
          <w:b/>
          <w:bCs/>
        </w:rPr>
        <w:t>Ordering regions by budget size indicates that larger regions tend to have higher utilisation rates.</w:t>
      </w:r>
    </w:p>
    <w:p w14:paraId="6BC0FB19" w14:textId="1864B743" w:rsidR="00C53F79" w:rsidRPr="004A01CD" w:rsidRDefault="00C53F79" w:rsidP="00C53F79">
      <w:pPr>
        <w:jc w:val="both"/>
        <w:rPr>
          <w:rFonts w:cs="Arial"/>
        </w:rPr>
      </w:pPr>
      <w:r w:rsidRPr="004A01CD">
        <w:rPr>
          <w:rFonts w:cs="Arial"/>
          <w:bCs/>
        </w:rPr>
        <w:lastRenderedPageBreak/>
        <w:t>A chart shows plan utilisation by bilateral region. The regions are ordered by budget size, showing a pattern of some positive correlation or total budget size with utilisation. Utilisation increases from approximately 50% for the smallest regions to around 70% for largest.</w:t>
      </w:r>
    </w:p>
    <w:p w14:paraId="757B237C" w14:textId="005F4479" w:rsidR="00C53F79" w:rsidRPr="004A01CD" w:rsidRDefault="00C53F79" w:rsidP="00C53F79">
      <w:pPr>
        <w:jc w:val="both"/>
        <w:rPr>
          <w:rFonts w:cs="Arial"/>
        </w:rPr>
      </w:pPr>
      <w:r w:rsidRPr="004A01CD">
        <w:rPr>
          <w:rFonts w:cs="Arial"/>
        </w:rPr>
        <w:t xml:space="preserve">Note: the correlation coefficient is 0.49. A correlation coefficient above zero indicates that there is a positive relationship between size and utilisation rates – i.e. as budget size increases, so do utilisation rates for a region. The size of the co-efficient (between zero and one) indicates the strength of the relationship. A coefficient of 0.49 indicates a relationship, but the relationship is not overly strong.    </w:t>
      </w:r>
    </w:p>
    <w:p w14:paraId="4BD4E24A" w14:textId="5FD97B67" w:rsidR="004D0FA0" w:rsidRPr="004A01CD" w:rsidRDefault="004D0FA0" w:rsidP="003A7B01">
      <w:pPr>
        <w:pStyle w:val="Heading2"/>
      </w:pPr>
      <w:bookmarkStart w:id="21" w:name="_Toc34146570"/>
      <w:r w:rsidRPr="004A01CD">
        <w:t xml:space="preserve">Slide </w:t>
      </w:r>
      <w:r w:rsidR="00181CA6" w:rsidRPr="004A01CD">
        <w:t>15</w:t>
      </w:r>
      <w:r w:rsidRPr="004A01CD">
        <w:t xml:space="preserve">: </w:t>
      </w:r>
      <w:r w:rsidR="00C53F79" w:rsidRPr="004A01CD">
        <w:t>Plan utilisation was more than 10% below the benchmark for eight bilateral regions</w:t>
      </w:r>
      <w:bookmarkEnd w:id="21"/>
    </w:p>
    <w:p w14:paraId="796E7365" w14:textId="5DA6C514" w:rsidR="00C53F79" w:rsidRPr="004A01CD" w:rsidRDefault="00C53F79" w:rsidP="00C53F79">
      <w:r w:rsidRPr="004A01CD">
        <w:t xml:space="preserve">A chart shows the distribution of the gap between the plan utilisation indicator and the benchmark, for each bilateral region. </w:t>
      </w:r>
    </w:p>
    <w:p w14:paraId="61520E8B" w14:textId="5E0F0BE8" w:rsidR="00C53F79" w:rsidRPr="004A01CD" w:rsidRDefault="00C53F79" w:rsidP="00C53F79">
      <w:r w:rsidRPr="004A01CD">
        <w:t>8 regions (10.5%) are more than 10 percentage points below benchmark, 11 (14.5%) are between 5 and 10 percentage points below benchmark, 52 (68.4%) are within 5 percentage points of benchmark and 5 regions are more than 5 percentage points above benchmark.</w:t>
      </w:r>
    </w:p>
    <w:p w14:paraId="1D4DDB5C" w14:textId="50E82962" w:rsidR="00C53F79" w:rsidRPr="004A01CD" w:rsidRDefault="00C53F79" w:rsidP="00C53F79">
      <w:r w:rsidRPr="004A01CD">
        <w:t>The benchmark represents the national average, adjusted for the mix of participants receiving SIL supports and the number of plans each participant has received.</w:t>
      </w:r>
    </w:p>
    <w:p w14:paraId="02EBDC30" w14:textId="6EA05A25" w:rsidR="00CE761B" w:rsidRPr="004A01CD" w:rsidRDefault="00C53F79" w:rsidP="00C53F79">
      <w:r w:rsidRPr="004A01CD">
        <w:t>Note 1: Utilisation is c</w:t>
      </w:r>
      <w:r w:rsidR="00CE761B" w:rsidRPr="004A01CD">
        <w:t>alculated over the period from 1 April 2019 to 30 September 2019, using data available as at 31 December 2019</w:t>
      </w:r>
    </w:p>
    <w:p w14:paraId="2BB52E09" w14:textId="77777777" w:rsidR="00CE761B" w:rsidRPr="004A01CD" w:rsidRDefault="00C53F79" w:rsidP="00C53F79">
      <w:r w:rsidRPr="004A01CD">
        <w:t xml:space="preserve">Note 2: </w:t>
      </w:r>
      <w:r w:rsidR="00CE761B" w:rsidRPr="004A01CD">
        <w:t>Further detail on benchmarks is provided in Appendix B</w:t>
      </w:r>
    </w:p>
    <w:p w14:paraId="39FEDA9E" w14:textId="38641EB6" w:rsidR="00C53F79" w:rsidRPr="004A01CD" w:rsidRDefault="00C53F79" w:rsidP="00C53F79">
      <w:r w:rsidRPr="004A01CD">
        <w:t>Note 3: The bilateral regions considered have had at least twelve months of Scheme experience, i.e. commenced phasing before 1 January 2019. This equates to 76 of the 80 bilateral regions.</w:t>
      </w:r>
    </w:p>
    <w:p w14:paraId="42428F56" w14:textId="72631B20" w:rsidR="00A207B5" w:rsidRPr="004A01CD" w:rsidRDefault="00A207B5" w:rsidP="00A207B5">
      <w:pPr>
        <w:pStyle w:val="Heading2"/>
      </w:pPr>
      <w:bookmarkStart w:id="22" w:name="_Toc34146572"/>
      <w:bookmarkStart w:id="23" w:name="_Toc34146571"/>
      <w:r w:rsidRPr="004A01CD">
        <w:t>Slide 16: The majority of regions more than 5% below the national average benchmark are in NT or SA</w:t>
      </w:r>
      <w:bookmarkEnd w:id="22"/>
    </w:p>
    <w:p w14:paraId="0E81BC5F" w14:textId="77777777" w:rsidR="00A207B5" w:rsidRPr="004A01CD" w:rsidRDefault="00A207B5" w:rsidP="00A207B5">
      <w:r w:rsidRPr="004A01CD">
        <w:t>A table shows a list of the eleven regions that were between 5 and 10 percentage points below national average (benchmark). Note: ‘National average’ on this context refers to the benchmark used for that region – which is the national average utilisation rate adjusted to reflect SIL category and plan number profile of the region in question.</w:t>
      </w:r>
    </w:p>
    <w:p w14:paraId="22245218" w14:textId="77777777" w:rsidR="00A207B5" w:rsidRPr="004A01CD" w:rsidRDefault="00A207B5" w:rsidP="00A207B5">
      <w:r w:rsidRPr="004A01CD">
        <w:t>The regions are:</w:t>
      </w:r>
    </w:p>
    <w:p w14:paraId="666E246E" w14:textId="77777777" w:rsidR="00A207B5" w:rsidRPr="004A01CD" w:rsidRDefault="00A207B5" w:rsidP="00A207B5">
      <w:pPr>
        <w:pStyle w:val="ListParagraph"/>
        <w:numPr>
          <w:ilvl w:val="0"/>
          <w:numId w:val="33"/>
        </w:numPr>
      </w:pPr>
      <w:r w:rsidRPr="004A01CD">
        <w:t>Far West (NSW) with utilisation of 59%, compared to a benchmark of 66%</w:t>
      </w:r>
    </w:p>
    <w:p w14:paraId="2A787544" w14:textId="77777777" w:rsidR="00A207B5" w:rsidRPr="004A01CD" w:rsidRDefault="00A207B5" w:rsidP="00A207B5">
      <w:pPr>
        <w:pStyle w:val="ListParagraph"/>
        <w:numPr>
          <w:ilvl w:val="0"/>
          <w:numId w:val="33"/>
        </w:numPr>
      </w:pPr>
      <w:r w:rsidRPr="004A01CD">
        <w:t>Goulburn (VIC) with utilisation of 51%, compared to a benchmark of 57%</w:t>
      </w:r>
    </w:p>
    <w:p w14:paraId="6A377B5B" w14:textId="77777777" w:rsidR="00A207B5" w:rsidRPr="004A01CD" w:rsidRDefault="00A207B5" w:rsidP="00A207B5">
      <w:pPr>
        <w:pStyle w:val="ListParagraph"/>
        <w:numPr>
          <w:ilvl w:val="0"/>
          <w:numId w:val="33"/>
        </w:numPr>
      </w:pPr>
      <w:r w:rsidRPr="004A01CD">
        <w:t>Inner Gippsland (VIC) with utilisation of 59%, compared to a benchmark of 66%</w:t>
      </w:r>
    </w:p>
    <w:p w14:paraId="6D84411A" w14:textId="77777777" w:rsidR="00A207B5" w:rsidRPr="004A01CD" w:rsidRDefault="00A207B5" w:rsidP="00A207B5">
      <w:pPr>
        <w:pStyle w:val="ListParagraph"/>
        <w:numPr>
          <w:ilvl w:val="0"/>
          <w:numId w:val="33"/>
        </w:numPr>
      </w:pPr>
      <w:r w:rsidRPr="004A01CD">
        <w:t>Barossa, Light and Lower North (SA) with utilisation of 62%, compared to a benchmark of 67%</w:t>
      </w:r>
    </w:p>
    <w:p w14:paraId="05C263A2" w14:textId="77777777" w:rsidR="00A207B5" w:rsidRPr="004A01CD" w:rsidRDefault="00A207B5" w:rsidP="00A207B5">
      <w:pPr>
        <w:pStyle w:val="ListParagraph"/>
        <w:numPr>
          <w:ilvl w:val="0"/>
          <w:numId w:val="33"/>
        </w:numPr>
      </w:pPr>
      <w:r w:rsidRPr="004A01CD">
        <w:t>Limestone Coast (SA) with utilisation of 61%, compared to a benchmark of 71%</w:t>
      </w:r>
    </w:p>
    <w:p w14:paraId="0D74E199" w14:textId="77777777" w:rsidR="00A207B5" w:rsidRPr="004A01CD" w:rsidRDefault="00A207B5" w:rsidP="00A207B5">
      <w:pPr>
        <w:pStyle w:val="ListParagraph"/>
        <w:numPr>
          <w:ilvl w:val="0"/>
          <w:numId w:val="33"/>
        </w:numPr>
      </w:pPr>
      <w:r w:rsidRPr="004A01CD">
        <w:t>Murray and Mallee (SA) with utilisation of 66%, compared to a benchmark of 71%</w:t>
      </w:r>
    </w:p>
    <w:p w14:paraId="57FF5058" w14:textId="77777777" w:rsidR="00A207B5" w:rsidRPr="004A01CD" w:rsidRDefault="00A207B5" w:rsidP="00A207B5">
      <w:pPr>
        <w:pStyle w:val="ListParagraph"/>
        <w:numPr>
          <w:ilvl w:val="0"/>
          <w:numId w:val="33"/>
        </w:numPr>
      </w:pPr>
      <w:r w:rsidRPr="004A01CD">
        <w:t>Yorke and Mid North (SA) with utilisation of 59%, compared to a benchmark of 66%</w:t>
      </w:r>
    </w:p>
    <w:p w14:paraId="78BA2EC9" w14:textId="77777777" w:rsidR="00A207B5" w:rsidRPr="004A01CD" w:rsidRDefault="00A207B5" w:rsidP="00A207B5">
      <w:pPr>
        <w:pStyle w:val="ListParagraph"/>
        <w:numPr>
          <w:ilvl w:val="0"/>
          <w:numId w:val="33"/>
        </w:numPr>
      </w:pPr>
      <w:r w:rsidRPr="004A01CD">
        <w:t>Central Australia (NT) with utilisation of 68%, compared to a benchmark of 76%</w:t>
      </w:r>
    </w:p>
    <w:p w14:paraId="19A1C7AA" w14:textId="77777777" w:rsidR="00A207B5" w:rsidRPr="004A01CD" w:rsidRDefault="00A207B5" w:rsidP="00A207B5">
      <w:pPr>
        <w:pStyle w:val="ListParagraph"/>
        <w:numPr>
          <w:ilvl w:val="0"/>
          <w:numId w:val="33"/>
        </w:numPr>
      </w:pPr>
      <w:r w:rsidRPr="004A01CD">
        <w:t>Darwin Urban (NT) with utilisation of 64%, compared to a benchmark of 73%</w:t>
      </w:r>
    </w:p>
    <w:p w14:paraId="6E7574EF" w14:textId="77777777" w:rsidR="00A207B5" w:rsidRPr="004A01CD" w:rsidRDefault="00A207B5" w:rsidP="00A207B5">
      <w:pPr>
        <w:pStyle w:val="ListParagraph"/>
        <w:numPr>
          <w:ilvl w:val="0"/>
          <w:numId w:val="33"/>
        </w:numPr>
      </w:pPr>
      <w:r w:rsidRPr="004A01CD">
        <w:t>Katherine (NT) with utilisation of 67%, compared to a benchmark of 76%</w:t>
      </w:r>
    </w:p>
    <w:p w14:paraId="2B13ED29" w14:textId="77777777" w:rsidR="00A207B5" w:rsidRPr="004A01CD" w:rsidRDefault="00A207B5" w:rsidP="00A207B5">
      <w:pPr>
        <w:pStyle w:val="ListParagraph"/>
        <w:numPr>
          <w:ilvl w:val="0"/>
          <w:numId w:val="33"/>
        </w:numPr>
      </w:pPr>
      <w:r w:rsidRPr="004A01CD">
        <w:t>Wheat Belt (WA) with utilisation of 54%, compared to a benchmark of 59%</w:t>
      </w:r>
    </w:p>
    <w:p w14:paraId="367E0CF2" w14:textId="77777777" w:rsidR="00A207B5" w:rsidRPr="004A01CD" w:rsidRDefault="00A207B5" w:rsidP="00A207B5">
      <w:r w:rsidRPr="004A01CD">
        <w:lastRenderedPageBreak/>
        <w:t>By total annualised plan budgets, the largest regions are Inner Gippsland ($201 million) and Darwin Urban ($189 million). The smallest are Katherine ($26 million) and Wheat Belt ($34 million).</w:t>
      </w:r>
    </w:p>
    <w:p w14:paraId="1CC36B98" w14:textId="67C21066" w:rsidR="00A207B5" w:rsidRPr="004A01CD" w:rsidRDefault="008B1115" w:rsidP="00A207B5">
      <w:r w:rsidRPr="004A01CD">
        <w:t>Three of the eleven regions are in the Northern Territory and four are in South Australia.</w:t>
      </w:r>
    </w:p>
    <w:p w14:paraId="5D85CA59" w14:textId="570034DF" w:rsidR="00B52AE5" w:rsidRPr="004A01CD" w:rsidRDefault="00A207B5" w:rsidP="00B52AE5">
      <w:pPr>
        <w:pStyle w:val="Heading2"/>
      </w:pPr>
      <w:r w:rsidRPr="004A01CD">
        <w:t>Slide 17</w:t>
      </w:r>
      <w:r w:rsidR="00B52AE5" w:rsidRPr="004A01CD">
        <w:t xml:space="preserve">: </w:t>
      </w:r>
      <w:bookmarkEnd w:id="23"/>
      <w:r w:rsidRPr="004A01CD">
        <w:t>The majority of regions more than 5% below the national average benchmark are in NT or SA (cont.)</w:t>
      </w:r>
    </w:p>
    <w:p w14:paraId="6AF26BD0" w14:textId="745CE40D" w:rsidR="00B52AE5" w:rsidRPr="004A01CD" w:rsidRDefault="00CE761B" w:rsidP="00CE761B">
      <w:r w:rsidRPr="004A01CD">
        <w:t>A table shows a list of</w:t>
      </w:r>
      <w:r w:rsidR="00D20FA2" w:rsidRPr="004A01CD">
        <w:t xml:space="preserve"> the eight</w:t>
      </w:r>
      <w:r w:rsidRPr="004A01CD">
        <w:t xml:space="preserve"> regions that were more than 10 percentage points below national average (benchmark). Note: ‘National average’ on this context refers to the benchmark used for that region – which is the national average utilisation rate adjusted to reflect SIL category and plan number profile of the region in question.</w:t>
      </w:r>
    </w:p>
    <w:p w14:paraId="1E97EED0" w14:textId="511C8B2C" w:rsidR="00CE761B" w:rsidRPr="004A01CD" w:rsidRDefault="00CE761B" w:rsidP="00CE761B">
      <w:r w:rsidRPr="004A01CD">
        <w:t>The regions are:</w:t>
      </w:r>
    </w:p>
    <w:p w14:paraId="4F14032E" w14:textId="5000BA16" w:rsidR="00CE761B" w:rsidRPr="004A01CD" w:rsidRDefault="00720614" w:rsidP="00CE761B">
      <w:pPr>
        <w:pStyle w:val="ListParagraph"/>
        <w:numPr>
          <w:ilvl w:val="0"/>
          <w:numId w:val="33"/>
        </w:numPr>
      </w:pPr>
      <w:r w:rsidRPr="004A01CD">
        <w:t>Outer Gippsland (VIC) with utilisation of 47%, compared to a benchmark of 58%</w:t>
      </w:r>
    </w:p>
    <w:p w14:paraId="33759A64" w14:textId="0787839D" w:rsidR="00720614" w:rsidRPr="004A01CD" w:rsidRDefault="00720614" w:rsidP="00CE761B">
      <w:pPr>
        <w:pStyle w:val="ListParagraph"/>
        <w:numPr>
          <w:ilvl w:val="0"/>
          <w:numId w:val="33"/>
        </w:numPr>
      </w:pPr>
      <w:r w:rsidRPr="004A01CD">
        <w:t>Eyre and Western (SA) with utilisation of 53%, compared to a benchmark of 65%</w:t>
      </w:r>
    </w:p>
    <w:p w14:paraId="22FC765A" w14:textId="0773D441" w:rsidR="00720614" w:rsidRPr="004A01CD" w:rsidRDefault="00720614" w:rsidP="00CE761B">
      <w:pPr>
        <w:pStyle w:val="ListParagraph"/>
        <w:numPr>
          <w:ilvl w:val="0"/>
          <w:numId w:val="33"/>
        </w:numPr>
      </w:pPr>
      <w:r w:rsidRPr="004A01CD">
        <w:t>Far North (SA) with utilisation of 45%, compared to a benchmark of 69%</w:t>
      </w:r>
    </w:p>
    <w:p w14:paraId="6091C787" w14:textId="175550E8" w:rsidR="00720614" w:rsidRPr="004A01CD" w:rsidRDefault="00720614" w:rsidP="00CE761B">
      <w:pPr>
        <w:pStyle w:val="ListParagraph"/>
        <w:numPr>
          <w:ilvl w:val="0"/>
          <w:numId w:val="33"/>
        </w:numPr>
      </w:pPr>
      <w:r w:rsidRPr="004A01CD">
        <w:t>Barkly (NT) with utilisation of 38%, compared to a benchmark of 75%</w:t>
      </w:r>
    </w:p>
    <w:p w14:paraId="4AA8A37C" w14:textId="44F421F1" w:rsidR="00720614" w:rsidRPr="004A01CD" w:rsidRDefault="00720614" w:rsidP="00CE761B">
      <w:pPr>
        <w:pStyle w:val="ListParagraph"/>
        <w:numPr>
          <w:ilvl w:val="0"/>
          <w:numId w:val="33"/>
        </w:numPr>
      </w:pPr>
      <w:r w:rsidRPr="004A01CD">
        <w:t>Darwin Remote (NT) with utilisation of 34%, compared to a benchmark of 61%</w:t>
      </w:r>
    </w:p>
    <w:p w14:paraId="5DA9E358" w14:textId="774B80F7" w:rsidR="00720614" w:rsidRPr="004A01CD" w:rsidRDefault="00720614" w:rsidP="00CE761B">
      <w:pPr>
        <w:pStyle w:val="ListParagraph"/>
        <w:numPr>
          <w:ilvl w:val="0"/>
          <w:numId w:val="33"/>
        </w:numPr>
      </w:pPr>
      <w:r w:rsidRPr="004A01CD">
        <w:t>East Arnhem (NT) with utilisation of 27%, compared to a benchmark of 65%</w:t>
      </w:r>
    </w:p>
    <w:p w14:paraId="7164BB87" w14:textId="1A10547C" w:rsidR="00720614" w:rsidRPr="004A01CD" w:rsidRDefault="00720614" w:rsidP="00CE761B">
      <w:pPr>
        <w:pStyle w:val="ListParagraph"/>
        <w:numPr>
          <w:ilvl w:val="0"/>
          <w:numId w:val="33"/>
        </w:numPr>
      </w:pPr>
      <w:r w:rsidRPr="004A01CD">
        <w:t>Kimberley-Pilbara (WA) with utilisation of 45%, compared to a benchmark of 56%</w:t>
      </w:r>
    </w:p>
    <w:p w14:paraId="43C95FF1" w14:textId="74D0D69A" w:rsidR="00720614" w:rsidRPr="004A01CD" w:rsidRDefault="00720614" w:rsidP="00CE761B">
      <w:pPr>
        <w:pStyle w:val="ListParagraph"/>
        <w:numPr>
          <w:ilvl w:val="0"/>
          <w:numId w:val="33"/>
        </w:numPr>
      </w:pPr>
      <w:r w:rsidRPr="004A01CD">
        <w:t>Goldfields-Esperance (WA) with utilisation of 42%, compared to a benchmark of 53%</w:t>
      </w:r>
    </w:p>
    <w:p w14:paraId="0AC5D779" w14:textId="353D4754" w:rsidR="00720614" w:rsidRPr="004A01CD" w:rsidRDefault="00720614" w:rsidP="00720614">
      <w:r w:rsidRPr="004A01CD">
        <w:t>All eight regions have total annualised plan budgets of less than $100 million, the smallest being Barkly ($18 million) and East Arnhem ($19 million). They also have the fewest active participants (151 and 161 respectively).</w:t>
      </w:r>
    </w:p>
    <w:p w14:paraId="0AE63B82" w14:textId="1FAB8F93" w:rsidR="00720614" w:rsidRPr="004A01CD" w:rsidRDefault="00A207B5" w:rsidP="00720614">
      <w:r w:rsidRPr="004A01CD">
        <w:t>Three of the eight regions are in the Northern Territory and two are in South Australia.</w:t>
      </w:r>
    </w:p>
    <w:p w14:paraId="6952518F" w14:textId="69EE1D34" w:rsidR="00376969" w:rsidRPr="004A01CD" w:rsidRDefault="00376969" w:rsidP="00376969">
      <w:pPr>
        <w:pStyle w:val="Heading2"/>
      </w:pPr>
      <w:bookmarkStart w:id="24" w:name="_Toc34146573"/>
      <w:r w:rsidRPr="004A01CD">
        <w:t>Slide 1</w:t>
      </w:r>
      <w:r w:rsidR="00B52AE5" w:rsidRPr="004A01CD">
        <w:t>8</w:t>
      </w:r>
      <w:r w:rsidRPr="004A01CD">
        <w:t xml:space="preserve">: </w:t>
      </w:r>
      <w:r w:rsidR="00BE2476" w:rsidRPr="004A01CD">
        <w:t>The number of regions with an overall utilisation rate more than 10% below national average has increased between June 2019 and December 2019 (from five to eight)</w:t>
      </w:r>
      <w:bookmarkEnd w:id="24"/>
    </w:p>
    <w:p w14:paraId="6EE34CAC" w14:textId="3FA89D81" w:rsidR="00BE2476" w:rsidRPr="004A01CD" w:rsidRDefault="00BE2476" w:rsidP="00BE2476">
      <w:r w:rsidRPr="004A01CD">
        <w:t xml:space="preserve">There are two charts. One shows the distribution of regions by their </w:t>
      </w:r>
      <w:r w:rsidR="001026A1" w:rsidRPr="004A01CD">
        <w:t>gap</w:t>
      </w:r>
      <w:r w:rsidRPr="004A01CD">
        <w:t xml:space="preserve"> to benchmark utilisation at December 2019, and the other shows </w:t>
      </w:r>
      <w:r w:rsidR="00D440EC" w:rsidRPr="004A01CD">
        <w:t xml:space="preserve">the distribution of regions by their </w:t>
      </w:r>
      <w:r w:rsidR="001026A1" w:rsidRPr="004A01CD">
        <w:t xml:space="preserve">gap </w:t>
      </w:r>
      <w:r w:rsidR="00D440EC" w:rsidRPr="004A01CD">
        <w:t xml:space="preserve">to benchmark utilisation </w:t>
      </w:r>
      <w:r w:rsidRPr="004A01CD">
        <w:t>at June 2019.</w:t>
      </w:r>
    </w:p>
    <w:p w14:paraId="5A6B9FC9" w14:textId="1CBF711B" w:rsidR="00BE2476" w:rsidRPr="004A01CD" w:rsidRDefault="00BA113A" w:rsidP="00BE2476">
      <w:r w:rsidRPr="004A01CD">
        <w:t>At December 2019, 8 regions (10.5%) were more than 10 percentage points below benchmark, compared to 5 (7.8%) at June 2019.</w:t>
      </w:r>
    </w:p>
    <w:p w14:paraId="3C642738" w14:textId="22C78041" w:rsidR="00BA113A" w:rsidRPr="004A01CD" w:rsidRDefault="00BA113A" w:rsidP="00BA113A">
      <w:r w:rsidRPr="004A01CD">
        <w:t>At December 2019, 11 regions (14.5%) were between 5 and 10 percentage points below benchmark, compared to 6 (9.4%) at June 2019.</w:t>
      </w:r>
    </w:p>
    <w:p w14:paraId="6941764B" w14:textId="22C8180E" w:rsidR="00BA113A" w:rsidRPr="004A01CD" w:rsidRDefault="00BA113A" w:rsidP="00BA113A">
      <w:r w:rsidRPr="004A01CD">
        <w:t xml:space="preserve">At December 2019, 52 regions </w:t>
      </w:r>
      <w:r w:rsidR="00E43B0F" w:rsidRPr="004A01CD">
        <w:t xml:space="preserve">(68.4%) </w:t>
      </w:r>
      <w:r w:rsidRPr="004A01CD">
        <w:t xml:space="preserve">were within 5 </w:t>
      </w:r>
      <w:r w:rsidR="00E43B0F" w:rsidRPr="004A01CD">
        <w:t xml:space="preserve">percentage </w:t>
      </w:r>
      <w:r w:rsidRPr="004A01CD">
        <w:t>points of benchmark, compared to 49 (76.6%) at June 2019.</w:t>
      </w:r>
    </w:p>
    <w:p w14:paraId="182C171B" w14:textId="3B2448D4" w:rsidR="00BA113A" w:rsidRPr="004A01CD" w:rsidRDefault="00BA113A" w:rsidP="00BA113A">
      <w:r w:rsidRPr="004A01CD">
        <w:t xml:space="preserve">At December 2019, 5 regions </w:t>
      </w:r>
      <w:r w:rsidR="00E43B0F" w:rsidRPr="004A01CD">
        <w:t xml:space="preserve">(6.4%) </w:t>
      </w:r>
      <w:r w:rsidRPr="004A01CD">
        <w:t xml:space="preserve">were </w:t>
      </w:r>
      <w:r w:rsidR="00E43B0F" w:rsidRPr="004A01CD">
        <w:t xml:space="preserve">more than 5 percentage </w:t>
      </w:r>
      <w:r w:rsidRPr="004A01CD">
        <w:t xml:space="preserve">points </w:t>
      </w:r>
      <w:r w:rsidR="00E43B0F" w:rsidRPr="004A01CD">
        <w:t xml:space="preserve">above </w:t>
      </w:r>
      <w:r w:rsidRPr="004A01CD">
        <w:t xml:space="preserve">benchmark, compared to </w:t>
      </w:r>
      <w:r w:rsidR="00E43B0F" w:rsidRPr="004A01CD">
        <w:t>4</w:t>
      </w:r>
      <w:r w:rsidRPr="004A01CD">
        <w:t xml:space="preserve"> (</w:t>
      </w:r>
      <w:r w:rsidR="00E43B0F" w:rsidRPr="004A01CD">
        <w:t>6.2</w:t>
      </w:r>
      <w:r w:rsidRPr="004A01CD">
        <w:t>%) at June 2019.</w:t>
      </w:r>
    </w:p>
    <w:p w14:paraId="75A6A0BB" w14:textId="40D87B6F" w:rsidR="00376969" w:rsidRPr="004A01CD" w:rsidRDefault="00376969" w:rsidP="00376969">
      <w:pPr>
        <w:pStyle w:val="Heading2"/>
      </w:pPr>
      <w:bookmarkStart w:id="25" w:name="_Toc34146574"/>
      <w:r w:rsidRPr="004A01CD">
        <w:t>Slide 1</w:t>
      </w:r>
      <w:r w:rsidR="00B52AE5" w:rsidRPr="004A01CD">
        <w:t>9</w:t>
      </w:r>
      <w:r w:rsidRPr="004A01CD">
        <w:t xml:space="preserve">: </w:t>
      </w:r>
      <w:r w:rsidR="00560F55" w:rsidRPr="004A01CD">
        <w:t>Overall utilisation rates have risen across Australia</w:t>
      </w:r>
      <w:bookmarkEnd w:id="25"/>
    </w:p>
    <w:p w14:paraId="7DF6C4AB" w14:textId="77777777" w:rsidR="00560F55" w:rsidRPr="004A01CD" w:rsidRDefault="00560F55" w:rsidP="00560F55">
      <w:r w:rsidRPr="004A01CD">
        <w:rPr>
          <w:b/>
          <w:bCs/>
        </w:rPr>
        <w:lastRenderedPageBreak/>
        <w:t xml:space="preserve">National utilisation rate has risen from 66% to 69% between end June 2019 and end December 2019 and the benchmark charts (preceding slide) show that regions are shifting to higher levels of utilisation relative to benchmark. </w:t>
      </w:r>
    </w:p>
    <w:p w14:paraId="56CD48B0" w14:textId="2BE1FBC8" w:rsidR="00560F55" w:rsidRPr="004A01CD" w:rsidRDefault="00560F55" w:rsidP="00560F55">
      <w:pPr>
        <w:pStyle w:val="ListParagraph"/>
        <w:numPr>
          <w:ilvl w:val="0"/>
          <w:numId w:val="34"/>
        </w:numPr>
      </w:pPr>
      <w:r w:rsidRPr="004A01CD">
        <w:t xml:space="preserve">As shown in the charts on the preceding slide, at the end of June 2019, there </w:t>
      </w:r>
      <w:r w:rsidR="005F7C16" w:rsidRPr="004A01CD">
        <w:t>were 39</w:t>
      </w:r>
      <w:r w:rsidRPr="004A01CD">
        <w:t xml:space="preserve"> regions (out of 64) that were below their benchmark. At the end of December 2019, this has increased to 49 (out of 76).</w:t>
      </w:r>
    </w:p>
    <w:p w14:paraId="1C6A59FD" w14:textId="77777777" w:rsidR="00560F55" w:rsidRPr="004A01CD" w:rsidRDefault="00560F55" w:rsidP="00560F55">
      <w:pPr>
        <w:pStyle w:val="ListParagraph"/>
        <w:numPr>
          <w:ilvl w:val="0"/>
          <w:numId w:val="34"/>
        </w:numPr>
      </w:pPr>
      <w:r w:rsidRPr="004A01CD">
        <w:t>The increase from five to eight of the regions more than 10% below benchmark is driven by the addition of three regions that were not in the analysis before (Outer Gippsland (VIC), Kimberley-Pilbara (WA) and Goldfields-Esperance (WA)). In addition Eyre and Western (SA) moved into the category and Murray and Mallee (SA) moved out.</w:t>
      </w:r>
    </w:p>
    <w:p w14:paraId="370AEE6A" w14:textId="77777777" w:rsidR="00560F55" w:rsidRPr="004A01CD" w:rsidRDefault="00560F55" w:rsidP="00560F55">
      <w:pPr>
        <w:pStyle w:val="ListParagraph"/>
        <w:numPr>
          <w:ilvl w:val="0"/>
          <w:numId w:val="34"/>
        </w:numPr>
      </w:pPr>
      <w:r w:rsidRPr="004A01CD">
        <w:t>The number of regions between 5% and 10% below benchmark has increased from six to eleven. One of the regions (Goulburn (VIC)) is a new addition to the analysis. The remaining four region increase is the net result of Eyre and Western (SA) moving to more than 10% below benchmark and Murray and Mallee (SA), Yorke and Mid North (SA), Darwin Urban (NT), Katherine (NT) and Wheat Belt (WA) moving into the category.</w:t>
      </w:r>
    </w:p>
    <w:p w14:paraId="201160BB" w14:textId="5ED2375F" w:rsidR="00181CA6" w:rsidRPr="004A01CD" w:rsidRDefault="00560F55" w:rsidP="00954F10">
      <w:pPr>
        <w:pStyle w:val="ListParagraph"/>
        <w:numPr>
          <w:ilvl w:val="0"/>
          <w:numId w:val="34"/>
        </w:numPr>
      </w:pPr>
      <w:r w:rsidRPr="004A01CD">
        <w:t>When looking at the regions above the benchmark, there has been an increase – from four to five - in the number of regions with a utilisation rate greater than 5% above the benchmark, again this was driven by the addition of a new region to the analysis (South-West) than a general shift in utilisation relative to benchmark.</w:t>
      </w:r>
    </w:p>
    <w:p w14:paraId="09BE3768" w14:textId="76E0C279" w:rsidR="00376969" w:rsidRPr="004A01CD" w:rsidRDefault="00376969" w:rsidP="00376969">
      <w:pPr>
        <w:pStyle w:val="Heading2"/>
      </w:pPr>
      <w:bookmarkStart w:id="26" w:name="_Toc34146575"/>
      <w:r w:rsidRPr="004A01CD">
        <w:t xml:space="preserve">Slide </w:t>
      </w:r>
      <w:r w:rsidR="00B52AE5" w:rsidRPr="004A01CD">
        <w:t>20</w:t>
      </w:r>
      <w:r w:rsidRPr="004A01CD">
        <w:t xml:space="preserve">: </w:t>
      </w:r>
      <w:r w:rsidR="00265857" w:rsidRPr="004A01CD">
        <w:t>19 of 23 small regions were below the utilisation benchmark, the majority of which are in NT and SA</w:t>
      </w:r>
      <w:bookmarkEnd w:id="26"/>
    </w:p>
    <w:p w14:paraId="36F52334" w14:textId="77777777" w:rsidR="005C5EA3" w:rsidRPr="004A01CD" w:rsidRDefault="00265857" w:rsidP="00265857">
      <w:r w:rsidRPr="004A01CD">
        <w:t xml:space="preserve">A chart shows plan utilisation, and the corresponding benchmark, for each of the bilateral regions that had less than $50m in total plan budgets for the period. </w:t>
      </w:r>
    </w:p>
    <w:p w14:paraId="66AE9F18" w14:textId="75544729" w:rsidR="00265857" w:rsidRPr="004A01CD" w:rsidRDefault="00265857" w:rsidP="00265857">
      <w:r w:rsidRPr="004A01CD">
        <w:t>The South-West (WA) region had a utilisation rate more than 10% above the benchmark.</w:t>
      </w:r>
    </w:p>
    <w:p w14:paraId="541A3867" w14:textId="130904B5" w:rsidR="00265857" w:rsidRPr="004A01CD" w:rsidRDefault="00265857" w:rsidP="00265857">
      <w:r w:rsidRPr="004A01CD">
        <w:t xml:space="preserve">The table on slide </w:t>
      </w:r>
      <w:r w:rsidR="00A207B5" w:rsidRPr="004A01CD">
        <w:t>17</w:t>
      </w:r>
      <w:r w:rsidRPr="004A01CD">
        <w:t xml:space="preserve"> lists the eight regions that are more than 10% below the benchmark. </w:t>
      </w:r>
    </w:p>
    <w:p w14:paraId="2F108652" w14:textId="25BA7560" w:rsidR="00376969" w:rsidRPr="004A01CD" w:rsidRDefault="00376969" w:rsidP="00376969">
      <w:pPr>
        <w:pStyle w:val="Heading2"/>
      </w:pPr>
      <w:bookmarkStart w:id="27" w:name="_Toc34146576"/>
      <w:r w:rsidRPr="004A01CD">
        <w:t>Slide 2</w:t>
      </w:r>
      <w:r w:rsidR="00B52AE5" w:rsidRPr="004A01CD">
        <w:t>1</w:t>
      </w:r>
      <w:r w:rsidRPr="004A01CD">
        <w:t xml:space="preserve">: </w:t>
      </w:r>
      <w:r w:rsidR="00955E2D" w:rsidRPr="004A01CD">
        <w:t>Plan utilisation for all regions with total plan budgets greater than $50m were within ten percentage points of the benchmark</w:t>
      </w:r>
      <w:bookmarkEnd w:id="27"/>
    </w:p>
    <w:p w14:paraId="511104FC" w14:textId="77777777" w:rsidR="00EE391E" w:rsidRPr="004A01CD" w:rsidRDefault="00955E2D" w:rsidP="00955E2D">
      <w:r w:rsidRPr="004A01CD">
        <w:t xml:space="preserve">There are two charts. </w:t>
      </w:r>
      <w:r w:rsidR="00EE391E" w:rsidRPr="004A01CD">
        <w:t>One</w:t>
      </w:r>
      <w:r w:rsidRPr="004A01CD">
        <w:t xml:space="preserve"> show</w:t>
      </w:r>
      <w:r w:rsidR="00EE391E" w:rsidRPr="004A01CD">
        <w:t>s</w:t>
      </w:r>
      <w:r w:rsidRPr="004A01CD">
        <w:t xml:space="preserve"> plan utilisation</w:t>
      </w:r>
      <w:r w:rsidR="00EE391E" w:rsidRPr="004A01CD">
        <w:t>, and the corresponding benchmark,</w:t>
      </w:r>
      <w:r w:rsidRPr="004A01CD">
        <w:t xml:space="preserve"> for each of the bilateral regions that had $50m to $150m</w:t>
      </w:r>
      <w:r w:rsidR="00EE391E" w:rsidRPr="004A01CD">
        <w:t xml:space="preserve"> in total plan budgets for the period. The other shows plan utilisation, and the corresponding benchmark, for each of the bilateral regions that had </w:t>
      </w:r>
      <w:r w:rsidRPr="004A01CD">
        <w:t xml:space="preserve">greater than $150m in total plan budgets for the period. </w:t>
      </w:r>
    </w:p>
    <w:p w14:paraId="3A116C23" w14:textId="05D82BB2" w:rsidR="00955E2D" w:rsidRPr="004A01CD" w:rsidRDefault="00955E2D" w:rsidP="00955E2D">
      <w:r w:rsidRPr="004A01CD">
        <w:t>None of these regions had plan utilisation of more than 10% below the benchmark or more than 10% above the benchmark.</w:t>
      </w:r>
    </w:p>
    <w:p w14:paraId="496E408C" w14:textId="77777777" w:rsidR="00955E2D" w:rsidRPr="004A01CD" w:rsidRDefault="00955E2D" w:rsidP="00955E2D">
      <w:r w:rsidRPr="004A01CD">
        <w:t>For regions with $50m to $100m in total plan budgets, South Metro in Western Australia showed the highest utilisation above benchmark (utilisation rate of 70%, benchmark of 61%) and Darwin Urban in Northern Territory showed the lowest utilisation below benchmark (utilisation rate of 64%, benchmark of 73%).</w:t>
      </w:r>
    </w:p>
    <w:p w14:paraId="25AF1FCA" w14:textId="77777777" w:rsidR="00955E2D" w:rsidRPr="004A01CD" w:rsidRDefault="00955E2D" w:rsidP="00955E2D">
      <w:r w:rsidRPr="004A01CD">
        <w:t>For regions with greater than $150m in total plan budgets, South Western Sydney in New South Wales showed the highest utilisation above benchmark (utilisation rate of 77%, benchmark of 71%) and Toowoomba in Queensland showed the lowest utilisation below benchmark (utilisation rate of 67%, benchmark of 72%).</w:t>
      </w:r>
    </w:p>
    <w:p w14:paraId="37BCBC33" w14:textId="2694EB3E" w:rsidR="00181CA6" w:rsidRPr="004A01CD" w:rsidRDefault="00181CA6" w:rsidP="00954F10"/>
    <w:p w14:paraId="522EF415" w14:textId="18C03D5D" w:rsidR="00CB4DA4" w:rsidRPr="004A01CD" w:rsidRDefault="00F7718E" w:rsidP="00CB4DA4">
      <w:pPr>
        <w:pStyle w:val="Heading2"/>
      </w:pPr>
      <w:bookmarkStart w:id="28" w:name="_Toc34146577"/>
      <w:r w:rsidRPr="004A01CD">
        <w:lastRenderedPageBreak/>
        <w:t xml:space="preserve">Slide </w:t>
      </w:r>
      <w:r w:rsidR="0073775E" w:rsidRPr="004A01CD">
        <w:t>2</w:t>
      </w:r>
      <w:r w:rsidR="00B52AE5" w:rsidRPr="004A01CD">
        <w:t>2</w:t>
      </w:r>
      <w:r w:rsidRPr="004A01CD">
        <w:t xml:space="preserve">: </w:t>
      </w:r>
      <w:r w:rsidR="00EE391E" w:rsidRPr="004A01CD">
        <w:t>Provider concentration tends to fall as total budget increases</w:t>
      </w:r>
      <w:bookmarkEnd w:id="28"/>
    </w:p>
    <w:p w14:paraId="21FECEA9" w14:textId="281CE4E5" w:rsidR="00EE391E" w:rsidRPr="004A01CD" w:rsidRDefault="00EE391E" w:rsidP="00EE391E">
      <w:r w:rsidRPr="004A01CD">
        <w:t xml:space="preserve">A chart shows </w:t>
      </w:r>
      <w:r w:rsidR="0064587C" w:rsidRPr="004A01CD">
        <w:t xml:space="preserve">provider concentration for each bilateral region. The regions are ordered by total plan budgets. Concentration in the smallest regions is approximately 85-95%, decreasing </w:t>
      </w:r>
      <w:r w:rsidR="001C07F5" w:rsidRPr="004A01CD">
        <w:t>to approximately 35-40% for the largest regions.</w:t>
      </w:r>
    </w:p>
    <w:p w14:paraId="7F0D3C9A" w14:textId="7B6CD1F9" w:rsidR="00EE391E" w:rsidRPr="004A01CD" w:rsidRDefault="00EE391E" w:rsidP="00EE391E">
      <w:r w:rsidRPr="004A01CD">
        <w:rPr>
          <w:bCs/>
        </w:rPr>
        <w:t>Ordering regions by budget size indicates that larger regions have lower provider concentration. Regions with large budgets are likely to be populous regions (e.g. urban areas) and these tend to have a larger number of providers.</w:t>
      </w:r>
    </w:p>
    <w:p w14:paraId="4F25A595" w14:textId="2FFC2504" w:rsidR="006015EC" w:rsidRPr="004A01CD" w:rsidRDefault="006015EC" w:rsidP="00CB4DA4">
      <w:pPr>
        <w:pStyle w:val="Heading2"/>
      </w:pPr>
      <w:bookmarkStart w:id="29" w:name="_Toc34146578"/>
      <w:r w:rsidRPr="004A01CD">
        <w:t xml:space="preserve">Slide </w:t>
      </w:r>
      <w:r w:rsidR="00846FEB" w:rsidRPr="004A01CD">
        <w:t>2</w:t>
      </w:r>
      <w:r w:rsidR="00B52AE5" w:rsidRPr="004A01CD">
        <w:t>3</w:t>
      </w:r>
      <w:r w:rsidRPr="004A01CD">
        <w:t xml:space="preserve">: </w:t>
      </w:r>
      <w:r w:rsidR="00970F55" w:rsidRPr="004A01CD">
        <w:t>Provider concentration was above the benchmark of 85% for nine bilateral regions, all with total plan budgets below $50m</w:t>
      </w:r>
      <w:bookmarkEnd w:id="29"/>
    </w:p>
    <w:p w14:paraId="23DA7200" w14:textId="48EA7026" w:rsidR="00AA5422" w:rsidRPr="004A01CD" w:rsidRDefault="00422AAC" w:rsidP="00AA5422">
      <w:pPr>
        <w:jc w:val="both"/>
        <w:rPr>
          <w:rFonts w:cs="Arial"/>
        </w:rPr>
      </w:pPr>
      <w:r w:rsidRPr="004A01CD">
        <w:rPr>
          <w:rFonts w:cs="Arial"/>
        </w:rPr>
        <w:t>A</w:t>
      </w:r>
      <w:r w:rsidR="00AA5422" w:rsidRPr="004A01CD">
        <w:rPr>
          <w:rFonts w:cs="Arial"/>
        </w:rPr>
        <w:t xml:space="preserve"> chart shows the number of bilateral regions </w:t>
      </w:r>
      <w:r w:rsidRPr="004A01CD">
        <w:rPr>
          <w:rFonts w:cs="Arial"/>
        </w:rPr>
        <w:t xml:space="preserve">(with total plan budgets below $50 million) </w:t>
      </w:r>
      <w:r w:rsidR="00AA5422" w:rsidRPr="004A01CD">
        <w:rPr>
          <w:rFonts w:cs="Arial"/>
        </w:rPr>
        <w:t>that have provider concentration above or below the benchmark, as well as the size of the gap. The benchmark has been set at 85% for all regions.</w:t>
      </w:r>
    </w:p>
    <w:p w14:paraId="73631EBD" w14:textId="20A89809" w:rsidR="00422AAC" w:rsidRPr="004A01CD" w:rsidRDefault="00AA5422" w:rsidP="00AA5422">
      <w:pPr>
        <w:jc w:val="both"/>
        <w:rPr>
          <w:rFonts w:cs="Arial"/>
        </w:rPr>
      </w:pPr>
      <w:r w:rsidRPr="004A01CD">
        <w:rPr>
          <w:rFonts w:cs="Arial"/>
        </w:rPr>
        <w:t>Overall, nine out of 76 regions (12%) were above the benchmark. 15 out of 76 regions (20%) were more than 40</w:t>
      </w:r>
      <w:r w:rsidR="00422AAC" w:rsidRPr="004A01CD">
        <w:rPr>
          <w:rFonts w:cs="Arial"/>
        </w:rPr>
        <w:t xml:space="preserve"> percentage points</w:t>
      </w:r>
      <w:r w:rsidRPr="004A01CD">
        <w:rPr>
          <w:rFonts w:cs="Arial"/>
        </w:rPr>
        <w:t xml:space="preserve"> below the benchmark.</w:t>
      </w:r>
      <w:r w:rsidR="00422AAC" w:rsidRPr="004A01CD">
        <w:rPr>
          <w:rFonts w:cs="Arial"/>
        </w:rPr>
        <w:t xml:space="preserve"> 21 regions (27.6%) between the benchmark and 20 percentage points below the benchmark. </w:t>
      </w:r>
    </w:p>
    <w:p w14:paraId="3F261517" w14:textId="1D5FE206" w:rsidR="00886F15" w:rsidRPr="004A01CD" w:rsidRDefault="00886F15" w:rsidP="00886F15">
      <w:pPr>
        <w:jc w:val="both"/>
        <w:rPr>
          <w:rFonts w:cs="Arial"/>
        </w:rPr>
      </w:pPr>
      <w:r w:rsidRPr="004A01CD">
        <w:rPr>
          <w:rFonts w:cs="Arial"/>
        </w:rPr>
        <w:t>Note 1: Provider concentration is calculated over the period from 1 April 2019 to 30 September 2019, using data available as at 31 December 2019</w:t>
      </w:r>
    </w:p>
    <w:p w14:paraId="3303F5AA" w14:textId="04A2D09E" w:rsidR="00886F15" w:rsidRPr="004A01CD" w:rsidRDefault="00886F15" w:rsidP="00886F15">
      <w:pPr>
        <w:jc w:val="both"/>
        <w:rPr>
          <w:rFonts w:cs="Arial"/>
        </w:rPr>
      </w:pPr>
      <w:r w:rsidRPr="004A01CD">
        <w:rPr>
          <w:rFonts w:cs="Arial"/>
        </w:rPr>
        <w:t>Note 2: Further detail on benchmarks is provided in Appendix B</w:t>
      </w:r>
    </w:p>
    <w:p w14:paraId="7EDD591F" w14:textId="329D1008" w:rsidR="00886F15" w:rsidRPr="004A01CD" w:rsidRDefault="00886F15" w:rsidP="00AA5422">
      <w:pPr>
        <w:jc w:val="both"/>
        <w:rPr>
          <w:rFonts w:cs="Arial"/>
        </w:rPr>
      </w:pPr>
      <w:r w:rsidRPr="004A01CD">
        <w:rPr>
          <w:rFonts w:cs="Arial"/>
        </w:rPr>
        <w:t>Note 3: The bilateral regions considered have had at least twelve months of Scheme experience, i.e. commenced phasing on or before 1 Jan 2019. This equates to 76 of the 80 bilateral regions.</w:t>
      </w:r>
    </w:p>
    <w:p w14:paraId="472DA771" w14:textId="409F1A1F" w:rsidR="00B24C0D" w:rsidRPr="004A01CD" w:rsidRDefault="00B24C0D" w:rsidP="003A7B01">
      <w:pPr>
        <w:pStyle w:val="Heading2"/>
      </w:pPr>
      <w:bookmarkStart w:id="30" w:name="_Toc34146579"/>
      <w:r w:rsidRPr="004A01CD">
        <w:t xml:space="preserve">Slide </w:t>
      </w:r>
      <w:r w:rsidR="00846FEB" w:rsidRPr="004A01CD">
        <w:t>2</w:t>
      </w:r>
      <w:r w:rsidR="00B52AE5" w:rsidRPr="004A01CD">
        <w:t>4</w:t>
      </w:r>
      <w:r w:rsidRPr="004A01CD">
        <w:t xml:space="preserve">: </w:t>
      </w:r>
      <w:r w:rsidR="00886F15" w:rsidRPr="004A01CD">
        <w:t>The majority of regions above the provider concentration benchmark were in NT and WA.</w:t>
      </w:r>
      <w:bookmarkEnd w:id="30"/>
    </w:p>
    <w:p w14:paraId="6837D543" w14:textId="5E22CAC5" w:rsidR="00B24C0D" w:rsidRPr="004A01CD" w:rsidRDefault="00886F15" w:rsidP="00886F15">
      <w:pPr>
        <w:tabs>
          <w:tab w:val="left" w:pos="3431"/>
        </w:tabs>
        <w:jc w:val="both"/>
      </w:pPr>
      <w:r w:rsidRPr="004A01CD">
        <w:rPr>
          <w:rFonts w:cs="Arial"/>
        </w:rPr>
        <w:t xml:space="preserve">There are two tables. The first table shows </w:t>
      </w:r>
      <w:r w:rsidRPr="004A01CD">
        <w:t>a list of the six regions where 90% to 95% of payments are made to the 10 largest providers, and the second table shows a list of the three regions where 85% to 90% of payments are made to the 10 largest providers.</w:t>
      </w:r>
      <w:r w:rsidR="008A7453" w:rsidRPr="004A01CD">
        <w:t xml:space="preserve"> Note that the benchmark concentration is 85% for all regions</w:t>
      </w:r>
      <w:r w:rsidR="001F48CA" w:rsidRPr="004A01CD">
        <w:t>, and the tables are showing those regions that are above the benchmark for provider concentration</w:t>
      </w:r>
      <w:r w:rsidR="008A7453" w:rsidRPr="004A01CD">
        <w:t>.</w:t>
      </w:r>
    </w:p>
    <w:p w14:paraId="469CA7E7" w14:textId="04F38A1C" w:rsidR="008A7453" w:rsidRPr="004A01CD" w:rsidRDefault="008A7453" w:rsidP="008A7453">
      <w:r w:rsidRPr="004A01CD">
        <w:t>The regions where 90% to 95% of payments are made to the 10 largest providers are:</w:t>
      </w:r>
    </w:p>
    <w:p w14:paraId="5D761715" w14:textId="5C3E73BB" w:rsidR="00886F15" w:rsidRPr="004A01CD" w:rsidRDefault="008A7453" w:rsidP="00484BD2">
      <w:pPr>
        <w:pStyle w:val="ListParagraph"/>
        <w:numPr>
          <w:ilvl w:val="0"/>
          <w:numId w:val="33"/>
        </w:numPr>
        <w:tabs>
          <w:tab w:val="left" w:pos="3431"/>
        </w:tabs>
        <w:jc w:val="both"/>
      </w:pPr>
      <w:r w:rsidRPr="004A01CD">
        <w:t>Barkly (NT) with concentration of 94%</w:t>
      </w:r>
    </w:p>
    <w:p w14:paraId="21964741" w14:textId="5DA11EEA" w:rsidR="008A7453" w:rsidRPr="004A01CD" w:rsidRDefault="008A7453" w:rsidP="008A7453">
      <w:pPr>
        <w:pStyle w:val="ListParagraph"/>
        <w:numPr>
          <w:ilvl w:val="0"/>
          <w:numId w:val="33"/>
        </w:numPr>
        <w:tabs>
          <w:tab w:val="left" w:pos="3431"/>
        </w:tabs>
        <w:jc w:val="both"/>
      </w:pPr>
      <w:r w:rsidRPr="004A01CD">
        <w:t xml:space="preserve">Central </w:t>
      </w:r>
      <w:r w:rsidR="009A33D9" w:rsidRPr="004A01CD">
        <w:t>Australia</w:t>
      </w:r>
      <w:r w:rsidRPr="004A01CD">
        <w:t xml:space="preserve"> (NT) with concentration of 92%</w:t>
      </w:r>
    </w:p>
    <w:p w14:paraId="12C665F5" w14:textId="6426BA80" w:rsidR="008A7453" w:rsidRPr="004A01CD" w:rsidRDefault="008A7453" w:rsidP="008A7453">
      <w:pPr>
        <w:pStyle w:val="ListParagraph"/>
        <w:numPr>
          <w:ilvl w:val="0"/>
          <w:numId w:val="33"/>
        </w:numPr>
        <w:tabs>
          <w:tab w:val="left" w:pos="3431"/>
        </w:tabs>
        <w:jc w:val="both"/>
      </w:pPr>
      <w:r w:rsidRPr="004A01CD">
        <w:t>East Arnhem (NT) with concentration of 91%</w:t>
      </w:r>
    </w:p>
    <w:p w14:paraId="4F28F338" w14:textId="3739EF71" w:rsidR="008A7453" w:rsidRPr="004A01CD" w:rsidRDefault="008A7453" w:rsidP="008A7453">
      <w:pPr>
        <w:pStyle w:val="ListParagraph"/>
        <w:numPr>
          <w:ilvl w:val="0"/>
          <w:numId w:val="33"/>
        </w:numPr>
        <w:tabs>
          <w:tab w:val="left" w:pos="3431"/>
        </w:tabs>
        <w:jc w:val="both"/>
      </w:pPr>
      <w:r w:rsidRPr="004A01CD">
        <w:t>Katherine (NT) with concentration of 92%</w:t>
      </w:r>
    </w:p>
    <w:p w14:paraId="56813E85" w14:textId="4E33F7E2" w:rsidR="008A7453" w:rsidRPr="004A01CD" w:rsidRDefault="008A7453" w:rsidP="008A7453">
      <w:pPr>
        <w:pStyle w:val="ListParagraph"/>
        <w:numPr>
          <w:ilvl w:val="0"/>
          <w:numId w:val="33"/>
        </w:numPr>
        <w:tabs>
          <w:tab w:val="left" w:pos="3431"/>
        </w:tabs>
        <w:jc w:val="both"/>
      </w:pPr>
      <w:r w:rsidRPr="004A01CD">
        <w:t>Kimberley-Pilbara (WA) with concentration of 94%</w:t>
      </w:r>
    </w:p>
    <w:p w14:paraId="71078DDF" w14:textId="7CB1BBE4" w:rsidR="008A7453" w:rsidRPr="004A01CD" w:rsidRDefault="008A7453" w:rsidP="008A7453">
      <w:pPr>
        <w:pStyle w:val="ListParagraph"/>
        <w:numPr>
          <w:ilvl w:val="0"/>
          <w:numId w:val="33"/>
        </w:numPr>
        <w:tabs>
          <w:tab w:val="left" w:pos="3431"/>
        </w:tabs>
        <w:jc w:val="both"/>
      </w:pPr>
      <w:r w:rsidRPr="004A01CD">
        <w:t>Goldfields-Esperance (WA) with concentration of 95%</w:t>
      </w:r>
    </w:p>
    <w:p w14:paraId="3F02C10D" w14:textId="77777777" w:rsidR="008E16AC" w:rsidRPr="004A01CD" w:rsidRDefault="008E16AC" w:rsidP="008E16AC">
      <w:r w:rsidRPr="004A01CD">
        <w:t>The regions where 90% to 95% of payments are made to the 10 largest providers are:</w:t>
      </w:r>
    </w:p>
    <w:p w14:paraId="67B4F3C0" w14:textId="7827EC3D" w:rsidR="008E16AC" w:rsidRPr="004A01CD" w:rsidRDefault="008E16AC" w:rsidP="008E16AC">
      <w:pPr>
        <w:pStyle w:val="ListParagraph"/>
        <w:numPr>
          <w:ilvl w:val="0"/>
          <w:numId w:val="33"/>
        </w:numPr>
        <w:tabs>
          <w:tab w:val="left" w:pos="3431"/>
        </w:tabs>
        <w:jc w:val="both"/>
      </w:pPr>
      <w:r w:rsidRPr="004A01CD">
        <w:t>Far North (SA) with concentration of 85%</w:t>
      </w:r>
    </w:p>
    <w:p w14:paraId="23F7F966" w14:textId="722CE64F" w:rsidR="008E16AC" w:rsidRPr="004A01CD" w:rsidRDefault="008E16AC" w:rsidP="008E16AC">
      <w:pPr>
        <w:pStyle w:val="ListParagraph"/>
        <w:numPr>
          <w:ilvl w:val="0"/>
          <w:numId w:val="33"/>
        </w:numPr>
        <w:tabs>
          <w:tab w:val="left" w:pos="3431"/>
        </w:tabs>
        <w:jc w:val="both"/>
      </w:pPr>
      <w:r w:rsidRPr="004A01CD">
        <w:t>Fleurieu and Kangaroo Island (SA) with concentration of 85%</w:t>
      </w:r>
    </w:p>
    <w:p w14:paraId="7B278010" w14:textId="599CDB51" w:rsidR="008E16AC" w:rsidRPr="004A01CD" w:rsidRDefault="008E16AC" w:rsidP="008E16AC">
      <w:pPr>
        <w:pStyle w:val="ListParagraph"/>
        <w:numPr>
          <w:ilvl w:val="0"/>
          <w:numId w:val="33"/>
        </w:numPr>
        <w:tabs>
          <w:tab w:val="left" w:pos="3431"/>
        </w:tabs>
        <w:jc w:val="both"/>
      </w:pPr>
      <w:r w:rsidRPr="004A01CD">
        <w:t>South West (WA) with concentration of 85%</w:t>
      </w:r>
    </w:p>
    <w:p w14:paraId="7196A1B1" w14:textId="0D55ED2B" w:rsidR="008E16AC" w:rsidRPr="004A01CD" w:rsidRDefault="008E16AC" w:rsidP="008E16AC">
      <w:pPr>
        <w:tabs>
          <w:tab w:val="left" w:pos="3431"/>
        </w:tabs>
        <w:jc w:val="both"/>
      </w:pPr>
      <w:r w:rsidRPr="004A01CD">
        <w:lastRenderedPageBreak/>
        <w:t xml:space="preserve">Four of the nine regions are in the Northern Territory and three are in Western Australia. Eight of the regions have less than $100 million in total annualised plan budgets. </w:t>
      </w:r>
    </w:p>
    <w:p w14:paraId="5FE56FA7" w14:textId="2D8FC56C" w:rsidR="003903B9" w:rsidRPr="004A01CD" w:rsidRDefault="003903B9" w:rsidP="003A7B01">
      <w:pPr>
        <w:pStyle w:val="Heading2"/>
      </w:pPr>
      <w:bookmarkStart w:id="31" w:name="_Toc34146580"/>
      <w:r w:rsidRPr="004A01CD">
        <w:t xml:space="preserve">Slide </w:t>
      </w:r>
      <w:r w:rsidR="00846FEB" w:rsidRPr="004A01CD">
        <w:t>2</w:t>
      </w:r>
      <w:r w:rsidR="00B52AE5" w:rsidRPr="004A01CD">
        <w:t>5</w:t>
      </w:r>
      <w:r w:rsidRPr="004A01CD">
        <w:t xml:space="preserve">: </w:t>
      </w:r>
      <w:r w:rsidR="00722B07" w:rsidRPr="004A01CD">
        <w:t>The number of regions that are 5% to 10% higher than the benchmark has risen from one to six between the end of June 2019 and the end of December 2019</w:t>
      </w:r>
      <w:bookmarkEnd w:id="31"/>
    </w:p>
    <w:p w14:paraId="2D69C165" w14:textId="7320CF8A" w:rsidR="00D440EC" w:rsidRPr="004A01CD" w:rsidRDefault="00D440EC" w:rsidP="00D440EC">
      <w:r w:rsidRPr="004A01CD">
        <w:t xml:space="preserve">There are two charts. One shows the distribution of regions by </w:t>
      </w:r>
      <w:r w:rsidR="00AF1042" w:rsidRPr="004A01CD">
        <w:t>provider concentration</w:t>
      </w:r>
      <w:r w:rsidRPr="004A01CD">
        <w:t xml:space="preserve"> at December 2019, and the other shows the distribution of regions by </w:t>
      </w:r>
      <w:r w:rsidR="00AF1042" w:rsidRPr="004A01CD">
        <w:t xml:space="preserve">provider concentration </w:t>
      </w:r>
      <w:r w:rsidRPr="004A01CD">
        <w:t>at June 2019.</w:t>
      </w:r>
    </w:p>
    <w:p w14:paraId="4D2D0F6A" w14:textId="2657C7D7" w:rsidR="00D440EC" w:rsidRPr="004A01CD" w:rsidRDefault="00CD6E71" w:rsidP="00D440EC">
      <w:r w:rsidRPr="004A01CD">
        <w:t>At December 2019, 15</w:t>
      </w:r>
      <w:r w:rsidR="00D440EC" w:rsidRPr="004A01CD">
        <w:t xml:space="preserve"> regions (</w:t>
      </w:r>
      <w:r w:rsidR="004867FC" w:rsidRPr="004A01CD">
        <w:t>19</w:t>
      </w:r>
      <w:r w:rsidR="00D440EC" w:rsidRPr="004A01CD">
        <w:t>.</w:t>
      </w:r>
      <w:r w:rsidR="004867FC" w:rsidRPr="004A01CD">
        <w:t>7</w:t>
      </w:r>
      <w:r w:rsidR="00D440EC" w:rsidRPr="004A01CD">
        <w:t xml:space="preserve">%) </w:t>
      </w:r>
      <w:r w:rsidR="004867FC" w:rsidRPr="004A01CD">
        <w:t>had provider concentration of less than 45%</w:t>
      </w:r>
      <w:r w:rsidR="00D440EC" w:rsidRPr="004A01CD">
        <w:t xml:space="preserve">, compared to </w:t>
      </w:r>
      <w:r w:rsidR="004867FC" w:rsidRPr="004A01CD">
        <w:t>12</w:t>
      </w:r>
      <w:r w:rsidR="00D440EC" w:rsidRPr="004A01CD">
        <w:t xml:space="preserve"> (</w:t>
      </w:r>
      <w:r w:rsidR="004867FC" w:rsidRPr="004A01CD">
        <w:t>18</w:t>
      </w:r>
      <w:r w:rsidR="00D440EC" w:rsidRPr="004A01CD">
        <w:t>.8%) at June 2019.</w:t>
      </w:r>
    </w:p>
    <w:p w14:paraId="5EC07611" w14:textId="29149BCF" w:rsidR="00622C55" w:rsidRPr="004A01CD" w:rsidRDefault="00622C55" w:rsidP="00622C55">
      <w:r w:rsidRPr="004A01CD">
        <w:t>At December 2019, 31 regions (40.8%) had provider concentration of between 45% and 65%, compared to 28 (43.8%) at June 2019.</w:t>
      </w:r>
    </w:p>
    <w:p w14:paraId="187E4391" w14:textId="7F52C7FD" w:rsidR="00622C55" w:rsidRPr="004A01CD" w:rsidRDefault="00622C55" w:rsidP="00622C55">
      <w:r w:rsidRPr="004A01CD">
        <w:t>At December 2019, 21 regions (27.6%) had provider concentration of between 65% and 85%, compared to 19 (29.7%) at June 2019.</w:t>
      </w:r>
    </w:p>
    <w:p w14:paraId="3EF2DFE7" w14:textId="11159C5F" w:rsidR="00622C55" w:rsidRPr="004A01CD" w:rsidRDefault="00622C55" w:rsidP="00622C55">
      <w:r w:rsidRPr="004A01CD">
        <w:t>At December 2019, 9 regions (11.8%) had provider concentration of more than 85%, compared to 5 (7.9%) at June 2019.</w:t>
      </w:r>
    </w:p>
    <w:p w14:paraId="4DBF1023" w14:textId="6DCBBD1A" w:rsidR="00937916" w:rsidRPr="004A01CD" w:rsidRDefault="00937916" w:rsidP="003A7B01">
      <w:pPr>
        <w:pStyle w:val="Heading2"/>
      </w:pPr>
      <w:bookmarkStart w:id="32" w:name="_Toc34146581"/>
      <w:r w:rsidRPr="004A01CD">
        <w:t xml:space="preserve">Slide </w:t>
      </w:r>
      <w:r w:rsidR="00846FEB" w:rsidRPr="004A01CD">
        <w:t>2</w:t>
      </w:r>
      <w:r w:rsidR="00B52AE5" w:rsidRPr="004A01CD">
        <w:t>6</w:t>
      </w:r>
      <w:r w:rsidRPr="004A01CD">
        <w:t xml:space="preserve">: </w:t>
      </w:r>
      <w:r w:rsidR="003D05B6" w:rsidRPr="004A01CD">
        <w:t>Provider concentration has moved little since June 2019</w:t>
      </w:r>
      <w:bookmarkEnd w:id="32"/>
    </w:p>
    <w:p w14:paraId="5A75788F" w14:textId="63FF2703" w:rsidR="000344E4" w:rsidRPr="004A01CD" w:rsidRDefault="003D05B6" w:rsidP="003D05B6">
      <w:pPr>
        <w:jc w:val="both"/>
        <w:rPr>
          <w:rFonts w:cs="Arial"/>
        </w:rPr>
      </w:pPr>
      <w:r w:rsidRPr="004A01CD">
        <w:rPr>
          <w:rFonts w:cs="Arial"/>
        </w:rPr>
        <w:t>The average level of provider concentration across regions in Australia has fallen from 63% to 61%. Overall this indicates a slight improvement since the June 2019 NDIS Market Report.</w:t>
      </w:r>
    </w:p>
    <w:p w14:paraId="4739F041" w14:textId="77777777" w:rsidR="003D05B6" w:rsidRPr="004A01CD" w:rsidRDefault="003D05B6" w:rsidP="003D05B6">
      <w:pPr>
        <w:jc w:val="both"/>
        <w:rPr>
          <w:rFonts w:cs="Arial"/>
        </w:rPr>
      </w:pPr>
      <w:r w:rsidRPr="004A01CD">
        <w:rPr>
          <w:rFonts w:cs="Arial"/>
        </w:rPr>
        <w:t>As shown on the charts on the preceding slide, the number of regions above the benchmark (85% of provider payments made to the top ten providers that received the most payments in the exposure period) has risen from five (out of 64) to nine (out of 76).</w:t>
      </w:r>
    </w:p>
    <w:p w14:paraId="14C2CB6D" w14:textId="77777777" w:rsidR="003D05B6" w:rsidRPr="004A01CD" w:rsidRDefault="003D05B6" w:rsidP="003D05B6">
      <w:pPr>
        <w:jc w:val="both"/>
        <w:rPr>
          <w:rFonts w:cs="Arial"/>
        </w:rPr>
      </w:pPr>
      <w:r w:rsidRPr="004A01CD">
        <w:rPr>
          <w:rFonts w:cs="Arial"/>
        </w:rPr>
        <w:t>Three of the regions (Kimberley-Pilbara (WA), South West (WA) and Goldfields-Esperance (WA)) were not covered in the June report. Looking at the 64 regions that are covered in both reports, the number of regions above the benchmark has increased by one (Fleurieu and Kangaroo Island (SA)).</w:t>
      </w:r>
    </w:p>
    <w:p w14:paraId="28A223A3" w14:textId="77777777" w:rsidR="003D05B6" w:rsidRPr="004A01CD" w:rsidRDefault="003D05B6" w:rsidP="003D05B6">
      <w:pPr>
        <w:jc w:val="both"/>
        <w:rPr>
          <w:rFonts w:cs="Arial"/>
        </w:rPr>
      </w:pPr>
      <w:r w:rsidRPr="004A01CD">
        <w:rPr>
          <w:rFonts w:cs="Arial"/>
        </w:rPr>
        <w:t xml:space="preserve">The number of regions below the benchmark has increased from 59 (out of 64) to 67 (out of 76). </w:t>
      </w:r>
    </w:p>
    <w:p w14:paraId="6F3DE16E" w14:textId="77777777" w:rsidR="003D05B6" w:rsidRPr="004A01CD" w:rsidRDefault="003D05B6" w:rsidP="003D05B6">
      <w:pPr>
        <w:jc w:val="both"/>
        <w:rPr>
          <w:rFonts w:cs="Arial"/>
        </w:rPr>
      </w:pPr>
      <w:r w:rsidRPr="004A01CD">
        <w:rPr>
          <w:rFonts w:cs="Arial"/>
        </w:rPr>
        <w:t>The proportions of the overall split (between ‘65% to 85%’, ‘45% to 65%’ and ‘below 45%’ of payments goes to top ten providers) have not significantly changed since June.</w:t>
      </w:r>
    </w:p>
    <w:p w14:paraId="33FE2229" w14:textId="77777777" w:rsidR="003D05B6" w:rsidRPr="004A01CD" w:rsidRDefault="003D05B6" w:rsidP="003D05B6">
      <w:pPr>
        <w:jc w:val="both"/>
        <w:rPr>
          <w:rFonts w:cs="Arial"/>
        </w:rPr>
      </w:pPr>
      <w:r w:rsidRPr="004A01CD">
        <w:rPr>
          <w:rFonts w:cs="Arial"/>
        </w:rPr>
        <w:t>Overall the results indicate that market concentration has decreased slightly on average, but increased in some areas.</w:t>
      </w:r>
    </w:p>
    <w:p w14:paraId="36704376" w14:textId="7533EDFB" w:rsidR="00937916" w:rsidRPr="004A01CD" w:rsidRDefault="00937916" w:rsidP="003A7B01">
      <w:pPr>
        <w:pStyle w:val="Heading2"/>
      </w:pPr>
      <w:bookmarkStart w:id="33" w:name="_Toc34146582"/>
      <w:r w:rsidRPr="004A01CD">
        <w:t xml:space="preserve">Slide </w:t>
      </w:r>
      <w:r w:rsidR="00614642" w:rsidRPr="004A01CD">
        <w:t>2</w:t>
      </w:r>
      <w:r w:rsidR="00B52AE5" w:rsidRPr="004A01CD">
        <w:t>7</w:t>
      </w:r>
      <w:r w:rsidRPr="004A01CD">
        <w:t xml:space="preserve">: </w:t>
      </w:r>
      <w:r w:rsidR="00075CA1" w:rsidRPr="004A01CD">
        <w:t>All the regions above the provider concentration benchmark had less than $50m in total plan budgets</w:t>
      </w:r>
      <w:bookmarkEnd w:id="33"/>
    </w:p>
    <w:p w14:paraId="0FE3086B" w14:textId="609C18A1" w:rsidR="00075CA1" w:rsidRPr="004A01CD" w:rsidRDefault="00075CA1" w:rsidP="00075CA1">
      <w:pPr>
        <w:jc w:val="both"/>
        <w:rPr>
          <w:rFonts w:cs="Arial"/>
        </w:rPr>
      </w:pPr>
      <w:r w:rsidRPr="004A01CD">
        <w:rPr>
          <w:rFonts w:cs="Arial"/>
        </w:rPr>
        <w:t xml:space="preserve">A chart </w:t>
      </w:r>
      <w:r w:rsidR="00593F66" w:rsidRPr="004A01CD">
        <w:rPr>
          <w:rFonts w:cs="Arial"/>
        </w:rPr>
        <w:t>shows provider concentration, and the corresponding benchmark (85%), for each bilateral region</w:t>
      </w:r>
      <w:r w:rsidR="0039187F" w:rsidRPr="004A01CD">
        <w:rPr>
          <w:rFonts w:cs="Arial"/>
        </w:rPr>
        <w:t xml:space="preserve"> with total annualised plan budgets of less than $50 million</w:t>
      </w:r>
      <w:r w:rsidR="00593F66" w:rsidRPr="004A01CD">
        <w:rPr>
          <w:rFonts w:cs="Arial"/>
        </w:rPr>
        <w:t>.</w:t>
      </w:r>
    </w:p>
    <w:p w14:paraId="13C6A327" w14:textId="77777777" w:rsidR="00075CA1" w:rsidRPr="004A01CD" w:rsidRDefault="00075CA1" w:rsidP="00075CA1">
      <w:pPr>
        <w:jc w:val="both"/>
        <w:rPr>
          <w:rFonts w:cs="Arial"/>
        </w:rPr>
      </w:pPr>
      <w:r w:rsidRPr="004A01CD">
        <w:rPr>
          <w:rFonts w:cs="Arial"/>
        </w:rPr>
        <w:t xml:space="preserve">Note that Barkly (NT) was the only region more than ten percentage points above the benchmark in the June 2019 NDIS Markets report and was covered in greater detail in that </w:t>
      </w:r>
      <w:r w:rsidRPr="004A01CD">
        <w:rPr>
          <w:rFonts w:cs="Arial"/>
        </w:rPr>
        <w:lastRenderedPageBreak/>
        <w:t>report. As this region is no longer greater than ten percentage points higher than the benchmark, it is not analysed in detail in this report for this metric.</w:t>
      </w:r>
    </w:p>
    <w:p w14:paraId="466DBE13" w14:textId="77777777" w:rsidR="00075CA1" w:rsidRPr="004A01CD" w:rsidRDefault="00075CA1" w:rsidP="00075CA1">
      <w:pPr>
        <w:jc w:val="both"/>
        <w:rPr>
          <w:rFonts w:cs="Arial"/>
        </w:rPr>
      </w:pPr>
      <w:r w:rsidRPr="004A01CD">
        <w:rPr>
          <w:rFonts w:cs="Arial"/>
        </w:rPr>
        <w:t>In addition, Central Australia (NT) was also covered in the June report as the region with the next highest provider concentration after Barkly (NT).</w:t>
      </w:r>
    </w:p>
    <w:p w14:paraId="613E0626" w14:textId="53AAED17" w:rsidR="00A53212" w:rsidRPr="004A01CD" w:rsidRDefault="00075CA1" w:rsidP="00A53212">
      <w:pPr>
        <w:jc w:val="both"/>
        <w:rPr>
          <w:rFonts w:cs="Arial"/>
        </w:rPr>
      </w:pPr>
      <w:r w:rsidRPr="004A01CD">
        <w:rPr>
          <w:rFonts w:cs="Arial"/>
        </w:rPr>
        <w:t>Goldfields-Esperance (WA) and Kimberley-Pilbara (WA) are covered in more detail later in the ‘Regional Hotspots’ section of this presentation.</w:t>
      </w:r>
    </w:p>
    <w:p w14:paraId="6649F950" w14:textId="2725D42E" w:rsidR="00614642" w:rsidRPr="004A01CD" w:rsidRDefault="00614642" w:rsidP="00614642">
      <w:pPr>
        <w:pStyle w:val="Heading2"/>
      </w:pPr>
      <w:bookmarkStart w:id="34" w:name="_Toc34146583"/>
      <w:r w:rsidRPr="004A01CD">
        <w:t xml:space="preserve">Slide </w:t>
      </w:r>
      <w:r w:rsidR="00A53212" w:rsidRPr="004A01CD">
        <w:t>2</w:t>
      </w:r>
      <w:r w:rsidR="00B52AE5" w:rsidRPr="004A01CD">
        <w:t>8</w:t>
      </w:r>
      <w:r w:rsidRPr="004A01CD">
        <w:t xml:space="preserve">: </w:t>
      </w:r>
      <w:r w:rsidR="001A4479" w:rsidRPr="004A01CD">
        <w:t>All regions with more than $50m in total plan budgets had provider concentration below the benchmark</w:t>
      </w:r>
      <w:bookmarkEnd w:id="34"/>
    </w:p>
    <w:p w14:paraId="7149ABC5" w14:textId="73F917B0" w:rsidR="001A4479" w:rsidRPr="004A01CD" w:rsidRDefault="007261CA" w:rsidP="007261CA">
      <w:pPr>
        <w:jc w:val="both"/>
      </w:pPr>
      <w:r w:rsidRPr="004A01CD">
        <w:rPr>
          <w:rFonts w:cs="Arial"/>
        </w:rPr>
        <w:t>There are two charts. One</w:t>
      </w:r>
      <w:r w:rsidR="0039187F" w:rsidRPr="004A01CD">
        <w:rPr>
          <w:rFonts w:cs="Arial"/>
        </w:rPr>
        <w:t xml:space="preserve"> chart shows provider concentration, and the corresponding benchmark (85%), for each bilateral region with total annualised plan budgets of </w:t>
      </w:r>
      <w:r w:rsidRPr="004A01CD">
        <w:rPr>
          <w:rFonts w:cs="Arial"/>
        </w:rPr>
        <w:t>between $50 million and $150 million, and the other shows the same provider concentration for regions with total annualised plan budgets of more than $150 million</w:t>
      </w:r>
      <w:r w:rsidR="0039187F" w:rsidRPr="004A01CD">
        <w:rPr>
          <w:rFonts w:cs="Arial"/>
        </w:rPr>
        <w:t>.</w:t>
      </w:r>
    </w:p>
    <w:p w14:paraId="44233E61" w14:textId="77777777" w:rsidR="001A4479" w:rsidRPr="004A01CD" w:rsidRDefault="001A4479" w:rsidP="001A4479">
      <w:pPr>
        <w:jc w:val="both"/>
        <w:rPr>
          <w:rFonts w:cs="Arial"/>
        </w:rPr>
      </w:pPr>
      <w:r w:rsidRPr="004A01CD">
        <w:rPr>
          <w:rFonts w:cs="Arial"/>
        </w:rPr>
        <w:t xml:space="preserve">While almost all of the regions display levels of provider concentration below the benchmark, there are still markets where investment could be beneficial. Comparison of the two charts also shows that provider concentration tends to be greater in the smaller regions. </w:t>
      </w:r>
    </w:p>
    <w:p w14:paraId="0FCB005B" w14:textId="350B322C" w:rsidR="00A53212" w:rsidRPr="004A01CD" w:rsidRDefault="001A4479" w:rsidP="00A53212">
      <w:pPr>
        <w:jc w:val="both"/>
        <w:rPr>
          <w:rFonts w:cs="Arial"/>
        </w:rPr>
      </w:pPr>
      <w:r w:rsidRPr="004A01CD">
        <w:rPr>
          <w:rFonts w:cs="Arial"/>
        </w:rPr>
        <w:t>Note that South Western Sydney (NSW) and Brisbane (QLD) were both covered in the June report as examples of regions with low provider concentration.</w:t>
      </w:r>
    </w:p>
    <w:p w14:paraId="36BBBCEA" w14:textId="33CC1D1B" w:rsidR="00307D5A" w:rsidRPr="004A01CD" w:rsidRDefault="00307D5A" w:rsidP="003A7B01">
      <w:pPr>
        <w:pStyle w:val="Heading2"/>
      </w:pPr>
      <w:bookmarkStart w:id="35" w:name="_Toc34146584"/>
      <w:r w:rsidRPr="004A01CD">
        <w:t xml:space="preserve">Slide </w:t>
      </w:r>
      <w:r w:rsidR="00A53212" w:rsidRPr="004A01CD">
        <w:t>2</w:t>
      </w:r>
      <w:r w:rsidR="00B52AE5" w:rsidRPr="004A01CD">
        <w:t>9</w:t>
      </w:r>
      <w:r w:rsidRPr="004A01CD">
        <w:t xml:space="preserve">: </w:t>
      </w:r>
      <w:r w:rsidR="00C379D1" w:rsidRPr="004A01CD">
        <w:t>The outcomes indicator on choice and control for two regions was more than 10% below the benchmark</w:t>
      </w:r>
      <w:bookmarkEnd w:id="35"/>
    </w:p>
    <w:p w14:paraId="77383BCE" w14:textId="435B35B0" w:rsidR="00F270EB" w:rsidRPr="004A01CD" w:rsidRDefault="001026A1" w:rsidP="00F270EB">
      <w:pPr>
        <w:jc w:val="both"/>
        <w:rPr>
          <w:rFonts w:cs="Arial"/>
        </w:rPr>
      </w:pPr>
      <w:r w:rsidRPr="004A01CD">
        <w:t xml:space="preserve">A chart shows the distribution of regions by their </w:t>
      </w:r>
      <w:r w:rsidR="00F270EB" w:rsidRPr="004A01CD">
        <w:rPr>
          <w:rFonts w:cs="Arial"/>
        </w:rPr>
        <w:t>gap between the outcomes indicator on choice and control and the benchmark</w:t>
      </w:r>
      <w:r w:rsidR="00F270EB" w:rsidRPr="004A01CD">
        <w:t xml:space="preserve"> </w:t>
      </w:r>
      <w:r w:rsidRPr="004A01CD">
        <w:t>at December 2019</w:t>
      </w:r>
      <w:r w:rsidR="00A05FC5" w:rsidRPr="004A01CD">
        <w:t>.</w:t>
      </w:r>
      <w:r w:rsidR="00F270EB" w:rsidRPr="004A01CD">
        <w:rPr>
          <w:rFonts w:cs="Arial"/>
        </w:rPr>
        <w:t xml:space="preserve"> The benchmark represents the national average, adjusted for the mix of SIL participants.</w:t>
      </w:r>
    </w:p>
    <w:p w14:paraId="3E84149E" w14:textId="3441BBBE" w:rsidR="00F270EB" w:rsidRPr="004A01CD" w:rsidRDefault="00F270EB" w:rsidP="00F270EB">
      <w:pPr>
        <w:jc w:val="both"/>
        <w:rPr>
          <w:rFonts w:cs="Arial"/>
        </w:rPr>
      </w:pPr>
      <w:r w:rsidRPr="004A01CD">
        <w:rPr>
          <w:rFonts w:cs="Arial"/>
        </w:rPr>
        <w:t xml:space="preserve">The indicator for three regions (3.9%) </w:t>
      </w:r>
      <w:r w:rsidR="00251BAD" w:rsidRPr="004A01CD">
        <w:rPr>
          <w:rFonts w:cs="Arial"/>
        </w:rPr>
        <w:t>was more than 10 percentage points</w:t>
      </w:r>
      <w:r w:rsidRPr="004A01CD">
        <w:rPr>
          <w:rFonts w:cs="Arial"/>
        </w:rPr>
        <w:t xml:space="preserve"> above the benchmark: ACT (ACT), Barkly (NT) and TAS South West (TAS).</w:t>
      </w:r>
    </w:p>
    <w:p w14:paraId="78C12D4D" w14:textId="7FC0D3C7" w:rsidR="00F270EB" w:rsidRPr="004A01CD" w:rsidRDefault="00F270EB" w:rsidP="00F270EB">
      <w:r w:rsidRPr="004A01CD">
        <w:t>The indicator for 16 regions (</w:t>
      </w:r>
      <w:r w:rsidR="00251BAD" w:rsidRPr="004A01CD">
        <w:t>21.1</w:t>
      </w:r>
      <w:r w:rsidRPr="004A01CD">
        <w:t>%)</w:t>
      </w:r>
      <w:r w:rsidR="00251BAD" w:rsidRPr="004A01CD">
        <w:t xml:space="preserve"> was between 5 and 10 percentage points above the benchmark.</w:t>
      </w:r>
      <w:r w:rsidRPr="004A01CD">
        <w:t xml:space="preserve"> </w:t>
      </w:r>
    </w:p>
    <w:p w14:paraId="3D6AFD46" w14:textId="2D847DB0" w:rsidR="00251BAD" w:rsidRPr="004A01CD" w:rsidRDefault="00251BAD" w:rsidP="00251BAD">
      <w:r w:rsidRPr="004A01CD">
        <w:t xml:space="preserve">The indicator for 43 regions (56.6%) was within 5 percentage points of the benchmark. </w:t>
      </w:r>
    </w:p>
    <w:p w14:paraId="17C5A548" w14:textId="4A412F04" w:rsidR="00251BAD" w:rsidRPr="004A01CD" w:rsidRDefault="00251BAD" w:rsidP="00251BAD">
      <w:r w:rsidRPr="004A01CD">
        <w:t xml:space="preserve">The indicator for 12 regions (15.8%) was between 5 and 10 percentage points below the benchmark. </w:t>
      </w:r>
    </w:p>
    <w:p w14:paraId="779618B7" w14:textId="02F16FAA" w:rsidR="00F270EB" w:rsidRPr="004A01CD" w:rsidRDefault="00F270EB" w:rsidP="00F270EB">
      <w:pPr>
        <w:jc w:val="both"/>
        <w:rPr>
          <w:rFonts w:cs="Arial"/>
        </w:rPr>
      </w:pPr>
      <w:r w:rsidRPr="004A01CD">
        <w:rPr>
          <w:rFonts w:cs="Arial"/>
        </w:rPr>
        <w:t xml:space="preserve">The indicator in respect of two regions (2.6%) </w:t>
      </w:r>
      <w:r w:rsidR="00251BAD" w:rsidRPr="004A01CD">
        <w:rPr>
          <w:rFonts w:cs="Arial"/>
        </w:rPr>
        <w:t xml:space="preserve">was more than 10 percentage points </w:t>
      </w:r>
      <w:r w:rsidRPr="004A01CD">
        <w:rPr>
          <w:rFonts w:cs="Arial"/>
        </w:rPr>
        <w:t xml:space="preserve">below the benchmark: Katherine (NT) and East Arnhem (NT). </w:t>
      </w:r>
    </w:p>
    <w:p w14:paraId="4E0A1D17" w14:textId="53FD02A0" w:rsidR="00483410" w:rsidRPr="004A01CD" w:rsidRDefault="001026A1" w:rsidP="001026A1">
      <w:pPr>
        <w:jc w:val="both"/>
        <w:rPr>
          <w:rFonts w:cs="Arial"/>
        </w:rPr>
      </w:pPr>
      <w:r w:rsidRPr="004A01CD">
        <w:rPr>
          <w:rFonts w:cs="Arial"/>
        </w:rPr>
        <w:t xml:space="preserve">Note 1: </w:t>
      </w:r>
      <w:r w:rsidR="000D5292" w:rsidRPr="004A01CD">
        <w:rPr>
          <w:rFonts w:cs="Arial"/>
        </w:rPr>
        <w:t>Calculated as at 31 March 2019, using data available as at 30 June 2019</w:t>
      </w:r>
    </w:p>
    <w:p w14:paraId="750ADA49" w14:textId="3E67ADBA" w:rsidR="00483410" w:rsidRPr="004A01CD" w:rsidRDefault="001026A1" w:rsidP="001026A1">
      <w:pPr>
        <w:jc w:val="both"/>
        <w:rPr>
          <w:rFonts w:cs="Arial"/>
        </w:rPr>
      </w:pPr>
      <w:r w:rsidRPr="004A01CD">
        <w:rPr>
          <w:rFonts w:cs="Arial"/>
        </w:rPr>
        <w:t xml:space="preserve">Note 2: </w:t>
      </w:r>
      <w:r w:rsidR="000D5292" w:rsidRPr="004A01CD">
        <w:rPr>
          <w:rFonts w:cs="Arial"/>
        </w:rPr>
        <w:t>Further detail on benchmarks is provided in Appendix B</w:t>
      </w:r>
    </w:p>
    <w:p w14:paraId="761A768F" w14:textId="383EB037" w:rsidR="001026A1" w:rsidRPr="004A01CD" w:rsidRDefault="001026A1" w:rsidP="00C379D1">
      <w:pPr>
        <w:jc w:val="both"/>
        <w:rPr>
          <w:rFonts w:cs="Arial"/>
        </w:rPr>
      </w:pPr>
      <w:r w:rsidRPr="004A01CD">
        <w:rPr>
          <w:rFonts w:cs="Arial"/>
        </w:rPr>
        <w:t xml:space="preserve">Note 3: </w:t>
      </w:r>
      <w:r w:rsidR="000D5292" w:rsidRPr="004A01CD">
        <w:rPr>
          <w:rFonts w:cs="Arial"/>
        </w:rPr>
        <w:t>The bilateral regions considered have had at least twelve months of Scheme experience, i.e. commenced phasing on or before 1 January 2019. This equates to 76 of the 80 bilateral regions.</w:t>
      </w:r>
    </w:p>
    <w:p w14:paraId="6C5C7736" w14:textId="74BECF34" w:rsidR="00267A94" w:rsidRPr="004A01CD" w:rsidRDefault="00267A94" w:rsidP="003A7B01">
      <w:pPr>
        <w:pStyle w:val="Heading2"/>
      </w:pPr>
      <w:bookmarkStart w:id="36" w:name="_Toc34146585"/>
      <w:r w:rsidRPr="004A01CD">
        <w:t xml:space="preserve">Slide </w:t>
      </w:r>
      <w:r w:rsidR="00B52AE5" w:rsidRPr="004A01CD">
        <w:t>30</w:t>
      </w:r>
      <w:r w:rsidRPr="004A01CD">
        <w:t xml:space="preserve">: </w:t>
      </w:r>
      <w:r w:rsidR="00BB627B" w:rsidRPr="004A01CD">
        <w:t>The majority of regions above the outcomes indicator benchmark were in NT and Sydney</w:t>
      </w:r>
      <w:bookmarkEnd w:id="36"/>
    </w:p>
    <w:p w14:paraId="5C5A85C5" w14:textId="30E31795" w:rsidR="00754E74" w:rsidRPr="004A01CD" w:rsidRDefault="00C64C37" w:rsidP="00C64C37">
      <w:pPr>
        <w:jc w:val="both"/>
        <w:rPr>
          <w:rFonts w:cs="Arial"/>
        </w:rPr>
      </w:pPr>
      <w:r w:rsidRPr="004A01CD">
        <w:rPr>
          <w:rFonts w:cs="Arial"/>
        </w:rPr>
        <w:lastRenderedPageBreak/>
        <w:t>There are two tables.</w:t>
      </w:r>
      <w:r w:rsidR="0050142D" w:rsidRPr="004A01CD">
        <w:rPr>
          <w:rFonts w:cs="Arial"/>
        </w:rPr>
        <w:t xml:space="preserve"> One shows </w:t>
      </w:r>
      <w:r w:rsidR="00C72488" w:rsidRPr="004A01CD">
        <w:rPr>
          <w:rFonts w:cs="Arial"/>
        </w:rPr>
        <w:t xml:space="preserve">a list of the </w:t>
      </w:r>
      <w:r w:rsidR="00754E74" w:rsidRPr="004A01CD">
        <w:rPr>
          <w:rFonts w:cs="Arial"/>
        </w:rPr>
        <w:t xml:space="preserve">two regions more than 10 percentage points below benchmark for the outcomes indicator on choice and control. The second shows </w:t>
      </w:r>
      <w:r w:rsidR="00C72488" w:rsidRPr="004A01CD">
        <w:rPr>
          <w:rFonts w:cs="Arial"/>
        </w:rPr>
        <w:t xml:space="preserve">a list of the </w:t>
      </w:r>
      <w:r w:rsidR="00754E74" w:rsidRPr="004A01CD">
        <w:rPr>
          <w:rFonts w:cs="Arial"/>
        </w:rPr>
        <w:t>12 regions between 5 and 10 percentage points below benchmark for the outcomes indicator on choice and control.</w:t>
      </w:r>
    </w:p>
    <w:p w14:paraId="00E92056" w14:textId="77777777" w:rsidR="00DF6D4F" w:rsidRPr="004A01CD" w:rsidRDefault="00DF6D4F" w:rsidP="00DF6D4F">
      <w:pPr>
        <w:jc w:val="both"/>
        <w:rPr>
          <w:rFonts w:cs="Arial"/>
        </w:rPr>
      </w:pPr>
      <w:r w:rsidRPr="004A01CD">
        <w:rPr>
          <w:rFonts w:cs="Arial"/>
        </w:rPr>
        <w:t>Four of the 14 regions below benchmark are in the Northern Territory and five are regions of Sydney in New South Wales.</w:t>
      </w:r>
    </w:p>
    <w:p w14:paraId="3235EF6D" w14:textId="0BAF687F" w:rsidR="00C72488" w:rsidRPr="004A01CD" w:rsidRDefault="00C72488" w:rsidP="00C72488">
      <w:r w:rsidRPr="004A01CD">
        <w:t xml:space="preserve">The </w:t>
      </w:r>
      <w:r w:rsidRPr="004A01CD">
        <w:rPr>
          <w:rFonts w:cs="Arial"/>
        </w:rPr>
        <w:t>regions more than 10 percentage points below benchmark for the outcomes indicator on choice and control are</w:t>
      </w:r>
      <w:r w:rsidRPr="004A01CD">
        <w:t>:</w:t>
      </w:r>
    </w:p>
    <w:p w14:paraId="5A2EEF54" w14:textId="2A0B108D" w:rsidR="00C72488" w:rsidRPr="004A01CD" w:rsidRDefault="00C72488" w:rsidP="00C72488">
      <w:pPr>
        <w:pStyle w:val="ListParagraph"/>
        <w:numPr>
          <w:ilvl w:val="0"/>
          <w:numId w:val="33"/>
        </w:numPr>
        <w:tabs>
          <w:tab w:val="left" w:pos="3431"/>
        </w:tabs>
        <w:jc w:val="both"/>
      </w:pPr>
      <w:r w:rsidRPr="004A01CD">
        <w:t>East Arnhem (NT) with an outcomes indicator of 42%, compared to a benchmark of 55%</w:t>
      </w:r>
    </w:p>
    <w:p w14:paraId="4527D86D" w14:textId="4A16A94B" w:rsidR="00C72488" w:rsidRPr="004A01CD" w:rsidRDefault="00C72488" w:rsidP="00C72488">
      <w:pPr>
        <w:pStyle w:val="ListParagraph"/>
        <w:numPr>
          <w:ilvl w:val="0"/>
          <w:numId w:val="33"/>
        </w:numPr>
        <w:tabs>
          <w:tab w:val="left" w:pos="3431"/>
        </w:tabs>
        <w:jc w:val="both"/>
      </w:pPr>
      <w:r w:rsidRPr="004A01CD">
        <w:t>Katherine (NT) with an outcomes indicator of 24%, compared to a benchmark of 44%</w:t>
      </w:r>
    </w:p>
    <w:p w14:paraId="32B32F84" w14:textId="14195693" w:rsidR="00DF6D4F" w:rsidRPr="004A01CD" w:rsidRDefault="00DF6D4F" w:rsidP="00DF6D4F">
      <w:pPr>
        <w:jc w:val="both"/>
        <w:rPr>
          <w:rFonts w:cs="Arial"/>
        </w:rPr>
      </w:pPr>
      <w:r w:rsidRPr="004A01CD">
        <w:rPr>
          <w:rFonts w:cs="Arial"/>
        </w:rPr>
        <w:t>Both regions are small, with 161 and 148 active participants, respectively.</w:t>
      </w:r>
    </w:p>
    <w:p w14:paraId="2F504F3C" w14:textId="6C4F058C" w:rsidR="00C72488" w:rsidRPr="004A01CD" w:rsidRDefault="00C72488" w:rsidP="00C72488">
      <w:r w:rsidRPr="004A01CD">
        <w:t xml:space="preserve">The </w:t>
      </w:r>
      <w:r w:rsidRPr="004A01CD">
        <w:rPr>
          <w:rFonts w:cs="Arial"/>
        </w:rPr>
        <w:t>regions between 5 and 10 percentage points below benchmark for the outcomes indicator on choice and control are</w:t>
      </w:r>
      <w:r w:rsidRPr="004A01CD">
        <w:t>:</w:t>
      </w:r>
    </w:p>
    <w:p w14:paraId="616A9DA1" w14:textId="2B9C92D6" w:rsidR="00C72488" w:rsidRPr="004A01CD" w:rsidRDefault="00C72488" w:rsidP="00C72488">
      <w:pPr>
        <w:pStyle w:val="ListParagraph"/>
        <w:numPr>
          <w:ilvl w:val="0"/>
          <w:numId w:val="33"/>
        </w:numPr>
        <w:tabs>
          <w:tab w:val="left" w:pos="3431"/>
        </w:tabs>
        <w:jc w:val="both"/>
      </w:pPr>
      <w:r w:rsidRPr="004A01CD">
        <w:t>North Sydney (NSW) with an outcomes indicator of 4</w:t>
      </w:r>
      <w:r w:rsidR="00146C8E" w:rsidRPr="004A01CD">
        <w:t>3</w:t>
      </w:r>
      <w:r w:rsidRPr="004A01CD">
        <w:t xml:space="preserve">%, compared to a benchmark of </w:t>
      </w:r>
      <w:r w:rsidR="00146C8E" w:rsidRPr="004A01CD">
        <w:t>48</w:t>
      </w:r>
      <w:r w:rsidRPr="004A01CD">
        <w:t>%</w:t>
      </w:r>
    </w:p>
    <w:p w14:paraId="522E1EC0" w14:textId="246DDDAD" w:rsidR="00C72488" w:rsidRPr="004A01CD" w:rsidRDefault="00C72488" w:rsidP="00C72488">
      <w:pPr>
        <w:pStyle w:val="ListParagraph"/>
        <w:numPr>
          <w:ilvl w:val="0"/>
          <w:numId w:val="33"/>
        </w:numPr>
        <w:tabs>
          <w:tab w:val="left" w:pos="3431"/>
        </w:tabs>
        <w:jc w:val="both"/>
      </w:pPr>
      <w:r w:rsidRPr="004A01CD">
        <w:t>South Eastern Sydney (NSW) with an outcomes indicator of</w:t>
      </w:r>
      <w:r w:rsidR="00146C8E" w:rsidRPr="004A01CD">
        <w:t xml:space="preserve"> 41</w:t>
      </w:r>
      <w:r w:rsidRPr="004A01CD">
        <w:t xml:space="preserve">%, </w:t>
      </w:r>
      <w:r w:rsidR="00146C8E" w:rsidRPr="004A01CD">
        <w:t>compared to a benchmark of 50</w:t>
      </w:r>
      <w:r w:rsidRPr="004A01CD">
        <w:t>%</w:t>
      </w:r>
    </w:p>
    <w:p w14:paraId="4E5E8FDB" w14:textId="71933126" w:rsidR="00C72488" w:rsidRPr="004A01CD" w:rsidRDefault="00C72488" w:rsidP="00C72488">
      <w:pPr>
        <w:pStyle w:val="ListParagraph"/>
        <w:numPr>
          <w:ilvl w:val="0"/>
          <w:numId w:val="33"/>
        </w:numPr>
        <w:tabs>
          <w:tab w:val="left" w:pos="3431"/>
        </w:tabs>
        <w:jc w:val="both"/>
      </w:pPr>
      <w:r w:rsidRPr="004A01CD">
        <w:t>South Western Sydney (NSW) with an outcomes indicator of 42%, compared to a benchmark of 5</w:t>
      </w:r>
      <w:r w:rsidR="00146C8E" w:rsidRPr="004A01CD">
        <w:t>0</w:t>
      </w:r>
      <w:r w:rsidRPr="004A01CD">
        <w:t>%</w:t>
      </w:r>
    </w:p>
    <w:p w14:paraId="1CC191D0" w14:textId="4450C68A" w:rsidR="00C72488" w:rsidRPr="004A01CD" w:rsidRDefault="00C72488" w:rsidP="00C72488">
      <w:pPr>
        <w:pStyle w:val="ListParagraph"/>
        <w:numPr>
          <w:ilvl w:val="0"/>
          <w:numId w:val="33"/>
        </w:numPr>
        <w:tabs>
          <w:tab w:val="left" w:pos="3431"/>
        </w:tabs>
        <w:jc w:val="both"/>
      </w:pPr>
      <w:r w:rsidRPr="004A01CD">
        <w:t xml:space="preserve">Sydney (NSW) with an outcomes indicator of </w:t>
      </w:r>
      <w:r w:rsidR="00146C8E" w:rsidRPr="004A01CD">
        <w:t>42</w:t>
      </w:r>
      <w:r w:rsidRPr="004A01CD">
        <w:t xml:space="preserve">%, compared to a benchmark of </w:t>
      </w:r>
      <w:r w:rsidR="00146C8E" w:rsidRPr="004A01CD">
        <w:t>51</w:t>
      </w:r>
      <w:r w:rsidRPr="004A01CD">
        <w:t>%</w:t>
      </w:r>
    </w:p>
    <w:p w14:paraId="49039674" w14:textId="600C667E" w:rsidR="00C72488" w:rsidRPr="004A01CD" w:rsidRDefault="00C72488" w:rsidP="00C72488">
      <w:pPr>
        <w:pStyle w:val="ListParagraph"/>
        <w:numPr>
          <w:ilvl w:val="0"/>
          <w:numId w:val="33"/>
        </w:numPr>
        <w:tabs>
          <w:tab w:val="left" w:pos="3431"/>
        </w:tabs>
        <w:jc w:val="both"/>
      </w:pPr>
      <w:r w:rsidRPr="004A01CD">
        <w:t>Western Sydney (NSW) with an outcomes indicator of 4</w:t>
      </w:r>
      <w:r w:rsidR="00146C8E" w:rsidRPr="004A01CD">
        <w:t>3</w:t>
      </w:r>
      <w:r w:rsidRPr="004A01CD">
        <w:t xml:space="preserve">%, </w:t>
      </w:r>
      <w:r w:rsidR="00146C8E" w:rsidRPr="004A01CD">
        <w:t>compared to a benchmark of 49</w:t>
      </w:r>
      <w:r w:rsidRPr="004A01CD">
        <w:t>%</w:t>
      </w:r>
    </w:p>
    <w:p w14:paraId="29AFBB54" w14:textId="2A0C8A76" w:rsidR="00C72488" w:rsidRPr="004A01CD" w:rsidRDefault="00C72488" w:rsidP="00C72488">
      <w:pPr>
        <w:pStyle w:val="ListParagraph"/>
        <w:numPr>
          <w:ilvl w:val="0"/>
          <w:numId w:val="33"/>
        </w:numPr>
        <w:tabs>
          <w:tab w:val="left" w:pos="3431"/>
        </w:tabs>
        <w:jc w:val="both"/>
      </w:pPr>
      <w:r w:rsidRPr="004A01CD">
        <w:t xml:space="preserve">Inner East Melbourne (VIC) with an outcomes indicator of </w:t>
      </w:r>
      <w:r w:rsidR="00146C8E" w:rsidRPr="004A01CD">
        <w:t>41</w:t>
      </w:r>
      <w:r w:rsidRPr="004A01CD">
        <w:t xml:space="preserve">%, </w:t>
      </w:r>
      <w:r w:rsidR="00146C8E" w:rsidRPr="004A01CD">
        <w:t>compared to a benchmark of 48</w:t>
      </w:r>
      <w:r w:rsidRPr="004A01CD">
        <w:t>%</w:t>
      </w:r>
    </w:p>
    <w:p w14:paraId="55B26187" w14:textId="6C6D1E8A" w:rsidR="00C72488" w:rsidRPr="004A01CD" w:rsidRDefault="00C72488" w:rsidP="00C72488">
      <w:pPr>
        <w:pStyle w:val="ListParagraph"/>
        <w:numPr>
          <w:ilvl w:val="0"/>
          <w:numId w:val="33"/>
        </w:numPr>
        <w:tabs>
          <w:tab w:val="left" w:pos="3431"/>
        </w:tabs>
        <w:jc w:val="both"/>
      </w:pPr>
      <w:r w:rsidRPr="004A01CD">
        <w:t>Far North (SA) with an outcomes indicator of 4</w:t>
      </w:r>
      <w:r w:rsidR="00146C8E" w:rsidRPr="004A01CD">
        <w:t>3</w:t>
      </w:r>
      <w:r w:rsidRPr="004A01CD">
        <w:t xml:space="preserve">%, </w:t>
      </w:r>
      <w:r w:rsidR="00146C8E" w:rsidRPr="004A01CD">
        <w:t>compared to a benchmark of 49</w:t>
      </w:r>
      <w:r w:rsidRPr="004A01CD">
        <w:t>%</w:t>
      </w:r>
    </w:p>
    <w:p w14:paraId="375453FB" w14:textId="2E113F0F" w:rsidR="00C72488" w:rsidRPr="004A01CD" w:rsidRDefault="00C72488" w:rsidP="00C72488">
      <w:pPr>
        <w:pStyle w:val="ListParagraph"/>
        <w:numPr>
          <w:ilvl w:val="0"/>
          <w:numId w:val="33"/>
        </w:numPr>
        <w:tabs>
          <w:tab w:val="left" w:pos="3431"/>
        </w:tabs>
        <w:jc w:val="both"/>
      </w:pPr>
      <w:r w:rsidRPr="004A01CD">
        <w:t xml:space="preserve">TAS South East (TAS) with an outcomes indicator of </w:t>
      </w:r>
      <w:r w:rsidR="00146C8E" w:rsidRPr="004A01CD">
        <w:t>41</w:t>
      </w:r>
      <w:r w:rsidRPr="004A01CD">
        <w:t xml:space="preserve">%, </w:t>
      </w:r>
      <w:r w:rsidR="00146C8E" w:rsidRPr="004A01CD">
        <w:t>compared to a benchmark of 48</w:t>
      </w:r>
      <w:r w:rsidRPr="004A01CD">
        <w:t>%</w:t>
      </w:r>
    </w:p>
    <w:p w14:paraId="39269927" w14:textId="6128B4C5" w:rsidR="00C72488" w:rsidRPr="004A01CD" w:rsidRDefault="00C72488" w:rsidP="00C72488">
      <w:pPr>
        <w:pStyle w:val="ListParagraph"/>
        <w:numPr>
          <w:ilvl w:val="0"/>
          <w:numId w:val="33"/>
        </w:numPr>
        <w:tabs>
          <w:tab w:val="left" w:pos="3431"/>
        </w:tabs>
        <w:jc w:val="both"/>
      </w:pPr>
      <w:r w:rsidRPr="004A01CD">
        <w:t xml:space="preserve">Central Australia (NT) with an outcomes indicator </w:t>
      </w:r>
      <w:r w:rsidR="00146C8E" w:rsidRPr="004A01CD">
        <w:t>of 3</w:t>
      </w:r>
      <w:r w:rsidRPr="004A01CD">
        <w:t xml:space="preserve">2%, compared to a benchmark of </w:t>
      </w:r>
      <w:r w:rsidR="00146C8E" w:rsidRPr="004A01CD">
        <w:t>42</w:t>
      </w:r>
      <w:r w:rsidRPr="004A01CD">
        <w:t>%</w:t>
      </w:r>
    </w:p>
    <w:p w14:paraId="18CE4643" w14:textId="59D5C809" w:rsidR="00C72488" w:rsidRPr="004A01CD" w:rsidRDefault="00C72488" w:rsidP="00C72488">
      <w:pPr>
        <w:pStyle w:val="ListParagraph"/>
        <w:numPr>
          <w:ilvl w:val="0"/>
          <w:numId w:val="33"/>
        </w:numPr>
        <w:tabs>
          <w:tab w:val="left" w:pos="3431"/>
        </w:tabs>
        <w:jc w:val="both"/>
      </w:pPr>
      <w:r w:rsidRPr="004A01CD">
        <w:t xml:space="preserve">Darwin Remote (NT) with an outcomes indicator of </w:t>
      </w:r>
      <w:r w:rsidR="00146C8E" w:rsidRPr="004A01CD">
        <w:t>45</w:t>
      </w:r>
      <w:r w:rsidRPr="004A01CD">
        <w:t xml:space="preserve">%, compared to a benchmark of </w:t>
      </w:r>
      <w:r w:rsidR="00146C8E" w:rsidRPr="004A01CD">
        <w:t>66</w:t>
      </w:r>
      <w:r w:rsidRPr="004A01CD">
        <w:t>%</w:t>
      </w:r>
    </w:p>
    <w:p w14:paraId="76348CDF" w14:textId="2AC65800" w:rsidR="00C72488" w:rsidRPr="004A01CD" w:rsidRDefault="00146C8E" w:rsidP="00C72488">
      <w:pPr>
        <w:pStyle w:val="ListParagraph"/>
        <w:numPr>
          <w:ilvl w:val="0"/>
          <w:numId w:val="33"/>
        </w:numPr>
        <w:tabs>
          <w:tab w:val="left" w:pos="3431"/>
        </w:tabs>
        <w:jc w:val="both"/>
      </w:pPr>
      <w:r w:rsidRPr="004A01CD">
        <w:t xml:space="preserve">Goldfields-Esperance </w:t>
      </w:r>
      <w:r w:rsidR="00C72488" w:rsidRPr="004A01CD">
        <w:t>(</w:t>
      </w:r>
      <w:r w:rsidRPr="004A01CD">
        <w:t>WA</w:t>
      </w:r>
      <w:r w:rsidR="00C72488" w:rsidRPr="004A01CD">
        <w:t xml:space="preserve">) with an outcomes indicator of </w:t>
      </w:r>
      <w:r w:rsidRPr="004A01CD">
        <w:t>46</w:t>
      </w:r>
      <w:r w:rsidR="00C72488" w:rsidRPr="004A01CD">
        <w:t xml:space="preserve">%, </w:t>
      </w:r>
      <w:r w:rsidRPr="004A01CD">
        <w:t>compared to a benchmark of 54</w:t>
      </w:r>
      <w:r w:rsidR="00C72488" w:rsidRPr="004A01CD">
        <w:t>%</w:t>
      </w:r>
    </w:p>
    <w:p w14:paraId="3020F65C" w14:textId="38F62527" w:rsidR="00146C8E" w:rsidRPr="004A01CD" w:rsidRDefault="00146C8E" w:rsidP="00146C8E">
      <w:pPr>
        <w:pStyle w:val="ListParagraph"/>
        <w:numPr>
          <w:ilvl w:val="0"/>
          <w:numId w:val="33"/>
        </w:numPr>
        <w:tabs>
          <w:tab w:val="left" w:pos="3431"/>
        </w:tabs>
        <w:jc w:val="both"/>
      </w:pPr>
      <w:r w:rsidRPr="004A01CD">
        <w:t>North Metro (WA) with an outcomes indicator of 45%, compared to a benchmark of 53%</w:t>
      </w:r>
    </w:p>
    <w:p w14:paraId="74795F0F" w14:textId="1CBAC5FC" w:rsidR="00FE0AF2" w:rsidRPr="004A01CD" w:rsidRDefault="00FE0AF2" w:rsidP="00FE0AF2">
      <w:pPr>
        <w:pStyle w:val="Heading2"/>
      </w:pPr>
      <w:bookmarkStart w:id="37" w:name="_Toc34146586"/>
      <w:r w:rsidRPr="004A01CD">
        <w:t>Slide 3</w:t>
      </w:r>
      <w:r w:rsidR="00B52AE5" w:rsidRPr="004A01CD">
        <w:t>1</w:t>
      </w:r>
      <w:r w:rsidRPr="004A01CD">
        <w:t xml:space="preserve">: </w:t>
      </w:r>
      <w:r w:rsidR="00EF4381" w:rsidRPr="004A01CD">
        <w:t>The number of regions that are below the benchmark has risen from 26 to 33 between June 2019 and December 2019</w:t>
      </w:r>
      <w:bookmarkEnd w:id="37"/>
      <w:r w:rsidRPr="004A01CD">
        <w:t xml:space="preserve"> </w:t>
      </w:r>
    </w:p>
    <w:p w14:paraId="78A21E0F" w14:textId="4C25A081" w:rsidR="00EF4381" w:rsidRPr="004A01CD" w:rsidRDefault="00EF4381" w:rsidP="00EF4381">
      <w:r w:rsidRPr="004A01CD">
        <w:t xml:space="preserve">There are two charts. One shows the distribution of regions by their </w:t>
      </w:r>
      <w:r w:rsidRPr="004A01CD">
        <w:rPr>
          <w:rFonts w:cs="Arial"/>
        </w:rPr>
        <w:t>gap between the outcomes indicator on choice and control and the benchmark</w:t>
      </w:r>
      <w:r w:rsidRPr="004A01CD">
        <w:t xml:space="preserve"> at December 2019, and the other shows the distribution of regions by their </w:t>
      </w:r>
      <w:r w:rsidRPr="004A01CD">
        <w:rPr>
          <w:rFonts w:cs="Arial"/>
        </w:rPr>
        <w:t>gap between the outcomes indicator on choice and control and the benchmark</w:t>
      </w:r>
      <w:r w:rsidRPr="004A01CD">
        <w:t xml:space="preserve"> at June 2019.</w:t>
      </w:r>
    </w:p>
    <w:p w14:paraId="7E682BDE" w14:textId="095944AC" w:rsidR="00EF4381" w:rsidRPr="004A01CD" w:rsidRDefault="004D3FF7" w:rsidP="00EF4381">
      <w:r w:rsidRPr="004A01CD">
        <w:t>At December 2019, 3</w:t>
      </w:r>
      <w:r w:rsidR="00EF4381" w:rsidRPr="004A01CD">
        <w:t xml:space="preserve"> regions (</w:t>
      </w:r>
      <w:r w:rsidRPr="004A01CD">
        <w:t>3.9</w:t>
      </w:r>
      <w:r w:rsidR="00EF4381" w:rsidRPr="004A01CD">
        <w:t xml:space="preserve">%) </w:t>
      </w:r>
      <w:r w:rsidRPr="004A01CD">
        <w:t>were more than 10 percentage points below benchmark</w:t>
      </w:r>
      <w:r w:rsidR="00EF4381" w:rsidRPr="004A01CD">
        <w:t xml:space="preserve">, compared to </w:t>
      </w:r>
      <w:r w:rsidRPr="004A01CD">
        <w:t>4</w:t>
      </w:r>
      <w:r w:rsidR="00EF4381" w:rsidRPr="004A01CD">
        <w:t xml:space="preserve"> (</w:t>
      </w:r>
      <w:r w:rsidRPr="004A01CD">
        <w:t>6</w:t>
      </w:r>
      <w:r w:rsidR="00EF4381" w:rsidRPr="004A01CD">
        <w:t>.</w:t>
      </w:r>
      <w:r w:rsidRPr="004A01CD">
        <w:t>3</w:t>
      </w:r>
      <w:r w:rsidR="00EF4381" w:rsidRPr="004A01CD">
        <w:t>%) at June 2019.</w:t>
      </w:r>
    </w:p>
    <w:p w14:paraId="229ABB40" w14:textId="4C1E54C4" w:rsidR="004D3FF7" w:rsidRPr="004A01CD" w:rsidRDefault="004D3FF7" w:rsidP="004D3FF7">
      <w:r w:rsidRPr="004A01CD">
        <w:t>At December 2019, 16 regions (21.2%) were between 5 and 10 percentage points below benchmark, compared to 8 (12.5%) at June 2019.</w:t>
      </w:r>
    </w:p>
    <w:p w14:paraId="250E5BE5" w14:textId="595538B5" w:rsidR="004D3FF7" w:rsidRPr="004A01CD" w:rsidRDefault="00A5033C" w:rsidP="004D3FF7">
      <w:r w:rsidRPr="004A01CD">
        <w:lastRenderedPageBreak/>
        <w:t>At December 2019, 43</w:t>
      </w:r>
      <w:r w:rsidR="004D3FF7" w:rsidRPr="004A01CD">
        <w:t xml:space="preserve"> regions (</w:t>
      </w:r>
      <w:r w:rsidRPr="004A01CD">
        <w:t>56.6</w:t>
      </w:r>
      <w:r w:rsidR="004D3FF7" w:rsidRPr="004A01CD">
        <w:t xml:space="preserve">%) were more than 10 percentage points below benchmark, compared to </w:t>
      </w:r>
      <w:r w:rsidRPr="004A01CD">
        <w:t>41</w:t>
      </w:r>
      <w:r w:rsidR="004D3FF7" w:rsidRPr="004A01CD">
        <w:t xml:space="preserve"> (</w:t>
      </w:r>
      <w:r w:rsidRPr="004A01CD">
        <w:t>64</w:t>
      </w:r>
      <w:r w:rsidR="004D3FF7" w:rsidRPr="004A01CD">
        <w:t>.</w:t>
      </w:r>
      <w:r w:rsidRPr="004A01CD">
        <w:t>1</w:t>
      </w:r>
      <w:r w:rsidR="004D3FF7" w:rsidRPr="004A01CD">
        <w:t>%) at June 2019.</w:t>
      </w:r>
    </w:p>
    <w:p w14:paraId="32E82B45" w14:textId="3B987A63" w:rsidR="004D3FF7" w:rsidRPr="004A01CD" w:rsidRDefault="004D3FF7" w:rsidP="004D3FF7">
      <w:r w:rsidRPr="004A01CD">
        <w:t xml:space="preserve">At December 2019, </w:t>
      </w:r>
      <w:r w:rsidR="00A5033C" w:rsidRPr="004A01CD">
        <w:t xml:space="preserve">12 </w:t>
      </w:r>
      <w:r w:rsidRPr="004A01CD">
        <w:t>regions (</w:t>
      </w:r>
      <w:r w:rsidR="00A5033C" w:rsidRPr="004A01CD">
        <w:t>15.8</w:t>
      </w:r>
      <w:r w:rsidRPr="004A01CD">
        <w:t>%) were more than 10 percentage points below benchmark, compared to</w:t>
      </w:r>
      <w:r w:rsidR="00A5033C" w:rsidRPr="004A01CD">
        <w:t xml:space="preserve"> 9</w:t>
      </w:r>
      <w:r w:rsidRPr="004A01CD">
        <w:t xml:space="preserve"> (</w:t>
      </w:r>
      <w:r w:rsidR="00A5033C" w:rsidRPr="004A01CD">
        <w:t>14.1</w:t>
      </w:r>
      <w:r w:rsidRPr="004A01CD">
        <w:t>%) at June 2019.</w:t>
      </w:r>
    </w:p>
    <w:p w14:paraId="0FD0D00F" w14:textId="516F1D92" w:rsidR="004D3FF7" w:rsidRPr="004A01CD" w:rsidRDefault="004D3FF7" w:rsidP="004D3FF7">
      <w:r w:rsidRPr="004A01CD">
        <w:t xml:space="preserve">At December 2019, </w:t>
      </w:r>
      <w:r w:rsidR="00692CF9" w:rsidRPr="004A01CD">
        <w:t>2</w:t>
      </w:r>
      <w:r w:rsidRPr="004A01CD">
        <w:t xml:space="preserve"> regions (</w:t>
      </w:r>
      <w:r w:rsidR="00692CF9" w:rsidRPr="004A01CD">
        <w:t>2.6</w:t>
      </w:r>
      <w:r w:rsidRPr="004A01CD">
        <w:t xml:space="preserve">%) were more than 10 percentage points below benchmark, compared to </w:t>
      </w:r>
      <w:r w:rsidR="00692CF9" w:rsidRPr="004A01CD">
        <w:t>2</w:t>
      </w:r>
      <w:r w:rsidRPr="004A01CD">
        <w:t xml:space="preserve"> (</w:t>
      </w:r>
      <w:r w:rsidR="00692CF9" w:rsidRPr="004A01CD">
        <w:t>3.1</w:t>
      </w:r>
      <w:r w:rsidRPr="004A01CD">
        <w:t>%) at June 2019.</w:t>
      </w:r>
    </w:p>
    <w:p w14:paraId="7EC21E25" w14:textId="11962FFA" w:rsidR="00EA16F2" w:rsidRPr="004A01CD" w:rsidRDefault="00EA16F2" w:rsidP="003A7B01">
      <w:pPr>
        <w:pStyle w:val="Heading2"/>
      </w:pPr>
      <w:bookmarkStart w:id="38" w:name="_Toc34146587"/>
      <w:r w:rsidRPr="004A01CD">
        <w:t xml:space="preserve">Slide </w:t>
      </w:r>
      <w:r w:rsidR="00FE0AF2" w:rsidRPr="004A01CD">
        <w:t>3</w:t>
      </w:r>
      <w:r w:rsidR="00B52AE5" w:rsidRPr="004A01CD">
        <w:t>2</w:t>
      </w:r>
      <w:r w:rsidRPr="004A01CD">
        <w:t xml:space="preserve">: </w:t>
      </w:r>
      <w:r w:rsidR="00D96DAB" w:rsidRPr="004A01CD">
        <w:t>The outcomes indicator on choice and control has increased slightly since June 2019</w:t>
      </w:r>
      <w:bookmarkEnd w:id="38"/>
    </w:p>
    <w:p w14:paraId="49BB3FEC" w14:textId="7A305442" w:rsidR="00D96DAB" w:rsidRPr="004A01CD" w:rsidRDefault="00D96DAB" w:rsidP="00D96DAB">
      <w:r w:rsidRPr="004A01CD">
        <w:t>The nationwide response to the Outcomes indicator on Choice and Control has risen from 49% to 50%. Overall this indicates a slight improvement since the June 2019 NDIS Market Report</w:t>
      </w:r>
      <w:r w:rsidR="008C4868" w:rsidRPr="004A01CD">
        <w:t>.</w:t>
      </w:r>
    </w:p>
    <w:p w14:paraId="4C01BBCC" w14:textId="77777777" w:rsidR="00D344B9" w:rsidRPr="004A01CD" w:rsidRDefault="00D344B9" w:rsidP="00D344B9">
      <w:pPr>
        <w:jc w:val="both"/>
        <w:rPr>
          <w:rFonts w:cs="Arial"/>
        </w:rPr>
      </w:pPr>
      <w:r w:rsidRPr="004A01CD">
        <w:rPr>
          <w:rFonts w:cs="Arial"/>
        </w:rPr>
        <w:t>As shown on the charts on the preceding slide, the number of regions greater than five percentage points below the benchmark has risen from eleven (out of 64) to 14 (out of 76) – a three region increase.</w:t>
      </w:r>
    </w:p>
    <w:p w14:paraId="798E5879" w14:textId="77777777" w:rsidR="00D344B9" w:rsidRPr="004A01CD" w:rsidRDefault="00D344B9" w:rsidP="00D344B9">
      <w:pPr>
        <w:jc w:val="both"/>
        <w:rPr>
          <w:rFonts w:cs="Arial"/>
        </w:rPr>
      </w:pPr>
      <w:r w:rsidRPr="004A01CD">
        <w:rPr>
          <w:rFonts w:cs="Arial"/>
        </w:rPr>
        <w:t xml:space="preserve">Two of the regions – Goldfields-Esperance (WA) and North Metro (WA) were not covered in the June report. </w:t>
      </w:r>
    </w:p>
    <w:p w14:paraId="64E51237" w14:textId="77777777" w:rsidR="00D344B9" w:rsidRPr="004A01CD" w:rsidRDefault="00D344B9" w:rsidP="00D344B9">
      <w:pPr>
        <w:jc w:val="both"/>
        <w:rPr>
          <w:rFonts w:cs="Arial"/>
        </w:rPr>
      </w:pPr>
      <w:r w:rsidRPr="004A01CD">
        <w:rPr>
          <w:rFonts w:cs="Arial"/>
        </w:rPr>
        <w:t>Overall, considering only the 64 regions covered in the June report, the number of regions greater than five percentage points below the benchmark has increased by one.</w:t>
      </w:r>
    </w:p>
    <w:p w14:paraId="42F8B65A" w14:textId="77777777" w:rsidR="00D344B9" w:rsidRPr="004A01CD" w:rsidRDefault="00D344B9" w:rsidP="00D344B9">
      <w:pPr>
        <w:jc w:val="both"/>
        <w:rPr>
          <w:rFonts w:cs="Arial"/>
        </w:rPr>
      </w:pPr>
      <w:r w:rsidRPr="004A01CD">
        <w:rPr>
          <w:rFonts w:cs="Arial"/>
        </w:rPr>
        <w:t>This is the net result of Far North (SA) and North West Sydney (NSW) falling to greater than five percentage points below benchmark and Robina (QLD) rising to fewer than five points below benchmark.</w:t>
      </w:r>
    </w:p>
    <w:p w14:paraId="0A6AABDD" w14:textId="5C4A7566" w:rsidR="00D344B9" w:rsidRPr="004A01CD" w:rsidRDefault="00D344B9" w:rsidP="00D344B9">
      <w:pPr>
        <w:rPr>
          <w:rFonts w:cs="Arial"/>
        </w:rPr>
      </w:pPr>
      <w:r w:rsidRPr="004A01CD">
        <w:rPr>
          <w:rFonts w:cs="Arial"/>
        </w:rPr>
        <w:t xml:space="preserve">The number of regions above the benchmark has increased from 38 (out of 64) to 43 (out of 76). </w:t>
      </w:r>
    </w:p>
    <w:p w14:paraId="394FE2AD" w14:textId="77777777" w:rsidR="00D344B9" w:rsidRPr="004A01CD" w:rsidRDefault="00D344B9" w:rsidP="00D344B9">
      <w:pPr>
        <w:jc w:val="both"/>
        <w:rPr>
          <w:rFonts w:cs="Arial"/>
        </w:rPr>
      </w:pPr>
      <w:r w:rsidRPr="004A01CD">
        <w:rPr>
          <w:rFonts w:cs="Arial"/>
        </w:rPr>
        <w:t>The number of regions greater than five percentage points above the benchmark has risen from twelve to 19. Two of these regions - Outer Gippsland (VIC) and South West (WA) were not covered in the June report – indicating that five regions have moved to a higher category above the benchmark since June.</w:t>
      </w:r>
    </w:p>
    <w:p w14:paraId="48B7D2D3" w14:textId="77777777" w:rsidR="00D344B9" w:rsidRPr="004A01CD" w:rsidRDefault="00D344B9" w:rsidP="00D344B9">
      <w:pPr>
        <w:jc w:val="both"/>
        <w:rPr>
          <w:rFonts w:cs="Arial"/>
        </w:rPr>
      </w:pPr>
      <w:r w:rsidRPr="004A01CD">
        <w:rPr>
          <w:rFonts w:cs="Arial"/>
        </w:rPr>
        <w:t>These were: Toowoomba (QLD), Fleurieu and Kangaroo Island (SA), Murray and Mallee (SA), Yorke and Mid North (SA) and TAS South West (TAS).</w:t>
      </w:r>
    </w:p>
    <w:p w14:paraId="4F1FC989" w14:textId="77777777" w:rsidR="00D344B9" w:rsidRPr="004A01CD" w:rsidRDefault="00D344B9" w:rsidP="00D344B9">
      <w:pPr>
        <w:jc w:val="both"/>
        <w:rPr>
          <w:rFonts w:cs="Arial"/>
        </w:rPr>
      </w:pPr>
      <w:r w:rsidRPr="004A01CD">
        <w:rPr>
          <w:rFonts w:cs="Arial"/>
        </w:rPr>
        <w:t>Overall this indicates a slight increase in positive responses to the Outcomes indicator on Choice and Control.</w:t>
      </w:r>
    </w:p>
    <w:p w14:paraId="7C254032" w14:textId="4CA371AF" w:rsidR="00DC5242" w:rsidRPr="004A01CD" w:rsidRDefault="00DC5242" w:rsidP="003A7B01">
      <w:pPr>
        <w:pStyle w:val="Heading2"/>
      </w:pPr>
      <w:bookmarkStart w:id="39" w:name="_Toc34146588"/>
      <w:r w:rsidRPr="004A01CD">
        <w:t xml:space="preserve">Slide </w:t>
      </w:r>
      <w:r w:rsidR="00D02B25" w:rsidRPr="004A01CD">
        <w:t>3</w:t>
      </w:r>
      <w:r w:rsidR="00B52AE5" w:rsidRPr="004A01CD">
        <w:t>3</w:t>
      </w:r>
      <w:r w:rsidRPr="004A01CD">
        <w:t xml:space="preserve">: </w:t>
      </w:r>
      <w:r w:rsidR="008C4868" w:rsidRPr="004A01CD">
        <w:t>The regions more than 10% below the benchmark had less than $5</w:t>
      </w:r>
      <w:r w:rsidR="00AC3101" w:rsidRPr="004A01CD">
        <w:t>0</w:t>
      </w:r>
      <w:r w:rsidR="008C4868" w:rsidRPr="004A01CD">
        <w:t xml:space="preserve"> in total plan budgets</w:t>
      </w:r>
      <w:bookmarkEnd w:id="39"/>
    </w:p>
    <w:p w14:paraId="66E9547F" w14:textId="2901EE7C" w:rsidR="002048B4" w:rsidRPr="004A01CD" w:rsidRDefault="002048B4" w:rsidP="002048B4">
      <w:pPr>
        <w:jc w:val="both"/>
        <w:rPr>
          <w:rFonts w:cs="Arial"/>
        </w:rPr>
      </w:pPr>
      <w:r w:rsidRPr="004A01CD">
        <w:rPr>
          <w:rFonts w:cs="Arial"/>
        </w:rPr>
        <w:t>A chart shows the outcomes indicator</w:t>
      </w:r>
      <w:r w:rsidR="00221222" w:rsidRPr="004A01CD">
        <w:rPr>
          <w:rFonts w:cs="Arial"/>
        </w:rPr>
        <w:t xml:space="preserve"> on choice and control, and the corresponding benchmark, </w:t>
      </w:r>
      <w:r w:rsidRPr="004A01CD">
        <w:rPr>
          <w:rFonts w:cs="Arial"/>
        </w:rPr>
        <w:t xml:space="preserve">for each of the bilateral regions that had less than $50m in total plan budgets for the period. </w:t>
      </w:r>
    </w:p>
    <w:p w14:paraId="205B7856" w14:textId="77777777" w:rsidR="002048B4" w:rsidRPr="004A01CD" w:rsidRDefault="002048B4" w:rsidP="002048B4">
      <w:pPr>
        <w:jc w:val="both"/>
        <w:rPr>
          <w:rFonts w:cs="Arial"/>
        </w:rPr>
      </w:pPr>
      <w:r w:rsidRPr="004A01CD">
        <w:rPr>
          <w:rFonts w:cs="Arial"/>
        </w:rPr>
        <w:t>The notable regions in this category are the East Arnhem (NT) and Katherine (NT) regions. The indicator for these regions was more than 10% below the benchmark. These regions were in a similar position in the June 2019 NDIS Market report and were covered in detail there.</w:t>
      </w:r>
    </w:p>
    <w:p w14:paraId="702439CE" w14:textId="3FF3375D" w:rsidR="002048B4" w:rsidRPr="004A01CD" w:rsidRDefault="002048B4" w:rsidP="002048B4">
      <w:pPr>
        <w:jc w:val="both"/>
        <w:rPr>
          <w:rFonts w:cs="Arial"/>
        </w:rPr>
      </w:pPr>
      <w:r w:rsidRPr="004A01CD">
        <w:rPr>
          <w:rFonts w:cs="Arial"/>
        </w:rPr>
        <w:lastRenderedPageBreak/>
        <w:t>Other regions worth highlighting are Barkly (NT), South West (WA) and Limestone Coast (SA) that all have an indicator more than 10% above the benchmark. Barkly (NT) was covered the June report and Limestone Coa</w:t>
      </w:r>
      <w:r w:rsidR="00383DB3" w:rsidRPr="004A01CD">
        <w:rPr>
          <w:rFonts w:cs="Arial"/>
        </w:rPr>
        <w:t>st (SA) is examined in section 3</w:t>
      </w:r>
      <w:r w:rsidRPr="004A01CD">
        <w:rPr>
          <w:rFonts w:cs="Arial"/>
        </w:rPr>
        <w:t>.</w:t>
      </w:r>
    </w:p>
    <w:p w14:paraId="6D5BC6C7" w14:textId="354F8132" w:rsidR="00D02B25" w:rsidRPr="004A01CD" w:rsidRDefault="00D02B25" w:rsidP="00D02B25">
      <w:pPr>
        <w:pStyle w:val="Heading2"/>
      </w:pPr>
      <w:bookmarkStart w:id="40" w:name="_Toc34146589"/>
      <w:r w:rsidRPr="004A01CD">
        <w:t>Slide 3</w:t>
      </w:r>
      <w:r w:rsidR="00B52AE5" w:rsidRPr="004A01CD">
        <w:t>4</w:t>
      </w:r>
      <w:r w:rsidRPr="004A01CD">
        <w:t xml:space="preserve">: </w:t>
      </w:r>
      <w:r w:rsidR="00800E9C" w:rsidRPr="004A01CD">
        <w:t>The outcomes indicator on choice and control was more than 10% above the benchmark for the TAS South West (TAS) and ACT (ACT) regions</w:t>
      </w:r>
      <w:bookmarkEnd w:id="40"/>
    </w:p>
    <w:p w14:paraId="23D51CDF" w14:textId="020EA27C" w:rsidR="00800E9C" w:rsidRPr="004A01CD" w:rsidRDefault="00800E9C" w:rsidP="00800E9C">
      <w:pPr>
        <w:jc w:val="both"/>
        <w:rPr>
          <w:rFonts w:cs="Arial"/>
        </w:rPr>
      </w:pPr>
      <w:r w:rsidRPr="004A01CD">
        <w:rPr>
          <w:rFonts w:cs="Arial"/>
        </w:rPr>
        <w:t>There are two charts. One shows the outcomes indicator on choice and control, and the corresponding benchmark, for each of the bilateral regions that had $50m to $150m in total plan budgets for the period. The other shows the outcomes indicator on choice and control, and the corresponding benchmark, for each of the bilateral regions that had more than $150m in total plan budgets for the period.</w:t>
      </w:r>
    </w:p>
    <w:p w14:paraId="6F536522" w14:textId="1994FB9A" w:rsidR="00D02B25" w:rsidRPr="004A01CD" w:rsidRDefault="00800E9C" w:rsidP="00800E9C">
      <w:pPr>
        <w:jc w:val="both"/>
      </w:pPr>
      <w:r w:rsidRPr="004A01CD">
        <w:rPr>
          <w:rFonts w:cs="Arial"/>
        </w:rPr>
        <w:t xml:space="preserve">None of these regions had an outcomes indicator on choice and control of more than 10% below the benchmark. The two regions from these categories that had an indicator that was more than 10% above the benchmark, were the TAS South West (TAS) and ACT (ACT) regions. </w:t>
      </w:r>
    </w:p>
    <w:p w14:paraId="3D817C98" w14:textId="148B8A20" w:rsidR="007423FA" w:rsidRPr="004A01CD" w:rsidRDefault="007423FA" w:rsidP="003A7B01">
      <w:pPr>
        <w:pStyle w:val="Heading2"/>
      </w:pPr>
      <w:bookmarkStart w:id="41" w:name="_Toc34146590"/>
      <w:r w:rsidRPr="004A01CD">
        <w:t xml:space="preserve">Slide </w:t>
      </w:r>
      <w:r w:rsidR="000B09DC" w:rsidRPr="004A01CD">
        <w:t>3</w:t>
      </w:r>
      <w:r w:rsidR="00CB4DA4" w:rsidRPr="004A01CD">
        <w:t>5</w:t>
      </w:r>
      <w:r w:rsidRPr="004A01CD">
        <w:t>:</w:t>
      </w:r>
      <w:r w:rsidR="00AC3101" w:rsidRPr="004A01CD">
        <w:t xml:space="preserve"> 03 Regional hotspots</w:t>
      </w:r>
      <w:bookmarkEnd w:id="41"/>
    </w:p>
    <w:p w14:paraId="5684E35B" w14:textId="38652691" w:rsidR="00AC3101" w:rsidRPr="004A01CD" w:rsidRDefault="00AC3101" w:rsidP="00AC3101">
      <w:pPr>
        <w:jc w:val="both"/>
        <w:rPr>
          <w:rFonts w:cs="Arial"/>
        </w:rPr>
      </w:pPr>
      <w:r w:rsidRPr="004A01CD">
        <w:rPr>
          <w:rFonts w:cs="Arial"/>
        </w:rPr>
        <w:t>Slides 36 to 71 present insights on regional hotspots</w:t>
      </w:r>
    </w:p>
    <w:p w14:paraId="5B00A910" w14:textId="40AE848E" w:rsidR="00793F7D" w:rsidRPr="004A01CD" w:rsidRDefault="00793F7D" w:rsidP="003A7B01">
      <w:pPr>
        <w:pStyle w:val="Heading2"/>
      </w:pPr>
      <w:bookmarkStart w:id="42" w:name="_Toc34146591"/>
      <w:r w:rsidRPr="004A01CD">
        <w:t>Slide</w:t>
      </w:r>
      <w:r w:rsidR="000B09DC" w:rsidRPr="004A01CD">
        <w:t xml:space="preserve"> 3</w:t>
      </w:r>
      <w:r w:rsidR="00CB4DA4" w:rsidRPr="004A01CD">
        <w:t>6</w:t>
      </w:r>
      <w:r w:rsidRPr="004A01CD">
        <w:t xml:space="preserve">: </w:t>
      </w:r>
      <w:r w:rsidR="00AC3101" w:rsidRPr="004A01CD">
        <w:t>Hotspots are regions that score relatively worse against one or many corporate target metric benchmarks compared with other regions</w:t>
      </w:r>
      <w:bookmarkEnd w:id="42"/>
    </w:p>
    <w:p w14:paraId="54C6AAF7" w14:textId="77777777" w:rsidR="00AC3101" w:rsidRPr="004A01CD" w:rsidRDefault="00AC3101" w:rsidP="00AC3101">
      <w:pPr>
        <w:jc w:val="both"/>
        <w:rPr>
          <w:rFonts w:cs="Arial"/>
        </w:rPr>
      </w:pPr>
      <w:r w:rsidRPr="004A01CD">
        <w:rPr>
          <w:rFonts w:cs="Arial"/>
        </w:rPr>
        <w:t>Review and analysis of hotspots allows us to understand the characteristics of regions where the NDIS market may not be functioning well as other regions.</w:t>
      </w:r>
    </w:p>
    <w:p w14:paraId="6499B2AD" w14:textId="073118B3" w:rsidR="00AC3101" w:rsidRPr="004A01CD" w:rsidRDefault="00AC3101" w:rsidP="00AC3101">
      <w:pPr>
        <w:jc w:val="both"/>
        <w:rPr>
          <w:rFonts w:cs="Arial"/>
        </w:rPr>
      </w:pPr>
      <w:r w:rsidRPr="004A01CD">
        <w:rPr>
          <w:rFonts w:cs="Arial"/>
        </w:rPr>
        <w:t>Hotspots were chosen based on the corporate target metrics and where that region sits in relation to its benchmark. Key identifiers are:</w:t>
      </w:r>
    </w:p>
    <w:p w14:paraId="776874BB" w14:textId="77777777" w:rsidR="00AC3101" w:rsidRPr="004A01CD" w:rsidRDefault="00AC3101" w:rsidP="00AC3101">
      <w:pPr>
        <w:pStyle w:val="ListParagraph"/>
        <w:numPr>
          <w:ilvl w:val="0"/>
          <w:numId w:val="33"/>
        </w:numPr>
        <w:jc w:val="both"/>
        <w:rPr>
          <w:rFonts w:cs="Arial"/>
        </w:rPr>
      </w:pPr>
      <w:r w:rsidRPr="004A01CD">
        <w:rPr>
          <w:rFonts w:cs="Arial"/>
        </w:rPr>
        <w:t>Utilisation rate more than ten percentage points below benchmark.</w:t>
      </w:r>
    </w:p>
    <w:p w14:paraId="7D531A9F" w14:textId="77777777" w:rsidR="00AC3101" w:rsidRPr="004A01CD" w:rsidRDefault="00AC3101" w:rsidP="00AC3101">
      <w:pPr>
        <w:pStyle w:val="ListParagraph"/>
        <w:numPr>
          <w:ilvl w:val="0"/>
          <w:numId w:val="33"/>
        </w:numPr>
        <w:jc w:val="both"/>
        <w:rPr>
          <w:rFonts w:cs="Arial"/>
        </w:rPr>
      </w:pPr>
      <w:r w:rsidRPr="004A01CD">
        <w:rPr>
          <w:rFonts w:cs="Arial"/>
        </w:rPr>
        <w:t>More than 95% of payments go to the top ten providers (provider concentration)</w:t>
      </w:r>
    </w:p>
    <w:p w14:paraId="65069FC0" w14:textId="0EF403BC" w:rsidR="00AC3101" w:rsidRPr="004A01CD" w:rsidRDefault="00AC3101" w:rsidP="0022767F">
      <w:pPr>
        <w:pStyle w:val="ListParagraph"/>
        <w:numPr>
          <w:ilvl w:val="0"/>
          <w:numId w:val="33"/>
        </w:numPr>
        <w:jc w:val="both"/>
        <w:rPr>
          <w:rFonts w:cs="Arial"/>
        </w:rPr>
      </w:pPr>
      <w:r w:rsidRPr="004A01CD">
        <w:rPr>
          <w:rFonts w:cs="Arial"/>
        </w:rPr>
        <w:t>Outcomes indicator on choice and control is more than ten percentage points below benchmark.</w:t>
      </w:r>
    </w:p>
    <w:p w14:paraId="423FFBB8" w14:textId="3ACDE765" w:rsidR="00AC3101" w:rsidRPr="004A01CD" w:rsidRDefault="00AC3101" w:rsidP="00AC3101">
      <w:pPr>
        <w:jc w:val="both"/>
        <w:rPr>
          <w:rFonts w:cs="Arial"/>
        </w:rPr>
      </w:pPr>
      <w:r w:rsidRPr="004A01CD">
        <w:rPr>
          <w:rFonts w:cs="Arial"/>
        </w:rPr>
        <w:t>The following regions have been identified as hotspots for the reason(s) shown:</w:t>
      </w:r>
    </w:p>
    <w:p w14:paraId="4076BE94" w14:textId="352EF8C9" w:rsidR="00AC3101" w:rsidRPr="004A01CD" w:rsidRDefault="00AC3101" w:rsidP="00AC3101">
      <w:pPr>
        <w:pStyle w:val="ListParagraph"/>
        <w:numPr>
          <w:ilvl w:val="0"/>
          <w:numId w:val="40"/>
        </w:numPr>
        <w:jc w:val="both"/>
        <w:rPr>
          <w:rFonts w:cs="Arial"/>
        </w:rPr>
      </w:pPr>
      <w:r w:rsidRPr="004A01CD">
        <w:rPr>
          <w:rFonts w:cs="Arial"/>
        </w:rPr>
        <w:t>Outer Gippsland (VIC) for low utilisation</w:t>
      </w:r>
    </w:p>
    <w:p w14:paraId="2679F807" w14:textId="5E040303" w:rsidR="00AC3101" w:rsidRPr="004A01CD" w:rsidRDefault="00AC3101" w:rsidP="00AC3101">
      <w:pPr>
        <w:pStyle w:val="ListParagraph"/>
        <w:numPr>
          <w:ilvl w:val="0"/>
          <w:numId w:val="40"/>
        </w:numPr>
        <w:jc w:val="both"/>
        <w:rPr>
          <w:rFonts w:cs="Arial"/>
        </w:rPr>
      </w:pPr>
      <w:r w:rsidRPr="004A01CD">
        <w:rPr>
          <w:rFonts w:cs="Arial"/>
        </w:rPr>
        <w:t>Eyre and Western (SA) for low utilisation</w:t>
      </w:r>
    </w:p>
    <w:p w14:paraId="302CEA3A" w14:textId="4DC2B65F" w:rsidR="00AC3101" w:rsidRPr="004A01CD" w:rsidRDefault="00AC3101" w:rsidP="00AC3101">
      <w:pPr>
        <w:pStyle w:val="ListParagraph"/>
        <w:numPr>
          <w:ilvl w:val="0"/>
          <w:numId w:val="40"/>
        </w:numPr>
        <w:jc w:val="both"/>
        <w:rPr>
          <w:rFonts w:cs="Arial"/>
        </w:rPr>
      </w:pPr>
      <w:r w:rsidRPr="004A01CD">
        <w:rPr>
          <w:rFonts w:cs="Arial"/>
        </w:rPr>
        <w:t>Darwin Remote (NT) for low utilisation</w:t>
      </w:r>
    </w:p>
    <w:p w14:paraId="46228A10" w14:textId="5D90413E" w:rsidR="00AC3101" w:rsidRPr="004A01CD" w:rsidRDefault="00AC3101" w:rsidP="00AC3101">
      <w:pPr>
        <w:pStyle w:val="ListParagraph"/>
        <w:numPr>
          <w:ilvl w:val="0"/>
          <w:numId w:val="40"/>
        </w:numPr>
        <w:jc w:val="both"/>
        <w:rPr>
          <w:rFonts w:cs="Arial"/>
        </w:rPr>
      </w:pPr>
      <w:r w:rsidRPr="004A01CD">
        <w:rPr>
          <w:rFonts w:cs="Arial"/>
        </w:rPr>
        <w:t>Goldfields-Esperance (WA) for low utilisation and high provider concentration</w:t>
      </w:r>
    </w:p>
    <w:p w14:paraId="36175D3B" w14:textId="20038568" w:rsidR="00AC3101" w:rsidRPr="004A01CD" w:rsidRDefault="00AC3101" w:rsidP="00AC3101">
      <w:pPr>
        <w:pStyle w:val="ListParagraph"/>
        <w:numPr>
          <w:ilvl w:val="0"/>
          <w:numId w:val="40"/>
        </w:numPr>
        <w:jc w:val="both"/>
        <w:rPr>
          <w:rFonts w:cs="Arial"/>
        </w:rPr>
      </w:pPr>
      <w:r w:rsidRPr="004A01CD">
        <w:rPr>
          <w:rFonts w:cs="Arial"/>
        </w:rPr>
        <w:t>Kimberley-Pilbara (WA) for low utilisation and high provider concentration</w:t>
      </w:r>
    </w:p>
    <w:p w14:paraId="39607CF9" w14:textId="55D60583" w:rsidR="00AC3101" w:rsidRPr="004A01CD" w:rsidRDefault="00AC3101" w:rsidP="00AC3101">
      <w:pPr>
        <w:pStyle w:val="ListParagraph"/>
        <w:numPr>
          <w:ilvl w:val="0"/>
          <w:numId w:val="40"/>
        </w:numPr>
        <w:jc w:val="both"/>
        <w:rPr>
          <w:rFonts w:cs="Arial"/>
        </w:rPr>
      </w:pPr>
      <w:r w:rsidRPr="004A01CD">
        <w:rPr>
          <w:rFonts w:cs="Arial"/>
        </w:rPr>
        <w:t>Central Australia (NT) for low choice and control outcomes indicator score</w:t>
      </w:r>
    </w:p>
    <w:p w14:paraId="45A71C72" w14:textId="77777777" w:rsidR="00AC3101" w:rsidRPr="004A01CD" w:rsidRDefault="00AC3101" w:rsidP="00AC3101">
      <w:pPr>
        <w:jc w:val="both"/>
        <w:rPr>
          <w:rFonts w:cs="Arial"/>
        </w:rPr>
      </w:pPr>
      <w:r w:rsidRPr="004A01CD">
        <w:rPr>
          <w:rFonts w:cs="Arial"/>
        </w:rPr>
        <w:t>Additionally, Limestone Cost (SA) is discussed as an example of a region performing well in relation to its benchmarks, particularly on the choice and control outcomes indicator metric.</w:t>
      </w:r>
    </w:p>
    <w:p w14:paraId="07377AEB" w14:textId="77777777" w:rsidR="00AC3101" w:rsidRPr="004A01CD" w:rsidRDefault="000B09DC" w:rsidP="00AC3101">
      <w:pPr>
        <w:pStyle w:val="Heading2"/>
      </w:pPr>
      <w:bookmarkStart w:id="43" w:name="_Toc34146592"/>
      <w:r w:rsidRPr="004A01CD">
        <w:t xml:space="preserve">Slide </w:t>
      </w:r>
      <w:r w:rsidR="00FE4238" w:rsidRPr="004A01CD">
        <w:t>3</w:t>
      </w:r>
      <w:r w:rsidR="00CB4DA4" w:rsidRPr="004A01CD">
        <w:t>7</w:t>
      </w:r>
      <w:r w:rsidRPr="004A01CD">
        <w:t xml:space="preserve">: </w:t>
      </w:r>
      <w:r w:rsidR="00AC3101" w:rsidRPr="004A01CD">
        <w:t>Hotspots identified in the June 2019 NDIS Market report have changed</w:t>
      </w:r>
      <w:bookmarkEnd w:id="43"/>
    </w:p>
    <w:p w14:paraId="50A1B817" w14:textId="77777777" w:rsidR="00AC3101" w:rsidRPr="004A01CD" w:rsidRDefault="00AC3101" w:rsidP="00AC3101">
      <w:pPr>
        <w:jc w:val="both"/>
        <w:rPr>
          <w:rFonts w:cs="Arial"/>
        </w:rPr>
      </w:pPr>
      <w:r w:rsidRPr="004A01CD">
        <w:rPr>
          <w:rFonts w:cs="Arial"/>
        </w:rPr>
        <w:lastRenderedPageBreak/>
        <w:t>The June NDIS Market report covered twelve hotspots. Of these, six hotspots were chosen according to similar criteria as set out in the following slide (i.e. poor performance relative to benchmark) and six were chosen for strong performance against the corporate target benchmarks.</w:t>
      </w:r>
    </w:p>
    <w:p w14:paraId="67202EC2" w14:textId="77777777" w:rsidR="00AC3101" w:rsidRPr="004A01CD" w:rsidRDefault="00AC3101" w:rsidP="00AC3101">
      <w:pPr>
        <w:jc w:val="both"/>
        <w:rPr>
          <w:rFonts w:cs="Arial"/>
        </w:rPr>
      </w:pPr>
      <w:r w:rsidRPr="004A01CD">
        <w:rPr>
          <w:rFonts w:cs="Arial"/>
        </w:rPr>
        <w:t>The following four regions covered in June report remain hotspots in December for the same reasons identified previously. They are not covered in this report to avoid repetition.</w:t>
      </w:r>
    </w:p>
    <w:p w14:paraId="58AEB19A" w14:textId="16B3CBD7" w:rsidR="00AC3101" w:rsidRPr="004A01CD" w:rsidRDefault="00AC3101" w:rsidP="00AC3101">
      <w:pPr>
        <w:pStyle w:val="ListParagraph"/>
        <w:numPr>
          <w:ilvl w:val="0"/>
          <w:numId w:val="41"/>
        </w:numPr>
        <w:jc w:val="both"/>
        <w:rPr>
          <w:rFonts w:cs="Arial"/>
        </w:rPr>
      </w:pPr>
      <w:r w:rsidRPr="004A01CD">
        <w:rPr>
          <w:rFonts w:cs="Arial"/>
        </w:rPr>
        <w:t>Barkly (NT) for low utilisation and high provider concentration</w:t>
      </w:r>
    </w:p>
    <w:p w14:paraId="40E034B7" w14:textId="1431BCC5" w:rsidR="00AC3101" w:rsidRPr="004A01CD" w:rsidRDefault="00AC3101" w:rsidP="00AC3101">
      <w:pPr>
        <w:pStyle w:val="ListParagraph"/>
        <w:numPr>
          <w:ilvl w:val="0"/>
          <w:numId w:val="41"/>
        </w:numPr>
        <w:jc w:val="both"/>
        <w:rPr>
          <w:rFonts w:cs="Arial"/>
        </w:rPr>
      </w:pPr>
      <w:r w:rsidRPr="004A01CD">
        <w:rPr>
          <w:rFonts w:cs="Arial"/>
        </w:rPr>
        <w:t>East Arnhem (NT) for low utilisation and low choice and control outcomes indicator score</w:t>
      </w:r>
    </w:p>
    <w:p w14:paraId="74532D2A" w14:textId="401970C2" w:rsidR="00AC3101" w:rsidRPr="004A01CD" w:rsidRDefault="00AC3101" w:rsidP="00AC3101">
      <w:pPr>
        <w:pStyle w:val="ListParagraph"/>
        <w:numPr>
          <w:ilvl w:val="0"/>
          <w:numId w:val="41"/>
        </w:numPr>
        <w:jc w:val="both"/>
        <w:rPr>
          <w:rFonts w:cs="Arial"/>
        </w:rPr>
      </w:pPr>
      <w:r w:rsidRPr="004A01CD">
        <w:rPr>
          <w:rFonts w:cs="Arial"/>
        </w:rPr>
        <w:t>Far North (SA) for low utilisation</w:t>
      </w:r>
    </w:p>
    <w:p w14:paraId="35F8988C" w14:textId="0A5FC50A" w:rsidR="00AC3101" w:rsidRPr="004A01CD" w:rsidRDefault="00AC3101" w:rsidP="00AC3101">
      <w:pPr>
        <w:pStyle w:val="ListParagraph"/>
        <w:numPr>
          <w:ilvl w:val="0"/>
          <w:numId w:val="41"/>
        </w:numPr>
        <w:jc w:val="both"/>
        <w:rPr>
          <w:rFonts w:cs="Arial"/>
        </w:rPr>
      </w:pPr>
      <w:r w:rsidRPr="004A01CD">
        <w:rPr>
          <w:rFonts w:cs="Arial"/>
        </w:rPr>
        <w:t>Katherine (NT) for low choice and control outcomes indicator score</w:t>
      </w:r>
    </w:p>
    <w:p w14:paraId="1D01091B" w14:textId="77777777" w:rsidR="00AC3101" w:rsidRPr="004A01CD" w:rsidRDefault="00AC3101" w:rsidP="00AC3101">
      <w:pPr>
        <w:jc w:val="both"/>
        <w:rPr>
          <w:rFonts w:cs="Arial"/>
        </w:rPr>
      </w:pPr>
      <w:r w:rsidRPr="004A01CD">
        <w:rPr>
          <w:rFonts w:cs="Arial"/>
        </w:rPr>
        <w:t>Murray and Mallee (SA) was identified as a hotspot in the June 2019 report for low utilisation. It is no longer considered a hotspot as utilisation has sufficiently improved relatively to the benchmark.</w:t>
      </w:r>
    </w:p>
    <w:p w14:paraId="4BC706E8" w14:textId="73EBE47D" w:rsidR="00AC3101" w:rsidRPr="004A01CD" w:rsidRDefault="00AC3101" w:rsidP="00AC3101">
      <w:pPr>
        <w:jc w:val="both"/>
        <w:rPr>
          <w:rFonts w:cs="Arial"/>
        </w:rPr>
      </w:pPr>
      <w:r w:rsidRPr="004A01CD">
        <w:rPr>
          <w:rFonts w:cs="Arial"/>
        </w:rPr>
        <w:t xml:space="preserve">Central Australia (NT) was identified as a hotspot in the June 2019 report for </w:t>
      </w:r>
      <w:r w:rsidR="009A33D9" w:rsidRPr="004A01CD">
        <w:rPr>
          <w:rFonts w:cs="Arial"/>
        </w:rPr>
        <w:t>its</w:t>
      </w:r>
      <w:r w:rsidRPr="004A01CD">
        <w:rPr>
          <w:rFonts w:cs="Arial"/>
        </w:rPr>
        <w:t xml:space="preserve"> high provider concentration (&gt;95%). At December 2019, provider concentration is now below 95%, such that the region might no longer be considered a hotspot. However, Central Australia (NT) now has a choice and control outcomes indicator score almost 10% below the benchmark, so is considered a hotspot.</w:t>
      </w:r>
    </w:p>
    <w:p w14:paraId="2D60D1AB" w14:textId="77777777" w:rsidR="00AC3101" w:rsidRPr="004A01CD" w:rsidRDefault="00AC3101" w:rsidP="00AC3101">
      <w:pPr>
        <w:jc w:val="both"/>
        <w:rPr>
          <w:rFonts w:cs="Arial"/>
        </w:rPr>
      </w:pPr>
      <w:r w:rsidRPr="004A01CD">
        <w:rPr>
          <w:rFonts w:cs="Arial"/>
        </w:rPr>
        <w:t xml:space="preserve">The six ‘strong performance’ hotspots are all still strong performers, and are not covered in this report to avoid repetition. They are South Metro (WA), Hume Moreland (VIC), South Western Sydney (NSW), Brisbane (QLD), South West (TAS) and ACT (ACT). </w:t>
      </w:r>
    </w:p>
    <w:p w14:paraId="3DC78B41" w14:textId="19CE76CE" w:rsidR="00D866CB" w:rsidRPr="004A01CD" w:rsidRDefault="00D866CB" w:rsidP="003A7B01">
      <w:pPr>
        <w:pStyle w:val="Heading2"/>
      </w:pPr>
      <w:bookmarkStart w:id="44" w:name="_Toc34146593"/>
      <w:r w:rsidRPr="004A01CD">
        <w:t xml:space="preserve">Slide </w:t>
      </w:r>
      <w:r w:rsidR="00CB4DA4" w:rsidRPr="004A01CD">
        <w:t>38</w:t>
      </w:r>
      <w:r w:rsidRPr="004A01CD">
        <w:t xml:space="preserve">: </w:t>
      </w:r>
      <w:r w:rsidR="00AC3101" w:rsidRPr="004A01CD">
        <w:t>Outer Gippsland (VIC)</w:t>
      </w:r>
      <w:bookmarkEnd w:id="44"/>
    </w:p>
    <w:p w14:paraId="20B06A8B" w14:textId="02186099" w:rsidR="00AC3101" w:rsidRPr="004A01CD" w:rsidRDefault="00AC3101" w:rsidP="00AC3101">
      <w:r w:rsidRPr="004A01CD">
        <w:t>Slides 39 to 42 present insights on Outer Gippsland (VIC)</w:t>
      </w:r>
    </w:p>
    <w:p w14:paraId="7F89F1F5" w14:textId="71733D2A" w:rsidR="00F44336" w:rsidRPr="004A01CD" w:rsidRDefault="00F44336" w:rsidP="003A7B01">
      <w:pPr>
        <w:pStyle w:val="Heading2"/>
      </w:pPr>
      <w:bookmarkStart w:id="45" w:name="_Toc34146594"/>
      <w:r w:rsidRPr="004A01CD">
        <w:t xml:space="preserve">Slide </w:t>
      </w:r>
      <w:r w:rsidR="00CB4DA4" w:rsidRPr="004A01CD">
        <w:t>39</w:t>
      </w:r>
      <w:r w:rsidRPr="004A01CD">
        <w:t xml:space="preserve">: </w:t>
      </w:r>
      <w:r w:rsidR="00AC3101" w:rsidRPr="004A01CD">
        <w:t xml:space="preserve">Lower utilisation for Outer Gippsland (VIC) region was driven by the Core – Community, Capacity Building – Daily Activities </w:t>
      </w:r>
      <w:r w:rsidR="009A33D9" w:rsidRPr="004A01CD">
        <w:t>and Capacity</w:t>
      </w:r>
      <w:r w:rsidR="00AC3101" w:rsidRPr="004A01CD">
        <w:t xml:space="preserve"> Building – Support Coordination support categories</w:t>
      </w:r>
      <w:bookmarkEnd w:id="45"/>
    </w:p>
    <w:p w14:paraId="3BFFFBE5" w14:textId="390597B4" w:rsidR="00AC3101" w:rsidRPr="004A01CD" w:rsidRDefault="00AC3101" w:rsidP="00AC3101">
      <w:pPr>
        <w:jc w:val="both"/>
        <w:rPr>
          <w:rFonts w:cs="Arial"/>
        </w:rPr>
      </w:pPr>
      <w:r w:rsidRPr="004A01CD">
        <w:rPr>
          <w:rFonts w:cs="Arial"/>
        </w:rPr>
        <w:t>A table shows the number of active participants with approved plans, total plan budgets, payments, plan utilisation and the benchmark, by support category, for the Outer Gippsland (VIC) region.</w:t>
      </w:r>
    </w:p>
    <w:p w14:paraId="0E42D548" w14:textId="197516FF" w:rsidR="00AC3101" w:rsidRPr="004A01CD" w:rsidRDefault="00AC3101" w:rsidP="00AC3101">
      <w:pPr>
        <w:jc w:val="both"/>
        <w:rPr>
          <w:rFonts w:cs="Arial"/>
        </w:rPr>
      </w:pPr>
      <w:r w:rsidRPr="004A01CD">
        <w:rPr>
          <w:rFonts w:cs="Arial"/>
        </w:rPr>
        <w:t>Plan utilisation was lowest, relative to the benchmark, for the Capacity Building – Social and Civic and Core – Consumables support categories.</w:t>
      </w:r>
    </w:p>
    <w:p w14:paraId="34FCF363" w14:textId="77777777" w:rsidR="00AC3101" w:rsidRPr="004A01CD" w:rsidRDefault="00AC3101" w:rsidP="00AC3101">
      <w:pPr>
        <w:jc w:val="both"/>
        <w:rPr>
          <w:rFonts w:cs="Arial"/>
        </w:rPr>
      </w:pPr>
      <w:r w:rsidRPr="004A01CD">
        <w:rPr>
          <w:rFonts w:cs="Arial"/>
        </w:rPr>
        <w:t>However, the overall utilisation result was largely driven by low utilisation in the Core – Community and Capacity Building – Daily Activity and Capacity Building – Support Coordination support categories.</w:t>
      </w:r>
    </w:p>
    <w:p w14:paraId="6F3F904E" w14:textId="538A9181" w:rsidR="00AC3101" w:rsidRPr="004A01CD" w:rsidRDefault="00AC3101" w:rsidP="00AC3101">
      <w:pPr>
        <w:jc w:val="both"/>
        <w:rPr>
          <w:rFonts w:cs="Arial"/>
        </w:rPr>
      </w:pPr>
      <w:r w:rsidRPr="004A01CD">
        <w:rPr>
          <w:rFonts w:cs="Arial"/>
        </w:rPr>
        <w:t xml:space="preserve">Utilisation for the largest support category Core – Daily Activities was close to the benchmark. </w:t>
      </w:r>
    </w:p>
    <w:p w14:paraId="12276874" w14:textId="0288280A" w:rsidR="001612D4" w:rsidRPr="004A01CD" w:rsidRDefault="001612D4" w:rsidP="003A7B01">
      <w:pPr>
        <w:pStyle w:val="Heading2"/>
      </w:pPr>
      <w:bookmarkStart w:id="46" w:name="_Toc34146595"/>
      <w:r w:rsidRPr="004A01CD">
        <w:t xml:space="preserve">Slide </w:t>
      </w:r>
      <w:r w:rsidR="00EF2C29" w:rsidRPr="004A01CD">
        <w:t>4</w:t>
      </w:r>
      <w:r w:rsidR="00CB4DA4" w:rsidRPr="004A01CD">
        <w:t>0</w:t>
      </w:r>
      <w:r w:rsidRPr="004A01CD">
        <w:t xml:space="preserve">: </w:t>
      </w:r>
      <w:r w:rsidR="008F4001" w:rsidRPr="004A01CD">
        <w:t>Utilisation for participants in the Outer Gippsland (VIC) region was particularly low for older participants aged 45+</w:t>
      </w:r>
      <w:bookmarkEnd w:id="46"/>
    </w:p>
    <w:p w14:paraId="6899F417" w14:textId="1FF9C623" w:rsidR="00EF2C29" w:rsidRPr="004A01CD" w:rsidRDefault="008F4001" w:rsidP="00EF2C29">
      <w:pPr>
        <w:jc w:val="both"/>
        <w:rPr>
          <w:rFonts w:cs="Arial"/>
        </w:rPr>
      </w:pPr>
      <w:r w:rsidRPr="004A01CD">
        <w:rPr>
          <w:rFonts w:cs="Arial"/>
        </w:rPr>
        <w:lastRenderedPageBreak/>
        <w:t xml:space="preserve">There are two charts. One shows </w:t>
      </w:r>
      <w:r w:rsidR="00EF2C29" w:rsidRPr="004A01CD">
        <w:rPr>
          <w:rFonts w:cs="Arial"/>
        </w:rPr>
        <w:t xml:space="preserve">plan utilisation and </w:t>
      </w:r>
      <w:r w:rsidRPr="004A01CD">
        <w:rPr>
          <w:rFonts w:cs="Arial"/>
        </w:rPr>
        <w:t xml:space="preserve">the corresponding </w:t>
      </w:r>
      <w:r w:rsidR="00EF2C29" w:rsidRPr="004A01CD">
        <w:rPr>
          <w:rFonts w:cs="Arial"/>
        </w:rPr>
        <w:t xml:space="preserve">benchmark </w:t>
      </w:r>
      <w:r w:rsidRPr="004A01CD">
        <w:rPr>
          <w:rFonts w:cs="Arial"/>
        </w:rPr>
        <w:t xml:space="preserve">for Outer Gippsland (VIC) by age band and the other shows plan budget distribution Outer Gippsland (VIC) by age band. </w:t>
      </w:r>
    </w:p>
    <w:p w14:paraId="1C7B4F7E" w14:textId="0075BF67" w:rsidR="008F4001" w:rsidRPr="004A01CD" w:rsidRDefault="008F4001" w:rsidP="008F4001">
      <w:pPr>
        <w:jc w:val="both"/>
        <w:rPr>
          <w:rFonts w:cs="Arial"/>
        </w:rPr>
      </w:pPr>
      <w:r w:rsidRPr="004A01CD">
        <w:rPr>
          <w:rFonts w:cs="Arial"/>
        </w:rPr>
        <w:t xml:space="preserve">Utilisation was lower across all </w:t>
      </w:r>
      <w:r w:rsidR="009A33D9" w:rsidRPr="004A01CD">
        <w:rPr>
          <w:rFonts w:cs="Arial"/>
        </w:rPr>
        <w:t>age’s</w:t>
      </w:r>
      <w:r w:rsidRPr="004A01CD">
        <w:rPr>
          <w:rFonts w:cs="Arial"/>
        </w:rPr>
        <w:t xml:space="preserve"> groups when compared against the benchmark utilisation.</w:t>
      </w:r>
    </w:p>
    <w:p w14:paraId="68D2972F" w14:textId="0D7B4CFB" w:rsidR="001612D4" w:rsidRPr="004A01CD" w:rsidRDefault="008F4001" w:rsidP="00C834BA">
      <w:pPr>
        <w:jc w:val="both"/>
        <w:rPr>
          <w:rFonts w:cs="Arial"/>
        </w:rPr>
      </w:pPr>
      <w:r w:rsidRPr="004A01CD">
        <w:rPr>
          <w:rFonts w:cs="Arial"/>
        </w:rPr>
        <w:t>In particular, this gap was larger for participants aged 45+ who constitute a large proportion of the region’s budget.</w:t>
      </w:r>
      <w:r w:rsidR="00B12DAD" w:rsidRPr="004A01CD">
        <w:rPr>
          <w:rFonts w:cs="Arial"/>
        </w:rPr>
        <w:t xml:space="preserve"> </w:t>
      </w:r>
    </w:p>
    <w:p w14:paraId="4E44EFA8" w14:textId="28709C68" w:rsidR="00605F44" w:rsidRPr="004A01CD" w:rsidRDefault="00605F44" w:rsidP="00C834BA">
      <w:pPr>
        <w:jc w:val="both"/>
        <w:rPr>
          <w:rFonts w:cs="Arial"/>
        </w:rPr>
      </w:pPr>
      <w:r w:rsidRPr="004A01CD">
        <w:rPr>
          <w:rFonts w:cs="Arial"/>
        </w:rPr>
        <w:t xml:space="preserve">Note: </w:t>
      </w:r>
      <w:r w:rsidRPr="004A01CD">
        <w:t>The benchmark is the national average adjusted for the mix of SIL / SDA participants and plan number.</w:t>
      </w:r>
    </w:p>
    <w:p w14:paraId="6789339B" w14:textId="79E78CAA" w:rsidR="00EF2C29" w:rsidRPr="004A01CD" w:rsidRDefault="00EF2C29" w:rsidP="00EF2C29">
      <w:pPr>
        <w:pStyle w:val="Heading2"/>
      </w:pPr>
      <w:bookmarkStart w:id="47" w:name="_Toc34146596"/>
      <w:r w:rsidRPr="004A01CD">
        <w:t xml:space="preserve">Slide </w:t>
      </w:r>
      <w:r w:rsidR="00B5023A" w:rsidRPr="004A01CD">
        <w:t>4</w:t>
      </w:r>
      <w:r w:rsidR="00CB4DA4" w:rsidRPr="004A01CD">
        <w:t>1</w:t>
      </w:r>
      <w:r w:rsidRPr="004A01CD">
        <w:t xml:space="preserve">: </w:t>
      </w:r>
      <w:r w:rsidR="00605F44" w:rsidRPr="004A01CD">
        <w:t>Participants with psychosocial disability or other neurological were key contributors to lower utilisation for the Outer Gippsland (VIC) region</w:t>
      </w:r>
      <w:bookmarkEnd w:id="47"/>
    </w:p>
    <w:p w14:paraId="50D07237" w14:textId="584809A5" w:rsidR="00605F44" w:rsidRPr="004A01CD" w:rsidRDefault="00605F44" w:rsidP="00605F44">
      <w:pPr>
        <w:jc w:val="both"/>
        <w:rPr>
          <w:rFonts w:cs="Arial"/>
        </w:rPr>
      </w:pPr>
      <w:r w:rsidRPr="004A01CD">
        <w:rPr>
          <w:rFonts w:cs="Arial"/>
        </w:rPr>
        <w:t xml:space="preserve">There are two charts. One shows plan utilisation and the corresponding benchmark for Outer Gippsland (VIC) by primary disability and the other shows plan budget distribution Outer Gippsland (VIC) by primary disability. </w:t>
      </w:r>
    </w:p>
    <w:p w14:paraId="44EE370B" w14:textId="77777777" w:rsidR="00605F44" w:rsidRPr="004A01CD" w:rsidRDefault="00605F44" w:rsidP="00605F44">
      <w:pPr>
        <w:jc w:val="both"/>
        <w:rPr>
          <w:rFonts w:cs="Arial"/>
        </w:rPr>
      </w:pPr>
      <w:r w:rsidRPr="004A01CD">
        <w:rPr>
          <w:rFonts w:cs="Arial"/>
        </w:rPr>
        <w:t xml:space="preserve">Psychosocial disability and other neurological disabilities, which represent 12% and 7% of total budgets respectively, have particularly low utilisation compared to their benchmark. </w:t>
      </w:r>
    </w:p>
    <w:p w14:paraId="27D43194" w14:textId="5FBE1593" w:rsidR="00605F44" w:rsidRPr="004A01CD" w:rsidRDefault="00605F44" w:rsidP="00605F44">
      <w:pPr>
        <w:jc w:val="both"/>
        <w:rPr>
          <w:rFonts w:cs="Arial"/>
        </w:rPr>
      </w:pPr>
      <w:r w:rsidRPr="004A01CD">
        <w:rPr>
          <w:rFonts w:cs="Arial"/>
        </w:rPr>
        <w:t xml:space="preserve">Note: </w:t>
      </w:r>
      <w:r w:rsidRPr="004A01CD">
        <w:t>The benchmark is the national average adjusted for the mix of SIL / SDA participants and plan number.</w:t>
      </w:r>
    </w:p>
    <w:p w14:paraId="595FB608" w14:textId="592CA1FA" w:rsidR="001612D4" w:rsidRPr="004A01CD" w:rsidRDefault="001612D4" w:rsidP="003A7B01">
      <w:pPr>
        <w:pStyle w:val="Heading2"/>
      </w:pPr>
      <w:bookmarkStart w:id="48" w:name="_Toc34146597"/>
      <w:r w:rsidRPr="004A01CD">
        <w:t xml:space="preserve">Slide </w:t>
      </w:r>
      <w:r w:rsidR="00E44BAB" w:rsidRPr="004A01CD">
        <w:t>4</w:t>
      </w:r>
      <w:r w:rsidR="00CB4DA4" w:rsidRPr="004A01CD">
        <w:t>2</w:t>
      </w:r>
      <w:r w:rsidRPr="004A01CD">
        <w:t xml:space="preserve">: </w:t>
      </w:r>
      <w:r w:rsidR="000C4D59" w:rsidRPr="004A01CD">
        <w:t>Eyre and Western (SA)</w:t>
      </w:r>
      <w:bookmarkEnd w:id="48"/>
    </w:p>
    <w:p w14:paraId="16D1C2CB" w14:textId="53842770" w:rsidR="000C4D59" w:rsidRPr="004A01CD" w:rsidRDefault="000C4D59" w:rsidP="000C4D59">
      <w:r w:rsidRPr="004A01CD">
        <w:t>Slides 43 to 45 present insights on Eyre and Western (SA)</w:t>
      </w:r>
    </w:p>
    <w:p w14:paraId="66194216" w14:textId="507F27F3" w:rsidR="006B30FA" w:rsidRPr="004A01CD" w:rsidRDefault="006B30FA" w:rsidP="003A7B01">
      <w:pPr>
        <w:pStyle w:val="Heading2"/>
      </w:pPr>
      <w:bookmarkStart w:id="49" w:name="_Toc34146598"/>
      <w:r w:rsidRPr="004A01CD">
        <w:t>Slide</w:t>
      </w:r>
      <w:r w:rsidR="00B349AF" w:rsidRPr="004A01CD">
        <w:t xml:space="preserve"> 4</w:t>
      </w:r>
      <w:r w:rsidR="00CB4DA4" w:rsidRPr="004A01CD">
        <w:t>3</w:t>
      </w:r>
      <w:r w:rsidRPr="004A01CD">
        <w:t xml:space="preserve">: </w:t>
      </w:r>
      <w:r w:rsidR="000C4D59" w:rsidRPr="004A01CD">
        <w:t>Compared to the benchmark, lower utilisation in Eyre and Western (SA) was driven by Core – Daily Activities and Capacity Building – Daily Activities</w:t>
      </w:r>
      <w:bookmarkEnd w:id="49"/>
    </w:p>
    <w:p w14:paraId="3CB6FBBB" w14:textId="2B4218F4" w:rsidR="002B04AF" w:rsidRPr="004A01CD" w:rsidRDefault="002B04AF" w:rsidP="002B04AF">
      <w:pPr>
        <w:jc w:val="both"/>
        <w:rPr>
          <w:rFonts w:cs="Arial"/>
        </w:rPr>
      </w:pPr>
      <w:r w:rsidRPr="004A01CD">
        <w:rPr>
          <w:rFonts w:cs="Arial"/>
        </w:rPr>
        <w:t xml:space="preserve">A table shows the number of active participants with approved plans, total plan budgets, payments, plan utilisation and the benchmark, by support category, for the </w:t>
      </w:r>
      <w:r w:rsidRPr="004A01CD">
        <w:t xml:space="preserve">Eyre and Western (SA) </w:t>
      </w:r>
      <w:r w:rsidRPr="004A01CD">
        <w:rPr>
          <w:rFonts w:cs="Arial"/>
        </w:rPr>
        <w:t>region.</w:t>
      </w:r>
    </w:p>
    <w:p w14:paraId="6C4042A8" w14:textId="77777777" w:rsidR="002B04AF" w:rsidRPr="004A01CD" w:rsidRDefault="002B04AF" w:rsidP="002B04AF">
      <w:pPr>
        <w:jc w:val="both"/>
        <w:rPr>
          <w:rFonts w:cs="Arial"/>
        </w:rPr>
      </w:pPr>
      <w:r w:rsidRPr="004A01CD">
        <w:rPr>
          <w:rFonts w:cs="Arial"/>
        </w:rPr>
        <w:t>Plan utilisation was very low for Capacity Building – Support Coordination.</w:t>
      </w:r>
    </w:p>
    <w:p w14:paraId="784A08E2" w14:textId="77777777" w:rsidR="002B04AF" w:rsidRPr="004A01CD" w:rsidRDefault="002B04AF" w:rsidP="002B04AF">
      <w:pPr>
        <w:jc w:val="both"/>
        <w:rPr>
          <w:rFonts w:cs="Arial"/>
        </w:rPr>
      </w:pPr>
      <w:r w:rsidRPr="004A01CD">
        <w:rPr>
          <w:rFonts w:cs="Arial"/>
        </w:rPr>
        <w:t>However, the overall utilisation result was largely driven by low utilisation in the Core – Daily Activities and Capacity Building – Daily Activities support categories.</w:t>
      </w:r>
    </w:p>
    <w:p w14:paraId="13E23BDF" w14:textId="5C8F082C" w:rsidR="00B349AF" w:rsidRPr="004A01CD" w:rsidRDefault="00B349AF" w:rsidP="00B349AF">
      <w:pPr>
        <w:pStyle w:val="Heading2"/>
      </w:pPr>
      <w:bookmarkStart w:id="50" w:name="_Toc34146599"/>
      <w:r w:rsidRPr="004A01CD">
        <w:t>Slide 4</w:t>
      </w:r>
      <w:r w:rsidR="00CB4DA4" w:rsidRPr="004A01CD">
        <w:t>4</w:t>
      </w:r>
      <w:r w:rsidRPr="004A01CD">
        <w:t xml:space="preserve">: </w:t>
      </w:r>
      <w:r w:rsidR="0048464C" w:rsidRPr="004A01CD">
        <w:t>Participants aged seven to 18 and 65+ had lower utilisation in Eyre and Western (SA) compared to other aged groups</w:t>
      </w:r>
      <w:bookmarkEnd w:id="50"/>
    </w:p>
    <w:p w14:paraId="6ECC5E7D" w14:textId="500A131D" w:rsidR="0048464C" w:rsidRPr="004A01CD" w:rsidRDefault="0048464C" w:rsidP="0048464C">
      <w:pPr>
        <w:jc w:val="both"/>
        <w:rPr>
          <w:rFonts w:cs="Arial"/>
        </w:rPr>
      </w:pPr>
      <w:r w:rsidRPr="004A01CD">
        <w:rPr>
          <w:rFonts w:cs="Arial"/>
        </w:rPr>
        <w:t>There are two charts. One shows plan utilisation and the corresponding benchmark for</w:t>
      </w:r>
      <w:r w:rsidRPr="004A01CD">
        <w:t xml:space="preserve"> Eyre and Western (SA) </w:t>
      </w:r>
      <w:r w:rsidRPr="004A01CD">
        <w:rPr>
          <w:rFonts w:cs="Arial"/>
        </w:rPr>
        <w:t xml:space="preserve">by </w:t>
      </w:r>
      <w:r w:rsidR="004F06D4" w:rsidRPr="004A01CD">
        <w:rPr>
          <w:rFonts w:cs="Arial"/>
        </w:rPr>
        <w:t>age band</w:t>
      </w:r>
      <w:r w:rsidRPr="004A01CD">
        <w:rPr>
          <w:rFonts w:cs="Arial"/>
        </w:rPr>
        <w:t xml:space="preserve"> and the other shows plan budget distribution</w:t>
      </w:r>
      <w:r w:rsidRPr="004A01CD">
        <w:t xml:space="preserve"> Eyre and Western (SA) </w:t>
      </w:r>
      <w:r w:rsidR="00566731" w:rsidRPr="004A01CD">
        <w:t xml:space="preserve">by </w:t>
      </w:r>
      <w:r w:rsidR="004F06D4" w:rsidRPr="004A01CD">
        <w:rPr>
          <w:rFonts w:cs="Arial"/>
        </w:rPr>
        <w:t>age band</w:t>
      </w:r>
      <w:r w:rsidRPr="004A01CD">
        <w:rPr>
          <w:rFonts w:cs="Arial"/>
        </w:rPr>
        <w:t xml:space="preserve">. </w:t>
      </w:r>
    </w:p>
    <w:p w14:paraId="126816A8" w14:textId="3F3015C1" w:rsidR="0048464C" w:rsidRPr="004A01CD" w:rsidRDefault="0048464C" w:rsidP="0048464C">
      <w:pPr>
        <w:jc w:val="both"/>
        <w:rPr>
          <w:rFonts w:cs="Arial"/>
        </w:rPr>
      </w:pPr>
      <w:r w:rsidRPr="004A01CD">
        <w:rPr>
          <w:rFonts w:cs="Arial"/>
        </w:rPr>
        <w:t xml:space="preserve">Utilisation was lower across all </w:t>
      </w:r>
      <w:r w:rsidR="009A33D9" w:rsidRPr="004A01CD">
        <w:rPr>
          <w:rFonts w:cs="Arial"/>
        </w:rPr>
        <w:t>age’s</w:t>
      </w:r>
      <w:r w:rsidRPr="004A01CD">
        <w:rPr>
          <w:rFonts w:cs="Arial"/>
        </w:rPr>
        <w:t xml:space="preserve"> groups when compared against the benchmark utilisation.</w:t>
      </w:r>
    </w:p>
    <w:p w14:paraId="3E39F702" w14:textId="1A4E92F4" w:rsidR="0048464C" w:rsidRPr="004A01CD" w:rsidRDefault="0048464C" w:rsidP="0048464C">
      <w:pPr>
        <w:jc w:val="both"/>
        <w:rPr>
          <w:rFonts w:cs="Arial"/>
        </w:rPr>
      </w:pPr>
      <w:r w:rsidRPr="004A01CD">
        <w:rPr>
          <w:rFonts w:cs="Arial"/>
        </w:rPr>
        <w:lastRenderedPageBreak/>
        <w:t>In particular, this gap was larger for participants aged seven to 18 and 65+.</w:t>
      </w:r>
    </w:p>
    <w:p w14:paraId="6538D32B" w14:textId="77777777" w:rsidR="007B5605" w:rsidRPr="004A01CD" w:rsidRDefault="007B5605" w:rsidP="007B5605">
      <w:pPr>
        <w:jc w:val="both"/>
        <w:rPr>
          <w:rFonts w:cs="Arial"/>
        </w:rPr>
      </w:pPr>
      <w:r w:rsidRPr="004A01CD">
        <w:rPr>
          <w:rFonts w:cs="Arial"/>
        </w:rPr>
        <w:t xml:space="preserve">Note: </w:t>
      </w:r>
      <w:r w:rsidRPr="004A01CD">
        <w:t>The benchmark is the national average adjusted for the mix of SIL / SDA participants and plan number.</w:t>
      </w:r>
    </w:p>
    <w:p w14:paraId="57336B56" w14:textId="1F8E7AC9" w:rsidR="002300E4" w:rsidRPr="004A01CD" w:rsidRDefault="002300E4" w:rsidP="003A7B01">
      <w:pPr>
        <w:pStyle w:val="Heading2"/>
      </w:pPr>
      <w:bookmarkStart w:id="51" w:name="_Toc34146600"/>
      <w:r w:rsidRPr="004A01CD">
        <w:t xml:space="preserve">Slide </w:t>
      </w:r>
      <w:r w:rsidR="00937DC3" w:rsidRPr="004A01CD">
        <w:t>4</w:t>
      </w:r>
      <w:r w:rsidR="00CB4DA4" w:rsidRPr="004A01CD">
        <w:t>5</w:t>
      </w:r>
      <w:r w:rsidRPr="004A01CD">
        <w:t xml:space="preserve">: </w:t>
      </w:r>
      <w:r w:rsidR="004F06D4" w:rsidRPr="004A01CD">
        <w:t>Participants with intellectual disability had low utilisation rates (compared to benchmark) for the Eyre and Western (SA) region</w:t>
      </w:r>
      <w:bookmarkEnd w:id="51"/>
    </w:p>
    <w:p w14:paraId="5578C364" w14:textId="49ED351E" w:rsidR="004F06D4" w:rsidRPr="004A01CD" w:rsidRDefault="004F06D4" w:rsidP="004F06D4">
      <w:pPr>
        <w:jc w:val="both"/>
        <w:rPr>
          <w:rFonts w:cs="Arial"/>
        </w:rPr>
      </w:pPr>
      <w:r w:rsidRPr="004A01CD">
        <w:rPr>
          <w:rFonts w:cs="Arial"/>
        </w:rPr>
        <w:t>There are two charts. One shows plan utilisation and the corresponding benchmark for</w:t>
      </w:r>
      <w:r w:rsidRPr="004A01CD">
        <w:t xml:space="preserve"> Eyre and Western (SA) </w:t>
      </w:r>
      <w:r w:rsidRPr="004A01CD">
        <w:rPr>
          <w:rFonts w:cs="Arial"/>
        </w:rPr>
        <w:t>by primary disability and the other shows plan budget distribution</w:t>
      </w:r>
      <w:r w:rsidRPr="004A01CD">
        <w:t xml:space="preserve"> Eyre and Western (SA)</w:t>
      </w:r>
      <w:r w:rsidR="00566731" w:rsidRPr="004A01CD">
        <w:t xml:space="preserve"> by</w:t>
      </w:r>
      <w:r w:rsidRPr="004A01CD">
        <w:t xml:space="preserve"> </w:t>
      </w:r>
      <w:r w:rsidRPr="004A01CD">
        <w:rPr>
          <w:rFonts w:cs="Arial"/>
        </w:rPr>
        <w:t xml:space="preserve">primary disability. </w:t>
      </w:r>
    </w:p>
    <w:p w14:paraId="636FD0FD" w14:textId="77777777" w:rsidR="004F06D4" w:rsidRPr="004A01CD" w:rsidRDefault="004F06D4" w:rsidP="004F06D4">
      <w:pPr>
        <w:jc w:val="both"/>
        <w:rPr>
          <w:rFonts w:cs="Arial"/>
        </w:rPr>
      </w:pPr>
      <w:r w:rsidRPr="004A01CD">
        <w:rPr>
          <w:rFonts w:cs="Arial"/>
        </w:rPr>
        <w:t xml:space="preserve">Intellectual disability which represent 36% of total budgets respectively, have a utilisation that is 12% below the benchmark rate. </w:t>
      </w:r>
    </w:p>
    <w:p w14:paraId="53B17265" w14:textId="39C92A55" w:rsidR="004F06D4" w:rsidRPr="004A01CD" w:rsidRDefault="004F06D4" w:rsidP="004F06D4">
      <w:pPr>
        <w:jc w:val="both"/>
        <w:rPr>
          <w:rFonts w:cs="Arial"/>
        </w:rPr>
      </w:pPr>
      <w:r w:rsidRPr="004A01CD">
        <w:rPr>
          <w:rFonts w:cs="Arial"/>
        </w:rPr>
        <w:t xml:space="preserve">Other drivers of experience include participants with an acquired brain injury, autism and other physical disability which all have utilisation rates below the benchmark. </w:t>
      </w:r>
    </w:p>
    <w:p w14:paraId="75279D59" w14:textId="77777777" w:rsidR="007B5605" w:rsidRPr="004A01CD" w:rsidRDefault="007B5605" w:rsidP="007B5605">
      <w:pPr>
        <w:jc w:val="both"/>
        <w:rPr>
          <w:rFonts w:cs="Arial"/>
        </w:rPr>
      </w:pPr>
      <w:r w:rsidRPr="004A01CD">
        <w:rPr>
          <w:rFonts w:cs="Arial"/>
        </w:rPr>
        <w:t xml:space="preserve">Note: </w:t>
      </w:r>
      <w:r w:rsidRPr="004A01CD">
        <w:t>The benchmark is the national average adjusted for the mix of SIL / SDA participants and plan number.</w:t>
      </w:r>
    </w:p>
    <w:p w14:paraId="43AED5E6" w14:textId="6C88745D" w:rsidR="00F652DC" w:rsidRPr="004A01CD" w:rsidRDefault="00F652DC" w:rsidP="003A7B01">
      <w:pPr>
        <w:pStyle w:val="Heading2"/>
      </w:pPr>
      <w:bookmarkStart w:id="52" w:name="_Toc34146601"/>
      <w:r w:rsidRPr="004A01CD">
        <w:t xml:space="preserve">Slide </w:t>
      </w:r>
      <w:r w:rsidR="00937DC3" w:rsidRPr="004A01CD">
        <w:t>4</w:t>
      </w:r>
      <w:r w:rsidR="00CB4DA4" w:rsidRPr="004A01CD">
        <w:t>6</w:t>
      </w:r>
      <w:r w:rsidRPr="004A01CD">
        <w:t xml:space="preserve">: </w:t>
      </w:r>
      <w:r w:rsidR="00566731" w:rsidRPr="004A01CD">
        <w:t>Darwin Remote (NT)</w:t>
      </w:r>
      <w:bookmarkEnd w:id="52"/>
    </w:p>
    <w:p w14:paraId="70544FA9" w14:textId="6EF0A367" w:rsidR="00566731" w:rsidRPr="004A01CD" w:rsidRDefault="00566731" w:rsidP="00566731">
      <w:r w:rsidRPr="004A01CD">
        <w:t>Slides 47 to 49 present insights on Eyre and Western (SA)</w:t>
      </w:r>
    </w:p>
    <w:p w14:paraId="66D823C4" w14:textId="42A6135F" w:rsidR="00913A97" w:rsidRPr="004A01CD" w:rsidRDefault="00913A97" w:rsidP="003A7B01">
      <w:pPr>
        <w:pStyle w:val="Heading2"/>
      </w:pPr>
      <w:bookmarkStart w:id="53" w:name="_Toc34146602"/>
      <w:r w:rsidRPr="004A01CD">
        <w:t xml:space="preserve">Slide </w:t>
      </w:r>
      <w:r w:rsidR="00CB4DA4" w:rsidRPr="004A01CD">
        <w:t>47</w:t>
      </w:r>
      <w:r w:rsidRPr="004A01CD">
        <w:t xml:space="preserve">: </w:t>
      </w:r>
      <w:r w:rsidR="00566731" w:rsidRPr="004A01CD">
        <w:t>The gap between utilisation and benchmark for the Darwin Remote (NT) region was driven by the Core – Community and Capacity Building – Daily Activity support categories</w:t>
      </w:r>
      <w:bookmarkEnd w:id="53"/>
    </w:p>
    <w:p w14:paraId="3C749613" w14:textId="62256BCE" w:rsidR="00566731" w:rsidRPr="004A01CD" w:rsidRDefault="00566731" w:rsidP="00566731">
      <w:pPr>
        <w:jc w:val="both"/>
        <w:rPr>
          <w:rFonts w:cs="Arial"/>
        </w:rPr>
      </w:pPr>
      <w:r w:rsidRPr="004A01CD">
        <w:rPr>
          <w:rFonts w:cs="Arial"/>
        </w:rPr>
        <w:t xml:space="preserve">A table shows the number of active participants with approved plans, total plan budgets, payments, plan utilisation and the benchmark, by support category, for the </w:t>
      </w:r>
      <w:r w:rsidRPr="004A01CD">
        <w:t xml:space="preserve">Darwin Remote (NT) </w:t>
      </w:r>
      <w:r w:rsidRPr="004A01CD">
        <w:rPr>
          <w:rFonts w:cs="Arial"/>
        </w:rPr>
        <w:t>region.</w:t>
      </w:r>
    </w:p>
    <w:p w14:paraId="7C179563" w14:textId="77777777" w:rsidR="00566731" w:rsidRPr="004A01CD" w:rsidRDefault="00566731" w:rsidP="00566731">
      <w:pPr>
        <w:jc w:val="both"/>
        <w:rPr>
          <w:rFonts w:cs="Arial"/>
        </w:rPr>
      </w:pPr>
      <w:r w:rsidRPr="004A01CD">
        <w:rPr>
          <w:rFonts w:cs="Arial"/>
        </w:rPr>
        <w:t>Plan utilisation was lowest, relative to the benchmark, for the Capacity Building – Employment and Capacity Building – Social and Civic support categories.</w:t>
      </w:r>
    </w:p>
    <w:p w14:paraId="2FCAF140" w14:textId="77777777" w:rsidR="00566731" w:rsidRPr="004A01CD" w:rsidRDefault="00566731" w:rsidP="00566731">
      <w:pPr>
        <w:jc w:val="both"/>
        <w:rPr>
          <w:rFonts w:cs="Arial"/>
        </w:rPr>
      </w:pPr>
      <w:r w:rsidRPr="004A01CD">
        <w:rPr>
          <w:rFonts w:cs="Arial"/>
        </w:rPr>
        <w:t>However, the overall utilisation result was largely driven by low utilisation in the Core – Community and Capacity Building – Daily Activity support categories.</w:t>
      </w:r>
    </w:p>
    <w:p w14:paraId="625A2B3F" w14:textId="33A3C6BA" w:rsidR="00F53020" w:rsidRPr="004A01CD" w:rsidRDefault="00F53020" w:rsidP="003A7B01">
      <w:pPr>
        <w:pStyle w:val="Heading2"/>
      </w:pPr>
      <w:bookmarkStart w:id="54" w:name="_Toc34146603"/>
      <w:r w:rsidRPr="004A01CD">
        <w:t>Slide</w:t>
      </w:r>
      <w:r w:rsidR="00CB4DA4" w:rsidRPr="004A01CD">
        <w:t xml:space="preserve"> 48</w:t>
      </w:r>
      <w:r w:rsidRPr="004A01CD">
        <w:t xml:space="preserve">: </w:t>
      </w:r>
      <w:r w:rsidR="00566731" w:rsidRPr="004A01CD">
        <w:t>Utilisation for participants in the Darwin Remote (NT) region was below benchmark across all age bands</w:t>
      </w:r>
      <w:bookmarkEnd w:id="54"/>
    </w:p>
    <w:p w14:paraId="56B5DA6F" w14:textId="4E749FC7" w:rsidR="00566731" w:rsidRPr="004A01CD" w:rsidRDefault="00566731" w:rsidP="00566731">
      <w:pPr>
        <w:jc w:val="both"/>
        <w:rPr>
          <w:rFonts w:cs="Arial"/>
        </w:rPr>
      </w:pPr>
      <w:r w:rsidRPr="004A01CD">
        <w:rPr>
          <w:rFonts w:cs="Arial"/>
        </w:rPr>
        <w:t>There are two charts. One shows plan utilisation and the corresponding benchmark for</w:t>
      </w:r>
      <w:r w:rsidRPr="004A01CD">
        <w:t xml:space="preserve"> Darwin Remote (NT) </w:t>
      </w:r>
      <w:r w:rsidRPr="004A01CD">
        <w:rPr>
          <w:rFonts w:cs="Arial"/>
        </w:rPr>
        <w:t>by age band and the other shows plan budget distribution</w:t>
      </w:r>
      <w:r w:rsidRPr="004A01CD">
        <w:t xml:space="preserve"> Darwin Remote (NT) by </w:t>
      </w:r>
      <w:r w:rsidRPr="004A01CD">
        <w:rPr>
          <w:rFonts w:cs="Arial"/>
        </w:rPr>
        <w:t xml:space="preserve">age band. </w:t>
      </w:r>
    </w:p>
    <w:p w14:paraId="6F63529A" w14:textId="77777777" w:rsidR="005E75E4" w:rsidRPr="004A01CD" w:rsidRDefault="005E75E4" w:rsidP="005E75E4">
      <w:pPr>
        <w:jc w:val="both"/>
        <w:rPr>
          <w:rFonts w:cs="Arial"/>
        </w:rPr>
      </w:pPr>
      <w:r w:rsidRPr="004A01CD">
        <w:rPr>
          <w:rFonts w:cs="Arial"/>
        </w:rPr>
        <w:t>Utilisation for Capacity Building – Daily Activity supports was below the benchmark for all ages under 65 and the gap was larger for participants aged 19 to 44.</w:t>
      </w:r>
    </w:p>
    <w:p w14:paraId="0BCC61DC" w14:textId="77777777" w:rsidR="007B5605" w:rsidRPr="004A01CD" w:rsidRDefault="007B5605" w:rsidP="007B5605">
      <w:pPr>
        <w:jc w:val="both"/>
        <w:rPr>
          <w:rFonts w:cs="Arial"/>
        </w:rPr>
      </w:pPr>
      <w:bookmarkStart w:id="55" w:name="_Toc34146604"/>
      <w:r w:rsidRPr="004A01CD">
        <w:rPr>
          <w:rFonts w:cs="Arial"/>
        </w:rPr>
        <w:t xml:space="preserve">Note: </w:t>
      </w:r>
      <w:r w:rsidRPr="004A01CD">
        <w:t>The benchmark is the national average adjusted for the mix of SIL / SDA participants and plan number.</w:t>
      </w:r>
    </w:p>
    <w:p w14:paraId="3FC162F5" w14:textId="0AD02648" w:rsidR="00F53020" w:rsidRPr="004A01CD" w:rsidRDefault="00F53020" w:rsidP="003A7B01">
      <w:pPr>
        <w:pStyle w:val="Heading2"/>
      </w:pPr>
      <w:r w:rsidRPr="004A01CD">
        <w:lastRenderedPageBreak/>
        <w:t xml:space="preserve">Slide </w:t>
      </w:r>
      <w:r w:rsidR="00CB4DA4" w:rsidRPr="004A01CD">
        <w:t>49</w:t>
      </w:r>
      <w:r w:rsidRPr="004A01CD">
        <w:t xml:space="preserve">: </w:t>
      </w:r>
      <w:r w:rsidR="005E75E4" w:rsidRPr="004A01CD">
        <w:t>Utilisation for participants with developmental delay or intellectual disability were key contributors to the utilisation result for the Darwin Remote (NT) region</w:t>
      </w:r>
      <w:bookmarkEnd w:id="55"/>
    </w:p>
    <w:p w14:paraId="6C3953D9" w14:textId="09867820" w:rsidR="005E75E4" w:rsidRPr="004A01CD" w:rsidRDefault="005E75E4" w:rsidP="005E75E4">
      <w:pPr>
        <w:jc w:val="both"/>
        <w:rPr>
          <w:rFonts w:cs="Arial"/>
        </w:rPr>
      </w:pPr>
      <w:r w:rsidRPr="004A01CD">
        <w:rPr>
          <w:rFonts w:cs="Arial"/>
        </w:rPr>
        <w:t>There are two charts. One shows plan utilisation and the corresponding benchmark for</w:t>
      </w:r>
      <w:r w:rsidRPr="004A01CD">
        <w:t xml:space="preserve"> Darwin Remote (NT) </w:t>
      </w:r>
      <w:r w:rsidRPr="004A01CD">
        <w:rPr>
          <w:rFonts w:cs="Arial"/>
        </w:rPr>
        <w:t>by primary disability and the other shows plan budget distribution</w:t>
      </w:r>
      <w:r w:rsidRPr="004A01CD">
        <w:t xml:space="preserve"> Darwin Remote (NT) by </w:t>
      </w:r>
      <w:r w:rsidRPr="004A01CD">
        <w:rPr>
          <w:rFonts w:cs="Arial"/>
        </w:rPr>
        <w:t xml:space="preserve">primary disability. </w:t>
      </w:r>
    </w:p>
    <w:p w14:paraId="4DE3593B" w14:textId="77777777" w:rsidR="005E75E4" w:rsidRPr="004A01CD" w:rsidRDefault="005E75E4" w:rsidP="005E75E4">
      <w:pPr>
        <w:jc w:val="both"/>
        <w:rPr>
          <w:rFonts w:cs="Arial"/>
        </w:rPr>
      </w:pPr>
      <w:r w:rsidRPr="004A01CD">
        <w:rPr>
          <w:rFonts w:cs="Arial"/>
        </w:rPr>
        <w:t>Participants with developmental delay and intellectual disability represented 31% of Capacity Building – Daily Activity supports for the region. The gap to benchmark for these participants was a key driver of the overall result.</w:t>
      </w:r>
    </w:p>
    <w:p w14:paraId="3AD2F895" w14:textId="77777777" w:rsidR="007B5605" w:rsidRPr="004A01CD" w:rsidRDefault="007B5605" w:rsidP="007B5605">
      <w:pPr>
        <w:jc w:val="both"/>
        <w:rPr>
          <w:rFonts w:cs="Arial"/>
        </w:rPr>
      </w:pPr>
      <w:bookmarkStart w:id="56" w:name="_Toc34146605"/>
      <w:r w:rsidRPr="004A01CD">
        <w:rPr>
          <w:rFonts w:cs="Arial"/>
        </w:rPr>
        <w:t xml:space="preserve">Note: </w:t>
      </w:r>
      <w:r w:rsidRPr="004A01CD">
        <w:t>The benchmark is the national average adjusted for the mix of SIL / SDA participants and plan number.</w:t>
      </w:r>
    </w:p>
    <w:p w14:paraId="46B60F44" w14:textId="6FF33818" w:rsidR="00006E33" w:rsidRPr="004A01CD" w:rsidRDefault="004E65E1" w:rsidP="00006E33">
      <w:pPr>
        <w:pStyle w:val="Heading2"/>
      </w:pPr>
      <w:r w:rsidRPr="004A01CD">
        <w:t>Slide 5</w:t>
      </w:r>
      <w:r w:rsidR="00CB4DA4" w:rsidRPr="004A01CD">
        <w:t>0</w:t>
      </w:r>
      <w:r w:rsidRPr="004A01CD">
        <w:t xml:space="preserve">: </w:t>
      </w:r>
      <w:r w:rsidR="00006E33" w:rsidRPr="004A01CD">
        <w:t>Goldfields-Esperance (WA)</w:t>
      </w:r>
      <w:bookmarkEnd w:id="56"/>
    </w:p>
    <w:p w14:paraId="517477EC" w14:textId="6E208D79" w:rsidR="00006E33" w:rsidRPr="004A01CD" w:rsidRDefault="00006E33" w:rsidP="00006E33">
      <w:r w:rsidRPr="004A01CD">
        <w:t xml:space="preserve">Slides 51 to 56 present insights on </w:t>
      </w:r>
      <w:r w:rsidRPr="004A01CD">
        <w:rPr>
          <w:bCs/>
        </w:rPr>
        <w:t>Goldfields-Esperance (WA)</w:t>
      </w:r>
    </w:p>
    <w:p w14:paraId="2E4169E3" w14:textId="5A087769" w:rsidR="006B6AB9" w:rsidRPr="004A01CD" w:rsidRDefault="006B6AB9" w:rsidP="00006E33">
      <w:pPr>
        <w:pStyle w:val="Heading2"/>
      </w:pPr>
      <w:bookmarkStart w:id="57" w:name="_Toc34146606"/>
      <w:r w:rsidRPr="004A01CD">
        <w:t xml:space="preserve">Slide </w:t>
      </w:r>
      <w:r w:rsidR="004E65E1" w:rsidRPr="004A01CD">
        <w:t>5</w:t>
      </w:r>
      <w:r w:rsidR="00CB4DA4" w:rsidRPr="004A01CD">
        <w:t>1</w:t>
      </w:r>
      <w:r w:rsidRPr="004A01CD">
        <w:t xml:space="preserve">: </w:t>
      </w:r>
      <w:r w:rsidR="008D2A6B" w:rsidRPr="004A01CD">
        <w:t>Provider concentration in Goldfields-Esperance (WA) is higher than benchmark across all support categories</w:t>
      </w:r>
      <w:bookmarkEnd w:id="57"/>
    </w:p>
    <w:p w14:paraId="65436166" w14:textId="347499DE" w:rsidR="008D2A6B" w:rsidRPr="004A01CD" w:rsidRDefault="008D2A6B" w:rsidP="008D2A6B">
      <w:pPr>
        <w:jc w:val="both"/>
        <w:rPr>
          <w:rFonts w:cs="Arial"/>
        </w:rPr>
      </w:pPr>
      <w:r w:rsidRPr="004A01CD">
        <w:rPr>
          <w:rFonts w:cs="Arial"/>
        </w:rPr>
        <w:t>A table shows the number of active participants with approved plans, the number of registered active providers, provider concentration and plan utilisation, by support category, for the Goldfields-Esperance (WA) region.</w:t>
      </w:r>
    </w:p>
    <w:p w14:paraId="5B9AC7D3" w14:textId="77777777" w:rsidR="008D2A6B" w:rsidRPr="004A01CD" w:rsidRDefault="008D2A6B" w:rsidP="008D2A6B">
      <w:pPr>
        <w:jc w:val="both"/>
        <w:rPr>
          <w:rFonts w:cs="Arial"/>
        </w:rPr>
      </w:pPr>
      <w:r w:rsidRPr="004A01CD">
        <w:rPr>
          <w:rFonts w:cs="Arial"/>
        </w:rPr>
        <w:t xml:space="preserve">Goldfields-Esperance (WA) was one of the top potential hot spot for regions with less than $50m in total plan budgets with a provider concentration of 95%. </w:t>
      </w:r>
    </w:p>
    <w:p w14:paraId="5BF0C2E4" w14:textId="77777777" w:rsidR="008D2A6B" w:rsidRPr="004A01CD" w:rsidRDefault="008D2A6B" w:rsidP="008D2A6B">
      <w:pPr>
        <w:jc w:val="both"/>
        <w:rPr>
          <w:rFonts w:cs="Arial"/>
        </w:rPr>
      </w:pPr>
      <w:r w:rsidRPr="004A01CD">
        <w:rPr>
          <w:rFonts w:cs="Arial"/>
        </w:rPr>
        <w:t>High levels of provider concentration are driven by a small (15 or under) number of providers across the support categories with the largest number of providers.</w:t>
      </w:r>
    </w:p>
    <w:p w14:paraId="7C9E1470" w14:textId="3C8194C5" w:rsidR="006B6AB9" w:rsidRPr="004A01CD" w:rsidRDefault="006B6AB9" w:rsidP="003A7B01">
      <w:pPr>
        <w:pStyle w:val="Heading2"/>
      </w:pPr>
      <w:bookmarkStart w:id="58" w:name="_Toc34146607"/>
      <w:r w:rsidRPr="004A01CD">
        <w:t xml:space="preserve">Slide </w:t>
      </w:r>
      <w:r w:rsidR="00C73083" w:rsidRPr="004A01CD">
        <w:t>5</w:t>
      </w:r>
      <w:r w:rsidR="00CB4DA4" w:rsidRPr="004A01CD">
        <w:t>2</w:t>
      </w:r>
      <w:r w:rsidRPr="004A01CD">
        <w:t>:</w:t>
      </w:r>
      <w:r w:rsidR="008D2A6B" w:rsidRPr="004A01CD">
        <w:rPr>
          <w:rFonts w:cs="Arial"/>
          <w:kern w:val="24"/>
          <w:sz w:val="40"/>
          <w:szCs w:val="40"/>
        </w:rPr>
        <w:t xml:space="preserve"> </w:t>
      </w:r>
      <w:r w:rsidR="008D2A6B" w:rsidRPr="004A01CD">
        <w:t>Provider concentration for participants in the Goldfields-Esperance (WA) region was greater than benchmark across all age bands</w:t>
      </w:r>
      <w:bookmarkEnd w:id="58"/>
    </w:p>
    <w:p w14:paraId="3D9EC560" w14:textId="023AC881" w:rsidR="00523E38" w:rsidRPr="004A01CD" w:rsidRDefault="00523E38" w:rsidP="00523E38">
      <w:pPr>
        <w:jc w:val="both"/>
        <w:rPr>
          <w:rFonts w:cs="Arial"/>
        </w:rPr>
      </w:pPr>
      <w:r w:rsidRPr="004A01CD">
        <w:rPr>
          <w:rFonts w:cs="Arial"/>
        </w:rPr>
        <w:t xml:space="preserve">There are two charts. One shows </w:t>
      </w:r>
      <w:r w:rsidR="00562F79" w:rsidRPr="004A01CD">
        <w:rPr>
          <w:rFonts w:cs="Arial"/>
        </w:rPr>
        <w:t>provider concentration</w:t>
      </w:r>
      <w:r w:rsidRPr="004A01CD">
        <w:rPr>
          <w:rFonts w:cs="Arial"/>
        </w:rPr>
        <w:t xml:space="preserve"> and the corresponding benchmark for</w:t>
      </w:r>
      <w:r w:rsidRPr="004A01CD">
        <w:t xml:space="preserve"> Goldfields-Esperance (WA)</w:t>
      </w:r>
      <w:r w:rsidR="005B64FC" w:rsidRPr="004A01CD">
        <w:t xml:space="preserve"> </w:t>
      </w:r>
      <w:r w:rsidRPr="004A01CD">
        <w:rPr>
          <w:rFonts w:cs="Arial"/>
        </w:rPr>
        <w:t>by age band and the other shows plan budget distribution</w:t>
      </w:r>
      <w:r w:rsidRPr="004A01CD">
        <w:t xml:space="preserve"> Goldfields-Esperance (WA) by </w:t>
      </w:r>
      <w:r w:rsidRPr="004A01CD">
        <w:rPr>
          <w:rFonts w:cs="Arial"/>
        </w:rPr>
        <w:t xml:space="preserve">age band. </w:t>
      </w:r>
    </w:p>
    <w:p w14:paraId="75519CF9" w14:textId="573B222F" w:rsidR="00B82557" w:rsidRPr="004A01CD" w:rsidRDefault="00B82557" w:rsidP="00B82557">
      <w:pPr>
        <w:jc w:val="both"/>
        <w:rPr>
          <w:rFonts w:cs="Arial"/>
        </w:rPr>
      </w:pPr>
      <w:r w:rsidRPr="004A01CD">
        <w:rPr>
          <w:rFonts w:cs="Arial"/>
        </w:rPr>
        <w:t>This region exhibited higher provider concentration regardless of age, compared to each segment’s equivalent benchmark.</w:t>
      </w:r>
    </w:p>
    <w:p w14:paraId="598B0117" w14:textId="44C1BB4C" w:rsidR="006B6AB9" w:rsidRPr="004A01CD" w:rsidRDefault="00B82557" w:rsidP="00C834BA">
      <w:pPr>
        <w:jc w:val="both"/>
        <w:rPr>
          <w:rFonts w:cs="Arial"/>
        </w:rPr>
      </w:pPr>
      <w:r w:rsidRPr="004A01CD">
        <w:rPr>
          <w:rFonts w:cs="Arial"/>
        </w:rPr>
        <w:t>Note: The benchmark is the unweighted national average for that age band. Given the more granular nature of these segments, the provider concentration metric shown in the charts has been defined as payments made to the top five providers, instead of the top ten.</w:t>
      </w:r>
    </w:p>
    <w:p w14:paraId="1EC1AD0E" w14:textId="14B6C75C" w:rsidR="00D36C28" w:rsidRPr="004A01CD" w:rsidRDefault="00D36C28" w:rsidP="003A7B01">
      <w:pPr>
        <w:pStyle w:val="Heading2"/>
      </w:pPr>
      <w:bookmarkStart w:id="59" w:name="_Toc34146608"/>
      <w:r w:rsidRPr="004A01CD">
        <w:t xml:space="preserve">Slide </w:t>
      </w:r>
      <w:r w:rsidR="00BA58E4" w:rsidRPr="004A01CD">
        <w:t>5</w:t>
      </w:r>
      <w:r w:rsidR="00CB4DA4" w:rsidRPr="004A01CD">
        <w:t>3</w:t>
      </w:r>
      <w:r w:rsidRPr="004A01CD">
        <w:t xml:space="preserve">: </w:t>
      </w:r>
      <w:r w:rsidR="00523E38" w:rsidRPr="004A01CD">
        <w:t>Provider concentration for participants in the Goldfields-Esperance (WA) region was greater than benchmark across all disability types</w:t>
      </w:r>
      <w:bookmarkEnd w:id="59"/>
    </w:p>
    <w:p w14:paraId="5C805AF4" w14:textId="381FF37F" w:rsidR="00523E38" w:rsidRPr="004A01CD" w:rsidRDefault="00523E38" w:rsidP="00523E38">
      <w:pPr>
        <w:jc w:val="both"/>
        <w:rPr>
          <w:rFonts w:cs="Arial"/>
        </w:rPr>
      </w:pPr>
      <w:r w:rsidRPr="004A01CD">
        <w:rPr>
          <w:rFonts w:cs="Arial"/>
        </w:rPr>
        <w:lastRenderedPageBreak/>
        <w:t xml:space="preserve">There are two charts. One shows </w:t>
      </w:r>
      <w:r w:rsidR="00562F79" w:rsidRPr="004A01CD">
        <w:rPr>
          <w:rFonts w:cs="Arial"/>
        </w:rPr>
        <w:t xml:space="preserve">provider concentration </w:t>
      </w:r>
      <w:r w:rsidRPr="004A01CD">
        <w:rPr>
          <w:rFonts w:cs="Arial"/>
        </w:rPr>
        <w:t>and the corresponding benchmark for</w:t>
      </w:r>
      <w:r w:rsidRPr="004A01CD">
        <w:t xml:space="preserve"> Goldfields-Esperance (WA) </w:t>
      </w:r>
      <w:r w:rsidRPr="004A01CD">
        <w:rPr>
          <w:rFonts w:cs="Arial"/>
        </w:rPr>
        <w:t>by primary disability and the other shows plan budget distribution</w:t>
      </w:r>
      <w:r w:rsidRPr="004A01CD">
        <w:t xml:space="preserve"> Goldfields-Esperance (WA)</w:t>
      </w:r>
      <w:r w:rsidR="005B64FC" w:rsidRPr="004A01CD">
        <w:t xml:space="preserve"> </w:t>
      </w:r>
      <w:r w:rsidRPr="004A01CD">
        <w:t xml:space="preserve">by </w:t>
      </w:r>
      <w:r w:rsidRPr="004A01CD">
        <w:rPr>
          <w:rFonts w:cs="Arial"/>
        </w:rPr>
        <w:t xml:space="preserve">primary disability. </w:t>
      </w:r>
    </w:p>
    <w:p w14:paraId="70F64032" w14:textId="77777777" w:rsidR="00523E38" w:rsidRPr="004A01CD" w:rsidRDefault="00523E38" w:rsidP="00523E38">
      <w:pPr>
        <w:jc w:val="both"/>
        <w:rPr>
          <w:rFonts w:cs="Arial"/>
        </w:rPr>
      </w:pPr>
      <w:r w:rsidRPr="004A01CD">
        <w:rPr>
          <w:rFonts w:cs="Arial"/>
        </w:rPr>
        <w:t xml:space="preserve">This region exhibited higher provider concentration regardless of primary disability, compared to each segment’s equivalent benchmark. </w:t>
      </w:r>
    </w:p>
    <w:p w14:paraId="0AC48470" w14:textId="77777777" w:rsidR="00523E38" w:rsidRPr="004A01CD" w:rsidRDefault="00523E38" w:rsidP="00523E38">
      <w:pPr>
        <w:jc w:val="both"/>
        <w:rPr>
          <w:rFonts w:cs="Arial"/>
        </w:rPr>
      </w:pPr>
      <w:r w:rsidRPr="004A01CD">
        <w:rPr>
          <w:rFonts w:cs="Arial"/>
        </w:rPr>
        <w:t>Note: The benchmark is the unweighted national average for that age band. Given the more granular nature of these segments, the provider concentration metric shown in the charts has been defined as payments made to the top five providers, instead of the top ten.</w:t>
      </w:r>
    </w:p>
    <w:p w14:paraId="4FD81FFF" w14:textId="57D18830" w:rsidR="00BA58E4" w:rsidRPr="004A01CD" w:rsidRDefault="00BA58E4" w:rsidP="00BA58E4">
      <w:pPr>
        <w:pStyle w:val="Heading2"/>
      </w:pPr>
      <w:bookmarkStart w:id="60" w:name="_Toc34146609"/>
      <w:r w:rsidRPr="004A01CD">
        <w:t xml:space="preserve">Slide </w:t>
      </w:r>
      <w:r w:rsidR="00CA2BB2" w:rsidRPr="004A01CD">
        <w:t>5</w:t>
      </w:r>
      <w:r w:rsidR="00CB4DA4" w:rsidRPr="004A01CD">
        <w:t>4</w:t>
      </w:r>
      <w:r w:rsidRPr="004A01CD">
        <w:t xml:space="preserve">: </w:t>
      </w:r>
      <w:r w:rsidR="00562F79" w:rsidRPr="004A01CD">
        <w:t>The gap between utilisation and benchmark for the Goldfields-Esperance (WA) region was driven by the Capacity Building – Daily Activity support category</w:t>
      </w:r>
      <w:bookmarkEnd w:id="60"/>
    </w:p>
    <w:p w14:paraId="21ED896E" w14:textId="0F94306E" w:rsidR="00562F79" w:rsidRPr="004A01CD" w:rsidRDefault="00562F79" w:rsidP="00562F79">
      <w:pPr>
        <w:jc w:val="both"/>
        <w:rPr>
          <w:rFonts w:cs="Arial"/>
        </w:rPr>
      </w:pPr>
      <w:r w:rsidRPr="004A01CD">
        <w:rPr>
          <w:rFonts w:cs="Arial"/>
        </w:rPr>
        <w:t>A table shows the number of active participants with approved plans, total plan budgets, payments, plan utilisation and the benchmark, by support category, for the Goldfields-Esperance (WA) region.</w:t>
      </w:r>
    </w:p>
    <w:p w14:paraId="741F4328" w14:textId="77777777" w:rsidR="00562F79" w:rsidRPr="004A01CD" w:rsidRDefault="00562F79" w:rsidP="00562F79">
      <w:pPr>
        <w:jc w:val="both"/>
        <w:rPr>
          <w:rFonts w:cs="Arial"/>
        </w:rPr>
      </w:pPr>
      <w:r w:rsidRPr="004A01CD">
        <w:rPr>
          <w:rFonts w:cs="Arial"/>
        </w:rPr>
        <w:t>As shown in the table on the left, the predominant areas of support spending in Goldfields – Esperance are in Core – Daily Activities (39% of total plan budget), Core – Community (22% of total plan budget) and Capacity Building – Daily Activities (17% of total plan budget).</w:t>
      </w:r>
    </w:p>
    <w:p w14:paraId="6E6039DC" w14:textId="0951C32A" w:rsidR="00562F79" w:rsidRPr="004A01CD" w:rsidRDefault="00562F79" w:rsidP="00562F79">
      <w:pPr>
        <w:jc w:val="both"/>
        <w:rPr>
          <w:rFonts w:cs="Arial"/>
        </w:rPr>
      </w:pPr>
      <w:r w:rsidRPr="004A01CD">
        <w:rPr>
          <w:rFonts w:cs="Arial"/>
        </w:rPr>
        <w:t>All three of these categories show utilisation rates below benchmark for that support category, however the large gap (19 points) gap shown for ‘Capacity Building – Daily Activities’ pulls down the overall result.</w:t>
      </w:r>
    </w:p>
    <w:p w14:paraId="69E58F2A" w14:textId="2784EE0E" w:rsidR="00C2503F" w:rsidRPr="004A01CD" w:rsidRDefault="00C2503F" w:rsidP="003A7B01">
      <w:pPr>
        <w:pStyle w:val="Heading2"/>
      </w:pPr>
      <w:bookmarkStart w:id="61" w:name="_Toc34146610"/>
      <w:r w:rsidRPr="004A01CD">
        <w:t xml:space="preserve">Slide </w:t>
      </w:r>
      <w:r w:rsidR="00CA2BB2" w:rsidRPr="004A01CD">
        <w:t>5</w:t>
      </w:r>
      <w:r w:rsidR="00CB4DA4" w:rsidRPr="004A01CD">
        <w:t>5</w:t>
      </w:r>
      <w:r w:rsidRPr="004A01CD">
        <w:t xml:space="preserve">: </w:t>
      </w:r>
      <w:r w:rsidR="00562F79" w:rsidRPr="004A01CD">
        <w:t>Utilisation for participants in the Goldfields-Esperance (WA) region was below benchmark across all age bands</w:t>
      </w:r>
      <w:bookmarkEnd w:id="61"/>
    </w:p>
    <w:p w14:paraId="341B47B5" w14:textId="7F48E86A" w:rsidR="00562F79" w:rsidRPr="004A01CD" w:rsidRDefault="00562F79" w:rsidP="00562F79">
      <w:pPr>
        <w:jc w:val="both"/>
        <w:rPr>
          <w:rFonts w:cs="Arial"/>
        </w:rPr>
      </w:pPr>
      <w:r w:rsidRPr="004A01CD">
        <w:rPr>
          <w:rFonts w:cs="Arial"/>
        </w:rPr>
        <w:t>There are two charts. One shows plan utilisation and the corresponding benchmark for</w:t>
      </w:r>
      <w:r w:rsidRPr="004A01CD">
        <w:t xml:space="preserve"> Goldfields-Esperance (WA) </w:t>
      </w:r>
      <w:r w:rsidRPr="004A01CD">
        <w:rPr>
          <w:rFonts w:cs="Arial"/>
        </w:rPr>
        <w:t>by age band and the other shows plan budget distribution</w:t>
      </w:r>
      <w:r w:rsidRPr="004A01CD">
        <w:t xml:space="preserve"> Goldfields-Esperance (WA) by </w:t>
      </w:r>
      <w:r w:rsidRPr="004A01CD">
        <w:rPr>
          <w:rFonts w:cs="Arial"/>
        </w:rPr>
        <w:t xml:space="preserve">age band. </w:t>
      </w:r>
    </w:p>
    <w:p w14:paraId="44B5BBD0" w14:textId="56886B62" w:rsidR="00F53020" w:rsidRPr="004A01CD" w:rsidRDefault="00562F79" w:rsidP="00562F79">
      <w:pPr>
        <w:jc w:val="both"/>
        <w:rPr>
          <w:rFonts w:cs="Arial"/>
        </w:rPr>
      </w:pPr>
      <w:r w:rsidRPr="004A01CD">
        <w:rPr>
          <w:rFonts w:cs="Arial"/>
        </w:rPr>
        <w:t>Utilisation for Capacity Building – Daily Activity supports was below the benchmark for all ages and the gap was largest for participants aged 35 to 44.</w:t>
      </w:r>
    </w:p>
    <w:p w14:paraId="4A9746CB" w14:textId="77777777" w:rsidR="007B5605" w:rsidRPr="004A01CD" w:rsidRDefault="007B5605" w:rsidP="007B5605">
      <w:pPr>
        <w:jc w:val="both"/>
        <w:rPr>
          <w:rFonts w:cs="Arial"/>
        </w:rPr>
      </w:pPr>
      <w:bookmarkStart w:id="62" w:name="_Toc34146611"/>
      <w:r w:rsidRPr="004A01CD">
        <w:rPr>
          <w:rFonts w:cs="Arial"/>
        </w:rPr>
        <w:t xml:space="preserve">Note: </w:t>
      </w:r>
      <w:r w:rsidRPr="004A01CD">
        <w:t>The benchmark is the national average adjusted for the mix of SIL / SDA participants and plan number.</w:t>
      </w:r>
    </w:p>
    <w:p w14:paraId="4A909A09" w14:textId="347585D5" w:rsidR="00545C74" w:rsidRPr="004A01CD" w:rsidRDefault="00545C74" w:rsidP="003A7B01">
      <w:pPr>
        <w:pStyle w:val="Heading2"/>
      </w:pPr>
      <w:r w:rsidRPr="004A01CD">
        <w:t xml:space="preserve">Slide </w:t>
      </w:r>
      <w:r w:rsidR="00CA2BB2" w:rsidRPr="004A01CD">
        <w:t>5</w:t>
      </w:r>
      <w:r w:rsidR="00CB4DA4" w:rsidRPr="004A01CD">
        <w:t>6</w:t>
      </w:r>
      <w:r w:rsidRPr="004A01CD">
        <w:t>:</w:t>
      </w:r>
      <w:r w:rsidR="00562F79" w:rsidRPr="004A01CD">
        <w:t xml:space="preserve"> Utilisation for participants with intellectual disability was the key contributor to the utilisation result for the Goldfields-Esperance (WA) region</w:t>
      </w:r>
      <w:bookmarkEnd w:id="62"/>
    </w:p>
    <w:p w14:paraId="5775AE5B" w14:textId="726AAFE0" w:rsidR="00562F79" w:rsidRPr="004A01CD" w:rsidRDefault="00562F79" w:rsidP="00562F79">
      <w:pPr>
        <w:jc w:val="both"/>
        <w:rPr>
          <w:rFonts w:cs="Arial"/>
        </w:rPr>
      </w:pPr>
      <w:r w:rsidRPr="004A01CD">
        <w:rPr>
          <w:rFonts w:cs="Arial"/>
        </w:rPr>
        <w:t>There are two charts. One shows plan utilisation and the corresponding benchmark for</w:t>
      </w:r>
      <w:r w:rsidRPr="004A01CD">
        <w:t xml:space="preserve"> Goldfields-Esperance (WA) </w:t>
      </w:r>
      <w:r w:rsidRPr="004A01CD">
        <w:rPr>
          <w:rFonts w:cs="Arial"/>
        </w:rPr>
        <w:t>by primary disability and the other shows plan budget distribution</w:t>
      </w:r>
      <w:r w:rsidRPr="004A01CD">
        <w:t xml:space="preserve"> Goldfields-Esperance (WA) by </w:t>
      </w:r>
      <w:r w:rsidRPr="004A01CD">
        <w:rPr>
          <w:rFonts w:cs="Arial"/>
        </w:rPr>
        <w:t xml:space="preserve">primary disability. </w:t>
      </w:r>
    </w:p>
    <w:p w14:paraId="7B2F0405" w14:textId="629F9119" w:rsidR="00545C74" w:rsidRPr="004A01CD" w:rsidRDefault="00562F79" w:rsidP="00C834BA">
      <w:pPr>
        <w:jc w:val="both"/>
        <w:rPr>
          <w:rFonts w:cs="Arial"/>
        </w:rPr>
      </w:pPr>
      <w:r w:rsidRPr="004A01CD">
        <w:rPr>
          <w:rFonts w:cs="Arial"/>
        </w:rPr>
        <w:t>Participants with intellectual disability represented 20% of Capacity Building – Daily Activity supports for the region. The gap to benchmark for these participants was the key driver of the overall result.</w:t>
      </w:r>
    </w:p>
    <w:p w14:paraId="2883AB58" w14:textId="77777777" w:rsidR="007B5605" w:rsidRPr="004A01CD" w:rsidRDefault="007B5605" w:rsidP="007B5605">
      <w:pPr>
        <w:jc w:val="both"/>
        <w:rPr>
          <w:rFonts w:cs="Arial"/>
        </w:rPr>
      </w:pPr>
      <w:bookmarkStart w:id="63" w:name="_Toc34146612"/>
      <w:r w:rsidRPr="004A01CD">
        <w:rPr>
          <w:rFonts w:cs="Arial"/>
        </w:rPr>
        <w:t xml:space="preserve">Note: </w:t>
      </w:r>
      <w:r w:rsidRPr="004A01CD">
        <w:t>The benchmark is the national average adjusted for the mix of SIL / SDA participants and plan number.</w:t>
      </w:r>
    </w:p>
    <w:p w14:paraId="799ACE73" w14:textId="3BD0420D" w:rsidR="00CA2BB2" w:rsidRPr="004A01CD" w:rsidRDefault="00CA2BB2" w:rsidP="00CA2BB2">
      <w:pPr>
        <w:pStyle w:val="Heading2"/>
      </w:pPr>
      <w:r w:rsidRPr="004A01CD">
        <w:lastRenderedPageBreak/>
        <w:t xml:space="preserve">Slide </w:t>
      </w:r>
      <w:r w:rsidR="00CB4DA4" w:rsidRPr="004A01CD">
        <w:t>57</w:t>
      </w:r>
      <w:r w:rsidRPr="004A01CD">
        <w:t>:</w:t>
      </w:r>
      <w:r w:rsidR="00562F79" w:rsidRPr="004A01CD">
        <w:t xml:space="preserve"> Kimberley-Pilbara (WA)</w:t>
      </w:r>
      <w:bookmarkEnd w:id="63"/>
    </w:p>
    <w:p w14:paraId="26766543" w14:textId="300CB98E" w:rsidR="00562F79" w:rsidRPr="004A01CD" w:rsidRDefault="00562F79" w:rsidP="00562F79">
      <w:r w:rsidRPr="004A01CD">
        <w:t>Slides 58 to 63 present insights on Kimberley-Pilbara (WA)</w:t>
      </w:r>
    </w:p>
    <w:p w14:paraId="21C31786" w14:textId="563F2623" w:rsidR="00C643FD" w:rsidRPr="004A01CD" w:rsidRDefault="00C643FD" w:rsidP="003A7B01">
      <w:pPr>
        <w:pStyle w:val="Heading2"/>
      </w:pPr>
      <w:bookmarkStart w:id="64" w:name="_Toc34146613"/>
      <w:r w:rsidRPr="004A01CD">
        <w:t xml:space="preserve">Slide </w:t>
      </w:r>
      <w:r w:rsidR="00CB4DA4" w:rsidRPr="004A01CD">
        <w:t>58</w:t>
      </w:r>
      <w:r w:rsidRPr="004A01CD">
        <w:t xml:space="preserve">: </w:t>
      </w:r>
      <w:r w:rsidR="00746C6B" w:rsidRPr="004A01CD">
        <w:t>Provider concentration in Kimberley-Pilbara (WA) is higher then benchmark across all support categories</w:t>
      </w:r>
      <w:bookmarkEnd w:id="64"/>
    </w:p>
    <w:p w14:paraId="74470971" w14:textId="1F9493AB" w:rsidR="00746C6B" w:rsidRPr="004A01CD" w:rsidRDefault="00746C6B" w:rsidP="00746C6B">
      <w:pPr>
        <w:jc w:val="both"/>
        <w:rPr>
          <w:rFonts w:cs="Arial"/>
        </w:rPr>
      </w:pPr>
      <w:r w:rsidRPr="004A01CD">
        <w:rPr>
          <w:rFonts w:cs="Arial"/>
        </w:rPr>
        <w:t>A table shows the number of active participants with approved plans, the number of registered active providers, provider concentration and plan utilisation, by support category, for the Kimberley-Pilbara (WA) region.</w:t>
      </w:r>
    </w:p>
    <w:p w14:paraId="0D939E88" w14:textId="59BAF49D" w:rsidR="00746C6B" w:rsidRPr="004A01CD" w:rsidRDefault="00746C6B" w:rsidP="00746C6B">
      <w:pPr>
        <w:jc w:val="both"/>
        <w:rPr>
          <w:rFonts w:cs="Arial"/>
        </w:rPr>
      </w:pPr>
      <w:r w:rsidRPr="004A01CD">
        <w:rPr>
          <w:rFonts w:cs="Arial"/>
        </w:rPr>
        <w:t xml:space="preserve">Kimberley-Pilbara (WA) has high provider concentration of 94%. </w:t>
      </w:r>
    </w:p>
    <w:p w14:paraId="733572DD" w14:textId="77777777" w:rsidR="00746C6B" w:rsidRPr="004A01CD" w:rsidRDefault="00746C6B" w:rsidP="00746C6B">
      <w:pPr>
        <w:jc w:val="both"/>
        <w:rPr>
          <w:rFonts w:cs="Arial"/>
        </w:rPr>
      </w:pPr>
      <w:r w:rsidRPr="004A01CD">
        <w:rPr>
          <w:rFonts w:cs="Arial"/>
        </w:rPr>
        <w:t xml:space="preserve">Provider concentration was consistently high across all support categories, especially compared to the national average benchmark of 85%. </w:t>
      </w:r>
    </w:p>
    <w:p w14:paraId="70FD78D8" w14:textId="397C6967" w:rsidR="00C643FD" w:rsidRPr="004A01CD" w:rsidRDefault="00C643FD" w:rsidP="003A7B01">
      <w:pPr>
        <w:pStyle w:val="Heading2"/>
      </w:pPr>
      <w:bookmarkStart w:id="65" w:name="_Toc34146614"/>
      <w:r w:rsidRPr="004A01CD">
        <w:t xml:space="preserve">Slide </w:t>
      </w:r>
      <w:r w:rsidR="00CB4DA4" w:rsidRPr="004A01CD">
        <w:t>59</w:t>
      </w:r>
      <w:r w:rsidRPr="004A01CD">
        <w:t>:</w:t>
      </w:r>
      <w:r w:rsidR="004B4678" w:rsidRPr="004A01CD">
        <w:t xml:space="preserve"> </w:t>
      </w:r>
      <w:r w:rsidR="00746C6B" w:rsidRPr="004A01CD">
        <w:t>Provider concentration for participants in the Kimberley-Pilbara (WA) region was greater than benchmark across all age bands</w:t>
      </w:r>
      <w:bookmarkEnd w:id="65"/>
    </w:p>
    <w:p w14:paraId="2551EF1F" w14:textId="4DEE0086" w:rsidR="00746C6B" w:rsidRPr="004A01CD" w:rsidRDefault="00746C6B" w:rsidP="00746C6B">
      <w:pPr>
        <w:jc w:val="both"/>
        <w:rPr>
          <w:rFonts w:cs="Arial"/>
        </w:rPr>
      </w:pPr>
      <w:r w:rsidRPr="004A01CD">
        <w:rPr>
          <w:rFonts w:cs="Arial"/>
        </w:rPr>
        <w:t>There are two charts. One shows provider concentration and the corresponding benchmark for</w:t>
      </w:r>
      <w:r w:rsidRPr="004A01CD">
        <w:t xml:space="preserve"> Kimberley-Pilbara (WA) </w:t>
      </w:r>
      <w:r w:rsidRPr="004A01CD">
        <w:rPr>
          <w:rFonts w:cs="Arial"/>
        </w:rPr>
        <w:t>by age band and the other shows plan budget distribution</w:t>
      </w:r>
      <w:r w:rsidRPr="004A01CD">
        <w:t xml:space="preserve"> Kimberley-Pilbara (WA) by </w:t>
      </w:r>
      <w:r w:rsidRPr="004A01CD">
        <w:rPr>
          <w:rFonts w:cs="Arial"/>
        </w:rPr>
        <w:t xml:space="preserve">age band. </w:t>
      </w:r>
    </w:p>
    <w:p w14:paraId="0A63ABD1" w14:textId="77777777" w:rsidR="00746C6B" w:rsidRPr="004A01CD" w:rsidRDefault="00746C6B" w:rsidP="00746C6B">
      <w:pPr>
        <w:jc w:val="both"/>
        <w:rPr>
          <w:rFonts w:cs="Arial"/>
        </w:rPr>
      </w:pPr>
      <w:r w:rsidRPr="004A01CD">
        <w:rPr>
          <w:rFonts w:cs="Arial"/>
        </w:rPr>
        <w:t>This region exhibited higher provider concentration regardless of age, compared to each segment’s equivalent benchmark.</w:t>
      </w:r>
    </w:p>
    <w:p w14:paraId="525C22B9" w14:textId="77777777" w:rsidR="004643ED" w:rsidRPr="004A01CD" w:rsidRDefault="004643ED" w:rsidP="004643ED">
      <w:pPr>
        <w:jc w:val="both"/>
        <w:rPr>
          <w:rFonts w:cs="Arial"/>
        </w:rPr>
      </w:pPr>
      <w:bookmarkStart w:id="66" w:name="_Toc34146615"/>
      <w:r w:rsidRPr="004A01CD">
        <w:rPr>
          <w:rFonts w:cs="Arial"/>
        </w:rPr>
        <w:t>Note: The benchmark is the unweighted national average for that disability type. Given the more granular nature of these segments, the provider concentration metric shown in the charts has been defined as payments made to the top five providers, instead of the top ten.</w:t>
      </w:r>
    </w:p>
    <w:p w14:paraId="25B80FD3" w14:textId="0F0854F5" w:rsidR="00426926" w:rsidRPr="004A01CD" w:rsidRDefault="00426926" w:rsidP="00426926">
      <w:pPr>
        <w:pStyle w:val="Heading2"/>
      </w:pPr>
      <w:r w:rsidRPr="004A01CD">
        <w:t>Slide 6</w:t>
      </w:r>
      <w:r w:rsidR="00CB4DA4" w:rsidRPr="004A01CD">
        <w:t>0</w:t>
      </w:r>
      <w:r w:rsidRPr="004A01CD">
        <w:t xml:space="preserve">: </w:t>
      </w:r>
      <w:r w:rsidR="00746C6B" w:rsidRPr="004A01CD">
        <w:t>Above benchmark provider concentration benchmark is driven by participants with psychosocial disability and intellectual disability</w:t>
      </w:r>
      <w:bookmarkEnd w:id="66"/>
    </w:p>
    <w:p w14:paraId="2E282AEA" w14:textId="288E7DF1" w:rsidR="00746C6B" w:rsidRPr="004A01CD" w:rsidRDefault="00746C6B" w:rsidP="00746C6B">
      <w:pPr>
        <w:jc w:val="both"/>
        <w:rPr>
          <w:rFonts w:cs="Arial"/>
        </w:rPr>
      </w:pPr>
      <w:r w:rsidRPr="004A01CD">
        <w:rPr>
          <w:rFonts w:cs="Arial"/>
        </w:rPr>
        <w:t>There are two charts. One shows provider concentration and the corresponding benchmark for</w:t>
      </w:r>
      <w:r w:rsidRPr="004A01CD">
        <w:t xml:space="preserve"> Kimberley-Pilbara (WA) </w:t>
      </w:r>
      <w:r w:rsidRPr="004A01CD">
        <w:rPr>
          <w:rFonts w:cs="Arial"/>
        </w:rPr>
        <w:t>by primary disability and the other shows plan budget distribution</w:t>
      </w:r>
      <w:r w:rsidRPr="004A01CD">
        <w:t xml:space="preserve"> Kimberley-Pilbara (WA) by </w:t>
      </w:r>
      <w:r w:rsidRPr="004A01CD">
        <w:rPr>
          <w:rFonts w:cs="Arial"/>
        </w:rPr>
        <w:t xml:space="preserve">primary disability. </w:t>
      </w:r>
    </w:p>
    <w:p w14:paraId="713A0105" w14:textId="77777777" w:rsidR="00746C6B" w:rsidRPr="004A01CD" w:rsidRDefault="00746C6B" w:rsidP="00746C6B">
      <w:pPr>
        <w:jc w:val="both"/>
        <w:rPr>
          <w:rFonts w:cs="Arial"/>
        </w:rPr>
      </w:pPr>
      <w:r w:rsidRPr="004A01CD">
        <w:rPr>
          <w:rFonts w:cs="Arial"/>
        </w:rPr>
        <w:t xml:space="preserve">The two major primary disability types in the Kimberly-Pilbara (WA) region were autism (21%) and intellectual disability (29%). </w:t>
      </w:r>
    </w:p>
    <w:p w14:paraId="4A1E9131" w14:textId="354E1DEE" w:rsidR="00426926" w:rsidRPr="004A01CD" w:rsidRDefault="00746C6B" w:rsidP="00426926">
      <w:pPr>
        <w:jc w:val="both"/>
        <w:rPr>
          <w:rFonts w:cs="Arial"/>
        </w:rPr>
      </w:pPr>
      <w:r w:rsidRPr="004A01CD">
        <w:rPr>
          <w:rFonts w:cs="Arial"/>
        </w:rPr>
        <w:t xml:space="preserve">While provider concentration is above benchmark for all disability types, acquired brain injury, autism and intellectual disability are most impactful due to making up 59% of plan budgets. </w:t>
      </w:r>
    </w:p>
    <w:p w14:paraId="33ACE7CD" w14:textId="77777777" w:rsidR="004643ED" w:rsidRPr="004A01CD" w:rsidRDefault="004643ED" w:rsidP="004643ED">
      <w:pPr>
        <w:jc w:val="both"/>
        <w:rPr>
          <w:rFonts w:cs="Arial"/>
        </w:rPr>
      </w:pPr>
      <w:bookmarkStart w:id="67" w:name="_Toc34146616"/>
      <w:r w:rsidRPr="004A01CD">
        <w:rPr>
          <w:rFonts w:cs="Arial"/>
        </w:rPr>
        <w:t>Note: The benchmark is the unweighted national average for that disability type. Given the more granular nature of these segments, the provider concentration metric shown in the charts has been defined as payments made to the top five providers, instead of the top ten.</w:t>
      </w:r>
    </w:p>
    <w:p w14:paraId="7805EBA7" w14:textId="78CA47C2" w:rsidR="00AE53CC" w:rsidRPr="004A01CD" w:rsidRDefault="00AE53CC" w:rsidP="003A7B01">
      <w:pPr>
        <w:pStyle w:val="Heading2"/>
      </w:pPr>
      <w:r w:rsidRPr="004A01CD">
        <w:t xml:space="preserve">Slide </w:t>
      </w:r>
      <w:r w:rsidR="00426926" w:rsidRPr="004A01CD">
        <w:t>6</w:t>
      </w:r>
      <w:r w:rsidR="00CB4DA4" w:rsidRPr="004A01CD">
        <w:t>1</w:t>
      </w:r>
      <w:r w:rsidRPr="004A01CD">
        <w:t xml:space="preserve">: </w:t>
      </w:r>
      <w:r w:rsidR="00506190" w:rsidRPr="004A01CD">
        <w:t>The gap between utilisation and benchmark for the Kimberley-Pilbara (WA) region was driven by the Core – Community and Capacity Building – Daily Activity support categories</w:t>
      </w:r>
      <w:bookmarkEnd w:id="67"/>
    </w:p>
    <w:p w14:paraId="6A2E8299" w14:textId="1A828BDE" w:rsidR="00506190" w:rsidRPr="004A01CD" w:rsidRDefault="00506190" w:rsidP="00506190">
      <w:pPr>
        <w:jc w:val="both"/>
        <w:rPr>
          <w:rFonts w:cs="Arial"/>
        </w:rPr>
      </w:pPr>
      <w:r w:rsidRPr="004A01CD">
        <w:rPr>
          <w:rFonts w:cs="Arial"/>
        </w:rPr>
        <w:lastRenderedPageBreak/>
        <w:t xml:space="preserve">A table shows the number of active participants with approved plans, total plan budgets, payments, plan utilisation and the benchmark, by support category, for the </w:t>
      </w:r>
      <w:r w:rsidRPr="004A01CD">
        <w:t xml:space="preserve">Kimberley-Pilbara </w:t>
      </w:r>
      <w:r w:rsidRPr="004A01CD">
        <w:rPr>
          <w:rFonts w:cs="Arial"/>
        </w:rPr>
        <w:t>(WA) region.</w:t>
      </w:r>
    </w:p>
    <w:p w14:paraId="660A862C" w14:textId="77777777" w:rsidR="00506190" w:rsidRPr="004A01CD" w:rsidRDefault="00506190" w:rsidP="00506190">
      <w:pPr>
        <w:jc w:val="both"/>
        <w:rPr>
          <w:rFonts w:cs="Arial"/>
        </w:rPr>
      </w:pPr>
      <w:r w:rsidRPr="004A01CD">
        <w:rPr>
          <w:rFonts w:cs="Arial"/>
        </w:rPr>
        <w:t>The largest support category (by total plan budget) is on Core – Daily Activities, which accounts for 38% of the overall total plan budget. Utilisation of these supports is at the benchmark level for that category and region.</w:t>
      </w:r>
    </w:p>
    <w:p w14:paraId="3CCA2059" w14:textId="77777777" w:rsidR="00506190" w:rsidRPr="004A01CD" w:rsidRDefault="00506190" w:rsidP="00506190">
      <w:pPr>
        <w:jc w:val="both"/>
        <w:rPr>
          <w:rFonts w:cs="Arial"/>
        </w:rPr>
      </w:pPr>
      <w:r w:rsidRPr="004A01CD">
        <w:rPr>
          <w:rFonts w:cs="Arial"/>
        </w:rPr>
        <w:t xml:space="preserve">However Core – Community and Capacity Building – Daily Activities (19% and 24% of total plan budget respectively) both have utilisation rates more than ten percentage points below benchmark.  </w:t>
      </w:r>
    </w:p>
    <w:p w14:paraId="0C8839DB" w14:textId="5F9BD501" w:rsidR="006B30FA" w:rsidRPr="004A01CD" w:rsidRDefault="00506190" w:rsidP="00C834BA">
      <w:pPr>
        <w:jc w:val="both"/>
        <w:rPr>
          <w:rFonts w:cs="Arial"/>
        </w:rPr>
      </w:pPr>
      <w:r w:rsidRPr="004A01CD">
        <w:rPr>
          <w:rFonts w:cs="Arial"/>
        </w:rPr>
        <w:t>This pulls down the overall utilisation rate and results in an overall gap to the benchmark of eleven percentage points.</w:t>
      </w:r>
    </w:p>
    <w:p w14:paraId="74494CEB" w14:textId="2C3A9E00" w:rsidR="00A71DFC" w:rsidRPr="004A01CD" w:rsidRDefault="00A71DFC" w:rsidP="003A7B01">
      <w:pPr>
        <w:pStyle w:val="Heading2"/>
      </w:pPr>
      <w:bookmarkStart w:id="68" w:name="_Toc34146617"/>
      <w:r w:rsidRPr="004A01CD">
        <w:t xml:space="preserve">Slide </w:t>
      </w:r>
      <w:r w:rsidR="00426926" w:rsidRPr="004A01CD">
        <w:t>6</w:t>
      </w:r>
      <w:r w:rsidR="00CB4DA4" w:rsidRPr="004A01CD">
        <w:t>2</w:t>
      </w:r>
      <w:r w:rsidRPr="004A01CD">
        <w:t>:</w:t>
      </w:r>
      <w:r w:rsidR="000F5295" w:rsidRPr="004A01CD">
        <w:rPr>
          <w:rFonts w:cs="Arial"/>
          <w:kern w:val="24"/>
          <w:sz w:val="40"/>
          <w:szCs w:val="40"/>
        </w:rPr>
        <w:t xml:space="preserve"> </w:t>
      </w:r>
      <w:r w:rsidR="000F5295" w:rsidRPr="004A01CD">
        <w:t>Utilisation for participants in the Kimberley-Pilbara (WA) region was below benchmark across all age bands</w:t>
      </w:r>
      <w:bookmarkEnd w:id="68"/>
    </w:p>
    <w:p w14:paraId="472F5511" w14:textId="32DA125F" w:rsidR="000F5295" w:rsidRPr="004A01CD" w:rsidRDefault="000F5295" w:rsidP="000F5295">
      <w:pPr>
        <w:jc w:val="both"/>
        <w:rPr>
          <w:rFonts w:cs="Arial"/>
        </w:rPr>
      </w:pPr>
      <w:r w:rsidRPr="004A01CD">
        <w:rPr>
          <w:rFonts w:cs="Arial"/>
        </w:rPr>
        <w:t>There are two charts. One shows plan utilisation and the corresponding benchmark for</w:t>
      </w:r>
      <w:r w:rsidRPr="004A01CD">
        <w:t xml:space="preserve"> Kimberley-Pilbara (WA) </w:t>
      </w:r>
      <w:r w:rsidRPr="004A01CD">
        <w:rPr>
          <w:rFonts w:cs="Arial"/>
        </w:rPr>
        <w:t>by age band and the other shows plan budget distribution</w:t>
      </w:r>
      <w:r w:rsidRPr="004A01CD">
        <w:t xml:space="preserve"> Kimberley-Pilbara (WA) by </w:t>
      </w:r>
      <w:r w:rsidRPr="004A01CD">
        <w:rPr>
          <w:rFonts w:cs="Arial"/>
        </w:rPr>
        <w:t xml:space="preserve">age band. </w:t>
      </w:r>
    </w:p>
    <w:p w14:paraId="46500026" w14:textId="2C18BA16" w:rsidR="000F5295" w:rsidRPr="004A01CD" w:rsidRDefault="000F5295" w:rsidP="000F5295">
      <w:pPr>
        <w:jc w:val="both"/>
        <w:rPr>
          <w:rFonts w:cs="Arial"/>
        </w:rPr>
      </w:pPr>
      <w:r w:rsidRPr="004A01CD">
        <w:rPr>
          <w:rFonts w:cs="Arial"/>
        </w:rPr>
        <w:t>Utilisation for Capacity Building – Daily Activity supports was below the benchmark for all ages and the gap was largest for participants aged 35 to 44.</w:t>
      </w:r>
    </w:p>
    <w:p w14:paraId="5E512163" w14:textId="77777777" w:rsidR="007B5605" w:rsidRPr="004A01CD" w:rsidRDefault="007B5605" w:rsidP="007B5605">
      <w:pPr>
        <w:jc w:val="both"/>
        <w:rPr>
          <w:rFonts w:cs="Arial"/>
        </w:rPr>
      </w:pPr>
      <w:bookmarkStart w:id="69" w:name="_Toc34146618"/>
      <w:r w:rsidRPr="004A01CD">
        <w:rPr>
          <w:rFonts w:cs="Arial"/>
        </w:rPr>
        <w:t xml:space="preserve">Note: </w:t>
      </w:r>
      <w:r w:rsidRPr="004A01CD">
        <w:t>The benchmark is the national average adjusted for the mix of SIL / SDA participants and plan number.</w:t>
      </w:r>
    </w:p>
    <w:p w14:paraId="46611334" w14:textId="0B252C36" w:rsidR="00A648D5" w:rsidRPr="004A01CD" w:rsidRDefault="00A648D5" w:rsidP="003A7B01">
      <w:pPr>
        <w:pStyle w:val="Heading2"/>
      </w:pPr>
      <w:r w:rsidRPr="004A01CD">
        <w:t xml:space="preserve">Slide </w:t>
      </w:r>
      <w:r w:rsidR="005A55BD" w:rsidRPr="004A01CD">
        <w:t>6</w:t>
      </w:r>
      <w:r w:rsidR="00CB4DA4" w:rsidRPr="004A01CD">
        <w:t>3</w:t>
      </w:r>
      <w:r w:rsidRPr="004A01CD">
        <w:t xml:space="preserve">: </w:t>
      </w:r>
      <w:r w:rsidR="000F5295" w:rsidRPr="004A01CD">
        <w:t>Utilisation for participants with autism or intellectual disability was the key contributor to the utilisation result for the Kimberley-Pilbara (WA) region</w:t>
      </w:r>
      <w:bookmarkEnd w:id="69"/>
    </w:p>
    <w:p w14:paraId="5FC0EF50" w14:textId="226C6597" w:rsidR="000F5295" w:rsidRPr="004A01CD" w:rsidRDefault="000F5295" w:rsidP="000F5295">
      <w:pPr>
        <w:jc w:val="both"/>
        <w:rPr>
          <w:rFonts w:cs="Arial"/>
        </w:rPr>
      </w:pPr>
      <w:r w:rsidRPr="004A01CD">
        <w:rPr>
          <w:rFonts w:cs="Arial"/>
        </w:rPr>
        <w:t>There are two charts. One shows plan utilisation and the corresponding benchmark for</w:t>
      </w:r>
      <w:r w:rsidRPr="004A01CD">
        <w:t xml:space="preserve"> Kimberley-Pilbara (WA) </w:t>
      </w:r>
      <w:r w:rsidRPr="004A01CD">
        <w:rPr>
          <w:rFonts w:cs="Arial"/>
        </w:rPr>
        <w:t>by primary disability and the other shows plan budget distribution</w:t>
      </w:r>
      <w:r w:rsidRPr="004A01CD">
        <w:t xml:space="preserve"> Kimberley-Pilbara (WA) by </w:t>
      </w:r>
      <w:r w:rsidRPr="004A01CD">
        <w:rPr>
          <w:rFonts w:cs="Arial"/>
        </w:rPr>
        <w:t xml:space="preserve">primary disability. </w:t>
      </w:r>
    </w:p>
    <w:p w14:paraId="44F0030F" w14:textId="77777777" w:rsidR="000F5295" w:rsidRPr="004A01CD" w:rsidRDefault="000F5295" w:rsidP="000F5295">
      <w:pPr>
        <w:jc w:val="both"/>
        <w:rPr>
          <w:rFonts w:cs="Arial"/>
        </w:rPr>
      </w:pPr>
      <w:r w:rsidRPr="004A01CD">
        <w:rPr>
          <w:rFonts w:cs="Arial"/>
        </w:rPr>
        <w:t>Participants with autism or intellectual disability represented 59% of Capacity Building – Daily Activity supports for the region. The gap to benchmark for these participants was the key driver of the overall result.</w:t>
      </w:r>
    </w:p>
    <w:p w14:paraId="697ACBAC" w14:textId="77777777" w:rsidR="007B5605" w:rsidRPr="004A01CD" w:rsidRDefault="007B5605" w:rsidP="007B5605">
      <w:pPr>
        <w:jc w:val="both"/>
        <w:rPr>
          <w:rFonts w:cs="Arial"/>
        </w:rPr>
      </w:pPr>
      <w:bookmarkStart w:id="70" w:name="_Toc34146619"/>
      <w:r w:rsidRPr="004A01CD">
        <w:rPr>
          <w:rFonts w:cs="Arial"/>
        </w:rPr>
        <w:t xml:space="preserve">Note: </w:t>
      </w:r>
      <w:r w:rsidRPr="004A01CD">
        <w:t>The benchmark is the national average adjusted for the mix of SIL / SDA participants and plan number.</w:t>
      </w:r>
    </w:p>
    <w:p w14:paraId="513609FE" w14:textId="5ED98398" w:rsidR="00D033E8" w:rsidRPr="004A01CD" w:rsidRDefault="00D033E8" w:rsidP="003A7B01">
      <w:pPr>
        <w:pStyle w:val="Heading2"/>
      </w:pPr>
      <w:r w:rsidRPr="004A01CD">
        <w:t xml:space="preserve">Slide </w:t>
      </w:r>
      <w:r w:rsidR="005A55BD" w:rsidRPr="004A01CD">
        <w:t>6</w:t>
      </w:r>
      <w:r w:rsidR="00CB4DA4" w:rsidRPr="004A01CD">
        <w:t>4</w:t>
      </w:r>
      <w:r w:rsidRPr="004A01CD">
        <w:t xml:space="preserve">: </w:t>
      </w:r>
      <w:r w:rsidR="00F9499B" w:rsidRPr="004A01CD">
        <w:t>Central Australia (NT)</w:t>
      </w:r>
      <w:bookmarkEnd w:id="70"/>
    </w:p>
    <w:p w14:paraId="6F7D720C" w14:textId="2676BE43" w:rsidR="00F9499B" w:rsidRPr="004A01CD" w:rsidRDefault="00F9499B" w:rsidP="00F9499B">
      <w:r w:rsidRPr="004A01CD">
        <w:t>Slides 65 to 67 present insights on Central Australia (WA)</w:t>
      </w:r>
    </w:p>
    <w:p w14:paraId="467E55A0" w14:textId="573CBC23" w:rsidR="002F3379" w:rsidRPr="004A01CD" w:rsidRDefault="00270D17" w:rsidP="002B720B">
      <w:pPr>
        <w:pStyle w:val="Heading2"/>
      </w:pPr>
      <w:bookmarkStart w:id="71" w:name="_Toc34146620"/>
      <w:r w:rsidRPr="004A01CD">
        <w:t>Slide 6</w:t>
      </w:r>
      <w:r w:rsidR="00CB4DA4" w:rsidRPr="004A01CD">
        <w:t>5</w:t>
      </w:r>
      <w:r w:rsidR="002F3379" w:rsidRPr="004A01CD">
        <w:t xml:space="preserve">: </w:t>
      </w:r>
      <w:r w:rsidR="002B720B" w:rsidRPr="004A01CD">
        <w:t>The outcomes indicator on choice and control was below benchmark for Central Australia (NT) for most support categories</w:t>
      </w:r>
      <w:bookmarkEnd w:id="71"/>
    </w:p>
    <w:p w14:paraId="2AC403DA" w14:textId="3AA2A225" w:rsidR="002B720B" w:rsidRPr="004A01CD" w:rsidRDefault="002B720B" w:rsidP="002B720B">
      <w:pPr>
        <w:jc w:val="both"/>
        <w:rPr>
          <w:rFonts w:cs="Arial"/>
        </w:rPr>
      </w:pPr>
      <w:r w:rsidRPr="004A01CD">
        <w:rPr>
          <w:rFonts w:cs="Arial"/>
        </w:rPr>
        <w:t xml:space="preserve">A table shows the number of active participants with approved plans, </w:t>
      </w:r>
      <w:r w:rsidR="00214570" w:rsidRPr="004A01CD">
        <w:rPr>
          <w:rFonts w:cs="Arial"/>
        </w:rPr>
        <w:t>the outcomes indicator on choice and control, the benchmark and utilisation</w:t>
      </w:r>
      <w:r w:rsidRPr="004A01CD">
        <w:rPr>
          <w:rFonts w:cs="Arial"/>
        </w:rPr>
        <w:t xml:space="preserve">, </w:t>
      </w:r>
      <w:r w:rsidR="0026662C" w:rsidRPr="004A01CD">
        <w:rPr>
          <w:rFonts w:cs="Arial"/>
        </w:rPr>
        <w:t xml:space="preserve">by support category, </w:t>
      </w:r>
      <w:r w:rsidRPr="004A01CD">
        <w:rPr>
          <w:rFonts w:cs="Arial"/>
        </w:rPr>
        <w:t xml:space="preserve">for the </w:t>
      </w:r>
      <w:r w:rsidRPr="004A01CD">
        <w:t xml:space="preserve">Central Australia </w:t>
      </w:r>
      <w:r w:rsidRPr="004A01CD">
        <w:rPr>
          <w:rFonts w:cs="Arial"/>
        </w:rPr>
        <w:t>(NT) region.</w:t>
      </w:r>
    </w:p>
    <w:p w14:paraId="54FB19D5" w14:textId="77777777" w:rsidR="002B720B" w:rsidRPr="004A01CD" w:rsidRDefault="002B720B" w:rsidP="002B720B">
      <w:pPr>
        <w:jc w:val="both"/>
        <w:rPr>
          <w:rFonts w:cs="Arial"/>
        </w:rPr>
      </w:pPr>
      <w:r w:rsidRPr="004A01CD">
        <w:rPr>
          <w:rFonts w:cs="Arial"/>
        </w:rPr>
        <w:lastRenderedPageBreak/>
        <w:t>The outcomes indicator on choice and control was below the benchmark for most support categories. The overall choice and control outcomes indicator result is mostly driven by Core Supports.</w:t>
      </w:r>
    </w:p>
    <w:p w14:paraId="401AD0DA" w14:textId="77777777" w:rsidR="002B720B" w:rsidRPr="004A01CD" w:rsidRDefault="002B720B" w:rsidP="002B720B">
      <w:pPr>
        <w:jc w:val="both"/>
        <w:rPr>
          <w:rFonts w:cs="Arial"/>
        </w:rPr>
      </w:pPr>
      <w:r w:rsidRPr="004A01CD">
        <w:rPr>
          <w:rFonts w:cs="Arial"/>
        </w:rPr>
        <w:t xml:space="preserve">The largest gap is for Relationships supports (Capacity Building) – where the outcomes indicator is 24 percentage points below benchmark. </w:t>
      </w:r>
    </w:p>
    <w:p w14:paraId="5FCB182E" w14:textId="77777777" w:rsidR="002B720B" w:rsidRPr="004A01CD" w:rsidRDefault="002B720B" w:rsidP="002B720B">
      <w:pPr>
        <w:jc w:val="both"/>
        <w:rPr>
          <w:rFonts w:cs="Arial"/>
        </w:rPr>
      </w:pPr>
      <w:r w:rsidRPr="004A01CD">
        <w:rPr>
          <w:rFonts w:cs="Arial"/>
        </w:rPr>
        <w:t>Capacity Building – Choice and Control is the only support category above benchmark (by ten percentage points).</w:t>
      </w:r>
    </w:p>
    <w:p w14:paraId="393B6DB0" w14:textId="2DC1AD52" w:rsidR="00270D17" w:rsidRPr="004A01CD" w:rsidRDefault="002B720B" w:rsidP="00270D17">
      <w:pPr>
        <w:jc w:val="both"/>
        <w:rPr>
          <w:rFonts w:cs="Arial"/>
        </w:rPr>
      </w:pPr>
      <w:r w:rsidRPr="004A01CD">
        <w:rPr>
          <w:rFonts w:cs="Arial"/>
        </w:rPr>
        <w:t>Utilisation is also shown for comparison.</w:t>
      </w:r>
    </w:p>
    <w:p w14:paraId="2E78E706" w14:textId="45852A92" w:rsidR="00270D17" w:rsidRPr="004A01CD" w:rsidRDefault="00270D17" w:rsidP="00270D17">
      <w:pPr>
        <w:pStyle w:val="Heading2"/>
      </w:pPr>
      <w:bookmarkStart w:id="72" w:name="_Toc34146621"/>
      <w:r w:rsidRPr="004A01CD">
        <w:t>Slide 6</w:t>
      </w:r>
      <w:r w:rsidR="00CB4DA4" w:rsidRPr="004A01CD">
        <w:t>6</w:t>
      </w:r>
      <w:r w:rsidRPr="004A01CD">
        <w:t xml:space="preserve">: </w:t>
      </w:r>
      <w:r w:rsidR="002E149C" w:rsidRPr="004A01CD">
        <w:t>The outcomes indicator on choice and control being above benchmark is driven by participants between 19 and 44 years of age</w:t>
      </w:r>
      <w:bookmarkEnd w:id="72"/>
    </w:p>
    <w:p w14:paraId="2D0E8DDA" w14:textId="509F8204" w:rsidR="002B720B" w:rsidRPr="004A01CD" w:rsidRDefault="002B720B" w:rsidP="002B720B">
      <w:pPr>
        <w:jc w:val="both"/>
        <w:rPr>
          <w:rFonts w:cs="Arial"/>
        </w:rPr>
      </w:pPr>
      <w:r w:rsidRPr="004A01CD">
        <w:rPr>
          <w:rFonts w:cs="Arial"/>
        </w:rPr>
        <w:t xml:space="preserve">There are two charts. One shows </w:t>
      </w:r>
      <w:r w:rsidR="00214570" w:rsidRPr="004A01CD">
        <w:rPr>
          <w:rFonts w:cs="Arial"/>
        </w:rPr>
        <w:t xml:space="preserve">the outcomes indicator on choice and control </w:t>
      </w:r>
      <w:r w:rsidRPr="004A01CD">
        <w:rPr>
          <w:rFonts w:cs="Arial"/>
        </w:rPr>
        <w:t>and the corresponding benchmark for</w:t>
      </w:r>
      <w:r w:rsidRPr="004A01CD">
        <w:t xml:space="preserve"> Central </w:t>
      </w:r>
      <w:r w:rsidR="009A33D9" w:rsidRPr="004A01CD">
        <w:t>Australia</w:t>
      </w:r>
      <w:r w:rsidRPr="004A01CD">
        <w:t xml:space="preserve"> (NT) </w:t>
      </w:r>
      <w:r w:rsidRPr="004A01CD">
        <w:rPr>
          <w:rFonts w:cs="Arial"/>
        </w:rPr>
        <w:t xml:space="preserve">by age band and the other shows </w:t>
      </w:r>
      <w:r w:rsidR="00214570" w:rsidRPr="004A01CD">
        <w:rPr>
          <w:rFonts w:cs="Arial"/>
        </w:rPr>
        <w:t xml:space="preserve">the number of active participants in </w:t>
      </w:r>
      <w:r w:rsidRPr="004A01CD">
        <w:t xml:space="preserve">Central </w:t>
      </w:r>
      <w:r w:rsidR="009A33D9" w:rsidRPr="004A01CD">
        <w:t>Australia</w:t>
      </w:r>
      <w:r w:rsidRPr="004A01CD">
        <w:t xml:space="preserve"> (NT) by </w:t>
      </w:r>
      <w:r w:rsidRPr="004A01CD">
        <w:rPr>
          <w:rFonts w:cs="Arial"/>
        </w:rPr>
        <w:t xml:space="preserve">age band. </w:t>
      </w:r>
    </w:p>
    <w:p w14:paraId="2055B562" w14:textId="6D585416" w:rsidR="002B720B" w:rsidRPr="004A01CD" w:rsidRDefault="002B720B" w:rsidP="002B720B">
      <w:pPr>
        <w:jc w:val="both"/>
        <w:rPr>
          <w:rFonts w:cs="Arial"/>
        </w:rPr>
      </w:pPr>
      <w:r w:rsidRPr="004A01CD">
        <w:rPr>
          <w:rFonts w:cs="Arial"/>
        </w:rPr>
        <w:t xml:space="preserve">A low proportion of participants aged 15 to 18 years and younger reported that they choose who supports them relative to older age </w:t>
      </w:r>
      <w:r w:rsidR="00F76EB0" w:rsidRPr="004A01CD">
        <w:rPr>
          <w:rFonts w:cs="Arial"/>
        </w:rPr>
        <w:t>bands</w:t>
      </w:r>
      <w:r w:rsidRPr="004A01CD">
        <w:rPr>
          <w:rFonts w:cs="Arial"/>
        </w:rPr>
        <w:t xml:space="preserve">. Key drivers of the overall outcomes indicator result are the 19 to 24 and 35 to 44 age </w:t>
      </w:r>
      <w:r w:rsidR="00F76EB0" w:rsidRPr="004A01CD">
        <w:rPr>
          <w:rFonts w:cs="Arial"/>
        </w:rPr>
        <w:t>bands</w:t>
      </w:r>
      <w:r w:rsidRPr="004A01CD">
        <w:rPr>
          <w:rFonts w:cs="Arial"/>
        </w:rPr>
        <w:t xml:space="preserve">, both of which are below benchmark. </w:t>
      </w:r>
    </w:p>
    <w:p w14:paraId="131C3311" w14:textId="5C3ECBA4" w:rsidR="002B720B" w:rsidRPr="004A01CD" w:rsidRDefault="002B720B" w:rsidP="002B720B">
      <w:pPr>
        <w:jc w:val="both"/>
        <w:rPr>
          <w:rFonts w:cs="Arial"/>
        </w:rPr>
      </w:pPr>
      <w:r w:rsidRPr="004A01CD">
        <w:rPr>
          <w:rFonts w:cs="Arial"/>
        </w:rPr>
        <w:t xml:space="preserve">For the 45 to 54 age </w:t>
      </w:r>
      <w:r w:rsidR="00F76EB0" w:rsidRPr="004A01CD">
        <w:rPr>
          <w:rFonts w:cs="Arial"/>
        </w:rPr>
        <w:t>band</w:t>
      </w:r>
      <w:r w:rsidRPr="004A01CD">
        <w:rPr>
          <w:rFonts w:cs="Arial"/>
        </w:rPr>
        <w:t xml:space="preserve">, the outcomes indicator is above benchmark, and it is only slightly below the benchmark for the 55 to 64 age </w:t>
      </w:r>
      <w:r w:rsidR="00F76EB0" w:rsidRPr="004A01CD">
        <w:rPr>
          <w:rFonts w:cs="Arial"/>
        </w:rPr>
        <w:t>band</w:t>
      </w:r>
      <w:r w:rsidRPr="004A01CD">
        <w:rPr>
          <w:rFonts w:cs="Arial"/>
        </w:rPr>
        <w:t xml:space="preserve">. </w:t>
      </w:r>
    </w:p>
    <w:p w14:paraId="3BDFCB13" w14:textId="1026D3BC" w:rsidR="002B720B" w:rsidRPr="004A01CD" w:rsidRDefault="002B720B" w:rsidP="002B720B">
      <w:pPr>
        <w:jc w:val="both"/>
        <w:rPr>
          <w:rFonts w:cs="Arial"/>
        </w:rPr>
      </w:pPr>
      <w:r w:rsidRPr="004A01CD">
        <w:rPr>
          <w:rFonts w:cs="Arial"/>
        </w:rPr>
        <w:t>Note that the outcomes questionnaire for participants under 14 does not include the question: do you choose who supports you?</w:t>
      </w:r>
    </w:p>
    <w:p w14:paraId="3C9595E9" w14:textId="07CBDA91" w:rsidR="004643ED" w:rsidRPr="004A01CD" w:rsidRDefault="004643ED" w:rsidP="002B720B">
      <w:pPr>
        <w:jc w:val="both"/>
        <w:rPr>
          <w:rFonts w:cs="Arial"/>
        </w:rPr>
      </w:pPr>
      <w:r w:rsidRPr="004A01CD">
        <w:rPr>
          <w:rFonts w:cs="Arial"/>
        </w:rPr>
        <w:t>Note: The benchmark is the national average, adjusted for the mix of SIL / SDA participants.</w:t>
      </w:r>
    </w:p>
    <w:p w14:paraId="4F23020C" w14:textId="32295180" w:rsidR="00DB768A" w:rsidRPr="004A01CD" w:rsidRDefault="00DB768A" w:rsidP="003A7B01">
      <w:pPr>
        <w:pStyle w:val="Heading2"/>
      </w:pPr>
      <w:bookmarkStart w:id="73" w:name="_Toc34146622"/>
      <w:r w:rsidRPr="004A01CD">
        <w:t xml:space="preserve">Slide </w:t>
      </w:r>
      <w:r w:rsidR="00CB4DA4" w:rsidRPr="004A01CD">
        <w:t>67</w:t>
      </w:r>
      <w:r w:rsidRPr="004A01CD">
        <w:t xml:space="preserve">: </w:t>
      </w:r>
      <w:r w:rsidR="002E149C" w:rsidRPr="004A01CD">
        <w:t>The outcomes indicator on choice and control being below benchmark is driven by participants with psychosocial disability and intellectual disability</w:t>
      </w:r>
      <w:bookmarkEnd w:id="73"/>
    </w:p>
    <w:p w14:paraId="648D1225" w14:textId="1A5F2709" w:rsidR="007269C5" w:rsidRPr="004A01CD" w:rsidRDefault="007269C5" w:rsidP="007269C5">
      <w:pPr>
        <w:jc w:val="both"/>
        <w:rPr>
          <w:rFonts w:cs="Arial"/>
        </w:rPr>
      </w:pPr>
      <w:r w:rsidRPr="004A01CD">
        <w:rPr>
          <w:rFonts w:cs="Arial"/>
        </w:rPr>
        <w:t>There are two charts. One shows the outcomes indicator on choice and control and the corresponding benchmark for</w:t>
      </w:r>
      <w:r w:rsidRPr="004A01CD">
        <w:t xml:space="preserve"> Central </w:t>
      </w:r>
      <w:r w:rsidR="009A33D9" w:rsidRPr="004A01CD">
        <w:t>Australia</w:t>
      </w:r>
      <w:r w:rsidRPr="004A01CD">
        <w:t xml:space="preserve"> (NT) </w:t>
      </w:r>
      <w:r w:rsidRPr="004A01CD">
        <w:rPr>
          <w:rFonts w:cs="Arial"/>
        </w:rPr>
        <w:t xml:space="preserve">by primary disability and the other shows the number of active participants in </w:t>
      </w:r>
      <w:r w:rsidRPr="004A01CD">
        <w:t xml:space="preserve">Central </w:t>
      </w:r>
      <w:r w:rsidR="009A33D9" w:rsidRPr="004A01CD">
        <w:t>Australia</w:t>
      </w:r>
      <w:r w:rsidRPr="004A01CD">
        <w:t xml:space="preserve"> (NT) by </w:t>
      </w:r>
      <w:r w:rsidRPr="004A01CD">
        <w:rPr>
          <w:rFonts w:cs="Arial"/>
        </w:rPr>
        <w:t xml:space="preserve">primary disability. </w:t>
      </w:r>
    </w:p>
    <w:p w14:paraId="00BA10BA" w14:textId="77777777" w:rsidR="007269C5" w:rsidRPr="004A01CD" w:rsidRDefault="007269C5" w:rsidP="007269C5">
      <w:pPr>
        <w:jc w:val="both"/>
        <w:rPr>
          <w:rFonts w:cs="Arial"/>
        </w:rPr>
      </w:pPr>
      <w:r w:rsidRPr="004A01CD">
        <w:rPr>
          <w:rFonts w:cs="Arial"/>
        </w:rPr>
        <w:t xml:space="preserve">The two major primary disability types (by number of participants) in the Central Australia (NT) region were autism (16%) and intellectual disability (20%), both of which were substantially below benchmark for the outcomes indicator on choice and control. </w:t>
      </w:r>
    </w:p>
    <w:p w14:paraId="4B761BA8" w14:textId="64DE47FA" w:rsidR="007269C5" w:rsidRPr="004A01CD" w:rsidRDefault="007269C5" w:rsidP="007269C5">
      <w:pPr>
        <w:jc w:val="both"/>
        <w:rPr>
          <w:rFonts w:cs="Arial"/>
        </w:rPr>
      </w:pPr>
      <w:r w:rsidRPr="004A01CD">
        <w:rPr>
          <w:rFonts w:cs="Arial"/>
        </w:rPr>
        <w:t xml:space="preserve">These two primary disability types, along with acquired brain injury and cerebral palsy, are the key drivers of the overall outcomes indicator result. </w:t>
      </w:r>
    </w:p>
    <w:p w14:paraId="2A8BE6D2" w14:textId="77777777" w:rsidR="004643ED" w:rsidRPr="004A01CD" w:rsidRDefault="004643ED" w:rsidP="004643ED">
      <w:pPr>
        <w:jc w:val="both"/>
        <w:rPr>
          <w:rFonts w:cs="Arial"/>
        </w:rPr>
      </w:pPr>
      <w:bookmarkStart w:id="74" w:name="_Toc34146623"/>
      <w:r w:rsidRPr="004A01CD">
        <w:rPr>
          <w:rFonts w:cs="Arial"/>
        </w:rPr>
        <w:t>Note: The benchmark is the national average, adjusted for the mix of SIL / SDA participants.</w:t>
      </w:r>
    </w:p>
    <w:p w14:paraId="01A60F6A" w14:textId="66878BA4" w:rsidR="00DB768A" w:rsidRPr="004A01CD" w:rsidRDefault="00DB768A" w:rsidP="003A7B01">
      <w:pPr>
        <w:pStyle w:val="Heading2"/>
      </w:pPr>
      <w:r w:rsidRPr="004A01CD">
        <w:t xml:space="preserve">Slide </w:t>
      </w:r>
      <w:r w:rsidR="00CB4DA4" w:rsidRPr="004A01CD">
        <w:t>68</w:t>
      </w:r>
      <w:r w:rsidRPr="004A01CD">
        <w:t xml:space="preserve">: </w:t>
      </w:r>
      <w:r w:rsidR="0026662C" w:rsidRPr="004A01CD">
        <w:t>Limestone Coast (SA)</w:t>
      </w:r>
      <w:bookmarkEnd w:id="74"/>
    </w:p>
    <w:p w14:paraId="072A2F5E" w14:textId="054EF31A" w:rsidR="0026662C" w:rsidRPr="004A01CD" w:rsidRDefault="0026662C" w:rsidP="0026662C">
      <w:r w:rsidRPr="004A01CD">
        <w:t>Slides 69 to 71 present insights on Limestone Coast (SA)</w:t>
      </w:r>
    </w:p>
    <w:p w14:paraId="10AA0F11" w14:textId="0BBCEEF1" w:rsidR="00270D17" w:rsidRPr="004A01CD" w:rsidRDefault="00270D17" w:rsidP="00270D17">
      <w:pPr>
        <w:pStyle w:val="Heading2"/>
      </w:pPr>
      <w:bookmarkStart w:id="75" w:name="_Toc34146624"/>
      <w:r w:rsidRPr="004A01CD">
        <w:t xml:space="preserve">Slide </w:t>
      </w:r>
      <w:r w:rsidR="00CB4DA4" w:rsidRPr="004A01CD">
        <w:t>69</w:t>
      </w:r>
      <w:r w:rsidRPr="004A01CD">
        <w:t xml:space="preserve">: </w:t>
      </w:r>
      <w:r w:rsidR="0026662C" w:rsidRPr="004A01CD">
        <w:t>The outcomes indicator on choice and control was above benchmark for Limestone Coast (SA) for all support categories</w:t>
      </w:r>
      <w:bookmarkEnd w:id="75"/>
    </w:p>
    <w:p w14:paraId="2312B5B9" w14:textId="0782283A" w:rsidR="0026662C" w:rsidRPr="004A01CD" w:rsidRDefault="0026662C" w:rsidP="0026662C">
      <w:pPr>
        <w:jc w:val="both"/>
        <w:rPr>
          <w:rFonts w:cs="Arial"/>
        </w:rPr>
      </w:pPr>
      <w:r w:rsidRPr="004A01CD">
        <w:rPr>
          <w:rFonts w:cs="Arial"/>
        </w:rPr>
        <w:lastRenderedPageBreak/>
        <w:t xml:space="preserve">A table shows the number of active participants with approved plans, the outcomes indicator on choice and control, the benchmark and utilisation, by support category, for the </w:t>
      </w:r>
      <w:r w:rsidRPr="004A01CD">
        <w:t xml:space="preserve">Limestone Coast (SA) </w:t>
      </w:r>
      <w:r w:rsidRPr="004A01CD">
        <w:rPr>
          <w:rFonts w:cs="Arial"/>
        </w:rPr>
        <w:t>region.</w:t>
      </w:r>
    </w:p>
    <w:p w14:paraId="4E48A580" w14:textId="77777777" w:rsidR="0026662C" w:rsidRPr="004A01CD" w:rsidRDefault="0026662C" w:rsidP="0026662C">
      <w:pPr>
        <w:jc w:val="both"/>
        <w:rPr>
          <w:rFonts w:cs="Arial"/>
        </w:rPr>
      </w:pPr>
      <w:r w:rsidRPr="004A01CD">
        <w:rPr>
          <w:rFonts w:cs="Arial"/>
        </w:rPr>
        <w:t>The outcomes indicator on choice and control was above the benchmark for all support categories.</w:t>
      </w:r>
    </w:p>
    <w:p w14:paraId="5401FE35" w14:textId="77777777" w:rsidR="0026662C" w:rsidRPr="004A01CD" w:rsidRDefault="0026662C" w:rsidP="0026662C">
      <w:pPr>
        <w:jc w:val="both"/>
        <w:rPr>
          <w:rFonts w:cs="Arial"/>
        </w:rPr>
      </w:pPr>
      <w:r w:rsidRPr="004A01CD">
        <w:rPr>
          <w:rFonts w:cs="Arial"/>
        </w:rPr>
        <w:t>The largest gap is for Employment supports (Capacity Building) – where the outcomes indicator is 16 percentage points above benchmark.</w:t>
      </w:r>
    </w:p>
    <w:p w14:paraId="6B8227DE" w14:textId="77777777" w:rsidR="0026662C" w:rsidRPr="004A01CD" w:rsidRDefault="0026662C" w:rsidP="0026662C">
      <w:pPr>
        <w:jc w:val="both"/>
        <w:rPr>
          <w:rFonts w:cs="Arial"/>
        </w:rPr>
      </w:pPr>
      <w:r w:rsidRPr="004A01CD">
        <w:rPr>
          <w:rFonts w:cs="Arial"/>
        </w:rPr>
        <w:t>The smallest gap is seen for Relationship supports (Capacity Building) and Transport supports (Core) where the outcomes indicator is two percentage points above benchmark.</w:t>
      </w:r>
    </w:p>
    <w:p w14:paraId="7B407012" w14:textId="77777777" w:rsidR="0026662C" w:rsidRPr="004A01CD" w:rsidRDefault="0026662C" w:rsidP="0026662C">
      <w:pPr>
        <w:jc w:val="both"/>
        <w:rPr>
          <w:rFonts w:cs="Arial"/>
        </w:rPr>
      </w:pPr>
      <w:r w:rsidRPr="004A01CD">
        <w:rPr>
          <w:rFonts w:cs="Arial"/>
        </w:rPr>
        <w:t>Utilisation is also shown for comparison.</w:t>
      </w:r>
    </w:p>
    <w:p w14:paraId="7AB69F32" w14:textId="562307CC" w:rsidR="004B6448" w:rsidRPr="004A01CD" w:rsidRDefault="004B6448" w:rsidP="003A7B01">
      <w:pPr>
        <w:pStyle w:val="Heading2"/>
      </w:pPr>
      <w:bookmarkStart w:id="76" w:name="_Toc34146625"/>
      <w:r w:rsidRPr="004A01CD">
        <w:t xml:space="preserve">Slide </w:t>
      </w:r>
      <w:r w:rsidR="00E97038" w:rsidRPr="004A01CD">
        <w:t>7</w:t>
      </w:r>
      <w:r w:rsidR="00CB4DA4" w:rsidRPr="004A01CD">
        <w:t>0</w:t>
      </w:r>
      <w:r w:rsidRPr="004A01CD">
        <w:t xml:space="preserve">: </w:t>
      </w:r>
      <w:r w:rsidR="00300EA9" w:rsidRPr="004A01CD">
        <w:t>The outcomes indicator on choice and control is above benchmark driven by participants between 19 and 64 years of age</w:t>
      </w:r>
      <w:bookmarkEnd w:id="76"/>
    </w:p>
    <w:p w14:paraId="52FC2652" w14:textId="21F08BCA" w:rsidR="00300EA9" w:rsidRPr="004A01CD" w:rsidRDefault="00300EA9" w:rsidP="00300EA9">
      <w:pPr>
        <w:jc w:val="both"/>
        <w:rPr>
          <w:rFonts w:cs="Arial"/>
        </w:rPr>
      </w:pPr>
      <w:r w:rsidRPr="004A01CD">
        <w:rPr>
          <w:rFonts w:cs="Arial"/>
        </w:rPr>
        <w:t>There are two charts. One shows the outcomes indicator on choice and control and the corresponding benchmark for</w:t>
      </w:r>
      <w:r w:rsidRPr="004A01CD">
        <w:t xml:space="preserve"> Limestone Coast (SA) </w:t>
      </w:r>
      <w:r w:rsidRPr="004A01CD">
        <w:rPr>
          <w:rFonts w:cs="Arial"/>
        </w:rPr>
        <w:t xml:space="preserve">by age band and the other shows the number of active participants in </w:t>
      </w:r>
      <w:r w:rsidRPr="004A01CD">
        <w:t xml:space="preserve">Limestone Coast (SA) by </w:t>
      </w:r>
      <w:r w:rsidRPr="004A01CD">
        <w:rPr>
          <w:rFonts w:cs="Arial"/>
        </w:rPr>
        <w:t xml:space="preserve">age band. </w:t>
      </w:r>
    </w:p>
    <w:p w14:paraId="2C5C98D2" w14:textId="556AEBCE" w:rsidR="00300EA9" w:rsidRPr="004A01CD" w:rsidRDefault="00300EA9" w:rsidP="00300EA9">
      <w:pPr>
        <w:jc w:val="both"/>
        <w:rPr>
          <w:rFonts w:cs="Arial"/>
        </w:rPr>
      </w:pPr>
      <w:r w:rsidRPr="004A01CD">
        <w:rPr>
          <w:rFonts w:cs="Arial"/>
        </w:rPr>
        <w:t xml:space="preserve">A low proportion of participants aged 15 to 18 years and younger reported that they choose who supports them relative to older age </w:t>
      </w:r>
      <w:r w:rsidR="00F76EB0" w:rsidRPr="004A01CD">
        <w:rPr>
          <w:rFonts w:cs="Arial"/>
        </w:rPr>
        <w:t>bands</w:t>
      </w:r>
      <w:r w:rsidRPr="004A01CD">
        <w:rPr>
          <w:rFonts w:cs="Arial"/>
        </w:rPr>
        <w:t>.</w:t>
      </w:r>
    </w:p>
    <w:p w14:paraId="775F7778" w14:textId="084B5EFF" w:rsidR="00300EA9" w:rsidRPr="004A01CD" w:rsidRDefault="00300EA9" w:rsidP="00300EA9">
      <w:pPr>
        <w:jc w:val="both"/>
        <w:rPr>
          <w:rFonts w:cs="Arial"/>
        </w:rPr>
      </w:pPr>
      <w:r w:rsidRPr="004A01CD">
        <w:rPr>
          <w:rFonts w:cs="Arial"/>
        </w:rPr>
        <w:t xml:space="preserve">For age </w:t>
      </w:r>
      <w:r w:rsidR="00F76EB0" w:rsidRPr="004A01CD">
        <w:rPr>
          <w:rFonts w:cs="Arial"/>
        </w:rPr>
        <w:t xml:space="preserve">bands </w:t>
      </w:r>
      <w:r w:rsidRPr="004A01CD">
        <w:rPr>
          <w:rFonts w:cs="Arial"/>
        </w:rPr>
        <w:t>between 19 and 64 years of age, the outcomes indicator is above benchmark.</w:t>
      </w:r>
    </w:p>
    <w:p w14:paraId="247725DD" w14:textId="77777777" w:rsidR="00300EA9" w:rsidRPr="004A01CD" w:rsidRDefault="00300EA9" w:rsidP="00300EA9">
      <w:pPr>
        <w:jc w:val="both"/>
        <w:rPr>
          <w:rFonts w:cs="Arial"/>
        </w:rPr>
      </w:pPr>
      <w:r w:rsidRPr="004A01CD">
        <w:rPr>
          <w:rFonts w:cs="Arial"/>
        </w:rPr>
        <w:t>Note that the outcomes questionnaire for participants under 14 does not include the question: do you choose who supports you?</w:t>
      </w:r>
    </w:p>
    <w:p w14:paraId="4EA1CD6F" w14:textId="77777777" w:rsidR="004643ED" w:rsidRPr="004A01CD" w:rsidRDefault="004643ED" w:rsidP="004643ED">
      <w:pPr>
        <w:jc w:val="both"/>
        <w:rPr>
          <w:rFonts w:cs="Arial"/>
        </w:rPr>
      </w:pPr>
      <w:bookmarkStart w:id="77" w:name="_Toc34146626"/>
      <w:r w:rsidRPr="004A01CD">
        <w:rPr>
          <w:rFonts w:cs="Arial"/>
        </w:rPr>
        <w:t>Note: The benchmark is the national average, adjusted for the mix of SIL / SDA participants.</w:t>
      </w:r>
    </w:p>
    <w:p w14:paraId="3B6B50C6" w14:textId="17FF2FF2" w:rsidR="004B6448" w:rsidRPr="004A01CD" w:rsidRDefault="004B6448" w:rsidP="003A7B01">
      <w:pPr>
        <w:pStyle w:val="Heading2"/>
      </w:pPr>
      <w:r w:rsidRPr="004A01CD">
        <w:t xml:space="preserve">Slide </w:t>
      </w:r>
      <w:r w:rsidR="003B09BE" w:rsidRPr="004A01CD">
        <w:t>7</w:t>
      </w:r>
      <w:r w:rsidR="00CB4DA4" w:rsidRPr="004A01CD">
        <w:t>1</w:t>
      </w:r>
      <w:r w:rsidRPr="004A01CD">
        <w:t xml:space="preserve">: </w:t>
      </w:r>
      <w:r w:rsidR="00300EA9" w:rsidRPr="004A01CD">
        <w:t>The outcomes indicator on choice and control being above benchmark is driven by participants with psychosocial disability and intellectual disability</w:t>
      </w:r>
      <w:bookmarkEnd w:id="77"/>
    </w:p>
    <w:p w14:paraId="79017D37" w14:textId="30E20D28" w:rsidR="00300EA9" w:rsidRPr="004A01CD" w:rsidRDefault="00300EA9" w:rsidP="00300EA9">
      <w:pPr>
        <w:jc w:val="both"/>
        <w:rPr>
          <w:rFonts w:cs="Arial"/>
        </w:rPr>
      </w:pPr>
      <w:r w:rsidRPr="004A01CD">
        <w:rPr>
          <w:rFonts w:cs="Arial"/>
        </w:rPr>
        <w:t>There are two charts. One shows the outcomes indicator on choice and control and the corresponding benchmark for</w:t>
      </w:r>
      <w:r w:rsidRPr="004A01CD">
        <w:t xml:space="preserve"> Limestone Coast (SA) </w:t>
      </w:r>
      <w:r w:rsidRPr="004A01CD">
        <w:rPr>
          <w:rFonts w:cs="Arial"/>
        </w:rPr>
        <w:t xml:space="preserve">by primary disability and the other shows the number of active participants in </w:t>
      </w:r>
      <w:r w:rsidRPr="004A01CD">
        <w:t xml:space="preserve">Limestone Coast (SA) by </w:t>
      </w:r>
      <w:r w:rsidRPr="004A01CD">
        <w:rPr>
          <w:rFonts w:cs="Arial"/>
        </w:rPr>
        <w:t xml:space="preserve">primary disability. </w:t>
      </w:r>
    </w:p>
    <w:p w14:paraId="62EB3FD2" w14:textId="77777777" w:rsidR="00300EA9" w:rsidRPr="004A01CD" w:rsidRDefault="00300EA9" w:rsidP="00300EA9">
      <w:pPr>
        <w:jc w:val="both"/>
        <w:rPr>
          <w:rFonts w:cs="Arial"/>
        </w:rPr>
      </w:pPr>
      <w:r w:rsidRPr="004A01CD">
        <w:rPr>
          <w:rFonts w:cs="Arial"/>
        </w:rPr>
        <w:t xml:space="preserve">The two major primary disability types in the Limestone Coast (SA) region were autism (34%) and intellectual disability (25%). </w:t>
      </w:r>
    </w:p>
    <w:p w14:paraId="75FC4D07" w14:textId="77777777" w:rsidR="00300EA9" w:rsidRPr="004A01CD" w:rsidRDefault="00300EA9" w:rsidP="00300EA9">
      <w:pPr>
        <w:jc w:val="both"/>
        <w:rPr>
          <w:rFonts w:cs="Arial"/>
        </w:rPr>
      </w:pPr>
      <w:r w:rsidRPr="004A01CD">
        <w:rPr>
          <w:rFonts w:cs="Arial"/>
        </w:rPr>
        <w:t>The outcomes indicator on choice and control for participants with autism combined with a number of primary disabilities with outcomes indicators notably higher than benchmark appear to drive the overall result.</w:t>
      </w:r>
    </w:p>
    <w:p w14:paraId="30530D71" w14:textId="77777777" w:rsidR="004643ED" w:rsidRPr="004A01CD" w:rsidRDefault="004643ED" w:rsidP="004643ED">
      <w:pPr>
        <w:jc w:val="both"/>
        <w:rPr>
          <w:rFonts w:cs="Arial"/>
        </w:rPr>
      </w:pPr>
      <w:bookmarkStart w:id="78" w:name="_Toc34146627"/>
      <w:r w:rsidRPr="004A01CD">
        <w:rPr>
          <w:rFonts w:cs="Arial"/>
        </w:rPr>
        <w:t>Note: The benchmark is the national average, adjusted for the mix of SIL / SDA participants.</w:t>
      </w:r>
    </w:p>
    <w:p w14:paraId="1F067E18" w14:textId="59A872A9" w:rsidR="004B6448" w:rsidRPr="004A01CD" w:rsidRDefault="004B6448" w:rsidP="003A7B01">
      <w:pPr>
        <w:pStyle w:val="Heading2"/>
      </w:pPr>
      <w:r w:rsidRPr="004A01CD">
        <w:t xml:space="preserve">Slide </w:t>
      </w:r>
      <w:r w:rsidR="001F56C0" w:rsidRPr="004A01CD">
        <w:t>7</w:t>
      </w:r>
      <w:r w:rsidR="00CB4DA4" w:rsidRPr="004A01CD">
        <w:t>2</w:t>
      </w:r>
      <w:r w:rsidRPr="004A01CD">
        <w:t xml:space="preserve">: </w:t>
      </w:r>
      <w:r w:rsidR="00300EA9" w:rsidRPr="004A01CD">
        <w:t>Copyright Notice</w:t>
      </w:r>
      <w:bookmarkEnd w:id="78"/>
    </w:p>
    <w:p w14:paraId="050ED746" w14:textId="77777777" w:rsidR="00300EA9" w:rsidRPr="004A01CD" w:rsidRDefault="00300EA9" w:rsidP="00300EA9">
      <w:pPr>
        <w:jc w:val="both"/>
        <w:rPr>
          <w:rFonts w:cs="Arial"/>
        </w:rPr>
      </w:pPr>
      <w:r w:rsidRPr="004A01CD">
        <w:rPr>
          <w:rFonts w:cs="Arial"/>
        </w:rPr>
        <w:t xml:space="preserve">www.ndis.gov.au </w:t>
      </w:r>
    </w:p>
    <w:p w14:paraId="668A2C09" w14:textId="5C961775" w:rsidR="00300EA9" w:rsidRPr="004A01CD" w:rsidRDefault="00300EA9" w:rsidP="00300EA9">
      <w:pPr>
        <w:jc w:val="both"/>
        <w:rPr>
          <w:rFonts w:cs="Arial"/>
        </w:rPr>
      </w:pPr>
      <w:r w:rsidRPr="004A01CD">
        <w:rPr>
          <w:rFonts w:cs="Arial"/>
        </w:rPr>
        <w:t>Copyright notice</w:t>
      </w:r>
    </w:p>
    <w:p w14:paraId="5DC83EEB" w14:textId="77777777" w:rsidR="00300EA9" w:rsidRPr="004A01CD" w:rsidRDefault="00300EA9" w:rsidP="00300EA9">
      <w:pPr>
        <w:jc w:val="both"/>
        <w:rPr>
          <w:rFonts w:cs="Arial"/>
        </w:rPr>
      </w:pPr>
      <w:r w:rsidRPr="004A01CD">
        <w:rPr>
          <w:rFonts w:cs="Arial"/>
        </w:rPr>
        <w:t>© National Disability Insurance Scheme Launch Transition Agency</w:t>
      </w:r>
    </w:p>
    <w:p w14:paraId="66229B8E" w14:textId="77777777" w:rsidR="00300EA9" w:rsidRPr="004A01CD" w:rsidRDefault="00300EA9" w:rsidP="00300EA9">
      <w:pPr>
        <w:jc w:val="both"/>
        <w:rPr>
          <w:rFonts w:cs="Arial"/>
        </w:rPr>
      </w:pPr>
      <w:r w:rsidRPr="004A01CD">
        <w:rPr>
          <w:rFonts w:cs="Arial"/>
        </w:rPr>
        <w:lastRenderedPageBreak/>
        <w:t>Copyright and use of the material in this document</w:t>
      </w:r>
    </w:p>
    <w:p w14:paraId="58B67CC9" w14:textId="77777777" w:rsidR="00300EA9" w:rsidRPr="004A01CD" w:rsidRDefault="00300EA9" w:rsidP="00300EA9">
      <w:pPr>
        <w:jc w:val="both"/>
        <w:rPr>
          <w:rFonts w:cs="Arial"/>
        </w:rPr>
      </w:pPr>
      <w:r w:rsidRPr="004A01CD">
        <w:rPr>
          <w:rFonts w:cs="Arial"/>
        </w:rPr>
        <w:t>Copyright in the material in this document, with the exception of third party material, is owned and protected by the National Disability Insurance Scheme Launch Transition Agency (National Disability Insurance Agency).</w:t>
      </w:r>
    </w:p>
    <w:p w14:paraId="7F994755" w14:textId="10A64F5D" w:rsidR="00300EA9" w:rsidRPr="004A01CD" w:rsidRDefault="00300EA9" w:rsidP="00300EA9">
      <w:pPr>
        <w:jc w:val="both"/>
        <w:rPr>
          <w:rFonts w:cs="Arial"/>
        </w:rPr>
      </w:pPr>
      <w:r w:rsidRPr="004A01CD">
        <w:rPr>
          <w:rFonts w:cs="Arial"/>
        </w:rPr>
        <w:t>The material in this document, with the exception of logos, trade marks, third party material and other content as specified is licensed under Creative Commons Attribution Non-Commercial No Derivatives (CC BY NC ND) licence, version 4.0 International. You may share, copy and redistribute the document in any format. You must acknowledge the National Disability Insurance Agency as the owner of all intellectual property rights in the reproduced material by using ‘© National Disability Insurance Scheme Launch Transition Agency’ and you must not use the material for commercial purposes.</w:t>
      </w:r>
    </w:p>
    <w:p w14:paraId="36528250" w14:textId="77777777" w:rsidR="00300EA9" w:rsidRPr="004A01CD" w:rsidRDefault="00300EA9" w:rsidP="00300EA9">
      <w:pPr>
        <w:jc w:val="both"/>
        <w:rPr>
          <w:rFonts w:cs="Arial"/>
        </w:rPr>
      </w:pPr>
      <w:r w:rsidRPr="004A01CD">
        <w:rPr>
          <w:rFonts w:cs="Arial"/>
        </w:rPr>
        <w:t>Reproduction of any material contained in this document is subject to the CC BY NC ND licence conditions available on the Creative Commons Australia site, as is the full legal code for this material.</w:t>
      </w:r>
    </w:p>
    <w:p w14:paraId="165E0969" w14:textId="77777777" w:rsidR="00300EA9" w:rsidRPr="004A01CD" w:rsidRDefault="00300EA9" w:rsidP="00300EA9">
      <w:pPr>
        <w:jc w:val="both"/>
        <w:rPr>
          <w:rFonts w:cs="Arial"/>
        </w:rPr>
      </w:pPr>
      <w:r w:rsidRPr="004A01CD">
        <w:rPr>
          <w:rFonts w:cs="Arial"/>
        </w:rPr>
        <w:t>The National Disability Insurance Agency expects that you will only use the information in this document to benefit people with disability.</w:t>
      </w:r>
    </w:p>
    <w:p w14:paraId="5720211B" w14:textId="25BB797D" w:rsidR="004B6448" w:rsidRPr="004A01CD" w:rsidRDefault="00300EA9" w:rsidP="00300EA9">
      <w:pPr>
        <w:jc w:val="both"/>
        <w:rPr>
          <w:rFonts w:cs="Arial"/>
        </w:rPr>
      </w:pPr>
      <w:r w:rsidRPr="004A01CD">
        <w:rPr>
          <w:rFonts w:cs="Arial"/>
        </w:rPr>
        <w:t xml:space="preserve">Please see the </w:t>
      </w:r>
      <w:hyperlink r:id="rId11" w:history="1">
        <w:r w:rsidRPr="004A01CD">
          <w:rPr>
            <w:rStyle w:val="Hyperlink"/>
            <w:rFonts w:cs="Arial"/>
          </w:rPr>
          <w:t>NDIS website copyright statement</w:t>
        </w:r>
      </w:hyperlink>
      <w:r w:rsidRPr="004A01CD">
        <w:rPr>
          <w:rFonts w:cs="Arial"/>
        </w:rPr>
        <w:t xml:space="preserve"> for further details about the use of</w:t>
      </w:r>
      <w:r w:rsidR="002A2C59" w:rsidRPr="004A01CD">
        <w:rPr>
          <w:rFonts w:cs="Arial"/>
        </w:rPr>
        <w:t xml:space="preserve"> logos and third party material.</w:t>
      </w:r>
    </w:p>
    <w:bookmarkEnd w:id="2"/>
    <w:bookmarkEnd w:id="3"/>
    <w:sectPr w:rsidR="004B6448" w:rsidRPr="004A01CD" w:rsidSect="0091657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276"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91A08" w14:textId="77777777" w:rsidR="00886F15" w:rsidRDefault="00886F15" w:rsidP="007219F1">
      <w:pPr>
        <w:spacing w:after="0" w:line="240" w:lineRule="auto"/>
      </w:pPr>
      <w:r>
        <w:separator/>
      </w:r>
    </w:p>
    <w:p w14:paraId="2AB8833E" w14:textId="77777777" w:rsidR="00886F15" w:rsidRDefault="00886F15"/>
    <w:p w14:paraId="038FAF4E" w14:textId="77777777" w:rsidR="00886F15" w:rsidRDefault="00886F15"/>
  </w:endnote>
  <w:endnote w:type="continuationSeparator" w:id="0">
    <w:p w14:paraId="001CB980" w14:textId="77777777" w:rsidR="00886F15" w:rsidRDefault="00886F15" w:rsidP="007219F1">
      <w:pPr>
        <w:spacing w:after="0" w:line="240" w:lineRule="auto"/>
      </w:pPr>
      <w:r>
        <w:continuationSeparator/>
      </w:r>
    </w:p>
    <w:p w14:paraId="69051BC5" w14:textId="77777777" w:rsidR="00886F15" w:rsidRDefault="00886F15"/>
    <w:p w14:paraId="04073E39" w14:textId="77777777" w:rsidR="00886F15" w:rsidRDefault="00886F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FSMe-Bold">
    <w:altName w:val="Cambria"/>
    <w:panose1 w:val="00000000000000000000"/>
    <w:charset w:val="4D"/>
    <w:family w:val="auto"/>
    <w:notTrueType/>
    <w:pitch w:val="default"/>
    <w:sig w:usb0="00000003" w:usb1="00000000" w:usb2="00000000" w:usb3="00000000" w:csb0="00000001" w:csb1="00000000"/>
  </w:font>
  <w:font w:name="FS Me Light">
    <w:altName w:val="Times New Roman"/>
    <w:charset w:val="00"/>
    <w:family w:val="auto"/>
    <w:pitch w:val="variable"/>
    <w:sig w:usb0="00000001" w:usb1="4000204A" w:usb2="00000000" w:usb3="00000000" w:csb0="0000009B" w:csb1="00000000"/>
  </w:font>
  <w:font w:name="FS Me">
    <w:altName w:val="FS M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F2D67" w14:textId="77777777" w:rsidR="00886F15" w:rsidRDefault="00886F15">
    <w:pPr>
      <w:pStyle w:val="Footer"/>
    </w:pPr>
  </w:p>
  <w:p w14:paraId="62E29BCF" w14:textId="77777777" w:rsidR="00886F15" w:rsidRDefault="00886F1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43437" w14:textId="77777777" w:rsidR="00886F15" w:rsidRPr="00C330B4" w:rsidRDefault="00886F15" w:rsidP="007219F1">
    <w:pPr>
      <w:pStyle w:val="Footer"/>
      <w:jc w:val="center"/>
      <w:rPr>
        <w:rFonts w:cs="Arial"/>
      </w:rPr>
    </w:pPr>
  </w:p>
  <w:p w14:paraId="1BF43438" w14:textId="77777777" w:rsidR="00886F15" w:rsidRPr="00C330B4" w:rsidRDefault="00886F15">
    <w:pPr>
      <w:rPr>
        <w:rFonts w:cs="Arial"/>
      </w:rPr>
    </w:pPr>
  </w:p>
  <w:p w14:paraId="3888199B" w14:textId="77777777" w:rsidR="00886F15" w:rsidRDefault="00886F1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43439" w14:textId="146488FF" w:rsidR="00886F15" w:rsidRPr="000B1117" w:rsidRDefault="00886F15" w:rsidP="000B1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29172" w14:textId="77777777" w:rsidR="00886F15" w:rsidRDefault="00886F15" w:rsidP="007219F1">
      <w:pPr>
        <w:spacing w:after="0" w:line="240" w:lineRule="auto"/>
      </w:pPr>
      <w:r>
        <w:separator/>
      </w:r>
    </w:p>
    <w:p w14:paraId="5BC274FD" w14:textId="77777777" w:rsidR="00886F15" w:rsidRDefault="00886F15"/>
    <w:p w14:paraId="4E0EFF0D" w14:textId="77777777" w:rsidR="00886F15" w:rsidRDefault="00886F15"/>
  </w:footnote>
  <w:footnote w:type="continuationSeparator" w:id="0">
    <w:p w14:paraId="406BE69F" w14:textId="77777777" w:rsidR="00886F15" w:rsidRDefault="00886F15" w:rsidP="007219F1">
      <w:pPr>
        <w:spacing w:after="0" w:line="240" w:lineRule="auto"/>
      </w:pPr>
      <w:r>
        <w:continuationSeparator/>
      </w:r>
    </w:p>
    <w:p w14:paraId="067B316A" w14:textId="77777777" w:rsidR="00886F15" w:rsidRDefault="00886F15"/>
    <w:p w14:paraId="3F236635" w14:textId="77777777" w:rsidR="00886F15" w:rsidRDefault="00886F1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B100E" w14:textId="77777777" w:rsidR="00886F15" w:rsidRDefault="00886F15">
    <w:pPr>
      <w:pStyle w:val="Header"/>
    </w:pPr>
  </w:p>
  <w:p w14:paraId="52FB035B" w14:textId="77777777" w:rsidR="00886F15" w:rsidRDefault="00886F1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EA74E" w14:textId="77777777" w:rsidR="00886F15" w:rsidRDefault="00886F15">
    <w:pPr>
      <w:pStyle w:val="Header"/>
    </w:pPr>
  </w:p>
  <w:p w14:paraId="3C53CA3B" w14:textId="77777777" w:rsidR="00886F15" w:rsidRDefault="00886F1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64F55" w14:textId="77777777" w:rsidR="00886F15" w:rsidRDefault="00886F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8F0"/>
    <w:multiLevelType w:val="hybridMultilevel"/>
    <w:tmpl w:val="739A4888"/>
    <w:lvl w:ilvl="0" w:tplc="E14CA9DE">
      <w:start w:val="1"/>
      <w:numFmt w:val="bullet"/>
      <w:lvlText w:val="•"/>
      <w:lvlJc w:val="left"/>
      <w:pPr>
        <w:tabs>
          <w:tab w:val="num" w:pos="720"/>
        </w:tabs>
        <w:ind w:left="720" w:hanging="360"/>
      </w:pPr>
      <w:rPr>
        <w:rFonts w:ascii="Arial" w:hAnsi="Arial" w:hint="default"/>
      </w:rPr>
    </w:lvl>
    <w:lvl w:ilvl="1" w:tplc="147C56B2" w:tentative="1">
      <w:start w:val="1"/>
      <w:numFmt w:val="bullet"/>
      <w:lvlText w:val="•"/>
      <w:lvlJc w:val="left"/>
      <w:pPr>
        <w:tabs>
          <w:tab w:val="num" w:pos="1440"/>
        </w:tabs>
        <w:ind w:left="1440" w:hanging="360"/>
      </w:pPr>
      <w:rPr>
        <w:rFonts w:ascii="Arial" w:hAnsi="Arial" w:hint="default"/>
      </w:rPr>
    </w:lvl>
    <w:lvl w:ilvl="2" w:tplc="70284758" w:tentative="1">
      <w:start w:val="1"/>
      <w:numFmt w:val="bullet"/>
      <w:lvlText w:val="•"/>
      <w:lvlJc w:val="left"/>
      <w:pPr>
        <w:tabs>
          <w:tab w:val="num" w:pos="2160"/>
        </w:tabs>
        <w:ind w:left="2160" w:hanging="360"/>
      </w:pPr>
      <w:rPr>
        <w:rFonts w:ascii="Arial" w:hAnsi="Arial" w:hint="default"/>
      </w:rPr>
    </w:lvl>
    <w:lvl w:ilvl="3" w:tplc="83C21382" w:tentative="1">
      <w:start w:val="1"/>
      <w:numFmt w:val="bullet"/>
      <w:lvlText w:val="•"/>
      <w:lvlJc w:val="left"/>
      <w:pPr>
        <w:tabs>
          <w:tab w:val="num" w:pos="2880"/>
        </w:tabs>
        <w:ind w:left="2880" w:hanging="360"/>
      </w:pPr>
      <w:rPr>
        <w:rFonts w:ascii="Arial" w:hAnsi="Arial" w:hint="default"/>
      </w:rPr>
    </w:lvl>
    <w:lvl w:ilvl="4" w:tplc="BF76C7D2" w:tentative="1">
      <w:start w:val="1"/>
      <w:numFmt w:val="bullet"/>
      <w:lvlText w:val="•"/>
      <w:lvlJc w:val="left"/>
      <w:pPr>
        <w:tabs>
          <w:tab w:val="num" w:pos="3600"/>
        </w:tabs>
        <w:ind w:left="3600" w:hanging="360"/>
      </w:pPr>
      <w:rPr>
        <w:rFonts w:ascii="Arial" w:hAnsi="Arial" w:hint="default"/>
      </w:rPr>
    </w:lvl>
    <w:lvl w:ilvl="5" w:tplc="4448D228" w:tentative="1">
      <w:start w:val="1"/>
      <w:numFmt w:val="bullet"/>
      <w:lvlText w:val="•"/>
      <w:lvlJc w:val="left"/>
      <w:pPr>
        <w:tabs>
          <w:tab w:val="num" w:pos="4320"/>
        </w:tabs>
        <w:ind w:left="4320" w:hanging="360"/>
      </w:pPr>
      <w:rPr>
        <w:rFonts w:ascii="Arial" w:hAnsi="Arial" w:hint="default"/>
      </w:rPr>
    </w:lvl>
    <w:lvl w:ilvl="6" w:tplc="CF1C11AC" w:tentative="1">
      <w:start w:val="1"/>
      <w:numFmt w:val="bullet"/>
      <w:lvlText w:val="•"/>
      <w:lvlJc w:val="left"/>
      <w:pPr>
        <w:tabs>
          <w:tab w:val="num" w:pos="5040"/>
        </w:tabs>
        <w:ind w:left="5040" w:hanging="360"/>
      </w:pPr>
      <w:rPr>
        <w:rFonts w:ascii="Arial" w:hAnsi="Arial" w:hint="default"/>
      </w:rPr>
    </w:lvl>
    <w:lvl w:ilvl="7" w:tplc="60F2961E" w:tentative="1">
      <w:start w:val="1"/>
      <w:numFmt w:val="bullet"/>
      <w:lvlText w:val="•"/>
      <w:lvlJc w:val="left"/>
      <w:pPr>
        <w:tabs>
          <w:tab w:val="num" w:pos="5760"/>
        </w:tabs>
        <w:ind w:left="5760" w:hanging="360"/>
      </w:pPr>
      <w:rPr>
        <w:rFonts w:ascii="Arial" w:hAnsi="Arial" w:hint="default"/>
      </w:rPr>
    </w:lvl>
    <w:lvl w:ilvl="8" w:tplc="74D2063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09432D"/>
    <w:multiLevelType w:val="hybridMultilevel"/>
    <w:tmpl w:val="9A786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F16CD7"/>
    <w:multiLevelType w:val="hybridMultilevel"/>
    <w:tmpl w:val="7B42F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51268B"/>
    <w:multiLevelType w:val="hybridMultilevel"/>
    <w:tmpl w:val="DDDCFE52"/>
    <w:lvl w:ilvl="0" w:tplc="1568795E">
      <w:start w:val="1"/>
      <w:numFmt w:val="decimal"/>
      <w:lvlText w:val="%1."/>
      <w:lvlJc w:val="left"/>
      <w:pPr>
        <w:tabs>
          <w:tab w:val="num" w:pos="720"/>
        </w:tabs>
        <w:ind w:left="720" w:hanging="360"/>
      </w:pPr>
    </w:lvl>
    <w:lvl w:ilvl="1" w:tplc="999EC404" w:tentative="1">
      <w:start w:val="1"/>
      <w:numFmt w:val="decimal"/>
      <w:lvlText w:val="%2."/>
      <w:lvlJc w:val="left"/>
      <w:pPr>
        <w:tabs>
          <w:tab w:val="num" w:pos="1440"/>
        </w:tabs>
        <w:ind w:left="1440" w:hanging="360"/>
      </w:pPr>
    </w:lvl>
    <w:lvl w:ilvl="2" w:tplc="67BE7172" w:tentative="1">
      <w:start w:val="1"/>
      <w:numFmt w:val="decimal"/>
      <w:lvlText w:val="%3."/>
      <w:lvlJc w:val="left"/>
      <w:pPr>
        <w:tabs>
          <w:tab w:val="num" w:pos="2160"/>
        </w:tabs>
        <w:ind w:left="2160" w:hanging="360"/>
      </w:pPr>
    </w:lvl>
    <w:lvl w:ilvl="3" w:tplc="C0D06056" w:tentative="1">
      <w:start w:val="1"/>
      <w:numFmt w:val="decimal"/>
      <w:lvlText w:val="%4."/>
      <w:lvlJc w:val="left"/>
      <w:pPr>
        <w:tabs>
          <w:tab w:val="num" w:pos="2880"/>
        </w:tabs>
        <w:ind w:left="2880" w:hanging="360"/>
      </w:pPr>
    </w:lvl>
    <w:lvl w:ilvl="4" w:tplc="35FC8C4A" w:tentative="1">
      <w:start w:val="1"/>
      <w:numFmt w:val="decimal"/>
      <w:lvlText w:val="%5."/>
      <w:lvlJc w:val="left"/>
      <w:pPr>
        <w:tabs>
          <w:tab w:val="num" w:pos="3600"/>
        </w:tabs>
        <w:ind w:left="3600" w:hanging="360"/>
      </w:pPr>
    </w:lvl>
    <w:lvl w:ilvl="5" w:tplc="73D4FDCE" w:tentative="1">
      <w:start w:val="1"/>
      <w:numFmt w:val="decimal"/>
      <w:lvlText w:val="%6."/>
      <w:lvlJc w:val="left"/>
      <w:pPr>
        <w:tabs>
          <w:tab w:val="num" w:pos="4320"/>
        </w:tabs>
        <w:ind w:left="4320" w:hanging="360"/>
      </w:pPr>
    </w:lvl>
    <w:lvl w:ilvl="6" w:tplc="6644BABE" w:tentative="1">
      <w:start w:val="1"/>
      <w:numFmt w:val="decimal"/>
      <w:lvlText w:val="%7."/>
      <w:lvlJc w:val="left"/>
      <w:pPr>
        <w:tabs>
          <w:tab w:val="num" w:pos="5040"/>
        </w:tabs>
        <w:ind w:left="5040" w:hanging="360"/>
      </w:pPr>
    </w:lvl>
    <w:lvl w:ilvl="7" w:tplc="8BC6A034" w:tentative="1">
      <w:start w:val="1"/>
      <w:numFmt w:val="decimal"/>
      <w:lvlText w:val="%8."/>
      <w:lvlJc w:val="left"/>
      <w:pPr>
        <w:tabs>
          <w:tab w:val="num" w:pos="5760"/>
        </w:tabs>
        <w:ind w:left="5760" w:hanging="360"/>
      </w:pPr>
    </w:lvl>
    <w:lvl w:ilvl="8" w:tplc="68727BA4" w:tentative="1">
      <w:start w:val="1"/>
      <w:numFmt w:val="decimal"/>
      <w:lvlText w:val="%9."/>
      <w:lvlJc w:val="left"/>
      <w:pPr>
        <w:tabs>
          <w:tab w:val="num" w:pos="6480"/>
        </w:tabs>
        <w:ind w:left="6480" w:hanging="360"/>
      </w:pPr>
    </w:lvl>
  </w:abstractNum>
  <w:abstractNum w:abstractNumId="4" w15:restartNumberingAfterBreak="0">
    <w:nsid w:val="08B24770"/>
    <w:multiLevelType w:val="hybridMultilevel"/>
    <w:tmpl w:val="93A6EAB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9E6B0E"/>
    <w:multiLevelType w:val="hybridMultilevel"/>
    <w:tmpl w:val="71E28AB0"/>
    <w:lvl w:ilvl="0" w:tplc="183AC34A">
      <w:start w:val="1"/>
      <w:numFmt w:val="bullet"/>
      <w:lvlText w:val="–"/>
      <w:lvlJc w:val="left"/>
      <w:pPr>
        <w:tabs>
          <w:tab w:val="num" w:pos="360"/>
        </w:tabs>
        <w:ind w:left="36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FC6370"/>
    <w:multiLevelType w:val="hybridMultilevel"/>
    <w:tmpl w:val="F6D6076C"/>
    <w:lvl w:ilvl="0" w:tplc="183AC34A">
      <w:start w:val="1"/>
      <w:numFmt w:val="bullet"/>
      <w:lvlText w:val="–"/>
      <w:lvlJc w:val="left"/>
      <w:pPr>
        <w:tabs>
          <w:tab w:val="num" w:pos="360"/>
        </w:tabs>
        <w:ind w:left="36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6D36D3"/>
    <w:multiLevelType w:val="hybridMultilevel"/>
    <w:tmpl w:val="166C8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FD6883"/>
    <w:multiLevelType w:val="hybridMultilevel"/>
    <w:tmpl w:val="72A81A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52F620D"/>
    <w:multiLevelType w:val="hybridMultilevel"/>
    <w:tmpl w:val="B1303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165DF4"/>
    <w:multiLevelType w:val="hybridMultilevel"/>
    <w:tmpl w:val="68B0ABB6"/>
    <w:lvl w:ilvl="0" w:tplc="183AC34A">
      <w:start w:val="1"/>
      <w:numFmt w:val="bullet"/>
      <w:lvlText w:val="–"/>
      <w:lvlJc w:val="left"/>
      <w:pPr>
        <w:tabs>
          <w:tab w:val="num" w:pos="360"/>
        </w:tabs>
        <w:ind w:left="36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7D66A1"/>
    <w:multiLevelType w:val="hybridMultilevel"/>
    <w:tmpl w:val="05F03A7A"/>
    <w:lvl w:ilvl="0" w:tplc="183AC34A">
      <w:start w:val="1"/>
      <w:numFmt w:val="bullet"/>
      <w:lvlText w:val="–"/>
      <w:lvlJc w:val="left"/>
      <w:pPr>
        <w:tabs>
          <w:tab w:val="num" w:pos="360"/>
        </w:tabs>
        <w:ind w:left="36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4A4997"/>
    <w:multiLevelType w:val="hybridMultilevel"/>
    <w:tmpl w:val="FA9AB0BE"/>
    <w:lvl w:ilvl="0" w:tplc="EE141C00">
      <w:start w:val="1"/>
      <w:numFmt w:val="decimal"/>
      <w:lvlText w:val="%1."/>
      <w:lvlJc w:val="left"/>
      <w:pPr>
        <w:tabs>
          <w:tab w:val="num" w:pos="720"/>
        </w:tabs>
        <w:ind w:left="720" w:hanging="360"/>
      </w:pPr>
    </w:lvl>
    <w:lvl w:ilvl="1" w:tplc="6F2C8280" w:tentative="1">
      <w:start w:val="1"/>
      <w:numFmt w:val="decimal"/>
      <w:lvlText w:val="%2."/>
      <w:lvlJc w:val="left"/>
      <w:pPr>
        <w:tabs>
          <w:tab w:val="num" w:pos="1440"/>
        </w:tabs>
        <w:ind w:left="1440" w:hanging="360"/>
      </w:pPr>
    </w:lvl>
    <w:lvl w:ilvl="2" w:tplc="04BAD6C2" w:tentative="1">
      <w:start w:val="1"/>
      <w:numFmt w:val="decimal"/>
      <w:lvlText w:val="%3."/>
      <w:lvlJc w:val="left"/>
      <w:pPr>
        <w:tabs>
          <w:tab w:val="num" w:pos="2160"/>
        </w:tabs>
        <w:ind w:left="2160" w:hanging="360"/>
      </w:pPr>
    </w:lvl>
    <w:lvl w:ilvl="3" w:tplc="4D005610" w:tentative="1">
      <w:start w:val="1"/>
      <w:numFmt w:val="decimal"/>
      <w:lvlText w:val="%4."/>
      <w:lvlJc w:val="left"/>
      <w:pPr>
        <w:tabs>
          <w:tab w:val="num" w:pos="2880"/>
        </w:tabs>
        <w:ind w:left="2880" w:hanging="360"/>
      </w:pPr>
    </w:lvl>
    <w:lvl w:ilvl="4" w:tplc="0FF68EC8" w:tentative="1">
      <w:start w:val="1"/>
      <w:numFmt w:val="decimal"/>
      <w:lvlText w:val="%5."/>
      <w:lvlJc w:val="left"/>
      <w:pPr>
        <w:tabs>
          <w:tab w:val="num" w:pos="3600"/>
        </w:tabs>
        <w:ind w:left="3600" w:hanging="360"/>
      </w:pPr>
    </w:lvl>
    <w:lvl w:ilvl="5" w:tplc="07220C22" w:tentative="1">
      <w:start w:val="1"/>
      <w:numFmt w:val="decimal"/>
      <w:lvlText w:val="%6."/>
      <w:lvlJc w:val="left"/>
      <w:pPr>
        <w:tabs>
          <w:tab w:val="num" w:pos="4320"/>
        </w:tabs>
        <w:ind w:left="4320" w:hanging="360"/>
      </w:pPr>
    </w:lvl>
    <w:lvl w:ilvl="6" w:tplc="FA5AD41A" w:tentative="1">
      <w:start w:val="1"/>
      <w:numFmt w:val="decimal"/>
      <w:lvlText w:val="%7."/>
      <w:lvlJc w:val="left"/>
      <w:pPr>
        <w:tabs>
          <w:tab w:val="num" w:pos="5040"/>
        </w:tabs>
        <w:ind w:left="5040" w:hanging="360"/>
      </w:pPr>
    </w:lvl>
    <w:lvl w:ilvl="7" w:tplc="8EC22DD2" w:tentative="1">
      <w:start w:val="1"/>
      <w:numFmt w:val="decimal"/>
      <w:lvlText w:val="%8."/>
      <w:lvlJc w:val="left"/>
      <w:pPr>
        <w:tabs>
          <w:tab w:val="num" w:pos="5760"/>
        </w:tabs>
        <w:ind w:left="5760" w:hanging="360"/>
      </w:pPr>
    </w:lvl>
    <w:lvl w:ilvl="8" w:tplc="1D6652BE" w:tentative="1">
      <w:start w:val="1"/>
      <w:numFmt w:val="decimal"/>
      <w:lvlText w:val="%9."/>
      <w:lvlJc w:val="left"/>
      <w:pPr>
        <w:tabs>
          <w:tab w:val="num" w:pos="6480"/>
        </w:tabs>
        <w:ind w:left="6480" w:hanging="360"/>
      </w:pPr>
    </w:lvl>
  </w:abstractNum>
  <w:abstractNum w:abstractNumId="13" w15:restartNumberingAfterBreak="0">
    <w:nsid w:val="2B7A2642"/>
    <w:multiLevelType w:val="hybridMultilevel"/>
    <w:tmpl w:val="E2ACA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3402DE"/>
    <w:multiLevelType w:val="hybridMultilevel"/>
    <w:tmpl w:val="353EF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D5762A"/>
    <w:multiLevelType w:val="hybridMultilevel"/>
    <w:tmpl w:val="EA823FEE"/>
    <w:lvl w:ilvl="0" w:tplc="183AC34A">
      <w:start w:val="1"/>
      <w:numFmt w:val="bullet"/>
      <w:lvlText w:val="–"/>
      <w:lvlJc w:val="left"/>
      <w:pPr>
        <w:tabs>
          <w:tab w:val="num" w:pos="360"/>
        </w:tabs>
        <w:ind w:left="360" w:hanging="360"/>
      </w:pPr>
      <w:rPr>
        <w:rFonts w:ascii="Arial" w:hAnsi="Arial" w:hint="default"/>
      </w:rPr>
    </w:lvl>
    <w:lvl w:ilvl="1" w:tplc="7F3469C2">
      <w:start w:val="1"/>
      <w:numFmt w:val="bullet"/>
      <w:lvlText w:val="–"/>
      <w:lvlJc w:val="left"/>
      <w:pPr>
        <w:tabs>
          <w:tab w:val="num" w:pos="1080"/>
        </w:tabs>
        <w:ind w:left="1080" w:hanging="360"/>
      </w:pPr>
      <w:rPr>
        <w:rFonts w:ascii="Arial" w:hAnsi="Arial" w:hint="default"/>
      </w:rPr>
    </w:lvl>
    <w:lvl w:ilvl="2" w:tplc="BFD25E12" w:tentative="1">
      <w:start w:val="1"/>
      <w:numFmt w:val="bullet"/>
      <w:lvlText w:val="–"/>
      <w:lvlJc w:val="left"/>
      <w:pPr>
        <w:tabs>
          <w:tab w:val="num" w:pos="1800"/>
        </w:tabs>
        <w:ind w:left="1800" w:hanging="360"/>
      </w:pPr>
      <w:rPr>
        <w:rFonts w:ascii="Arial" w:hAnsi="Arial" w:hint="default"/>
      </w:rPr>
    </w:lvl>
    <w:lvl w:ilvl="3" w:tplc="4EB60446" w:tentative="1">
      <w:start w:val="1"/>
      <w:numFmt w:val="bullet"/>
      <w:lvlText w:val="–"/>
      <w:lvlJc w:val="left"/>
      <w:pPr>
        <w:tabs>
          <w:tab w:val="num" w:pos="2520"/>
        </w:tabs>
        <w:ind w:left="2520" w:hanging="360"/>
      </w:pPr>
      <w:rPr>
        <w:rFonts w:ascii="Arial" w:hAnsi="Arial" w:hint="default"/>
      </w:rPr>
    </w:lvl>
    <w:lvl w:ilvl="4" w:tplc="68AE3D10" w:tentative="1">
      <w:start w:val="1"/>
      <w:numFmt w:val="bullet"/>
      <w:lvlText w:val="–"/>
      <w:lvlJc w:val="left"/>
      <w:pPr>
        <w:tabs>
          <w:tab w:val="num" w:pos="3240"/>
        </w:tabs>
        <w:ind w:left="3240" w:hanging="360"/>
      </w:pPr>
      <w:rPr>
        <w:rFonts w:ascii="Arial" w:hAnsi="Arial" w:hint="default"/>
      </w:rPr>
    </w:lvl>
    <w:lvl w:ilvl="5" w:tplc="EF6242AE" w:tentative="1">
      <w:start w:val="1"/>
      <w:numFmt w:val="bullet"/>
      <w:lvlText w:val="–"/>
      <w:lvlJc w:val="left"/>
      <w:pPr>
        <w:tabs>
          <w:tab w:val="num" w:pos="3960"/>
        </w:tabs>
        <w:ind w:left="3960" w:hanging="360"/>
      </w:pPr>
      <w:rPr>
        <w:rFonts w:ascii="Arial" w:hAnsi="Arial" w:hint="default"/>
      </w:rPr>
    </w:lvl>
    <w:lvl w:ilvl="6" w:tplc="5FF6C982" w:tentative="1">
      <w:start w:val="1"/>
      <w:numFmt w:val="bullet"/>
      <w:lvlText w:val="–"/>
      <w:lvlJc w:val="left"/>
      <w:pPr>
        <w:tabs>
          <w:tab w:val="num" w:pos="4680"/>
        </w:tabs>
        <w:ind w:left="4680" w:hanging="360"/>
      </w:pPr>
      <w:rPr>
        <w:rFonts w:ascii="Arial" w:hAnsi="Arial" w:hint="default"/>
      </w:rPr>
    </w:lvl>
    <w:lvl w:ilvl="7" w:tplc="1572F99C" w:tentative="1">
      <w:start w:val="1"/>
      <w:numFmt w:val="bullet"/>
      <w:lvlText w:val="–"/>
      <w:lvlJc w:val="left"/>
      <w:pPr>
        <w:tabs>
          <w:tab w:val="num" w:pos="5400"/>
        </w:tabs>
        <w:ind w:left="5400" w:hanging="360"/>
      </w:pPr>
      <w:rPr>
        <w:rFonts w:ascii="Arial" w:hAnsi="Arial" w:hint="default"/>
      </w:rPr>
    </w:lvl>
    <w:lvl w:ilvl="8" w:tplc="5E42A8BA"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32FB1160"/>
    <w:multiLevelType w:val="hybridMultilevel"/>
    <w:tmpl w:val="83445664"/>
    <w:lvl w:ilvl="0" w:tplc="8FD21238">
      <w:start w:val="1"/>
      <w:numFmt w:val="bullet"/>
      <w:lvlText w:val="•"/>
      <w:lvlJc w:val="left"/>
      <w:pPr>
        <w:tabs>
          <w:tab w:val="num" w:pos="720"/>
        </w:tabs>
        <w:ind w:left="720" w:hanging="360"/>
      </w:pPr>
      <w:rPr>
        <w:rFonts w:ascii="Arial" w:hAnsi="Arial" w:hint="default"/>
      </w:rPr>
    </w:lvl>
    <w:lvl w:ilvl="1" w:tplc="5FF0EF96" w:tentative="1">
      <w:start w:val="1"/>
      <w:numFmt w:val="bullet"/>
      <w:lvlText w:val="•"/>
      <w:lvlJc w:val="left"/>
      <w:pPr>
        <w:tabs>
          <w:tab w:val="num" w:pos="1440"/>
        </w:tabs>
        <w:ind w:left="1440" w:hanging="360"/>
      </w:pPr>
      <w:rPr>
        <w:rFonts w:ascii="Arial" w:hAnsi="Arial" w:hint="default"/>
      </w:rPr>
    </w:lvl>
    <w:lvl w:ilvl="2" w:tplc="E24C2DF2" w:tentative="1">
      <w:start w:val="1"/>
      <w:numFmt w:val="bullet"/>
      <w:lvlText w:val="•"/>
      <w:lvlJc w:val="left"/>
      <w:pPr>
        <w:tabs>
          <w:tab w:val="num" w:pos="2160"/>
        </w:tabs>
        <w:ind w:left="2160" w:hanging="360"/>
      </w:pPr>
      <w:rPr>
        <w:rFonts w:ascii="Arial" w:hAnsi="Arial" w:hint="default"/>
      </w:rPr>
    </w:lvl>
    <w:lvl w:ilvl="3" w:tplc="00E819B0" w:tentative="1">
      <w:start w:val="1"/>
      <w:numFmt w:val="bullet"/>
      <w:lvlText w:val="•"/>
      <w:lvlJc w:val="left"/>
      <w:pPr>
        <w:tabs>
          <w:tab w:val="num" w:pos="2880"/>
        </w:tabs>
        <w:ind w:left="2880" w:hanging="360"/>
      </w:pPr>
      <w:rPr>
        <w:rFonts w:ascii="Arial" w:hAnsi="Arial" w:hint="default"/>
      </w:rPr>
    </w:lvl>
    <w:lvl w:ilvl="4" w:tplc="DDD4A678" w:tentative="1">
      <w:start w:val="1"/>
      <w:numFmt w:val="bullet"/>
      <w:lvlText w:val="•"/>
      <w:lvlJc w:val="left"/>
      <w:pPr>
        <w:tabs>
          <w:tab w:val="num" w:pos="3600"/>
        </w:tabs>
        <w:ind w:left="3600" w:hanging="360"/>
      </w:pPr>
      <w:rPr>
        <w:rFonts w:ascii="Arial" w:hAnsi="Arial" w:hint="default"/>
      </w:rPr>
    </w:lvl>
    <w:lvl w:ilvl="5" w:tplc="B934B88A" w:tentative="1">
      <w:start w:val="1"/>
      <w:numFmt w:val="bullet"/>
      <w:lvlText w:val="•"/>
      <w:lvlJc w:val="left"/>
      <w:pPr>
        <w:tabs>
          <w:tab w:val="num" w:pos="4320"/>
        </w:tabs>
        <w:ind w:left="4320" w:hanging="360"/>
      </w:pPr>
      <w:rPr>
        <w:rFonts w:ascii="Arial" w:hAnsi="Arial" w:hint="default"/>
      </w:rPr>
    </w:lvl>
    <w:lvl w:ilvl="6" w:tplc="FF529D66" w:tentative="1">
      <w:start w:val="1"/>
      <w:numFmt w:val="bullet"/>
      <w:lvlText w:val="•"/>
      <w:lvlJc w:val="left"/>
      <w:pPr>
        <w:tabs>
          <w:tab w:val="num" w:pos="5040"/>
        </w:tabs>
        <w:ind w:left="5040" w:hanging="360"/>
      </w:pPr>
      <w:rPr>
        <w:rFonts w:ascii="Arial" w:hAnsi="Arial" w:hint="default"/>
      </w:rPr>
    </w:lvl>
    <w:lvl w:ilvl="7" w:tplc="C08C6E90" w:tentative="1">
      <w:start w:val="1"/>
      <w:numFmt w:val="bullet"/>
      <w:lvlText w:val="•"/>
      <w:lvlJc w:val="left"/>
      <w:pPr>
        <w:tabs>
          <w:tab w:val="num" w:pos="5760"/>
        </w:tabs>
        <w:ind w:left="5760" w:hanging="360"/>
      </w:pPr>
      <w:rPr>
        <w:rFonts w:ascii="Arial" w:hAnsi="Arial" w:hint="default"/>
      </w:rPr>
    </w:lvl>
    <w:lvl w:ilvl="8" w:tplc="113681E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40A11EF"/>
    <w:multiLevelType w:val="hybridMultilevel"/>
    <w:tmpl w:val="601EF41C"/>
    <w:lvl w:ilvl="0" w:tplc="183AC34A">
      <w:start w:val="1"/>
      <w:numFmt w:val="bullet"/>
      <w:lvlText w:val="–"/>
      <w:lvlJc w:val="left"/>
      <w:pPr>
        <w:tabs>
          <w:tab w:val="num" w:pos="360"/>
        </w:tabs>
        <w:ind w:left="36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210170"/>
    <w:multiLevelType w:val="hybridMultilevel"/>
    <w:tmpl w:val="93AA7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4A6E90"/>
    <w:multiLevelType w:val="hybridMultilevel"/>
    <w:tmpl w:val="D0002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2E0E60"/>
    <w:multiLevelType w:val="hybridMultilevel"/>
    <w:tmpl w:val="6DDC1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FB4D9D"/>
    <w:multiLevelType w:val="hybridMultilevel"/>
    <w:tmpl w:val="70B08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04F662E"/>
    <w:multiLevelType w:val="hybridMultilevel"/>
    <w:tmpl w:val="845885DA"/>
    <w:lvl w:ilvl="0" w:tplc="67E67CB6">
      <w:start w:val="1"/>
      <w:numFmt w:val="bullet"/>
      <w:lvlText w:val="•"/>
      <w:lvlJc w:val="left"/>
      <w:pPr>
        <w:tabs>
          <w:tab w:val="num" w:pos="360"/>
        </w:tabs>
        <w:ind w:left="360" w:hanging="360"/>
      </w:pPr>
      <w:rPr>
        <w:rFonts w:ascii="Arial" w:hAnsi="Arial" w:hint="default"/>
      </w:rPr>
    </w:lvl>
    <w:lvl w:ilvl="1" w:tplc="C636B06A" w:tentative="1">
      <w:start w:val="1"/>
      <w:numFmt w:val="bullet"/>
      <w:lvlText w:val="•"/>
      <w:lvlJc w:val="left"/>
      <w:pPr>
        <w:tabs>
          <w:tab w:val="num" w:pos="1080"/>
        </w:tabs>
        <w:ind w:left="1080" w:hanging="360"/>
      </w:pPr>
      <w:rPr>
        <w:rFonts w:ascii="Arial" w:hAnsi="Arial" w:hint="default"/>
      </w:rPr>
    </w:lvl>
    <w:lvl w:ilvl="2" w:tplc="78FCCC8C" w:tentative="1">
      <w:start w:val="1"/>
      <w:numFmt w:val="bullet"/>
      <w:lvlText w:val="•"/>
      <w:lvlJc w:val="left"/>
      <w:pPr>
        <w:tabs>
          <w:tab w:val="num" w:pos="1800"/>
        </w:tabs>
        <w:ind w:left="1800" w:hanging="360"/>
      </w:pPr>
      <w:rPr>
        <w:rFonts w:ascii="Arial" w:hAnsi="Arial" w:hint="default"/>
      </w:rPr>
    </w:lvl>
    <w:lvl w:ilvl="3" w:tplc="C57E0898" w:tentative="1">
      <w:start w:val="1"/>
      <w:numFmt w:val="bullet"/>
      <w:lvlText w:val="•"/>
      <w:lvlJc w:val="left"/>
      <w:pPr>
        <w:tabs>
          <w:tab w:val="num" w:pos="2520"/>
        </w:tabs>
        <w:ind w:left="2520" w:hanging="360"/>
      </w:pPr>
      <w:rPr>
        <w:rFonts w:ascii="Arial" w:hAnsi="Arial" w:hint="default"/>
      </w:rPr>
    </w:lvl>
    <w:lvl w:ilvl="4" w:tplc="0FD0DF32" w:tentative="1">
      <w:start w:val="1"/>
      <w:numFmt w:val="bullet"/>
      <w:lvlText w:val="•"/>
      <w:lvlJc w:val="left"/>
      <w:pPr>
        <w:tabs>
          <w:tab w:val="num" w:pos="3240"/>
        </w:tabs>
        <w:ind w:left="3240" w:hanging="360"/>
      </w:pPr>
      <w:rPr>
        <w:rFonts w:ascii="Arial" w:hAnsi="Arial" w:hint="default"/>
      </w:rPr>
    </w:lvl>
    <w:lvl w:ilvl="5" w:tplc="125A8D20" w:tentative="1">
      <w:start w:val="1"/>
      <w:numFmt w:val="bullet"/>
      <w:lvlText w:val="•"/>
      <w:lvlJc w:val="left"/>
      <w:pPr>
        <w:tabs>
          <w:tab w:val="num" w:pos="3960"/>
        </w:tabs>
        <w:ind w:left="3960" w:hanging="360"/>
      </w:pPr>
      <w:rPr>
        <w:rFonts w:ascii="Arial" w:hAnsi="Arial" w:hint="default"/>
      </w:rPr>
    </w:lvl>
    <w:lvl w:ilvl="6" w:tplc="6EA4E6E2" w:tentative="1">
      <w:start w:val="1"/>
      <w:numFmt w:val="bullet"/>
      <w:lvlText w:val="•"/>
      <w:lvlJc w:val="left"/>
      <w:pPr>
        <w:tabs>
          <w:tab w:val="num" w:pos="4680"/>
        </w:tabs>
        <w:ind w:left="4680" w:hanging="360"/>
      </w:pPr>
      <w:rPr>
        <w:rFonts w:ascii="Arial" w:hAnsi="Arial" w:hint="default"/>
      </w:rPr>
    </w:lvl>
    <w:lvl w:ilvl="7" w:tplc="316EBFFC" w:tentative="1">
      <w:start w:val="1"/>
      <w:numFmt w:val="bullet"/>
      <w:lvlText w:val="•"/>
      <w:lvlJc w:val="left"/>
      <w:pPr>
        <w:tabs>
          <w:tab w:val="num" w:pos="5400"/>
        </w:tabs>
        <w:ind w:left="5400" w:hanging="360"/>
      </w:pPr>
      <w:rPr>
        <w:rFonts w:ascii="Arial" w:hAnsi="Arial" w:hint="default"/>
      </w:rPr>
    </w:lvl>
    <w:lvl w:ilvl="8" w:tplc="D7D4A1CA"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46F740E3"/>
    <w:multiLevelType w:val="hybridMultilevel"/>
    <w:tmpl w:val="FD3EC2C0"/>
    <w:lvl w:ilvl="0" w:tplc="183AC34A">
      <w:start w:val="1"/>
      <w:numFmt w:val="bullet"/>
      <w:lvlText w:val="–"/>
      <w:lvlJc w:val="left"/>
      <w:pPr>
        <w:tabs>
          <w:tab w:val="num" w:pos="360"/>
        </w:tabs>
        <w:ind w:left="36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2A003A"/>
    <w:multiLevelType w:val="hybridMultilevel"/>
    <w:tmpl w:val="DF1A6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BC0073"/>
    <w:multiLevelType w:val="hybridMultilevel"/>
    <w:tmpl w:val="F58EE4BC"/>
    <w:lvl w:ilvl="0" w:tplc="B1B2B0EE">
      <w:start w:val="1"/>
      <w:numFmt w:val="decimal"/>
      <w:lvlText w:val="%1."/>
      <w:lvlJc w:val="left"/>
      <w:pPr>
        <w:tabs>
          <w:tab w:val="num" w:pos="720"/>
        </w:tabs>
        <w:ind w:left="720" w:hanging="360"/>
      </w:pPr>
    </w:lvl>
    <w:lvl w:ilvl="1" w:tplc="211205F4" w:tentative="1">
      <w:start w:val="1"/>
      <w:numFmt w:val="decimal"/>
      <w:lvlText w:val="%2."/>
      <w:lvlJc w:val="left"/>
      <w:pPr>
        <w:tabs>
          <w:tab w:val="num" w:pos="1440"/>
        </w:tabs>
        <w:ind w:left="1440" w:hanging="360"/>
      </w:pPr>
    </w:lvl>
    <w:lvl w:ilvl="2" w:tplc="C8027C2C" w:tentative="1">
      <w:start w:val="1"/>
      <w:numFmt w:val="decimal"/>
      <w:lvlText w:val="%3."/>
      <w:lvlJc w:val="left"/>
      <w:pPr>
        <w:tabs>
          <w:tab w:val="num" w:pos="2160"/>
        </w:tabs>
        <w:ind w:left="2160" w:hanging="360"/>
      </w:pPr>
    </w:lvl>
    <w:lvl w:ilvl="3" w:tplc="4A006E2A" w:tentative="1">
      <w:start w:val="1"/>
      <w:numFmt w:val="decimal"/>
      <w:lvlText w:val="%4."/>
      <w:lvlJc w:val="left"/>
      <w:pPr>
        <w:tabs>
          <w:tab w:val="num" w:pos="2880"/>
        </w:tabs>
        <w:ind w:left="2880" w:hanging="360"/>
      </w:pPr>
    </w:lvl>
    <w:lvl w:ilvl="4" w:tplc="C7709FDC" w:tentative="1">
      <w:start w:val="1"/>
      <w:numFmt w:val="decimal"/>
      <w:lvlText w:val="%5."/>
      <w:lvlJc w:val="left"/>
      <w:pPr>
        <w:tabs>
          <w:tab w:val="num" w:pos="3600"/>
        </w:tabs>
        <w:ind w:left="3600" w:hanging="360"/>
      </w:pPr>
    </w:lvl>
    <w:lvl w:ilvl="5" w:tplc="4EF8F62C" w:tentative="1">
      <w:start w:val="1"/>
      <w:numFmt w:val="decimal"/>
      <w:lvlText w:val="%6."/>
      <w:lvlJc w:val="left"/>
      <w:pPr>
        <w:tabs>
          <w:tab w:val="num" w:pos="4320"/>
        </w:tabs>
        <w:ind w:left="4320" w:hanging="360"/>
      </w:pPr>
    </w:lvl>
    <w:lvl w:ilvl="6" w:tplc="B8763BE2" w:tentative="1">
      <w:start w:val="1"/>
      <w:numFmt w:val="decimal"/>
      <w:lvlText w:val="%7."/>
      <w:lvlJc w:val="left"/>
      <w:pPr>
        <w:tabs>
          <w:tab w:val="num" w:pos="5040"/>
        </w:tabs>
        <w:ind w:left="5040" w:hanging="360"/>
      </w:pPr>
    </w:lvl>
    <w:lvl w:ilvl="7" w:tplc="AF42EC94" w:tentative="1">
      <w:start w:val="1"/>
      <w:numFmt w:val="decimal"/>
      <w:lvlText w:val="%8."/>
      <w:lvlJc w:val="left"/>
      <w:pPr>
        <w:tabs>
          <w:tab w:val="num" w:pos="5760"/>
        </w:tabs>
        <w:ind w:left="5760" w:hanging="360"/>
      </w:pPr>
    </w:lvl>
    <w:lvl w:ilvl="8" w:tplc="B34AACB4" w:tentative="1">
      <w:start w:val="1"/>
      <w:numFmt w:val="decimal"/>
      <w:lvlText w:val="%9."/>
      <w:lvlJc w:val="left"/>
      <w:pPr>
        <w:tabs>
          <w:tab w:val="num" w:pos="6480"/>
        </w:tabs>
        <w:ind w:left="6480" w:hanging="360"/>
      </w:pPr>
    </w:lvl>
  </w:abstractNum>
  <w:abstractNum w:abstractNumId="27" w15:restartNumberingAfterBreak="0">
    <w:nsid w:val="4E0C6B80"/>
    <w:multiLevelType w:val="hybridMultilevel"/>
    <w:tmpl w:val="C0E256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0AE7536"/>
    <w:multiLevelType w:val="hybridMultilevel"/>
    <w:tmpl w:val="CA104616"/>
    <w:lvl w:ilvl="0" w:tplc="3048CA54">
      <w:start w:val="1"/>
      <w:numFmt w:val="bullet"/>
      <w:lvlText w:val="•"/>
      <w:lvlJc w:val="left"/>
      <w:pPr>
        <w:tabs>
          <w:tab w:val="num" w:pos="720"/>
        </w:tabs>
        <w:ind w:left="720" w:hanging="360"/>
      </w:pPr>
      <w:rPr>
        <w:rFonts w:ascii="Arial" w:hAnsi="Arial" w:hint="default"/>
      </w:rPr>
    </w:lvl>
    <w:lvl w:ilvl="1" w:tplc="8974AF48" w:tentative="1">
      <w:start w:val="1"/>
      <w:numFmt w:val="bullet"/>
      <w:lvlText w:val="•"/>
      <w:lvlJc w:val="left"/>
      <w:pPr>
        <w:tabs>
          <w:tab w:val="num" w:pos="1440"/>
        </w:tabs>
        <w:ind w:left="1440" w:hanging="360"/>
      </w:pPr>
      <w:rPr>
        <w:rFonts w:ascii="Arial" w:hAnsi="Arial" w:hint="default"/>
      </w:rPr>
    </w:lvl>
    <w:lvl w:ilvl="2" w:tplc="CC649388" w:tentative="1">
      <w:start w:val="1"/>
      <w:numFmt w:val="bullet"/>
      <w:lvlText w:val="•"/>
      <w:lvlJc w:val="left"/>
      <w:pPr>
        <w:tabs>
          <w:tab w:val="num" w:pos="2160"/>
        </w:tabs>
        <w:ind w:left="2160" w:hanging="360"/>
      </w:pPr>
      <w:rPr>
        <w:rFonts w:ascii="Arial" w:hAnsi="Arial" w:hint="default"/>
      </w:rPr>
    </w:lvl>
    <w:lvl w:ilvl="3" w:tplc="367A6366" w:tentative="1">
      <w:start w:val="1"/>
      <w:numFmt w:val="bullet"/>
      <w:lvlText w:val="•"/>
      <w:lvlJc w:val="left"/>
      <w:pPr>
        <w:tabs>
          <w:tab w:val="num" w:pos="2880"/>
        </w:tabs>
        <w:ind w:left="2880" w:hanging="360"/>
      </w:pPr>
      <w:rPr>
        <w:rFonts w:ascii="Arial" w:hAnsi="Arial" w:hint="default"/>
      </w:rPr>
    </w:lvl>
    <w:lvl w:ilvl="4" w:tplc="A500A508" w:tentative="1">
      <w:start w:val="1"/>
      <w:numFmt w:val="bullet"/>
      <w:lvlText w:val="•"/>
      <w:lvlJc w:val="left"/>
      <w:pPr>
        <w:tabs>
          <w:tab w:val="num" w:pos="3600"/>
        </w:tabs>
        <w:ind w:left="3600" w:hanging="360"/>
      </w:pPr>
      <w:rPr>
        <w:rFonts w:ascii="Arial" w:hAnsi="Arial" w:hint="default"/>
      </w:rPr>
    </w:lvl>
    <w:lvl w:ilvl="5" w:tplc="AD669E9C" w:tentative="1">
      <w:start w:val="1"/>
      <w:numFmt w:val="bullet"/>
      <w:lvlText w:val="•"/>
      <w:lvlJc w:val="left"/>
      <w:pPr>
        <w:tabs>
          <w:tab w:val="num" w:pos="4320"/>
        </w:tabs>
        <w:ind w:left="4320" w:hanging="360"/>
      </w:pPr>
      <w:rPr>
        <w:rFonts w:ascii="Arial" w:hAnsi="Arial" w:hint="default"/>
      </w:rPr>
    </w:lvl>
    <w:lvl w:ilvl="6" w:tplc="4034598E" w:tentative="1">
      <w:start w:val="1"/>
      <w:numFmt w:val="bullet"/>
      <w:lvlText w:val="•"/>
      <w:lvlJc w:val="left"/>
      <w:pPr>
        <w:tabs>
          <w:tab w:val="num" w:pos="5040"/>
        </w:tabs>
        <w:ind w:left="5040" w:hanging="360"/>
      </w:pPr>
      <w:rPr>
        <w:rFonts w:ascii="Arial" w:hAnsi="Arial" w:hint="default"/>
      </w:rPr>
    </w:lvl>
    <w:lvl w:ilvl="7" w:tplc="15689994" w:tentative="1">
      <w:start w:val="1"/>
      <w:numFmt w:val="bullet"/>
      <w:lvlText w:val="•"/>
      <w:lvlJc w:val="left"/>
      <w:pPr>
        <w:tabs>
          <w:tab w:val="num" w:pos="5760"/>
        </w:tabs>
        <w:ind w:left="5760" w:hanging="360"/>
      </w:pPr>
      <w:rPr>
        <w:rFonts w:ascii="Arial" w:hAnsi="Arial" w:hint="default"/>
      </w:rPr>
    </w:lvl>
    <w:lvl w:ilvl="8" w:tplc="5768A58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0BE4C46"/>
    <w:multiLevelType w:val="hybridMultilevel"/>
    <w:tmpl w:val="D396CA62"/>
    <w:lvl w:ilvl="0" w:tplc="183AC34A">
      <w:start w:val="1"/>
      <w:numFmt w:val="bullet"/>
      <w:lvlText w:val="–"/>
      <w:lvlJc w:val="left"/>
      <w:pPr>
        <w:tabs>
          <w:tab w:val="num" w:pos="360"/>
        </w:tabs>
        <w:ind w:left="36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7C43EB6"/>
    <w:multiLevelType w:val="hybridMultilevel"/>
    <w:tmpl w:val="FDEAA756"/>
    <w:lvl w:ilvl="0" w:tplc="183AC34A">
      <w:start w:val="1"/>
      <w:numFmt w:val="bullet"/>
      <w:lvlText w:val="–"/>
      <w:lvlJc w:val="left"/>
      <w:pPr>
        <w:tabs>
          <w:tab w:val="num" w:pos="360"/>
        </w:tabs>
        <w:ind w:left="36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560307"/>
    <w:multiLevelType w:val="hybridMultilevel"/>
    <w:tmpl w:val="971A6F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42063C3"/>
    <w:multiLevelType w:val="hybridMultilevel"/>
    <w:tmpl w:val="F566DFFE"/>
    <w:lvl w:ilvl="0" w:tplc="B2E0BAC2">
      <w:start w:val="1"/>
      <w:numFmt w:val="bullet"/>
      <w:lvlText w:val="•"/>
      <w:lvlJc w:val="left"/>
      <w:pPr>
        <w:tabs>
          <w:tab w:val="num" w:pos="720"/>
        </w:tabs>
        <w:ind w:left="720" w:hanging="360"/>
      </w:pPr>
      <w:rPr>
        <w:rFonts w:ascii="Arial" w:hAnsi="Arial" w:hint="default"/>
      </w:rPr>
    </w:lvl>
    <w:lvl w:ilvl="1" w:tplc="30CC5214" w:tentative="1">
      <w:start w:val="1"/>
      <w:numFmt w:val="bullet"/>
      <w:lvlText w:val="•"/>
      <w:lvlJc w:val="left"/>
      <w:pPr>
        <w:tabs>
          <w:tab w:val="num" w:pos="1440"/>
        </w:tabs>
        <w:ind w:left="1440" w:hanging="360"/>
      </w:pPr>
      <w:rPr>
        <w:rFonts w:ascii="Arial" w:hAnsi="Arial" w:hint="default"/>
      </w:rPr>
    </w:lvl>
    <w:lvl w:ilvl="2" w:tplc="5192E380" w:tentative="1">
      <w:start w:val="1"/>
      <w:numFmt w:val="bullet"/>
      <w:lvlText w:val="•"/>
      <w:lvlJc w:val="left"/>
      <w:pPr>
        <w:tabs>
          <w:tab w:val="num" w:pos="2160"/>
        </w:tabs>
        <w:ind w:left="2160" w:hanging="360"/>
      </w:pPr>
      <w:rPr>
        <w:rFonts w:ascii="Arial" w:hAnsi="Arial" w:hint="default"/>
      </w:rPr>
    </w:lvl>
    <w:lvl w:ilvl="3" w:tplc="4888F268" w:tentative="1">
      <w:start w:val="1"/>
      <w:numFmt w:val="bullet"/>
      <w:lvlText w:val="•"/>
      <w:lvlJc w:val="left"/>
      <w:pPr>
        <w:tabs>
          <w:tab w:val="num" w:pos="2880"/>
        </w:tabs>
        <w:ind w:left="2880" w:hanging="360"/>
      </w:pPr>
      <w:rPr>
        <w:rFonts w:ascii="Arial" w:hAnsi="Arial" w:hint="default"/>
      </w:rPr>
    </w:lvl>
    <w:lvl w:ilvl="4" w:tplc="2C145EF8" w:tentative="1">
      <w:start w:val="1"/>
      <w:numFmt w:val="bullet"/>
      <w:lvlText w:val="•"/>
      <w:lvlJc w:val="left"/>
      <w:pPr>
        <w:tabs>
          <w:tab w:val="num" w:pos="3600"/>
        </w:tabs>
        <w:ind w:left="3600" w:hanging="360"/>
      </w:pPr>
      <w:rPr>
        <w:rFonts w:ascii="Arial" w:hAnsi="Arial" w:hint="default"/>
      </w:rPr>
    </w:lvl>
    <w:lvl w:ilvl="5" w:tplc="DCD682CA" w:tentative="1">
      <w:start w:val="1"/>
      <w:numFmt w:val="bullet"/>
      <w:lvlText w:val="•"/>
      <w:lvlJc w:val="left"/>
      <w:pPr>
        <w:tabs>
          <w:tab w:val="num" w:pos="4320"/>
        </w:tabs>
        <w:ind w:left="4320" w:hanging="360"/>
      </w:pPr>
      <w:rPr>
        <w:rFonts w:ascii="Arial" w:hAnsi="Arial" w:hint="default"/>
      </w:rPr>
    </w:lvl>
    <w:lvl w:ilvl="6" w:tplc="0F8A6318" w:tentative="1">
      <w:start w:val="1"/>
      <w:numFmt w:val="bullet"/>
      <w:lvlText w:val="•"/>
      <w:lvlJc w:val="left"/>
      <w:pPr>
        <w:tabs>
          <w:tab w:val="num" w:pos="5040"/>
        </w:tabs>
        <w:ind w:left="5040" w:hanging="360"/>
      </w:pPr>
      <w:rPr>
        <w:rFonts w:ascii="Arial" w:hAnsi="Arial" w:hint="default"/>
      </w:rPr>
    </w:lvl>
    <w:lvl w:ilvl="7" w:tplc="1638C7E0" w:tentative="1">
      <w:start w:val="1"/>
      <w:numFmt w:val="bullet"/>
      <w:lvlText w:val="•"/>
      <w:lvlJc w:val="left"/>
      <w:pPr>
        <w:tabs>
          <w:tab w:val="num" w:pos="5760"/>
        </w:tabs>
        <w:ind w:left="5760" w:hanging="360"/>
      </w:pPr>
      <w:rPr>
        <w:rFonts w:ascii="Arial" w:hAnsi="Arial" w:hint="default"/>
      </w:rPr>
    </w:lvl>
    <w:lvl w:ilvl="8" w:tplc="785AB86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58C7D5A"/>
    <w:multiLevelType w:val="hybridMultilevel"/>
    <w:tmpl w:val="969C8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F736C04"/>
    <w:multiLevelType w:val="hybridMultilevel"/>
    <w:tmpl w:val="35BE1BAC"/>
    <w:lvl w:ilvl="0" w:tplc="F10ABB5A">
      <w:start w:val="1"/>
      <w:numFmt w:val="decimal"/>
      <w:lvlText w:val="%1."/>
      <w:lvlJc w:val="left"/>
      <w:pPr>
        <w:tabs>
          <w:tab w:val="num" w:pos="720"/>
        </w:tabs>
        <w:ind w:left="720" w:hanging="360"/>
      </w:pPr>
    </w:lvl>
    <w:lvl w:ilvl="1" w:tplc="1CC4E438" w:tentative="1">
      <w:start w:val="1"/>
      <w:numFmt w:val="decimal"/>
      <w:lvlText w:val="%2."/>
      <w:lvlJc w:val="left"/>
      <w:pPr>
        <w:tabs>
          <w:tab w:val="num" w:pos="1440"/>
        </w:tabs>
        <w:ind w:left="1440" w:hanging="360"/>
      </w:pPr>
    </w:lvl>
    <w:lvl w:ilvl="2" w:tplc="DAB26796" w:tentative="1">
      <w:start w:val="1"/>
      <w:numFmt w:val="decimal"/>
      <w:lvlText w:val="%3."/>
      <w:lvlJc w:val="left"/>
      <w:pPr>
        <w:tabs>
          <w:tab w:val="num" w:pos="2160"/>
        </w:tabs>
        <w:ind w:left="2160" w:hanging="360"/>
      </w:pPr>
    </w:lvl>
    <w:lvl w:ilvl="3" w:tplc="5D7CD5B2" w:tentative="1">
      <w:start w:val="1"/>
      <w:numFmt w:val="decimal"/>
      <w:lvlText w:val="%4."/>
      <w:lvlJc w:val="left"/>
      <w:pPr>
        <w:tabs>
          <w:tab w:val="num" w:pos="2880"/>
        </w:tabs>
        <w:ind w:left="2880" w:hanging="360"/>
      </w:pPr>
    </w:lvl>
    <w:lvl w:ilvl="4" w:tplc="BE08B306" w:tentative="1">
      <w:start w:val="1"/>
      <w:numFmt w:val="decimal"/>
      <w:lvlText w:val="%5."/>
      <w:lvlJc w:val="left"/>
      <w:pPr>
        <w:tabs>
          <w:tab w:val="num" w:pos="3600"/>
        </w:tabs>
        <w:ind w:left="3600" w:hanging="360"/>
      </w:pPr>
    </w:lvl>
    <w:lvl w:ilvl="5" w:tplc="96D62598" w:tentative="1">
      <w:start w:val="1"/>
      <w:numFmt w:val="decimal"/>
      <w:lvlText w:val="%6."/>
      <w:lvlJc w:val="left"/>
      <w:pPr>
        <w:tabs>
          <w:tab w:val="num" w:pos="4320"/>
        </w:tabs>
        <w:ind w:left="4320" w:hanging="360"/>
      </w:pPr>
    </w:lvl>
    <w:lvl w:ilvl="6" w:tplc="9F32D472" w:tentative="1">
      <w:start w:val="1"/>
      <w:numFmt w:val="decimal"/>
      <w:lvlText w:val="%7."/>
      <w:lvlJc w:val="left"/>
      <w:pPr>
        <w:tabs>
          <w:tab w:val="num" w:pos="5040"/>
        </w:tabs>
        <w:ind w:left="5040" w:hanging="360"/>
      </w:pPr>
    </w:lvl>
    <w:lvl w:ilvl="7" w:tplc="DABE6A0A" w:tentative="1">
      <w:start w:val="1"/>
      <w:numFmt w:val="decimal"/>
      <w:lvlText w:val="%8."/>
      <w:lvlJc w:val="left"/>
      <w:pPr>
        <w:tabs>
          <w:tab w:val="num" w:pos="5760"/>
        </w:tabs>
        <w:ind w:left="5760" w:hanging="360"/>
      </w:pPr>
    </w:lvl>
    <w:lvl w:ilvl="8" w:tplc="59E63E3C" w:tentative="1">
      <w:start w:val="1"/>
      <w:numFmt w:val="decimal"/>
      <w:lvlText w:val="%9."/>
      <w:lvlJc w:val="left"/>
      <w:pPr>
        <w:tabs>
          <w:tab w:val="num" w:pos="6480"/>
        </w:tabs>
        <w:ind w:left="6480" w:hanging="360"/>
      </w:pPr>
    </w:lvl>
  </w:abstractNum>
  <w:abstractNum w:abstractNumId="35" w15:restartNumberingAfterBreak="0">
    <w:nsid w:val="7179113B"/>
    <w:multiLevelType w:val="hybridMultilevel"/>
    <w:tmpl w:val="4F586960"/>
    <w:lvl w:ilvl="0" w:tplc="13E81EAC">
      <w:start w:val="1"/>
      <w:numFmt w:val="bullet"/>
      <w:lvlText w:val="•"/>
      <w:lvlJc w:val="left"/>
      <w:pPr>
        <w:tabs>
          <w:tab w:val="num" w:pos="720"/>
        </w:tabs>
        <w:ind w:left="720" w:hanging="360"/>
      </w:pPr>
      <w:rPr>
        <w:rFonts w:ascii="Arial" w:hAnsi="Arial" w:hint="default"/>
      </w:rPr>
    </w:lvl>
    <w:lvl w:ilvl="1" w:tplc="1D046AFA" w:tentative="1">
      <w:start w:val="1"/>
      <w:numFmt w:val="bullet"/>
      <w:lvlText w:val="•"/>
      <w:lvlJc w:val="left"/>
      <w:pPr>
        <w:tabs>
          <w:tab w:val="num" w:pos="1440"/>
        </w:tabs>
        <w:ind w:left="1440" w:hanging="360"/>
      </w:pPr>
      <w:rPr>
        <w:rFonts w:ascii="Arial" w:hAnsi="Arial" w:hint="default"/>
      </w:rPr>
    </w:lvl>
    <w:lvl w:ilvl="2" w:tplc="7A0EF976" w:tentative="1">
      <w:start w:val="1"/>
      <w:numFmt w:val="bullet"/>
      <w:lvlText w:val="•"/>
      <w:lvlJc w:val="left"/>
      <w:pPr>
        <w:tabs>
          <w:tab w:val="num" w:pos="2160"/>
        </w:tabs>
        <w:ind w:left="2160" w:hanging="360"/>
      </w:pPr>
      <w:rPr>
        <w:rFonts w:ascii="Arial" w:hAnsi="Arial" w:hint="default"/>
      </w:rPr>
    </w:lvl>
    <w:lvl w:ilvl="3" w:tplc="A528611C" w:tentative="1">
      <w:start w:val="1"/>
      <w:numFmt w:val="bullet"/>
      <w:lvlText w:val="•"/>
      <w:lvlJc w:val="left"/>
      <w:pPr>
        <w:tabs>
          <w:tab w:val="num" w:pos="2880"/>
        </w:tabs>
        <w:ind w:left="2880" w:hanging="360"/>
      </w:pPr>
      <w:rPr>
        <w:rFonts w:ascii="Arial" w:hAnsi="Arial" w:hint="default"/>
      </w:rPr>
    </w:lvl>
    <w:lvl w:ilvl="4" w:tplc="08B6A73C" w:tentative="1">
      <w:start w:val="1"/>
      <w:numFmt w:val="bullet"/>
      <w:lvlText w:val="•"/>
      <w:lvlJc w:val="left"/>
      <w:pPr>
        <w:tabs>
          <w:tab w:val="num" w:pos="3600"/>
        </w:tabs>
        <w:ind w:left="3600" w:hanging="360"/>
      </w:pPr>
      <w:rPr>
        <w:rFonts w:ascii="Arial" w:hAnsi="Arial" w:hint="default"/>
      </w:rPr>
    </w:lvl>
    <w:lvl w:ilvl="5" w:tplc="1958C4BA" w:tentative="1">
      <w:start w:val="1"/>
      <w:numFmt w:val="bullet"/>
      <w:lvlText w:val="•"/>
      <w:lvlJc w:val="left"/>
      <w:pPr>
        <w:tabs>
          <w:tab w:val="num" w:pos="4320"/>
        </w:tabs>
        <w:ind w:left="4320" w:hanging="360"/>
      </w:pPr>
      <w:rPr>
        <w:rFonts w:ascii="Arial" w:hAnsi="Arial" w:hint="default"/>
      </w:rPr>
    </w:lvl>
    <w:lvl w:ilvl="6" w:tplc="C902D97C" w:tentative="1">
      <w:start w:val="1"/>
      <w:numFmt w:val="bullet"/>
      <w:lvlText w:val="•"/>
      <w:lvlJc w:val="left"/>
      <w:pPr>
        <w:tabs>
          <w:tab w:val="num" w:pos="5040"/>
        </w:tabs>
        <w:ind w:left="5040" w:hanging="360"/>
      </w:pPr>
      <w:rPr>
        <w:rFonts w:ascii="Arial" w:hAnsi="Arial" w:hint="default"/>
      </w:rPr>
    </w:lvl>
    <w:lvl w:ilvl="7" w:tplc="0BCC0784" w:tentative="1">
      <w:start w:val="1"/>
      <w:numFmt w:val="bullet"/>
      <w:lvlText w:val="•"/>
      <w:lvlJc w:val="left"/>
      <w:pPr>
        <w:tabs>
          <w:tab w:val="num" w:pos="5760"/>
        </w:tabs>
        <w:ind w:left="5760" w:hanging="360"/>
      </w:pPr>
      <w:rPr>
        <w:rFonts w:ascii="Arial" w:hAnsi="Arial" w:hint="default"/>
      </w:rPr>
    </w:lvl>
    <w:lvl w:ilvl="8" w:tplc="8D06BD4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396010C"/>
    <w:multiLevelType w:val="hybridMultilevel"/>
    <w:tmpl w:val="A644E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5D65C87"/>
    <w:multiLevelType w:val="hybridMultilevel"/>
    <w:tmpl w:val="C18EF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7A67A5B"/>
    <w:multiLevelType w:val="hybridMultilevel"/>
    <w:tmpl w:val="9B405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CE6568C"/>
    <w:multiLevelType w:val="hybridMultilevel"/>
    <w:tmpl w:val="72A81A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A6594E"/>
    <w:multiLevelType w:val="hybridMultilevel"/>
    <w:tmpl w:val="A31851AE"/>
    <w:lvl w:ilvl="0" w:tplc="183AC34A">
      <w:start w:val="1"/>
      <w:numFmt w:val="bullet"/>
      <w:lvlText w:val="–"/>
      <w:lvlJc w:val="left"/>
      <w:pPr>
        <w:tabs>
          <w:tab w:val="num" w:pos="360"/>
        </w:tabs>
        <w:ind w:left="36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37"/>
  </w:num>
  <w:num w:numId="4">
    <w:abstractNumId w:val="8"/>
  </w:num>
  <w:num w:numId="5">
    <w:abstractNumId w:val="39"/>
  </w:num>
  <w:num w:numId="6">
    <w:abstractNumId w:val="9"/>
  </w:num>
  <w:num w:numId="7">
    <w:abstractNumId w:val="18"/>
  </w:num>
  <w:num w:numId="8">
    <w:abstractNumId w:val="31"/>
  </w:num>
  <w:num w:numId="9">
    <w:abstractNumId w:val="27"/>
  </w:num>
  <w:num w:numId="10">
    <w:abstractNumId w:val="22"/>
  </w:num>
  <w:num w:numId="11">
    <w:abstractNumId w:val="33"/>
  </w:num>
  <w:num w:numId="12">
    <w:abstractNumId w:val="21"/>
  </w:num>
  <w:num w:numId="13">
    <w:abstractNumId w:val="14"/>
  </w:num>
  <w:num w:numId="14">
    <w:abstractNumId w:val="13"/>
  </w:num>
  <w:num w:numId="15">
    <w:abstractNumId w:val="38"/>
  </w:num>
  <w:num w:numId="16">
    <w:abstractNumId w:val="20"/>
  </w:num>
  <w:num w:numId="17">
    <w:abstractNumId w:val="2"/>
  </w:num>
  <w:num w:numId="18">
    <w:abstractNumId w:val="36"/>
  </w:num>
  <w:num w:numId="19">
    <w:abstractNumId w:val="1"/>
  </w:num>
  <w:num w:numId="20">
    <w:abstractNumId w:val="7"/>
  </w:num>
  <w:num w:numId="21">
    <w:abstractNumId w:val="15"/>
  </w:num>
  <w:num w:numId="22">
    <w:abstractNumId w:val="29"/>
  </w:num>
  <w:num w:numId="23">
    <w:abstractNumId w:val="0"/>
  </w:num>
  <w:num w:numId="24">
    <w:abstractNumId w:val="23"/>
  </w:num>
  <w:num w:numId="25">
    <w:abstractNumId w:val="6"/>
  </w:num>
  <w:num w:numId="26">
    <w:abstractNumId w:val="11"/>
  </w:num>
  <w:num w:numId="27">
    <w:abstractNumId w:val="16"/>
  </w:num>
  <w:num w:numId="28">
    <w:abstractNumId w:val="32"/>
  </w:num>
  <w:num w:numId="29">
    <w:abstractNumId w:val="28"/>
  </w:num>
  <w:num w:numId="30">
    <w:abstractNumId w:val="17"/>
  </w:num>
  <w:num w:numId="31">
    <w:abstractNumId w:val="3"/>
  </w:num>
  <w:num w:numId="32">
    <w:abstractNumId w:val="34"/>
  </w:num>
  <w:num w:numId="33">
    <w:abstractNumId w:val="40"/>
  </w:num>
  <w:num w:numId="34">
    <w:abstractNumId w:val="24"/>
  </w:num>
  <w:num w:numId="35">
    <w:abstractNumId w:val="26"/>
  </w:num>
  <w:num w:numId="36">
    <w:abstractNumId w:val="12"/>
  </w:num>
  <w:num w:numId="37">
    <w:abstractNumId w:val="35"/>
  </w:num>
  <w:num w:numId="38">
    <w:abstractNumId w:val="30"/>
  </w:num>
  <w:num w:numId="39">
    <w:abstractNumId w:val="25"/>
  </w:num>
  <w:num w:numId="40">
    <w:abstractNumId w:val="5"/>
  </w:num>
  <w:num w:numId="41">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bff632fd-3116-4656-ad3d-47811bb6846d"/>
  </w:docVars>
  <w:rsids>
    <w:rsidRoot w:val="007219F1"/>
    <w:rsid w:val="0000143C"/>
    <w:rsid w:val="000016B8"/>
    <w:rsid w:val="00002864"/>
    <w:rsid w:val="00004929"/>
    <w:rsid w:val="00004E72"/>
    <w:rsid w:val="00006428"/>
    <w:rsid w:val="0000661E"/>
    <w:rsid w:val="00006E33"/>
    <w:rsid w:val="00006E88"/>
    <w:rsid w:val="000074C9"/>
    <w:rsid w:val="000074DA"/>
    <w:rsid w:val="000102B7"/>
    <w:rsid w:val="00010E1B"/>
    <w:rsid w:val="0001289A"/>
    <w:rsid w:val="000129EF"/>
    <w:rsid w:val="00012BAB"/>
    <w:rsid w:val="00012C9A"/>
    <w:rsid w:val="000132C9"/>
    <w:rsid w:val="00013EBB"/>
    <w:rsid w:val="0001446D"/>
    <w:rsid w:val="00014AAA"/>
    <w:rsid w:val="00014CA1"/>
    <w:rsid w:val="000166CA"/>
    <w:rsid w:val="00017089"/>
    <w:rsid w:val="00017EAA"/>
    <w:rsid w:val="00017F26"/>
    <w:rsid w:val="000204C4"/>
    <w:rsid w:val="00020B2E"/>
    <w:rsid w:val="00024DF9"/>
    <w:rsid w:val="00024EA7"/>
    <w:rsid w:val="00025408"/>
    <w:rsid w:val="00025BD1"/>
    <w:rsid w:val="000268CE"/>
    <w:rsid w:val="000312ED"/>
    <w:rsid w:val="0003139D"/>
    <w:rsid w:val="00031771"/>
    <w:rsid w:val="00031871"/>
    <w:rsid w:val="00031D4E"/>
    <w:rsid w:val="00032548"/>
    <w:rsid w:val="00034453"/>
    <w:rsid w:val="000344E4"/>
    <w:rsid w:val="0003639F"/>
    <w:rsid w:val="0003688A"/>
    <w:rsid w:val="00036994"/>
    <w:rsid w:val="00037405"/>
    <w:rsid w:val="0003755D"/>
    <w:rsid w:val="000405AB"/>
    <w:rsid w:val="00040C69"/>
    <w:rsid w:val="000412E5"/>
    <w:rsid w:val="00041E26"/>
    <w:rsid w:val="00041F84"/>
    <w:rsid w:val="000420BC"/>
    <w:rsid w:val="00042AD1"/>
    <w:rsid w:val="000448CA"/>
    <w:rsid w:val="0004529D"/>
    <w:rsid w:val="0004587A"/>
    <w:rsid w:val="00045A7C"/>
    <w:rsid w:val="000469EA"/>
    <w:rsid w:val="000604CB"/>
    <w:rsid w:val="00060BC5"/>
    <w:rsid w:val="00061FB1"/>
    <w:rsid w:val="00062C78"/>
    <w:rsid w:val="000634DB"/>
    <w:rsid w:val="00063D46"/>
    <w:rsid w:val="0006485B"/>
    <w:rsid w:val="000659FA"/>
    <w:rsid w:val="00065EC5"/>
    <w:rsid w:val="000716BA"/>
    <w:rsid w:val="00072B6C"/>
    <w:rsid w:val="00073196"/>
    <w:rsid w:val="000741C5"/>
    <w:rsid w:val="00074304"/>
    <w:rsid w:val="000753BF"/>
    <w:rsid w:val="000755F7"/>
    <w:rsid w:val="00075CA1"/>
    <w:rsid w:val="00077A99"/>
    <w:rsid w:val="0008298A"/>
    <w:rsid w:val="0008362E"/>
    <w:rsid w:val="00084840"/>
    <w:rsid w:val="00085A4A"/>
    <w:rsid w:val="000860A2"/>
    <w:rsid w:val="00086362"/>
    <w:rsid w:val="0008654A"/>
    <w:rsid w:val="000868D2"/>
    <w:rsid w:val="00086EAE"/>
    <w:rsid w:val="00087A47"/>
    <w:rsid w:val="00090079"/>
    <w:rsid w:val="000904CA"/>
    <w:rsid w:val="00091032"/>
    <w:rsid w:val="000911AB"/>
    <w:rsid w:val="000934F4"/>
    <w:rsid w:val="00095BF2"/>
    <w:rsid w:val="000968EF"/>
    <w:rsid w:val="000A043B"/>
    <w:rsid w:val="000A0F71"/>
    <w:rsid w:val="000A178E"/>
    <w:rsid w:val="000A27BF"/>
    <w:rsid w:val="000A2B0F"/>
    <w:rsid w:val="000A2CA9"/>
    <w:rsid w:val="000A3F9B"/>
    <w:rsid w:val="000A5203"/>
    <w:rsid w:val="000A57D4"/>
    <w:rsid w:val="000B09DC"/>
    <w:rsid w:val="000B0A74"/>
    <w:rsid w:val="000B1117"/>
    <w:rsid w:val="000B1144"/>
    <w:rsid w:val="000B17C5"/>
    <w:rsid w:val="000B2814"/>
    <w:rsid w:val="000B472F"/>
    <w:rsid w:val="000B5D8F"/>
    <w:rsid w:val="000B6B8D"/>
    <w:rsid w:val="000B7C48"/>
    <w:rsid w:val="000C095B"/>
    <w:rsid w:val="000C0C7D"/>
    <w:rsid w:val="000C20DE"/>
    <w:rsid w:val="000C2D7D"/>
    <w:rsid w:val="000C381C"/>
    <w:rsid w:val="000C3BEF"/>
    <w:rsid w:val="000C4D59"/>
    <w:rsid w:val="000C5826"/>
    <w:rsid w:val="000C5B16"/>
    <w:rsid w:val="000C6D3C"/>
    <w:rsid w:val="000C75A0"/>
    <w:rsid w:val="000D3130"/>
    <w:rsid w:val="000D3724"/>
    <w:rsid w:val="000D5290"/>
    <w:rsid w:val="000D5292"/>
    <w:rsid w:val="000D77F0"/>
    <w:rsid w:val="000E0312"/>
    <w:rsid w:val="000E1A3C"/>
    <w:rsid w:val="000E1BB0"/>
    <w:rsid w:val="000E29D5"/>
    <w:rsid w:val="000E3B32"/>
    <w:rsid w:val="000E4578"/>
    <w:rsid w:val="000E4C61"/>
    <w:rsid w:val="000E6555"/>
    <w:rsid w:val="000F0AC9"/>
    <w:rsid w:val="000F0AF2"/>
    <w:rsid w:val="000F0BD9"/>
    <w:rsid w:val="000F1742"/>
    <w:rsid w:val="000F2189"/>
    <w:rsid w:val="000F469B"/>
    <w:rsid w:val="000F4A69"/>
    <w:rsid w:val="000F5295"/>
    <w:rsid w:val="000F54B9"/>
    <w:rsid w:val="000F5559"/>
    <w:rsid w:val="00100F2C"/>
    <w:rsid w:val="00101BEF"/>
    <w:rsid w:val="001026A1"/>
    <w:rsid w:val="00102C5A"/>
    <w:rsid w:val="00103ADA"/>
    <w:rsid w:val="001060BA"/>
    <w:rsid w:val="00106124"/>
    <w:rsid w:val="00106212"/>
    <w:rsid w:val="001109BD"/>
    <w:rsid w:val="0011108F"/>
    <w:rsid w:val="001110DD"/>
    <w:rsid w:val="0011115B"/>
    <w:rsid w:val="0011171A"/>
    <w:rsid w:val="00112CD6"/>
    <w:rsid w:val="00114B4A"/>
    <w:rsid w:val="00115EE6"/>
    <w:rsid w:val="00120A41"/>
    <w:rsid w:val="0012175B"/>
    <w:rsid w:val="00122E25"/>
    <w:rsid w:val="001230C3"/>
    <w:rsid w:val="00123CD2"/>
    <w:rsid w:val="00124EDB"/>
    <w:rsid w:val="001257FA"/>
    <w:rsid w:val="001262CA"/>
    <w:rsid w:val="00126953"/>
    <w:rsid w:val="00130830"/>
    <w:rsid w:val="00131A23"/>
    <w:rsid w:val="00131CB5"/>
    <w:rsid w:val="00132613"/>
    <w:rsid w:val="00132A0F"/>
    <w:rsid w:val="00134A16"/>
    <w:rsid w:val="001359D9"/>
    <w:rsid w:val="001360E3"/>
    <w:rsid w:val="001369F0"/>
    <w:rsid w:val="0013740B"/>
    <w:rsid w:val="0013769E"/>
    <w:rsid w:val="00137854"/>
    <w:rsid w:val="00143395"/>
    <w:rsid w:val="00143D5F"/>
    <w:rsid w:val="001445FD"/>
    <w:rsid w:val="0014523B"/>
    <w:rsid w:val="0014681C"/>
    <w:rsid w:val="00146C8E"/>
    <w:rsid w:val="00147AD3"/>
    <w:rsid w:val="00147BB2"/>
    <w:rsid w:val="00152722"/>
    <w:rsid w:val="001528CC"/>
    <w:rsid w:val="00152A0C"/>
    <w:rsid w:val="00152F0C"/>
    <w:rsid w:val="0015305C"/>
    <w:rsid w:val="001537AE"/>
    <w:rsid w:val="0015434D"/>
    <w:rsid w:val="001546EC"/>
    <w:rsid w:val="0015654E"/>
    <w:rsid w:val="00156A66"/>
    <w:rsid w:val="00157648"/>
    <w:rsid w:val="00160204"/>
    <w:rsid w:val="00160EA0"/>
    <w:rsid w:val="00160F15"/>
    <w:rsid w:val="001612D4"/>
    <w:rsid w:val="001622EE"/>
    <w:rsid w:val="00162775"/>
    <w:rsid w:val="00163449"/>
    <w:rsid w:val="00164365"/>
    <w:rsid w:val="00164761"/>
    <w:rsid w:val="0016575A"/>
    <w:rsid w:val="00166804"/>
    <w:rsid w:val="00166909"/>
    <w:rsid w:val="00166EC4"/>
    <w:rsid w:val="00166F92"/>
    <w:rsid w:val="001672C5"/>
    <w:rsid w:val="001673B4"/>
    <w:rsid w:val="001723F0"/>
    <w:rsid w:val="00172595"/>
    <w:rsid w:val="00173C38"/>
    <w:rsid w:val="00173FAF"/>
    <w:rsid w:val="0017407E"/>
    <w:rsid w:val="0017438E"/>
    <w:rsid w:val="00175D6E"/>
    <w:rsid w:val="001766C8"/>
    <w:rsid w:val="001813E4"/>
    <w:rsid w:val="00181725"/>
    <w:rsid w:val="00181C7E"/>
    <w:rsid w:val="00181CA6"/>
    <w:rsid w:val="00184632"/>
    <w:rsid w:val="00184C91"/>
    <w:rsid w:val="00185075"/>
    <w:rsid w:val="0018547D"/>
    <w:rsid w:val="00185E90"/>
    <w:rsid w:val="001874DE"/>
    <w:rsid w:val="00190A5B"/>
    <w:rsid w:val="00190CA6"/>
    <w:rsid w:val="00191073"/>
    <w:rsid w:val="00191776"/>
    <w:rsid w:val="001922A6"/>
    <w:rsid w:val="001924F6"/>
    <w:rsid w:val="001930ED"/>
    <w:rsid w:val="00193691"/>
    <w:rsid w:val="00193698"/>
    <w:rsid w:val="00193E03"/>
    <w:rsid w:val="00193F52"/>
    <w:rsid w:val="001944FD"/>
    <w:rsid w:val="00194B8A"/>
    <w:rsid w:val="001954FA"/>
    <w:rsid w:val="00195688"/>
    <w:rsid w:val="00195731"/>
    <w:rsid w:val="00196994"/>
    <w:rsid w:val="00196C2E"/>
    <w:rsid w:val="001A0920"/>
    <w:rsid w:val="001A1144"/>
    <w:rsid w:val="001A2991"/>
    <w:rsid w:val="001A32F7"/>
    <w:rsid w:val="001A3664"/>
    <w:rsid w:val="001A3DAF"/>
    <w:rsid w:val="001A4039"/>
    <w:rsid w:val="001A4479"/>
    <w:rsid w:val="001A4695"/>
    <w:rsid w:val="001A49E1"/>
    <w:rsid w:val="001A5392"/>
    <w:rsid w:val="001A56E9"/>
    <w:rsid w:val="001A67F0"/>
    <w:rsid w:val="001A74B7"/>
    <w:rsid w:val="001B05D2"/>
    <w:rsid w:val="001B0948"/>
    <w:rsid w:val="001B0D6C"/>
    <w:rsid w:val="001B10C1"/>
    <w:rsid w:val="001B1454"/>
    <w:rsid w:val="001B2B48"/>
    <w:rsid w:val="001B3844"/>
    <w:rsid w:val="001B3FAD"/>
    <w:rsid w:val="001B426D"/>
    <w:rsid w:val="001B651E"/>
    <w:rsid w:val="001C07F5"/>
    <w:rsid w:val="001C151E"/>
    <w:rsid w:val="001C1D6B"/>
    <w:rsid w:val="001C3E69"/>
    <w:rsid w:val="001C5BBE"/>
    <w:rsid w:val="001C5E93"/>
    <w:rsid w:val="001C5EE7"/>
    <w:rsid w:val="001C68EC"/>
    <w:rsid w:val="001C7B03"/>
    <w:rsid w:val="001C7D55"/>
    <w:rsid w:val="001D0487"/>
    <w:rsid w:val="001D2980"/>
    <w:rsid w:val="001D3283"/>
    <w:rsid w:val="001D369C"/>
    <w:rsid w:val="001D3EC7"/>
    <w:rsid w:val="001D4BCB"/>
    <w:rsid w:val="001D5688"/>
    <w:rsid w:val="001E0559"/>
    <w:rsid w:val="001E17F6"/>
    <w:rsid w:val="001E1A29"/>
    <w:rsid w:val="001E21F2"/>
    <w:rsid w:val="001E4BF4"/>
    <w:rsid w:val="001E4FBE"/>
    <w:rsid w:val="001E52C8"/>
    <w:rsid w:val="001E5E86"/>
    <w:rsid w:val="001E630D"/>
    <w:rsid w:val="001E6CCB"/>
    <w:rsid w:val="001E6E69"/>
    <w:rsid w:val="001E7DFA"/>
    <w:rsid w:val="001F0AD5"/>
    <w:rsid w:val="001F2DB7"/>
    <w:rsid w:val="001F2F1F"/>
    <w:rsid w:val="001F39D2"/>
    <w:rsid w:val="001F4503"/>
    <w:rsid w:val="001F48CA"/>
    <w:rsid w:val="001F49FD"/>
    <w:rsid w:val="001F56C0"/>
    <w:rsid w:val="001F6CBD"/>
    <w:rsid w:val="001F7AD8"/>
    <w:rsid w:val="00200009"/>
    <w:rsid w:val="002000E3"/>
    <w:rsid w:val="00200490"/>
    <w:rsid w:val="00201652"/>
    <w:rsid w:val="002025E2"/>
    <w:rsid w:val="00202DF6"/>
    <w:rsid w:val="00203052"/>
    <w:rsid w:val="002033D1"/>
    <w:rsid w:val="00203A94"/>
    <w:rsid w:val="00203CD1"/>
    <w:rsid w:val="002042B7"/>
    <w:rsid w:val="002048B4"/>
    <w:rsid w:val="00204CA4"/>
    <w:rsid w:val="00204EC3"/>
    <w:rsid w:val="0020580E"/>
    <w:rsid w:val="00206415"/>
    <w:rsid w:val="00206A12"/>
    <w:rsid w:val="002074B7"/>
    <w:rsid w:val="002075FC"/>
    <w:rsid w:val="00207E61"/>
    <w:rsid w:val="0021192B"/>
    <w:rsid w:val="002129D5"/>
    <w:rsid w:val="002144BC"/>
    <w:rsid w:val="00214570"/>
    <w:rsid w:val="0021480A"/>
    <w:rsid w:val="0021493C"/>
    <w:rsid w:val="002153C4"/>
    <w:rsid w:val="00215465"/>
    <w:rsid w:val="0021623B"/>
    <w:rsid w:val="0021700B"/>
    <w:rsid w:val="00217E0A"/>
    <w:rsid w:val="0022091A"/>
    <w:rsid w:val="00221222"/>
    <w:rsid w:val="00221662"/>
    <w:rsid w:val="00221FC5"/>
    <w:rsid w:val="002221A0"/>
    <w:rsid w:val="00222612"/>
    <w:rsid w:val="00222FEC"/>
    <w:rsid w:val="0022379B"/>
    <w:rsid w:val="00224673"/>
    <w:rsid w:val="00226821"/>
    <w:rsid w:val="002300E4"/>
    <w:rsid w:val="002307B8"/>
    <w:rsid w:val="00230A85"/>
    <w:rsid w:val="00231D1A"/>
    <w:rsid w:val="002326C4"/>
    <w:rsid w:val="00233694"/>
    <w:rsid w:val="00233CDD"/>
    <w:rsid w:val="0023491D"/>
    <w:rsid w:val="00234DA1"/>
    <w:rsid w:val="00235232"/>
    <w:rsid w:val="00235D1E"/>
    <w:rsid w:val="00236098"/>
    <w:rsid w:val="00237163"/>
    <w:rsid w:val="00237879"/>
    <w:rsid w:val="0024025D"/>
    <w:rsid w:val="002404F6"/>
    <w:rsid w:val="00240D5A"/>
    <w:rsid w:val="002410DB"/>
    <w:rsid w:val="00242B5B"/>
    <w:rsid w:val="00242BD2"/>
    <w:rsid w:val="00243AB8"/>
    <w:rsid w:val="00243B0A"/>
    <w:rsid w:val="002448C0"/>
    <w:rsid w:val="002451E2"/>
    <w:rsid w:val="0024524C"/>
    <w:rsid w:val="0024639D"/>
    <w:rsid w:val="00246CDA"/>
    <w:rsid w:val="00247AD7"/>
    <w:rsid w:val="00250CD7"/>
    <w:rsid w:val="00251661"/>
    <w:rsid w:val="00251BAD"/>
    <w:rsid w:val="00253540"/>
    <w:rsid w:val="002537EC"/>
    <w:rsid w:val="00253B28"/>
    <w:rsid w:val="00253CC8"/>
    <w:rsid w:val="00254B6E"/>
    <w:rsid w:val="00254BAA"/>
    <w:rsid w:val="00255892"/>
    <w:rsid w:val="00255D46"/>
    <w:rsid w:val="00255F1C"/>
    <w:rsid w:val="0025667E"/>
    <w:rsid w:val="0025674A"/>
    <w:rsid w:val="00257EEE"/>
    <w:rsid w:val="00262C9E"/>
    <w:rsid w:val="0026479C"/>
    <w:rsid w:val="00264BF3"/>
    <w:rsid w:val="0026533F"/>
    <w:rsid w:val="00265347"/>
    <w:rsid w:val="00265857"/>
    <w:rsid w:val="0026662C"/>
    <w:rsid w:val="0026670A"/>
    <w:rsid w:val="00266726"/>
    <w:rsid w:val="002669D2"/>
    <w:rsid w:val="00267A94"/>
    <w:rsid w:val="00267AAD"/>
    <w:rsid w:val="00270D17"/>
    <w:rsid w:val="00272804"/>
    <w:rsid w:val="00272C10"/>
    <w:rsid w:val="00272CE2"/>
    <w:rsid w:val="0027361B"/>
    <w:rsid w:val="0027405B"/>
    <w:rsid w:val="002744AA"/>
    <w:rsid w:val="00275B96"/>
    <w:rsid w:val="00276D1E"/>
    <w:rsid w:val="002805FD"/>
    <w:rsid w:val="002819A6"/>
    <w:rsid w:val="002821A0"/>
    <w:rsid w:val="00282D85"/>
    <w:rsid w:val="00283F4B"/>
    <w:rsid w:val="002841FE"/>
    <w:rsid w:val="00285559"/>
    <w:rsid w:val="00286BA1"/>
    <w:rsid w:val="00286C8F"/>
    <w:rsid w:val="00290091"/>
    <w:rsid w:val="00290D51"/>
    <w:rsid w:val="00291309"/>
    <w:rsid w:val="00291E4C"/>
    <w:rsid w:val="00293ACD"/>
    <w:rsid w:val="00293B55"/>
    <w:rsid w:val="00293D1E"/>
    <w:rsid w:val="00294946"/>
    <w:rsid w:val="00294B62"/>
    <w:rsid w:val="00294E77"/>
    <w:rsid w:val="00295261"/>
    <w:rsid w:val="0029569C"/>
    <w:rsid w:val="00295E71"/>
    <w:rsid w:val="0029748A"/>
    <w:rsid w:val="00297979"/>
    <w:rsid w:val="002A0264"/>
    <w:rsid w:val="002A0347"/>
    <w:rsid w:val="002A044E"/>
    <w:rsid w:val="002A056C"/>
    <w:rsid w:val="002A07BF"/>
    <w:rsid w:val="002A0B07"/>
    <w:rsid w:val="002A121B"/>
    <w:rsid w:val="002A2C59"/>
    <w:rsid w:val="002A2D5E"/>
    <w:rsid w:val="002A3144"/>
    <w:rsid w:val="002A3D66"/>
    <w:rsid w:val="002A4E72"/>
    <w:rsid w:val="002A4F51"/>
    <w:rsid w:val="002A61DF"/>
    <w:rsid w:val="002A6A13"/>
    <w:rsid w:val="002A718B"/>
    <w:rsid w:val="002A725E"/>
    <w:rsid w:val="002A7562"/>
    <w:rsid w:val="002A79EF"/>
    <w:rsid w:val="002A7C37"/>
    <w:rsid w:val="002B04AF"/>
    <w:rsid w:val="002B09AB"/>
    <w:rsid w:val="002B1336"/>
    <w:rsid w:val="002B15B1"/>
    <w:rsid w:val="002B4085"/>
    <w:rsid w:val="002B4B13"/>
    <w:rsid w:val="002B4D98"/>
    <w:rsid w:val="002B5076"/>
    <w:rsid w:val="002B59AB"/>
    <w:rsid w:val="002B720B"/>
    <w:rsid w:val="002C1644"/>
    <w:rsid w:val="002C1ED0"/>
    <w:rsid w:val="002C344E"/>
    <w:rsid w:val="002C46A0"/>
    <w:rsid w:val="002C4BDD"/>
    <w:rsid w:val="002C5D3A"/>
    <w:rsid w:val="002D097D"/>
    <w:rsid w:val="002D2D22"/>
    <w:rsid w:val="002D2EEA"/>
    <w:rsid w:val="002D35F5"/>
    <w:rsid w:val="002D498D"/>
    <w:rsid w:val="002D49DC"/>
    <w:rsid w:val="002D4F80"/>
    <w:rsid w:val="002D4FB7"/>
    <w:rsid w:val="002D54E0"/>
    <w:rsid w:val="002D6134"/>
    <w:rsid w:val="002D7401"/>
    <w:rsid w:val="002D7DBC"/>
    <w:rsid w:val="002E0224"/>
    <w:rsid w:val="002E08DD"/>
    <w:rsid w:val="002E149C"/>
    <w:rsid w:val="002E14F1"/>
    <w:rsid w:val="002E255B"/>
    <w:rsid w:val="002E323A"/>
    <w:rsid w:val="002E481C"/>
    <w:rsid w:val="002E5AC5"/>
    <w:rsid w:val="002E6832"/>
    <w:rsid w:val="002F065F"/>
    <w:rsid w:val="002F3379"/>
    <w:rsid w:val="002F5769"/>
    <w:rsid w:val="002F5A4D"/>
    <w:rsid w:val="002F6D71"/>
    <w:rsid w:val="00300469"/>
    <w:rsid w:val="00300903"/>
    <w:rsid w:val="00300EA9"/>
    <w:rsid w:val="003023B1"/>
    <w:rsid w:val="00302A12"/>
    <w:rsid w:val="003033F1"/>
    <w:rsid w:val="00304B5A"/>
    <w:rsid w:val="00304C20"/>
    <w:rsid w:val="00305134"/>
    <w:rsid w:val="00305B20"/>
    <w:rsid w:val="003078FF"/>
    <w:rsid w:val="00307948"/>
    <w:rsid w:val="00307D5A"/>
    <w:rsid w:val="00310861"/>
    <w:rsid w:val="003108B9"/>
    <w:rsid w:val="00311C3F"/>
    <w:rsid w:val="00312CD2"/>
    <w:rsid w:val="00314519"/>
    <w:rsid w:val="0031488E"/>
    <w:rsid w:val="00314C3C"/>
    <w:rsid w:val="003158E7"/>
    <w:rsid w:val="00316D67"/>
    <w:rsid w:val="00317601"/>
    <w:rsid w:val="003176BB"/>
    <w:rsid w:val="00317DD7"/>
    <w:rsid w:val="00322204"/>
    <w:rsid w:val="0032261E"/>
    <w:rsid w:val="00322846"/>
    <w:rsid w:val="003237EE"/>
    <w:rsid w:val="00323BB7"/>
    <w:rsid w:val="003243F6"/>
    <w:rsid w:val="00325ABE"/>
    <w:rsid w:val="00326217"/>
    <w:rsid w:val="0032727F"/>
    <w:rsid w:val="003279E9"/>
    <w:rsid w:val="00327A47"/>
    <w:rsid w:val="00327B38"/>
    <w:rsid w:val="0033081A"/>
    <w:rsid w:val="00330F89"/>
    <w:rsid w:val="003328F8"/>
    <w:rsid w:val="00333471"/>
    <w:rsid w:val="0033350A"/>
    <w:rsid w:val="00334027"/>
    <w:rsid w:val="00334CD8"/>
    <w:rsid w:val="00335951"/>
    <w:rsid w:val="00335A61"/>
    <w:rsid w:val="003366FA"/>
    <w:rsid w:val="00336946"/>
    <w:rsid w:val="00336A0A"/>
    <w:rsid w:val="003405E1"/>
    <w:rsid w:val="003407BB"/>
    <w:rsid w:val="00343046"/>
    <w:rsid w:val="00343419"/>
    <w:rsid w:val="00344CB7"/>
    <w:rsid w:val="00345535"/>
    <w:rsid w:val="003461CD"/>
    <w:rsid w:val="0034722A"/>
    <w:rsid w:val="0035001E"/>
    <w:rsid w:val="00350990"/>
    <w:rsid w:val="00350C07"/>
    <w:rsid w:val="00350CBF"/>
    <w:rsid w:val="00351860"/>
    <w:rsid w:val="00353FA6"/>
    <w:rsid w:val="00354A29"/>
    <w:rsid w:val="00355090"/>
    <w:rsid w:val="003554B9"/>
    <w:rsid w:val="00357FC2"/>
    <w:rsid w:val="00360402"/>
    <w:rsid w:val="00361A25"/>
    <w:rsid w:val="00361BDF"/>
    <w:rsid w:val="00363B63"/>
    <w:rsid w:val="0036451C"/>
    <w:rsid w:val="003646B3"/>
    <w:rsid w:val="0036495A"/>
    <w:rsid w:val="003649C9"/>
    <w:rsid w:val="00365035"/>
    <w:rsid w:val="0036660A"/>
    <w:rsid w:val="00367546"/>
    <w:rsid w:val="00367B45"/>
    <w:rsid w:val="003707E5"/>
    <w:rsid w:val="0037146D"/>
    <w:rsid w:val="00371ABC"/>
    <w:rsid w:val="003726B0"/>
    <w:rsid w:val="00372939"/>
    <w:rsid w:val="00373586"/>
    <w:rsid w:val="00373853"/>
    <w:rsid w:val="00373A7F"/>
    <w:rsid w:val="00373C12"/>
    <w:rsid w:val="00374A90"/>
    <w:rsid w:val="003754CC"/>
    <w:rsid w:val="00375964"/>
    <w:rsid w:val="0037675B"/>
    <w:rsid w:val="00376969"/>
    <w:rsid w:val="0037717D"/>
    <w:rsid w:val="0037726E"/>
    <w:rsid w:val="00380C0B"/>
    <w:rsid w:val="00380F7A"/>
    <w:rsid w:val="00381DAF"/>
    <w:rsid w:val="00382CAF"/>
    <w:rsid w:val="0038302C"/>
    <w:rsid w:val="0038375B"/>
    <w:rsid w:val="00383C5A"/>
    <w:rsid w:val="00383DB3"/>
    <w:rsid w:val="0038419B"/>
    <w:rsid w:val="00385340"/>
    <w:rsid w:val="0038698C"/>
    <w:rsid w:val="003874A2"/>
    <w:rsid w:val="0039002C"/>
    <w:rsid w:val="0039010F"/>
    <w:rsid w:val="00390158"/>
    <w:rsid w:val="003903B9"/>
    <w:rsid w:val="0039187F"/>
    <w:rsid w:val="0039453E"/>
    <w:rsid w:val="00395D94"/>
    <w:rsid w:val="00395E68"/>
    <w:rsid w:val="003A0318"/>
    <w:rsid w:val="003A0B65"/>
    <w:rsid w:val="003A0D20"/>
    <w:rsid w:val="003A2482"/>
    <w:rsid w:val="003A299D"/>
    <w:rsid w:val="003A3238"/>
    <w:rsid w:val="003A3F9B"/>
    <w:rsid w:val="003A44A6"/>
    <w:rsid w:val="003A5574"/>
    <w:rsid w:val="003A5A9C"/>
    <w:rsid w:val="003A5B21"/>
    <w:rsid w:val="003A6033"/>
    <w:rsid w:val="003A6374"/>
    <w:rsid w:val="003A761D"/>
    <w:rsid w:val="003A79EC"/>
    <w:rsid w:val="003A7B01"/>
    <w:rsid w:val="003A7B16"/>
    <w:rsid w:val="003A7C53"/>
    <w:rsid w:val="003B090F"/>
    <w:rsid w:val="003B09BE"/>
    <w:rsid w:val="003B0E35"/>
    <w:rsid w:val="003B0FD3"/>
    <w:rsid w:val="003B1ABE"/>
    <w:rsid w:val="003B1FB6"/>
    <w:rsid w:val="003B2A97"/>
    <w:rsid w:val="003B2BB8"/>
    <w:rsid w:val="003B3FA1"/>
    <w:rsid w:val="003B58D9"/>
    <w:rsid w:val="003B59EE"/>
    <w:rsid w:val="003B5BEF"/>
    <w:rsid w:val="003B5DC3"/>
    <w:rsid w:val="003B5EE9"/>
    <w:rsid w:val="003B7109"/>
    <w:rsid w:val="003B741D"/>
    <w:rsid w:val="003C081A"/>
    <w:rsid w:val="003C129B"/>
    <w:rsid w:val="003C1CA6"/>
    <w:rsid w:val="003C1F72"/>
    <w:rsid w:val="003C22EE"/>
    <w:rsid w:val="003C26CB"/>
    <w:rsid w:val="003C323A"/>
    <w:rsid w:val="003C4A22"/>
    <w:rsid w:val="003C5136"/>
    <w:rsid w:val="003C5C2F"/>
    <w:rsid w:val="003C6017"/>
    <w:rsid w:val="003C6123"/>
    <w:rsid w:val="003D05B6"/>
    <w:rsid w:val="003D066C"/>
    <w:rsid w:val="003D0D0C"/>
    <w:rsid w:val="003D0E58"/>
    <w:rsid w:val="003D1690"/>
    <w:rsid w:val="003D303B"/>
    <w:rsid w:val="003D3412"/>
    <w:rsid w:val="003D34FF"/>
    <w:rsid w:val="003D351F"/>
    <w:rsid w:val="003D5067"/>
    <w:rsid w:val="003D551D"/>
    <w:rsid w:val="003D564F"/>
    <w:rsid w:val="003D5689"/>
    <w:rsid w:val="003D593D"/>
    <w:rsid w:val="003D787E"/>
    <w:rsid w:val="003D7D03"/>
    <w:rsid w:val="003D7F70"/>
    <w:rsid w:val="003E0E8F"/>
    <w:rsid w:val="003E16EC"/>
    <w:rsid w:val="003E1779"/>
    <w:rsid w:val="003E17B6"/>
    <w:rsid w:val="003E18C0"/>
    <w:rsid w:val="003E18F0"/>
    <w:rsid w:val="003E2FB0"/>
    <w:rsid w:val="003E3594"/>
    <w:rsid w:val="003E436C"/>
    <w:rsid w:val="003E6AC1"/>
    <w:rsid w:val="003F113B"/>
    <w:rsid w:val="003F1805"/>
    <w:rsid w:val="003F2102"/>
    <w:rsid w:val="003F3495"/>
    <w:rsid w:val="003F4B5B"/>
    <w:rsid w:val="003F4FAC"/>
    <w:rsid w:val="003F614F"/>
    <w:rsid w:val="003F7BCE"/>
    <w:rsid w:val="0040062A"/>
    <w:rsid w:val="00401C4E"/>
    <w:rsid w:val="0040200E"/>
    <w:rsid w:val="004024D0"/>
    <w:rsid w:val="00403673"/>
    <w:rsid w:val="00403D5D"/>
    <w:rsid w:val="00404345"/>
    <w:rsid w:val="004045DB"/>
    <w:rsid w:val="00404F92"/>
    <w:rsid w:val="004060F8"/>
    <w:rsid w:val="004064CE"/>
    <w:rsid w:val="004068CC"/>
    <w:rsid w:val="00407420"/>
    <w:rsid w:val="00407B2D"/>
    <w:rsid w:val="004100CE"/>
    <w:rsid w:val="00410810"/>
    <w:rsid w:val="00410D10"/>
    <w:rsid w:val="00411206"/>
    <w:rsid w:val="004115EB"/>
    <w:rsid w:val="0041248A"/>
    <w:rsid w:val="00413371"/>
    <w:rsid w:val="004133A3"/>
    <w:rsid w:val="00414CE2"/>
    <w:rsid w:val="004150A2"/>
    <w:rsid w:val="00415141"/>
    <w:rsid w:val="004171D4"/>
    <w:rsid w:val="00417683"/>
    <w:rsid w:val="004176AA"/>
    <w:rsid w:val="00417813"/>
    <w:rsid w:val="00420871"/>
    <w:rsid w:val="00420D21"/>
    <w:rsid w:val="0042108C"/>
    <w:rsid w:val="00422719"/>
    <w:rsid w:val="00422973"/>
    <w:rsid w:val="00422AAC"/>
    <w:rsid w:val="0042387D"/>
    <w:rsid w:val="00423F72"/>
    <w:rsid w:val="00426926"/>
    <w:rsid w:val="00426A28"/>
    <w:rsid w:val="00426D4C"/>
    <w:rsid w:val="00427608"/>
    <w:rsid w:val="00427D92"/>
    <w:rsid w:val="0043052D"/>
    <w:rsid w:val="004305E3"/>
    <w:rsid w:val="004316E3"/>
    <w:rsid w:val="00431F73"/>
    <w:rsid w:val="00432FCA"/>
    <w:rsid w:val="00433319"/>
    <w:rsid w:val="00435307"/>
    <w:rsid w:val="004367CF"/>
    <w:rsid w:val="00436904"/>
    <w:rsid w:val="00440242"/>
    <w:rsid w:val="00440543"/>
    <w:rsid w:val="00440996"/>
    <w:rsid w:val="004412BF"/>
    <w:rsid w:val="00441470"/>
    <w:rsid w:val="004414AC"/>
    <w:rsid w:val="004416CB"/>
    <w:rsid w:val="00441762"/>
    <w:rsid w:val="00441B84"/>
    <w:rsid w:val="00441C6F"/>
    <w:rsid w:val="0044206B"/>
    <w:rsid w:val="00442985"/>
    <w:rsid w:val="00443099"/>
    <w:rsid w:val="0044369D"/>
    <w:rsid w:val="0044412E"/>
    <w:rsid w:val="004455D4"/>
    <w:rsid w:val="004460C8"/>
    <w:rsid w:val="00447705"/>
    <w:rsid w:val="00451CCD"/>
    <w:rsid w:val="00452A6A"/>
    <w:rsid w:val="00452D76"/>
    <w:rsid w:val="0045410B"/>
    <w:rsid w:val="00460170"/>
    <w:rsid w:val="004603F6"/>
    <w:rsid w:val="004604CF"/>
    <w:rsid w:val="00460C2C"/>
    <w:rsid w:val="00461D91"/>
    <w:rsid w:val="00461E6B"/>
    <w:rsid w:val="00461FBD"/>
    <w:rsid w:val="004625EE"/>
    <w:rsid w:val="00462730"/>
    <w:rsid w:val="00462A69"/>
    <w:rsid w:val="004639CF"/>
    <w:rsid w:val="004643ED"/>
    <w:rsid w:val="00465D5E"/>
    <w:rsid w:val="00465F25"/>
    <w:rsid w:val="00466B53"/>
    <w:rsid w:val="00466E5B"/>
    <w:rsid w:val="004670AD"/>
    <w:rsid w:val="00467D91"/>
    <w:rsid w:val="00470BE7"/>
    <w:rsid w:val="00472AEA"/>
    <w:rsid w:val="00473CCD"/>
    <w:rsid w:val="00474089"/>
    <w:rsid w:val="00475807"/>
    <w:rsid w:val="00475832"/>
    <w:rsid w:val="00475F7E"/>
    <w:rsid w:val="00475F91"/>
    <w:rsid w:val="00477D4F"/>
    <w:rsid w:val="00481408"/>
    <w:rsid w:val="0048215F"/>
    <w:rsid w:val="004821EE"/>
    <w:rsid w:val="00483410"/>
    <w:rsid w:val="00483B68"/>
    <w:rsid w:val="00484002"/>
    <w:rsid w:val="0048411B"/>
    <w:rsid w:val="0048464C"/>
    <w:rsid w:val="004854CD"/>
    <w:rsid w:val="004862DE"/>
    <w:rsid w:val="004865CC"/>
    <w:rsid w:val="004867FC"/>
    <w:rsid w:val="00486D0C"/>
    <w:rsid w:val="0048730A"/>
    <w:rsid w:val="00487CF7"/>
    <w:rsid w:val="00487D2E"/>
    <w:rsid w:val="00490E5A"/>
    <w:rsid w:val="0049119B"/>
    <w:rsid w:val="0049130B"/>
    <w:rsid w:val="0049137A"/>
    <w:rsid w:val="00495F90"/>
    <w:rsid w:val="00496DC2"/>
    <w:rsid w:val="004972BA"/>
    <w:rsid w:val="004A01CD"/>
    <w:rsid w:val="004A039D"/>
    <w:rsid w:val="004A3279"/>
    <w:rsid w:val="004A34F1"/>
    <w:rsid w:val="004A3FDA"/>
    <w:rsid w:val="004A4533"/>
    <w:rsid w:val="004A4A5D"/>
    <w:rsid w:val="004A4D14"/>
    <w:rsid w:val="004A4F96"/>
    <w:rsid w:val="004A4F9E"/>
    <w:rsid w:val="004A5B4B"/>
    <w:rsid w:val="004A72F6"/>
    <w:rsid w:val="004A7B9A"/>
    <w:rsid w:val="004B077A"/>
    <w:rsid w:val="004B0BCA"/>
    <w:rsid w:val="004B2429"/>
    <w:rsid w:val="004B254D"/>
    <w:rsid w:val="004B39A4"/>
    <w:rsid w:val="004B3F07"/>
    <w:rsid w:val="004B45D2"/>
    <w:rsid w:val="004B4678"/>
    <w:rsid w:val="004B4777"/>
    <w:rsid w:val="004B54CA"/>
    <w:rsid w:val="004B5F1D"/>
    <w:rsid w:val="004B6448"/>
    <w:rsid w:val="004B6A06"/>
    <w:rsid w:val="004B75A9"/>
    <w:rsid w:val="004B7980"/>
    <w:rsid w:val="004B7E0C"/>
    <w:rsid w:val="004C073A"/>
    <w:rsid w:val="004C075D"/>
    <w:rsid w:val="004C2508"/>
    <w:rsid w:val="004C4992"/>
    <w:rsid w:val="004C49E2"/>
    <w:rsid w:val="004C4D57"/>
    <w:rsid w:val="004C6C61"/>
    <w:rsid w:val="004C6CE2"/>
    <w:rsid w:val="004C7838"/>
    <w:rsid w:val="004C796C"/>
    <w:rsid w:val="004D0470"/>
    <w:rsid w:val="004D0B44"/>
    <w:rsid w:val="004D0FA0"/>
    <w:rsid w:val="004D127F"/>
    <w:rsid w:val="004D1F8C"/>
    <w:rsid w:val="004D226D"/>
    <w:rsid w:val="004D2950"/>
    <w:rsid w:val="004D2AC4"/>
    <w:rsid w:val="004D2D2C"/>
    <w:rsid w:val="004D32B5"/>
    <w:rsid w:val="004D3424"/>
    <w:rsid w:val="004D3929"/>
    <w:rsid w:val="004D3FF7"/>
    <w:rsid w:val="004D4B64"/>
    <w:rsid w:val="004D5FB4"/>
    <w:rsid w:val="004D66E3"/>
    <w:rsid w:val="004D6D5B"/>
    <w:rsid w:val="004D764D"/>
    <w:rsid w:val="004E21FC"/>
    <w:rsid w:val="004E2CB6"/>
    <w:rsid w:val="004E4B66"/>
    <w:rsid w:val="004E5A0F"/>
    <w:rsid w:val="004E5CBF"/>
    <w:rsid w:val="004E65E1"/>
    <w:rsid w:val="004E739B"/>
    <w:rsid w:val="004F009F"/>
    <w:rsid w:val="004F06D4"/>
    <w:rsid w:val="004F09EF"/>
    <w:rsid w:val="004F1A93"/>
    <w:rsid w:val="004F2629"/>
    <w:rsid w:val="004F3760"/>
    <w:rsid w:val="004F46B5"/>
    <w:rsid w:val="004F547F"/>
    <w:rsid w:val="004F5546"/>
    <w:rsid w:val="004F5BED"/>
    <w:rsid w:val="004F5C55"/>
    <w:rsid w:val="004F614E"/>
    <w:rsid w:val="004F61B9"/>
    <w:rsid w:val="005005EF"/>
    <w:rsid w:val="00500872"/>
    <w:rsid w:val="0050142D"/>
    <w:rsid w:val="005021E6"/>
    <w:rsid w:val="00502E97"/>
    <w:rsid w:val="00503FF3"/>
    <w:rsid w:val="00504246"/>
    <w:rsid w:val="0050443B"/>
    <w:rsid w:val="0050456B"/>
    <w:rsid w:val="005058E8"/>
    <w:rsid w:val="00505A50"/>
    <w:rsid w:val="00505EE0"/>
    <w:rsid w:val="00506190"/>
    <w:rsid w:val="00507986"/>
    <w:rsid w:val="0051081D"/>
    <w:rsid w:val="00511DDE"/>
    <w:rsid w:val="0051237D"/>
    <w:rsid w:val="00512CFB"/>
    <w:rsid w:val="005132FD"/>
    <w:rsid w:val="005138A2"/>
    <w:rsid w:val="005139D2"/>
    <w:rsid w:val="005141E9"/>
    <w:rsid w:val="0051495C"/>
    <w:rsid w:val="0051611F"/>
    <w:rsid w:val="0051777E"/>
    <w:rsid w:val="00517C1A"/>
    <w:rsid w:val="00517D99"/>
    <w:rsid w:val="00521F16"/>
    <w:rsid w:val="0052318A"/>
    <w:rsid w:val="0052370E"/>
    <w:rsid w:val="00523D9B"/>
    <w:rsid w:val="00523DCB"/>
    <w:rsid w:val="00523E38"/>
    <w:rsid w:val="00524ABA"/>
    <w:rsid w:val="00524B75"/>
    <w:rsid w:val="0052555D"/>
    <w:rsid w:val="0052567C"/>
    <w:rsid w:val="00525BC4"/>
    <w:rsid w:val="00525FD2"/>
    <w:rsid w:val="005268E9"/>
    <w:rsid w:val="00526CC2"/>
    <w:rsid w:val="00526D3C"/>
    <w:rsid w:val="00527533"/>
    <w:rsid w:val="00531EF6"/>
    <w:rsid w:val="005324CA"/>
    <w:rsid w:val="00535231"/>
    <w:rsid w:val="00536E0E"/>
    <w:rsid w:val="005374B5"/>
    <w:rsid w:val="005408B2"/>
    <w:rsid w:val="00541F85"/>
    <w:rsid w:val="005423E3"/>
    <w:rsid w:val="00542802"/>
    <w:rsid w:val="0054416B"/>
    <w:rsid w:val="0054531C"/>
    <w:rsid w:val="00545C74"/>
    <w:rsid w:val="00545DDC"/>
    <w:rsid w:val="00546642"/>
    <w:rsid w:val="00546842"/>
    <w:rsid w:val="00547E0C"/>
    <w:rsid w:val="00550611"/>
    <w:rsid w:val="005507CD"/>
    <w:rsid w:val="00550987"/>
    <w:rsid w:val="00550DD9"/>
    <w:rsid w:val="00553657"/>
    <w:rsid w:val="00553771"/>
    <w:rsid w:val="00554E7C"/>
    <w:rsid w:val="005552C6"/>
    <w:rsid w:val="0055696F"/>
    <w:rsid w:val="00557A98"/>
    <w:rsid w:val="00557EAE"/>
    <w:rsid w:val="005608F3"/>
    <w:rsid w:val="00560A2F"/>
    <w:rsid w:val="00560B5F"/>
    <w:rsid w:val="00560C4D"/>
    <w:rsid w:val="00560F55"/>
    <w:rsid w:val="00562578"/>
    <w:rsid w:val="00562589"/>
    <w:rsid w:val="00562717"/>
    <w:rsid w:val="00562B07"/>
    <w:rsid w:val="00562F79"/>
    <w:rsid w:val="00565D76"/>
    <w:rsid w:val="00566388"/>
    <w:rsid w:val="00566731"/>
    <w:rsid w:val="00566F20"/>
    <w:rsid w:val="00567964"/>
    <w:rsid w:val="0057078F"/>
    <w:rsid w:val="00570A13"/>
    <w:rsid w:val="00570C35"/>
    <w:rsid w:val="005710EF"/>
    <w:rsid w:val="00571FF0"/>
    <w:rsid w:val="005722D9"/>
    <w:rsid w:val="005735F3"/>
    <w:rsid w:val="00574AE3"/>
    <w:rsid w:val="00574FB5"/>
    <w:rsid w:val="005759F5"/>
    <w:rsid w:val="00575BFF"/>
    <w:rsid w:val="00576563"/>
    <w:rsid w:val="00576A2D"/>
    <w:rsid w:val="00577522"/>
    <w:rsid w:val="00577599"/>
    <w:rsid w:val="00577F6C"/>
    <w:rsid w:val="00580965"/>
    <w:rsid w:val="00581D68"/>
    <w:rsid w:val="00582B13"/>
    <w:rsid w:val="005851E4"/>
    <w:rsid w:val="00585772"/>
    <w:rsid w:val="00585BB1"/>
    <w:rsid w:val="00585D65"/>
    <w:rsid w:val="0058702C"/>
    <w:rsid w:val="0059336E"/>
    <w:rsid w:val="00593439"/>
    <w:rsid w:val="00593A0B"/>
    <w:rsid w:val="00593F66"/>
    <w:rsid w:val="00594614"/>
    <w:rsid w:val="00595693"/>
    <w:rsid w:val="00595E81"/>
    <w:rsid w:val="00596DED"/>
    <w:rsid w:val="00597003"/>
    <w:rsid w:val="0059799C"/>
    <w:rsid w:val="005A0A02"/>
    <w:rsid w:val="005A131E"/>
    <w:rsid w:val="005A2F1D"/>
    <w:rsid w:val="005A322A"/>
    <w:rsid w:val="005A3329"/>
    <w:rsid w:val="005A39D0"/>
    <w:rsid w:val="005A4113"/>
    <w:rsid w:val="005A55BD"/>
    <w:rsid w:val="005A55E6"/>
    <w:rsid w:val="005A583C"/>
    <w:rsid w:val="005A61E7"/>
    <w:rsid w:val="005A6D78"/>
    <w:rsid w:val="005A717F"/>
    <w:rsid w:val="005A73E8"/>
    <w:rsid w:val="005B12BF"/>
    <w:rsid w:val="005B5497"/>
    <w:rsid w:val="005B64FC"/>
    <w:rsid w:val="005B682D"/>
    <w:rsid w:val="005B7138"/>
    <w:rsid w:val="005B7248"/>
    <w:rsid w:val="005B74AB"/>
    <w:rsid w:val="005C03D6"/>
    <w:rsid w:val="005C0F0F"/>
    <w:rsid w:val="005C146A"/>
    <w:rsid w:val="005C246E"/>
    <w:rsid w:val="005C2519"/>
    <w:rsid w:val="005C2ECB"/>
    <w:rsid w:val="005C308F"/>
    <w:rsid w:val="005C30DD"/>
    <w:rsid w:val="005C3AA9"/>
    <w:rsid w:val="005C5112"/>
    <w:rsid w:val="005C5999"/>
    <w:rsid w:val="005C5EA3"/>
    <w:rsid w:val="005C7A04"/>
    <w:rsid w:val="005C7CAD"/>
    <w:rsid w:val="005D127D"/>
    <w:rsid w:val="005D12AE"/>
    <w:rsid w:val="005D1AEB"/>
    <w:rsid w:val="005D1CC8"/>
    <w:rsid w:val="005D22F8"/>
    <w:rsid w:val="005D29C2"/>
    <w:rsid w:val="005D5153"/>
    <w:rsid w:val="005D5BF5"/>
    <w:rsid w:val="005D730D"/>
    <w:rsid w:val="005D7A19"/>
    <w:rsid w:val="005E0D57"/>
    <w:rsid w:val="005E129E"/>
    <w:rsid w:val="005E26AC"/>
    <w:rsid w:val="005E2D87"/>
    <w:rsid w:val="005E5BDD"/>
    <w:rsid w:val="005E5D8A"/>
    <w:rsid w:val="005E5F0E"/>
    <w:rsid w:val="005E6874"/>
    <w:rsid w:val="005E73BC"/>
    <w:rsid w:val="005E75E4"/>
    <w:rsid w:val="005E7D4C"/>
    <w:rsid w:val="005E7F81"/>
    <w:rsid w:val="005F0BB3"/>
    <w:rsid w:val="005F0F24"/>
    <w:rsid w:val="005F14DF"/>
    <w:rsid w:val="005F3CDB"/>
    <w:rsid w:val="005F4ACB"/>
    <w:rsid w:val="005F4CD8"/>
    <w:rsid w:val="005F635D"/>
    <w:rsid w:val="005F6519"/>
    <w:rsid w:val="005F655E"/>
    <w:rsid w:val="005F65BE"/>
    <w:rsid w:val="005F6C4C"/>
    <w:rsid w:val="005F7608"/>
    <w:rsid w:val="005F788F"/>
    <w:rsid w:val="005F7986"/>
    <w:rsid w:val="005F7C16"/>
    <w:rsid w:val="005F7CCB"/>
    <w:rsid w:val="0060026A"/>
    <w:rsid w:val="00601205"/>
    <w:rsid w:val="006015EC"/>
    <w:rsid w:val="00602B32"/>
    <w:rsid w:val="00603307"/>
    <w:rsid w:val="00604E92"/>
    <w:rsid w:val="00605F44"/>
    <w:rsid w:val="00606B47"/>
    <w:rsid w:val="00607F39"/>
    <w:rsid w:val="00611A52"/>
    <w:rsid w:val="00611BEF"/>
    <w:rsid w:val="00612FFB"/>
    <w:rsid w:val="00614642"/>
    <w:rsid w:val="00615127"/>
    <w:rsid w:val="00615665"/>
    <w:rsid w:val="00616870"/>
    <w:rsid w:val="00616BF1"/>
    <w:rsid w:val="0061757D"/>
    <w:rsid w:val="00617C11"/>
    <w:rsid w:val="00620A42"/>
    <w:rsid w:val="00621649"/>
    <w:rsid w:val="00622A9F"/>
    <w:rsid w:val="00622C55"/>
    <w:rsid w:val="00624194"/>
    <w:rsid w:val="006242EE"/>
    <w:rsid w:val="00624F25"/>
    <w:rsid w:val="0062535A"/>
    <w:rsid w:val="00626BD3"/>
    <w:rsid w:val="00626CA5"/>
    <w:rsid w:val="00626E31"/>
    <w:rsid w:val="00626E52"/>
    <w:rsid w:val="0063002A"/>
    <w:rsid w:val="006316E5"/>
    <w:rsid w:val="00632465"/>
    <w:rsid w:val="006327BA"/>
    <w:rsid w:val="00633376"/>
    <w:rsid w:val="00633670"/>
    <w:rsid w:val="00633D16"/>
    <w:rsid w:val="00634070"/>
    <w:rsid w:val="00634380"/>
    <w:rsid w:val="00634462"/>
    <w:rsid w:val="0063448E"/>
    <w:rsid w:val="00635E46"/>
    <w:rsid w:val="0063710A"/>
    <w:rsid w:val="00637A4B"/>
    <w:rsid w:val="00640549"/>
    <w:rsid w:val="0064076C"/>
    <w:rsid w:val="006408DE"/>
    <w:rsid w:val="00640C96"/>
    <w:rsid w:val="00641137"/>
    <w:rsid w:val="00641982"/>
    <w:rsid w:val="0064341D"/>
    <w:rsid w:val="0064379E"/>
    <w:rsid w:val="0064433E"/>
    <w:rsid w:val="00644426"/>
    <w:rsid w:val="0064587C"/>
    <w:rsid w:val="00645C87"/>
    <w:rsid w:val="00646755"/>
    <w:rsid w:val="00646AE9"/>
    <w:rsid w:val="00647AF4"/>
    <w:rsid w:val="006509C6"/>
    <w:rsid w:val="0065154A"/>
    <w:rsid w:val="0065184C"/>
    <w:rsid w:val="00652144"/>
    <w:rsid w:val="006532DC"/>
    <w:rsid w:val="00654BC4"/>
    <w:rsid w:val="00654D47"/>
    <w:rsid w:val="00655748"/>
    <w:rsid w:val="006560A1"/>
    <w:rsid w:val="006561D1"/>
    <w:rsid w:val="00657F03"/>
    <w:rsid w:val="0066001F"/>
    <w:rsid w:val="00660F4C"/>
    <w:rsid w:val="00660FBD"/>
    <w:rsid w:val="006618EF"/>
    <w:rsid w:val="00662C14"/>
    <w:rsid w:val="00663ABB"/>
    <w:rsid w:val="00663E3E"/>
    <w:rsid w:val="00663EEB"/>
    <w:rsid w:val="006646E0"/>
    <w:rsid w:val="00665E29"/>
    <w:rsid w:val="00667EA4"/>
    <w:rsid w:val="0067088F"/>
    <w:rsid w:val="00671760"/>
    <w:rsid w:val="006727B4"/>
    <w:rsid w:val="00672BF6"/>
    <w:rsid w:val="00673F54"/>
    <w:rsid w:val="00674223"/>
    <w:rsid w:val="0067471E"/>
    <w:rsid w:val="00675431"/>
    <w:rsid w:val="00675A2E"/>
    <w:rsid w:val="006769E2"/>
    <w:rsid w:val="00677221"/>
    <w:rsid w:val="00677894"/>
    <w:rsid w:val="00677FA7"/>
    <w:rsid w:val="00680E3D"/>
    <w:rsid w:val="00681C69"/>
    <w:rsid w:val="00681C80"/>
    <w:rsid w:val="00681E9B"/>
    <w:rsid w:val="00683EA9"/>
    <w:rsid w:val="006842C9"/>
    <w:rsid w:val="00685829"/>
    <w:rsid w:val="00686219"/>
    <w:rsid w:val="00686599"/>
    <w:rsid w:val="00686C0E"/>
    <w:rsid w:val="0069032E"/>
    <w:rsid w:val="00691F5B"/>
    <w:rsid w:val="00692CF9"/>
    <w:rsid w:val="00693C85"/>
    <w:rsid w:val="00694356"/>
    <w:rsid w:val="006947D5"/>
    <w:rsid w:val="00695258"/>
    <w:rsid w:val="00695337"/>
    <w:rsid w:val="00696709"/>
    <w:rsid w:val="00696CB7"/>
    <w:rsid w:val="006979BA"/>
    <w:rsid w:val="006A14D1"/>
    <w:rsid w:val="006A1DD9"/>
    <w:rsid w:val="006A3A49"/>
    <w:rsid w:val="006A3BD0"/>
    <w:rsid w:val="006A4685"/>
    <w:rsid w:val="006A4CE7"/>
    <w:rsid w:val="006A57B1"/>
    <w:rsid w:val="006A5B33"/>
    <w:rsid w:val="006A6453"/>
    <w:rsid w:val="006A6825"/>
    <w:rsid w:val="006A688A"/>
    <w:rsid w:val="006B0054"/>
    <w:rsid w:val="006B18F0"/>
    <w:rsid w:val="006B24D6"/>
    <w:rsid w:val="006B30FA"/>
    <w:rsid w:val="006B31EA"/>
    <w:rsid w:val="006B46F5"/>
    <w:rsid w:val="006B4BB8"/>
    <w:rsid w:val="006B5510"/>
    <w:rsid w:val="006B659A"/>
    <w:rsid w:val="006B67C2"/>
    <w:rsid w:val="006B6AB9"/>
    <w:rsid w:val="006B6C2C"/>
    <w:rsid w:val="006B723E"/>
    <w:rsid w:val="006C067C"/>
    <w:rsid w:val="006C1072"/>
    <w:rsid w:val="006C1644"/>
    <w:rsid w:val="006C33B7"/>
    <w:rsid w:val="006C3591"/>
    <w:rsid w:val="006C3CB9"/>
    <w:rsid w:val="006C3CE7"/>
    <w:rsid w:val="006C4413"/>
    <w:rsid w:val="006C45F5"/>
    <w:rsid w:val="006C53AB"/>
    <w:rsid w:val="006C5EE7"/>
    <w:rsid w:val="006C6464"/>
    <w:rsid w:val="006C6FB1"/>
    <w:rsid w:val="006D1B9D"/>
    <w:rsid w:val="006D24B1"/>
    <w:rsid w:val="006D2671"/>
    <w:rsid w:val="006D33E5"/>
    <w:rsid w:val="006D3543"/>
    <w:rsid w:val="006D3817"/>
    <w:rsid w:val="006D38C7"/>
    <w:rsid w:val="006D3ABC"/>
    <w:rsid w:val="006D3DC6"/>
    <w:rsid w:val="006D5041"/>
    <w:rsid w:val="006D5684"/>
    <w:rsid w:val="006D5B60"/>
    <w:rsid w:val="006D5CB3"/>
    <w:rsid w:val="006D67F0"/>
    <w:rsid w:val="006D7141"/>
    <w:rsid w:val="006D7246"/>
    <w:rsid w:val="006D78D8"/>
    <w:rsid w:val="006E072C"/>
    <w:rsid w:val="006E2500"/>
    <w:rsid w:val="006E2F47"/>
    <w:rsid w:val="006E36D2"/>
    <w:rsid w:val="006E40E0"/>
    <w:rsid w:val="006E5308"/>
    <w:rsid w:val="006E5845"/>
    <w:rsid w:val="006E699F"/>
    <w:rsid w:val="006E6EFD"/>
    <w:rsid w:val="006E7367"/>
    <w:rsid w:val="006E776E"/>
    <w:rsid w:val="006F0971"/>
    <w:rsid w:val="006F0E5B"/>
    <w:rsid w:val="006F1C78"/>
    <w:rsid w:val="006F27F0"/>
    <w:rsid w:val="006F2C80"/>
    <w:rsid w:val="006F3A22"/>
    <w:rsid w:val="006F40F3"/>
    <w:rsid w:val="006F4350"/>
    <w:rsid w:val="006F55FC"/>
    <w:rsid w:val="006F56B2"/>
    <w:rsid w:val="006F5BCF"/>
    <w:rsid w:val="006F5D19"/>
    <w:rsid w:val="006F645A"/>
    <w:rsid w:val="007004FD"/>
    <w:rsid w:val="007005FF"/>
    <w:rsid w:val="00700AE5"/>
    <w:rsid w:val="007018D0"/>
    <w:rsid w:val="00704E03"/>
    <w:rsid w:val="00706726"/>
    <w:rsid w:val="00706853"/>
    <w:rsid w:val="007072E8"/>
    <w:rsid w:val="0071042C"/>
    <w:rsid w:val="00710FD5"/>
    <w:rsid w:val="007116D7"/>
    <w:rsid w:val="0071188E"/>
    <w:rsid w:val="00711930"/>
    <w:rsid w:val="007120D7"/>
    <w:rsid w:val="00712B6A"/>
    <w:rsid w:val="007130BC"/>
    <w:rsid w:val="00713BD1"/>
    <w:rsid w:val="00715EBC"/>
    <w:rsid w:val="00717918"/>
    <w:rsid w:val="00720614"/>
    <w:rsid w:val="00720700"/>
    <w:rsid w:val="007209BB"/>
    <w:rsid w:val="007219F1"/>
    <w:rsid w:val="00722B07"/>
    <w:rsid w:val="00723538"/>
    <w:rsid w:val="007241C1"/>
    <w:rsid w:val="0072442B"/>
    <w:rsid w:val="00725E71"/>
    <w:rsid w:val="007261CA"/>
    <w:rsid w:val="00726420"/>
    <w:rsid w:val="0072657E"/>
    <w:rsid w:val="007265FF"/>
    <w:rsid w:val="007269C5"/>
    <w:rsid w:val="0072789D"/>
    <w:rsid w:val="00730D34"/>
    <w:rsid w:val="00731379"/>
    <w:rsid w:val="00732AA5"/>
    <w:rsid w:val="0073363D"/>
    <w:rsid w:val="007337E3"/>
    <w:rsid w:val="00734BDD"/>
    <w:rsid w:val="00735B33"/>
    <w:rsid w:val="0073762C"/>
    <w:rsid w:val="0073775E"/>
    <w:rsid w:val="00740B30"/>
    <w:rsid w:val="00740D6B"/>
    <w:rsid w:val="00741C77"/>
    <w:rsid w:val="007423FA"/>
    <w:rsid w:val="00742907"/>
    <w:rsid w:val="00742D59"/>
    <w:rsid w:val="00743475"/>
    <w:rsid w:val="00743FAA"/>
    <w:rsid w:val="00744EA9"/>
    <w:rsid w:val="00746B56"/>
    <w:rsid w:val="00746C6B"/>
    <w:rsid w:val="007476B1"/>
    <w:rsid w:val="007501CE"/>
    <w:rsid w:val="00752D79"/>
    <w:rsid w:val="007531F9"/>
    <w:rsid w:val="00753ACD"/>
    <w:rsid w:val="00754E74"/>
    <w:rsid w:val="00755065"/>
    <w:rsid w:val="0075521F"/>
    <w:rsid w:val="00755599"/>
    <w:rsid w:val="00756EDC"/>
    <w:rsid w:val="007577DA"/>
    <w:rsid w:val="007611B2"/>
    <w:rsid w:val="00761B06"/>
    <w:rsid w:val="00761B51"/>
    <w:rsid w:val="00764868"/>
    <w:rsid w:val="00764D3A"/>
    <w:rsid w:val="00764EAE"/>
    <w:rsid w:val="00765B0A"/>
    <w:rsid w:val="00765D6C"/>
    <w:rsid w:val="007675B5"/>
    <w:rsid w:val="00770703"/>
    <w:rsid w:val="00771A61"/>
    <w:rsid w:val="00774CF5"/>
    <w:rsid w:val="0077565E"/>
    <w:rsid w:val="00775F52"/>
    <w:rsid w:val="00776529"/>
    <w:rsid w:val="00776F56"/>
    <w:rsid w:val="00780C0E"/>
    <w:rsid w:val="00781370"/>
    <w:rsid w:val="00781969"/>
    <w:rsid w:val="00782881"/>
    <w:rsid w:val="0078344E"/>
    <w:rsid w:val="00783B0B"/>
    <w:rsid w:val="00783B40"/>
    <w:rsid w:val="00783D8A"/>
    <w:rsid w:val="00784722"/>
    <w:rsid w:val="00784C2F"/>
    <w:rsid w:val="00784DA6"/>
    <w:rsid w:val="00785261"/>
    <w:rsid w:val="00785A2A"/>
    <w:rsid w:val="00785A6B"/>
    <w:rsid w:val="00785C4E"/>
    <w:rsid w:val="00786DB3"/>
    <w:rsid w:val="007874CE"/>
    <w:rsid w:val="00787E3C"/>
    <w:rsid w:val="00787EA2"/>
    <w:rsid w:val="007900BA"/>
    <w:rsid w:val="00790399"/>
    <w:rsid w:val="007906BC"/>
    <w:rsid w:val="00791A1D"/>
    <w:rsid w:val="0079278F"/>
    <w:rsid w:val="00792F5D"/>
    <w:rsid w:val="00793698"/>
    <w:rsid w:val="00793F7D"/>
    <w:rsid w:val="00794345"/>
    <w:rsid w:val="007945DA"/>
    <w:rsid w:val="00795E4C"/>
    <w:rsid w:val="00795E83"/>
    <w:rsid w:val="00796529"/>
    <w:rsid w:val="007971EA"/>
    <w:rsid w:val="00797E78"/>
    <w:rsid w:val="007A0633"/>
    <w:rsid w:val="007A1EBF"/>
    <w:rsid w:val="007A2C8D"/>
    <w:rsid w:val="007A3B4A"/>
    <w:rsid w:val="007A3CD4"/>
    <w:rsid w:val="007A4015"/>
    <w:rsid w:val="007A4284"/>
    <w:rsid w:val="007A5783"/>
    <w:rsid w:val="007A6D30"/>
    <w:rsid w:val="007B0256"/>
    <w:rsid w:val="007B0AEB"/>
    <w:rsid w:val="007B1519"/>
    <w:rsid w:val="007B2048"/>
    <w:rsid w:val="007B3FB5"/>
    <w:rsid w:val="007B4114"/>
    <w:rsid w:val="007B5019"/>
    <w:rsid w:val="007B5605"/>
    <w:rsid w:val="007B5635"/>
    <w:rsid w:val="007B705C"/>
    <w:rsid w:val="007B7BC8"/>
    <w:rsid w:val="007C0CC4"/>
    <w:rsid w:val="007C109E"/>
    <w:rsid w:val="007C1887"/>
    <w:rsid w:val="007C243B"/>
    <w:rsid w:val="007C2499"/>
    <w:rsid w:val="007C466F"/>
    <w:rsid w:val="007C5B55"/>
    <w:rsid w:val="007C5F76"/>
    <w:rsid w:val="007C6044"/>
    <w:rsid w:val="007C7145"/>
    <w:rsid w:val="007C74D1"/>
    <w:rsid w:val="007D0ECA"/>
    <w:rsid w:val="007D1C15"/>
    <w:rsid w:val="007D2510"/>
    <w:rsid w:val="007D2A6F"/>
    <w:rsid w:val="007D2CFD"/>
    <w:rsid w:val="007D34CE"/>
    <w:rsid w:val="007D477B"/>
    <w:rsid w:val="007D4EB4"/>
    <w:rsid w:val="007D596C"/>
    <w:rsid w:val="007D59EF"/>
    <w:rsid w:val="007D6067"/>
    <w:rsid w:val="007D6C3E"/>
    <w:rsid w:val="007E053C"/>
    <w:rsid w:val="007E24FA"/>
    <w:rsid w:val="007E2B60"/>
    <w:rsid w:val="007E3126"/>
    <w:rsid w:val="007E33AA"/>
    <w:rsid w:val="007E3BD8"/>
    <w:rsid w:val="007E3E79"/>
    <w:rsid w:val="007E439E"/>
    <w:rsid w:val="007E582D"/>
    <w:rsid w:val="007E5C7B"/>
    <w:rsid w:val="007E6E62"/>
    <w:rsid w:val="007E76A3"/>
    <w:rsid w:val="007E7D33"/>
    <w:rsid w:val="007F033A"/>
    <w:rsid w:val="007F0784"/>
    <w:rsid w:val="007F0B66"/>
    <w:rsid w:val="007F0FBA"/>
    <w:rsid w:val="007F49C1"/>
    <w:rsid w:val="007F5336"/>
    <w:rsid w:val="007F74CF"/>
    <w:rsid w:val="007F7E2D"/>
    <w:rsid w:val="008004C0"/>
    <w:rsid w:val="008007AC"/>
    <w:rsid w:val="00800E9C"/>
    <w:rsid w:val="00801C19"/>
    <w:rsid w:val="008024DE"/>
    <w:rsid w:val="00804404"/>
    <w:rsid w:val="00804BE3"/>
    <w:rsid w:val="00804F72"/>
    <w:rsid w:val="008055D2"/>
    <w:rsid w:val="008059C3"/>
    <w:rsid w:val="00805A34"/>
    <w:rsid w:val="00805EE1"/>
    <w:rsid w:val="00806DF6"/>
    <w:rsid w:val="008100CC"/>
    <w:rsid w:val="0081062A"/>
    <w:rsid w:val="00810FEC"/>
    <w:rsid w:val="00811812"/>
    <w:rsid w:val="00811C14"/>
    <w:rsid w:val="008129D9"/>
    <w:rsid w:val="00812FD9"/>
    <w:rsid w:val="008136AF"/>
    <w:rsid w:val="00813CFC"/>
    <w:rsid w:val="008145DB"/>
    <w:rsid w:val="00814A59"/>
    <w:rsid w:val="00814FF6"/>
    <w:rsid w:val="00815C81"/>
    <w:rsid w:val="008203D2"/>
    <w:rsid w:val="00820F51"/>
    <w:rsid w:val="008215F6"/>
    <w:rsid w:val="00821E97"/>
    <w:rsid w:val="00822161"/>
    <w:rsid w:val="00822BEE"/>
    <w:rsid w:val="00822EDE"/>
    <w:rsid w:val="00823428"/>
    <w:rsid w:val="0082576A"/>
    <w:rsid w:val="008267A9"/>
    <w:rsid w:val="00827FDF"/>
    <w:rsid w:val="00830787"/>
    <w:rsid w:val="00830CF0"/>
    <w:rsid w:val="00834094"/>
    <w:rsid w:val="00834D96"/>
    <w:rsid w:val="00835714"/>
    <w:rsid w:val="00836C80"/>
    <w:rsid w:val="008408FD"/>
    <w:rsid w:val="00840CC6"/>
    <w:rsid w:val="0084229C"/>
    <w:rsid w:val="008428A5"/>
    <w:rsid w:val="008429D3"/>
    <w:rsid w:val="00844995"/>
    <w:rsid w:val="00844F64"/>
    <w:rsid w:val="00846585"/>
    <w:rsid w:val="00846C94"/>
    <w:rsid w:val="00846E06"/>
    <w:rsid w:val="00846FEB"/>
    <w:rsid w:val="00847B37"/>
    <w:rsid w:val="00847E78"/>
    <w:rsid w:val="00850053"/>
    <w:rsid w:val="008505D9"/>
    <w:rsid w:val="0085094E"/>
    <w:rsid w:val="008515DC"/>
    <w:rsid w:val="008516A9"/>
    <w:rsid w:val="008529BD"/>
    <w:rsid w:val="00852C2E"/>
    <w:rsid w:val="00853F6D"/>
    <w:rsid w:val="008542A9"/>
    <w:rsid w:val="00854914"/>
    <w:rsid w:val="008564E1"/>
    <w:rsid w:val="0085656E"/>
    <w:rsid w:val="00856595"/>
    <w:rsid w:val="008567A0"/>
    <w:rsid w:val="008567F5"/>
    <w:rsid w:val="00856AA0"/>
    <w:rsid w:val="00856E83"/>
    <w:rsid w:val="00857855"/>
    <w:rsid w:val="0086064A"/>
    <w:rsid w:val="0086139A"/>
    <w:rsid w:val="00861638"/>
    <w:rsid w:val="008631D7"/>
    <w:rsid w:val="00864634"/>
    <w:rsid w:val="00865295"/>
    <w:rsid w:val="008663BB"/>
    <w:rsid w:val="00867049"/>
    <w:rsid w:val="00867DC1"/>
    <w:rsid w:val="008716A8"/>
    <w:rsid w:val="008741D0"/>
    <w:rsid w:val="00874729"/>
    <w:rsid w:val="00874FC2"/>
    <w:rsid w:val="008758DB"/>
    <w:rsid w:val="00875D49"/>
    <w:rsid w:val="00876FBF"/>
    <w:rsid w:val="00877EE1"/>
    <w:rsid w:val="00880707"/>
    <w:rsid w:val="00880ADB"/>
    <w:rsid w:val="00882034"/>
    <w:rsid w:val="0088276E"/>
    <w:rsid w:val="008831FE"/>
    <w:rsid w:val="00884E08"/>
    <w:rsid w:val="00886F15"/>
    <w:rsid w:val="00887A6F"/>
    <w:rsid w:val="00890954"/>
    <w:rsid w:val="008912FD"/>
    <w:rsid w:val="00891A40"/>
    <w:rsid w:val="008930A4"/>
    <w:rsid w:val="00895866"/>
    <w:rsid w:val="00896AF9"/>
    <w:rsid w:val="00896B0F"/>
    <w:rsid w:val="00896EF9"/>
    <w:rsid w:val="008974A3"/>
    <w:rsid w:val="008A21EF"/>
    <w:rsid w:val="008A2405"/>
    <w:rsid w:val="008A26BB"/>
    <w:rsid w:val="008A2741"/>
    <w:rsid w:val="008A2CCA"/>
    <w:rsid w:val="008A331C"/>
    <w:rsid w:val="008A5C5C"/>
    <w:rsid w:val="008A5E1C"/>
    <w:rsid w:val="008A6C95"/>
    <w:rsid w:val="008A7453"/>
    <w:rsid w:val="008B1115"/>
    <w:rsid w:val="008B1438"/>
    <w:rsid w:val="008B16DD"/>
    <w:rsid w:val="008B1E75"/>
    <w:rsid w:val="008B23C5"/>
    <w:rsid w:val="008B68FB"/>
    <w:rsid w:val="008B69B3"/>
    <w:rsid w:val="008C00B6"/>
    <w:rsid w:val="008C4868"/>
    <w:rsid w:val="008C50BC"/>
    <w:rsid w:val="008C57E1"/>
    <w:rsid w:val="008C5D0C"/>
    <w:rsid w:val="008D02AF"/>
    <w:rsid w:val="008D18BE"/>
    <w:rsid w:val="008D29BB"/>
    <w:rsid w:val="008D2A6B"/>
    <w:rsid w:val="008D478A"/>
    <w:rsid w:val="008D6FDE"/>
    <w:rsid w:val="008D7503"/>
    <w:rsid w:val="008D7BCC"/>
    <w:rsid w:val="008E13BA"/>
    <w:rsid w:val="008E13D8"/>
    <w:rsid w:val="008E16AC"/>
    <w:rsid w:val="008E24FF"/>
    <w:rsid w:val="008E31A6"/>
    <w:rsid w:val="008E53B7"/>
    <w:rsid w:val="008E5725"/>
    <w:rsid w:val="008F124F"/>
    <w:rsid w:val="008F1288"/>
    <w:rsid w:val="008F255A"/>
    <w:rsid w:val="008F4001"/>
    <w:rsid w:val="008F66EE"/>
    <w:rsid w:val="008F6B4E"/>
    <w:rsid w:val="008F6CFC"/>
    <w:rsid w:val="008F74AA"/>
    <w:rsid w:val="00900E70"/>
    <w:rsid w:val="00900FC3"/>
    <w:rsid w:val="00901C91"/>
    <w:rsid w:val="00902F14"/>
    <w:rsid w:val="009032A5"/>
    <w:rsid w:val="0090334E"/>
    <w:rsid w:val="009033CD"/>
    <w:rsid w:val="00903E77"/>
    <w:rsid w:val="00903EE7"/>
    <w:rsid w:val="00906474"/>
    <w:rsid w:val="009067A4"/>
    <w:rsid w:val="00906DF3"/>
    <w:rsid w:val="00907A98"/>
    <w:rsid w:val="009104FC"/>
    <w:rsid w:val="00910CB3"/>
    <w:rsid w:val="009133C3"/>
    <w:rsid w:val="00913A97"/>
    <w:rsid w:val="00913EFE"/>
    <w:rsid w:val="0091450D"/>
    <w:rsid w:val="00914FF2"/>
    <w:rsid w:val="009153E4"/>
    <w:rsid w:val="00916578"/>
    <w:rsid w:val="00917176"/>
    <w:rsid w:val="0091725E"/>
    <w:rsid w:val="00917B06"/>
    <w:rsid w:val="0092086B"/>
    <w:rsid w:val="00921722"/>
    <w:rsid w:val="009225F0"/>
    <w:rsid w:val="00923ED2"/>
    <w:rsid w:val="00924C44"/>
    <w:rsid w:val="00925032"/>
    <w:rsid w:val="00925E58"/>
    <w:rsid w:val="009271F8"/>
    <w:rsid w:val="00927300"/>
    <w:rsid w:val="00930315"/>
    <w:rsid w:val="00930D27"/>
    <w:rsid w:val="00930E91"/>
    <w:rsid w:val="009313F2"/>
    <w:rsid w:val="00931AA8"/>
    <w:rsid w:val="00932E2E"/>
    <w:rsid w:val="00933334"/>
    <w:rsid w:val="00933432"/>
    <w:rsid w:val="00933A3D"/>
    <w:rsid w:val="00934818"/>
    <w:rsid w:val="00935ED5"/>
    <w:rsid w:val="009360B8"/>
    <w:rsid w:val="009362BB"/>
    <w:rsid w:val="00936315"/>
    <w:rsid w:val="009366E2"/>
    <w:rsid w:val="0093671D"/>
    <w:rsid w:val="009367A3"/>
    <w:rsid w:val="00937916"/>
    <w:rsid w:val="00937DC3"/>
    <w:rsid w:val="00940C48"/>
    <w:rsid w:val="00941F92"/>
    <w:rsid w:val="00943EBC"/>
    <w:rsid w:val="0094428E"/>
    <w:rsid w:val="00944B85"/>
    <w:rsid w:val="00946B4F"/>
    <w:rsid w:val="009479EF"/>
    <w:rsid w:val="009502BC"/>
    <w:rsid w:val="0095057E"/>
    <w:rsid w:val="00950C9B"/>
    <w:rsid w:val="00950CEA"/>
    <w:rsid w:val="00951739"/>
    <w:rsid w:val="00951EBA"/>
    <w:rsid w:val="00951F01"/>
    <w:rsid w:val="009520D9"/>
    <w:rsid w:val="009520DD"/>
    <w:rsid w:val="00954EDA"/>
    <w:rsid w:val="00954F10"/>
    <w:rsid w:val="009558D8"/>
    <w:rsid w:val="0095599E"/>
    <w:rsid w:val="00955A57"/>
    <w:rsid w:val="00955E2D"/>
    <w:rsid w:val="00956DAE"/>
    <w:rsid w:val="009607D2"/>
    <w:rsid w:val="00961F86"/>
    <w:rsid w:val="009624C4"/>
    <w:rsid w:val="00963985"/>
    <w:rsid w:val="00965439"/>
    <w:rsid w:val="00965928"/>
    <w:rsid w:val="00966000"/>
    <w:rsid w:val="0097060F"/>
    <w:rsid w:val="00970CFB"/>
    <w:rsid w:val="00970F55"/>
    <w:rsid w:val="00972148"/>
    <w:rsid w:val="00972D29"/>
    <w:rsid w:val="009740EA"/>
    <w:rsid w:val="009743AA"/>
    <w:rsid w:val="009757FC"/>
    <w:rsid w:val="00977038"/>
    <w:rsid w:val="00977D79"/>
    <w:rsid w:val="00981F23"/>
    <w:rsid w:val="00984070"/>
    <w:rsid w:val="00984285"/>
    <w:rsid w:val="00985344"/>
    <w:rsid w:val="00986064"/>
    <w:rsid w:val="00986223"/>
    <w:rsid w:val="00987709"/>
    <w:rsid w:val="00987C27"/>
    <w:rsid w:val="009902CC"/>
    <w:rsid w:val="00991464"/>
    <w:rsid w:val="009922EE"/>
    <w:rsid w:val="009927BE"/>
    <w:rsid w:val="00994165"/>
    <w:rsid w:val="009946E5"/>
    <w:rsid w:val="00994C50"/>
    <w:rsid w:val="00994D75"/>
    <w:rsid w:val="00995622"/>
    <w:rsid w:val="00995A74"/>
    <w:rsid w:val="00995F9E"/>
    <w:rsid w:val="009A03D6"/>
    <w:rsid w:val="009A0D0E"/>
    <w:rsid w:val="009A0DE1"/>
    <w:rsid w:val="009A1765"/>
    <w:rsid w:val="009A33D9"/>
    <w:rsid w:val="009A3C38"/>
    <w:rsid w:val="009A43C7"/>
    <w:rsid w:val="009A6133"/>
    <w:rsid w:val="009A62C3"/>
    <w:rsid w:val="009A6A5B"/>
    <w:rsid w:val="009A78AF"/>
    <w:rsid w:val="009B1F93"/>
    <w:rsid w:val="009B232E"/>
    <w:rsid w:val="009B2734"/>
    <w:rsid w:val="009B2D01"/>
    <w:rsid w:val="009B2E2F"/>
    <w:rsid w:val="009B345A"/>
    <w:rsid w:val="009B3E85"/>
    <w:rsid w:val="009B43DC"/>
    <w:rsid w:val="009B4751"/>
    <w:rsid w:val="009B47EC"/>
    <w:rsid w:val="009B500D"/>
    <w:rsid w:val="009B6823"/>
    <w:rsid w:val="009B6C5B"/>
    <w:rsid w:val="009B7162"/>
    <w:rsid w:val="009B75D6"/>
    <w:rsid w:val="009B7BD0"/>
    <w:rsid w:val="009C0219"/>
    <w:rsid w:val="009C098D"/>
    <w:rsid w:val="009C0B20"/>
    <w:rsid w:val="009C1BCC"/>
    <w:rsid w:val="009C3272"/>
    <w:rsid w:val="009C3A1D"/>
    <w:rsid w:val="009C4232"/>
    <w:rsid w:val="009C48A9"/>
    <w:rsid w:val="009C4CED"/>
    <w:rsid w:val="009C62D9"/>
    <w:rsid w:val="009C7001"/>
    <w:rsid w:val="009D09CE"/>
    <w:rsid w:val="009D1268"/>
    <w:rsid w:val="009D19FB"/>
    <w:rsid w:val="009D2F05"/>
    <w:rsid w:val="009D3122"/>
    <w:rsid w:val="009D4433"/>
    <w:rsid w:val="009D44BD"/>
    <w:rsid w:val="009D49C0"/>
    <w:rsid w:val="009D4B36"/>
    <w:rsid w:val="009D4C82"/>
    <w:rsid w:val="009D51CD"/>
    <w:rsid w:val="009D71AE"/>
    <w:rsid w:val="009D7BCC"/>
    <w:rsid w:val="009E1D9F"/>
    <w:rsid w:val="009E2C1D"/>
    <w:rsid w:val="009E3D44"/>
    <w:rsid w:val="009E4131"/>
    <w:rsid w:val="009E5684"/>
    <w:rsid w:val="009E66A5"/>
    <w:rsid w:val="009F019C"/>
    <w:rsid w:val="009F0348"/>
    <w:rsid w:val="009F0D82"/>
    <w:rsid w:val="009F0EC9"/>
    <w:rsid w:val="009F1C14"/>
    <w:rsid w:val="009F1DF2"/>
    <w:rsid w:val="009F2E59"/>
    <w:rsid w:val="009F33CE"/>
    <w:rsid w:val="009F3496"/>
    <w:rsid w:val="009F4561"/>
    <w:rsid w:val="009F52F0"/>
    <w:rsid w:val="009F5AE7"/>
    <w:rsid w:val="009F668B"/>
    <w:rsid w:val="00A02182"/>
    <w:rsid w:val="00A04B32"/>
    <w:rsid w:val="00A053CA"/>
    <w:rsid w:val="00A05F23"/>
    <w:rsid w:val="00A05FC5"/>
    <w:rsid w:val="00A10179"/>
    <w:rsid w:val="00A11552"/>
    <w:rsid w:val="00A11C65"/>
    <w:rsid w:val="00A12BFE"/>
    <w:rsid w:val="00A13373"/>
    <w:rsid w:val="00A13A18"/>
    <w:rsid w:val="00A147AC"/>
    <w:rsid w:val="00A15C89"/>
    <w:rsid w:val="00A16196"/>
    <w:rsid w:val="00A1662E"/>
    <w:rsid w:val="00A17A66"/>
    <w:rsid w:val="00A20416"/>
    <w:rsid w:val="00A207B5"/>
    <w:rsid w:val="00A20E53"/>
    <w:rsid w:val="00A21A78"/>
    <w:rsid w:val="00A22A91"/>
    <w:rsid w:val="00A23F0A"/>
    <w:rsid w:val="00A24B72"/>
    <w:rsid w:val="00A24F69"/>
    <w:rsid w:val="00A25011"/>
    <w:rsid w:val="00A2591C"/>
    <w:rsid w:val="00A25E43"/>
    <w:rsid w:val="00A26716"/>
    <w:rsid w:val="00A26730"/>
    <w:rsid w:val="00A2751D"/>
    <w:rsid w:val="00A27686"/>
    <w:rsid w:val="00A32B66"/>
    <w:rsid w:val="00A33413"/>
    <w:rsid w:val="00A3374F"/>
    <w:rsid w:val="00A4031D"/>
    <w:rsid w:val="00A40C5D"/>
    <w:rsid w:val="00A4180F"/>
    <w:rsid w:val="00A41FD3"/>
    <w:rsid w:val="00A4215D"/>
    <w:rsid w:val="00A43196"/>
    <w:rsid w:val="00A433D4"/>
    <w:rsid w:val="00A4638B"/>
    <w:rsid w:val="00A47347"/>
    <w:rsid w:val="00A47F95"/>
    <w:rsid w:val="00A5033C"/>
    <w:rsid w:val="00A50BDF"/>
    <w:rsid w:val="00A51F62"/>
    <w:rsid w:val="00A53212"/>
    <w:rsid w:val="00A53BBE"/>
    <w:rsid w:val="00A53C3B"/>
    <w:rsid w:val="00A542F9"/>
    <w:rsid w:val="00A54E3A"/>
    <w:rsid w:val="00A5620F"/>
    <w:rsid w:val="00A567DA"/>
    <w:rsid w:val="00A57125"/>
    <w:rsid w:val="00A6016C"/>
    <w:rsid w:val="00A618AE"/>
    <w:rsid w:val="00A61983"/>
    <w:rsid w:val="00A6417F"/>
    <w:rsid w:val="00A648D5"/>
    <w:rsid w:val="00A66988"/>
    <w:rsid w:val="00A67A97"/>
    <w:rsid w:val="00A702E4"/>
    <w:rsid w:val="00A70949"/>
    <w:rsid w:val="00A71034"/>
    <w:rsid w:val="00A71DFC"/>
    <w:rsid w:val="00A7338D"/>
    <w:rsid w:val="00A73611"/>
    <w:rsid w:val="00A73BE5"/>
    <w:rsid w:val="00A74044"/>
    <w:rsid w:val="00A747A0"/>
    <w:rsid w:val="00A7491B"/>
    <w:rsid w:val="00A74B62"/>
    <w:rsid w:val="00A7540D"/>
    <w:rsid w:val="00A754AB"/>
    <w:rsid w:val="00A75C0D"/>
    <w:rsid w:val="00A76C90"/>
    <w:rsid w:val="00A76F7C"/>
    <w:rsid w:val="00A80DC8"/>
    <w:rsid w:val="00A818E4"/>
    <w:rsid w:val="00A81CE6"/>
    <w:rsid w:val="00A8314F"/>
    <w:rsid w:val="00A84260"/>
    <w:rsid w:val="00A84AC8"/>
    <w:rsid w:val="00A85220"/>
    <w:rsid w:val="00A85BF6"/>
    <w:rsid w:val="00A860B6"/>
    <w:rsid w:val="00A8673D"/>
    <w:rsid w:val="00A87D89"/>
    <w:rsid w:val="00A9021F"/>
    <w:rsid w:val="00A906BD"/>
    <w:rsid w:val="00A91BC4"/>
    <w:rsid w:val="00A93144"/>
    <w:rsid w:val="00A93FB3"/>
    <w:rsid w:val="00A95AAE"/>
    <w:rsid w:val="00A95B6C"/>
    <w:rsid w:val="00A96166"/>
    <w:rsid w:val="00A96BD8"/>
    <w:rsid w:val="00A9780A"/>
    <w:rsid w:val="00A97D45"/>
    <w:rsid w:val="00AA0C10"/>
    <w:rsid w:val="00AA28BA"/>
    <w:rsid w:val="00AA2AD9"/>
    <w:rsid w:val="00AA2F99"/>
    <w:rsid w:val="00AA4097"/>
    <w:rsid w:val="00AA4D4D"/>
    <w:rsid w:val="00AA4F44"/>
    <w:rsid w:val="00AA5422"/>
    <w:rsid w:val="00AA58B2"/>
    <w:rsid w:val="00AA655F"/>
    <w:rsid w:val="00AA6FC2"/>
    <w:rsid w:val="00AA72B9"/>
    <w:rsid w:val="00AA78E7"/>
    <w:rsid w:val="00AB2D85"/>
    <w:rsid w:val="00AB36C6"/>
    <w:rsid w:val="00AB514A"/>
    <w:rsid w:val="00AB5C9C"/>
    <w:rsid w:val="00AB5CF0"/>
    <w:rsid w:val="00AB77BD"/>
    <w:rsid w:val="00AB7A11"/>
    <w:rsid w:val="00AC0FC4"/>
    <w:rsid w:val="00AC149D"/>
    <w:rsid w:val="00AC2837"/>
    <w:rsid w:val="00AC3101"/>
    <w:rsid w:val="00AC399A"/>
    <w:rsid w:val="00AC6018"/>
    <w:rsid w:val="00AC6757"/>
    <w:rsid w:val="00AC77F9"/>
    <w:rsid w:val="00AC7B3C"/>
    <w:rsid w:val="00AD08FD"/>
    <w:rsid w:val="00AD0A0F"/>
    <w:rsid w:val="00AD123C"/>
    <w:rsid w:val="00AD3263"/>
    <w:rsid w:val="00AD3C42"/>
    <w:rsid w:val="00AD3F6B"/>
    <w:rsid w:val="00AD5FCA"/>
    <w:rsid w:val="00AD658C"/>
    <w:rsid w:val="00AD6650"/>
    <w:rsid w:val="00AD692C"/>
    <w:rsid w:val="00AD738D"/>
    <w:rsid w:val="00AE0612"/>
    <w:rsid w:val="00AE0ED8"/>
    <w:rsid w:val="00AE1D62"/>
    <w:rsid w:val="00AE1E8F"/>
    <w:rsid w:val="00AE1EC0"/>
    <w:rsid w:val="00AE1EF3"/>
    <w:rsid w:val="00AE3816"/>
    <w:rsid w:val="00AE50B3"/>
    <w:rsid w:val="00AE53CC"/>
    <w:rsid w:val="00AF0A33"/>
    <w:rsid w:val="00AF1042"/>
    <w:rsid w:val="00AF20DF"/>
    <w:rsid w:val="00AF228B"/>
    <w:rsid w:val="00AF274A"/>
    <w:rsid w:val="00AF34E0"/>
    <w:rsid w:val="00AF474B"/>
    <w:rsid w:val="00AF49D6"/>
    <w:rsid w:val="00AF553E"/>
    <w:rsid w:val="00AF5D99"/>
    <w:rsid w:val="00AF65A0"/>
    <w:rsid w:val="00AF6BA6"/>
    <w:rsid w:val="00B00AD9"/>
    <w:rsid w:val="00B018FF"/>
    <w:rsid w:val="00B034F0"/>
    <w:rsid w:val="00B0389C"/>
    <w:rsid w:val="00B03A77"/>
    <w:rsid w:val="00B040D6"/>
    <w:rsid w:val="00B05BB9"/>
    <w:rsid w:val="00B06396"/>
    <w:rsid w:val="00B0757E"/>
    <w:rsid w:val="00B076B1"/>
    <w:rsid w:val="00B1063F"/>
    <w:rsid w:val="00B107F4"/>
    <w:rsid w:val="00B10F27"/>
    <w:rsid w:val="00B12271"/>
    <w:rsid w:val="00B1228E"/>
    <w:rsid w:val="00B12535"/>
    <w:rsid w:val="00B1287C"/>
    <w:rsid w:val="00B1295A"/>
    <w:rsid w:val="00B12DAD"/>
    <w:rsid w:val="00B13650"/>
    <w:rsid w:val="00B144C7"/>
    <w:rsid w:val="00B145A4"/>
    <w:rsid w:val="00B14E12"/>
    <w:rsid w:val="00B156B0"/>
    <w:rsid w:val="00B164BE"/>
    <w:rsid w:val="00B17D62"/>
    <w:rsid w:val="00B17EA8"/>
    <w:rsid w:val="00B20654"/>
    <w:rsid w:val="00B20D97"/>
    <w:rsid w:val="00B20EAF"/>
    <w:rsid w:val="00B2228D"/>
    <w:rsid w:val="00B23C26"/>
    <w:rsid w:val="00B23C2F"/>
    <w:rsid w:val="00B24829"/>
    <w:rsid w:val="00B24C0D"/>
    <w:rsid w:val="00B25B38"/>
    <w:rsid w:val="00B27F3F"/>
    <w:rsid w:val="00B3009F"/>
    <w:rsid w:val="00B30B12"/>
    <w:rsid w:val="00B30C77"/>
    <w:rsid w:val="00B31563"/>
    <w:rsid w:val="00B33A1B"/>
    <w:rsid w:val="00B349AF"/>
    <w:rsid w:val="00B355C6"/>
    <w:rsid w:val="00B358AD"/>
    <w:rsid w:val="00B36DE5"/>
    <w:rsid w:val="00B37069"/>
    <w:rsid w:val="00B370FE"/>
    <w:rsid w:val="00B373EF"/>
    <w:rsid w:val="00B411C3"/>
    <w:rsid w:val="00B41865"/>
    <w:rsid w:val="00B418D5"/>
    <w:rsid w:val="00B41BF8"/>
    <w:rsid w:val="00B41EC1"/>
    <w:rsid w:val="00B42966"/>
    <w:rsid w:val="00B43056"/>
    <w:rsid w:val="00B44F11"/>
    <w:rsid w:val="00B46012"/>
    <w:rsid w:val="00B46F3C"/>
    <w:rsid w:val="00B5023A"/>
    <w:rsid w:val="00B51539"/>
    <w:rsid w:val="00B515EC"/>
    <w:rsid w:val="00B51BC1"/>
    <w:rsid w:val="00B52160"/>
    <w:rsid w:val="00B52202"/>
    <w:rsid w:val="00B52AE5"/>
    <w:rsid w:val="00B53E3A"/>
    <w:rsid w:val="00B5529C"/>
    <w:rsid w:val="00B5626E"/>
    <w:rsid w:val="00B56A4E"/>
    <w:rsid w:val="00B56E4A"/>
    <w:rsid w:val="00B57281"/>
    <w:rsid w:val="00B60009"/>
    <w:rsid w:val="00B608E3"/>
    <w:rsid w:val="00B6115D"/>
    <w:rsid w:val="00B61694"/>
    <w:rsid w:val="00B61E03"/>
    <w:rsid w:val="00B626F0"/>
    <w:rsid w:val="00B62A0D"/>
    <w:rsid w:val="00B62AA1"/>
    <w:rsid w:val="00B63083"/>
    <w:rsid w:val="00B630C5"/>
    <w:rsid w:val="00B632FA"/>
    <w:rsid w:val="00B6470F"/>
    <w:rsid w:val="00B649FD"/>
    <w:rsid w:val="00B64DB5"/>
    <w:rsid w:val="00B65202"/>
    <w:rsid w:val="00B65487"/>
    <w:rsid w:val="00B65848"/>
    <w:rsid w:val="00B67D31"/>
    <w:rsid w:val="00B704CF"/>
    <w:rsid w:val="00B71C5A"/>
    <w:rsid w:val="00B7201F"/>
    <w:rsid w:val="00B74071"/>
    <w:rsid w:val="00B74670"/>
    <w:rsid w:val="00B74A8C"/>
    <w:rsid w:val="00B75C3A"/>
    <w:rsid w:val="00B76E01"/>
    <w:rsid w:val="00B776D3"/>
    <w:rsid w:val="00B82011"/>
    <w:rsid w:val="00B823FF"/>
    <w:rsid w:val="00B82557"/>
    <w:rsid w:val="00B84E5E"/>
    <w:rsid w:val="00B85F11"/>
    <w:rsid w:val="00B86C37"/>
    <w:rsid w:val="00B87998"/>
    <w:rsid w:val="00B90240"/>
    <w:rsid w:val="00B91124"/>
    <w:rsid w:val="00B91F2F"/>
    <w:rsid w:val="00B9355F"/>
    <w:rsid w:val="00B942B6"/>
    <w:rsid w:val="00B9664F"/>
    <w:rsid w:val="00B96C1C"/>
    <w:rsid w:val="00B976B1"/>
    <w:rsid w:val="00B97DB9"/>
    <w:rsid w:val="00BA046D"/>
    <w:rsid w:val="00BA06AB"/>
    <w:rsid w:val="00BA0F0C"/>
    <w:rsid w:val="00BA113A"/>
    <w:rsid w:val="00BA2DB9"/>
    <w:rsid w:val="00BA3ED4"/>
    <w:rsid w:val="00BA3FF9"/>
    <w:rsid w:val="00BA58E4"/>
    <w:rsid w:val="00BA61E5"/>
    <w:rsid w:val="00BA6233"/>
    <w:rsid w:val="00BA6917"/>
    <w:rsid w:val="00BA6A8F"/>
    <w:rsid w:val="00BA7026"/>
    <w:rsid w:val="00BA770B"/>
    <w:rsid w:val="00BA7A80"/>
    <w:rsid w:val="00BB005D"/>
    <w:rsid w:val="00BB089E"/>
    <w:rsid w:val="00BB0906"/>
    <w:rsid w:val="00BB11E5"/>
    <w:rsid w:val="00BB24C3"/>
    <w:rsid w:val="00BB3212"/>
    <w:rsid w:val="00BB3270"/>
    <w:rsid w:val="00BB33F9"/>
    <w:rsid w:val="00BB439E"/>
    <w:rsid w:val="00BB4665"/>
    <w:rsid w:val="00BB4BF0"/>
    <w:rsid w:val="00BB4C88"/>
    <w:rsid w:val="00BB4F5D"/>
    <w:rsid w:val="00BB588F"/>
    <w:rsid w:val="00BB5B1A"/>
    <w:rsid w:val="00BB627B"/>
    <w:rsid w:val="00BB62A1"/>
    <w:rsid w:val="00BC0DAB"/>
    <w:rsid w:val="00BC1247"/>
    <w:rsid w:val="00BC24B8"/>
    <w:rsid w:val="00BC4033"/>
    <w:rsid w:val="00BC4CFC"/>
    <w:rsid w:val="00BC5104"/>
    <w:rsid w:val="00BC5569"/>
    <w:rsid w:val="00BC79CA"/>
    <w:rsid w:val="00BD0CB9"/>
    <w:rsid w:val="00BD5B3B"/>
    <w:rsid w:val="00BD62DD"/>
    <w:rsid w:val="00BD7D87"/>
    <w:rsid w:val="00BE0691"/>
    <w:rsid w:val="00BE0938"/>
    <w:rsid w:val="00BE116A"/>
    <w:rsid w:val="00BE13A0"/>
    <w:rsid w:val="00BE2476"/>
    <w:rsid w:val="00BE2481"/>
    <w:rsid w:val="00BE275F"/>
    <w:rsid w:val="00BE32EC"/>
    <w:rsid w:val="00BE3417"/>
    <w:rsid w:val="00BE36EF"/>
    <w:rsid w:val="00BE3BAB"/>
    <w:rsid w:val="00BE432C"/>
    <w:rsid w:val="00BE43C5"/>
    <w:rsid w:val="00BE56BC"/>
    <w:rsid w:val="00BE5E8D"/>
    <w:rsid w:val="00BE632A"/>
    <w:rsid w:val="00BE6C1D"/>
    <w:rsid w:val="00BE7148"/>
    <w:rsid w:val="00BE76F5"/>
    <w:rsid w:val="00BE786C"/>
    <w:rsid w:val="00BF0576"/>
    <w:rsid w:val="00BF0642"/>
    <w:rsid w:val="00BF080D"/>
    <w:rsid w:val="00BF13FA"/>
    <w:rsid w:val="00BF165E"/>
    <w:rsid w:val="00BF1A4A"/>
    <w:rsid w:val="00BF1BAE"/>
    <w:rsid w:val="00BF2111"/>
    <w:rsid w:val="00BF3251"/>
    <w:rsid w:val="00BF3B5F"/>
    <w:rsid w:val="00BF4358"/>
    <w:rsid w:val="00BF4759"/>
    <w:rsid w:val="00BF752C"/>
    <w:rsid w:val="00BF7C39"/>
    <w:rsid w:val="00C000AC"/>
    <w:rsid w:val="00C001C8"/>
    <w:rsid w:val="00C00C2F"/>
    <w:rsid w:val="00C02067"/>
    <w:rsid w:val="00C027D9"/>
    <w:rsid w:val="00C02AE4"/>
    <w:rsid w:val="00C02DE9"/>
    <w:rsid w:val="00C040C2"/>
    <w:rsid w:val="00C040D8"/>
    <w:rsid w:val="00C04681"/>
    <w:rsid w:val="00C05454"/>
    <w:rsid w:val="00C061E5"/>
    <w:rsid w:val="00C104AC"/>
    <w:rsid w:val="00C10D5A"/>
    <w:rsid w:val="00C10F34"/>
    <w:rsid w:val="00C111BE"/>
    <w:rsid w:val="00C128F5"/>
    <w:rsid w:val="00C154BD"/>
    <w:rsid w:val="00C161A7"/>
    <w:rsid w:val="00C16357"/>
    <w:rsid w:val="00C1642C"/>
    <w:rsid w:val="00C16650"/>
    <w:rsid w:val="00C16689"/>
    <w:rsid w:val="00C17C55"/>
    <w:rsid w:val="00C200DA"/>
    <w:rsid w:val="00C21D92"/>
    <w:rsid w:val="00C2252F"/>
    <w:rsid w:val="00C23AB5"/>
    <w:rsid w:val="00C2503F"/>
    <w:rsid w:val="00C25408"/>
    <w:rsid w:val="00C25680"/>
    <w:rsid w:val="00C25A60"/>
    <w:rsid w:val="00C27411"/>
    <w:rsid w:val="00C27C25"/>
    <w:rsid w:val="00C30C4A"/>
    <w:rsid w:val="00C31D9B"/>
    <w:rsid w:val="00C32A31"/>
    <w:rsid w:val="00C32AC4"/>
    <w:rsid w:val="00C32D23"/>
    <w:rsid w:val="00C32DDF"/>
    <w:rsid w:val="00C330B4"/>
    <w:rsid w:val="00C33528"/>
    <w:rsid w:val="00C35213"/>
    <w:rsid w:val="00C36C85"/>
    <w:rsid w:val="00C3774F"/>
    <w:rsid w:val="00C379D1"/>
    <w:rsid w:val="00C37D4C"/>
    <w:rsid w:val="00C40FF7"/>
    <w:rsid w:val="00C4171E"/>
    <w:rsid w:val="00C42444"/>
    <w:rsid w:val="00C42DE7"/>
    <w:rsid w:val="00C44512"/>
    <w:rsid w:val="00C449B4"/>
    <w:rsid w:val="00C45656"/>
    <w:rsid w:val="00C45B63"/>
    <w:rsid w:val="00C4643F"/>
    <w:rsid w:val="00C47E4F"/>
    <w:rsid w:val="00C50387"/>
    <w:rsid w:val="00C50F7C"/>
    <w:rsid w:val="00C51BA4"/>
    <w:rsid w:val="00C51EC4"/>
    <w:rsid w:val="00C52099"/>
    <w:rsid w:val="00C524B3"/>
    <w:rsid w:val="00C537E6"/>
    <w:rsid w:val="00C53F79"/>
    <w:rsid w:val="00C55313"/>
    <w:rsid w:val="00C5591E"/>
    <w:rsid w:val="00C5620D"/>
    <w:rsid w:val="00C56744"/>
    <w:rsid w:val="00C568BB"/>
    <w:rsid w:val="00C56B62"/>
    <w:rsid w:val="00C5775C"/>
    <w:rsid w:val="00C5780D"/>
    <w:rsid w:val="00C60444"/>
    <w:rsid w:val="00C605B1"/>
    <w:rsid w:val="00C60920"/>
    <w:rsid w:val="00C61FAF"/>
    <w:rsid w:val="00C62BE8"/>
    <w:rsid w:val="00C62D27"/>
    <w:rsid w:val="00C630D3"/>
    <w:rsid w:val="00C643FD"/>
    <w:rsid w:val="00C64C37"/>
    <w:rsid w:val="00C653A4"/>
    <w:rsid w:val="00C66184"/>
    <w:rsid w:val="00C673A4"/>
    <w:rsid w:val="00C701B8"/>
    <w:rsid w:val="00C72457"/>
    <w:rsid w:val="00C72488"/>
    <w:rsid w:val="00C73083"/>
    <w:rsid w:val="00C74573"/>
    <w:rsid w:val="00C746CE"/>
    <w:rsid w:val="00C75E22"/>
    <w:rsid w:val="00C76395"/>
    <w:rsid w:val="00C77229"/>
    <w:rsid w:val="00C7736D"/>
    <w:rsid w:val="00C7777B"/>
    <w:rsid w:val="00C77986"/>
    <w:rsid w:val="00C77C04"/>
    <w:rsid w:val="00C77F89"/>
    <w:rsid w:val="00C815BD"/>
    <w:rsid w:val="00C81721"/>
    <w:rsid w:val="00C81B92"/>
    <w:rsid w:val="00C81F56"/>
    <w:rsid w:val="00C823DA"/>
    <w:rsid w:val="00C825C6"/>
    <w:rsid w:val="00C82E81"/>
    <w:rsid w:val="00C82F10"/>
    <w:rsid w:val="00C8312E"/>
    <w:rsid w:val="00C834BA"/>
    <w:rsid w:val="00C83BD4"/>
    <w:rsid w:val="00C844D1"/>
    <w:rsid w:val="00C84B84"/>
    <w:rsid w:val="00C853F4"/>
    <w:rsid w:val="00C85B2C"/>
    <w:rsid w:val="00C85C7E"/>
    <w:rsid w:val="00C86892"/>
    <w:rsid w:val="00C87344"/>
    <w:rsid w:val="00C873EE"/>
    <w:rsid w:val="00C901DB"/>
    <w:rsid w:val="00C90E64"/>
    <w:rsid w:val="00C90FCB"/>
    <w:rsid w:val="00C911AC"/>
    <w:rsid w:val="00C917F3"/>
    <w:rsid w:val="00C919A0"/>
    <w:rsid w:val="00C91EDE"/>
    <w:rsid w:val="00C92047"/>
    <w:rsid w:val="00C92BF5"/>
    <w:rsid w:val="00C9476D"/>
    <w:rsid w:val="00C9523C"/>
    <w:rsid w:val="00C955AC"/>
    <w:rsid w:val="00C95DDE"/>
    <w:rsid w:val="00C96C2C"/>
    <w:rsid w:val="00CA0731"/>
    <w:rsid w:val="00CA116D"/>
    <w:rsid w:val="00CA19D3"/>
    <w:rsid w:val="00CA2BB2"/>
    <w:rsid w:val="00CA32D6"/>
    <w:rsid w:val="00CA434E"/>
    <w:rsid w:val="00CA64D4"/>
    <w:rsid w:val="00CA65D3"/>
    <w:rsid w:val="00CA73A3"/>
    <w:rsid w:val="00CA7434"/>
    <w:rsid w:val="00CB0C73"/>
    <w:rsid w:val="00CB0D1E"/>
    <w:rsid w:val="00CB1937"/>
    <w:rsid w:val="00CB2D42"/>
    <w:rsid w:val="00CB3BFD"/>
    <w:rsid w:val="00CB3EEB"/>
    <w:rsid w:val="00CB43C9"/>
    <w:rsid w:val="00CB4732"/>
    <w:rsid w:val="00CB47B7"/>
    <w:rsid w:val="00CB4A19"/>
    <w:rsid w:val="00CB4DA4"/>
    <w:rsid w:val="00CB6126"/>
    <w:rsid w:val="00CB6144"/>
    <w:rsid w:val="00CB692A"/>
    <w:rsid w:val="00CB6DB0"/>
    <w:rsid w:val="00CB7F42"/>
    <w:rsid w:val="00CC0743"/>
    <w:rsid w:val="00CC0B5F"/>
    <w:rsid w:val="00CC0D80"/>
    <w:rsid w:val="00CC1112"/>
    <w:rsid w:val="00CC1190"/>
    <w:rsid w:val="00CC270E"/>
    <w:rsid w:val="00CC2A07"/>
    <w:rsid w:val="00CC3071"/>
    <w:rsid w:val="00CC3442"/>
    <w:rsid w:val="00CC35F2"/>
    <w:rsid w:val="00CC4411"/>
    <w:rsid w:val="00CC490D"/>
    <w:rsid w:val="00CC53B2"/>
    <w:rsid w:val="00CC558C"/>
    <w:rsid w:val="00CC562B"/>
    <w:rsid w:val="00CC5EE8"/>
    <w:rsid w:val="00CC6715"/>
    <w:rsid w:val="00CC67BC"/>
    <w:rsid w:val="00CD0325"/>
    <w:rsid w:val="00CD1DD1"/>
    <w:rsid w:val="00CD3703"/>
    <w:rsid w:val="00CD49E9"/>
    <w:rsid w:val="00CD5C62"/>
    <w:rsid w:val="00CD60AC"/>
    <w:rsid w:val="00CD6E71"/>
    <w:rsid w:val="00CD725E"/>
    <w:rsid w:val="00CD77DC"/>
    <w:rsid w:val="00CE0A99"/>
    <w:rsid w:val="00CE1598"/>
    <w:rsid w:val="00CE1640"/>
    <w:rsid w:val="00CE186B"/>
    <w:rsid w:val="00CE26AB"/>
    <w:rsid w:val="00CE3191"/>
    <w:rsid w:val="00CE46F0"/>
    <w:rsid w:val="00CE5A47"/>
    <w:rsid w:val="00CE6A9F"/>
    <w:rsid w:val="00CE6DA7"/>
    <w:rsid w:val="00CE7385"/>
    <w:rsid w:val="00CE761B"/>
    <w:rsid w:val="00CF07E1"/>
    <w:rsid w:val="00CF0FEB"/>
    <w:rsid w:val="00CF363B"/>
    <w:rsid w:val="00CF3A89"/>
    <w:rsid w:val="00CF3ED7"/>
    <w:rsid w:val="00CF5DE9"/>
    <w:rsid w:val="00CF6112"/>
    <w:rsid w:val="00CF7BE6"/>
    <w:rsid w:val="00D00117"/>
    <w:rsid w:val="00D0056E"/>
    <w:rsid w:val="00D00A4C"/>
    <w:rsid w:val="00D00CE5"/>
    <w:rsid w:val="00D014BE"/>
    <w:rsid w:val="00D01F4B"/>
    <w:rsid w:val="00D02B25"/>
    <w:rsid w:val="00D033E8"/>
    <w:rsid w:val="00D03AF9"/>
    <w:rsid w:val="00D04628"/>
    <w:rsid w:val="00D0499E"/>
    <w:rsid w:val="00D04B65"/>
    <w:rsid w:val="00D04C21"/>
    <w:rsid w:val="00D04CB6"/>
    <w:rsid w:val="00D050CC"/>
    <w:rsid w:val="00D052EB"/>
    <w:rsid w:val="00D0541E"/>
    <w:rsid w:val="00D054C7"/>
    <w:rsid w:val="00D060A5"/>
    <w:rsid w:val="00D06289"/>
    <w:rsid w:val="00D065F5"/>
    <w:rsid w:val="00D07265"/>
    <w:rsid w:val="00D10EBF"/>
    <w:rsid w:val="00D120F9"/>
    <w:rsid w:val="00D1327E"/>
    <w:rsid w:val="00D13731"/>
    <w:rsid w:val="00D13BBF"/>
    <w:rsid w:val="00D146B1"/>
    <w:rsid w:val="00D14BEA"/>
    <w:rsid w:val="00D157EB"/>
    <w:rsid w:val="00D1604C"/>
    <w:rsid w:val="00D1609F"/>
    <w:rsid w:val="00D1719B"/>
    <w:rsid w:val="00D20382"/>
    <w:rsid w:val="00D20D65"/>
    <w:rsid w:val="00D20DB1"/>
    <w:rsid w:val="00D20FA2"/>
    <w:rsid w:val="00D2128B"/>
    <w:rsid w:val="00D2228D"/>
    <w:rsid w:val="00D22CB4"/>
    <w:rsid w:val="00D23DA4"/>
    <w:rsid w:val="00D24805"/>
    <w:rsid w:val="00D2583C"/>
    <w:rsid w:val="00D25A51"/>
    <w:rsid w:val="00D25A78"/>
    <w:rsid w:val="00D25AB1"/>
    <w:rsid w:val="00D2762D"/>
    <w:rsid w:val="00D30D38"/>
    <w:rsid w:val="00D31105"/>
    <w:rsid w:val="00D3240E"/>
    <w:rsid w:val="00D32D44"/>
    <w:rsid w:val="00D344B9"/>
    <w:rsid w:val="00D3456E"/>
    <w:rsid w:val="00D34E1F"/>
    <w:rsid w:val="00D35210"/>
    <w:rsid w:val="00D35551"/>
    <w:rsid w:val="00D3670B"/>
    <w:rsid w:val="00D36C28"/>
    <w:rsid w:val="00D4167E"/>
    <w:rsid w:val="00D435F0"/>
    <w:rsid w:val="00D43AB4"/>
    <w:rsid w:val="00D43B70"/>
    <w:rsid w:val="00D43B8D"/>
    <w:rsid w:val="00D440EC"/>
    <w:rsid w:val="00D45067"/>
    <w:rsid w:val="00D451B2"/>
    <w:rsid w:val="00D452C8"/>
    <w:rsid w:val="00D453F5"/>
    <w:rsid w:val="00D45407"/>
    <w:rsid w:val="00D45580"/>
    <w:rsid w:val="00D4570D"/>
    <w:rsid w:val="00D4678E"/>
    <w:rsid w:val="00D4692B"/>
    <w:rsid w:val="00D47868"/>
    <w:rsid w:val="00D478F1"/>
    <w:rsid w:val="00D503BE"/>
    <w:rsid w:val="00D50BCB"/>
    <w:rsid w:val="00D5192F"/>
    <w:rsid w:val="00D53881"/>
    <w:rsid w:val="00D54EAF"/>
    <w:rsid w:val="00D55343"/>
    <w:rsid w:val="00D55E64"/>
    <w:rsid w:val="00D56081"/>
    <w:rsid w:val="00D563FD"/>
    <w:rsid w:val="00D56F95"/>
    <w:rsid w:val="00D56FB2"/>
    <w:rsid w:val="00D57646"/>
    <w:rsid w:val="00D57954"/>
    <w:rsid w:val="00D57DED"/>
    <w:rsid w:val="00D607A0"/>
    <w:rsid w:val="00D61877"/>
    <w:rsid w:val="00D62D05"/>
    <w:rsid w:val="00D63AC8"/>
    <w:rsid w:val="00D63B7B"/>
    <w:rsid w:val="00D644BB"/>
    <w:rsid w:val="00D64FDF"/>
    <w:rsid w:val="00D66E40"/>
    <w:rsid w:val="00D67C1B"/>
    <w:rsid w:val="00D70061"/>
    <w:rsid w:val="00D70DFC"/>
    <w:rsid w:val="00D718E1"/>
    <w:rsid w:val="00D71D73"/>
    <w:rsid w:val="00D7272B"/>
    <w:rsid w:val="00D72AD1"/>
    <w:rsid w:val="00D74F2F"/>
    <w:rsid w:val="00D74FC8"/>
    <w:rsid w:val="00D7536C"/>
    <w:rsid w:val="00D76E0E"/>
    <w:rsid w:val="00D76F05"/>
    <w:rsid w:val="00D76FD6"/>
    <w:rsid w:val="00D8006B"/>
    <w:rsid w:val="00D80961"/>
    <w:rsid w:val="00D80CCE"/>
    <w:rsid w:val="00D81C84"/>
    <w:rsid w:val="00D82348"/>
    <w:rsid w:val="00D8306C"/>
    <w:rsid w:val="00D83204"/>
    <w:rsid w:val="00D83630"/>
    <w:rsid w:val="00D83F3B"/>
    <w:rsid w:val="00D8652A"/>
    <w:rsid w:val="00D866CB"/>
    <w:rsid w:val="00D86E40"/>
    <w:rsid w:val="00D90275"/>
    <w:rsid w:val="00D90CAC"/>
    <w:rsid w:val="00D90DE3"/>
    <w:rsid w:val="00D91377"/>
    <w:rsid w:val="00D9243F"/>
    <w:rsid w:val="00D92D6C"/>
    <w:rsid w:val="00D92E88"/>
    <w:rsid w:val="00D93534"/>
    <w:rsid w:val="00D949EF"/>
    <w:rsid w:val="00D95EBB"/>
    <w:rsid w:val="00D963EF"/>
    <w:rsid w:val="00D9681C"/>
    <w:rsid w:val="00D96DAB"/>
    <w:rsid w:val="00DA0455"/>
    <w:rsid w:val="00DA0457"/>
    <w:rsid w:val="00DA2CEB"/>
    <w:rsid w:val="00DA3BCD"/>
    <w:rsid w:val="00DA3FF9"/>
    <w:rsid w:val="00DA54C0"/>
    <w:rsid w:val="00DA5729"/>
    <w:rsid w:val="00DA700C"/>
    <w:rsid w:val="00DA7C16"/>
    <w:rsid w:val="00DB058B"/>
    <w:rsid w:val="00DB1D08"/>
    <w:rsid w:val="00DB24B1"/>
    <w:rsid w:val="00DB3E41"/>
    <w:rsid w:val="00DB5CFC"/>
    <w:rsid w:val="00DB739E"/>
    <w:rsid w:val="00DB768A"/>
    <w:rsid w:val="00DB7DCC"/>
    <w:rsid w:val="00DC0153"/>
    <w:rsid w:val="00DC049B"/>
    <w:rsid w:val="00DC09D5"/>
    <w:rsid w:val="00DC16EF"/>
    <w:rsid w:val="00DC1E95"/>
    <w:rsid w:val="00DC2097"/>
    <w:rsid w:val="00DC3077"/>
    <w:rsid w:val="00DC3460"/>
    <w:rsid w:val="00DC47B5"/>
    <w:rsid w:val="00DC5242"/>
    <w:rsid w:val="00DC5A5D"/>
    <w:rsid w:val="00DC5DF1"/>
    <w:rsid w:val="00DC61E5"/>
    <w:rsid w:val="00DC651C"/>
    <w:rsid w:val="00DC6B74"/>
    <w:rsid w:val="00DC7BD6"/>
    <w:rsid w:val="00DC7D1F"/>
    <w:rsid w:val="00DD0D61"/>
    <w:rsid w:val="00DD1960"/>
    <w:rsid w:val="00DD27E8"/>
    <w:rsid w:val="00DD2966"/>
    <w:rsid w:val="00DD401C"/>
    <w:rsid w:val="00DD4614"/>
    <w:rsid w:val="00DD4D9A"/>
    <w:rsid w:val="00DD5559"/>
    <w:rsid w:val="00DD608C"/>
    <w:rsid w:val="00DD650A"/>
    <w:rsid w:val="00DE056F"/>
    <w:rsid w:val="00DE0769"/>
    <w:rsid w:val="00DE0A2C"/>
    <w:rsid w:val="00DE1C65"/>
    <w:rsid w:val="00DE1D3E"/>
    <w:rsid w:val="00DE1E08"/>
    <w:rsid w:val="00DE25D7"/>
    <w:rsid w:val="00DE3B25"/>
    <w:rsid w:val="00DE46F9"/>
    <w:rsid w:val="00DE5649"/>
    <w:rsid w:val="00DE58B0"/>
    <w:rsid w:val="00DE5936"/>
    <w:rsid w:val="00DE5A70"/>
    <w:rsid w:val="00DE5CA9"/>
    <w:rsid w:val="00DE6EFD"/>
    <w:rsid w:val="00DF0851"/>
    <w:rsid w:val="00DF08B3"/>
    <w:rsid w:val="00DF0F53"/>
    <w:rsid w:val="00DF1F30"/>
    <w:rsid w:val="00DF1FF8"/>
    <w:rsid w:val="00DF4DDB"/>
    <w:rsid w:val="00DF62CC"/>
    <w:rsid w:val="00DF671E"/>
    <w:rsid w:val="00DF6BC6"/>
    <w:rsid w:val="00DF6D4F"/>
    <w:rsid w:val="00DF72AF"/>
    <w:rsid w:val="00DF7F9F"/>
    <w:rsid w:val="00E007E8"/>
    <w:rsid w:val="00E02427"/>
    <w:rsid w:val="00E03329"/>
    <w:rsid w:val="00E03718"/>
    <w:rsid w:val="00E03AE1"/>
    <w:rsid w:val="00E04AEA"/>
    <w:rsid w:val="00E05175"/>
    <w:rsid w:val="00E06B5F"/>
    <w:rsid w:val="00E0797B"/>
    <w:rsid w:val="00E1044A"/>
    <w:rsid w:val="00E11A58"/>
    <w:rsid w:val="00E13B9A"/>
    <w:rsid w:val="00E1787A"/>
    <w:rsid w:val="00E20A41"/>
    <w:rsid w:val="00E222BA"/>
    <w:rsid w:val="00E234B6"/>
    <w:rsid w:val="00E24BA2"/>
    <w:rsid w:val="00E25017"/>
    <w:rsid w:val="00E25C3C"/>
    <w:rsid w:val="00E26D57"/>
    <w:rsid w:val="00E26FB2"/>
    <w:rsid w:val="00E30045"/>
    <w:rsid w:val="00E30537"/>
    <w:rsid w:val="00E31129"/>
    <w:rsid w:val="00E31A0E"/>
    <w:rsid w:val="00E31B64"/>
    <w:rsid w:val="00E32174"/>
    <w:rsid w:val="00E32682"/>
    <w:rsid w:val="00E3270B"/>
    <w:rsid w:val="00E327DD"/>
    <w:rsid w:val="00E32F0C"/>
    <w:rsid w:val="00E33D7E"/>
    <w:rsid w:val="00E36621"/>
    <w:rsid w:val="00E378F0"/>
    <w:rsid w:val="00E37903"/>
    <w:rsid w:val="00E379EB"/>
    <w:rsid w:val="00E37D05"/>
    <w:rsid w:val="00E409CB"/>
    <w:rsid w:val="00E4161F"/>
    <w:rsid w:val="00E419E0"/>
    <w:rsid w:val="00E41C6F"/>
    <w:rsid w:val="00E42077"/>
    <w:rsid w:val="00E42134"/>
    <w:rsid w:val="00E439BB"/>
    <w:rsid w:val="00E43B0F"/>
    <w:rsid w:val="00E44987"/>
    <w:rsid w:val="00E449FF"/>
    <w:rsid w:val="00E44BAB"/>
    <w:rsid w:val="00E46B64"/>
    <w:rsid w:val="00E46BA1"/>
    <w:rsid w:val="00E47535"/>
    <w:rsid w:val="00E4764F"/>
    <w:rsid w:val="00E477CB"/>
    <w:rsid w:val="00E47EC3"/>
    <w:rsid w:val="00E50DE2"/>
    <w:rsid w:val="00E512C7"/>
    <w:rsid w:val="00E52562"/>
    <w:rsid w:val="00E526EF"/>
    <w:rsid w:val="00E5375F"/>
    <w:rsid w:val="00E54AD4"/>
    <w:rsid w:val="00E5686E"/>
    <w:rsid w:val="00E56E99"/>
    <w:rsid w:val="00E57243"/>
    <w:rsid w:val="00E61465"/>
    <w:rsid w:val="00E62462"/>
    <w:rsid w:val="00E62B0E"/>
    <w:rsid w:val="00E62CA4"/>
    <w:rsid w:val="00E66824"/>
    <w:rsid w:val="00E66D97"/>
    <w:rsid w:val="00E675F3"/>
    <w:rsid w:val="00E67890"/>
    <w:rsid w:val="00E707C2"/>
    <w:rsid w:val="00E71BB5"/>
    <w:rsid w:val="00E72B3D"/>
    <w:rsid w:val="00E734E4"/>
    <w:rsid w:val="00E73DF9"/>
    <w:rsid w:val="00E74819"/>
    <w:rsid w:val="00E74DBD"/>
    <w:rsid w:val="00E74DCF"/>
    <w:rsid w:val="00E74FF5"/>
    <w:rsid w:val="00E75595"/>
    <w:rsid w:val="00E75AC4"/>
    <w:rsid w:val="00E76294"/>
    <w:rsid w:val="00E76CBE"/>
    <w:rsid w:val="00E80A54"/>
    <w:rsid w:val="00E80A5B"/>
    <w:rsid w:val="00E84672"/>
    <w:rsid w:val="00E84A39"/>
    <w:rsid w:val="00E85BD6"/>
    <w:rsid w:val="00E867FA"/>
    <w:rsid w:val="00E86DDB"/>
    <w:rsid w:val="00E903B5"/>
    <w:rsid w:val="00E9334D"/>
    <w:rsid w:val="00E9464C"/>
    <w:rsid w:val="00E95A11"/>
    <w:rsid w:val="00E97038"/>
    <w:rsid w:val="00E9709C"/>
    <w:rsid w:val="00E970F9"/>
    <w:rsid w:val="00E978F4"/>
    <w:rsid w:val="00E97F62"/>
    <w:rsid w:val="00EA0263"/>
    <w:rsid w:val="00EA16F2"/>
    <w:rsid w:val="00EA2B14"/>
    <w:rsid w:val="00EA2EBD"/>
    <w:rsid w:val="00EA369D"/>
    <w:rsid w:val="00EA42C7"/>
    <w:rsid w:val="00EA42CB"/>
    <w:rsid w:val="00EA511E"/>
    <w:rsid w:val="00EA52AC"/>
    <w:rsid w:val="00EB0102"/>
    <w:rsid w:val="00EB262E"/>
    <w:rsid w:val="00EB2693"/>
    <w:rsid w:val="00EB386B"/>
    <w:rsid w:val="00EB482E"/>
    <w:rsid w:val="00EB59F6"/>
    <w:rsid w:val="00EB6DDC"/>
    <w:rsid w:val="00EB7DBA"/>
    <w:rsid w:val="00EC0757"/>
    <w:rsid w:val="00EC33F2"/>
    <w:rsid w:val="00EC4A2A"/>
    <w:rsid w:val="00EC52A5"/>
    <w:rsid w:val="00EC6AE6"/>
    <w:rsid w:val="00EC75FC"/>
    <w:rsid w:val="00ED00DC"/>
    <w:rsid w:val="00ED0BEF"/>
    <w:rsid w:val="00ED3BB3"/>
    <w:rsid w:val="00ED41DB"/>
    <w:rsid w:val="00ED47E3"/>
    <w:rsid w:val="00ED4E4A"/>
    <w:rsid w:val="00ED6AD0"/>
    <w:rsid w:val="00ED79BC"/>
    <w:rsid w:val="00ED7EDF"/>
    <w:rsid w:val="00EE0555"/>
    <w:rsid w:val="00EE198E"/>
    <w:rsid w:val="00EE1ABC"/>
    <w:rsid w:val="00EE267A"/>
    <w:rsid w:val="00EE2AE1"/>
    <w:rsid w:val="00EE2BA6"/>
    <w:rsid w:val="00EE30DC"/>
    <w:rsid w:val="00EE36AA"/>
    <w:rsid w:val="00EE391E"/>
    <w:rsid w:val="00EE54E1"/>
    <w:rsid w:val="00EE6EE9"/>
    <w:rsid w:val="00EE7742"/>
    <w:rsid w:val="00EE79DE"/>
    <w:rsid w:val="00EE7AC2"/>
    <w:rsid w:val="00EF17BE"/>
    <w:rsid w:val="00EF2313"/>
    <w:rsid w:val="00EF2C29"/>
    <w:rsid w:val="00EF3A99"/>
    <w:rsid w:val="00EF42CA"/>
    <w:rsid w:val="00EF4381"/>
    <w:rsid w:val="00EF490A"/>
    <w:rsid w:val="00EF4B86"/>
    <w:rsid w:val="00EF5382"/>
    <w:rsid w:val="00EF7209"/>
    <w:rsid w:val="00EF7A04"/>
    <w:rsid w:val="00F00AE2"/>
    <w:rsid w:val="00F00E5E"/>
    <w:rsid w:val="00F01547"/>
    <w:rsid w:val="00F02D72"/>
    <w:rsid w:val="00F02E7B"/>
    <w:rsid w:val="00F02E93"/>
    <w:rsid w:val="00F03003"/>
    <w:rsid w:val="00F03CC4"/>
    <w:rsid w:val="00F0598A"/>
    <w:rsid w:val="00F063BC"/>
    <w:rsid w:val="00F069F6"/>
    <w:rsid w:val="00F07B80"/>
    <w:rsid w:val="00F10E77"/>
    <w:rsid w:val="00F14B9F"/>
    <w:rsid w:val="00F1553C"/>
    <w:rsid w:val="00F15EAF"/>
    <w:rsid w:val="00F2220E"/>
    <w:rsid w:val="00F23FFE"/>
    <w:rsid w:val="00F2435E"/>
    <w:rsid w:val="00F2530B"/>
    <w:rsid w:val="00F25359"/>
    <w:rsid w:val="00F262E1"/>
    <w:rsid w:val="00F2657C"/>
    <w:rsid w:val="00F270EB"/>
    <w:rsid w:val="00F278E3"/>
    <w:rsid w:val="00F27AE7"/>
    <w:rsid w:val="00F27CC0"/>
    <w:rsid w:val="00F30226"/>
    <w:rsid w:val="00F30FDE"/>
    <w:rsid w:val="00F316C4"/>
    <w:rsid w:val="00F32D05"/>
    <w:rsid w:val="00F35AC6"/>
    <w:rsid w:val="00F36053"/>
    <w:rsid w:val="00F365B5"/>
    <w:rsid w:val="00F4080E"/>
    <w:rsid w:val="00F41049"/>
    <w:rsid w:val="00F413A9"/>
    <w:rsid w:val="00F41A32"/>
    <w:rsid w:val="00F420B9"/>
    <w:rsid w:val="00F42D99"/>
    <w:rsid w:val="00F43FEB"/>
    <w:rsid w:val="00F44336"/>
    <w:rsid w:val="00F44606"/>
    <w:rsid w:val="00F446D9"/>
    <w:rsid w:val="00F45187"/>
    <w:rsid w:val="00F45910"/>
    <w:rsid w:val="00F45BF3"/>
    <w:rsid w:val="00F466B0"/>
    <w:rsid w:val="00F47030"/>
    <w:rsid w:val="00F50A0E"/>
    <w:rsid w:val="00F50A96"/>
    <w:rsid w:val="00F51247"/>
    <w:rsid w:val="00F519E3"/>
    <w:rsid w:val="00F52E10"/>
    <w:rsid w:val="00F53020"/>
    <w:rsid w:val="00F53357"/>
    <w:rsid w:val="00F5457C"/>
    <w:rsid w:val="00F545EC"/>
    <w:rsid w:val="00F5501B"/>
    <w:rsid w:val="00F554D8"/>
    <w:rsid w:val="00F55A39"/>
    <w:rsid w:val="00F560CE"/>
    <w:rsid w:val="00F565FD"/>
    <w:rsid w:val="00F567EB"/>
    <w:rsid w:val="00F57C77"/>
    <w:rsid w:val="00F60969"/>
    <w:rsid w:val="00F6161D"/>
    <w:rsid w:val="00F61D3C"/>
    <w:rsid w:val="00F64664"/>
    <w:rsid w:val="00F649AD"/>
    <w:rsid w:val="00F652DC"/>
    <w:rsid w:val="00F658CC"/>
    <w:rsid w:val="00F66C4B"/>
    <w:rsid w:val="00F670FA"/>
    <w:rsid w:val="00F671FD"/>
    <w:rsid w:val="00F6759C"/>
    <w:rsid w:val="00F70907"/>
    <w:rsid w:val="00F71638"/>
    <w:rsid w:val="00F71867"/>
    <w:rsid w:val="00F71BA9"/>
    <w:rsid w:val="00F71F98"/>
    <w:rsid w:val="00F72461"/>
    <w:rsid w:val="00F72D84"/>
    <w:rsid w:val="00F75007"/>
    <w:rsid w:val="00F757A1"/>
    <w:rsid w:val="00F763B2"/>
    <w:rsid w:val="00F76EB0"/>
    <w:rsid w:val="00F77090"/>
    <w:rsid w:val="00F7718E"/>
    <w:rsid w:val="00F775B5"/>
    <w:rsid w:val="00F77948"/>
    <w:rsid w:val="00F80390"/>
    <w:rsid w:val="00F810D5"/>
    <w:rsid w:val="00F82B2F"/>
    <w:rsid w:val="00F83E7B"/>
    <w:rsid w:val="00F86B79"/>
    <w:rsid w:val="00F87E1A"/>
    <w:rsid w:val="00F90027"/>
    <w:rsid w:val="00F91237"/>
    <w:rsid w:val="00F927EB"/>
    <w:rsid w:val="00F9286D"/>
    <w:rsid w:val="00F92ABC"/>
    <w:rsid w:val="00F92F14"/>
    <w:rsid w:val="00F93885"/>
    <w:rsid w:val="00F946D5"/>
    <w:rsid w:val="00F9499B"/>
    <w:rsid w:val="00F94AB4"/>
    <w:rsid w:val="00F95065"/>
    <w:rsid w:val="00F953A5"/>
    <w:rsid w:val="00F9622A"/>
    <w:rsid w:val="00F96444"/>
    <w:rsid w:val="00F966CE"/>
    <w:rsid w:val="00F9794B"/>
    <w:rsid w:val="00FA09ED"/>
    <w:rsid w:val="00FA1D94"/>
    <w:rsid w:val="00FA30B4"/>
    <w:rsid w:val="00FA3875"/>
    <w:rsid w:val="00FA3BC8"/>
    <w:rsid w:val="00FA4F6C"/>
    <w:rsid w:val="00FA5120"/>
    <w:rsid w:val="00FA5A70"/>
    <w:rsid w:val="00FA6C2F"/>
    <w:rsid w:val="00FA795A"/>
    <w:rsid w:val="00FB08F1"/>
    <w:rsid w:val="00FB0E4E"/>
    <w:rsid w:val="00FB116D"/>
    <w:rsid w:val="00FB1235"/>
    <w:rsid w:val="00FB12FC"/>
    <w:rsid w:val="00FB1562"/>
    <w:rsid w:val="00FB1797"/>
    <w:rsid w:val="00FB1AD6"/>
    <w:rsid w:val="00FB1B45"/>
    <w:rsid w:val="00FB2BD2"/>
    <w:rsid w:val="00FB3AAC"/>
    <w:rsid w:val="00FB548A"/>
    <w:rsid w:val="00FB5514"/>
    <w:rsid w:val="00FB719E"/>
    <w:rsid w:val="00FB77DB"/>
    <w:rsid w:val="00FC0542"/>
    <w:rsid w:val="00FC0B13"/>
    <w:rsid w:val="00FC4283"/>
    <w:rsid w:val="00FC44C0"/>
    <w:rsid w:val="00FC4A38"/>
    <w:rsid w:val="00FC4A9B"/>
    <w:rsid w:val="00FC57C6"/>
    <w:rsid w:val="00FC5A38"/>
    <w:rsid w:val="00FD1060"/>
    <w:rsid w:val="00FD1440"/>
    <w:rsid w:val="00FD24ED"/>
    <w:rsid w:val="00FD4D29"/>
    <w:rsid w:val="00FD5820"/>
    <w:rsid w:val="00FD6FD6"/>
    <w:rsid w:val="00FE01A7"/>
    <w:rsid w:val="00FE07D1"/>
    <w:rsid w:val="00FE0AF2"/>
    <w:rsid w:val="00FE0B86"/>
    <w:rsid w:val="00FE2DB8"/>
    <w:rsid w:val="00FE2E42"/>
    <w:rsid w:val="00FE32BA"/>
    <w:rsid w:val="00FE4238"/>
    <w:rsid w:val="00FE42DB"/>
    <w:rsid w:val="00FE5A8C"/>
    <w:rsid w:val="00FE7568"/>
    <w:rsid w:val="00FE7695"/>
    <w:rsid w:val="00FE7ABD"/>
    <w:rsid w:val="00FE7B13"/>
    <w:rsid w:val="00FF0324"/>
    <w:rsid w:val="00FF17A7"/>
    <w:rsid w:val="00FF254E"/>
    <w:rsid w:val="00FF3CC4"/>
    <w:rsid w:val="00FF429B"/>
    <w:rsid w:val="00FF48E9"/>
    <w:rsid w:val="00FF4AC5"/>
    <w:rsid w:val="00FF4B85"/>
    <w:rsid w:val="00FF500E"/>
    <w:rsid w:val="00FF50B9"/>
    <w:rsid w:val="00FF5526"/>
    <w:rsid w:val="00FF5862"/>
    <w:rsid w:val="00FF7C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BF433F0"/>
  <w15:docId w15:val="{721012FB-4046-4EFF-B5E3-23F1F2AC6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D34"/>
    <w:pPr>
      <w:spacing w:after="160" w:line="256" w:lineRule="auto"/>
    </w:pPr>
    <w:rPr>
      <w:rFonts w:ascii="Arial" w:hAnsi="Arial"/>
    </w:rPr>
  </w:style>
  <w:style w:type="paragraph" w:styleId="Heading1">
    <w:name w:val="heading 1"/>
    <w:basedOn w:val="Headingcover"/>
    <w:next w:val="Normal"/>
    <w:link w:val="Heading1Char"/>
    <w:uiPriority w:val="9"/>
    <w:qFormat/>
    <w:rsid w:val="00FF429B"/>
    <w:pPr>
      <w:spacing w:before="240" w:line="257" w:lineRule="auto"/>
      <w:outlineLvl w:val="0"/>
    </w:pPr>
    <w:rPr>
      <w:color w:val="6A2875"/>
      <w:sz w:val="40"/>
      <w:szCs w:val="40"/>
    </w:rPr>
  </w:style>
  <w:style w:type="paragraph" w:styleId="Heading2">
    <w:name w:val="heading 2"/>
    <w:basedOn w:val="Normal"/>
    <w:next w:val="Normal"/>
    <w:link w:val="Heading2Char"/>
    <w:uiPriority w:val="9"/>
    <w:unhideWhenUsed/>
    <w:qFormat/>
    <w:rsid w:val="00E57243"/>
    <w:pPr>
      <w:spacing w:before="200" w:after="240"/>
      <w:outlineLvl w:val="1"/>
    </w:pPr>
    <w:rPr>
      <w:rFonts w:eastAsiaTheme="majorEastAsia" w:cstheme="majorBidi"/>
      <w:b/>
      <w:bCs/>
      <w:color w:val="6A2875"/>
      <w:sz w:val="28"/>
      <w:szCs w:val="28"/>
    </w:rPr>
  </w:style>
  <w:style w:type="paragraph" w:styleId="Heading3">
    <w:name w:val="heading 3"/>
    <w:basedOn w:val="Normal"/>
    <w:next w:val="Normal"/>
    <w:link w:val="Heading3Char"/>
    <w:uiPriority w:val="9"/>
    <w:unhideWhenUsed/>
    <w:qFormat/>
    <w:rsid w:val="00E57243"/>
    <w:pPr>
      <w:ind w:left="284"/>
      <w:outlineLvl w:val="2"/>
    </w:pPr>
    <w:rPr>
      <w:color w:val="6A2875"/>
      <w:sz w:val="24"/>
      <w:szCs w:val="24"/>
    </w:rPr>
  </w:style>
  <w:style w:type="paragraph" w:styleId="Heading4">
    <w:name w:val="heading 4"/>
    <w:basedOn w:val="Normal"/>
    <w:next w:val="Normal"/>
    <w:link w:val="Heading4Char"/>
    <w:uiPriority w:val="9"/>
    <w:unhideWhenUsed/>
    <w:qFormat/>
    <w:rsid w:val="00E57243"/>
    <w:pPr>
      <w:spacing w:after="120"/>
      <w:ind w:left="1080"/>
      <w:outlineLvl w:val="3"/>
    </w:pPr>
    <w:rPr>
      <w:color w:val="000000" w:themeColor="text1"/>
      <w:sz w:val="24"/>
    </w:rPr>
  </w:style>
  <w:style w:type="paragraph" w:styleId="Heading5">
    <w:name w:val="heading 5"/>
    <w:basedOn w:val="Normal"/>
    <w:next w:val="Normal"/>
    <w:link w:val="Heading5Char"/>
    <w:uiPriority w:val="9"/>
    <w:unhideWhenUsed/>
    <w:qFormat/>
    <w:rsid w:val="0085656E"/>
    <w:pPr>
      <w:spacing w:after="0" w:line="257" w:lineRule="auto"/>
      <w:outlineLvl w:val="4"/>
    </w:pPr>
    <w:rPr>
      <w:b/>
      <w:color w:val="6B2976"/>
      <w:sz w:val="24"/>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29B"/>
    <w:rPr>
      <w:rFonts w:ascii="Arial" w:hAnsi="Arial" w:cs="Arial"/>
      <w:b/>
      <w:color w:val="6A2875"/>
      <w:sz w:val="40"/>
      <w:szCs w:val="40"/>
    </w:rPr>
  </w:style>
  <w:style w:type="character" w:customStyle="1" w:styleId="Heading2Char">
    <w:name w:val="Heading 2 Char"/>
    <w:basedOn w:val="DefaultParagraphFont"/>
    <w:link w:val="Heading2"/>
    <w:uiPriority w:val="9"/>
    <w:rsid w:val="00E57243"/>
    <w:rPr>
      <w:rFonts w:ascii="Arial" w:eastAsiaTheme="majorEastAsia" w:hAnsi="Arial" w:cstheme="majorBidi"/>
      <w:b/>
      <w:bCs/>
      <w:color w:val="6A2875"/>
      <w:sz w:val="28"/>
      <w:szCs w:val="28"/>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E57243"/>
    <w:rPr>
      <w:rFonts w:ascii="Arial" w:hAnsi="Arial"/>
      <w:color w:val="6A2875"/>
      <w:sz w:val="24"/>
      <w:szCs w:val="24"/>
    </w:rPr>
  </w:style>
  <w:style w:type="character" w:customStyle="1" w:styleId="Heading4Char">
    <w:name w:val="Heading 4 Char"/>
    <w:basedOn w:val="DefaultParagraphFont"/>
    <w:link w:val="Heading4"/>
    <w:uiPriority w:val="9"/>
    <w:rsid w:val="00E57243"/>
    <w:rPr>
      <w:rFonts w:ascii="Arial" w:hAnsi="Arial"/>
      <w:color w:val="000000" w:themeColor="text1"/>
      <w:sz w:val="24"/>
    </w:rPr>
  </w:style>
  <w:style w:type="character" w:customStyle="1" w:styleId="Heading5Char">
    <w:name w:val="Heading 5 Char"/>
    <w:basedOn w:val="DefaultParagraphFont"/>
    <w:link w:val="Heading5"/>
    <w:uiPriority w:val="9"/>
    <w:rsid w:val="0085656E"/>
    <w:rPr>
      <w:b/>
      <w:color w:val="6B2976"/>
      <w:sz w:val="24"/>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0102B7"/>
    <w:rPr>
      <w:b/>
      <w:bCs/>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7219F1"/>
    <w:rPr>
      <w:rFonts w:cs="Arial"/>
      <w:b/>
      <w:color w:val="FFFFFF" w:themeColor="background1"/>
      <w:sz w:val="96"/>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 w:val="20"/>
      <w:szCs w:val="20"/>
    </w:rPr>
  </w:style>
  <w:style w:type="paragraph" w:customStyle="1" w:styleId="BodyText1">
    <w:name w:val="Body Text1"/>
    <w:basedOn w:val="Normal"/>
    <w:qFormat/>
    <w:rsid w:val="004D32B5"/>
    <w:pPr>
      <w:spacing w:after="120" w:line="240" w:lineRule="auto"/>
    </w:pPr>
    <w:rPr>
      <w:rFonts w:eastAsia="MS Mincho" w:cs="FSMe-Bold"/>
      <w:spacing w:val="-2"/>
      <w:sz w:val="20"/>
      <w:szCs w:val="20"/>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rPr>
  </w:style>
  <w:style w:type="paragraph" w:styleId="ListBullet">
    <w:name w:val="List Bullet"/>
    <w:basedOn w:val="Normal"/>
    <w:autoRedefine/>
    <w:uiPriority w:val="99"/>
    <w:unhideWhenUsed/>
    <w:qFormat/>
    <w:rsid w:val="00BE632A"/>
    <w:rPr>
      <w:rFonts w:cs="Arial"/>
      <w:spacing w:val="-3"/>
      <w:kern w:val="1"/>
      <w:szCs w:val="20"/>
      <w:lang w:val="en-GB"/>
    </w:rPr>
  </w:style>
  <w:style w:type="paragraph" w:styleId="TOC1">
    <w:name w:val="toc 1"/>
    <w:basedOn w:val="Normal"/>
    <w:next w:val="Normal"/>
    <w:autoRedefine/>
    <w:uiPriority w:val="39"/>
    <w:unhideWhenUsed/>
    <w:qFormat/>
    <w:rsid w:val="00C330B4"/>
    <w:pPr>
      <w:spacing w:after="100"/>
    </w:pPr>
  </w:style>
  <w:style w:type="paragraph" w:styleId="TOC2">
    <w:name w:val="toc 2"/>
    <w:basedOn w:val="Normal"/>
    <w:next w:val="Normal"/>
    <w:autoRedefine/>
    <w:uiPriority w:val="39"/>
    <w:unhideWhenUsed/>
    <w:qFormat/>
    <w:rsid w:val="0052370E"/>
    <w:pPr>
      <w:spacing w:after="100"/>
      <w:ind w:left="220"/>
    </w:pPr>
  </w:style>
  <w:style w:type="paragraph" w:styleId="TOC3">
    <w:name w:val="toc 3"/>
    <w:basedOn w:val="Normal"/>
    <w:next w:val="Normal"/>
    <w:autoRedefine/>
    <w:uiPriority w:val="39"/>
    <w:unhideWhenUsed/>
    <w:qFormat/>
    <w:rsid w:val="0052370E"/>
    <w:pPr>
      <w:spacing w:after="100"/>
      <w:ind w:left="440"/>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spacing w:after="100"/>
      <w:ind w:left="660"/>
    </w:pPr>
  </w:style>
  <w:style w:type="paragraph" w:styleId="TOC5">
    <w:name w:val="toc 5"/>
    <w:basedOn w:val="Normal"/>
    <w:next w:val="Normal"/>
    <w:autoRedefine/>
    <w:uiPriority w:val="39"/>
    <w:unhideWhenUsed/>
    <w:rsid w:val="0040062A"/>
    <w:pPr>
      <w:spacing w:after="100"/>
      <w:ind w:left="880"/>
    </w:pPr>
  </w:style>
  <w:style w:type="paragraph" w:styleId="FootnoteText">
    <w:name w:val="footnote text"/>
    <w:basedOn w:val="Normal"/>
    <w:link w:val="FootnoteTextChar"/>
    <w:uiPriority w:val="99"/>
    <w:unhideWhenUsed/>
    <w:rsid w:val="00D47868"/>
    <w:pPr>
      <w:spacing w:after="0" w:line="240" w:lineRule="auto"/>
    </w:pPr>
    <w:rPr>
      <w:sz w:val="20"/>
      <w:szCs w:val="20"/>
    </w:rPr>
  </w:style>
  <w:style w:type="character" w:customStyle="1" w:styleId="FootnoteTextChar">
    <w:name w:val="Footnote Text Char"/>
    <w:basedOn w:val="DefaultParagraphFont"/>
    <w:link w:val="FootnoteText"/>
    <w:uiPriority w:val="99"/>
    <w:rsid w:val="00D47868"/>
    <w:rPr>
      <w:sz w:val="20"/>
      <w:szCs w:val="20"/>
    </w:rPr>
  </w:style>
  <w:style w:type="character" w:styleId="FootnoteReference">
    <w:name w:val="footnote reference"/>
    <w:basedOn w:val="DefaultParagraphFont"/>
    <w:uiPriority w:val="99"/>
    <w:unhideWhenUsed/>
    <w:rsid w:val="00D47868"/>
    <w:rPr>
      <w:vertAlign w:val="superscript"/>
    </w:rPr>
  </w:style>
  <w:style w:type="table" w:styleId="TableGrid">
    <w:name w:val="Table Grid"/>
    <w:basedOn w:val="TableNormal"/>
    <w:uiPriority w:val="39"/>
    <w:rsid w:val="00700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C4033"/>
    <w:rPr>
      <w:color w:val="800080" w:themeColor="followedHyperlink"/>
      <w:u w:val="single"/>
    </w:rPr>
  </w:style>
  <w:style w:type="table" w:customStyle="1" w:styleId="TableGrid1">
    <w:name w:val="Table Grid1"/>
    <w:basedOn w:val="TableNormal"/>
    <w:next w:val="TableGrid"/>
    <w:uiPriority w:val="39"/>
    <w:rsid w:val="00E86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umberPointsStyle">
    <w:name w:val="1. Number Points Style"/>
    <w:basedOn w:val="Normal"/>
    <w:link w:val="1NumberPointsStyleChar"/>
    <w:qFormat/>
    <w:rsid w:val="0079278F"/>
    <w:pPr>
      <w:spacing w:after="200" w:line="240" w:lineRule="auto"/>
    </w:pPr>
    <w:rPr>
      <w:rFonts w:ascii="Calibri" w:eastAsia="Times New Roman" w:hAnsi="Calibri" w:cs="Times New Roman"/>
      <w:sz w:val="24"/>
      <w:szCs w:val="20"/>
      <w:lang w:eastAsia="en-AU"/>
    </w:rPr>
  </w:style>
  <w:style w:type="character" w:customStyle="1" w:styleId="1NumberPointsStyleChar">
    <w:name w:val="1. Number Points Style Char"/>
    <w:basedOn w:val="DefaultParagraphFont"/>
    <w:link w:val="1NumberPointsStyle"/>
    <w:rsid w:val="0079278F"/>
    <w:rPr>
      <w:rFonts w:ascii="Calibri" w:eastAsia="Times New Roman" w:hAnsi="Calibri" w:cs="Times New Roman"/>
      <w:sz w:val="24"/>
      <w:szCs w:val="20"/>
      <w:lang w:eastAsia="en-AU"/>
    </w:rPr>
  </w:style>
  <w:style w:type="table" w:customStyle="1" w:styleId="TableGrid2">
    <w:name w:val="Table Grid2"/>
    <w:basedOn w:val="TableNormal"/>
    <w:next w:val="TableGrid"/>
    <w:uiPriority w:val="39"/>
    <w:rsid w:val="00CF3A89"/>
    <w:pPr>
      <w:spacing w:after="0" w:line="240" w:lineRule="auto"/>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C3E69"/>
  </w:style>
  <w:style w:type="table" w:customStyle="1" w:styleId="LightShading-Accent41">
    <w:name w:val="Light Shading - Accent 41"/>
    <w:basedOn w:val="TableNormal"/>
    <w:next w:val="LightShading-Accent4"/>
    <w:uiPriority w:val="60"/>
    <w:rsid w:val="001C3E69"/>
    <w:pPr>
      <w:keepLines/>
      <w:spacing w:after="80" w:line="240" w:lineRule="auto"/>
      <w:ind w:left="113" w:right="113"/>
    </w:pPr>
    <w:rPr>
      <w:rFonts w:ascii="Arial" w:eastAsia="Times New Roman" w:hAnsi="Arial"/>
      <w:lang w:val="en-US" w:eastAsia="ja-JP"/>
    </w:rPr>
    <w:tblPr>
      <w:tblStyleRowBandSize w:val="1"/>
      <w:tblStyleColBandSize w:val="1"/>
      <w:tblBorders>
        <w:top w:val="single" w:sz="8" w:space="0" w:color="D3C5D7"/>
        <w:bottom w:val="single" w:sz="8" w:space="0" w:color="D3C5D7"/>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sz w:val="22"/>
      </w:rPr>
      <w:tblPr/>
      <w:tcPr>
        <w:shd w:val="clear" w:color="auto" w:fill="660066"/>
      </w:tcPr>
    </w:tblStylePr>
    <w:tblStylePr w:type="lastRow">
      <w:pPr>
        <w:spacing w:before="0" w:after="0" w:line="240" w:lineRule="auto"/>
      </w:pPr>
      <w:rPr>
        <w:b/>
        <w:bCs/>
      </w:rPr>
      <w:tblPr/>
      <w:tcPr>
        <w:tcBorders>
          <w:top w:val="single" w:sz="8" w:space="0" w:color="D3C5D7"/>
          <w:left w:val="nil"/>
          <w:bottom w:val="single" w:sz="8" w:space="0" w:color="D3C5D7"/>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4F0F5"/>
      </w:tcPr>
    </w:tblStylePr>
    <w:tblStylePr w:type="band1Horz">
      <w:rPr>
        <w:color w:val="auto"/>
      </w:rPr>
      <w:tblPr/>
      <w:tcPr>
        <w:shd w:val="clear" w:color="auto" w:fill="F7EEF7"/>
      </w:tcPr>
    </w:tblStylePr>
    <w:tblStylePr w:type="band2Horz">
      <w:rPr>
        <w:color w:val="auto"/>
      </w:rPr>
    </w:tblStylePr>
  </w:style>
  <w:style w:type="table" w:customStyle="1" w:styleId="TableGrid3">
    <w:name w:val="Table Grid3"/>
    <w:basedOn w:val="TableNormal"/>
    <w:next w:val="TableGrid"/>
    <w:uiPriority w:val="39"/>
    <w:rsid w:val="001C3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3E69"/>
    <w:rPr>
      <w:sz w:val="16"/>
      <w:szCs w:val="16"/>
    </w:rPr>
  </w:style>
  <w:style w:type="paragraph" w:customStyle="1" w:styleId="CommentText1">
    <w:name w:val="Comment Text1"/>
    <w:basedOn w:val="Normal"/>
    <w:next w:val="CommentText"/>
    <w:link w:val="CommentTextChar"/>
    <w:uiPriority w:val="99"/>
    <w:semiHidden/>
    <w:unhideWhenUsed/>
    <w:rsid w:val="001C3E69"/>
    <w:pPr>
      <w:spacing w:line="240" w:lineRule="auto"/>
    </w:pPr>
    <w:rPr>
      <w:sz w:val="20"/>
      <w:szCs w:val="20"/>
    </w:rPr>
  </w:style>
  <w:style w:type="character" w:customStyle="1" w:styleId="CommentTextChar">
    <w:name w:val="Comment Text Char"/>
    <w:basedOn w:val="DefaultParagraphFont"/>
    <w:link w:val="CommentText1"/>
    <w:uiPriority w:val="99"/>
    <w:semiHidden/>
    <w:rsid w:val="001C3E69"/>
    <w:rPr>
      <w:sz w:val="20"/>
      <w:szCs w:val="20"/>
    </w:rPr>
  </w:style>
  <w:style w:type="paragraph" w:styleId="NormalWeb">
    <w:name w:val="Normal (Web)"/>
    <w:basedOn w:val="Normal"/>
    <w:uiPriority w:val="99"/>
    <w:unhideWhenUsed/>
    <w:rsid w:val="001C3E6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Subject1">
    <w:name w:val="Comment Subject1"/>
    <w:basedOn w:val="CommentText"/>
    <w:next w:val="CommentText"/>
    <w:uiPriority w:val="99"/>
    <w:semiHidden/>
    <w:unhideWhenUsed/>
    <w:rsid w:val="001C3E69"/>
    <w:pPr>
      <w:spacing w:after="200"/>
    </w:pPr>
    <w:rPr>
      <w:rFonts w:eastAsia="Times New Roman"/>
      <w:b/>
      <w:bCs/>
      <w:lang w:val="en-US" w:eastAsia="ja-JP"/>
    </w:rPr>
  </w:style>
  <w:style w:type="character" w:customStyle="1" w:styleId="CommentSubjectChar">
    <w:name w:val="Comment Subject Char"/>
    <w:basedOn w:val="CommentTextChar"/>
    <w:link w:val="CommentSubject"/>
    <w:uiPriority w:val="99"/>
    <w:semiHidden/>
    <w:rsid w:val="001C3E69"/>
    <w:rPr>
      <w:rFonts w:ascii="Arial" w:eastAsia="Times New Roman" w:hAnsi="Arial"/>
      <w:b/>
      <w:bCs/>
      <w:sz w:val="20"/>
      <w:szCs w:val="20"/>
      <w:lang w:val="en-US" w:eastAsia="ja-JP"/>
    </w:rPr>
  </w:style>
  <w:style w:type="paragraph" w:customStyle="1" w:styleId="Revision1">
    <w:name w:val="Revision1"/>
    <w:next w:val="Revision"/>
    <w:hidden/>
    <w:uiPriority w:val="99"/>
    <w:semiHidden/>
    <w:rsid w:val="001C3E69"/>
    <w:pPr>
      <w:spacing w:after="0" w:line="240" w:lineRule="auto"/>
    </w:pPr>
    <w:rPr>
      <w:rFonts w:ascii="Arial" w:eastAsia="Times New Roman" w:hAnsi="Arial"/>
      <w:szCs w:val="24"/>
      <w:lang w:val="en-US" w:eastAsia="ja-JP"/>
    </w:rPr>
  </w:style>
  <w:style w:type="character" w:styleId="PlaceholderText">
    <w:name w:val="Placeholder Text"/>
    <w:basedOn w:val="DefaultParagraphFont"/>
    <w:uiPriority w:val="99"/>
    <w:semiHidden/>
    <w:rsid w:val="001C3E69"/>
    <w:rPr>
      <w:color w:val="808080"/>
    </w:rPr>
  </w:style>
  <w:style w:type="paragraph" w:styleId="CommentText">
    <w:name w:val="annotation text"/>
    <w:basedOn w:val="Normal"/>
    <w:link w:val="CommentTextChar1"/>
    <w:uiPriority w:val="99"/>
    <w:semiHidden/>
    <w:unhideWhenUsed/>
    <w:rsid w:val="001C3E69"/>
    <w:pPr>
      <w:spacing w:line="240" w:lineRule="auto"/>
    </w:pPr>
    <w:rPr>
      <w:sz w:val="20"/>
      <w:szCs w:val="20"/>
    </w:rPr>
  </w:style>
  <w:style w:type="character" w:customStyle="1" w:styleId="CommentTextChar1">
    <w:name w:val="Comment Text Char1"/>
    <w:basedOn w:val="DefaultParagraphFont"/>
    <w:link w:val="CommentText"/>
    <w:uiPriority w:val="99"/>
    <w:semiHidden/>
    <w:rsid w:val="001C3E69"/>
    <w:rPr>
      <w:sz w:val="20"/>
      <w:szCs w:val="20"/>
    </w:rPr>
  </w:style>
  <w:style w:type="paragraph" w:styleId="CommentSubject">
    <w:name w:val="annotation subject"/>
    <w:basedOn w:val="CommentText"/>
    <w:next w:val="CommentText"/>
    <w:link w:val="CommentSubjectChar"/>
    <w:uiPriority w:val="99"/>
    <w:semiHidden/>
    <w:unhideWhenUsed/>
    <w:rsid w:val="001C3E69"/>
    <w:rPr>
      <w:rFonts w:eastAsia="Times New Roman"/>
      <w:b/>
      <w:bCs/>
      <w:lang w:val="en-US" w:eastAsia="ja-JP"/>
    </w:rPr>
  </w:style>
  <w:style w:type="character" w:customStyle="1" w:styleId="CommentSubjectChar1">
    <w:name w:val="Comment Subject Char1"/>
    <w:basedOn w:val="CommentTextChar1"/>
    <w:uiPriority w:val="99"/>
    <w:semiHidden/>
    <w:rsid w:val="001C3E69"/>
    <w:rPr>
      <w:b/>
      <w:bCs/>
      <w:sz w:val="20"/>
      <w:szCs w:val="20"/>
    </w:rPr>
  </w:style>
  <w:style w:type="paragraph" w:styleId="Revision">
    <w:name w:val="Revision"/>
    <w:hidden/>
    <w:uiPriority w:val="99"/>
    <w:semiHidden/>
    <w:rsid w:val="001C3E69"/>
    <w:pPr>
      <w:spacing w:after="0" w:line="240" w:lineRule="auto"/>
    </w:pPr>
  </w:style>
  <w:style w:type="table" w:customStyle="1" w:styleId="TableGrid4">
    <w:name w:val="Table Grid4"/>
    <w:basedOn w:val="TableNormal"/>
    <w:next w:val="TableGrid"/>
    <w:uiPriority w:val="39"/>
    <w:rsid w:val="00882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E3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86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04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A4F9E"/>
  </w:style>
  <w:style w:type="table" w:customStyle="1" w:styleId="LightShading-Accent42">
    <w:name w:val="Light Shading - Accent 42"/>
    <w:basedOn w:val="TableNormal"/>
    <w:next w:val="LightShading-Accent4"/>
    <w:uiPriority w:val="60"/>
    <w:rsid w:val="004A4F9E"/>
    <w:pPr>
      <w:keepLines/>
      <w:spacing w:after="80" w:line="240" w:lineRule="auto"/>
      <w:ind w:left="113" w:right="113"/>
    </w:pPr>
    <w:rPr>
      <w:rFonts w:ascii="Arial" w:eastAsia="Times New Roman" w:hAnsi="Arial"/>
      <w:lang w:val="en-US" w:eastAsia="ja-JP"/>
    </w:rPr>
    <w:tblPr>
      <w:tblStyleRowBandSize w:val="1"/>
      <w:tblStyleColBandSize w:val="1"/>
      <w:tblBorders>
        <w:top w:val="single" w:sz="8" w:space="0" w:color="D3C5D7"/>
        <w:bottom w:val="single" w:sz="8" w:space="0" w:color="D3C5D7"/>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sz w:val="22"/>
      </w:rPr>
      <w:tblPr/>
      <w:tcPr>
        <w:shd w:val="clear" w:color="auto" w:fill="660066"/>
      </w:tcPr>
    </w:tblStylePr>
    <w:tblStylePr w:type="lastRow">
      <w:pPr>
        <w:spacing w:before="0" w:after="0" w:line="240" w:lineRule="auto"/>
      </w:pPr>
      <w:rPr>
        <w:b/>
        <w:bCs/>
      </w:rPr>
      <w:tblPr/>
      <w:tcPr>
        <w:tcBorders>
          <w:top w:val="single" w:sz="8" w:space="0" w:color="D3C5D7"/>
          <w:left w:val="nil"/>
          <w:bottom w:val="single" w:sz="8" w:space="0" w:color="D3C5D7"/>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4F0F5"/>
      </w:tcPr>
    </w:tblStylePr>
    <w:tblStylePr w:type="band1Horz">
      <w:rPr>
        <w:color w:val="auto"/>
      </w:rPr>
      <w:tblPr/>
      <w:tcPr>
        <w:shd w:val="clear" w:color="auto" w:fill="F7EEF7"/>
      </w:tcPr>
    </w:tblStylePr>
    <w:tblStylePr w:type="band2Horz">
      <w:rPr>
        <w:color w:val="auto"/>
      </w:rPr>
    </w:tblStylePr>
  </w:style>
  <w:style w:type="table" w:customStyle="1" w:styleId="TableGrid8">
    <w:name w:val="Table Grid8"/>
    <w:basedOn w:val="TableNormal"/>
    <w:next w:val="TableGrid"/>
    <w:uiPriority w:val="39"/>
    <w:rsid w:val="004A4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9B75D6"/>
    <w:pPr>
      <w:spacing w:after="100" w:line="259" w:lineRule="auto"/>
      <w:ind w:left="1100"/>
    </w:pPr>
    <w:rPr>
      <w:rFonts w:eastAsiaTheme="minorEastAsia"/>
      <w:lang w:eastAsia="en-AU"/>
    </w:rPr>
  </w:style>
  <w:style w:type="paragraph" w:styleId="TOC7">
    <w:name w:val="toc 7"/>
    <w:basedOn w:val="Normal"/>
    <w:next w:val="Normal"/>
    <w:autoRedefine/>
    <w:uiPriority w:val="39"/>
    <w:unhideWhenUsed/>
    <w:rsid w:val="009B75D6"/>
    <w:pPr>
      <w:spacing w:after="100" w:line="259" w:lineRule="auto"/>
      <w:ind w:left="1320"/>
    </w:pPr>
    <w:rPr>
      <w:rFonts w:eastAsiaTheme="minorEastAsia"/>
      <w:lang w:eastAsia="en-AU"/>
    </w:rPr>
  </w:style>
  <w:style w:type="paragraph" w:styleId="TOC8">
    <w:name w:val="toc 8"/>
    <w:basedOn w:val="Normal"/>
    <w:next w:val="Normal"/>
    <w:autoRedefine/>
    <w:uiPriority w:val="39"/>
    <w:unhideWhenUsed/>
    <w:rsid w:val="009B75D6"/>
    <w:pPr>
      <w:spacing w:after="100" w:line="259" w:lineRule="auto"/>
      <w:ind w:left="1540"/>
    </w:pPr>
    <w:rPr>
      <w:rFonts w:eastAsiaTheme="minorEastAsia"/>
      <w:lang w:eastAsia="en-AU"/>
    </w:rPr>
  </w:style>
  <w:style w:type="paragraph" w:styleId="TOC9">
    <w:name w:val="toc 9"/>
    <w:basedOn w:val="Normal"/>
    <w:next w:val="Normal"/>
    <w:autoRedefine/>
    <w:uiPriority w:val="39"/>
    <w:unhideWhenUsed/>
    <w:rsid w:val="009B75D6"/>
    <w:pPr>
      <w:spacing w:after="100" w:line="259" w:lineRule="auto"/>
      <w:ind w:left="1760"/>
    </w:pPr>
    <w:rPr>
      <w:rFonts w:eastAsiaTheme="minorEastAsia"/>
      <w:lang w:eastAsia="en-AU"/>
    </w:rPr>
  </w:style>
  <w:style w:type="paragraph" w:customStyle="1" w:styleId="Default">
    <w:name w:val="Default"/>
    <w:rsid w:val="00A95B6C"/>
    <w:pPr>
      <w:autoSpaceDE w:val="0"/>
      <w:autoSpaceDN w:val="0"/>
      <w:adjustRightInd w:val="0"/>
      <w:spacing w:after="0" w:line="240" w:lineRule="auto"/>
    </w:pPr>
    <w:rPr>
      <w:rFonts w:ascii="Arial" w:hAnsi="Arial" w:cs="Arial"/>
      <w:color w:val="000000"/>
      <w:sz w:val="24"/>
      <w:szCs w:val="24"/>
    </w:rPr>
  </w:style>
  <w:style w:type="table" w:customStyle="1" w:styleId="TableGrid9">
    <w:name w:val="Table Grid9"/>
    <w:basedOn w:val="TableNormal"/>
    <w:next w:val="TableGrid"/>
    <w:uiPriority w:val="39"/>
    <w:rsid w:val="00662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62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Spacing"/>
    <w:link w:val="Style1Char"/>
    <w:qFormat/>
    <w:rsid w:val="00477D4F"/>
    <w:rPr>
      <w:b/>
      <w:color w:val="7030A0"/>
    </w:rPr>
  </w:style>
  <w:style w:type="character" w:customStyle="1" w:styleId="Style1Char">
    <w:name w:val="Style1 Char"/>
    <w:basedOn w:val="NoSpacingChar"/>
    <w:link w:val="Style1"/>
    <w:rsid w:val="00477D4F"/>
    <w:rPr>
      <w:rFonts w:ascii="Arial" w:hAnsi="Arial"/>
      <w:b/>
      <w:color w:val="7030A0"/>
    </w:rPr>
  </w:style>
  <w:style w:type="character" w:customStyle="1" w:styleId="A8">
    <w:name w:val="A8"/>
    <w:uiPriority w:val="99"/>
    <w:rsid w:val="00861638"/>
    <w:rPr>
      <w:rFonts w:cs="FS Me Light"/>
      <w:color w:val="000000"/>
      <w:sz w:val="22"/>
      <w:szCs w:val="22"/>
    </w:rPr>
  </w:style>
  <w:style w:type="character" w:customStyle="1" w:styleId="A9">
    <w:name w:val="A9"/>
    <w:uiPriority w:val="99"/>
    <w:rsid w:val="00861638"/>
    <w:rPr>
      <w:rFonts w:cs="FS Me Light"/>
      <w:color w:val="000000"/>
      <w:sz w:val="12"/>
      <w:szCs w:val="12"/>
    </w:rPr>
  </w:style>
  <w:style w:type="character" w:customStyle="1" w:styleId="A1">
    <w:name w:val="A1"/>
    <w:uiPriority w:val="99"/>
    <w:rsid w:val="00861638"/>
    <w:rPr>
      <w:rFonts w:cs="FS Me"/>
      <w:color w:val="000000"/>
      <w:sz w:val="44"/>
      <w:szCs w:val="44"/>
    </w:rPr>
  </w:style>
  <w:style w:type="paragraph" w:customStyle="1" w:styleId="Pa7">
    <w:name w:val="Pa7"/>
    <w:basedOn w:val="Default"/>
    <w:next w:val="Default"/>
    <w:uiPriority w:val="99"/>
    <w:rsid w:val="00C90E64"/>
    <w:pPr>
      <w:spacing w:line="241" w:lineRule="atLeast"/>
    </w:pPr>
    <w:rPr>
      <w:rFonts w:ascii="FS Me Light" w:hAnsi="FS Me Light"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3895">
      <w:bodyDiv w:val="1"/>
      <w:marLeft w:val="0"/>
      <w:marRight w:val="0"/>
      <w:marTop w:val="0"/>
      <w:marBottom w:val="0"/>
      <w:divBdr>
        <w:top w:val="none" w:sz="0" w:space="0" w:color="auto"/>
        <w:left w:val="none" w:sz="0" w:space="0" w:color="auto"/>
        <w:bottom w:val="none" w:sz="0" w:space="0" w:color="auto"/>
        <w:right w:val="none" w:sz="0" w:space="0" w:color="auto"/>
      </w:divBdr>
    </w:div>
    <w:div w:id="15083717">
      <w:bodyDiv w:val="1"/>
      <w:marLeft w:val="0"/>
      <w:marRight w:val="0"/>
      <w:marTop w:val="0"/>
      <w:marBottom w:val="0"/>
      <w:divBdr>
        <w:top w:val="none" w:sz="0" w:space="0" w:color="auto"/>
        <w:left w:val="none" w:sz="0" w:space="0" w:color="auto"/>
        <w:bottom w:val="none" w:sz="0" w:space="0" w:color="auto"/>
        <w:right w:val="none" w:sz="0" w:space="0" w:color="auto"/>
      </w:divBdr>
    </w:div>
    <w:div w:id="21437920">
      <w:bodyDiv w:val="1"/>
      <w:marLeft w:val="0"/>
      <w:marRight w:val="0"/>
      <w:marTop w:val="0"/>
      <w:marBottom w:val="0"/>
      <w:divBdr>
        <w:top w:val="none" w:sz="0" w:space="0" w:color="auto"/>
        <w:left w:val="none" w:sz="0" w:space="0" w:color="auto"/>
        <w:bottom w:val="none" w:sz="0" w:space="0" w:color="auto"/>
        <w:right w:val="none" w:sz="0" w:space="0" w:color="auto"/>
      </w:divBdr>
    </w:div>
    <w:div w:id="24530322">
      <w:bodyDiv w:val="1"/>
      <w:marLeft w:val="0"/>
      <w:marRight w:val="0"/>
      <w:marTop w:val="0"/>
      <w:marBottom w:val="0"/>
      <w:divBdr>
        <w:top w:val="none" w:sz="0" w:space="0" w:color="auto"/>
        <w:left w:val="none" w:sz="0" w:space="0" w:color="auto"/>
        <w:bottom w:val="none" w:sz="0" w:space="0" w:color="auto"/>
        <w:right w:val="none" w:sz="0" w:space="0" w:color="auto"/>
      </w:divBdr>
    </w:div>
    <w:div w:id="32192600">
      <w:bodyDiv w:val="1"/>
      <w:marLeft w:val="0"/>
      <w:marRight w:val="0"/>
      <w:marTop w:val="0"/>
      <w:marBottom w:val="0"/>
      <w:divBdr>
        <w:top w:val="none" w:sz="0" w:space="0" w:color="auto"/>
        <w:left w:val="none" w:sz="0" w:space="0" w:color="auto"/>
        <w:bottom w:val="none" w:sz="0" w:space="0" w:color="auto"/>
        <w:right w:val="none" w:sz="0" w:space="0" w:color="auto"/>
      </w:divBdr>
    </w:div>
    <w:div w:id="41834150">
      <w:bodyDiv w:val="1"/>
      <w:marLeft w:val="0"/>
      <w:marRight w:val="0"/>
      <w:marTop w:val="0"/>
      <w:marBottom w:val="0"/>
      <w:divBdr>
        <w:top w:val="none" w:sz="0" w:space="0" w:color="auto"/>
        <w:left w:val="none" w:sz="0" w:space="0" w:color="auto"/>
        <w:bottom w:val="none" w:sz="0" w:space="0" w:color="auto"/>
        <w:right w:val="none" w:sz="0" w:space="0" w:color="auto"/>
      </w:divBdr>
    </w:div>
    <w:div w:id="45179971">
      <w:bodyDiv w:val="1"/>
      <w:marLeft w:val="0"/>
      <w:marRight w:val="0"/>
      <w:marTop w:val="0"/>
      <w:marBottom w:val="0"/>
      <w:divBdr>
        <w:top w:val="none" w:sz="0" w:space="0" w:color="auto"/>
        <w:left w:val="none" w:sz="0" w:space="0" w:color="auto"/>
        <w:bottom w:val="none" w:sz="0" w:space="0" w:color="auto"/>
        <w:right w:val="none" w:sz="0" w:space="0" w:color="auto"/>
      </w:divBdr>
    </w:div>
    <w:div w:id="64229500">
      <w:bodyDiv w:val="1"/>
      <w:marLeft w:val="0"/>
      <w:marRight w:val="0"/>
      <w:marTop w:val="0"/>
      <w:marBottom w:val="0"/>
      <w:divBdr>
        <w:top w:val="none" w:sz="0" w:space="0" w:color="auto"/>
        <w:left w:val="none" w:sz="0" w:space="0" w:color="auto"/>
        <w:bottom w:val="none" w:sz="0" w:space="0" w:color="auto"/>
        <w:right w:val="none" w:sz="0" w:space="0" w:color="auto"/>
      </w:divBdr>
    </w:div>
    <w:div w:id="66391119">
      <w:bodyDiv w:val="1"/>
      <w:marLeft w:val="0"/>
      <w:marRight w:val="0"/>
      <w:marTop w:val="0"/>
      <w:marBottom w:val="0"/>
      <w:divBdr>
        <w:top w:val="none" w:sz="0" w:space="0" w:color="auto"/>
        <w:left w:val="none" w:sz="0" w:space="0" w:color="auto"/>
        <w:bottom w:val="none" w:sz="0" w:space="0" w:color="auto"/>
        <w:right w:val="none" w:sz="0" w:space="0" w:color="auto"/>
      </w:divBdr>
    </w:div>
    <w:div w:id="90512400">
      <w:bodyDiv w:val="1"/>
      <w:marLeft w:val="0"/>
      <w:marRight w:val="0"/>
      <w:marTop w:val="0"/>
      <w:marBottom w:val="0"/>
      <w:divBdr>
        <w:top w:val="none" w:sz="0" w:space="0" w:color="auto"/>
        <w:left w:val="none" w:sz="0" w:space="0" w:color="auto"/>
        <w:bottom w:val="none" w:sz="0" w:space="0" w:color="auto"/>
        <w:right w:val="none" w:sz="0" w:space="0" w:color="auto"/>
      </w:divBdr>
    </w:div>
    <w:div w:id="100225364">
      <w:bodyDiv w:val="1"/>
      <w:marLeft w:val="0"/>
      <w:marRight w:val="0"/>
      <w:marTop w:val="0"/>
      <w:marBottom w:val="0"/>
      <w:divBdr>
        <w:top w:val="none" w:sz="0" w:space="0" w:color="auto"/>
        <w:left w:val="none" w:sz="0" w:space="0" w:color="auto"/>
        <w:bottom w:val="none" w:sz="0" w:space="0" w:color="auto"/>
        <w:right w:val="none" w:sz="0" w:space="0" w:color="auto"/>
      </w:divBdr>
    </w:div>
    <w:div w:id="105467360">
      <w:bodyDiv w:val="1"/>
      <w:marLeft w:val="0"/>
      <w:marRight w:val="0"/>
      <w:marTop w:val="0"/>
      <w:marBottom w:val="0"/>
      <w:divBdr>
        <w:top w:val="none" w:sz="0" w:space="0" w:color="auto"/>
        <w:left w:val="none" w:sz="0" w:space="0" w:color="auto"/>
        <w:bottom w:val="none" w:sz="0" w:space="0" w:color="auto"/>
        <w:right w:val="none" w:sz="0" w:space="0" w:color="auto"/>
      </w:divBdr>
    </w:div>
    <w:div w:id="108014366">
      <w:bodyDiv w:val="1"/>
      <w:marLeft w:val="0"/>
      <w:marRight w:val="0"/>
      <w:marTop w:val="0"/>
      <w:marBottom w:val="0"/>
      <w:divBdr>
        <w:top w:val="none" w:sz="0" w:space="0" w:color="auto"/>
        <w:left w:val="none" w:sz="0" w:space="0" w:color="auto"/>
        <w:bottom w:val="none" w:sz="0" w:space="0" w:color="auto"/>
        <w:right w:val="none" w:sz="0" w:space="0" w:color="auto"/>
      </w:divBdr>
    </w:div>
    <w:div w:id="110906432">
      <w:bodyDiv w:val="1"/>
      <w:marLeft w:val="0"/>
      <w:marRight w:val="0"/>
      <w:marTop w:val="0"/>
      <w:marBottom w:val="0"/>
      <w:divBdr>
        <w:top w:val="none" w:sz="0" w:space="0" w:color="auto"/>
        <w:left w:val="none" w:sz="0" w:space="0" w:color="auto"/>
        <w:bottom w:val="none" w:sz="0" w:space="0" w:color="auto"/>
        <w:right w:val="none" w:sz="0" w:space="0" w:color="auto"/>
      </w:divBdr>
    </w:div>
    <w:div w:id="111948269">
      <w:bodyDiv w:val="1"/>
      <w:marLeft w:val="0"/>
      <w:marRight w:val="0"/>
      <w:marTop w:val="0"/>
      <w:marBottom w:val="0"/>
      <w:divBdr>
        <w:top w:val="none" w:sz="0" w:space="0" w:color="auto"/>
        <w:left w:val="none" w:sz="0" w:space="0" w:color="auto"/>
        <w:bottom w:val="none" w:sz="0" w:space="0" w:color="auto"/>
        <w:right w:val="none" w:sz="0" w:space="0" w:color="auto"/>
      </w:divBdr>
    </w:div>
    <w:div w:id="112528411">
      <w:bodyDiv w:val="1"/>
      <w:marLeft w:val="0"/>
      <w:marRight w:val="0"/>
      <w:marTop w:val="0"/>
      <w:marBottom w:val="0"/>
      <w:divBdr>
        <w:top w:val="none" w:sz="0" w:space="0" w:color="auto"/>
        <w:left w:val="none" w:sz="0" w:space="0" w:color="auto"/>
        <w:bottom w:val="none" w:sz="0" w:space="0" w:color="auto"/>
        <w:right w:val="none" w:sz="0" w:space="0" w:color="auto"/>
      </w:divBdr>
    </w:div>
    <w:div w:id="113058661">
      <w:bodyDiv w:val="1"/>
      <w:marLeft w:val="0"/>
      <w:marRight w:val="0"/>
      <w:marTop w:val="0"/>
      <w:marBottom w:val="0"/>
      <w:divBdr>
        <w:top w:val="none" w:sz="0" w:space="0" w:color="auto"/>
        <w:left w:val="none" w:sz="0" w:space="0" w:color="auto"/>
        <w:bottom w:val="none" w:sz="0" w:space="0" w:color="auto"/>
        <w:right w:val="none" w:sz="0" w:space="0" w:color="auto"/>
      </w:divBdr>
    </w:div>
    <w:div w:id="114563566">
      <w:bodyDiv w:val="1"/>
      <w:marLeft w:val="0"/>
      <w:marRight w:val="0"/>
      <w:marTop w:val="0"/>
      <w:marBottom w:val="0"/>
      <w:divBdr>
        <w:top w:val="none" w:sz="0" w:space="0" w:color="auto"/>
        <w:left w:val="none" w:sz="0" w:space="0" w:color="auto"/>
        <w:bottom w:val="none" w:sz="0" w:space="0" w:color="auto"/>
        <w:right w:val="none" w:sz="0" w:space="0" w:color="auto"/>
      </w:divBdr>
    </w:div>
    <w:div w:id="123085703">
      <w:bodyDiv w:val="1"/>
      <w:marLeft w:val="0"/>
      <w:marRight w:val="0"/>
      <w:marTop w:val="0"/>
      <w:marBottom w:val="0"/>
      <w:divBdr>
        <w:top w:val="none" w:sz="0" w:space="0" w:color="auto"/>
        <w:left w:val="none" w:sz="0" w:space="0" w:color="auto"/>
        <w:bottom w:val="none" w:sz="0" w:space="0" w:color="auto"/>
        <w:right w:val="none" w:sz="0" w:space="0" w:color="auto"/>
      </w:divBdr>
    </w:div>
    <w:div w:id="129133784">
      <w:bodyDiv w:val="1"/>
      <w:marLeft w:val="0"/>
      <w:marRight w:val="0"/>
      <w:marTop w:val="0"/>
      <w:marBottom w:val="0"/>
      <w:divBdr>
        <w:top w:val="none" w:sz="0" w:space="0" w:color="auto"/>
        <w:left w:val="none" w:sz="0" w:space="0" w:color="auto"/>
        <w:bottom w:val="none" w:sz="0" w:space="0" w:color="auto"/>
        <w:right w:val="none" w:sz="0" w:space="0" w:color="auto"/>
      </w:divBdr>
    </w:div>
    <w:div w:id="148985508">
      <w:bodyDiv w:val="1"/>
      <w:marLeft w:val="0"/>
      <w:marRight w:val="0"/>
      <w:marTop w:val="0"/>
      <w:marBottom w:val="0"/>
      <w:divBdr>
        <w:top w:val="none" w:sz="0" w:space="0" w:color="auto"/>
        <w:left w:val="none" w:sz="0" w:space="0" w:color="auto"/>
        <w:bottom w:val="none" w:sz="0" w:space="0" w:color="auto"/>
        <w:right w:val="none" w:sz="0" w:space="0" w:color="auto"/>
      </w:divBdr>
    </w:div>
    <w:div w:id="168058612">
      <w:bodyDiv w:val="1"/>
      <w:marLeft w:val="0"/>
      <w:marRight w:val="0"/>
      <w:marTop w:val="0"/>
      <w:marBottom w:val="0"/>
      <w:divBdr>
        <w:top w:val="none" w:sz="0" w:space="0" w:color="auto"/>
        <w:left w:val="none" w:sz="0" w:space="0" w:color="auto"/>
        <w:bottom w:val="none" w:sz="0" w:space="0" w:color="auto"/>
        <w:right w:val="none" w:sz="0" w:space="0" w:color="auto"/>
      </w:divBdr>
    </w:div>
    <w:div w:id="170729871">
      <w:bodyDiv w:val="1"/>
      <w:marLeft w:val="0"/>
      <w:marRight w:val="0"/>
      <w:marTop w:val="0"/>
      <w:marBottom w:val="0"/>
      <w:divBdr>
        <w:top w:val="none" w:sz="0" w:space="0" w:color="auto"/>
        <w:left w:val="none" w:sz="0" w:space="0" w:color="auto"/>
        <w:bottom w:val="none" w:sz="0" w:space="0" w:color="auto"/>
        <w:right w:val="none" w:sz="0" w:space="0" w:color="auto"/>
      </w:divBdr>
    </w:div>
    <w:div w:id="174149624">
      <w:bodyDiv w:val="1"/>
      <w:marLeft w:val="0"/>
      <w:marRight w:val="0"/>
      <w:marTop w:val="0"/>
      <w:marBottom w:val="0"/>
      <w:divBdr>
        <w:top w:val="none" w:sz="0" w:space="0" w:color="auto"/>
        <w:left w:val="none" w:sz="0" w:space="0" w:color="auto"/>
        <w:bottom w:val="none" w:sz="0" w:space="0" w:color="auto"/>
        <w:right w:val="none" w:sz="0" w:space="0" w:color="auto"/>
      </w:divBdr>
    </w:div>
    <w:div w:id="180903700">
      <w:bodyDiv w:val="1"/>
      <w:marLeft w:val="0"/>
      <w:marRight w:val="0"/>
      <w:marTop w:val="0"/>
      <w:marBottom w:val="0"/>
      <w:divBdr>
        <w:top w:val="none" w:sz="0" w:space="0" w:color="auto"/>
        <w:left w:val="none" w:sz="0" w:space="0" w:color="auto"/>
        <w:bottom w:val="none" w:sz="0" w:space="0" w:color="auto"/>
        <w:right w:val="none" w:sz="0" w:space="0" w:color="auto"/>
      </w:divBdr>
    </w:div>
    <w:div w:id="184904802">
      <w:bodyDiv w:val="1"/>
      <w:marLeft w:val="0"/>
      <w:marRight w:val="0"/>
      <w:marTop w:val="0"/>
      <w:marBottom w:val="0"/>
      <w:divBdr>
        <w:top w:val="none" w:sz="0" w:space="0" w:color="auto"/>
        <w:left w:val="none" w:sz="0" w:space="0" w:color="auto"/>
        <w:bottom w:val="none" w:sz="0" w:space="0" w:color="auto"/>
        <w:right w:val="none" w:sz="0" w:space="0" w:color="auto"/>
      </w:divBdr>
    </w:div>
    <w:div w:id="204568664">
      <w:bodyDiv w:val="1"/>
      <w:marLeft w:val="0"/>
      <w:marRight w:val="0"/>
      <w:marTop w:val="0"/>
      <w:marBottom w:val="0"/>
      <w:divBdr>
        <w:top w:val="none" w:sz="0" w:space="0" w:color="auto"/>
        <w:left w:val="none" w:sz="0" w:space="0" w:color="auto"/>
        <w:bottom w:val="none" w:sz="0" w:space="0" w:color="auto"/>
        <w:right w:val="none" w:sz="0" w:space="0" w:color="auto"/>
      </w:divBdr>
    </w:div>
    <w:div w:id="209271162">
      <w:bodyDiv w:val="1"/>
      <w:marLeft w:val="0"/>
      <w:marRight w:val="0"/>
      <w:marTop w:val="0"/>
      <w:marBottom w:val="0"/>
      <w:divBdr>
        <w:top w:val="none" w:sz="0" w:space="0" w:color="auto"/>
        <w:left w:val="none" w:sz="0" w:space="0" w:color="auto"/>
        <w:bottom w:val="none" w:sz="0" w:space="0" w:color="auto"/>
        <w:right w:val="none" w:sz="0" w:space="0" w:color="auto"/>
      </w:divBdr>
    </w:div>
    <w:div w:id="219757329">
      <w:bodyDiv w:val="1"/>
      <w:marLeft w:val="0"/>
      <w:marRight w:val="0"/>
      <w:marTop w:val="0"/>
      <w:marBottom w:val="0"/>
      <w:divBdr>
        <w:top w:val="none" w:sz="0" w:space="0" w:color="auto"/>
        <w:left w:val="none" w:sz="0" w:space="0" w:color="auto"/>
        <w:bottom w:val="none" w:sz="0" w:space="0" w:color="auto"/>
        <w:right w:val="none" w:sz="0" w:space="0" w:color="auto"/>
      </w:divBdr>
    </w:div>
    <w:div w:id="221989600">
      <w:bodyDiv w:val="1"/>
      <w:marLeft w:val="0"/>
      <w:marRight w:val="0"/>
      <w:marTop w:val="0"/>
      <w:marBottom w:val="0"/>
      <w:divBdr>
        <w:top w:val="none" w:sz="0" w:space="0" w:color="auto"/>
        <w:left w:val="none" w:sz="0" w:space="0" w:color="auto"/>
        <w:bottom w:val="none" w:sz="0" w:space="0" w:color="auto"/>
        <w:right w:val="none" w:sz="0" w:space="0" w:color="auto"/>
      </w:divBdr>
      <w:divsChild>
        <w:div w:id="1015421380">
          <w:marLeft w:val="274"/>
          <w:marRight w:val="0"/>
          <w:marTop w:val="240"/>
          <w:marBottom w:val="0"/>
          <w:divBdr>
            <w:top w:val="none" w:sz="0" w:space="0" w:color="auto"/>
            <w:left w:val="none" w:sz="0" w:space="0" w:color="auto"/>
            <w:bottom w:val="none" w:sz="0" w:space="0" w:color="auto"/>
            <w:right w:val="none" w:sz="0" w:space="0" w:color="auto"/>
          </w:divBdr>
        </w:div>
        <w:div w:id="429738987">
          <w:marLeft w:val="274"/>
          <w:marRight w:val="0"/>
          <w:marTop w:val="240"/>
          <w:marBottom w:val="0"/>
          <w:divBdr>
            <w:top w:val="none" w:sz="0" w:space="0" w:color="auto"/>
            <w:left w:val="none" w:sz="0" w:space="0" w:color="auto"/>
            <w:bottom w:val="none" w:sz="0" w:space="0" w:color="auto"/>
            <w:right w:val="none" w:sz="0" w:space="0" w:color="auto"/>
          </w:divBdr>
        </w:div>
      </w:divsChild>
    </w:div>
    <w:div w:id="223222670">
      <w:bodyDiv w:val="1"/>
      <w:marLeft w:val="0"/>
      <w:marRight w:val="0"/>
      <w:marTop w:val="0"/>
      <w:marBottom w:val="0"/>
      <w:divBdr>
        <w:top w:val="none" w:sz="0" w:space="0" w:color="auto"/>
        <w:left w:val="none" w:sz="0" w:space="0" w:color="auto"/>
        <w:bottom w:val="none" w:sz="0" w:space="0" w:color="auto"/>
        <w:right w:val="none" w:sz="0" w:space="0" w:color="auto"/>
      </w:divBdr>
    </w:div>
    <w:div w:id="227965142">
      <w:bodyDiv w:val="1"/>
      <w:marLeft w:val="0"/>
      <w:marRight w:val="0"/>
      <w:marTop w:val="0"/>
      <w:marBottom w:val="0"/>
      <w:divBdr>
        <w:top w:val="none" w:sz="0" w:space="0" w:color="auto"/>
        <w:left w:val="none" w:sz="0" w:space="0" w:color="auto"/>
        <w:bottom w:val="none" w:sz="0" w:space="0" w:color="auto"/>
        <w:right w:val="none" w:sz="0" w:space="0" w:color="auto"/>
      </w:divBdr>
    </w:div>
    <w:div w:id="255401442">
      <w:bodyDiv w:val="1"/>
      <w:marLeft w:val="0"/>
      <w:marRight w:val="0"/>
      <w:marTop w:val="0"/>
      <w:marBottom w:val="0"/>
      <w:divBdr>
        <w:top w:val="none" w:sz="0" w:space="0" w:color="auto"/>
        <w:left w:val="none" w:sz="0" w:space="0" w:color="auto"/>
        <w:bottom w:val="none" w:sz="0" w:space="0" w:color="auto"/>
        <w:right w:val="none" w:sz="0" w:space="0" w:color="auto"/>
      </w:divBdr>
    </w:div>
    <w:div w:id="262761532">
      <w:bodyDiv w:val="1"/>
      <w:marLeft w:val="0"/>
      <w:marRight w:val="0"/>
      <w:marTop w:val="0"/>
      <w:marBottom w:val="0"/>
      <w:divBdr>
        <w:top w:val="none" w:sz="0" w:space="0" w:color="auto"/>
        <w:left w:val="none" w:sz="0" w:space="0" w:color="auto"/>
        <w:bottom w:val="none" w:sz="0" w:space="0" w:color="auto"/>
        <w:right w:val="none" w:sz="0" w:space="0" w:color="auto"/>
      </w:divBdr>
    </w:div>
    <w:div w:id="262807000">
      <w:bodyDiv w:val="1"/>
      <w:marLeft w:val="0"/>
      <w:marRight w:val="0"/>
      <w:marTop w:val="0"/>
      <w:marBottom w:val="0"/>
      <w:divBdr>
        <w:top w:val="none" w:sz="0" w:space="0" w:color="auto"/>
        <w:left w:val="none" w:sz="0" w:space="0" w:color="auto"/>
        <w:bottom w:val="none" w:sz="0" w:space="0" w:color="auto"/>
        <w:right w:val="none" w:sz="0" w:space="0" w:color="auto"/>
      </w:divBdr>
    </w:div>
    <w:div w:id="264506575">
      <w:bodyDiv w:val="1"/>
      <w:marLeft w:val="0"/>
      <w:marRight w:val="0"/>
      <w:marTop w:val="0"/>
      <w:marBottom w:val="0"/>
      <w:divBdr>
        <w:top w:val="none" w:sz="0" w:space="0" w:color="auto"/>
        <w:left w:val="none" w:sz="0" w:space="0" w:color="auto"/>
        <w:bottom w:val="none" w:sz="0" w:space="0" w:color="auto"/>
        <w:right w:val="none" w:sz="0" w:space="0" w:color="auto"/>
      </w:divBdr>
    </w:div>
    <w:div w:id="268390709">
      <w:bodyDiv w:val="1"/>
      <w:marLeft w:val="0"/>
      <w:marRight w:val="0"/>
      <w:marTop w:val="0"/>
      <w:marBottom w:val="0"/>
      <w:divBdr>
        <w:top w:val="none" w:sz="0" w:space="0" w:color="auto"/>
        <w:left w:val="none" w:sz="0" w:space="0" w:color="auto"/>
        <w:bottom w:val="none" w:sz="0" w:space="0" w:color="auto"/>
        <w:right w:val="none" w:sz="0" w:space="0" w:color="auto"/>
      </w:divBdr>
    </w:div>
    <w:div w:id="275603418">
      <w:bodyDiv w:val="1"/>
      <w:marLeft w:val="0"/>
      <w:marRight w:val="0"/>
      <w:marTop w:val="0"/>
      <w:marBottom w:val="0"/>
      <w:divBdr>
        <w:top w:val="none" w:sz="0" w:space="0" w:color="auto"/>
        <w:left w:val="none" w:sz="0" w:space="0" w:color="auto"/>
        <w:bottom w:val="none" w:sz="0" w:space="0" w:color="auto"/>
        <w:right w:val="none" w:sz="0" w:space="0" w:color="auto"/>
      </w:divBdr>
    </w:div>
    <w:div w:id="277445236">
      <w:bodyDiv w:val="1"/>
      <w:marLeft w:val="0"/>
      <w:marRight w:val="0"/>
      <w:marTop w:val="0"/>
      <w:marBottom w:val="0"/>
      <w:divBdr>
        <w:top w:val="none" w:sz="0" w:space="0" w:color="auto"/>
        <w:left w:val="none" w:sz="0" w:space="0" w:color="auto"/>
        <w:bottom w:val="none" w:sz="0" w:space="0" w:color="auto"/>
        <w:right w:val="none" w:sz="0" w:space="0" w:color="auto"/>
      </w:divBdr>
    </w:div>
    <w:div w:id="281690727">
      <w:bodyDiv w:val="1"/>
      <w:marLeft w:val="0"/>
      <w:marRight w:val="0"/>
      <w:marTop w:val="0"/>
      <w:marBottom w:val="0"/>
      <w:divBdr>
        <w:top w:val="none" w:sz="0" w:space="0" w:color="auto"/>
        <w:left w:val="none" w:sz="0" w:space="0" w:color="auto"/>
        <w:bottom w:val="none" w:sz="0" w:space="0" w:color="auto"/>
        <w:right w:val="none" w:sz="0" w:space="0" w:color="auto"/>
      </w:divBdr>
    </w:div>
    <w:div w:id="294868787">
      <w:bodyDiv w:val="1"/>
      <w:marLeft w:val="0"/>
      <w:marRight w:val="0"/>
      <w:marTop w:val="0"/>
      <w:marBottom w:val="0"/>
      <w:divBdr>
        <w:top w:val="none" w:sz="0" w:space="0" w:color="auto"/>
        <w:left w:val="none" w:sz="0" w:space="0" w:color="auto"/>
        <w:bottom w:val="none" w:sz="0" w:space="0" w:color="auto"/>
        <w:right w:val="none" w:sz="0" w:space="0" w:color="auto"/>
      </w:divBdr>
    </w:div>
    <w:div w:id="307326836">
      <w:bodyDiv w:val="1"/>
      <w:marLeft w:val="0"/>
      <w:marRight w:val="0"/>
      <w:marTop w:val="0"/>
      <w:marBottom w:val="0"/>
      <w:divBdr>
        <w:top w:val="none" w:sz="0" w:space="0" w:color="auto"/>
        <w:left w:val="none" w:sz="0" w:space="0" w:color="auto"/>
        <w:bottom w:val="none" w:sz="0" w:space="0" w:color="auto"/>
        <w:right w:val="none" w:sz="0" w:space="0" w:color="auto"/>
      </w:divBdr>
    </w:div>
    <w:div w:id="328406304">
      <w:bodyDiv w:val="1"/>
      <w:marLeft w:val="0"/>
      <w:marRight w:val="0"/>
      <w:marTop w:val="0"/>
      <w:marBottom w:val="0"/>
      <w:divBdr>
        <w:top w:val="none" w:sz="0" w:space="0" w:color="auto"/>
        <w:left w:val="none" w:sz="0" w:space="0" w:color="auto"/>
        <w:bottom w:val="none" w:sz="0" w:space="0" w:color="auto"/>
        <w:right w:val="none" w:sz="0" w:space="0" w:color="auto"/>
      </w:divBdr>
    </w:div>
    <w:div w:id="342971531">
      <w:bodyDiv w:val="1"/>
      <w:marLeft w:val="0"/>
      <w:marRight w:val="0"/>
      <w:marTop w:val="0"/>
      <w:marBottom w:val="0"/>
      <w:divBdr>
        <w:top w:val="none" w:sz="0" w:space="0" w:color="auto"/>
        <w:left w:val="none" w:sz="0" w:space="0" w:color="auto"/>
        <w:bottom w:val="none" w:sz="0" w:space="0" w:color="auto"/>
        <w:right w:val="none" w:sz="0" w:space="0" w:color="auto"/>
      </w:divBdr>
    </w:div>
    <w:div w:id="345058349">
      <w:bodyDiv w:val="1"/>
      <w:marLeft w:val="0"/>
      <w:marRight w:val="0"/>
      <w:marTop w:val="0"/>
      <w:marBottom w:val="0"/>
      <w:divBdr>
        <w:top w:val="none" w:sz="0" w:space="0" w:color="auto"/>
        <w:left w:val="none" w:sz="0" w:space="0" w:color="auto"/>
        <w:bottom w:val="none" w:sz="0" w:space="0" w:color="auto"/>
        <w:right w:val="none" w:sz="0" w:space="0" w:color="auto"/>
      </w:divBdr>
    </w:div>
    <w:div w:id="356778156">
      <w:bodyDiv w:val="1"/>
      <w:marLeft w:val="0"/>
      <w:marRight w:val="0"/>
      <w:marTop w:val="0"/>
      <w:marBottom w:val="0"/>
      <w:divBdr>
        <w:top w:val="none" w:sz="0" w:space="0" w:color="auto"/>
        <w:left w:val="none" w:sz="0" w:space="0" w:color="auto"/>
        <w:bottom w:val="none" w:sz="0" w:space="0" w:color="auto"/>
        <w:right w:val="none" w:sz="0" w:space="0" w:color="auto"/>
      </w:divBdr>
    </w:div>
    <w:div w:id="381909010">
      <w:bodyDiv w:val="1"/>
      <w:marLeft w:val="0"/>
      <w:marRight w:val="0"/>
      <w:marTop w:val="0"/>
      <w:marBottom w:val="0"/>
      <w:divBdr>
        <w:top w:val="none" w:sz="0" w:space="0" w:color="auto"/>
        <w:left w:val="none" w:sz="0" w:space="0" w:color="auto"/>
        <w:bottom w:val="none" w:sz="0" w:space="0" w:color="auto"/>
        <w:right w:val="none" w:sz="0" w:space="0" w:color="auto"/>
      </w:divBdr>
    </w:div>
    <w:div w:id="388116420">
      <w:bodyDiv w:val="1"/>
      <w:marLeft w:val="0"/>
      <w:marRight w:val="0"/>
      <w:marTop w:val="0"/>
      <w:marBottom w:val="0"/>
      <w:divBdr>
        <w:top w:val="none" w:sz="0" w:space="0" w:color="auto"/>
        <w:left w:val="none" w:sz="0" w:space="0" w:color="auto"/>
        <w:bottom w:val="none" w:sz="0" w:space="0" w:color="auto"/>
        <w:right w:val="none" w:sz="0" w:space="0" w:color="auto"/>
      </w:divBdr>
    </w:div>
    <w:div w:id="394164047">
      <w:bodyDiv w:val="1"/>
      <w:marLeft w:val="0"/>
      <w:marRight w:val="0"/>
      <w:marTop w:val="0"/>
      <w:marBottom w:val="0"/>
      <w:divBdr>
        <w:top w:val="none" w:sz="0" w:space="0" w:color="auto"/>
        <w:left w:val="none" w:sz="0" w:space="0" w:color="auto"/>
        <w:bottom w:val="none" w:sz="0" w:space="0" w:color="auto"/>
        <w:right w:val="none" w:sz="0" w:space="0" w:color="auto"/>
      </w:divBdr>
    </w:div>
    <w:div w:id="417674751">
      <w:bodyDiv w:val="1"/>
      <w:marLeft w:val="0"/>
      <w:marRight w:val="0"/>
      <w:marTop w:val="0"/>
      <w:marBottom w:val="0"/>
      <w:divBdr>
        <w:top w:val="none" w:sz="0" w:space="0" w:color="auto"/>
        <w:left w:val="none" w:sz="0" w:space="0" w:color="auto"/>
        <w:bottom w:val="none" w:sz="0" w:space="0" w:color="auto"/>
        <w:right w:val="none" w:sz="0" w:space="0" w:color="auto"/>
      </w:divBdr>
    </w:div>
    <w:div w:id="434520770">
      <w:bodyDiv w:val="1"/>
      <w:marLeft w:val="0"/>
      <w:marRight w:val="0"/>
      <w:marTop w:val="0"/>
      <w:marBottom w:val="0"/>
      <w:divBdr>
        <w:top w:val="none" w:sz="0" w:space="0" w:color="auto"/>
        <w:left w:val="none" w:sz="0" w:space="0" w:color="auto"/>
        <w:bottom w:val="none" w:sz="0" w:space="0" w:color="auto"/>
        <w:right w:val="none" w:sz="0" w:space="0" w:color="auto"/>
      </w:divBdr>
    </w:div>
    <w:div w:id="445663398">
      <w:bodyDiv w:val="1"/>
      <w:marLeft w:val="0"/>
      <w:marRight w:val="0"/>
      <w:marTop w:val="0"/>
      <w:marBottom w:val="0"/>
      <w:divBdr>
        <w:top w:val="none" w:sz="0" w:space="0" w:color="auto"/>
        <w:left w:val="none" w:sz="0" w:space="0" w:color="auto"/>
        <w:bottom w:val="none" w:sz="0" w:space="0" w:color="auto"/>
        <w:right w:val="none" w:sz="0" w:space="0" w:color="auto"/>
      </w:divBdr>
    </w:div>
    <w:div w:id="448545837">
      <w:bodyDiv w:val="1"/>
      <w:marLeft w:val="0"/>
      <w:marRight w:val="0"/>
      <w:marTop w:val="0"/>
      <w:marBottom w:val="0"/>
      <w:divBdr>
        <w:top w:val="none" w:sz="0" w:space="0" w:color="auto"/>
        <w:left w:val="none" w:sz="0" w:space="0" w:color="auto"/>
        <w:bottom w:val="none" w:sz="0" w:space="0" w:color="auto"/>
        <w:right w:val="none" w:sz="0" w:space="0" w:color="auto"/>
      </w:divBdr>
    </w:div>
    <w:div w:id="449589786">
      <w:bodyDiv w:val="1"/>
      <w:marLeft w:val="0"/>
      <w:marRight w:val="0"/>
      <w:marTop w:val="0"/>
      <w:marBottom w:val="0"/>
      <w:divBdr>
        <w:top w:val="none" w:sz="0" w:space="0" w:color="auto"/>
        <w:left w:val="none" w:sz="0" w:space="0" w:color="auto"/>
        <w:bottom w:val="none" w:sz="0" w:space="0" w:color="auto"/>
        <w:right w:val="none" w:sz="0" w:space="0" w:color="auto"/>
      </w:divBdr>
    </w:div>
    <w:div w:id="459688336">
      <w:bodyDiv w:val="1"/>
      <w:marLeft w:val="0"/>
      <w:marRight w:val="0"/>
      <w:marTop w:val="0"/>
      <w:marBottom w:val="0"/>
      <w:divBdr>
        <w:top w:val="none" w:sz="0" w:space="0" w:color="auto"/>
        <w:left w:val="none" w:sz="0" w:space="0" w:color="auto"/>
        <w:bottom w:val="none" w:sz="0" w:space="0" w:color="auto"/>
        <w:right w:val="none" w:sz="0" w:space="0" w:color="auto"/>
      </w:divBdr>
    </w:div>
    <w:div w:id="461114405">
      <w:bodyDiv w:val="1"/>
      <w:marLeft w:val="0"/>
      <w:marRight w:val="0"/>
      <w:marTop w:val="0"/>
      <w:marBottom w:val="0"/>
      <w:divBdr>
        <w:top w:val="none" w:sz="0" w:space="0" w:color="auto"/>
        <w:left w:val="none" w:sz="0" w:space="0" w:color="auto"/>
        <w:bottom w:val="none" w:sz="0" w:space="0" w:color="auto"/>
        <w:right w:val="none" w:sz="0" w:space="0" w:color="auto"/>
      </w:divBdr>
    </w:div>
    <w:div w:id="474226429">
      <w:bodyDiv w:val="1"/>
      <w:marLeft w:val="0"/>
      <w:marRight w:val="0"/>
      <w:marTop w:val="0"/>
      <w:marBottom w:val="0"/>
      <w:divBdr>
        <w:top w:val="none" w:sz="0" w:space="0" w:color="auto"/>
        <w:left w:val="none" w:sz="0" w:space="0" w:color="auto"/>
        <w:bottom w:val="none" w:sz="0" w:space="0" w:color="auto"/>
        <w:right w:val="none" w:sz="0" w:space="0" w:color="auto"/>
      </w:divBdr>
    </w:div>
    <w:div w:id="503394437">
      <w:bodyDiv w:val="1"/>
      <w:marLeft w:val="0"/>
      <w:marRight w:val="0"/>
      <w:marTop w:val="0"/>
      <w:marBottom w:val="0"/>
      <w:divBdr>
        <w:top w:val="none" w:sz="0" w:space="0" w:color="auto"/>
        <w:left w:val="none" w:sz="0" w:space="0" w:color="auto"/>
        <w:bottom w:val="none" w:sz="0" w:space="0" w:color="auto"/>
        <w:right w:val="none" w:sz="0" w:space="0" w:color="auto"/>
      </w:divBdr>
      <w:divsChild>
        <w:div w:id="1118332499">
          <w:marLeft w:val="360"/>
          <w:marRight w:val="0"/>
          <w:marTop w:val="0"/>
          <w:marBottom w:val="0"/>
          <w:divBdr>
            <w:top w:val="none" w:sz="0" w:space="0" w:color="auto"/>
            <w:left w:val="none" w:sz="0" w:space="0" w:color="auto"/>
            <w:bottom w:val="none" w:sz="0" w:space="0" w:color="auto"/>
            <w:right w:val="none" w:sz="0" w:space="0" w:color="auto"/>
          </w:divBdr>
        </w:div>
      </w:divsChild>
    </w:div>
    <w:div w:id="511453560">
      <w:bodyDiv w:val="1"/>
      <w:marLeft w:val="0"/>
      <w:marRight w:val="0"/>
      <w:marTop w:val="0"/>
      <w:marBottom w:val="0"/>
      <w:divBdr>
        <w:top w:val="none" w:sz="0" w:space="0" w:color="auto"/>
        <w:left w:val="none" w:sz="0" w:space="0" w:color="auto"/>
        <w:bottom w:val="none" w:sz="0" w:space="0" w:color="auto"/>
        <w:right w:val="none" w:sz="0" w:space="0" w:color="auto"/>
      </w:divBdr>
    </w:div>
    <w:div w:id="533812195">
      <w:bodyDiv w:val="1"/>
      <w:marLeft w:val="0"/>
      <w:marRight w:val="0"/>
      <w:marTop w:val="0"/>
      <w:marBottom w:val="0"/>
      <w:divBdr>
        <w:top w:val="none" w:sz="0" w:space="0" w:color="auto"/>
        <w:left w:val="none" w:sz="0" w:space="0" w:color="auto"/>
        <w:bottom w:val="none" w:sz="0" w:space="0" w:color="auto"/>
        <w:right w:val="none" w:sz="0" w:space="0" w:color="auto"/>
      </w:divBdr>
    </w:div>
    <w:div w:id="550308371">
      <w:bodyDiv w:val="1"/>
      <w:marLeft w:val="0"/>
      <w:marRight w:val="0"/>
      <w:marTop w:val="0"/>
      <w:marBottom w:val="0"/>
      <w:divBdr>
        <w:top w:val="none" w:sz="0" w:space="0" w:color="auto"/>
        <w:left w:val="none" w:sz="0" w:space="0" w:color="auto"/>
        <w:bottom w:val="none" w:sz="0" w:space="0" w:color="auto"/>
        <w:right w:val="none" w:sz="0" w:space="0" w:color="auto"/>
      </w:divBdr>
    </w:div>
    <w:div w:id="565650421">
      <w:bodyDiv w:val="1"/>
      <w:marLeft w:val="0"/>
      <w:marRight w:val="0"/>
      <w:marTop w:val="0"/>
      <w:marBottom w:val="0"/>
      <w:divBdr>
        <w:top w:val="none" w:sz="0" w:space="0" w:color="auto"/>
        <w:left w:val="none" w:sz="0" w:space="0" w:color="auto"/>
        <w:bottom w:val="none" w:sz="0" w:space="0" w:color="auto"/>
        <w:right w:val="none" w:sz="0" w:space="0" w:color="auto"/>
      </w:divBdr>
    </w:div>
    <w:div w:id="569660558">
      <w:bodyDiv w:val="1"/>
      <w:marLeft w:val="0"/>
      <w:marRight w:val="0"/>
      <w:marTop w:val="0"/>
      <w:marBottom w:val="0"/>
      <w:divBdr>
        <w:top w:val="none" w:sz="0" w:space="0" w:color="auto"/>
        <w:left w:val="none" w:sz="0" w:space="0" w:color="auto"/>
        <w:bottom w:val="none" w:sz="0" w:space="0" w:color="auto"/>
        <w:right w:val="none" w:sz="0" w:space="0" w:color="auto"/>
      </w:divBdr>
    </w:div>
    <w:div w:id="573276022">
      <w:bodyDiv w:val="1"/>
      <w:marLeft w:val="0"/>
      <w:marRight w:val="0"/>
      <w:marTop w:val="0"/>
      <w:marBottom w:val="0"/>
      <w:divBdr>
        <w:top w:val="none" w:sz="0" w:space="0" w:color="auto"/>
        <w:left w:val="none" w:sz="0" w:space="0" w:color="auto"/>
        <w:bottom w:val="none" w:sz="0" w:space="0" w:color="auto"/>
        <w:right w:val="none" w:sz="0" w:space="0" w:color="auto"/>
      </w:divBdr>
    </w:div>
    <w:div w:id="593435560">
      <w:bodyDiv w:val="1"/>
      <w:marLeft w:val="0"/>
      <w:marRight w:val="0"/>
      <w:marTop w:val="0"/>
      <w:marBottom w:val="0"/>
      <w:divBdr>
        <w:top w:val="none" w:sz="0" w:space="0" w:color="auto"/>
        <w:left w:val="none" w:sz="0" w:space="0" w:color="auto"/>
        <w:bottom w:val="none" w:sz="0" w:space="0" w:color="auto"/>
        <w:right w:val="none" w:sz="0" w:space="0" w:color="auto"/>
      </w:divBdr>
    </w:div>
    <w:div w:id="626011986">
      <w:bodyDiv w:val="1"/>
      <w:marLeft w:val="0"/>
      <w:marRight w:val="0"/>
      <w:marTop w:val="0"/>
      <w:marBottom w:val="0"/>
      <w:divBdr>
        <w:top w:val="none" w:sz="0" w:space="0" w:color="auto"/>
        <w:left w:val="none" w:sz="0" w:space="0" w:color="auto"/>
        <w:bottom w:val="none" w:sz="0" w:space="0" w:color="auto"/>
        <w:right w:val="none" w:sz="0" w:space="0" w:color="auto"/>
      </w:divBdr>
    </w:div>
    <w:div w:id="629748734">
      <w:bodyDiv w:val="1"/>
      <w:marLeft w:val="0"/>
      <w:marRight w:val="0"/>
      <w:marTop w:val="0"/>
      <w:marBottom w:val="0"/>
      <w:divBdr>
        <w:top w:val="none" w:sz="0" w:space="0" w:color="auto"/>
        <w:left w:val="none" w:sz="0" w:space="0" w:color="auto"/>
        <w:bottom w:val="none" w:sz="0" w:space="0" w:color="auto"/>
        <w:right w:val="none" w:sz="0" w:space="0" w:color="auto"/>
      </w:divBdr>
    </w:div>
    <w:div w:id="647441862">
      <w:bodyDiv w:val="1"/>
      <w:marLeft w:val="0"/>
      <w:marRight w:val="0"/>
      <w:marTop w:val="0"/>
      <w:marBottom w:val="0"/>
      <w:divBdr>
        <w:top w:val="none" w:sz="0" w:space="0" w:color="auto"/>
        <w:left w:val="none" w:sz="0" w:space="0" w:color="auto"/>
        <w:bottom w:val="none" w:sz="0" w:space="0" w:color="auto"/>
        <w:right w:val="none" w:sz="0" w:space="0" w:color="auto"/>
      </w:divBdr>
    </w:div>
    <w:div w:id="652682976">
      <w:bodyDiv w:val="1"/>
      <w:marLeft w:val="0"/>
      <w:marRight w:val="0"/>
      <w:marTop w:val="0"/>
      <w:marBottom w:val="0"/>
      <w:divBdr>
        <w:top w:val="none" w:sz="0" w:space="0" w:color="auto"/>
        <w:left w:val="none" w:sz="0" w:space="0" w:color="auto"/>
        <w:bottom w:val="none" w:sz="0" w:space="0" w:color="auto"/>
        <w:right w:val="none" w:sz="0" w:space="0" w:color="auto"/>
      </w:divBdr>
    </w:div>
    <w:div w:id="653220049">
      <w:bodyDiv w:val="1"/>
      <w:marLeft w:val="0"/>
      <w:marRight w:val="0"/>
      <w:marTop w:val="0"/>
      <w:marBottom w:val="0"/>
      <w:divBdr>
        <w:top w:val="none" w:sz="0" w:space="0" w:color="auto"/>
        <w:left w:val="none" w:sz="0" w:space="0" w:color="auto"/>
        <w:bottom w:val="none" w:sz="0" w:space="0" w:color="auto"/>
        <w:right w:val="none" w:sz="0" w:space="0" w:color="auto"/>
      </w:divBdr>
    </w:div>
    <w:div w:id="663900070">
      <w:bodyDiv w:val="1"/>
      <w:marLeft w:val="0"/>
      <w:marRight w:val="0"/>
      <w:marTop w:val="0"/>
      <w:marBottom w:val="0"/>
      <w:divBdr>
        <w:top w:val="none" w:sz="0" w:space="0" w:color="auto"/>
        <w:left w:val="none" w:sz="0" w:space="0" w:color="auto"/>
        <w:bottom w:val="none" w:sz="0" w:space="0" w:color="auto"/>
        <w:right w:val="none" w:sz="0" w:space="0" w:color="auto"/>
      </w:divBdr>
      <w:divsChild>
        <w:div w:id="1712999437">
          <w:marLeft w:val="446"/>
          <w:marRight w:val="0"/>
          <w:marTop w:val="200"/>
          <w:marBottom w:val="0"/>
          <w:divBdr>
            <w:top w:val="none" w:sz="0" w:space="0" w:color="auto"/>
            <w:left w:val="none" w:sz="0" w:space="0" w:color="auto"/>
            <w:bottom w:val="none" w:sz="0" w:space="0" w:color="auto"/>
            <w:right w:val="none" w:sz="0" w:space="0" w:color="auto"/>
          </w:divBdr>
        </w:div>
        <w:div w:id="724137896">
          <w:marLeft w:val="446"/>
          <w:marRight w:val="0"/>
          <w:marTop w:val="200"/>
          <w:marBottom w:val="0"/>
          <w:divBdr>
            <w:top w:val="none" w:sz="0" w:space="0" w:color="auto"/>
            <w:left w:val="none" w:sz="0" w:space="0" w:color="auto"/>
            <w:bottom w:val="none" w:sz="0" w:space="0" w:color="auto"/>
            <w:right w:val="none" w:sz="0" w:space="0" w:color="auto"/>
          </w:divBdr>
        </w:div>
        <w:div w:id="962080295">
          <w:marLeft w:val="446"/>
          <w:marRight w:val="0"/>
          <w:marTop w:val="200"/>
          <w:marBottom w:val="0"/>
          <w:divBdr>
            <w:top w:val="none" w:sz="0" w:space="0" w:color="auto"/>
            <w:left w:val="none" w:sz="0" w:space="0" w:color="auto"/>
            <w:bottom w:val="none" w:sz="0" w:space="0" w:color="auto"/>
            <w:right w:val="none" w:sz="0" w:space="0" w:color="auto"/>
          </w:divBdr>
        </w:div>
      </w:divsChild>
    </w:div>
    <w:div w:id="670176944">
      <w:bodyDiv w:val="1"/>
      <w:marLeft w:val="0"/>
      <w:marRight w:val="0"/>
      <w:marTop w:val="0"/>
      <w:marBottom w:val="0"/>
      <w:divBdr>
        <w:top w:val="none" w:sz="0" w:space="0" w:color="auto"/>
        <w:left w:val="none" w:sz="0" w:space="0" w:color="auto"/>
        <w:bottom w:val="none" w:sz="0" w:space="0" w:color="auto"/>
        <w:right w:val="none" w:sz="0" w:space="0" w:color="auto"/>
      </w:divBdr>
    </w:div>
    <w:div w:id="683558618">
      <w:bodyDiv w:val="1"/>
      <w:marLeft w:val="0"/>
      <w:marRight w:val="0"/>
      <w:marTop w:val="0"/>
      <w:marBottom w:val="0"/>
      <w:divBdr>
        <w:top w:val="none" w:sz="0" w:space="0" w:color="auto"/>
        <w:left w:val="none" w:sz="0" w:space="0" w:color="auto"/>
        <w:bottom w:val="none" w:sz="0" w:space="0" w:color="auto"/>
        <w:right w:val="none" w:sz="0" w:space="0" w:color="auto"/>
      </w:divBdr>
    </w:div>
    <w:div w:id="696277627">
      <w:bodyDiv w:val="1"/>
      <w:marLeft w:val="0"/>
      <w:marRight w:val="0"/>
      <w:marTop w:val="0"/>
      <w:marBottom w:val="0"/>
      <w:divBdr>
        <w:top w:val="none" w:sz="0" w:space="0" w:color="auto"/>
        <w:left w:val="none" w:sz="0" w:space="0" w:color="auto"/>
        <w:bottom w:val="none" w:sz="0" w:space="0" w:color="auto"/>
        <w:right w:val="none" w:sz="0" w:space="0" w:color="auto"/>
      </w:divBdr>
    </w:div>
    <w:div w:id="699863218">
      <w:bodyDiv w:val="1"/>
      <w:marLeft w:val="0"/>
      <w:marRight w:val="0"/>
      <w:marTop w:val="0"/>
      <w:marBottom w:val="0"/>
      <w:divBdr>
        <w:top w:val="none" w:sz="0" w:space="0" w:color="auto"/>
        <w:left w:val="none" w:sz="0" w:space="0" w:color="auto"/>
        <w:bottom w:val="none" w:sz="0" w:space="0" w:color="auto"/>
        <w:right w:val="none" w:sz="0" w:space="0" w:color="auto"/>
      </w:divBdr>
    </w:div>
    <w:div w:id="703559746">
      <w:bodyDiv w:val="1"/>
      <w:marLeft w:val="0"/>
      <w:marRight w:val="0"/>
      <w:marTop w:val="0"/>
      <w:marBottom w:val="0"/>
      <w:divBdr>
        <w:top w:val="none" w:sz="0" w:space="0" w:color="auto"/>
        <w:left w:val="none" w:sz="0" w:space="0" w:color="auto"/>
        <w:bottom w:val="none" w:sz="0" w:space="0" w:color="auto"/>
        <w:right w:val="none" w:sz="0" w:space="0" w:color="auto"/>
      </w:divBdr>
    </w:div>
    <w:div w:id="727917393">
      <w:bodyDiv w:val="1"/>
      <w:marLeft w:val="0"/>
      <w:marRight w:val="0"/>
      <w:marTop w:val="0"/>
      <w:marBottom w:val="0"/>
      <w:divBdr>
        <w:top w:val="none" w:sz="0" w:space="0" w:color="auto"/>
        <w:left w:val="none" w:sz="0" w:space="0" w:color="auto"/>
        <w:bottom w:val="none" w:sz="0" w:space="0" w:color="auto"/>
        <w:right w:val="none" w:sz="0" w:space="0" w:color="auto"/>
      </w:divBdr>
    </w:div>
    <w:div w:id="731582246">
      <w:bodyDiv w:val="1"/>
      <w:marLeft w:val="0"/>
      <w:marRight w:val="0"/>
      <w:marTop w:val="0"/>
      <w:marBottom w:val="0"/>
      <w:divBdr>
        <w:top w:val="none" w:sz="0" w:space="0" w:color="auto"/>
        <w:left w:val="none" w:sz="0" w:space="0" w:color="auto"/>
        <w:bottom w:val="none" w:sz="0" w:space="0" w:color="auto"/>
        <w:right w:val="none" w:sz="0" w:space="0" w:color="auto"/>
      </w:divBdr>
    </w:div>
    <w:div w:id="752238914">
      <w:bodyDiv w:val="1"/>
      <w:marLeft w:val="0"/>
      <w:marRight w:val="0"/>
      <w:marTop w:val="0"/>
      <w:marBottom w:val="0"/>
      <w:divBdr>
        <w:top w:val="none" w:sz="0" w:space="0" w:color="auto"/>
        <w:left w:val="none" w:sz="0" w:space="0" w:color="auto"/>
        <w:bottom w:val="none" w:sz="0" w:space="0" w:color="auto"/>
        <w:right w:val="none" w:sz="0" w:space="0" w:color="auto"/>
      </w:divBdr>
    </w:div>
    <w:div w:id="764420751">
      <w:bodyDiv w:val="1"/>
      <w:marLeft w:val="0"/>
      <w:marRight w:val="0"/>
      <w:marTop w:val="0"/>
      <w:marBottom w:val="0"/>
      <w:divBdr>
        <w:top w:val="none" w:sz="0" w:space="0" w:color="auto"/>
        <w:left w:val="none" w:sz="0" w:space="0" w:color="auto"/>
        <w:bottom w:val="none" w:sz="0" w:space="0" w:color="auto"/>
        <w:right w:val="none" w:sz="0" w:space="0" w:color="auto"/>
      </w:divBdr>
    </w:div>
    <w:div w:id="774598722">
      <w:bodyDiv w:val="1"/>
      <w:marLeft w:val="0"/>
      <w:marRight w:val="0"/>
      <w:marTop w:val="0"/>
      <w:marBottom w:val="0"/>
      <w:divBdr>
        <w:top w:val="none" w:sz="0" w:space="0" w:color="auto"/>
        <w:left w:val="none" w:sz="0" w:space="0" w:color="auto"/>
        <w:bottom w:val="none" w:sz="0" w:space="0" w:color="auto"/>
        <w:right w:val="none" w:sz="0" w:space="0" w:color="auto"/>
      </w:divBdr>
    </w:div>
    <w:div w:id="792211798">
      <w:bodyDiv w:val="1"/>
      <w:marLeft w:val="0"/>
      <w:marRight w:val="0"/>
      <w:marTop w:val="0"/>
      <w:marBottom w:val="0"/>
      <w:divBdr>
        <w:top w:val="none" w:sz="0" w:space="0" w:color="auto"/>
        <w:left w:val="none" w:sz="0" w:space="0" w:color="auto"/>
        <w:bottom w:val="none" w:sz="0" w:space="0" w:color="auto"/>
        <w:right w:val="none" w:sz="0" w:space="0" w:color="auto"/>
      </w:divBdr>
    </w:div>
    <w:div w:id="792940137">
      <w:bodyDiv w:val="1"/>
      <w:marLeft w:val="0"/>
      <w:marRight w:val="0"/>
      <w:marTop w:val="0"/>
      <w:marBottom w:val="0"/>
      <w:divBdr>
        <w:top w:val="none" w:sz="0" w:space="0" w:color="auto"/>
        <w:left w:val="none" w:sz="0" w:space="0" w:color="auto"/>
        <w:bottom w:val="none" w:sz="0" w:space="0" w:color="auto"/>
        <w:right w:val="none" w:sz="0" w:space="0" w:color="auto"/>
      </w:divBdr>
    </w:div>
    <w:div w:id="794717378">
      <w:bodyDiv w:val="1"/>
      <w:marLeft w:val="0"/>
      <w:marRight w:val="0"/>
      <w:marTop w:val="0"/>
      <w:marBottom w:val="0"/>
      <w:divBdr>
        <w:top w:val="none" w:sz="0" w:space="0" w:color="auto"/>
        <w:left w:val="none" w:sz="0" w:space="0" w:color="auto"/>
        <w:bottom w:val="none" w:sz="0" w:space="0" w:color="auto"/>
        <w:right w:val="none" w:sz="0" w:space="0" w:color="auto"/>
      </w:divBdr>
    </w:div>
    <w:div w:id="795299342">
      <w:bodyDiv w:val="1"/>
      <w:marLeft w:val="0"/>
      <w:marRight w:val="0"/>
      <w:marTop w:val="0"/>
      <w:marBottom w:val="0"/>
      <w:divBdr>
        <w:top w:val="none" w:sz="0" w:space="0" w:color="auto"/>
        <w:left w:val="none" w:sz="0" w:space="0" w:color="auto"/>
        <w:bottom w:val="none" w:sz="0" w:space="0" w:color="auto"/>
        <w:right w:val="none" w:sz="0" w:space="0" w:color="auto"/>
      </w:divBdr>
    </w:div>
    <w:div w:id="799306267">
      <w:bodyDiv w:val="1"/>
      <w:marLeft w:val="0"/>
      <w:marRight w:val="0"/>
      <w:marTop w:val="0"/>
      <w:marBottom w:val="0"/>
      <w:divBdr>
        <w:top w:val="none" w:sz="0" w:space="0" w:color="auto"/>
        <w:left w:val="none" w:sz="0" w:space="0" w:color="auto"/>
        <w:bottom w:val="none" w:sz="0" w:space="0" w:color="auto"/>
        <w:right w:val="none" w:sz="0" w:space="0" w:color="auto"/>
      </w:divBdr>
    </w:div>
    <w:div w:id="799684175">
      <w:bodyDiv w:val="1"/>
      <w:marLeft w:val="0"/>
      <w:marRight w:val="0"/>
      <w:marTop w:val="0"/>
      <w:marBottom w:val="0"/>
      <w:divBdr>
        <w:top w:val="none" w:sz="0" w:space="0" w:color="auto"/>
        <w:left w:val="none" w:sz="0" w:space="0" w:color="auto"/>
        <w:bottom w:val="none" w:sz="0" w:space="0" w:color="auto"/>
        <w:right w:val="none" w:sz="0" w:space="0" w:color="auto"/>
      </w:divBdr>
    </w:div>
    <w:div w:id="801773513">
      <w:bodyDiv w:val="1"/>
      <w:marLeft w:val="0"/>
      <w:marRight w:val="0"/>
      <w:marTop w:val="0"/>
      <w:marBottom w:val="0"/>
      <w:divBdr>
        <w:top w:val="none" w:sz="0" w:space="0" w:color="auto"/>
        <w:left w:val="none" w:sz="0" w:space="0" w:color="auto"/>
        <w:bottom w:val="none" w:sz="0" w:space="0" w:color="auto"/>
        <w:right w:val="none" w:sz="0" w:space="0" w:color="auto"/>
      </w:divBdr>
    </w:div>
    <w:div w:id="804666829">
      <w:bodyDiv w:val="1"/>
      <w:marLeft w:val="0"/>
      <w:marRight w:val="0"/>
      <w:marTop w:val="0"/>
      <w:marBottom w:val="0"/>
      <w:divBdr>
        <w:top w:val="none" w:sz="0" w:space="0" w:color="auto"/>
        <w:left w:val="none" w:sz="0" w:space="0" w:color="auto"/>
        <w:bottom w:val="none" w:sz="0" w:space="0" w:color="auto"/>
        <w:right w:val="none" w:sz="0" w:space="0" w:color="auto"/>
      </w:divBdr>
    </w:div>
    <w:div w:id="816141740">
      <w:bodyDiv w:val="1"/>
      <w:marLeft w:val="0"/>
      <w:marRight w:val="0"/>
      <w:marTop w:val="0"/>
      <w:marBottom w:val="0"/>
      <w:divBdr>
        <w:top w:val="none" w:sz="0" w:space="0" w:color="auto"/>
        <w:left w:val="none" w:sz="0" w:space="0" w:color="auto"/>
        <w:bottom w:val="none" w:sz="0" w:space="0" w:color="auto"/>
        <w:right w:val="none" w:sz="0" w:space="0" w:color="auto"/>
      </w:divBdr>
    </w:div>
    <w:div w:id="818426329">
      <w:bodyDiv w:val="1"/>
      <w:marLeft w:val="0"/>
      <w:marRight w:val="0"/>
      <w:marTop w:val="0"/>
      <w:marBottom w:val="0"/>
      <w:divBdr>
        <w:top w:val="none" w:sz="0" w:space="0" w:color="auto"/>
        <w:left w:val="none" w:sz="0" w:space="0" w:color="auto"/>
        <w:bottom w:val="none" w:sz="0" w:space="0" w:color="auto"/>
        <w:right w:val="none" w:sz="0" w:space="0" w:color="auto"/>
      </w:divBdr>
    </w:div>
    <w:div w:id="821895422">
      <w:bodyDiv w:val="1"/>
      <w:marLeft w:val="0"/>
      <w:marRight w:val="0"/>
      <w:marTop w:val="0"/>
      <w:marBottom w:val="0"/>
      <w:divBdr>
        <w:top w:val="none" w:sz="0" w:space="0" w:color="auto"/>
        <w:left w:val="none" w:sz="0" w:space="0" w:color="auto"/>
        <w:bottom w:val="none" w:sz="0" w:space="0" w:color="auto"/>
        <w:right w:val="none" w:sz="0" w:space="0" w:color="auto"/>
      </w:divBdr>
    </w:div>
    <w:div w:id="824783863">
      <w:bodyDiv w:val="1"/>
      <w:marLeft w:val="0"/>
      <w:marRight w:val="0"/>
      <w:marTop w:val="0"/>
      <w:marBottom w:val="0"/>
      <w:divBdr>
        <w:top w:val="none" w:sz="0" w:space="0" w:color="auto"/>
        <w:left w:val="none" w:sz="0" w:space="0" w:color="auto"/>
        <w:bottom w:val="none" w:sz="0" w:space="0" w:color="auto"/>
        <w:right w:val="none" w:sz="0" w:space="0" w:color="auto"/>
      </w:divBdr>
    </w:div>
    <w:div w:id="833645620">
      <w:bodyDiv w:val="1"/>
      <w:marLeft w:val="0"/>
      <w:marRight w:val="0"/>
      <w:marTop w:val="0"/>
      <w:marBottom w:val="0"/>
      <w:divBdr>
        <w:top w:val="none" w:sz="0" w:space="0" w:color="auto"/>
        <w:left w:val="none" w:sz="0" w:space="0" w:color="auto"/>
        <w:bottom w:val="none" w:sz="0" w:space="0" w:color="auto"/>
        <w:right w:val="none" w:sz="0" w:space="0" w:color="auto"/>
      </w:divBdr>
    </w:div>
    <w:div w:id="839544183">
      <w:bodyDiv w:val="1"/>
      <w:marLeft w:val="0"/>
      <w:marRight w:val="0"/>
      <w:marTop w:val="0"/>
      <w:marBottom w:val="0"/>
      <w:divBdr>
        <w:top w:val="none" w:sz="0" w:space="0" w:color="auto"/>
        <w:left w:val="none" w:sz="0" w:space="0" w:color="auto"/>
        <w:bottom w:val="none" w:sz="0" w:space="0" w:color="auto"/>
        <w:right w:val="none" w:sz="0" w:space="0" w:color="auto"/>
      </w:divBdr>
    </w:div>
    <w:div w:id="843711535">
      <w:bodyDiv w:val="1"/>
      <w:marLeft w:val="0"/>
      <w:marRight w:val="0"/>
      <w:marTop w:val="0"/>
      <w:marBottom w:val="0"/>
      <w:divBdr>
        <w:top w:val="none" w:sz="0" w:space="0" w:color="auto"/>
        <w:left w:val="none" w:sz="0" w:space="0" w:color="auto"/>
        <w:bottom w:val="none" w:sz="0" w:space="0" w:color="auto"/>
        <w:right w:val="none" w:sz="0" w:space="0" w:color="auto"/>
      </w:divBdr>
    </w:div>
    <w:div w:id="843740588">
      <w:bodyDiv w:val="1"/>
      <w:marLeft w:val="0"/>
      <w:marRight w:val="0"/>
      <w:marTop w:val="0"/>
      <w:marBottom w:val="0"/>
      <w:divBdr>
        <w:top w:val="none" w:sz="0" w:space="0" w:color="auto"/>
        <w:left w:val="none" w:sz="0" w:space="0" w:color="auto"/>
        <w:bottom w:val="none" w:sz="0" w:space="0" w:color="auto"/>
        <w:right w:val="none" w:sz="0" w:space="0" w:color="auto"/>
      </w:divBdr>
    </w:div>
    <w:div w:id="863207007">
      <w:bodyDiv w:val="1"/>
      <w:marLeft w:val="0"/>
      <w:marRight w:val="0"/>
      <w:marTop w:val="0"/>
      <w:marBottom w:val="0"/>
      <w:divBdr>
        <w:top w:val="none" w:sz="0" w:space="0" w:color="auto"/>
        <w:left w:val="none" w:sz="0" w:space="0" w:color="auto"/>
        <w:bottom w:val="none" w:sz="0" w:space="0" w:color="auto"/>
        <w:right w:val="none" w:sz="0" w:space="0" w:color="auto"/>
      </w:divBdr>
    </w:div>
    <w:div w:id="863787738">
      <w:bodyDiv w:val="1"/>
      <w:marLeft w:val="0"/>
      <w:marRight w:val="0"/>
      <w:marTop w:val="0"/>
      <w:marBottom w:val="0"/>
      <w:divBdr>
        <w:top w:val="none" w:sz="0" w:space="0" w:color="auto"/>
        <w:left w:val="none" w:sz="0" w:space="0" w:color="auto"/>
        <w:bottom w:val="none" w:sz="0" w:space="0" w:color="auto"/>
        <w:right w:val="none" w:sz="0" w:space="0" w:color="auto"/>
      </w:divBdr>
    </w:div>
    <w:div w:id="863977978">
      <w:bodyDiv w:val="1"/>
      <w:marLeft w:val="0"/>
      <w:marRight w:val="0"/>
      <w:marTop w:val="0"/>
      <w:marBottom w:val="0"/>
      <w:divBdr>
        <w:top w:val="none" w:sz="0" w:space="0" w:color="auto"/>
        <w:left w:val="none" w:sz="0" w:space="0" w:color="auto"/>
        <w:bottom w:val="none" w:sz="0" w:space="0" w:color="auto"/>
        <w:right w:val="none" w:sz="0" w:space="0" w:color="auto"/>
      </w:divBdr>
    </w:div>
    <w:div w:id="867642442">
      <w:bodyDiv w:val="1"/>
      <w:marLeft w:val="0"/>
      <w:marRight w:val="0"/>
      <w:marTop w:val="0"/>
      <w:marBottom w:val="0"/>
      <w:divBdr>
        <w:top w:val="none" w:sz="0" w:space="0" w:color="auto"/>
        <w:left w:val="none" w:sz="0" w:space="0" w:color="auto"/>
        <w:bottom w:val="none" w:sz="0" w:space="0" w:color="auto"/>
        <w:right w:val="none" w:sz="0" w:space="0" w:color="auto"/>
      </w:divBdr>
      <w:divsChild>
        <w:div w:id="1469786791">
          <w:marLeft w:val="274"/>
          <w:marRight w:val="0"/>
          <w:marTop w:val="240"/>
          <w:marBottom w:val="0"/>
          <w:divBdr>
            <w:top w:val="none" w:sz="0" w:space="0" w:color="auto"/>
            <w:left w:val="none" w:sz="0" w:space="0" w:color="auto"/>
            <w:bottom w:val="none" w:sz="0" w:space="0" w:color="auto"/>
            <w:right w:val="none" w:sz="0" w:space="0" w:color="auto"/>
          </w:divBdr>
        </w:div>
        <w:div w:id="2000770432">
          <w:marLeft w:val="274"/>
          <w:marRight w:val="0"/>
          <w:marTop w:val="240"/>
          <w:marBottom w:val="0"/>
          <w:divBdr>
            <w:top w:val="none" w:sz="0" w:space="0" w:color="auto"/>
            <w:left w:val="none" w:sz="0" w:space="0" w:color="auto"/>
            <w:bottom w:val="none" w:sz="0" w:space="0" w:color="auto"/>
            <w:right w:val="none" w:sz="0" w:space="0" w:color="auto"/>
          </w:divBdr>
        </w:div>
      </w:divsChild>
    </w:div>
    <w:div w:id="873690902">
      <w:bodyDiv w:val="1"/>
      <w:marLeft w:val="0"/>
      <w:marRight w:val="0"/>
      <w:marTop w:val="0"/>
      <w:marBottom w:val="0"/>
      <w:divBdr>
        <w:top w:val="none" w:sz="0" w:space="0" w:color="auto"/>
        <w:left w:val="none" w:sz="0" w:space="0" w:color="auto"/>
        <w:bottom w:val="none" w:sz="0" w:space="0" w:color="auto"/>
        <w:right w:val="none" w:sz="0" w:space="0" w:color="auto"/>
      </w:divBdr>
    </w:div>
    <w:div w:id="873998439">
      <w:bodyDiv w:val="1"/>
      <w:marLeft w:val="0"/>
      <w:marRight w:val="0"/>
      <w:marTop w:val="0"/>
      <w:marBottom w:val="0"/>
      <w:divBdr>
        <w:top w:val="none" w:sz="0" w:space="0" w:color="auto"/>
        <w:left w:val="none" w:sz="0" w:space="0" w:color="auto"/>
        <w:bottom w:val="none" w:sz="0" w:space="0" w:color="auto"/>
        <w:right w:val="none" w:sz="0" w:space="0" w:color="auto"/>
      </w:divBdr>
      <w:divsChild>
        <w:div w:id="1778057858">
          <w:marLeft w:val="360"/>
          <w:marRight w:val="0"/>
          <w:marTop w:val="0"/>
          <w:marBottom w:val="0"/>
          <w:divBdr>
            <w:top w:val="none" w:sz="0" w:space="0" w:color="auto"/>
            <w:left w:val="none" w:sz="0" w:space="0" w:color="auto"/>
            <w:bottom w:val="none" w:sz="0" w:space="0" w:color="auto"/>
            <w:right w:val="none" w:sz="0" w:space="0" w:color="auto"/>
          </w:divBdr>
        </w:div>
      </w:divsChild>
    </w:div>
    <w:div w:id="881207915">
      <w:bodyDiv w:val="1"/>
      <w:marLeft w:val="0"/>
      <w:marRight w:val="0"/>
      <w:marTop w:val="0"/>
      <w:marBottom w:val="0"/>
      <w:divBdr>
        <w:top w:val="none" w:sz="0" w:space="0" w:color="auto"/>
        <w:left w:val="none" w:sz="0" w:space="0" w:color="auto"/>
        <w:bottom w:val="none" w:sz="0" w:space="0" w:color="auto"/>
        <w:right w:val="none" w:sz="0" w:space="0" w:color="auto"/>
      </w:divBdr>
    </w:div>
    <w:div w:id="883367302">
      <w:bodyDiv w:val="1"/>
      <w:marLeft w:val="0"/>
      <w:marRight w:val="0"/>
      <w:marTop w:val="0"/>
      <w:marBottom w:val="0"/>
      <w:divBdr>
        <w:top w:val="none" w:sz="0" w:space="0" w:color="auto"/>
        <w:left w:val="none" w:sz="0" w:space="0" w:color="auto"/>
        <w:bottom w:val="none" w:sz="0" w:space="0" w:color="auto"/>
        <w:right w:val="none" w:sz="0" w:space="0" w:color="auto"/>
      </w:divBdr>
    </w:div>
    <w:div w:id="888036777">
      <w:bodyDiv w:val="1"/>
      <w:marLeft w:val="0"/>
      <w:marRight w:val="0"/>
      <w:marTop w:val="0"/>
      <w:marBottom w:val="0"/>
      <w:divBdr>
        <w:top w:val="none" w:sz="0" w:space="0" w:color="auto"/>
        <w:left w:val="none" w:sz="0" w:space="0" w:color="auto"/>
        <w:bottom w:val="none" w:sz="0" w:space="0" w:color="auto"/>
        <w:right w:val="none" w:sz="0" w:space="0" w:color="auto"/>
      </w:divBdr>
    </w:div>
    <w:div w:id="898054572">
      <w:bodyDiv w:val="1"/>
      <w:marLeft w:val="0"/>
      <w:marRight w:val="0"/>
      <w:marTop w:val="0"/>
      <w:marBottom w:val="0"/>
      <w:divBdr>
        <w:top w:val="none" w:sz="0" w:space="0" w:color="auto"/>
        <w:left w:val="none" w:sz="0" w:space="0" w:color="auto"/>
        <w:bottom w:val="none" w:sz="0" w:space="0" w:color="auto"/>
        <w:right w:val="none" w:sz="0" w:space="0" w:color="auto"/>
      </w:divBdr>
    </w:div>
    <w:div w:id="899367950">
      <w:bodyDiv w:val="1"/>
      <w:marLeft w:val="0"/>
      <w:marRight w:val="0"/>
      <w:marTop w:val="0"/>
      <w:marBottom w:val="0"/>
      <w:divBdr>
        <w:top w:val="none" w:sz="0" w:space="0" w:color="auto"/>
        <w:left w:val="none" w:sz="0" w:space="0" w:color="auto"/>
        <w:bottom w:val="none" w:sz="0" w:space="0" w:color="auto"/>
        <w:right w:val="none" w:sz="0" w:space="0" w:color="auto"/>
      </w:divBdr>
    </w:div>
    <w:div w:id="916404992">
      <w:bodyDiv w:val="1"/>
      <w:marLeft w:val="0"/>
      <w:marRight w:val="0"/>
      <w:marTop w:val="0"/>
      <w:marBottom w:val="0"/>
      <w:divBdr>
        <w:top w:val="none" w:sz="0" w:space="0" w:color="auto"/>
        <w:left w:val="none" w:sz="0" w:space="0" w:color="auto"/>
        <w:bottom w:val="none" w:sz="0" w:space="0" w:color="auto"/>
        <w:right w:val="none" w:sz="0" w:space="0" w:color="auto"/>
      </w:divBdr>
      <w:divsChild>
        <w:div w:id="1819951166">
          <w:marLeft w:val="547"/>
          <w:marRight w:val="0"/>
          <w:marTop w:val="67"/>
          <w:marBottom w:val="0"/>
          <w:divBdr>
            <w:top w:val="none" w:sz="0" w:space="0" w:color="auto"/>
            <w:left w:val="none" w:sz="0" w:space="0" w:color="auto"/>
            <w:bottom w:val="none" w:sz="0" w:space="0" w:color="auto"/>
            <w:right w:val="none" w:sz="0" w:space="0" w:color="auto"/>
          </w:divBdr>
        </w:div>
        <w:div w:id="749273170">
          <w:marLeft w:val="547"/>
          <w:marRight w:val="0"/>
          <w:marTop w:val="67"/>
          <w:marBottom w:val="0"/>
          <w:divBdr>
            <w:top w:val="none" w:sz="0" w:space="0" w:color="auto"/>
            <w:left w:val="none" w:sz="0" w:space="0" w:color="auto"/>
            <w:bottom w:val="none" w:sz="0" w:space="0" w:color="auto"/>
            <w:right w:val="none" w:sz="0" w:space="0" w:color="auto"/>
          </w:divBdr>
        </w:div>
        <w:div w:id="888614446">
          <w:marLeft w:val="547"/>
          <w:marRight w:val="0"/>
          <w:marTop w:val="67"/>
          <w:marBottom w:val="0"/>
          <w:divBdr>
            <w:top w:val="none" w:sz="0" w:space="0" w:color="auto"/>
            <w:left w:val="none" w:sz="0" w:space="0" w:color="auto"/>
            <w:bottom w:val="none" w:sz="0" w:space="0" w:color="auto"/>
            <w:right w:val="none" w:sz="0" w:space="0" w:color="auto"/>
          </w:divBdr>
        </w:div>
        <w:div w:id="782113694">
          <w:marLeft w:val="547"/>
          <w:marRight w:val="0"/>
          <w:marTop w:val="67"/>
          <w:marBottom w:val="0"/>
          <w:divBdr>
            <w:top w:val="none" w:sz="0" w:space="0" w:color="auto"/>
            <w:left w:val="none" w:sz="0" w:space="0" w:color="auto"/>
            <w:bottom w:val="none" w:sz="0" w:space="0" w:color="auto"/>
            <w:right w:val="none" w:sz="0" w:space="0" w:color="auto"/>
          </w:divBdr>
        </w:div>
        <w:div w:id="1044598117">
          <w:marLeft w:val="547"/>
          <w:marRight w:val="0"/>
          <w:marTop w:val="67"/>
          <w:marBottom w:val="0"/>
          <w:divBdr>
            <w:top w:val="none" w:sz="0" w:space="0" w:color="auto"/>
            <w:left w:val="none" w:sz="0" w:space="0" w:color="auto"/>
            <w:bottom w:val="none" w:sz="0" w:space="0" w:color="auto"/>
            <w:right w:val="none" w:sz="0" w:space="0" w:color="auto"/>
          </w:divBdr>
        </w:div>
      </w:divsChild>
    </w:div>
    <w:div w:id="923076505">
      <w:bodyDiv w:val="1"/>
      <w:marLeft w:val="0"/>
      <w:marRight w:val="0"/>
      <w:marTop w:val="0"/>
      <w:marBottom w:val="0"/>
      <w:divBdr>
        <w:top w:val="none" w:sz="0" w:space="0" w:color="auto"/>
        <w:left w:val="none" w:sz="0" w:space="0" w:color="auto"/>
        <w:bottom w:val="none" w:sz="0" w:space="0" w:color="auto"/>
        <w:right w:val="none" w:sz="0" w:space="0" w:color="auto"/>
      </w:divBdr>
    </w:div>
    <w:div w:id="923880522">
      <w:bodyDiv w:val="1"/>
      <w:marLeft w:val="0"/>
      <w:marRight w:val="0"/>
      <w:marTop w:val="0"/>
      <w:marBottom w:val="0"/>
      <w:divBdr>
        <w:top w:val="none" w:sz="0" w:space="0" w:color="auto"/>
        <w:left w:val="none" w:sz="0" w:space="0" w:color="auto"/>
        <w:bottom w:val="none" w:sz="0" w:space="0" w:color="auto"/>
        <w:right w:val="none" w:sz="0" w:space="0" w:color="auto"/>
      </w:divBdr>
    </w:div>
    <w:div w:id="929777806">
      <w:bodyDiv w:val="1"/>
      <w:marLeft w:val="0"/>
      <w:marRight w:val="0"/>
      <w:marTop w:val="0"/>
      <w:marBottom w:val="0"/>
      <w:divBdr>
        <w:top w:val="none" w:sz="0" w:space="0" w:color="auto"/>
        <w:left w:val="none" w:sz="0" w:space="0" w:color="auto"/>
        <w:bottom w:val="none" w:sz="0" w:space="0" w:color="auto"/>
        <w:right w:val="none" w:sz="0" w:space="0" w:color="auto"/>
      </w:divBdr>
    </w:div>
    <w:div w:id="942494630">
      <w:bodyDiv w:val="1"/>
      <w:marLeft w:val="0"/>
      <w:marRight w:val="0"/>
      <w:marTop w:val="0"/>
      <w:marBottom w:val="0"/>
      <w:divBdr>
        <w:top w:val="none" w:sz="0" w:space="0" w:color="auto"/>
        <w:left w:val="none" w:sz="0" w:space="0" w:color="auto"/>
        <w:bottom w:val="none" w:sz="0" w:space="0" w:color="auto"/>
        <w:right w:val="none" w:sz="0" w:space="0" w:color="auto"/>
      </w:divBdr>
    </w:div>
    <w:div w:id="956107767">
      <w:bodyDiv w:val="1"/>
      <w:marLeft w:val="0"/>
      <w:marRight w:val="0"/>
      <w:marTop w:val="0"/>
      <w:marBottom w:val="0"/>
      <w:divBdr>
        <w:top w:val="none" w:sz="0" w:space="0" w:color="auto"/>
        <w:left w:val="none" w:sz="0" w:space="0" w:color="auto"/>
        <w:bottom w:val="none" w:sz="0" w:space="0" w:color="auto"/>
        <w:right w:val="none" w:sz="0" w:space="0" w:color="auto"/>
      </w:divBdr>
    </w:div>
    <w:div w:id="979070587">
      <w:bodyDiv w:val="1"/>
      <w:marLeft w:val="0"/>
      <w:marRight w:val="0"/>
      <w:marTop w:val="0"/>
      <w:marBottom w:val="0"/>
      <w:divBdr>
        <w:top w:val="none" w:sz="0" w:space="0" w:color="auto"/>
        <w:left w:val="none" w:sz="0" w:space="0" w:color="auto"/>
        <w:bottom w:val="none" w:sz="0" w:space="0" w:color="auto"/>
        <w:right w:val="none" w:sz="0" w:space="0" w:color="auto"/>
      </w:divBdr>
    </w:div>
    <w:div w:id="998651761">
      <w:bodyDiv w:val="1"/>
      <w:marLeft w:val="0"/>
      <w:marRight w:val="0"/>
      <w:marTop w:val="0"/>
      <w:marBottom w:val="0"/>
      <w:divBdr>
        <w:top w:val="none" w:sz="0" w:space="0" w:color="auto"/>
        <w:left w:val="none" w:sz="0" w:space="0" w:color="auto"/>
        <w:bottom w:val="none" w:sz="0" w:space="0" w:color="auto"/>
        <w:right w:val="none" w:sz="0" w:space="0" w:color="auto"/>
      </w:divBdr>
    </w:div>
    <w:div w:id="1000085446">
      <w:bodyDiv w:val="1"/>
      <w:marLeft w:val="0"/>
      <w:marRight w:val="0"/>
      <w:marTop w:val="0"/>
      <w:marBottom w:val="0"/>
      <w:divBdr>
        <w:top w:val="none" w:sz="0" w:space="0" w:color="auto"/>
        <w:left w:val="none" w:sz="0" w:space="0" w:color="auto"/>
        <w:bottom w:val="none" w:sz="0" w:space="0" w:color="auto"/>
        <w:right w:val="none" w:sz="0" w:space="0" w:color="auto"/>
      </w:divBdr>
    </w:div>
    <w:div w:id="1001391534">
      <w:bodyDiv w:val="1"/>
      <w:marLeft w:val="0"/>
      <w:marRight w:val="0"/>
      <w:marTop w:val="0"/>
      <w:marBottom w:val="0"/>
      <w:divBdr>
        <w:top w:val="none" w:sz="0" w:space="0" w:color="auto"/>
        <w:left w:val="none" w:sz="0" w:space="0" w:color="auto"/>
        <w:bottom w:val="none" w:sz="0" w:space="0" w:color="auto"/>
        <w:right w:val="none" w:sz="0" w:space="0" w:color="auto"/>
      </w:divBdr>
    </w:div>
    <w:div w:id="1003315674">
      <w:bodyDiv w:val="1"/>
      <w:marLeft w:val="0"/>
      <w:marRight w:val="0"/>
      <w:marTop w:val="0"/>
      <w:marBottom w:val="0"/>
      <w:divBdr>
        <w:top w:val="none" w:sz="0" w:space="0" w:color="auto"/>
        <w:left w:val="none" w:sz="0" w:space="0" w:color="auto"/>
        <w:bottom w:val="none" w:sz="0" w:space="0" w:color="auto"/>
        <w:right w:val="none" w:sz="0" w:space="0" w:color="auto"/>
      </w:divBdr>
      <w:divsChild>
        <w:div w:id="767964809">
          <w:marLeft w:val="360"/>
          <w:marRight w:val="0"/>
          <w:marTop w:val="0"/>
          <w:marBottom w:val="0"/>
          <w:divBdr>
            <w:top w:val="none" w:sz="0" w:space="0" w:color="auto"/>
            <w:left w:val="none" w:sz="0" w:space="0" w:color="auto"/>
            <w:bottom w:val="none" w:sz="0" w:space="0" w:color="auto"/>
            <w:right w:val="none" w:sz="0" w:space="0" w:color="auto"/>
          </w:divBdr>
        </w:div>
      </w:divsChild>
    </w:div>
    <w:div w:id="1011569467">
      <w:bodyDiv w:val="1"/>
      <w:marLeft w:val="0"/>
      <w:marRight w:val="0"/>
      <w:marTop w:val="0"/>
      <w:marBottom w:val="0"/>
      <w:divBdr>
        <w:top w:val="none" w:sz="0" w:space="0" w:color="auto"/>
        <w:left w:val="none" w:sz="0" w:space="0" w:color="auto"/>
        <w:bottom w:val="none" w:sz="0" w:space="0" w:color="auto"/>
        <w:right w:val="none" w:sz="0" w:space="0" w:color="auto"/>
      </w:divBdr>
    </w:div>
    <w:div w:id="1018656598">
      <w:bodyDiv w:val="1"/>
      <w:marLeft w:val="0"/>
      <w:marRight w:val="0"/>
      <w:marTop w:val="0"/>
      <w:marBottom w:val="0"/>
      <w:divBdr>
        <w:top w:val="none" w:sz="0" w:space="0" w:color="auto"/>
        <w:left w:val="none" w:sz="0" w:space="0" w:color="auto"/>
        <w:bottom w:val="none" w:sz="0" w:space="0" w:color="auto"/>
        <w:right w:val="none" w:sz="0" w:space="0" w:color="auto"/>
      </w:divBdr>
    </w:div>
    <w:div w:id="1022321918">
      <w:bodyDiv w:val="1"/>
      <w:marLeft w:val="0"/>
      <w:marRight w:val="0"/>
      <w:marTop w:val="0"/>
      <w:marBottom w:val="0"/>
      <w:divBdr>
        <w:top w:val="none" w:sz="0" w:space="0" w:color="auto"/>
        <w:left w:val="none" w:sz="0" w:space="0" w:color="auto"/>
        <w:bottom w:val="none" w:sz="0" w:space="0" w:color="auto"/>
        <w:right w:val="none" w:sz="0" w:space="0" w:color="auto"/>
      </w:divBdr>
    </w:div>
    <w:div w:id="1026831460">
      <w:bodyDiv w:val="1"/>
      <w:marLeft w:val="0"/>
      <w:marRight w:val="0"/>
      <w:marTop w:val="0"/>
      <w:marBottom w:val="0"/>
      <w:divBdr>
        <w:top w:val="none" w:sz="0" w:space="0" w:color="auto"/>
        <w:left w:val="none" w:sz="0" w:space="0" w:color="auto"/>
        <w:bottom w:val="none" w:sz="0" w:space="0" w:color="auto"/>
        <w:right w:val="none" w:sz="0" w:space="0" w:color="auto"/>
      </w:divBdr>
    </w:div>
    <w:div w:id="1027953116">
      <w:bodyDiv w:val="1"/>
      <w:marLeft w:val="0"/>
      <w:marRight w:val="0"/>
      <w:marTop w:val="0"/>
      <w:marBottom w:val="0"/>
      <w:divBdr>
        <w:top w:val="none" w:sz="0" w:space="0" w:color="auto"/>
        <w:left w:val="none" w:sz="0" w:space="0" w:color="auto"/>
        <w:bottom w:val="none" w:sz="0" w:space="0" w:color="auto"/>
        <w:right w:val="none" w:sz="0" w:space="0" w:color="auto"/>
      </w:divBdr>
    </w:div>
    <w:div w:id="1029448691">
      <w:bodyDiv w:val="1"/>
      <w:marLeft w:val="0"/>
      <w:marRight w:val="0"/>
      <w:marTop w:val="0"/>
      <w:marBottom w:val="0"/>
      <w:divBdr>
        <w:top w:val="none" w:sz="0" w:space="0" w:color="auto"/>
        <w:left w:val="none" w:sz="0" w:space="0" w:color="auto"/>
        <w:bottom w:val="none" w:sz="0" w:space="0" w:color="auto"/>
        <w:right w:val="none" w:sz="0" w:space="0" w:color="auto"/>
      </w:divBdr>
    </w:div>
    <w:div w:id="1034505523">
      <w:bodyDiv w:val="1"/>
      <w:marLeft w:val="0"/>
      <w:marRight w:val="0"/>
      <w:marTop w:val="0"/>
      <w:marBottom w:val="0"/>
      <w:divBdr>
        <w:top w:val="none" w:sz="0" w:space="0" w:color="auto"/>
        <w:left w:val="none" w:sz="0" w:space="0" w:color="auto"/>
        <w:bottom w:val="none" w:sz="0" w:space="0" w:color="auto"/>
        <w:right w:val="none" w:sz="0" w:space="0" w:color="auto"/>
      </w:divBdr>
    </w:div>
    <w:div w:id="1045717833">
      <w:bodyDiv w:val="1"/>
      <w:marLeft w:val="0"/>
      <w:marRight w:val="0"/>
      <w:marTop w:val="0"/>
      <w:marBottom w:val="0"/>
      <w:divBdr>
        <w:top w:val="none" w:sz="0" w:space="0" w:color="auto"/>
        <w:left w:val="none" w:sz="0" w:space="0" w:color="auto"/>
        <w:bottom w:val="none" w:sz="0" w:space="0" w:color="auto"/>
        <w:right w:val="none" w:sz="0" w:space="0" w:color="auto"/>
      </w:divBdr>
    </w:div>
    <w:div w:id="1053965940">
      <w:bodyDiv w:val="1"/>
      <w:marLeft w:val="0"/>
      <w:marRight w:val="0"/>
      <w:marTop w:val="0"/>
      <w:marBottom w:val="0"/>
      <w:divBdr>
        <w:top w:val="none" w:sz="0" w:space="0" w:color="auto"/>
        <w:left w:val="none" w:sz="0" w:space="0" w:color="auto"/>
        <w:bottom w:val="none" w:sz="0" w:space="0" w:color="auto"/>
        <w:right w:val="none" w:sz="0" w:space="0" w:color="auto"/>
      </w:divBdr>
    </w:div>
    <w:div w:id="1074352809">
      <w:bodyDiv w:val="1"/>
      <w:marLeft w:val="0"/>
      <w:marRight w:val="0"/>
      <w:marTop w:val="0"/>
      <w:marBottom w:val="0"/>
      <w:divBdr>
        <w:top w:val="none" w:sz="0" w:space="0" w:color="auto"/>
        <w:left w:val="none" w:sz="0" w:space="0" w:color="auto"/>
        <w:bottom w:val="none" w:sz="0" w:space="0" w:color="auto"/>
        <w:right w:val="none" w:sz="0" w:space="0" w:color="auto"/>
      </w:divBdr>
    </w:div>
    <w:div w:id="1080520511">
      <w:bodyDiv w:val="1"/>
      <w:marLeft w:val="0"/>
      <w:marRight w:val="0"/>
      <w:marTop w:val="0"/>
      <w:marBottom w:val="0"/>
      <w:divBdr>
        <w:top w:val="none" w:sz="0" w:space="0" w:color="auto"/>
        <w:left w:val="none" w:sz="0" w:space="0" w:color="auto"/>
        <w:bottom w:val="none" w:sz="0" w:space="0" w:color="auto"/>
        <w:right w:val="none" w:sz="0" w:space="0" w:color="auto"/>
      </w:divBdr>
    </w:div>
    <w:div w:id="1082994094">
      <w:bodyDiv w:val="1"/>
      <w:marLeft w:val="0"/>
      <w:marRight w:val="0"/>
      <w:marTop w:val="0"/>
      <w:marBottom w:val="0"/>
      <w:divBdr>
        <w:top w:val="none" w:sz="0" w:space="0" w:color="auto"/>
        <w:left w:val="none" w:sz="0" w:space="0" w:color="auto"/>
        <w:bottom w:val="none" w:sz="0" w:space="0" w:color="auto"/>
        <w:right w:val="none" w:sz="0" w:space="0" w:color="auto"/>
      </w:divBdr>
    </w:div>
    <w:div w:id="1099985252">
      <w:bodyDiv w:val="1"/>
      <w:marLeft w:val="0"/>
      <w:marRight w:val="0"/>
      <w:marTop w:val="0"/>
      <w:marBottom w:val="0"/>
      <w:divBdr>
        <w:top w:val="none" w:sz="0" w:space="0" w:color="auto"/>
        <w:left w:val="none" w:sz="0" w:space="0" w:color="auto"/>
        <w:bottom w:val="none" w:sz="0" w:space="0" w:color="auto"/>
        <w:right w:val="none" w:sz="0" w:space="0" w:color="auto"/>
      </w:divBdr>
    </w:div>
    <w:div w:id="1108700403">
      <w:bodyDiv w:val="1"/>
      <w:marLeft w:val="0"/>
      <w:marRight w:val="0"/>
      <w:marTop w:val="0"/>
      <w:marBottom w:val="0"/>
      <w:divBdr>
        <w:top w:val="none" w:sz="0" w:space="0" w:color="auto"/>
        <w:left w:val="none" w:sz="0" w:space="0" w:color="auto"/>
        <w:bottom w:val="none" w:sz="0" w:space="0" w:color="auto"/>
        <w:right w:val="none" w:sz="0" w:space="0" w:color="auto"/>
      </w:divBdr>
    </w:div>
    <w:div w:id="1119841790">
      <w:bodyDiv w:val="1"/>
      <w:marLeft w:val="0"/>
      <w:marRight w:val="0"/>
      <w:marTop w:val="0"/>
      <w:marBottom w:val="0"/>
      <w:divBdr>
        <w:top w:val="none" w:sz="0" w:space="0" w:color="auto"/>
        <w:left w:val="none" w:sz="0" w:space="0" w:color="auto"/>
        <w:bottom w:val="none" w:sz="0" w:space="0" w:color="auto"/>
        <w:right w:val="none" w:sz="0" w:space="0" w:color="auto"/>
      </w:divBdr>
    </w:div>
    <w:div w:id="1120345138">
      <w:bodyDiv w:val="1"/>
      <w:marLeft w:val="0"/>
      <w:marRight w:val="0"/>
      <w:marTop w:val="0"/>
      <w:marBottom w:val="0"/>
      <w:divBdr>
        <w:top w:val="none" w:sz="0" w:space="0" w:color="auto"/>
        <w:left w:val="none" w:sz="0" w:space="0" w:color="auto"/>
        <w:bottom w:val="none" w:sz="0" w:space="0" w:color="auto"/>
        <w:right w:val="none" w:sz="0" w:space="0" w:color="auto"/>
      </w:divBdr>
    </w:div>
    <w:div w:id="1120758216">
      <w:bodyDiv w:val="1"/>
      <w:marLeft w:val="0"/>
      <w:marRight w:val="0"/>
      <w:marTop w:val="0"/>
      <w:marBottom w:val="0"/>
      <w:divBdr>
        <w:top w:val="none" w:sz="0" w:space="0" w:color="auto"/>
        <w:left w:val="none" w:sz="0" w:space="0" w:color="auto"/>
        <w:bottom w:val="none" w:sz="0" w:space="0" w:color="auto"/>
        <w:right w:val="none" w:sz="0" w:space="0" w:color="auto"/>
      </w:divBdr>
    </w:div>
    <w:div w:id="1130049720">
      <w:bodyDiv w:val="1"/>
      <w:marLeft w:val="0"/>
      <w:marRight w:val="0"/>
      <w:marTop w:val="0"/>
      <w:marBottom w:val="0"/>
      <w:divBdr>
        <w:top w:val="none" w:sz="0" w:space="0" w:color="auto"/>
        <w:left w:val="none" w:sz="0" w:space="0" w:color="auto"/>
        <w:bottom w:val="none" w:sz="0" w:space="0" w:color="auto"/>
        <w:right w:val="none" w:sz="0" w:space="0" w:color="auto"/>
      </w:divBdr>
    </w:div>
    <w:div w:id="1132016167">
      <w:bodyDiv w:val="1"/>
      <w:marLeft w:val="0"/>
      <w:marRight w:val="0"/>
      <w:marTop w:val="0"/>
      <w:marBottom w:val="0"/>
      <w:divBdr>
        <w:top w:val="none" w:sz="0" w:space="0" w:color="auto"/>
        <w:left w:val="none" w:sz="0" w:space="0" w:color="auto"/>
        <w:bottom w:val="none" w:sz="0" w:space="0" w:color="auto"/>
        <w:right w:val="none" w:sz="0" w:space="0" w:color="auto"/>
      </w:divBdr>
    </w:div>
    <w:div w:id="1212032825">
      <w:bodyDiv w:val="1"/>
      <w:marLeft w:val="0"/>
      <w:marRight w:val="0"/>
      <w:marTop w:val="0"/>
      <w:marBottom w:val="0"/>
      <w:divBdr>
        <w:top w:val="none" w:sz="0" w:space="0" w:color="auto"/>
        <w:left w:val="none" w:sz="0" w:space="0" w:color="auto"/>
        <w:bottom w:val="none" w:sz="0" w:space="0" w:color="auto"/>
        <w:right w:val="none" w:sz="0" w:space="0" w:color="auto"/>
      </w:divBdr>
    </w:div>
    <w:div w:id="1215506243">
      <w:bodyDiv w:val="1"/>
      <w:marLeft w:val="0"/>
      <w:marRight w:val="0"/>
      <w:marTop w:val="0"/>
      <w:marBottom w:val="0"/>
      <w:divBdr>
        <w:top w:val="none" w:sz="0" w:space="0" w:color="auto"/>
        <w:left w:val="none" w:sz="0" w:space="0" w:color="auto"/>
        <w:bottom w:val="none" w:sz="0" w:space="0" w:color="auto"/>
        <w:right w:val="none" w:sz="0" w:space="0" w:color="auto"/>
      </w:divBdr>
      <w:divsChild>
        <w:div w:id="1621107443">
          <w:marLeft w:val="360"/>
          <w:marRight w:val="0"/>
          <w:marTop w:val="0"/>
          <w:marBottom w:val="0"/>
          <w:divBdr>
            <w:top w:val="none" w:sz="0" w:space="0" w:color="auto"/>
            <w:left w:val="none" w:sz="0" w:space="0" w:color="auto"/>
            <w:bottom w:val="none" w:sz="0" w:space="0" w:color="auto"/>
            <w:right w:val="none" w:sz="0" w:space="0" w:color="auto"/>
          </w:divBdr>
        </w:div>
      </w:divsChild>
    </w:div>
    <w:div w:id="1225605789">
      <w:bodyDiv w:val="1"/>
      <w:marLeft w:val="0"/>
      <w:marRight w:val="0"/>
      <w:marTop w:val="0"/>
      <w:marBottom w:val="0"/>
      <w:divBdr>
        <w:top w:val="none" w:sz="0" w:space="0" w:color="auto"/>
        <w:left w:val="none" w:sz="0" w:space="0" w:color="auto"/>
        <w:bottom w:val="none" w:sz="0" w:space="0" w:color="auto"/>
        <w:right w:val="none" w:sz="0" w:space="0" w:color="auto"/>
      </w:divBdr>
    </w:div>
    <w:div w:id="1252620425">
      <w:bodyDiv w:val="1"/>
      <w:marLeft w:val="0"/>
      <w:marRight w:val="0"/>
      <w:marTop w:val="0"/>
      <w:marBottom w:val="0"/>
      <w:divBdr>
        <w:top w:val="none" w:sz="0" w:space="0" w:color="auto"/>
        <w:left w:val="none" w:sz="0" w:space="0" w:color="auto"/>
        <w:bottom w:val="none" w:sz="0" w:space="0" w:color="auto"/>
        <w:right w:val="none" w:sz="0" w:space="0" w:color="auto"/>
      </w:divBdr>
      <w:divsChild>
        <w:div w:id="2101245504">
          <w:marLeft w:val="360"/>
          <w:marRight w:val="0"/>
          <w:marTop w:val="0"/>
          <w:marBottom w:val="0"/>
          <w:divBdr>
            <w:top w:val="none" w:sz="0" w:space="0" w:color="auto"/>
            <w:left w:val="none" w:sz="0" w:space="0" w:color="auto"/>
            <w:bottom w:val="none" w:sz="0" w:space="0" w:color="auto"/>
            <w:right w:val="none" w:sz="0" w:space="0" w:color="auto"/>
          </w:divBdr>
        </w:div>
        <w:div w:id="226382593">
          <w:marLeft w:val="360"/>
          <w:marRight w:val="0"/>
          <w:marTop w:val="0"/>
          <w:marBottom w:val="0"/>
          <w:divBdr>
            <w:top w:val="none" w:sz="0" w:space="0" w:color="auto"/>
            <w:left w:val="none" w:sz="0" w:space="0" w:color="auto"/>
            <w:bottom w:val="none" w:sz="0" w:space="0" w:color="auto"/>
            <w:right w:val="none" w:sz="0" w:space="0" w:color="auto"/>
          </w:divBdr>
        </w:div>
        <w:div w:id="1642229786">
          <w:marLeft w:val="360"/>
          <w:marRight w:val="0"/>
          <w:marTop w:val="0"/>
          <w:marBottom w:val="0"/>
          <w:divBdr>
            <w:top w:val="none" w:sz="0" w:space="0" w:color="auto"/>
            <w:left w:val="none" w:sz="0" w:space="0" w:color="auto"/>
            <w:bottom w:val="none" w:sz="0" w:space="0" w:color="auto"/>
            <w:right w:val="none" w:sz="0" w:space="0" w:color="auto"/>
          </w:divBdr>
        </w:div>
      </w:divsChild>
    </w:div>
    <w:div w:id="1254783971">
      <w:bodyDiv w:val="1"/>
      <w:marLeft w:val="0"/>
      <w:marRight w:val="0"/>
      <w:marTop w:val="0"/>
      <w:marBottom w:val="0"/>
      <w:divBdr>
        <w:top w:val="none" w:sz="0" w:space="0" w:color="auto"/>
        <w:left w:val="none" w:sz="0" w:space="0" w:color="auto"/>
        <w:bottom w:val="none" w:sz="0" w:space="0" w:color="auto"/>
        <w:right w:val="none" w:sz="0" w:space="0" w:color="auto"/>
      </w:divBdr>
    </w:div>
    <w:div w:id="1262108480">
      <w:bodyDiv w:val="1"/>
      <w:marLeft w:val="0"/>
      <w:marRight w:val="0"/>
      <w:marTop w:val="0"/>
      <w:marBottom w:val="0"/>
      <w:divBdr>
        <w:top w:val="none" w:sz="0" w:space="0" w:color="auto"/>
        <w:left w:val="none" w:sz="0" w:space="0" w:color="auto"/>
        <w:bottom w:val="none" w:sz="0" w:space="0" w:color="auto"/>
        <w:right w:val="none" w:sz="0" w:space="0" w:color="auto"/>
      </w:divBdr>
    </w:div>
    <w:div w:id="1264462903">
      <w:bodyDiv w:val="1"/>
      <w:marLeft w:val="0"/>
      <w:marRight w:val="0"/>
      <w:marTop w:val="0"/>
      <w:marBottom w:val="0"/>
      <w:divBdr>
        <w:top w:val="none" w:sz="0" w:space="0" w:color="auto"/>
        <w:left w:val="none" w:sz="0" w:space="0" w:color="auto"/>
        <w:bottom w:val="none" w:sz="0" w:space="0" w:color="auto"/>
        <w:right w:val="none" w:sz="0" w:space="0" w:color="auto"/>
      </w:divBdr>
    </w:div>
    <w:div w:id="1266229393">
      <w:bodyDiv w:val="1"/>
      <w:marLeft w:val="0"/>
      <w:marRight w:val="0"/>
      <w:marTop w:val="0"/>
      <w:marBottom w:val="0"/>
      <w:divBdr>
        <w:top w:val="none" w:sz="0" w:space="0" w:color="auto"/>
        <w:left w:val="none" w:sz="0" w:space="0" w:color="auto"/>
        <w:bottom w:val="none" w:sz="0" w:space="0" w:color="auto"/>
        <w:right w:val="none" w:sz="0" w:space="0" w:color="auto"/>
      </w:divBdr>
    </w:div>
    <w:div w:id="1281375903">
      <w:bodyDiv w:val="1"/>
      <w:marLeft w:val="0"/>
      <w:marRight w:val="0"/>
      <w:marTop w:val="0"/>
      <w:marBottom w:val="0"/>
      <w:divBdr>
        <w:top w:val="none" w:sz="0" w:space="0" w:color="auto"/>
        <w:left w:val="none" w:sz="0" w:space="0" w:color="auto"/>
        <w:bottom w:val="none" w:sz="0" w:space="0" w:color="auto"/>
        <w:right w:val="none" w:sz="0" w:space="0" w:color="auto"/>
      </w:divBdr>
    </w:div>
    <w:div w:id="1288780829">
      <w:bodyDiv w:val="1"/>
      <w:marLeft w:val="0"/>
      <w:marRight w:val="0"/>
      <w:marTop w:val="0"/>
      <w:marBottom w:val="0"/>
      <w:divBdr>
        <w:top w:val="none" w:sz="0" w:space="0" w:color="auto"/>
        <w:left w:val="none" w:sz="0" w:space="0" w:color="auto"/>
        <w:bottom w:val="none" w:sz="0" w:space="0" w:color="auto"/>
        <w:right w:val="none" w:sz="0" w:space="0" w:color="auto"/>
      </w:divBdr>
    </w:div>
    <w:div w:id="1310549424">
      <w:bodyDiv w:val="1"/>
      <w:marLeft w:val="0"/>
      <w:marRight w:val="0"/>
      <w:marTop w:val="0"/>
      <w:marBottom w:val="0"/>
      <w:divBdr>
        <w:top w:val="none" w:sz="0" w:space="0" w:color="auto"/>
        <w:left w:val="none" w:sz="0" w:space="0" w:color="auto"/>
        <w:bottom w:val="none" w:sz="0" w:space="0" w:color="auto"/>
        <w:right w:val="none" w:sz="0" w:space="0" w:color="auto"/>
      </w:divBdr>
    </w:div>
    <w:div w:id="1312248431">
      <w:bodyDiv w:val="1"/>
      <w:marLeft w:val="0"/>
      <w:marRight w:val="0"/>
      <w:marTop w:val="0"/>
      <w:marBottom w:val="0"/>
      <w:divBdr>
        <w:top w:val="none" w:sz="0" w:space="0" w:color="auto"/>
        <w:left w:val="none" w:sz="0" w:space="0" w:color="auto"/>
        <w:bottom w:val="none" w:sz="0" w:space="0" w:color="auto"/>
        <w:right w:val="none" w:sz="0" w:space="0" w:color="auto"/>
      </w:divBdr>
    </w:div>
    <w:div w:id="1327630456">
      <w:bodyDiv w:val="1"/>
      <w:marLeft w:val="0"/>
      <w:marRight w:val="0"/>
      <w:marTop w:val="0"/>
      <w:marBottom w:val="0"/>
      <w:divBdr>
        <w:top w:val="none" w:sz="0" w:space="0" w:color="auto"/>
        <w:left w:val="none" w:sz="0" w:space="0" w:color="auto"/>
        <w:bottom w:val="none" w:sz="0" w:space="0" w:color="auto"/>
        <w:right w:val="none" w:sz="0" w:space="0" w:color="auto"/>
      </w:divBdr>
    </w:div>
    <w:div w:id="1337343866">
      <w:bodyDiv w:val="1"/>
      <w:marLeft w:val="0"/>
      <w:marRight w:val="0"/>
      <w:marTop w:val="0"/>
      <w:marBottom w:val="0"/>
      <w:divBdr>
        <w:top w:val="none" w:sz="0" w:space="0" w:color="auto"/>
        <w:left w:val="none" w:sz="0" w:space="0" w:color="auto"/>
        <w:bottom w:val="none" w:sz="0" w:space="0" w:color="auto"/>
        <w:right w:val="none" w:sz="0" w:space="0" w:color="auto"/>
      </w:divBdr>
    </w:div>
    <w:div w:id="1346321547">
      <w:bodyDiv w:val="1"/>
      <w:marLeft w:val="0"/>
      <w:marRight w:val="0"/>
      <w:marTop w:val="0"/>
      <w:marBottom w:val="0"/>
      <w:divBdr>
        <w:top w:val="none" w:sz="0" w:space="0" w:color="auto"/>
        <w:left w:val="none" w:sz="0" w:space="0" w:color="auto"/>
        <w:bottom w:val="none" w:sz="0" w:space="0" w:color="auto"/>
        <w:right w:val="none" w:sz="0" w:space="0" w:color="auto"/>
      </w:divBdr>
    </w:div>
    <w:div w:id="1361390897">
      <w:bodyDiv w:val="1"/>
      <w:marLeft w:val="0"/>
      <w:marRight w:val="0"/>
      <w:marTop w:val="0"/>
      <w:marBottom w:val="0"/>
      <w:divBdr>
        <w:top w:val="none" w:sz="0" w:space="0" w:color="auto"/>
        <w:left w:val="none" w:sz="0" w:space="0" w:color="auto"/>
        <w:bottom w:val="none" w:sz="0" w:space="0" w:color="auto"/>
        <w:right w:val="none" w:sz="0" w:space="0" w:color="auto"/>
      </w:divBdr>
    </w:div>
    <w:div w:id="1379548040">
      <w:bodyDiv w:val="1"/>
      <w:marLeft w:val="0"/>
      <w:marRight w:val="0"/>
      <w:marTop w:val="0"/>
      <w:marBottom w:val="0"/>
      <w:divBdr>
        <w:top w:val="none" w:sz="0" w:space="0" w:color="auto"/>
        <w:left w:val="none" w:sz="0" w:space="0" w:color="auto"/>
        <w:bottom w:val="none" w:sz="0" w:space="0" w:color="auto"/>
        <w:right w:val="none" w:sz="0" w:space="0" w:color="auto"/>
      </w:divBdr>
    </w:div>
    <w:div w:id="1403984509">
      <w:bodyDiv w:val="1"/>
      <w:marLeft w:val="0"/>
      <w:marRight w:val="0"/>
      <w:marTop w:val="0"/>
      <w:marBottom w:val="0"/>
      <w:divBdr>
        <w:top w:val="none" w:sz="0" w:space="0" w:color="auto"/>
        <w:left w:val="none" w:sz="0" w:space="0" w:color="auto"/>
        <w:bottom w:val="none" w:sz="0" w:space="0" w:color="auto"/>
        <w:right w:val="none" w:sz="0" w:space="0" w:color="auto"/>
      </w:divBdr>
    </w:div>
    <w:div w:id="1415667085">
      <w:bodyDiv w:val="1"/>
      <w:marLeft w:val="0"/>
      <w:marRight w:val="0"/>
      <w:marTop w:val="0"/>
      <w:marBottom w:val="0"/>
      <w:divBdr>
        <w:top w:val="none" w:sz="0" w:space="0" w:color="auto"/>
        <w:left w:val="none" w:sz="0" w:space="0" w:color="auto"/>
        <w:bottom w:val="none" w:sz="0" w:space="0" w:color="auto"/>
        <w:right w:val="none" w:sz="0" w:space="0" w:color="auto"/>
      </w:divBdr>
    </w:div>
    <w:div w:id="1427001414">
      <w:bodyDiv w:val="1"/>
      <w:marLeft w:val="0"/>
      <w:marRight w:val="0"/>
      <w:marTop w:val="0"/>
      <w:marBottom w:val="0"/>
      <w:divBdr>
        <w:top w:val="none" w:sz="0" w:space="0" w:color="auto"/>
        <w:left w:val="none" w:sz="0" w:space="0" w:color="auto"/>
        <w:bottom w:val="none" w:sz="0" w:space="0" w:color="auto"/>
        <w:right w:val="none" w:sz="0" w:space="0" w:color="auto"/>
      </w:divBdr>
      <w:divsChild>
        <w:div w:id="1528174863">
          <w:marLeft w:val="360"/>
          <w:marRight w:val="0"/>
          <w:marTop w:val="0"/>
          <w:marBottom w:val="0"/>
          <w:divBdr>
            <w:top w:val="none" w:sz="0" w:space="0" w:color="auto"/>
            <w:left w:val="none" w:sz="0" w:space="0" w:color="auto"/>
            <w:bottom w:val="none" w:sz="0" w:space="0" w:color="auto"/>
            <w:right w:val="none" w:sz="0" w:space="0" w:color="auto"/>
          </w:divBdr>
        </w:div>
        <w:div w:id="177931261">
          <w:marLeft w:val="360"/>
          <w:marRight w:val="0"/>
          <w:marTop w:val="0"/>
          <w:marBottom w:val="0"/>
          <w:divBdr>
            <w:top w:val="none" w:sz="0" w:space="0" w:color="auto"/>
            <w:left w:val="none" w:sz="0" w:space="0" w:color="auto"/>
            <w:bottom w:val="none" w:sz="0" w:space="0" w:color="auto"/>
            <w:right w:val="none" w:sz="0" w:space="0" w:color="auto"/>
          </w:divBdr>
        </w:div>
        <w:div w:id="340468670">
          <w:marLeft w:val="360"/>
          <w:marRight w:val="0"/>
          <w:marTop w:val="0"/>
          <w:marBottom w:val="0"/>
          <w:divBdr>
            <w:top w:val="none" w:sz="0" w:space="0" w:color="auto"/>
            <w:left w:val="none" w:sz="0" w:space="0" w:color="auto"/>
            <w:bottom w:val="none" w:sz="0" w:space="0" w:color="auto"/>
            <w:right w:val="none" w:sz="0" w:space="0" w:color="auto"/>
          </w:divBdr>
        </w:div>
      </w:divsChild>
    </w:div>
    <w:div w:id="1430126724">
      <w:bodyDiv w:val="1"/>
      <w:marLeft w:val="0"/>
      <w:marRight w:val="0"/>
      <w:marTop w:val="0"/>
      <w:marBottom w:val="0"/>
      <w:divBdr>
        <w:top w:val="none" w:sz="0" w:space="0" w:color="auto"/>
        <w:left w:val="none" w:sz="0" w:space="0" w:color="auto"/>
        <w:bottom w:val="none" w:sz="0" w:space="0" w:color="auto"/>
        <w:right w:val="none" w:sz="0" w:space="0" w:color="auto"/>
      </w:divBdr>
    </w:div>
    <w:div w:id="1447458213">
      <w:bodyDiv w:val="1"/>
      <w:marLeft w:val="0"/>
      <w:marRight w:val="0"/>
      <w:marTop w:val="0"/>
      <w:marBottom w:val="0"/>
      <w:divBdr>
        <w:top w:val="none" w:sz="0" w:space="0" w:color="auto"/>
        <w:left w:val="none" w:sz="0" w:space="0" w:color="auto"/>
        <w:bottom w:val="none" w:sz="0" w:space="0" w:color="auto"/>
        <w:right w:val="none" w:sz="0" w:space="0" w:color="auto"/>
      </w:divBdr>
    </w:div>
    <w:div w:id="1457603045">
      <w:bodyDiv w:val="1"/>
      <w:marLeft w:val="0"/>
      <w:marRight w:val="0"/>
      <w:marTop w:val="0"/>
      <w:marBottom w:val="0"/>
      <w:divBdr>
        <w:top w:val="none" w:sz="0" w:space="0" w:color="auto"/>
        <w:left w:val="none" w:sz="0" w:space="0" w:color="auto"/>
        <w:bottom w:val="none" w:sz="0" w:space="0" w:color="auto"/>
        <w:right w:val="none" w:sz="0" w:space="0" w:color="auto"/>
      </w:divBdr>
    </w:div>
    <w:div w:id="1472207700">
      <w:bodyDiv w:val="1"/>
      <w:marLeft w:val="0"/>
      <w:marRight w:val="0"/>
      <w:marTop w:val="0"/>
      <w:marBottom w:val="0"/>
      <w:divBdr>
        <w:top w:val="none" w:sz="0" w:space="0" w:color="auto"/>
        <w:left w:val="none" w:sz="0" w:space="0" w:color="auto"/>
        <w:bottom w:val="none" w:sz="0" w:space="0" w:color="auto"/>
        <w:right w:val="none" w:sz="0" w:space="0" w:color="auto"/>
      </w:divBdr>
    </w:div>
    <w:div w:id="1475098333">
      <w:bodyDiv w:val="1"/>
      <w:marLeft w:val="0"/>
      <w:marRight w:val="0"/>
      <w:marTop w:val="0"/>
      <w:marBottom w:val="0"/>
      <w:divBdr>
        <w:top w:val="none" w:sz="0" w:space="0" w:color="auto"/>
        <w:left w:val="none" w:sz="0" w:space="0" w:color="auto"/>
        <w:bottom w:val="none" w:sz="0" w:space="0" w:color="auto"/>
        <w:right w:val="none" w:sz="0" w:space="0" w:color="auto"/>
      </w:divBdr>
    </w:div>
    <w:div w:id="1479689880">
      <w:bodyDiv w:val="1"/>
      <w:marLeft w:val="0"/>
      <w:marRight w:val="0"/>
      <w:marTop w:val="0"/>
      <w:marBottom w:val="0"/>
      <w:divBdr>
        <w:top w:val="none" w:sz="0" w:space="0" w:color="auto"/>
        <w:left w:val="none" w:sz="0" w:space="0" w:color="auto"/>
        <w:bottom w:val="none" w:sz="0" w:space="0" w:color="auto"/>
        <w:right w:val="none" w:sz="0" w:space="0" w:color="auto"/>
      </w:divBdr>
    </w:div>
    <w:div w:id="1485126043">
      <w:bodyDiv w:val="1"/>
      <w:marLeft w:val="0"/>
      <w:marRight w:val="0"/>
      <w:marTop w:val="0"/>
      <w:marBottom w:val="0"/>
      <w:divBdr>
        <w:top w:val="none" w:sz="0" w:space="0" w:color="auto"/>
        <w:left w:val="none" w:sz="0" w:space="0" w:color="auto"/>
        <w:bottom w:val="none" w:sz="0" w:space="0" w:color="auto"/>
        <w:right w:val="none" w:sz="0" w:space="0" w:color="auto"/>
      </w:divBdr>
    </w:div>
    <w:div w:id="1495954053">
      <w:bodyDiv w:val="1"/>
      <w:marLeft w:val="0"/>
      <w:marRight w:val="0"/>
      <w:marTop w:val="0"/>
      <w:marBottom w:val="0"/>
      <w:divBdr>
        <w:top w:val="none" w:sz="0" w:space="0" w:color="auto"/>
        <w:left w:val="none" w:sz="0" w:space="0" w:color="auto"/>
        <w:bottom w:val="none" w:sz="0" w:space="0" w:color="auto"/>
        <w:right w:val="none" w:sz="0" w:space="0" w:color="auto"/>
      </w:divBdr>
    </w:div>
    <w:div w:id="1498110639">
      <w:bodyDiv w:val="1"/>
      <w:marLeft w:val="0"/>
      <w:marRight w:val="0"/>
      <w:marTop w:val="0"/>
      <w:marBottom w:val="0"/>
      <w:divBdr>
        <w:top w:val="none" w:sz="0" w:space="0" w:color="auto"/>
        <w:left w:val="none" w:sz="0" w:space="0" w:color="auto"/>
        <w:bottom w:val="none" w:sz="0" w:space="0" w:color="auto"/>
        <w:right w:val="none" w:sz="0" w:space="0" w:color="auto"/>
      </w:divBdr>
    </w:div>
    <w:div w:id="1505172335">
      <w:bodyDiv w:val="1"/>
      <w:marLeft w:val="0"/>
      <w:marRight w:val="0"/>
      <w:marTop w:val="0"/>
      <w:marBottom w:val="0"/>
      <w:divBdr>
        <w:top w:val="none" w:sz="0" w:space="0" w:color="auto"/>
        <w:left w:val="none" w:sz="0" w:space="0" w:color="auto"/>
        <w:bottom w:val="none" w:sz="0" w:space="0" w:color="auto"/>
        <w:right w:val="none" w:sz="0" w:space="0" w:color="auto"/>
      </w:divBdr>
      <w:divsChild>
        <w:div w:id="768281399">
          <w:marLeft w:val="547"/>
          <w:marRight w:val="0"/>
          <w:marTop w:val="58"/>
          <w:marBottom w:val="0"/>
          <w:divBdr>
            <w:top w:val="none" w:sz="0" w:space="0" w:color="auto"/>
            <w:left w:val="none" w:sz="0" w:space="0" w:color="auto"/>
            <w:bottom w:val="none" w:sz="0" w:space="0" w:color="auto"/>
            <w:right w:val="none" w:sz="0" w:space="0" w:color="auto"/>
          </w:divBdr>
        </w:div>
        <w:div w:id="1142691787">
          <w:marLeft w:val="547"/>
          <w:marRight w:val="0"/>
          <w:marTop w:val="58"/>
          <w:marBottom w:val="0"/>
          <w:divBdr>
            <w:top w:val="none" w:sz="0" w:space="0" w:color="auto"/>
            <w:left w:val="none" w:sz="0" w:space="0" w:color="auto"/>
            <w:bottom w:val="none" w:sz="0" w:space="0" w:color="auto"/>
            <w:right w:val="none" w:sz="0" w:space="0" w:color="auto"/>
          </w:divBdr>
        </w:div>
        <w:div w:id="1306811925">
          <w:marLeft w:val="547"/>
          <w:marRight w:val="0"/>
          <w:marTop w:val="58"/>
          <w:marBottom w:val="0"/>
          <w:divBdr>
            <w:top w:val="none" w:sz="0" w:space="0" w:color="auto"/>
            <w:left w:val="none" w:sz="0" w:space="0" w:color="auto"/>
            <w:bottom w:val="none" w:sz="0" w:space="0" w:color="auto"/>
            <w:right w:val="none" w:sz="0" w:space="0" w:color="auto"/>
          </w:divBdr>
        </w:div>
        <w:div w:id="667906315">
          <w:marLeft w:val="547"/>
          <w:marRight w:val="0"/>
          <w:marTop w:val="58"/>
          <w:marBottom w:val="0"/>
          <w:divBdr>
            <w:top w:val="none" w:sz="0" w:space="0" w:color="auto"/>
            <w:left w:val="none" w:sz="0" w:space="0" w:color="auto"/>
            <w:bottom w:val="none" w:sz="0" w:space="0" w:color="auto"/>
            <w:right w:val="none" w:sz="0" w:space="0" w:color="auto"/>
          </w:divBdr>
        </w:div>
        <w:div w:id="1202935282">
          <w:marLeft w:val="547"/>
          <w:marRight w:val="0"/>
          <w:marTop w:val="58"/>
          <w:marBottom w:val="0"/>
          <w:divBdr>
            <w:top w:val="none" w:sz="0" w:space="0" w:color="auto"/>
            <w:left w:val="none" w:sz="0" w:space="0" w:color="auto"/>
            <w:bottom w:val="none" w:sz="0" w:space="0" w:color="auto"/>
            <w:right w:val="none" w:sz="0" w:space="0" w:color="auto"/>
          </w:divBdr>
        </w:div>
        <w:div w:id="175996467">
          <w:marLeft w:val="547"/>
          <w:marRight w:val="0"/>
          <w:marTop w:val="58"/>
          <w:marBottom w:val="0"/>
          <w:divBdr>
            <w:top w:val="none" w:sz="0" w:space="0" w:color="auto"/>
            <w:left w:val="none" w:sz="0" w:space="0" w:color="auto"/>
            <w:bottom w:val="none" w:sz="0" w:space="0" w:color="auto"/>
            <w:right w:val="none" w:sz="0" w:space="0" w:color="auto"/>
          </w:divBdr>
        </w:div>
        <w:div w:id="1451902273">
          <w:marLeft w:val="547"/>
          <w:marRight w:val="0"/>
          <w:marTop w:val="58"/>
          <w:marBottom w:val="0"/>
          <w:divBdr>
            <w:top w:val="none" w:sz="0" w:space="0" w:color="auto"/>
            <w:left w:val="none" w:sz="0" w:space="0" w:color="auto"/>
            <w:bottom w:val="none" w:sz="0" w:space="0" w:color="auto"/>
            <w:right w:val="none" w:sz="0" w:space="0" w:color="auto"/>
          </w:divBdr>
        </w:div>
      </w:divsChild>
    </w:div>
    <w:div w:id="1527870114">
      <w:bodyDiv w:val="1"/>
      <w:marLeft w:val="0"/>
      <w:marRight w:val="0"/>
      <w:marTop w:val="0"/>
      <w:marBottom w:val="0"/>
      <w:divBdr>
        <w:top w:val="none" w:sz="0" w:space="0" w:color="auto"/>
        <w:left w:val="none" w:sz="0" w:space="0" w:color="auto"/>
        <w:bottom w:val="none" w:sz="0" w:space="0" w:color="auto"/>
        <w:right w:val="none" w:sz="0" w:space="0" w:color="auto"/>
      </w:divBdr>
    </w:div>
    <w:div w:id="1534732496">
      <w:bodyDiv w:val="1"/>
      <w:marLeft w:val="0"/>
      <w:marRight w:val="0"/>
      <w:marTop w:val="0"/>
      <w:marBottom w:val="0"/>
      <w:divBdr>
        <w:top w:val="none" w:sz="0" w:space="0" w:color="auto"/>
        <w:left w:val="none" w:sz="0" w:space="0" w:color="auto"/>
        <w:bottom w:val="none" w:sz="0" w:space="0" w:color="auto"/>
        <w:right w:val="none" w:sz="0" w:space="0" w:color="auto"/>
      </w:divBdr>
    </w:div>
    <w:div w:id="1535848703">
      <w:bodyDiv w:val="1"/>
      <w:marLeft w:val="0"/>
      <w:marRight w:val="0"/>
      <w:marTop w:val="0"/>
      <w:marBottom w:val="0"/>
      <w:divBdr>
        <w:top w:val="none" w:sz="0" w:space="0" w:color="auto"/>
        <w:left w:val="none" w:sz="0" w:space="0" w:color="auto"/>
        <w:bottom w:val="none" w:sz="0" w:space="0" w:color="auto"/>
        <w:right w:val="none" w:sz="0" w:space="0" w:color="auto"/>
      </w:divBdr>
    </w:div>
    <w:div w:id="1536578449">
      <w:bodyDiv w:val="1"/>
      <w:marLeft w:val="0"/>
      <w:marRight w:val="0"/>
      <w:marTop w:val="0"/>
      <w:marBottom w:val="0"/>
      <w:divBdr>
        <w:top w:val="none" w:sz="0" w:space="0" w:color="auto"/>
        <w:left w:val="none" w:sz="0" w:space="0" w:color="auto"/>
        <w:bottom w:val="none" w:sz="0" w:space="0" w:color="auto"/>
        <w:right w:val="none" w:sz="0" w:space="0" w:color="auto"/>
      </w:divBdr>
    </w:div>
    <w:div w:id="1542591672">
      <w:bodyDiv w:val="1"/>
      <w:marLeft w:val="0"/>
      <w:marRight w:val="0"/>
      <w:marTop w:val="0"/>
      <w:marBottom w:val="0"/>
      <w:divBdr>
        <w:top w:val="none" w:sz="0" w:space="0" w:color="auto"/>
        <w:left w:val="none" w:sz="0" w:space="0" w:color="auto"/>
        <w:bottom w:val="none" w:sz="0" w:space="0" w:color="auto"/>
        <w:right w:val="none" w:sz="0" w:space="0" w:color="auto"/>
      </w:divBdr>
    </w:div>
    <w:div w:id="1546063580">
      <w:bodyDiv w:val="1"/>
      <w:marLeft w:val="0"/>
      <w:marRight w:val="0"/>
      <w:marTop w:val="0"/>
      <w:marBottom w:val="0"/>
      <w:divBdr>
        <w:top w:val="none" w:sz="0" w:space="0" w:color="auto"/>
        <w:left w:val="none" w:sz="0" w:space="0" w:color="auto"/>
        <w:bottom w:val="none" w:sz="0" w:space="0" w:color="auto"/>
        <w:right w:val="none" w:sz="0" w:space="0" w:color="auto"/>
      </w:divBdr>
    </w:div>
    <w:div w:id="1547372595">
      <w:bodyDiv w:val="1"/>
      <w:marLeft w:val="0"/>
      <w:marRight w:val="0"/>
      <w:marTop w:val="0"/>
      <w:marBottom w:val="0"/>
      <w:divBdr>
        <w:top w:val="none" w:sz="0" w:space="0" w:color="auto"/>
        <w:left w:val="none" w:sz="0" w:space="0" w:color="auto"/>
        <w:bottom w:val="none" w:sz="0" w:space="0" w:color="auto"/>
        <w:right w:val="none" w:sz="0" w:space="0" w:color="auto"/>
      </w:divBdr>
      <w:divsChild>
        <w:div w:id="1293754079">
          <w:marLeft w:val="360"/>
          <w:marRight w:val="0"/>
          <w:marTop w:val="0"/>
          <w:marBottom w:val="0"/>
          <w:divBdr>
            <w:top w:val="none" w:sz="0" w:space="0" w:color="auto"/>
            <w:left w:val="none" w:sz="0" w:space="0" w:color="auto"/>
            <w:bottom w:val="none" w:sz="0" w:space="0" w:color="auto"/>
            <w:right w:val="none" w:sz="0" w:space="0" w:color="auto"/>
          </w:divBdr>
        </w:div>
      </w:divsChild>
    </w:div>
    <w:div w:id="1550338514">
      <w:bodyDiv w:val="1"/>
      <w:marLeft w:val="0"/>
      <w:marRight w:val="0"/>
      <w:marTop w:val="0"/>
      <w:marBottom w:val="0"/>
      <w:divBdr>
        <w:top w:val="none" w:sz="0" w:space="0" w:color="auto"/>
        <w:left w:val="none" w:sz="0" w:space="0" w:color="auto"/>
        <w:bottom w:val="none" w:sz="0" w:space="0" w:color="auto"/>
        <w:right w:val="none" w:sz="0" w:space="0" w:color="auto"/>
      </w:divBdr>
      <w:divsChild>
        <w:div w:id="826556317">
          <w:marLeft w:val="1166"/>
          <w:marRight w:val="0"/>
          <w:marTop w:val="86"/>
          <w:marBottom w:val="0"/>
          <w:divBdr>
            <w:top w:val="none" w:sz="0" w:space="0" w:color="auto"/>
            <w:left w:val="none" w:sz="0" w:space="0" w:color="auto"/>
            <w:bottom w:val="none" w:sz="0" w:space="0" w:color="auto"/>
            <w:right w:val="none" w:sz="0" w:space="0" w:color="auto"/>
          </w:divBdr>
        </w:div>
        <w:div w:id="394162821">
          <w:marLeft w:val="1166"/>
          <w:marRight w:val="0"/>
          <w:marTop w:val="86"/>
          <w:marBottom w:val="0"/>
          <w:divBdr>
            <w:top w:val="none" w:sz="0" w:space="0" w:color="auto"/>
            <w:left w:val="none" w:sz="0" w:space="0" w:color="auto"/>
            <w:bottom w:val="none" w:sz="0" w:space="0" w:color="auto"/>
            <w:right w:val="none" w:sz="0" w:space="0" w:color="auto"/>
          </w:divBdr>
        </w:div>
        <w:div w:id="794911790">
          <w:marLeft w:val="1166"/>
          <w:marRight w:val="0"/>
          <w:marTop w:val="86"/>
          <w:marBottom w:val="0"/>
          <w:divBdr>
            <w:top w:val="none" w:sz="0" w:space="0" w:color="auto"/>
            <w:left w:val="none" w:sz="0" w:space="0" w:color="auto"/>
            <w:bottom w:val="none" w:sz="0" w:space="0" w:color="auto"/>
            <w:right w:val="none" w:sz="0" w:space="0" w:color="auto"/>
          </w:divBdr>
        </w:div>
        <w:div w:id="1435395507">
          <w:marLeft w:val="1166"/>
          <w:marRight w:val="0"/>
          <w:marTop w:val="86"/>
          <w:marBottom w:val="0"/>
          <w:divBdr>
            <w:top w:val="none" w:sz="0" w:space="0" w:color="auto"/>
            <w:left w:val="none" w:sz="0" w:space="0" w:color="auto"/>
            <w:bottom w:val="none" w:sz="0" w:space="0" w:color="auto"/>
            <w:right w:val="none" w:sz="0" w:space="0" w:color="auto"/>
          </w:divBdr>
        </w:div>
        <w:div w:id="1011957512">
          <w:marLeft w:val="1166"/>
          <w:marRight w:val="0"/>
          <w:marTop w:val="86"/>
          <w:marBottom w:val="0"/>
          <w:divBdr>
            <w:top w:val="none" w:sz="0" w:space="0" w:color="auto"/>
            <w:left w:val="none" w:sz="0" w:space="0" w:color="auto"/>
            <w:bottom w:val="none" w:sz="0" w:space="0" w:color="auto"/>
            <w:right w:val="none" w:sz="0" w:space="0" w:color="auto"/>
          </w:divBdr>
        </w:div>
        <w:div w:id="430008827">
          <w:marLeft w:val="1166"/>
          <w:marRight w:val="0"/>
          <w:marTop w:val="86"/>
          <w:marBottom w:val="0"/>
          <w:divBdr>
            <w:top w:val="none" w:sz="0" w:space="0" w:color="auto"/>
            <w:left w:val="none" w:sz="0" w:space="0" w:color="auto"/>
            <w:bottom w:val="none" w:sz="0" w:space="0" w:color="auto"/>
            <w:right w:val="none" w:sz="0" w:space="0" w:color="auto"/>
          </w:divBdr>
        </w:div>
        <w:div w:id="1938977105">
          <w:marLeft w:val="1166"/>
          <w:marRight w:val="0"/>
          <w:marTop w:val="86"/>
          <w:marBottom w:val="0"/>
          <w:divBdr>
            <w:top w:val="none" w:sz="0" w:space="0" w:color="auto"/>
            <w:left w:val="none" w:sz="0" w:space="0" w:color="auto"/>
            <w:bottom w:val="none" w:sz="0" w:space="0" w:color="auto"/>
            <w:right w:val="none" w:sz="0" w:space="0" w:color="auto"/>
          </w:divBdr>
        </w:div>
      </w:divsChild>
    </w:div>
    <w:div w:id="1558009921">
      <w:bodyDiv w:val="1"/>
      <w:marLeft w:val="0"/>
      <w:marRight w:val="0"/>
      <w:marTop w:val="0"/>
      <w:marBottom w:val="0"/>
      <w:divBdr>
        <w:top w:val="none" w:sz="0" w:space="0" w:color="auto"/>
        <w:left w:val="none" w:sz="0" w:space="0" w:color="auto"/>
        <w:bottom w:val="none" w:sz="0" w:space="0" w:color="auto"/>
        <w:right w:val="none" w:sz="0" w:space="0" w:color="auto"/>
      </w:divBdr>
    </w:div>
    <w:div w:id="1565945187">
      <w:bodyDiv w:val="1"/>
      <w:marLeft w:val="0"/>
      <w:marRight w:val="0"/>
      <w:marTop w:val="0"/>
      <w:marBottom w:val="0"/>
      <w:divBdr>
        <w:top w:val="none" w:sz="0" w:space="0" w:color="auto"/>
        <w:left w:val="none" w:sz="0" w:space="0" w:color="auto"/>
        <w:bottom w:val="none" w:sz="0" w:space="0" w:color="auto"/>
        <w:right w:val="none" w:sz="0" w:space="0" w:color="auto"/>
      </w:divBdr>
    </w:div>
    <w:div w:id="1574586881">
      <w:bodyDiv w:val="1"/>
      <w:marLeft w:val="0"/>
      <w:marRight w:val="0"/>
      <w:marTop w:val="0"/>
      <w:marBottom w:val="0"/>
      <w:divBdr>
        <w:top w:val="none" w:sz="0" w:space="0" w:color="auto"/>
        <w:left w:val="none" w:sz="0" w:space="0" w:color="auto"/>
        <w:bottom w:val="none" w:sz="0" w:space="0" w:color="auto"/>
        <w:right w:val="none" w:sz="0" w:space="0" w:color="auto"/>
      </w:divBdr>
    </w:div>
    <w:div w:id="1578132128">
      <w:bodyDiv w:val="1"/>
      <w:marLeft w:val="0"/>
      <w:marRight w:val="0"/>
      <w:marTop w:val="0"/>
      <w:marBottom w:val="0"/>
      <w:divBdr>
        <w:top w:val="none" w:sz="0" w:space="0" w:color="auto"/>
        <w:left w:val="none" w:sz="0" w:space="0" w:color="auto"/>
        <w:bottom w:val="none" w:sz="0" w:space="0" w:color="auto"/>
        <w:right w:val="none" w:sz="0" w:space="0" w:color="auto"/>
      </w:divBdr>
      <w:divsChild>
        <w:div w:id="44063937">
          <w:marLeft w:val="274"/>
          <w:marRight w:val="0"/>
          <w:marTop w:val="240"/>
          <w:marBottom w:val="0"/>
          <w:divBdr>
            <w:top w:val="none" w:sz="0" w:space="0" w:color="auto"/>
            <w:left w:val="none" w:sz="0" w:space="0" w:color="auto"/>
            <w:bottom w:val="none" w:sz="0" w:space="0" w:color="auto"/>
            <w:right w:val="none" w:sz="0" w:space="0" w:color="auto"/>
          </w:divBdr>
        </w:div>
        <w:div w:id="330718404">
          <w:marLeft w:val="274"/>
          <w:marRight w:val="0"/>
          <w:marTop w:val="240"/>
          <w:marBottom w:val="0"/>
          <w:divBdr>
            <w:top w:val="none" w:sz="0" w:space="0" w:color="auto"/>
            <w:left w:val="none" w:sz="0" w:space="0" w:color="auto"/>
            <w:bottom w:val="none" w:sz="0" w:space="0" w:color="auto"/>
            <w:right w:val="none" w:sz="0" w:space="0" w:color="auto"/>
          </w:divBdr>
        </w:div>
      </w:divsChild>
    </w:div>
    <w:div w:id="1583906307">
      <w:bodyDiv w:val="1"/>
      <w:marLeft w:val="0"/>
      <w:marRight w:val="0"/>
      <w:marTop w:val="0"/>
      <w:marBottom w:val="0"/>
      <w:divBdr>
        <w:top w:val="none" w:sz="0" w:space="0" w:color="auto"/>
        <w:left w:val="none" w:sz="0" w:space="0" w:color="auto"/>
        <w:bottom w:val="none" w:sz="0" w:space="0" w:color="auto"/>
        <w:right w:val="none" w:sz="0" w:space="0" w:color="auto"/>
      </w:divBdr>
    </w:div>
    <w:div w:id="1591505648">
      <w:bodyDiv w:val="1"/>
      <w:marLeft w:val="0"/>
      <w:marRight w:val="0"/>
      <w:marTop w:val="0"/>
      <w:marBottom w:val="0"/>
      <w:divBdr>
        <w:top w:val="none" w:sz="0" w:space="0" w:color="auto"/>
        <w:left w:val="none" w:sz="0" w:space="0" w:color="auto"/>
        <w:bottom w:val="none" w:sz="0" w:space="0" w:color="auto"/>
        <w:right w:val="none" w:sz="0" w:space="0" w:color="auto"/>
      </w:divBdr>
    </w:div>
    <w:div w:id="1600723584">
      <w:bodyDiv w:val="1"/>
      <w:marLeft w:val="0"/>
      <w:marRight w:val="0"/>
      <w:marTop w:val="0"/>
      <w:marBottom w:val="0"/>
      <w:divBdr>
        <w:top w:val="none" w:sz="0" w:space="0" w:color="auto"/>
        <w:left w:val="none" w:sz="0" w:space="0" w:color="auto"/>
        <w:bottom w:val="none" w:sz="0" w:space="0" w:color="auto"/>
        <w:right w:val="none" w:sz="0" w:space="0" w:color="auto"/>
      </w:divBdr>
    </w:div>
    <w:div w:id="1615210341">
      <w:bodyDiv w:val="1"/>
      <w:marLeft w:val="0"/>
      <w:marRight w:val="0"/>
      <w:marTop w:val="0"/>
      <w:marBottom w:val="0"/>
      <w:divBdr>
        <w:top w:val="none" w:sz="0" w:space="0" w:color="auto"/>
        <w:left w:val="none" w:sz="0" w:space="0" w:color="auto"/>
        <w:bottom w:val="none" w:sz="0" w:space="0" w:color="auto"/>
        <w:right w:val="none" w:sz="0" w:space="0" w:color="auto"/>
      </w:divBdr>
    </w:div>
    <w:div w:id="1618026190">
      <w:bodyDiv w:val="1"/>
      <w:marLeft w:val="0"/>
      <w:marRight w:val="0"/>
      <w:marTop w:val="0"/>
      <w:marBottom w:val="0"/>
      <w:divBdr>
        <w:top w:val="none" w:sz="0" w:space="0" w:color="auto"/>
        <w:left w:val="none" w:sz="0" w:space="0" w:color="auto"/>
        <w:bottom w:val="none" w:sz="0" w:space="0" w:color="auto"/>
        <w:right w:val="none" w:sz="0" w:space="0" w:color="auto"/>
      </w:divBdr>
    </w:div>
    <w:div w:id="1635671351">
      <w:bodyDiv w:val="1"/>
      <w:marLeft w:val="0"/>
      <w:marRight w:val="0"/>
      <w:marTop w:val="0"/>
      <w:marBottom w:val="0"/>
      <w:divBdr>
        <w:top w:val="none" w:sz="0" w:space="0" w:color="auto"/>
        <w:left w:val="none" w:sz="0" w:space="0" w:color="auto"/>
        <w:bottom w:val="none" w:sz="0" w:space="0" w:color="auto"/>
        <w:right w:val="none" w:sz="0" w:space="0" w:color="auto"/>
      </w:divBdr>
    </w:div>
    <w:div w:id="1645235682">
      <w:bodyDiv w:val="1"/>
      <w:marLeft w:val="0"/>
      <w:marRight w:val="0"/>
      <w:marTop w:val="0"/>
      <w:marBottom w:val="0"/>
      <w:divBdr>
        <w:top w:val="none" w:sz="0" w:space="0" w:color="auto"/>
        <w:left w:val="none" w:sz="0" w:space="0" w:color="auto"/>
        <w:bottom w:val="none" w:sz="0" w:space="0" w:color="auto"/>
        <w:right w:val="none" w:sz="0" w:space="0" w:color="auto"/>
      </w:divBdr>
    </w:div>
    <w:div w:id="1659920500">
      <w:bodyDiv w:val="1"/>
      <w:marLeft w:val="0"/>
      <w:marRight w:val="0"/>
      <w:marTop w:val="0"/>
      <w:marBottom w:val="0"/>
      <w:divBdr>
        <w:top w:val="none" w:sz="0" w:space="0" w:color="auto"/>
        <w:left w:val="none" w:sz="0" w:space="0" w:color="auto"/>
        <w:bottom w:val="none" w:sz="0" w:space="0" w:color="auto"/>
        <w:right w:val="none" w:sz="0" w:space="0" w:color="auto"/>
      </w:divBdr>
    </w:div>
    <w:div w:id="1676570196">
      <w:bodyDiv w:val="1"/>
      <w:marLeft w:val="0"/>
      <w:marRight w:val="0"/>
      <w:marTop w:val="0"/>
      <w:marBottom w:val="0"/>
      <w:divBdr>
        <w:top w:val="none" w:sz="0" w:space="0" w:color="auto"/>
        <w:left w:val="none" w:sz="0" w:space="0" w:color="auto"/>
        <w:bottom w:val="none" w:sz="0" w:space="0" w:color="auto"/>
        <w:right w:val="none" w:sz="0" w:space="0" w:color="auto"/>
      </w:divBdr>
    </w:div>
    <w:div w:id="1686011613">
      <w:bodyDiv w:val="1"/>
      <w:marLeft w:val="0"/>
      <w:marRight w:val="0"/>
      <w:marTop w:val="0"/>
      <w:marBottom w:val="0"/>
      <w:divBdr>
        <w:top w:val="none" w:sz="0" w:space="0" w:color="auto"/>
        <w:left w:val="none" w:sz="0" w:space="0" w:color="auto"/>
        <w:bottom w:val="none" w:sz="0" w:space="0" w:color="auto"/>
        <w:right w:val="none" w:sz="0" w:space="0" w:color="auto"/>
      </w:divBdr>
    </w:div>
    <w:div w:id="1688632605">
      <w:bodyDiv w:val="1"/>
      <w:marLeft w:val="0"/>
      <w:marRight w:val="0"/>
      <w:marTop w:val="0"/>
      <w:marBottom w:val="0"/>
      <w:divBdr>
        <w:top w:val="none" w:sz="0" w:space="0" w:color="auto"/>
        <w:left w:val="none" w:sz="0" w:space="0" w:color="auto"/>
        <w:bottom w:val="none" w:sz="0" w:space="0" w:color="auto"/>
        <w:right w:val="none" w:sz="0" w:space="0" w:color="auto"/>
      </w:divBdr>
    </w:div>
    <w:div w:id="1703357343">
      <w:bodyDiv w:val="1"/>
      <w:marLeft w:val="0"/>
      <w:marRight w:val="0"/>
      <w:marTop w:val="0"/>
      <w:marBottom w:val="0"/>
      <w:divBdr>
        <w:top w:val="none" w:sz="0" w:space="0" w:color="auto"/>
        <w:left w:val="none" w:sz="0" w:space="0" w:color="auto"/>
        <w:bottom w:val="none" w:sz="0" w:space="0" w:color="auto"/>
        <w:right w:val="none" w:sz="0" w:space="0" w:color="auto"/>
      </w:divBdr>
      <w:divsChild>
        <w:div w:id="1977291057">
          <w:marLeft w:val="547"/>
          <w:marRight w:val="0"/>
          <w:marTop w:val="67"/>
          <w:marBottom w:val="0"/>
          <w:divBdr>
            <w:top w:val="none" w:sz="0" w:space="0" w:color="auto"/>
            <w:left w:val="none" w:sz="0" w:space="0" w:color="auto"/>
            <w:bottom w:val="none" w:sz="0" w:space="0" w:color="auto"/>
            <w:right w:val="none" w:sz="0" w:space="0" w:color="auto"/>
          </w:divBdr>
        </w:div>
        <w:div w:id="1906836689">
          <w:marLeft w:val="547"/>
          <w:marRight w:val="0"/>
          <w:marTop w:val="67"/>
          <w:marBottom w:val="0"/>
          <w:divBdr>
            <w:top w:val="none" w:sz="0" w:space="0" w:color="auto"/>
            <w:left w:val="none" w:sz="0" w:space="0" w:color="auto"/>
            <w:bottom w:val="none" w:sz="0" w:space="0" w:color="auto"/>
            <w:right w:val="none" w:sz="0" w:space="0" w:color="auto"/>
          </w:divBdr>
        </w:div>
        <w:div w:id="234894783">
          <w:marLeft w:val="547"/>
          <w:marRight w:val="0"/>
          <w:marTop w:val="67"/>
          <w:marBottom w:val="0"/>
          <w:divBdr>
            <w:top w:val="none" w:sz="0" w:space="0" w:color="auto"/>
            <w:left w:val="none" w:sz="0" w:space="0" w:color="auto"/>
            <w:bottom w:val="none" w:sz="0" w:space="0" w:color="auto"/>
            <w:right w:val="none" w:sz="0" w:space="0" w:color="auto"/>
          </w:divBdr>
        </w:div>
      </w:divsChild>
    </w:div>
    <w:div w:id="1718167524">
      <w:bodyDiv w:val="1"/>
      <w:marLeft w:val="0"/>
      <w:marRight w:val="0"/>
      <w:marTop w:val="0"/>
      <w:marBottom w:val="0"/>
      <w:divBdr>
        <w:top w:val="none" w:sz="0" w:space="0" w:color="auto"/>
        <w:left w:val="none" w:sz="0" w:space="0" w:color="auto"/>
        <w:bottom w:val="none" w:sz="0" w:space="0" w:color="auto"/>
        <w:right w:val="none" w:sz="0" w:space="0" w:color="auto"/>
      </w:divBdr>
    </w:div>
    <w:div w:id="1734546272">
      <w:bodyDiv w:val="1"/>
      <w:marLeft w:val="0"/>
      <w:marRight w:val="0"/>
      <w:marTop w:val="0"/>
      <w:marBottom w:val="0"/>
      <w:divBdr>
        <w:top w:val="none" w:sz="0" w:space="0" w:color="auto"/>
        <w:left w:val="none" w:sz="0" w:space="0" w:color="auto"/>
        <w:bottom w:val="none" w:sz="0" w:space="0" w:color="auto"/>
        <w:right w:val="none" w:sz="0" w:space="0" w:color="auto"/>
      </w:divBdr>
    </w:div>
    <w:div w:id="1737781730">
      <w:bodyDiv w:val="1"/>
      <w:marLeft w:val="0"/>
      <w:marRight w:val="0"/>
      <w:marTop w:val="0"/>
      <w:marBottom w:val="0"/>
      <w:divBdr>
        <w:top w:val="none" w:sz="0" w:space="0" w:color="auto"/>
        <w:left w:val="none" w:sz="0" w:space="0" w:color="auto"/>
        <w:bottom w:val="none" w:sz="0" w:space="0" w:color="auto"/>
        <w:right w:val="none" w:sz="0" w:space="0" w:color="auto"/>
      </w:divBdr>
    </w:div>
    <w:div w:id="1738362727">
      <w:bodyDiv w:val="1"/>
      <w:marLeft w:val="0"/>
      <w:marRight w:val="0"/>
      <w:marTop w:val="0"/>
      <w:marBottom w:val="0"/>
      <w:divBdr>
        <w:top w:val="none" w:sz="0" w:space="0" w:color="auto"/>
        <w:left w:val="none" w:sz="0" w:space="0" w:color="auto"/>
        <w:bottom w:val="none" w:sz="0" w:space="0" w:color="auto"/>
        <w:right w:val="none" w:sz="0" w:space="0" w:color="auto"/>
      </w:divBdr>
    </w:div>
    <w:div w:id="1738478791">
      <w:bodyDiv w:val="1"/>
      <w:marLeft w:val="0"/>
      <w:marRight w:val="0"/>
      <w:marTop w:val="0"/>
      <w:marBottom w:val="0"/>
      <w:divBdr>
        <w:top w:val="none" w:sz="0" w:space="0" w:color="auto"/>
        <w:left w:val="none" w:sz="0" w:space="0" w:color="auto"/>
        <w:bottom w:val="none" w:sz="0" w:space="0" w:color="auto"/>
        <w:right w:val="none" w:sz="0" w:space="0" w:color="auto"/>
      </w:divBdr>
    </w:div>
    <w:div w:id="1740012101">
      <w:bodyDiv w:val="1"/>
      <w:marLeft w:val="0"/>
      <w:marRight w:val="0"/>
      <w:marTop w:val="0"/>
      <w:marBottom w:val="0"/>
      <w:divBdr>
        <w:top w:val="none" w:sz="0" w:space="0" w:color="auto"/>
        <w:left w:val="none" w:sz="0" w:space="0" w:color="auto"/>
        <w:bottom w:val="none" w:sz="0" w:space="0" w:color="auto"/>
        <w:right w:val="none" w:sz="0" w:space="0" w:color="auto"/>
      </w:divBdr>
    </w:div>
    <w:div w:id="1740204479">
      <w:bodyDiv w:val="1"/>
      <w:marLeft w:val="0"/>
      <w:marRight w:val="0"/>
      <w:marTop w:val="0"/>
      <w:marBottom w:val="0"/>
      <w:divBdr>
        <w:top w:val="none" w:sz="0" w:space="0" w:color="auto"/>
        <w:left w:val="none" w:sz="0" w:space="0" w:color="auto"/>
        <w:bottom w:val="none" w:sz="0" w:space="0" w:color="auto"/>
        <w:right w:val="none" w:sz="0" w:space="0" w:color="auto"/>
      </w:divBdr>
    </w:div>
    <w:div w:id="1746608394">
      <w:bodyDiv w:val="1"/>
      <w:marLeft w:val="0"/>
      <w:marRight w:val="0"/>
      <w:marTop w:val="0"/>
      <w:marBottom w:val="0"/>
      <w:divBdr>
        <w:top w:val="none" w:sz="0" w:space="0" w:color="auto"/>
        <w:left w:val="none" w:sz="0" w:space="0" w:color="auto"/>
        <w:bottom w:val="none" w:sz="0" w:space="0" w:color="auto"/>
        <w:right w:val="none" w:sz="0" w:space="0" w:color="auto"/>
      </w:divBdr>
    </w:div>
    <w:div w:id="1790011289">
      <w:bodyDiv w:val="1"/>
      <w:marLeft w:val="0"/>
      <w:marRight w:val="0"/>
      <w:marTop w:val="0"/>
      <w:marBottom w:val="0"/>
      <w:divBdr>
        <w:top w:val="none" w:sz="0" w:space="0" w:color="auto"/>
        <w:left w:val="none" w:sz="0" w:space="0" w:color="auto"/>
        <w:bottom w:val="none" w:sz="0" w:space="0" w:color="auto"/>
        <w:right w:val="none" w:sz="0" w:space="0" w:color="auto"/>
      </w:divBdr>
    </w:div>
    <w:div w:id="1790464812">
      <w:bodyDiv w:val="1"/>
      <w:marLeft w:val="0"/>
      <w:marRight w:val="0"/>
      <w:marTop w:val="0"/>
      <w:marBottom w:val="0"/>
      <w:divBdr>
        <w:top w:val="none" w:sz="0" w:space="0" w:color="auto"/>
        <w:left w:val="none" w:sz="0" w:space="0" w:color="auto"/>
        <w:bottom w:val="none" w:sz="0" w:space="0" w:color="auto"/>
        <w:right w:val="none" w:sz="0" w:space="0" w:color="auto"/>
      </w:divBdr>
    </w:div>
    <w:div w:id="1791319940">
      <w:bodyDiv w:val="1"/>
      <w:marLeft w:val="0"/>
      <w:marRight w:val="0"/>
      <w:marTop w:val="0"/>
      <w:marBottom w:val="0"/>
      <w:divBdr>
        <w:top w:val="none" w:sz="0" w:space="0" w:color="auto"/>
        <w:left w:val="none" w:sz="0" w:space="0" w:color="auto"/>
        <w:bottom w:val="none" w:sz="0" w:space="0" w:color="auto"/>
        <w:right w:val="none" w:sz="0" w:space="0" w:color="auto"/>
      </w:divBdr>
    </w:div>
    <w:div w:id="1799832931">
      <w:bodyDiv w:val="1"/>
      <w:marLeft w:val="0"/>
      <w:marRight w:val="0"/>
      <w:marTop w:val="0"/>
      <w:marBottom w:val="0"/>
      <w:divBdr>
        <w:top w:val="none" w:sz="0" w:space="0" w:color="auto"/>
        <w:left w:val="none" w:sz="0" w:space="0" w:color="auto"/>
        <w:bottom w:val="none" w:sz="0" w:space="0" w:color="auto"/>
        <w:right w:val="none" w:sz="0" w:space="0" w:color="auto"/>
      </w:divBdr>
    </w:div>
    <w:div w:id="1805540928">
      <w:bodyDiv w:val="1"/>
      <w:marLeft w:val="0"/>
      <w:marRight w:val="0"/>
      <w:marTop w:val="0"/>
      <w:marBottom w:val="0"/>
      <w:divBdr>
        <w:top w:val="none" w:sz="0" w:space="0" w:color="auto"/>
        <w:left w:val="none" w:sz="0" w:space="0" w:color="auto"/>
        <w:bottom w:val="none" w:sz="0" w:space="0" w:color="auto"/>
        <w:right w:val="none" w:sz="0" w:space="0" w:color="auto"/>
      </w:divBdr>
    </w:div>
    <w:div w:id="1824615655">
      <w:bodyDiv w:val="1"/>
      <w:marLeft w:val="0"/>
      <w:marRight w:val="0"/>
      <w:marTop w:val="0"/>
      <w:marBottom w:val="0"/>
      <w:divBdr>
        <w:top w:val="none" w:sz="0" w:space="0" w:color="auto"/>
        <w:left w:val="none" w:sz="0" w:space="0" w:color="auto"/>
        <w:bottom w:val="none" w:sz="0" w:space="0" w:color="auto"/>
        <w:right w:val="none" w:sz="0" w:space="0" w:color="auto"/>
      </w:divBdr>
    </w:div>
    <w:div w:id="1834177641">
      <w:bodyDiv w:val="1"/>
      <w:marLeft w:val="0"/>
      <w:marRight w:val="0"/>
      <w:marTop w:val="0"/>
      <w:marBottom w:val="0"/>
      <w:divBdr>
        <w:top w:val="none" w:sz="0" w:space="0" w:color="auto"/>
        <w:left w:val="none" w:sz="0" w:space="0" w:color="auto"/>
        <w:bottom w:val="none" w:sz="0" w:space="0" w:color="auto"/>
        <w:right w:val="none" w:sz="0" w:space="0" w:color="auto"/>
      </w:divBdr>
    </w:div>
    <w:div w:id="1844976141">
      <w:bodyDiv w:val="1"/>
      <w:marLeft w:val="0"/>
      <w:marRight w:val="0"/>
      <w:marTop w:val="0"/>
      <w:marBottom w:val="0"/>
      <w:divBdr>
        <w:top w:val="none" w:sz="0" w:space="0" w:color="auto"/>
        <w:left w:val="none" w:sz="0" w:space="0" w:color="auto"/>
        <w:bottom w:val="none" w:sz="0" w:space="0" w:color="auto"/>
        <w:right w:val="none" w:sz="0" w:space="0" w:color="auto"/>
      </w:divBdr>
    </w:div>
    <w:div w:id="1865828219">
      <w:bodyDiv w:val="1"/>
      <w:marLeft w:val="0"/>
      <w:marRight w:val="0"/>
      <w:marTop w:val="0"/>
      <w:marBottom w:val="0"/>
      <w:divBdr>
        <w:top w:val="none" w:sz="0" w:space="0" w:color="auto"/>
        <w:left w:val="none" w:sz="0" w:space="0" w:color="auto"/>
        <w:bottom w:val="none" w:sz="0" w:space="0" w:color="auto"/>
        <w:right w:val="none" w:sz="0" w:space="0" w:color="auto"/>
      </w:divBdr>
    </w:div>
    <w:div w:id="1877622668">
      <w:bodyDiv w:val="1"/>
      <w:marLeft w:val="0"/>
      <w:marRight w:val="0"/>
      <w:marTop w:val="0"/>
      <w:marBottom w:val="0"/>
      <w:divBdr>
        <w:top w:val="none" w:sz="0" w:space="0" w:color="auto"/>
        <w:left w:val="none" w:sz="0" w:space="0" w:color="auto"/>
        <w:bottom w:val="none" w:sz="0" w:space="0" w:color="auto"/>
        <w:right w:val="none" w:sz="0" w:space="0" w:color="auto"/>
      </w:divBdr>
    </w:div>
    <w:div w:id="1890802600">
      <w:bodyDiv w:val="1"/>
      <w:marLeft w:val="0"/>
      <w:marRight w:val="0"/>
      <w:marTop w:val="0"/>
      <w:marBottom w:val="0"/>
      <w:divBdr>
        <w:top w:val="none" w:sz="0" w:space="0" w:color="auto"/>
        <w:left w:val="none" w:sz="0" w:space="0" w:color="auto"/>
        <w:bottom w:val="none" w:sz="0" w:space="0" w:color="auto"/>
        <w:right w:val="none" w:sz="0" w:space="0" w:color="auto"/>
      </w:divBdr>
    </w:div>
    <w:div w:id="1894610986">
      <w:bodyDiv w:val="1"/>
      <w:marLeft w:val="0"/>
      <w:marRight w:val="0"/>
      <w:marTop w:val="0"/>
      <w:marBottom w:val="0"/>
      <w:divBdr>
        <w:top w:val="none" w:sz="0" w:space="0" w:color="auto"/>
        <w:left w:val="none" w:sz="0" w:space="0" w:color="auto"/>
        <w:bottom w:val="none" w:sz="0" w:space="0" w:color="auto"/>
        <w:right w:val="none" w:sz="0" w:space="0" w:color="auto"/>
      </w:divBdr>
    </w:div>
    <w:div w:id="1894999479">
      <w:bodyDiv w:val="1"/>
      <w:marLeft w:val="0"/>
      <w:marRight w:val="0"/>
      <w:marTop w:val="0"/>
      <w:marBottom w:val="0"/>
      <w:divBdr>
        <w:top w:val="none" w:sz="0" w:space="0" w:color="auto"/>
        <w:left w:val="none" w:sz="0" w:space="0" w:color="auto"/>
        <w:bottom w:val="none" w:sz="0" w:space="0" w:color="auto"/>
        <w:right w:val="none" w:sz="0" w:space="0" w:color="auto"/>
      </w:divBdr>
    </w:div>
    <w:div w:id="1895463551">
      <w:bodyDiv w:val="1"/>
      <w:marLeft w:val="0"/>
      <w:marRight w:val="0"/>
      <w:marTop w:val="0"/>
      <w:marBottom w:val="0"/>
      <w:divBdr>
        <w:top w:val="none" w:sz="0" w:space="0" w:color="auto"/>
        <w:left w:val="none" w:sz="0" w:space="0" w:color="auto"/>
        <w:bottom w:val="none" w:sz="0" w:space="0" w:color="auto"/>
        <w:right w:val="none" w:sz="0" w:space="0" w:color="auto"/>
      </w:divBdr>
    </w:div>
    <w:div w:id="1918590316">
      <w:bodyDiv w:val="1"/>
      <w:marLeft w:val="0"/>
      <w:marRight w:val="0"/>
      <w:marTop w:val="0"/>
      <w:marBottom w:val="0"/>
      <w:divBdr>
        <w:top w:val="none" w:sz="0" w:space="0" w:color="auto"/>
        <w:left w:val="none" w:sz="0" w:space="0" w:color="auto"/>
        <w:bottom w:val="none" w:sz="0" w:space="0" w:color="auto"/>
        <w:right w:val="none" w:sz="0" w:space="0" w:color="auto"/>
      </w:divBdr>
    </w:div>
    <w:div w:id="1925458430">
      <w:bodyDiv w:val="1"/>
      <w:marLeft w:val="0"/>
      <w:marRight w:val="0"/>
      <w:marTop w:val="0"/>
      <w:marBottom w:val="0"/>
      <w:divBdr>
        <w:top w:val="none" w:sz="0" w:space="0" w:color="auto"/>
        <w:left w:val="none" w:sz="0" w:space="0" w:color="auto"/>
        <w:bottom w:val="none" w:sz="0" w:space="0" w:color="auto"/>
        <w:right w:val="none" w:sz="0" w:space="0" w:color="auto"/>
      </w:divBdr>
    </w:div>
    <w:div w:id="1929532363">
      <w:bodyDiv w:val="1"/>
      <w:marLeft w:val="0"/>
      <w:marRight w:val="0"/>
      <w:marTop w:val="0"/>
      <w:marBottom w:val="0"/>
      <w:divBdr>
        <w:top w:val="none" w:sz="0" w:space="0" w:color="auto"/>
        <w:left w:val="none" w:sz="0" w:space="0" w:color="auto"/>
        <w:bottom w:val="none" w:sz="0" w:space="0" w:color="auto"/>
        <w:right w:val="none" w:sz="0" w:space="0" w:color="auto"/>
      </w:divBdr>
    </w:div>
    <w:div w:id="1938559574">
      <w:bodyDiv w:val="1"/>
      <w:marLeft w:val="0"/>
      <w:marRight w:val="0"/>
      <w:marTop w:val="0"/>
      <w:marBottom w:val="0"/>
      <w:divBdr>
        <w:top w:val="none" w:sz="0" w:space="0" w:color="auto"/>
        <w:left w:val="none" w:sz="0" w:space="0" w:color="auto"/>
        <w:bottom w:val="none" w:sz="0" w:space="0" w:color="auto"/>
        <w:right w:val="none" w:sz="0" w:space="0" w:color="auto"/>
      </w:divBdr>
    </w:div>
    <w:div w:id="1946111261">
      <w:bodyDiv w:val="1"/>
      <w:marLeft w:val="0"/>
      <w:marRight w:val="0"/>
      <w:marTop w:val="0"/>
      <w:marBottom w:val="0"/>
      <w:divBdr>
        <w:top w:val="none" w:sz="0" w:space="0" w:color="auto"/>
        <w:left w:val="none" w:sz="0" w:space="0" w:color="auto"/>
        <w:bottom w:val="none" w:sz="0" w:space="0" w:color="auto"/>
        <w:right w:val="none" w:sz="0" w:space="0" w:color="auto"/>
      </w:divBdr>
    </w:div>
    <w:div w:id="1982151256">
      <w:bodyDiv w:val="1"/>
      <w:marLeft w:val="0"/>
      <w:marRight w:val="0"/>
      <w:marTop w:val="0"/>
      <w:marBottom w:val="0"/>
      <w:divBdr>
        <w:top w:val="none" w:sz="0" w:space="0" w:color="auto"/>
        <w:left w:val="none" w:sz="0" w:space="0" w:color="auto"/>
        <w:bottom w:val="none" w:sz="0" w:space="0" w:color="auto"/>
        <w:right w:val="none" w:sz="0" w:space="0" w:color="auto"/>
      </w:divBdr>
    </w:div>
    <w:div w:id="1985969632">
      <w:bodyDiv w:val="1"/>
      <w:marLeft w:val="0"/>
      <w:marRight w:val="0"/>
      <w:marTop w:val="0"/>
      <w:marBottom w:val="0"/>
      <w:divBdr>
        <w:top w:val="none" w:sz="0" w:space="0" w:color="auto"/>
        <w:left w:val="none" w:sz="0" w:space="0" w:color="auto"/>
        <w:bottom w:val="none" w:sz="0" w:space="0" w:color="auto"/>
        <w:right w:val="none" w:sz="0" w:space="0" w:color="auto"/>
      </w:divBdr>
    </w:div>
    <w:div w:id="1992563160">
      <w:bodyDiv w:val="1"/>
      <w:marLeft w:val="0"/>
      <w:marRight w:val="0"/>
      <w:marTop w:val="0"/>
      <w:marBottom w:val="0"/>
      <w:divBdr>
        <w:top w:val="none" w:sz="0" w:space="0" w:color="auto"/>
        <w:left w:val="none" w:sz="0" w:space="0" w:color="auto"/>
        <w:bottom w:val="none" w:sz="0" w:space="0" w:color="auto"/>
        <w:right w:val="none" w:sz="0" w:space="0" w:color="auto"/>
      </w:divBdr>
    </w:div>
    <w:div w:id="1993832099">
      <w:bodyDiv w:val="1"/>
      <w:marLeft w:val="0"/>
      <w:marRight w:val="0"/>
      <w:marTop w:val="0"/>
      <w:marBottom w:val="0"/>
      <w:divBdr>
        <w:top w:val="none" w:sz="0" w:space="0" w:color="auto"/>
        <w:left w:val="none" w:sz="0" w:space="0" w:color="auto"/>
        <w:bottom w:val="none" w:sz="0" w:space="0" w:color="auto"/>
        <w:right w:val="none" w:sz="0" w:space="0" w:color="auto"/>
      </w:divBdr>
    </w:div>
    <w:div w:id="2002150942">
      <w:bodyDiv w:val="1"/>
      <w:marLeft w:val="0"/>
      <w:marRight w:val="0"/>
      <w:marTop w:val="0"/>
      <w:marBottom w:val="0"/>
      <w:divBdr>
        <w:top w:val="none" w:sz="0" w:space="0" w:color="auto"/>
        <w:left w:val="none" w:sz="0" w:space="0" w:color="auto"/>
        <w:bottom w:val="none" w:sz="0" w:space="0" w:color="auto"/>
        <w:right w:val="none" w:sz="0" w:space="0" w:color="auto"/>
      </w:divBdr>
    </w:div>
    <w:div w:id="2015108738">
      <w:bodyDiv w:val="1"/>
      <w:marLeft w:val="0"/>
      <w:marRight w:val="0"/>
      <w:marTop w:val="0"/>
      <w:marBottom w:val="0"/>
      <w:divBdr>
        <w:top w:val="none" w:sz="0" w:space="0" w:color="auto"/>
        <w:left w:val="none" w:sz="0" w:space="0" w:color="auto"/>
        <w:bottom w:val="none" w:sz="0" w:space="0" w:color="auto"/>
        <w:right w:val="none" w:sz="0" w:space="0" w:color="auto"/>
      </w:divBdr>
    </w:div>
    <w:div w:id="2044164369">
      <w:bodyDiv w:val="1"/>
      <w:marLeft w:val="0"/>
      <w:marRight w:val="0"/>
      <w:marTop w:val="0"/>
      <w:marBottom w:val="0"/>
      <w:divBdr>
        <w:top w:val="none" w:sz="0" w:space="0" w:color="auto"/>
        <w:left w:val="none" w:sz="0" w:space="0" w:color="auto"/>
        <w:bottom w:val="none" w:sz="0" w:space="0" w:color="auto"/>
        <w:right w:val="none" w:sz="0" w:space="0" w:color="auto"/>
      </w:divBdr>
    </w:div>
    <w:div w:id="2047439701">
      <w:bodyDiv w:val="1"/>
      <w:marLeft w:val="0"/>
      <w:marRight w:val="0"/>
      <w:marTop w:val="0"/>
      <w:marBottom w:val="0"/>
      <w:divBdr>
        <w:top w:val="none" w:sz="0" w:space="0" w:color="auto"/>
        <w:left w:val="none" w:sz="0" w:space="0" w:color="auto"/>
        <w:bottom w:val="none" w:sz="0" w:space="0" w:color="auto"/>
        <w:right w:val="none" w:sz="0" w:space="0" w:color="auto"/>
      </w:divBdr>
    </w:div>
    <w:div w:id="2072538924">
      <w:bodyDiv w:val="1"/>
      <w:marLeft w:val="0"/>
      <w:marRight w:val="0"/>
      <w:marTop w:val="0"/>
      <w:marBottom w:val="0"/>
      <w:divBdr>
        <w:top w:val="none" w:sz="0" w:space="0" w:color="auto"/>
        <w:left w:val="none" w:sz="0" w:space="0" w:color="auto"/>
        <w:bottom w:val="none" w:sz="0" w:space="0" w:color="auto"/>
        <w:right w:val="none" w:sz="0" w:space="0" w:color="auto"/>
      </w:divBdr>
    </w:div>
    <w:div w:id="2073381607">
      <w:bodyDiv w:val="1"/>
      <w:marLeft w:val="0"/>
      <w:marRight w:val="0"/>
      <w:marTop w:val="0"/>
      <w:marBottom w:val="0"/>
      <w:divBdr>
        <w:top w:val="none" w:sz="0" w:space="0" w:color="auto"/>
        <w:left w:val="none" w:sz="0" w:space="0" w:color="auto"/>
        <w:bottom w:val="none" w:sz="0" w:space="0" w:color="auto"/>
        <w:right w:val="none" w:sz="0" w:space="0" w:color="auto"/>
      </w:divBdr>
      <w:divsChild>
        <w:div w:id="1678773606">
          <w:marLeft w:val="0"/>
          <w:marRight w:val="0"/>
          <w:marTop w:val="0"/>
          <w:marBottom w:val="0"/>
          <w:divBdr>
            <w:top w:val="none" w:sz="0" w:space="0" w:color="auto"/>
            <w:left w:val="none" w:sz="0" w:space="0" w:color="auto"/>
            <w:bottom w:val="none" w:sz="0" w:space="0" w:color="auto"/>
            <w:right w:val="none" w:sz="0" w:space="0" w:color="auto"/>
          </w:divBdr>
          <w:divsChild>
            <w:div w:id="1971592360">
              <w:marLeft w:val="0"/>
              <w:marRight w:val="0"/>
              <w:marTop w:val="0"/>
              <w:marBottom w:val="0"/>
              <w:divBdr>
                <w:top w:val="none" w:sz="0" w:space="0" w:color="auto"/>
                <w:left w:val="none" w:sz="0" w:space="0" w:color="auto"/>
                <w:bottom w:val="none" w:sz="0" w:space="0" w:color="auto"/>
                <w:right w:val="none" w:sz="0" w:space="0" w:color="auto"/>
              </w:divBdr>
              <w:divsChild>
                <w:div w:id="837425050">
                  <w:marLeft w:val="0"/>
                  <w:marRight w:val="0"/>
                  <w:marTop w:val="0"/>
                  <w:marBottom w:val="0"/>
                  <w:divBdr>
                    <w:top w:val="none" w:sz="0" w:space="0" w:color="auto"/>
                    <w:left w:val="none" w:sz="0" w:space="0" w:color="auto"/>
                    <w:bottom w:val="none" w:sz="0" w:space="0" w:color="auto"/>
                    <w:right w:val="none" w:sz="0" w:space="0" w:color="auto"/>
                  </w:divBdr>
                  <w:divsChild>
                    <w:div w:id="1365911446">
                      <w:marLeft w:val="0"/>
                      <w:marRight w:val="0"/>
                      <w:marTop w:val="45"/>
                      <w:marBottom w:val="0"/>
                      <w:divBdr>
                        <w:top w:val="none" w:sz="0" w:space="0" w:color="auto"/>
                        <w:left w:val="none" w:sz="0" w:space="0" w:color="auto"/>
                        <w:bottom w:val="none" w:sz="0" w:space="0" w:color="auto"/>
                        <w:right w:val="none" w:sz="0" w:space="0" w:color="auto"/>
                      </w:divBdr>
                      <w:divsChild>
                        <w:div w:id="1150249360">
                          <w:marLeft w:val="0"/>
                          <w:marRight w:val="0"/>
                          <w:marTop w:val="0"/>
                          <w:marBottom w:val="0"/>
                          <w:divBdr>
                            <w:top w:val="none" w:sz="0" w:space="0" w:color="auto"/>
                            <w:left w:val="none" w:sz="0" w:space="0" w:color="auto"/>
                            <w:bottom w:val="none" w:sz="0" w:space="0" w:color="auto"/>
                            <w:right w:val="none" w:sz="0" w:space="0" w:color="auto"/>
                          </w:divBdr>
                          <w:divsChild>
                            <w:div w:id="116683209">
                              <w:marLeft w:val="2070"/>
                              <w:marRight w:val="3960"/>
                              <w:marTop w:val="0"/>
                              <w:marBottom w:val="0"/>
                              <w:divBdr>
                                <w:top w:val="none" w:sz="0" w:space="0" w:color="auto"/>
                                <w:left w:val="none" w:sz="0" w:space="0" w:color="auto"/>
                                <w:bottom w:val="none" w:sz="0" w:space="0" w:color="auto"/>
                                <w:right w:val="none" w:sz="0" w:space="0" w:color="auto"/>
                              </w:divBdr>
                              <w:divsChild>
                                <w:div w:id="1403021616">
                                  <w:marLeft w:val="0"/>
                                  <w:marRight w:val="0"/>
                                  <w:marTop w:val="0"/>
                                  <w:marBottom w:val="0"/>
                                  <w:divBdr>
                                    <w:top w:val="none" w:sz="0" w:space="0" w:color="auto"/>
                                    <w:left w:val="none" w:sz="0" w:space="0" w:color="auto"/>
                                    <w:bottom w:val="none" w:sz="0" w:space="0" w:color="auto"/>
                                    <w:right w:val="none" w:sz="0" w:space="0" w:color="auto"/>
                                  </w:divBdr>
                                  <w:divsChild>
                                    <w:div w:id="422528434">
                                      <w:marLeft w:val="0"/>
                                      <w:marRight w:val="0"/>
                                      <w:marTop w:val="0"/>
                                      <w:marBottom w:val="0"/>
                                      <w:divBdr>
                                        <w:top w:val="none" w:sz="0" w:space="0" w:color="auto"/>
                                        <w:left w:val="none" w:sz="0" w:space="0" w:color="auto"/>
                                        <w:bottom w:val="none" w:sz="0" w:space="0" w:color="auto"/>
                                        <w:right w:val="none" w:sz="0" w:space="0" w:color="auto"/>
                                      </w:divBdr>
                                      <w:divsChild>
                                        <w:div w:id="1518807220">
                                          <w:marLeft w:val="0"/>
                                          <w:marRight w:val="0"/>
                                          <w:marTop w:val="0"/>
                                          <w:marBottom w:val="0"/>
                                          <w:divBdr>
                                            <w:top w:val="none" w:sz="0" w:space="0" w:color="auto"/>
                                            <w:left w:val="none" w:sz="0" w:space="0" w:color="auto"/>
                                            <w:bottom w:val="none" w:sz="0" w:space="0" w:color="auto"/>
                                            <w:right w:val="none" w:sz="0" w:space="0" w:color="auto"/>
                                          </w:divBdr>
                                          <w:divsChild>
                                            <w:div w:id="1570000664">
                                              <w:marLeft w:val="0"/>
                                              <w:marRight w:val="0"/>
                                              <w:marTop w:val="90"/>
                                              <w:marBottom w:val="0"/>
                                              <w:divBdr>
                                                <w:top w:val="none" w:sz="0" w:space="0" w:color="auto"/>
                                                <w:left w:val="none" w:sz="0" w:space="0" w:color="auto"/>
                                                <w:bottom w:val="none" w:sz="0" w:space="0" w:color="auto"/>
                                                <w:right w:val="none" w:sz="0" w:space="0" w:color="auto"/>
                                              </w:divBdr>
                                              <w:divsChild>
                                                <w:div w:id="1072509854">
                                                  <w:marLeft w:val="0"/>
                                                  <w:marRight w:val="0"/>
                                                  <w:marTop w:val="0"/>
                                                  <w:marBottom w:val="0"/>
                                                  <w:divBdr>
                                                    <w:top w:val="none" w:sz="0" w:space="0" w:color="auto"/>
                                                    <w:left w:val="none" w:sz="0" w:space="0" w:color="auto"/>
                                                    <w:bottom w:val="none" w:sz="0" w:space="0" w:color="auto"/>
                                                    <w:right w:val="none" w:sz="0" w:space="0" w:color="auto"/>
                                                  </w:divBdr>
                                                  <w:divsChild>
                                                    <w:div w:id="1340691650">
                                                      <w:marLeft w:val="0"/>
                                                      <w:marRight w:val="0"/>
                                                      <w:marTop w:val="0"/>
                                                      <w:marBottom w:val="0"/>
                                                      <w:divBdr>
                                                        <w:top w:val="none" w:sz="0" w:space="0" w:color="auto"/>
                                                        <w:left w:val="none" w:sz="0" w:space="0" w:color="auto"/>
                                                        <w:bottom w:val="none" w:sz="0" w:space="0" w:color="auto"/>
                                                        <w:right w:val="none" w:sz="0" w:space="0" w:color="auto"/>
                                                      </w:divBdr>
                                                      <w:divsChild>
                                                        <w:div w:id="1569997297">
                                                          <w:marLeft w:val="0"/>
                                                          <w:marRight w:val="0"/>
                                                          <w:marTop w:val="0"/>
                                                          <w:marBottom w:val="0"/>
                                                          <w:divBdr>
                                                            <w:top w:val="none" w:sz="0" w:space="0" w:color="auto"/>
                                                            <w:left w:val="none" w:sz="0" w:space="0" w:color="auto"/>
                                                            <w:bottom w:val="none" w:sz="0" w:space="0" w:color="auto"/>
                                                            <w:right w:val="none" w:sz="0" w:space="0" w:color="auto"/>
                                                          </w:divBdr>
                                                          <w:divsChild>
                                                            <w:div w:id="846018856">
                                                              <w:marLeft w:val="0"/>
                                                              <w:marRight w:val="0"/>
                                                              <w:marTop w:val="0"/>
                                                              <w:marBottom w:val="390"/>
                                                              <w:divBdr>
                                                                <w:top w:val="none" w:sz="0" w:space="0" w:color="auto"/>
                                                                <w:left w:val="none" w:sz="0" w:space="0" w:color="auto"/>
                                                                <w:bottom w:val="none" w:sz="0" w:space="0" w:color="auto"/>
                                                                <w:right w:val="none" w:sz="0" w:space="0" w:color="auto"/>
                                                              </w:divBdr>
                                                              <w:divsChild>
                                                                <w:div w:id="1513488849">
                                                                  <w:marLeft w:val="0"/>
                                                                  <w:marRight w:val="0"/>
                                                                  <w:marTop w:val="0"/>
                                                                  <w:marBottom w:val="0"/>
                                                                  <w:divBdr>
                                                                    <w:top w:val="none" w:sz="0" w:space="0" w:color="auto"/>
                                                                    <w:left w:val="none" w:sz="0" w:space="0" w:color="auto"/>
                                                                    <w:bottom w:val="none" w:sz="0" w:space="0" w:color="auto"/>
                                                                    <w:right w:val="none" w:sz="0" w:space="0" w:color="auto"/>
                                                                  </w:divBdr>
                                                                  <w:divsChild>
                                                                    <w:div w:id="789393547">
                                                                      <w:marLeft w:val="0"/>
                                                                      <w:marRight w:val="0"/>
                                                                      <w:marTop w:val="0"/>
                                                                      <w:marBottom w:val="0"/>
                                                                      <w:divBdr>
                                                                        <w:top w:val="none" w:sz="0" w:space="0" w:color="auto"/>
                                                                        <w:left w:val="none" w:sz="0" w:space="0" w:color="auto"/>
                                                                        <w:bottom w:val="none" w:sz="0" w:space="0" w:color="auto"/>
                                                                        <w:right w:val="none" w:sz="0" w:space="0" w:color="auto"/>
                                                                      </w:divBdr>
                                                                      <w:divsChild>
                                                                        <w:div w:id="1231769473">
                                                                          <w:marLeft w:val="0"/>
                                                                          <w:marRight w:val="0"/>
                                                                          <w:marTop w:val="0"/>
                                                                          <w:marBottom w:val="0"/>
                                                                          <w:divBdr>
                                                                            <w:top w:val="none" w:sz="0" w:space="0" w:color="auto"/>
                                                                            <w:left w:val="none" w:sz="0" w:space="0" w:color="auto"/>
                                                                            <w:bottom w:val="none" w:sz="0" w:space="0" w:color="auto"/>
                                                                            <w:right w:val="none" w:sz="0" w:space="0" w:color="auto"/>
                                                                          </w:divBdr>
                                                                          <w:divsChild>
                                                                            <w:div w:id="1685131644">
                                                                              <w:marLeft w:val="0"/>
                                                                              <w:marRight w:val="0"/>
                                                                              <w:marTop w:val="0"/>
                                                                              <w:marBottom w:val="0"/>
                                                                              <w:divBdr>
                                                                                <w:top w:val="none" w:sz="0" w:space="0" w:color="auto"/>
                                                                                <w:left w:val="none" w:sz="0" w:space="0" w:color="auto"/>
                                                                                <w:bottom w:val="none" w:sz="0" w:space="0" w:color="auto"/>
                                                                                <w:right w:val="none" w:sz="0" w:space="0" w:color="auto"/>
                                                                              </w:divBdr>
                                                                              <w:divsChild>
                                                                                <w:div w:id="26974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4638251">
      <w:bodyDiv w:val="1"/>
      <w:marLeft w:val="0"/>
      <w:marRight w:val="0"/>
      <w:marTop w:val="0"/>
      <w:marBottom w:val="0"/>
      <w:divBdr>
        <w:top w:val="none" w:sz="0" w:space="0" w:color="auto"/>
        <w:left w:val="none" w:sz="0" w:space="0" w:color="auto"/>
        <w:bottom w:val="none" w:sz="0" w:space="0" w:color="auto"/>
        <w:right w:val="none" w:sz="0" w:space="0" w:color="auto"/>
      </w:divBdr>
    </w:div>
    <w:div w:id="2096316826">
      <w:bodyDiv w:val="1"/>
      <w:marLeft w:val="0"/>
      <w:marRight w:val="0"/>
      <w:marTop w:val="0"/>
      <w:marBottom w:val="0"/>
      <w:divBdr>
        <w:top w:val="none" w:sz="0" w:space="0" w:color="auto"/>
        <w:left w:val="none" w:sz="0" w:space="0" w:color="auto"/>
        <w:bottom w:val="none" w:sz="0" w:space="0" w:color="auto"/>
        <w:right w:val="none" w:sz="0" w:space="0" w:color="auto"/>
      </w:divBdr>
    </w:div>
    <w:div w:id="2097556217">
      <w:bodyDiv w:val="1"/>
      <w:marLeft w:val="0"/>
      <w:marRight w:val="0"/>
      <w:marTop w:val="0"/>
      <w:marBottom w:val="0"/>
      <w:divBdr>
        <w:top w:val="none" w:sz="0" w:space="0" w:color="auto"/>
        <w:left w:val="none" w:sz="0" w:space="0" w:color="auto"/>
        <w:bottom w:val="none" w:sz="0" w:space="0" w:color="auto"/>
        <w:right w:val="none" w:sz="0" w:space="0" w:color="auto"/>
      </w:divBdr>
    </w:div>
    <w:div w:id="2099403053">
      <w:bodyDiv w:val="1"/>
      <w:marLeft w:val="0"/>
      <w:marRight w:val="0"/>
      <w:marTop w:val="0"/>
      <w:marBottom w:val="0"/>
      <w:divBdr>
        <w:top w:val="none" w:sz="0" w:space="0" w:color="auto"/>
        <w:left w:val="none" w:sz="0" w:space="0" w:color="auto"/>
        <w:bottom w:val="none" w:sz="0" w:space="0" w:color="auto"/>
        <w:right w:val="none" w:sz="0" w:space="0" w:color="auto"/>
      </w:divBdr>
    </w:div>
    <w:div w:id="2121409170">
      <w:bodyDiv w:val="1"/>
      <w:marLeft w:val="0"/>
      <w:marRight w:val="0"/>
      <w:marTop w:val="0"/>
      <w:marBottom w:val="0"/>
      <w:divBdr>
        <w:top w:val="none" w:sz="0" w:space="0" w:color="auto"/>
        <w:left w:val="none" w:sz="0" w:space="0" w:color="auto"/>
        <w:bottom w:val="none" w:sz="0" w:space="0" w:color="auto"/>
        <w:right w:val="none" w:sz="0" w:space="0" w:color="auto"/>
      </w:divBdr>
    </w:div>
    <w:div w:id="212476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gov.au/about-us/policies/copyrigh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2" ma:contentTypeDescription="Create a new document." ma:contentTypeScope="" ma:versionID="618294362be060d79cc33ad72e732332">
  <xsd:schema xmlns:xsd="http://www.w3.org/2001/XMLSchema" xmlns:xs="http://www.w3.org/2001/XMLSchema" xmlns:p="http://schemas.microsoft.com/office/2006/metadata/properties" xmlns:ns2="58569e35-c074-42ac-b0e0-5012f8e6d690" xmlns:ns3="4eda4ad6-7ef7-4305-ba1e-934f809bdd01" xmlns:ns4="http://schemas.microsoft.com/sharepoint/v3/fields" targetNamespace="http://schemas.microsoft.com/office/2006/metadata/properties" ma:root="true" ma:fieldsID="fa30cef6cb5adb8ad3c06a220bc6138f" ns2:_="" ns3:_="" ns4:_="">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 xsi:nil="true"/>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TaxCatchAll xmlns="4eda4ad6-7ef7-4305-ba1e-934f809bdd01">
      <Value>20</Value>
      <Value>12</Value>
      <Value>2</Value>
      <Value>1</Value>
    </TaxCatchAll>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1686B-10E3-4C50-98A1-AB5A8BD29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3.xml><?xml version="1.0" encoding="utf-8"?>
<ds:datastoreItem xmlns:ds="http://schemas.openxmlformats.org/officeDocument/2006/customXml" ds:itemID="{5BC32D30-8ECC-4774-B97D-08B21D6372F2}">
  <ds:schemaRefs>
    <ds:schemaRef ds:uri="http://purl.org/dc/terms/"/>
    <ds:schemaRef ds:uri="http://schemas.openxmlformats.org/package/2006/metadata/core-properties"/>
    <ds:schemaRef ds:uri="http://schemas.microsoft.com/office/2006/documentManagement/types"/>
    <ds:schemaRef ds:uri="58569e35-c074-42ac-b0e0-5012f8e6d690"/>
    <ds:schemaRef ds:uri="http://schemas.microsoft.com/office/infopath/2007/PartnerControls"/>
    <ds:schemaRef ds:uri="http://purl.org/dc/elements/1.1/"/>
    <ds:schemaRef ds:uri="http://schemas.microsoft.com/office/2006/metadata/properties"/>
    <ds:schemaRef ds:uri="4eda4ad6-7ef7-4305-ba1e-934f809bdd01"/>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98BC1524-95A2-48E4-9490-7F24E6862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11008</Words>
  <Characters>62750</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73611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ATKINS, Zachary</dc:creator>
  <cp:keywords/>
  <dc:description/>
  <cp:lastModifiedBy>Sandercock, Benjamin</cp:lastModifiedBy>
  <cp:revision>3</cp:revision>
  <cp:lastPrinted>2019-07-17T04:04:00Z</cp:lastPrinted>
  <dcterms:created xsi:type="dcterms:W3CDTF">2020-03-06T00:31:00Z</dcterms:created>
  <dcterms:modified xsi:type="dcterms:W3CDTF">2020-03-06T00:32:00Z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